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70E" w:rsidRPr="00C050D9" w:rsidRDefault="0048466B">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C050D9">
        <w:rPr>
          <w:rFonts w:ascii="Times New Roman" w:hAnsi="Times New Roman" w:cs="Times New Roman"/>
          <w:sz w:val="28"/>
          <w:szCs w:val="24"/>
        </w:rPr>
        <w:t xml:space="preserve"> </w:t>
      </w:r>
    </w:p>
    <w:p w:rsidR="00F1370E" w:rsidRPr="00C050D9" w:rsidRDefault="00F1370E">
      <w:pPr>
        <w:widowControl w:val="0"/>
        <w:autoSpaceDE w:val="0"/>
        <w:autoSpaceDN w:val="0"/>
        <w:adjustRightInd w:val="0"/>
        <w:spacing w:after="0" w:line="240" w:lineRule="auto"/>
        <w:rPr>
          <w:rFonts w:ascii="Times New Roman" w:hAnsi="Times New Roman" w:cs="Times New Roman"/>
          <w:sz w:val="28"/>
          <w:szCs w:val="28"/>
        </w:rPr>
      </w:pPr>
    </w:p>
    <w:p w:rsidR="00F1370E" w:rsidRPr="00C050D9" w:rsidRDefault="0048466B">
      <w:pPr>
        <w:widowControl w:val="0"/>
        <w:autoSpaceDE w:val="0"/>
        <w:autoSpaceDN w:val="0"/>
        <w:adjustRightInd w:val="0"/>
        <w:spacing w:after="0" w:line="240" w:lineRule="auto"/>
        <w:jc w:val="center"/>
        <w:rPr>
          <w:rFonts w:ascii="Times New Roman" w:hAnsi="Times New Roman" w:cs="Times New Roman"/>
          <w:b/>
          <w:bCs/>
          <w:sz w:val="28"/>
          <w:szCs w:val="28"/>
        </w:rPr>
      </w:pPr>
      <w:r w:rsidRPr="00C050D9">
        <w:rPr>
          <w:rFonts w:ascii="Times New Roman" w:hAnsi="Times New Roman" w:cs="Times New Roman"/>
          <w:b/>
          <w:bCs/>
          <w:sz w:val="28"/>
          <w:szCs w:val="28"/>
        </w:rPr>
        <w:t xml:space="preserve">TEMAS-SUBTEMAS </w:t>
      </w:r>
    </w:p>
    <w:p w:rsidR="00F1370E" w:rsidRPr="00C050D9" w:rsidRDefault="00F1370E">
      <w:pPr>
        <w:widowControl w:val="0"/>
        <w:autoSpaceDE w:val="0"/>
        <w:autoSpaceDN w:val="0"/>
        <w:adjustRightInd w:val="0"/>
        <w:spacing w:after="0" w:line="240" w:lineRule="auto"/>
        <w:jc w:val="center"/>
        <w:rPr>
          <w:rFonts w:ascii="Times New Roman" w:hAnsi="Times New Roman" w:cs="Times New Roman"/>
          <w:b/>
          <w:bCs/>
          <w:sz w:val="28"/>
          <w:szCs w:val="28"/>
        </w:rPr>
      </w:pPr>
    </w:p>
    <w:p w:rsidR="00F1370E" w:rsidRPr="00C050D9" w:rsidRDefault="0048466B">
      <w:pPr>
        <w:widowControl w:val="0"/>
        <w:autoSpaceDE w:val="0"/>
        <w:autoSpaceDN w:val="0"/>
        <w:adjustRightInd w:val="0"/>
        <w:spacing w:after="0" w:line="240" w:lineRule="auto"/>
        <w:jc w:val="center"/>
        <w:rPr>
          <w:rFonts w:ascii="Times New Roman" w:hAnsi="Times New Roman" w:cs="Times New Roman"/>
          <w:sz w:val="28"/>
          <w:szCs w:val="28"/>
        </w:rPr>
      </w:pPr>
      <w:r w:rsidRPr="00C050D9">
        <w:rPr>
          <w:rFonts w:ascii="Times New Roman" w:hAnsi="Times New Roman" w:cs="Times New Roman"/>
          <w:b/>
          <w:bCs/>
          <w:sz w:val="28"/>
          <w:szCs w:val="28"/>
        </w:rPr>
        <w:t xml:space="preserve">Sentencia C-094/24 </w:t>
      </w:r>
    </w:p>
    <w:p w:rsidR="00F1370E" w:rsidRPr="00C050D9" w:rsidRDefault="00F1370E">
      <w:pPr>
        <w:widowControl w:val="0"/>
        <w:autoSpaceDE w:val="0"/>
        <w:autoSpaceDN w:val="0"/>
        <w:adjustRightInd w:val="0"/>
        <w:spacing w:after="0" w:line="240" w:lineRule="auto"/>
        <w:jc w:val="both"/>
        <w:rPr>
          <w:rFonts w:ascii="Times New Roman" w:hAnsi="Times New Roman" w:cs="Times New Roman"/>
          <w:sz w:val="28"/>
          <w:szCs w:val="28"/>
        </w:rPr>
      </w:pPr>
    </w:p>
    <w:p w:rsidR="00F1370E" w:rsidRPr="00C050D9" w:rsidRDefault="0048466B">
      <w:pPr>
        <w:widowControl w:val="0"/>
        <w:autoSpaceDE w:val="0"/>
        <w:autoSpaceDN w:val="0"/>
        <w:adjustRightInd w:val="0"/>
        <w:spacing w:after="0" w:line="240" w:lineRule="auto"/>
        <w:jc w:val="both"/>
        <w:rPr>
          <w:rFonts w:ascii="Times New Roman" w:hAnsi="Times New Roman" w:cs="Times New Roman"/>
          <w:sz w:val="28"/>
          <w:szCs w:val="28"/>
        </w:rPr>
      </w:pPr>
      <w:r w:rsidRPr="00C050D9">
        <w:rPr>
          <w:rFonts w:ascii="Times New Roman" w:hAnsi="Times New Roman" w:cs="Times New Roman"/>
          <w:b/>
          <w:bCs/>
          <w:sz w:val="28"/>
          <w:szCs w:val="28"/>
        </w:rPr>
        <w:t>DEMANDA DE INCONSTITUCIONALIDAD CONTRA LA LEY 2277 DE 2022</w:t>
      </w:r>
      <w:r w:rsidRPr="00C050D9">
        <w:rPr>
          <w:rFonts w:ascii="Times New Roman" w:hAnsi="Times New Roman" w:cs="Times New Roman"/>
          <w:sz w:val="28"/>
          <w:szCs w:val="28"/>
        </w:rPr>
        <w:t xml:space="preserve">-Estarse a lo resuelto en la sentencia C-540 de 2023 </w:t>
      </w:r>
    </w:p>
    <w:p w:rsidR="00F1370E" w:rsidRPr="00C050D9" w:rsidRDefault="00F1370E">
      <w:pPr>
        <w:widowControl w:val="0"/>
        <w:autoSpaceDE w:val="0"/>
        <w:autoSpaceDN w:val="0"/>
        <w:adjustRightInd w:val="0"/>
        <w:spacing w:after="0" w:line="240" w:lineRule="auto"/>
        <w:jc w:val="both"/>
        <w:rPr>
          <w:rFonts w:ascii="Times New Roman" w:hAnsi="Times New Roman" w:cs="Times New Roman"/>
          <w:sz w:val="28"/>
          <w:szCs w:val="28"/>
        </w:rPr>
      </w:pPr>
    </w:p>
    <w:p w:rsidR="00F1370E" w:rsidRPr="00C050D9" w:rsidRDefault="0048466B">
      <w:pPr>
        <w:widowControl w:val="0"/>
        <w:autoSpaceDE w:val="0"/>
        <w:autoSpaceDN w:val="0"/>
        <w:adjustRightInd w:val="0"/>
        <w:spacing w:after="0" w:line="240" w:lineRule="auto"/>
        <w:jc w:val="both"/>
        <w:rPr>
          <w:rFonts w:ascii="Times New Roman" w:hAnsi="Times New Roman" w:cs="Times New Roman"/>
          <w:sz w:val="28"/>
          <w:szCs w:val="28"/>
        </w:rPr>
      </w:pPr>
      <w:r w:rsidRPr="00C050D9">
        <w:rPr>
          <w:rFonts w:ascii="Times New Roman" w:hAnsi="Times New Roman" w:cs="Times New Roman"/>
          <w:b/>
          <w:bCs/>
          <w:sz w:val="28"/>
          <w:szCs w:val="28"/>
        </w:rPr>
        <w:t>COSA JUZGADA CONSTITUCIONAL FORMAL Y ABSOLUTA</w:t>
      </w:r>
      <w:r w:rsidRPr="00C050D9">
        <w:rPr>
          <w:rFonts w:ascii="Times New Roman" w:hAnsi="Times New Roman" w:cs="Times New Roman"/>
          <w:sz w:val="28"/>
          <w:szCs w:val="28"/>
        </w:rPr>
        <w:t xml:space="preserve">-Configuración </w:t>
      </w:r>
    </w:p>
    <w:p w:rsidR="00F1370E" w:rsidRPr="00C050D9" w:rsidRDefault="00F1370E">
      <w:pPr>
        <w:widowControl w:val="0"/>
        <w:autoSpaceDE w:val="0"/>
        <w:autoSpaceDN w:val="0"/>
        <w:adjustRightInd w:val="0"/>
        <w:spacing w:after="0" w:line="240" w:lineRule="auto"/>
        <w:jc w:val="both"/>
        <w:rPr>
          <w:rFonts w:ascii="Times New Roman" w:hAnsi="Times New Roman" w:cs="Times New Roman"/>
          <w:sz w:val="28"/>
          <w:szCs w:val="28"/>
        </w:rPr>
      </w:pPr>
    </w:p>
    <w:p w:rsidR="00F1370E" w:rsidRPr="00C050D9" w:rsidRDefault="0048466B">
      <w:pPr>
        <w:widowControl w:val="0"/>
        <w:autoSpaceDE w:val="0"/>
        <w:autoSpaceDN w:val="0"/>
        <w:adjustRightInd w:val="0"/>
        <w:spacing w:after="0" w:line="240" w:lineRule="auto"/>
        <w:jc w:val="both"/>
        <w:rPr>
          <w:rFonts w:ascii="Times New Roman" w:hAnsi="Times New Roman" w:cs="Times New Roman"/>
          <w:sz w:val="28"/>
          <w:szCs w:val="28"/>
        </w:rPr>
      </w:pPr>
      <w:r w:rsidRPr="00C050D9">
        <w:rPr>
          <w:rFonts w:ascii="Times New Roman" w:hAnsi="Times New Roman" w:cs="Times New Roman"/>
          <w:b/>
          <w:bCs/>
          <w:sz w:val="28"/>
          <w:szCs w:val="28"/>
        </w:rPr>
        <w:t>COSA JUZGADA FORMAL Y MATERIAL, COSA JUZGADA ABSOLUTA Y RELATIVA Y COSA JUZGADA APARENTE</w:t>
      </w:r>
      <w:r w:rsidRPr="00C050D9">
        <w:rPr>
          <w:rFonts w:ascii="Times New Roman" w:hAnsi="Times New Roman" w:cs="Times New Roman"/>
          <w:sz w:val="28"/>
          <w:szCs w:val="28"/>
        </w:rPr>
        <w:t xml:space="preserve">-Conceptos </w:t>
      </w:r>
    </w:p>
    <w:p w:rsidR="00F1370E" w:rsidRPr="00C050D9" w:rsidRDefault="00F1370E">
      <w:pPr>
        <w:widowControl w:val="0"/>
        <w:autoSpaceDE w:val="0"/>
        <w:autoSpaceDN w:val="0"/>
        <w:adjustRightInd w:val="0"/>
        <w:spacing w:after="0" w:line="240" w:lineRule="auto"/>
        <w:jc w:val="both"/>
        <w:rPr>
          <w:rFonts w:ascii="Times New Roman" w:hAnsi="Times New Roman" w:cs="Times New Roman"/>
          <w:sz w:val="28"/>
          <w:szCs w:val="28"/>
        </w:rPr>
      </w:pPr>
    </w:p>
    <w:p w:rsidR="00F1370E" w:rsidRPr="00C050D9" w:rsidRDefault="0048466B">
      <w:pPr>
        <w:widowControl w:val="0"/>
        <w:autoSpaceDE w:val="0"/>
        <w:autoSpaceDN w:val="0"/>
        <w:adjustRightInd w:val="0"/>
        <w:spacing w:after="0" w:line="240" w:lineRule="auto"/>
        <w:jc w:val="both"/>
        <w:rPr>
          <w:rFonts w:ascii="Times New Roman" w:hAnsi="Times New Roman" w:cs="Times New Roman"/>
          <w:sz w:val="28"/>
          <w:szCs w:val="28"/>
        </w:rPr>
      </w:pPr>
      <w:r w:rsidRPr="00C050D9">
        <w:rPr>
          <w:rFonts w:ascii="Times New Roman" w:hAnsi="Times New Roman" w:cs="Times New Roman"/>
          <w:b/>
          <w:bCs/>
          <w:sz w:val="28"/>
          <w:szCs w:val="28"/>
        </w:rPr>
        <w:t>INHIBICION DE LA CORTE CONSTITUCIONAL POR INEPTITUD SUSTANTIVA DE LA DEMANDA</w:t>
      </w:r>
      <w:r w:rsidRPr="00C050D9">
        <w:rPr>
          <w:rFonts w:ascii="Times New Roman" w:hAnsi="Times New Roman" w:cs="Times New Roman"/>
          <w:sz w:val="28"/>
          <w:szCs w:val="28"/>
        </w:rPr>
        <w:t xml:space="preserve">-Incumplimiento de requisitos de claridad, especificidad, pertinencia y suficiencia en los cargos </w:t>
      </w:r>
    </w:p>
    <w:p w:rsidR="00F1370E" w:rsidRPr="00C050D9" w:rsidRDefault="00F1370E">
      <w:pPr>
        <w:widowControl w:val="0"/>
        <w:autoSpaceDE w:val="0"/>
        <w:autoSpaceDN w:val="0"/>
        <w:adjustRightInd w:val="0"/>
        <w:spacing w:after="0" w:line="240" w:lineRule="auto"/>
        <w:jc w:val="both"/>
        <w:rPr>
          <w:rFonts w:ascii="Times New Roman" w:hAnsi="Times New Roman" w:cs="Times New Roman"/>
          <w:sz w:val="28"/>
          <w:szCs w:val="28"/>
        </w:rPr>
      </w:pPr>
    </w:p>
    <w:p w:rsidR="00F1370E" w:rsidRPr="00C050D9" w:rsidRDefault="00C050D9">
      <w:pPr>
        <w:widowControl w:val="0"/>
        <w:autoSpaceDE w:val="0"/>
        <w:autoSpaceDN w:val="0"/>
        <w:adjustRightInd w:val="0"/>
        <w:spacing w:after="0" w:line="240" w:lineRule="auto"/>
        <w:jc w:val="both"/>
        <w:rPr>
          <w:rFonts w:ascii="Times New Roman" w:hAnsi="Times New Roman" w:cs="Times New Roman"/>
          <w:sz w:val="28"/>
        </w:rPr>
      </w:pPr>
      <w:r w:rsidRPr="00C050D9">
        <w:rPr>
          <w:rFonts w:ascii="Times New Roman" w:hAnsi="Times New Roman" w:cs="Times New Roman"/>
          <w:sz w:val="28"/>
          <w:szCs w:val="28"/>
        </w:rPr>
        <w:pict>
          <v:rect id="_x0000_i1025" style="width:0;height:1.5pt" o:hralign="center" o:hrstd="t" o:hr="t" fillcolor="#a0a0a0" stroked="f"/>
        </w:pict>
      </w:r>
    </w:p>
    <w:p w:rsidR="00B22015" w:rsidRPr="00C050D9" w:rsidRDefault="00C050D9" w:rsidP="00EA4500">
      <w:pPr>
        <w:spacing w:after="0" w:line="240" w:lineRule="auto"/>
        <w:jc w:val="center"/>
        <w:rPr>
          <w:rFonts w:ascii="Times New Roman" w:hAnsi="Times New Roman" w:cs="Times New Roman"/>
          <w:b/>
          <w:sz w:val="28"/>
          <w:szCs w:val="28"/>
          <w:lang w:val="es-ES"/>
        </w:rPr>
      </w:pPr>
      <w:r w:rsidRPr="00C050D9">
        <w:rPr>
          <w:rFonts w:ascii="Times New Roman" w:hAnsi="Times New Roman" w:cs="Times New Roman"/>
          <w:b/>
          <w:sz w:val="28"/>
          <w:szCs w:val="28"/>
          <w:lang w:val="es-ES"/>
        </w:rPr>
        <w:t>REPÚBLICA DE C</w:t>
      </w:r>
      <w:r w:rsidRPr="00C050D9">
        <w:rPr>
          <w:rFonts w:ascii="Times New Roman" w:hAnsi="Times New Roman" w:cs="Times New Roman"/>
          <w:b/>
          <w:sz w:val="28"/>
          <w:szCs w:val="28"/>
          <w:lang w:val="es-ES"/>
        </w:rPr>
        <w:t>OLOMBIA</w:t>
      </w:r>
    </w:p>
    <w:p w:rsidR="00B22015" w:rsidRPr="00C050D9" w:rsidRDefault="00C050D9" w:rsidP="00EA4500">
      <w:pPr>
        <w:spacing w:after="0" w:line="240" w:lineRule="auto"/>
        <w:jc w:val="center"/>
        <w:rPr>
          <w:rFonts w:ascii="Times New Roman" w:hAnsi="Times New Roman" w:cs="Times New Roman"/>
          <w:b/>
          <w:sz w:val="28"/>
          <w:szCs w:val="28"/>
          <w:lang w:val="es-ES"/>
        </w:rPr>
      </w:pPr>
      <w:r w:rsidRPr="00C050D9">
        <w:rPr>
          <w:rFonts w:ascii="Times New Roman" w:hAnsi="Times New Roman" w:cs="Times New Roman"/>
          <w:b/>
          <w:noProof/>
          <w:sz w:val="28"/>
          <w:szCs w:val="28"/>
        </w:rPr>
        <w:drawing>
          <wp:inline distT="0" distB="0" distL="0" distR="0" wp14:anchorId="48B948E7" wp14:editId="5D393240">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r w:rsidRPr="00C050D9">
        <w:rPr>
          <w:rFonts w:ascii="Times New Roman" w:hAnsi="Times New Roman" w:cs="Times New Roman"/>
          <w:b/>
          <w:sz w:val="28"/>
          <w:szCs w:val="28"/>
          <w:lang w:val="es-ES"/>
        </w:rPr>
        <w:br/>
        <w:t>CORTE CONSTITUCIONAL</w:t>
      </w:r>
    </w:p>
    <w:p w:rsidR="00B22015" w:rsidRPr="00C050D9" w:rsidRDefault="00C050D9" w:rsidP="00EA4500">
      <w:pPr>
        <w:tabs>
          <w:tab w:val="left" w:pos="8789"/>
        </w:tabs>
        <w:spacing w:after="0" w:line="240" w:lineRule="auto"/>
        <w:ind w:right="51"/>
        <w:jc w:val="center"/>
        <w:rPr>
          <w:rFonts w:ascii="Times New Roman" w:hAnsi="Times New Roman" w:cs="Times New Roman"/>
          <w:b/>
          <w:sz w:val="28"/>
          <w:szCs w:val="28"/>
          <w:lang w:val="es-ES"/>
        </w:rPr>
      </w:pPr>
      <w:r w:rsidRPr="00C050D9">
        <w:rPr>
          <w:rFonts w:ascii="Times New Roman" w:hAnsi="Times New Roman" w:cs="Times New Roman"/>
          <w:b/>
          <w:sz w:val="28"/>
          <w:szCs w:val="28"/>
          <w:lang w:val="es-ES"/>
        </w:rPr>
        <w:t>Sala Plena</w:t>
      </w:r>
    </w:p>
    <w:p w:rsidR="00B22015" w:rsidRPr="00C050D9" w:rsidRDefault="00C050D9" w:rsidP="00843905">
      <w:pPr>
        <w:overflowPunct w:val="0"/>
        <w:autoSpaceDE w:val="0"/>
        <w:autoSpaceDN w:val="0"/>
        <w:adjustRightInd w:val="0"/>
        <w:spacing w:after="0" w:line="240" w:lineRule="auto"/>
        <w:jc w:val="center"/>
        <w:textAlignment w:val="baseline"/>
        <w:rPr>
          <w:rFonts w:ascii="Times New Roman" w:hAnsi="Times New Roman" w:cs="Times New Roman"/>
          <w:b/>
          <w:sz w:val="28"/>
          <w:szCs w:val="32"/>
          <w:lang w:val="es-ES_tradnl" w:eastAsia="es-ES"/>
        </w:rPr>
      </w:pPr>
    </w:p>
    <w:p w:rsidR="00845724" w:rsidRPr="00C050D9" w:rsidRDefault="00C050D9" w:rsidP="00843905">
      <w:pPr>
        <w:overflowPunct w:val="0"/>
        <w:autoSpaceDE w:val="0"/>
        <w:autoSpaceDN w:val="0"/>
        <w:adjustRightInd w:val="0"/>
        <w:spacing w:after="0" w:line="240" w:lineRule="auto"/>
        <w:jc w:val="center"/>
        <w:textAlignment w:val="baseline"/>
        <w:rPr>
          <w:rFonts w:ascii="Times New Roman" w:hAnsi="Times New Roman" w:cs="Times New Roman"/>
          <w:b/>
          <w:sz w:val="28"/>
          <w:szCs w:val="28"/>
          <w:lang w:val="es-ES_tradnl" w:eastAsia="es-ES"/>
        </w:rPr>
      </w:pPr>
      <w:r w:rsidRPr="00C050D9">
        <w:rPr>
          <w:rFonts w:ascii="Times New Roman" w:hAnsi="Times New Roman" w:cs="Times New Roman"/>
          <w:b/>
          <w:sz w:val="28"/>
          <w:szCs w:val="28"/>
          <w:lang w:val="es-ES_tradnl" w:eastAsia="es-ES"/>
        </w:rPr>
        <w:t>SENTENCIA C</w:t>
      </w:r>
      <w:r w:rsidRPr="00C050D9">
        <w:rPr>
          <w:rFonts w:ascii="Times New Roman" w:hAnsi="Times New Roman" w:cs="Times New Roman"/>
          <w:b/>
          <w:sz w:val="28"/>
          <w:szCs w:val="28"/>
          <w:lang w:val="es-ES_tradnl" w:eastAsia="es-ES"/>
        </w:rPr>
        <w:t>-</w:t>
      </w:r>
      <w:r w:rsidRPr="00C050D9">
        <w:rPr>
          <w:rFonts w:ascii="Times New Roman" w:hAnsi="Times New Roman" w:cs="Times New Roman"/>
          <w:b/>
          <w:sz w:val="28"/>
          <w:szCs w:val="28"/>
          <w:lang w:val="es-ES_tradnl" w:eastAsia="es-ES"/>
        </w:rPr>
        <w:t>094</w:t>
      </w:r>
      <w:r w:rsidRPr="00C050D9">
        <w:rPr>
          <w:rFonts w:ascii="Times New Roman" w:hAnsi="Times New Roman" w:cs="Times New Roman"/>
          <w:b/>
          <w:sz w:val="28"/>
          <w:szCs w:val="28"/>
          <w:lang w:val="es-ES_tradnl" w:eastAsia="es-ES"/>
        </w:rPr>
        <w:t xml:space="preserve"> </w:t>
      </w:r>
      <w:r w:rsidRPr="00C050D9">
        <w:rPr>
          <w:rFonts w:ascii="Times New Roman" w:hAnsi="Times New Roman" w:cs="Times New Roman"/>
          <w:b/>
          <w:sz w:val="28"/>
          <w:szCs w:val="28"/>
          <w:lang w:val="es-ES_tradnl" w:eastAsia="es-ES"/>
        </w:rPr>
        <w:t>DE 202</w:t>
      </w:r>
      <w:r w:rsidRPr="00C050D9">
        <w:rPr>
          <w:rFonts w:ascii="Times New Roman" w:hAnsi="Times New Roman" w:cs="Times New Roman"/>
          <w:b/>
          <w:sz w:val="28"/>
          <w:szCs w:val="28"/>
          <w:lang w:val="es-ES_tradnl" w:eastAsia="es-ES"/>
        </w:rPr>
        <w:t>4</w:t>
      </w:r>
      <w:r w:rsidRPr="00C050D9">
        <w:rPr>
          <w:rFonts w:ascii="Times New Roman" w:hAnsi="Times New Roman" w:cs="Times New Roman"/>
          <w:b/>
          <w:sz w:val="28"/>
          <w:szCs w:val="28"/>
          <w:lang w:val="es-ES_tradnl" w:eastAsia="es-ES"/>
        </w:rPr>
        <w:br/>
      </w:r>
    </w:p>
    <w:p w:rsidR="0091185F" w:rsidRPr="00C050D9" w:rsidRDefault="00C050D9" w:rsidP="0091185F">
      <w:pPr>
        <w:tabs>
          <w:tab w:val="left" w:pos="748"/>
          <w:tab w:val="left" w:pos="3366"/>
        </w:tabs>
        <w:overflowPunct w:val="0"/>
        <w:autoSpaceDE w:val="0"/>
        <w:autoSpaceDN w:val="0"/>
        <w:adjustRightInd w:val="0"/>
        <w:spacing w:after="0" w:line="240" w:lineRule="auto"/>
        <w:ind w:left="3261"/>
        <w:textAlignment w:val="baseline"/>
        <w:rPr>
          <w:rFonts w:ascii="Times New Roman" w:hAnsi="Times New Roman" w:cs="Times New Roman"/>
          <w:sz w:val="28"/>
          <w:szCs w:val="28"/>
          <w:lang w:val="es-ES_tradnl" w:eastAsia="es-MX"/>
        </w:rPr>
      </w:pPr>
      <w:bookmarkStart w:id="1" w:name="_Hlk90376388"/>
      <w:r w:rsidRPr="00C050D9">
        <w:rPr>
          <w:rFonts w:ascii="Times New Roman" w:hAnsi="Times New Roman" w:cs="Times New Roman"/>
          <w:b/>
          <w:bCs/>
          <w:sz w:val="28"/>
          <w:szCs w:val="28"/>
          <w:lang w:val="es-ES_tradnl" w:eastAsia="es-MX"/>
        </w:rPr>
        <w:t>Ref</w:t>
      </w:r>
      <w:r w:rsidRPr="00C050D9">
        <w:rPr>
          <w:rFonts w:ascii="Times New Roman" w:hAnsi="Times New Roman" w:cs="Times New Roman"/>
          <w:b/>
          <w:bCs/>
          <w:sz w:val="28"/>
          <w:szCs w:val="28"/>
          <w:lang w:val="es-ES_tradnl" w:eastAsia="es-MX"/>
        </w:rPr>
        <w:t>erencia</w:t>
      </w:r>
      <w:r w:rsidRPr="00C050D9">
        <w:rPr>
          <w:rFonts w:ascii="Times New Roman" w:hAnsi="Times New Roman" w:cs="Times New Roman"/>
          <w:b/>
          <w:bCs/>
          <w:sz w:val="28"/>
          <w:szCs w:val="28"/>
          <w:lang w:val="es-ES_tradnl" w:eastAsia="es-MX"/>
        </w:rPr>
        <w:t>:</w:t>
      </w:r>
      <w:r w:rsidRPr="00C050D9">
        <w:rPr>
          <w:rFonts w:ascii="Times New Roman" w:hAnsi="Times New Roman" w:cs="Times New Roman"/>
          <w:sz w:val="28"/>
          <w:szCs w:val="28"/>
          <w:lang w:val="es-ES_tradnl" w:eastAsia="es-MX"/>
        </w:rPr>
        <w:t xml:space="preserve"> Expediente</w:t>
      </w:r>
      <w:r w:rsidRPr="00C050D9">
        <w:rPr>
          <w:rFonts w:ascii="Times New Roman" w:hAnsi="Times New Roman" w:cs="Times New Roman"/>
          <w:sz w:val="28"/>
          <w:szCs w:val="28"/>
          <w:lang w:val="es-ES_tradnl" w:eastAsia="es-MX"/>
        </w:rPr>
        <w:t xml:space="preserve"> </w:t>
      </w:r>
      <w:r w:rsidRPr="00C050D9">
        <w:rPr>
          <w:rFonts w:ascii="Times New Roman" w:hAnsi="Times New Roman" w:cs="Times New Roman"/>
          <w:sz w:val="28"/>
          <w:szCs w:val="28"/>
          <w:lang w:val="es-ES_tradnl" w:eastAsia="es-MX"/>
        </w:rPr>
        <w:t>D-</w:t>
      </w:r>
      <w:r w:rsidRPr="00C050D9">
        <w:rPr>
          <w:rFonts w:ascii="Times New Roman" w:hAnsi="Times New Roman" w:cs="Times New Roman"/>
          <w:sz w:val="28"/>
          <w:szCs w:val="28"/>
          <w:lang w:val="es-ES_tradnl" w:eastAsia="es-MX"/>
        </w:rPr>
        <w:t>1</w:t>
      </w:r>
      <w:r w:rsidRPr="00C050D9">
        <w:rPr>
          <w:rFonts w:ascii="Times New Roman" w:hAnsi="Times New Roman" w:cs="Times New Roman"/>
          <w:sz w:val="28"/>
          <w:szCs w:val="28"/>
          <w:lang w:val="es-ES_tradnl" w:eastAsia="es-MX"/>
        </w:rPr>
        <w:t>5</w:t>
      </w:r>
      <w:r w:rsidRPr="00C050D9">
        <w:rPr>
          <w:rFonts w:ascii="Times New Roman" w:hAnsi="Times New Roman" w:cs="Times New Roman"/>
          <w:sz w:val="28"/>
          <w:szCs w:val="28"/>
          <w:lang w:val="es-ES_tradnl" w:eastAsia="es-MX"/>
        </w:rPr>
        <w:t>.</w:t>
      </w:r>
      <w:r w:rsidRPr="00C050D9">
        <w:rPr>
          <w:rFonts w:ascii="Times New Roman" w:hAnsi="Times New Roman" w:cs="Times New Roman"/>
          <w:sz w:val="28"/>
          <w:szCs w:val="28"/>
          <w:lang w:val="es-ES_tradnl" w:eastAsia="es-MX"/>
        </w:rPr>
        <w:t>2</w:t>
      </w:r>
      <w:r w:rsidRPr="00C050D9">
        <w:rPr>
          <w:rFonts w:ascii="Times New Roman" w:hAnsi="Times New Roman" w:cs="Times New Roman"/>
          <w:sz w:val="28"/>
          <w:szCs w:val="28"/>
          <w:lang w:val="es-ES_tradnl" w:eastAsia="es-MX"/>
        </w:rPr>
        <w:t>13</w:t>
      </w:r>
      <w:r w:rsidRPr="00C050D9">
        <w:rPr>
          <w:rFonts w:ascii="Times New Roman" w:hAnsi="Times New Roman" w:cs="Times New Roman"/>
          <w:sz w:val="28"/>
          <w:szCs w:val="28"/>
          <w:lang w:val="es-ES_tradnl" w:eastAsia="es-MX"/>
        </w:rPr>
        <w:t xml:space="preserve"> </w:t>
      </w:r>
    </w:p>
    <w:p w:rsidR="007B524A" w:rsidRPr="00C050D9" w:rsidRDefault="00C050D9" w:rsidP="007B524A">
      <w:pPr>
        <w:tabs>
          <w:tab w:val="left" w:pos="748"/>
          <w:tab w:val="left" w:pos="3960"/>
        </w:tabs>
        <w:overflowPunct w:val="0"/>
        <w:autoSpaceDE w:val="0"/>
        <w:autoSpaceDN w:val="0"/>
        <w:adjustRightInd w:val="0"/>
        <w:spacing w:after="0" w:line="240" w:lineRule="auto"/>
        <w:textAlignment w:val="baseline"/>
        <w:rPr>
          <w:rFonts w:ascii="Times New Roman" w:hAnsi="Times New Roman" w:cs="Times New Roman"/>
          <w:sz w:val="28"/>
          <w:szCs w:val="28"/>
          <w:lang w:val="es-ES_tradnl" w:eastAsia="es-MX"/>
        </w:rPr>
      </w:pPr>
    </w:p>
    <w:p w:rsidR="00415C72" w:rsidRPr="00C050D9" w:rsidRDefault="00C050D9" w:rsidP="00415C72">
      <w:pPr>
        <w:tabs>
          <w:tab w:val="left" w:pos="748"/>
          <w:tab w:val="left" w:pos="3960"/>
        </w:tabs>
        <w:overflowPunct w:val="0"/>
        <w:autoSpaceDE w:val="0"/>
        <w:autoSpaceDN w:val="0"/>
        <w:adjustRightInd w:val="0"/>
        <w:spacing w:after="0" w:line="240" w:lineRule="auto"/>
        <w:ind w:left="3261"/>
        <w:textAlignment w:val="baseline"/>
        <w:rPr>
          <w:rFonts w:ascii="Times New Roman" w:hAnsi="Times New Roman" w:cs="Times New Roman"/>
          <w:sz w:val="28"/>
          <w:szCs w:val="28"/>
          <w:lang w:eastAsia="es-MX"/>
        </w:rPr>
      </w:pPr>
      <w:r w:rsidRPr="00C050D9">
        <w:rPr>
          <w:rFonts w:ascii="Times New Roman" w:hAnsi="Times New Roman" w:cs="Times New Roman"/>
          <w:sz w:val="28"/>
          <w:szCs w:val="28"/>
          <w:lang w:eastAsia="es-MX"/>
        </w:rPr>
        <w:t xml:space="preserve">Demanda de inconstitucionalidad contra </w:t>
      </w:r>
      <w:r w:rsidRPr="00C050D9">
        <w:rPr>
          <w:rFonts w:ascii="Times New Roman" w:hAnsi="Times New Roman" w:cs="Times New Roman"/>
          <w:sz w:val="28"/>
          <w:szCs w:val="28"/>
          <w:lang w:val="es-ES_tradnl" w:eastAsia="es-MX"/>
        </w:rPr>
        <w:t>el parágrafo del artículo 3°, el artículo 42 y los numerales 4 y 5 del inciso 2° y del parágrafo 4° del artículo 44 de la Ley 2277 de 2022 «por medio de la cual se adopta una reforma tributaria para la igualdad y la justicia social y se dictan otras dispos</w:t>
      </w:r>
      <w:r w:rsidRPr="00C050D9">
        <w:rPr>
          <w:rFonts w:ascii="Times New Roman" w:hAnsi="Times New Roman" w:cs="Times New Roman"/>
          <w:sz w:val="28"/>
          <w:szCs w:val="28"/>
          <w:lang w:val="es-ES_tradnl" w:eastAsia="es-MX"/>
        </w:rPr>
        <w:t xml:space="preserve">iciones». </w:t>
      </w:r>
      <w:r w:rsidRPr="00C050D9">
        <w:rPr>
          <w:rFonts w:ascii="Times New Roman" w:hAnsi="Times New Roman" w:cs="Times New Roman"/>
          <w:sz w:val="28"/>
          <w:szCs w:val="28"/>
          <w:lang w:eastAsia="es-MX"/>
        </w:rPr>
        <w:t xml:space="preserve"> </w:t>
      </w:r>
    </w:p>
    <w:p w:rsidR="00415C72" w:rsidRPr="00C050D9" w:rsidRDefault="00C050D9" w:rsidP="00415C72">
      <w:pPr>
        <w:tabs>
          <w:tab w:val="left" w:pos="748"/>
          <w:tab w:val="left" w:pos="3960"/>
        </w:tabs>
        <w:overflowPunct w:val="0"/>
        <w:autoSpaceDE w:val="0"/>
        <w:autoSpaceDN w:val="0"/>
        <w:adjustRightInd w:val="0"/>
        <w:spacing w:after="0" w:line="240" w:lineRule="auto"/>
        <w:ind w:left="3261"/>
        <w:textAlignment w:val="baseline"/>
        <w:rPr>
          <w:rFonts w:ascii="Times New Roman" w:hAnsi="Times New Roman" w:cs="Times New Roman"/>
          <w:sz w:val="28"/>
          <w:szCs w:val="28"/>
          <w:lang w:eastAsia="es-MX"/>
        </w:rPr>
      </w:pPr>
    </w:p>
    <w:p w:rsidR="00415C72" w:rsidRPr="00C050D9" w:rsidRDefault="00C050D9" w:rsidP="00415C72">
      <w:pPr>
        <w:tabs>
          <w:tab w:val="left" w:pos="748"/>
          <w:tab w:val="left" w:pos="3960"/>
        </w:tabs>
        <w:overflowPunct w:val="0"/>
        <w:autoSpaceDE w:val="0"/>
        <w:autoSpaceDN w:val="0"/>
        <w:adjustRightInd w:val="0"/>
        <w:spacing w:after="0" w:line="240" w:lineRule="auto"/>
        <w:ind w:left="3261"/>
        <w:textAlignment w:val="baseline"/>
        <w:rPr>
          <w:rFonts w:ascii="Times New Roman" w:hAnsi="Times New Roman" w:cs="Times New Roman"/>
          <w:bCs/>
          <w:sz w:val="28"/>
          <w:szCs w:val="28"/>
          <w:lang w:val="es-ES_tradnl" w:eastAsia="es-MX"/>
        </w:rPr>
      </w:pPr>
      <w:r w:rsidRPr="00C050D9">
        <w:rPr>
          <w:rFonts w:ascii="Times New Roman" w:hAnsi="Times New Roman" w:cs="Times New Roman"/>
          <w:sz w:val="28"/>
          <w:szCs w:val="28"/>
          <w:lang w:eastAsia="es-MX"/>
        </w:rPr>
        <w:t xml:space="preserve">Demandantes: </w:t>
      </w:r>
      <w:r w:rsidRPr="00C050D9">
        <w:rPr>
          <w:rFonts w:ascii="Times New Roman" w:hAnsi="Times New Roman" w:cs="Times New Roman"/>
          <w:bCs/>
          <w:sz w:val="28"/>
          <w:szCs w:val="28"/>
          <w:lang w:val="es-ES_tradnl" w:eastAsia="es-MX"/>
        </w:rPr>
        <w:t>Felipe Zuluaga Gutiérrez, Paola Rodríguez Ramírez y Bernardo Henao Jaramillo.</w:t>
      </w:r>
    </w:p>
    <w:p w:rsidR="007B524A" w:rsidRPr="00C050D9" w:rsidRDefault="00C050D9" w:rsidP="007B524A">
      <w:pPr>
        <w:tabs>
          <w:tab w:val="left" w:pos="748"/>
          <w:tab w:val="left" w:pos="3960"/>
        </w:tabs>
        <w:overflowPunct w:val="0"/>
        <w:autoSpaceDE w:val="0"/>
        <w:autoSpaceDN w:val="0"/>
        <w:adjustRightInd w:val="0"/>
        <w:spacing w:after="0" w:line="240" w:lineRule="auto"/>
        <w:ind w:left="3261"/>
        <w:textAlignment w:val="baseline"/>
        <w:rPr>
          <w:rFonts w:ascii="Times New Roman" w:hAnsi="Times New Roman" w:cs="Times New Roman"/>
          <w:sz w:val="28"/>
          <w:szCs w:val="28"/>
          <w:lang w:eastAsia="es-MX"/>
        </w:rPr>
      </w:pPr>
    </w:p>
    <w:p w:rsidR="007B524A" w:rsidRPr="00C050D9" w:rsidRDefault="00C050D9" w:rsidP="007B524A">
      <w:pPr>
        <w:tabs>
          <w:tab w:val="left" w:pos="748"/>
          <w:tab w:val="left" w:pos="3960"/>
        </w:tabs>
        <w:overflowPunct w:val="0"/>
        <w:autoSpaceDE w:val="0"/>
        <w:autoSpaceDN w:val="0"/>
        <w:adjustRightInd w:val="0"/>
        <w:spacing w:after="0" w:line="240" w:lineRule="auto"/>
        <w:ind w:left="3261"/>
        <w:textAlignment w:val="baseline"/>
        <w:rPr>
          <w:rFonts w:ascii="Times New Roman" w:hAnsi="Times New Roman" w:cs="Times New Roman"/>
          <w:b/>
          <w:bCs/>
          <w:sz w:val="28"/>
          <w:szCs w:val="28"/>
          <w:lang w:val="es-ES_tradnl" w:eastAsia="es-MX"/>
        </w:rPr>
      </w:pPr>
      <w:r w:rsidRPr="00C050D9">
        <w:rPr>
          <w:rFonts w:ascii="Times New Roman" w:hAnsi="Times New Roman" w:cs="Times New Roman"/>
          <w:b/>
          <w:bCs/>
          <w:sz w:val="28"/>
          <w:szCs w:val="28"/>
          <w:lang w:val="es-ES_tradnl" w:eastAsia="es-MX"/>
        </w:rPr>
        <w:t>Magistrada Ponente</w:t>
      </w:r>
    </w:p>
    <w:p w:rsidR="007B524A" w:rsidRPr="00C050D9" w:rsidRDefault="00C050D9" w:rsidP="007B524A">
      <w:pPr>
        <w:tabs>
          <w:tab w:val="left" w:pos="748"/>
          <w:tab w:val="left" w:pos="3960"/>
        </w:tabs>
        <w:overflowPunct w:val="0"/>
        <w:autoSpaceDE w:val="0"/>
        <w:autoSpaceDN w:val="0"/>
        <w:adjustRightInd w:val="0"/>
        <w:spacing w:after="0" w:line="240" w:lineRule="auto"/>
        <w:ind w:left="3261"/>
        <w:textAlignment w:val="baseline"/>
        <w:rPr>
          <w:rFonts w:ascii="Times New Roman" w:hAnsi="Times New Roman" w:cs="Times New Roman"/>
          <w:sz w:val="28"/>
          <w:szCs w:val="28"/>
          <w:lang w:val="es-ES_tradnl" w:eastAsia="es-MX"/>
        </w:rPr>
      </w:pPr>
      <w:r w:rsidRPr="00C050D9">
        <w:rPr>
          <w:rFonts w:ascii="Times New Roman" w:hAnsi="Times New Roman" w:cs="Times New Roman"/>
          <w:sz w:val="28"/>
          <w:szCs w:val="28"/>
          <w:lang w:val="es-ES_tradnl" w:eastAsia="es-MX"/>
        </w:rPr>
        <w:t>CRISTINA PARDO SCHLESINGER</w:t>
      </w:r>
    </w:p>
    <w:p w:rsidR="007B524A" w:rsidRPr="00C050D9" w:rsidRDefault="00C050D9" w:rsidP="00843905">
      <w:pPr>
        <w:tabs>
          <w:tab w:val="left" w:pos="748"/>
          <w:tab w:val="left" w:pos="3960"/>
        </w:tabs>
        <w:overflowPunct w:val="0"/>
        <w:autoSpaceDE w:val="0"/>
        <w:autoSpaceDN w:val="0"/>
        <w:adjustRightInd w:val="0"/>
        <w:spacing w:after="0" w:line="240" w:lineRule="auto"/>
        <w:ind w:left="3261"/>
        <w:textAlignment w:val="baseline"/>
        <w:rPr>
          <w:rFonts w:ascii="Times New Roman" w:hAnsi="Times New Roman" w:cs="Times New Roman"/>
          <w:sz w:val="28"/>
          <w:szCs w:val="28"/>
          <w:lang w:val="es-ES_tradnl" w:eastAsia="es-MX"/>
        </w:rPr>
      </w:pPr>
    </w:p>
    <w:bookmarkEnd w:id="1"/>
    <w:p w:rsidR="003F2558" w:rsidRPr="00C050D9" w:rsidRDefault="00C050D9" w:rsidP="007B524A">
      <w:pPr>
        <w:spacing w:after="0" w:line="240" w:lineRule="auto"/>
        <w:ind w:right="53"/>
        <w:rPr>
          <w:rFonts w:ascii="Times New Roman" w:hAnsi="Times New Roman" w:cs="Times New Roman"/>
          <w:sz w:val="28"/>
          <w:szCs w:val="28"/>
        </w:rPr>
      </w:pPr>
    </w:p>
    <w:p w:rsidR="003F2558" w:rsidRPr="00C050D9" w:rsidRDefault="00C050D9" w:rsidP="003F2558">
      <w:pPr>
        <w:spacing w:after="0" w:line="240" w:lineRule="auto"/>
        <w:ind w:left="50" w:right="53" w:hanging="5"/>
        <w:rPr>
          <w:rFonts w:ascii="Times New Roman" w:hAnsi="Times New Roman" w:cs="Times New Roman"/>
          <w:sz w:val="28"/>
          <w:szCs w:val="28"/>
        </w:rPr>
      </w:pPr>
      <w:r w:rsidRPr="00C050D9">
        <w:rPr>
          <w:rFonts w:ascii="Times New Roman" w:hAnsi="Times New Roman" w:cs="Times New Roman"/>
          <w:sz w:val="28"/>
          <w:szCs w:val="28"/>
        </w:rPr>
        <w:t>Bogotá, D.C.,</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tres</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03</w:t>
      </w:r>
      <w:r w:rsidRPr="00C050D9">
        <w:rPr>
          <w:rFonts w:ascii="Times New Roman" w:hAnsi="Times New Roman" w:cs="Times New Roman"/>
          <w:sz w:val="28"/>
          <w:szCs w:val="28"/>
        </w:rPr>
        <w:t xml:space="preserve">) de </w:t>
      </w:r>
      <w:r w:rsidRPr="00C050D9">
        <w:rPr>
          <w:rFonts w:ascii="Times New Roman" w:hAnsi="Times New Roman" w:cs="Times New Roman"/>
          <w:sz w:val="28"/>
          <w:szCs w:val="28"/>
        </w:rPr>
        <w:t>abril</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 xml:space="preserve">de dos mil </w:t>
      </w:r>
      <w:r w:rsidRPr="00C050D9">
        <w:rPr>
          <w:rFonts w:ascii="Times New Roman" w:hAnsi="Times New Roman" w:cs="Times New Roman"/>
          <w:sz w:val="28"/>
          <w:szCs w:val="28"/>
        </w:rPr>
        <w:t>veinti</w:t>
      </w:r>
      <w:r w:rsidRPr="00C050D9">
        <w:rPr>
          <w:rFonts w:ascii="Times New Roman" w:hAnsi="Times New Roman" w:cs="Times New Roman"/>
          <w:sz w:val="28"/>
          <w:szCs w:val="28"/>
        </w:rPr>
        <w:t>cuatro</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(202</w:t>
      </w:r>
      <w:r w:rsidRPr="00C050D9">
        <w:rPr>
          <w:rFonts w:ascii="Times New Roman" w:hAnsi="Times New Roman" w:cs="Times New Roman"/>
          <w:sz w:val="28"/>
          <w:szCs w:val="28"/>
        </w:rPr>
        <w:t>4</w:t>
      </w:r>
      <w:r w:rsidRPr="00C050D9">
        <w:rPr>
          <w:rFonts w:ascii="Times New Roman" w:hAnsi="Times New Roman" w:cs="Times New Roman"/>
          <w:sz w:val="28"/>
          <w:szCs w:val="28"/>
        </w:rPr>
        <w:t>).</w:t>
      </w:r>
    </w:p>
    <w:p w:rsidR="003F2558" w:rsidRPr="00C050D9" w:rsidRDefault="00C050D9" w:rsidP="003F2558">
      <w:pPr>
        <w:spacing w:after="0" w:line="240" w:lineRule="auto"/>
        <w:ind w:left="50" w:right="53" w:hanging="5"/>
        <w:rPr>
          <w:rFonts w:ascii="Times New Roman" w:hAnsi="Times New Roman" w:cs="Times New Roman"/>
          <w:sz w:val="28"/>
          <w:szCs w:val="28"/>
        </w:rPr>
      </w:pPr>
    </w:p>
    <w:p w:rsidR="00BB3728" w:rsidRPr="00C050D9" w:rsidRDefault="00C050D9" w:rsidP="00BB3728">
      <w:pPr>
        <w:overflowPunct w:val="0"/>
        <w:autoSpaceDE w:val="0"/>
        <w:autoSpaceDN w:val="0"/>
        <w:adjustRightInd w:val="0"/>
        <w:spacing w:after="0" w:line="240" w:lineRule="auto"/>
        <w:textAlignment w:val="baseline"/>
        <w:rPr>
          <w:rFonts w:ascii="Times New Roman" w:hAnsi="Times New Roman" w:cs="Times New Roman"/>
          <w:sz w:val="28"/>
          <w:szCs w:val="20"/>
          <w:lang w:val="es-ES_tradnl" w:eastAsia="es-MX"/>
        </w:rPr>
      </w:pPr>
      <w:r w:rsidRPr="00C050D9">
        <w:rPr>
          <w:rFonts w:ascii="Times New Roman" w:hAnsi="Times New Roman" w:cs="Times New Roman"/>
          <w:sz w:val="28"/>
          <w:szCs w:val="20"/>
          <w:lang w:val="es-ES_tradnl" w:eastAsia="es-MX"/>
        </w:rPr>
        <w:t xml:space="preserve">La Sala Plena de la Corte </w:t>
      </w:r>
      <w:r w:rsidRPr="00C050D9">
        <w:rPr>
          <w:rFonts w:ascii="Times New Roman" w:hAnsi="Times New Roman" w:cs="Times New Roman"/>
          <w:sz w:val="28"/>
          <w:szCs w:val="20"/>
          <w:lang w:val="es-ES_tradnl" w:eastAsia="es-MX"/>
        </w:rPr>
        <w:t>Constitucional, en ejercicio de sus atribuciones constitucionales y en cumplimiento de los requisitos y trámites establecidos, en el Decreto 2067 de 1991, ha proferido la siguiente</w:t>
      </w:r>
    </w:p>
    <w:p w:rsidR="003F2558" w:rsidRPr="00C050D9" w:rsidRDefault="00C050D9" w:rsidP="003F2558">
      <w:pPr>
        <w:spacing w:after="0" w:line="240" w:lineRule="auto"/>
        <w:ind w:left="50" w:right="53" w:hanging="5"/>
        <w:rPr>
          <w:rFonts w:ascii="Times New Roman" w:hAnsi="Times New Roman" w:cs="Times New Roman"/>
          <w:sz w:val="28"/>
          <w:szCs w:val="28"/>
        </w:rPr>
      </w:pPr>
    </w:p>
    <w:p w:rsidR="00BB3728" w:rsidRPr="00C050D9" w:rsidRDefault="00C050D9" w:rsidP="00BB3728">
      <w:pPr>
        <w:spacing w:after="0" w:line="240" w:lineRule="auto"/>
        <w:ind w:left="45" w:right="53"/>
        <w:jc w:val="center"/>
        <w:rPr>
          <w:rFonts w:ascii="Times New Roman" w:hAnsi="Times New Roman" w:cs="Times New Roman"/>
          <w:b/>
          <w:bCs/>
          <w:sz w:val="28"/>
          <w:szCs w:val="28"/>
        </w:rPr>
      </w:pPr>
      <w:r w:rsidRPr="00C050D9">
        <w:rPr>
          <w:rFonts w:ascii="Times New Roman" w:hAnsi="Times New Roman" w:cs="Times New Roman"/>
          <w:b/>
          <w:bCs/>
          <w:sz w:val="28"/>
          <w:szCs w:val="28"/>
        </w:rPr>
        <w:t>SENTENCIA</w:t>
      </w:r>
    </w:p>
    <w:p w:rsidR="00BB3728" w:rsidRPr="00C050D9" w:rsidRDefault="00C050D9" w:rsidP="004114EF">
      <w:pPr>
        <w:spacing w:after="0" w:line="240" w:lineRule="auto"/>
        <w:ind w:right="53"/>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8779"/>
      </w:tblGrid>
      <w:tr w:rsidR="004114EF" w:rsidRPr="00C050D9" w:rsidTr="004114EF">
        <w:tc>
          <w:tcPr>
            <w:tcW w:w="8779" w:type="dxa"/>
          </w:tcPr>
          <w:p w:rsidR="004114EF" w:rsidRPr="00C050D9" w:rsidRDefault="00C050D9" w:rsidP="004114EF">
            <w:pPr>
              <w:ind w:right="49"/>
              <w:rPr>
                <w:rFonts w:ascii="Times New Roman" w:hAnsi="Times New Roman" w:cs="Times New Roman"/>
                <w:b/>
                <w:bCs/>
                <w:iCs/>
                <w:sz w:val="28"/>
                <w:szCs w:val="28"/>
                <w:shd w:val="clear" w:color="auto" w:fill="FFFFFF"/>
                <w:lang w:val="es-ES_tradnl"/>
              </w:rPr>
            </w:pPr>
            <w:r w:rsidRPr="00C050D9">
              <w:rPr>
                <w:rFonts w:ascii="Times New Roman" w:hAnsi="Times New Roman" w:cs="Times New Roman"/>
                <w:b/>
                <w:bCs/>
                <w:iCs/>
                <w:sz w:val="28"/>
                <w:szCs w:val="28"/>
                <w:shd w:val="clear" w:color="auto" w:fill="FFFFFF"/>
                <w:lang w:val="es-ES_tradnl"/>
              </w:rPr>
              <w:t>Síntesis de la decisión</w:t>
            </w:r>
          </w:p>
          <w:p w:rsidR="004114EF" w:rsidRPr="00C050D9" w:rsidRDefault="00C050D9" w:rsidP="004114EF">
            <w:pPr>
              <w:ind w:right="49"/>
              <w:rPr>
                <w:rFonts w:ascii="Times New Roman" w:hAnsi="Times New Roman" w:cs="Times New Roman"/>
                <w:sz w:val="28"/>
                <w:szCs w:val="28"/>
                <w:shd w:val="clear" w:color="auto" w:fill="FFFFFF"/>
                <w:lang w:val="es-ES_tradnl"/>
              </w:rPr>
            </w:pPr>
          </w:p>
          <w:p w:rsidR="004114EF" w:rsidRPr="00C050D9" w:rsidRDefault="00C050D9" w:rsidP="00241AA8">
            <w:pPr>
              <w:pStyle w:val="Prrafodelista"/>
              <w:tabs>
                <w:tab w:val="left" w:pos="426"/>
              </w:tabs>
              <w:autoSpaceDE w:val="0"/>
              <w:autoSpaceDN w:val="0"/>
              <w:adjustRightInd w:val="0"/>
              <w:ind w:left="0" w:right="51"/>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La Sala Plena estudió una demanda de i</w:t>
            </w:r>
            <w:r w:rsidRPr="00C050D9">
              <w:rPr>
                <w:rFonts w:ascii="Times New Roman" w:hAnsi="Times New Roman" w:cs="Times New Roman"/>
                <w:sz w:val="28"/>
                <w:szCs w:val="28"/>
                <w:lang w:val="es-ES_tradnl"/>
              </w:rPr>
              <w:t xml:space="preserve">nconstitucionalidad contra </w:t>
            </w:r>
            <w:r w:rsidRPr="00C050D9">
              <w:rPr>
                <w:rFonts w:ascii="Times New Roman" w:hAnsi="Times New Roman" w:cs="Times New Roman"/>
                <w:sz w:val="28"/>
                <w:szCs w:val="28"/>
                <w:lang w:val="es-ES_tradnl" w:eastAsia="es-ES"/>
              </w:rPr>
              <w:t>del primer inciso del artículo 42 y los numerales 4 y 5, tanto del primer inciso como del parágrafo, del artículo 44 y del parágrafo del artículo 3 de la Ley 2277 de 2022, por la vulneración de los principios tributarios dispuestos en los artículos 13, 95.</w:t>
            </w:r>
            <w:r w:rsidRPr="00C050D9">
              <w:rPr>
                <w:rFonts w:ascii="Times New Roman" w:hAnsi="Times New Roman" w:cs="Times New Roman"/>
                <w:sz w:val="28"/>
                <w:szCs w:val="28"/>
                <w:lang w:val="es-ES_tradnl" w:eastAsia="es-ES"/>
              </w:rPr>
              <w:t xml:space="preserve">9 y 363 de la Constitución Política. En cuanto al primer cargo, los demandantes argumentaron que las normas atacadas </w:t>
            </w:r>
            <w:r w:rsidRPr="00C050D9">
              <w:rPr>
                <w:rFonts w:ascii="Times New Roman" w:hAnsi="Times New Roman" w:cs="Times New Roman"/>
                <w:sz w:val="28"/>
                <w:szCs w:val="28"/>
                <w:lang w:val="es-ES_tradnl"/>
              </w:rPr>
              <w:t>establecen un trato discriminatorio entre personas naturales y jurídicas que realizan actividades económicas similares (profesiones liberal</w:t>
            </w:r>
            <w:r w:rsidRPr="00C050D9">
              <w:rPr>
                <w:rFonts w:ascii="Times New Roman" w:hAnsi="Times New Roman" w:cs="Times New Roman"/>
                <w:sz w:val="28"/>
                <w:szCs w:val="28"/>
                <w:lang w:val="es-ES_tradnl"/>
              </w:rPr>
              <w:t xml:space="preserve">es). En cuanto al segundo cargo, el relacionado con el parágrafo del artículo 3 de la Ley 2277 de 2022, los demandantes afirmaron que la retención de la fuente del 15% sobre los dividendos generaba un pago siempre superior sobre el valor de la declaración </w:t>
            </w:r>
            <w:r w:rsidRPr="00C050D9">
              <w:rPr>
                <w:rFonts w:ascii="Times New Roman" w:hAnsi="Times New Roman" w:cs="Times New Roman"/>
                <w:sz w:val="28"/>
                <w:szCs w:val="28"/>
                <w:lang w:val="es-ES_tradnl"/>
              </w:rPr>
              <w:t>de la renta. Con base en ello, se configuraba una carga pública excesiva obligar a los contribuyentes que únicamente tiene ingresos por concepto de dividendos</w:t>
            </w:r>
            <w:r w:rsidRPr="00C050D9">
              <w:rPr>
                <w:rFonts w:ascii="Times New Roman" w:hAnsi="Times New Roman" w:cs="Times New Roman"/>
                <w:sz w:val="28"/>
                <w:szCs w:val="28"/>
                <w:lang w:val="es-ES_tradnl"/>
              </w:rPr>
              <w:t>,</w:t>
            </w:r>
            <w:r w:rsidRPr="00C050D9">
              <w:rPr>
                <w:rFonts w:ascii="Times New Roman" w:hAnsi="Times New Roman" w:cs="Times New Roman"/>
                <w:sz w:val="28"/>
                <w:szCs w:val="28"/>
                <w:lang w:val="es-ES_tradnl"/>
              </w:rPr>
              <w:t xml:space="preserve"> solicitar la devolución o compensación de los saldos a su favor.</w:t>
            </w:r>
          </w:p>
          <w:p w:rsidR="004114EF" w:rsidRPr="00C050D9" w:rsidRDefault="00C050D9" w:rsidP="004114EF">
            <w:pPr>
              <w:pStyle w:val="Prrafodelista"/>
              <w:tabs>
                <w:tab w:val="left" w:pos="426"/>
              </w:tabs>
              <w:autoSpaceDE w:val="0"/>
              <w:autoSpaceDN w:val="0"/>
              <w:adjustRightInd w:val="0"/>
              <w:ind w:left="0" w:right="51"/>
              <w:rPr>
                <w:rFonts w:ascii="Times New Roman" w:hAnsi="Times New Roman" w:cs="Times New Roman"/>
                <w:sz w:val="28"/>
                <w:szCs w:val="28"/>
                <w:lang w:val="es-ES_tradnl"/>
              </w:rPr>
            </w:pPr>
          </w:p>
          <w:p w:rsidR="004114EF" w:rsidRPr="00C050D9" w:rsidRDefault="00C050D9" w:rsidP="00241AA8">
            <w:pPr>
              <w:pStyle w:val="Prrafodelista"/>
              <w:tabs>
                <w:tab w:val="left" w:pos="426"/>
              </w:tabs>
              <w:autoSpaceDE w:val="0"/>
              <w:autoSpaceDN w:val="0"/>
              <w:adjustRightInd w:val="0"/>
              <w:ind w:left="0" w:right="51"/>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 xml:space="preserve">Para resolver los cargos </w:t>
            </w:r>
            <w:r w:rsidRPr="00C050D9">
              <w:rPr>
                <w:rFonts w:ascii="Times New Roman" w:hAnsi="Times New Roman" w:cs="Times New Roman"/>
                <w:sz w:val="28"/>
                <w:szCs w:val="28"/>
                <w:lang w:val="es-ES_tradnl"/>
              </w:rPr>
              <w:t>propuestos por los demandantes, la Sala</w:t>
            </w:r>
            <w:r w:rsidRPr="00C050D9">
              <w:rPr>
                <w:rFonts w:ascii="Times New Roman" w:hAnsi="Times New Roman" w:cs="Times New Roman"/>
                <w:sz w:val="28"/>
                <w:szCs w:val="28"/>
                <w:lang w:val="es-ES_tradnl"/>
              </w:rPr>
              <w:t xml:space="preserve"> abordó dos asuntos preliminares: (i) la cosa juzgada constitucional respecto de la sentencia C-540 de 2023 y (ii) la aptitud del cargo contra el parágrafo del artículo 3° de la Ley 2277 de 2022. Sobre el primer asunt</w:t>
            </w:r>
            <w:r w:rsidRPr="00C050D9">
              <w:rPr>
                <w:rFonts w:ascii="Times New Roman" w:hAnsi="Times New Roman" w:cs="Times New Roman"/>
                <w:sz w:val="28"/>
                <w:szCs w:val="28"/>
                <w:lang w:val="es-ES_tradnl"/>
              </w:rPr>
              <w:t>o, l</w:t>
            </w:r>
            <w:r w:rsidRPr="00C050D9">
              <w:rPr>
                <w:rFonts w:ascii="Times New Roman" w:hAnsi="Times New Roman" w:cs="Times New Roman"/>
                <w:sz w:val="28"/>
                <w:szCs w:val="28"/>
                <w:lang w:val="es-ES_tradnl"/>
              </w:rPr>
              <w:t>a Sala Plena consideró que respecto del primer cargo existía cosa juzgada absoluta, toda vez que en la sentencia C-540 de 2023 se declararon inexequibles las mismas normas atacadas en esta oportunidad. De tal forma, concluyó que debía estarse a lo resu</w:t>
            </w:r>
            <w:r w:rsidRPr="00C050D9">
              <w:rPr>
                <w:rFonts w:ascii="Times New Roman" w:hAnsi="Times New Roman" w:cs="Times New Roman"/>
                <w:sz w:val="28"/>
                <w:szCs w:val="28"/>
                <w:lang w:val="es-ES_tradnl"/>
              </w:rPr>
              <w:t>elto de aquella providencia.</w:t>
            </w:r>
          </w:p>
          <w:p w:rsidR="004114EF" w:rsidRPr="00C050D9" w:rsidRDefault="00C050D9" w:rsidP="004114EF">
            <w:pPr>
              <w:pStyle w:val="Prrafodelista"/>
              <w:rPr>
                <w:rFonts w:ascii="Times New Roman" w:hAnsi="Times New Roman" w:cs="Times New Roman"/>
                <w:sz w:val="28"/>
                <w:szCs w:val="28"/>
                <w:lang w:val="es-ES_tradnl"/>
              </w:rPr>
            </w:pPr>
          </w:p>
          <w:p w:rsidR="004114EF" w:rsidRPr="00C050D9" w:rsidRDefault="00C050D9" w:rsidP="0053111F">
            <w:pPr>
              <w:pStyle w:val="Prrafodelista"/>
              <w:tabs>
                <w:tab w:val="left" w:pos="426"/>
              </w:tabs>
              <w:autoSpaceDE w:val="0"/>
              <w:autoSpaceDN w:val="0"/>
              <w:adjustRightInd w:val="0"/>
              <w:ind w:left="0" w:right="51"/>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Finalmente, en cuanto al cargo dirigido contra el parágrafo del artículo 3° de la Ley 2277 de 2022, la Sala Plena consideró que no cumplía con razones claras, específicas, pertinentes y suficientes para considerar el cargo apt</w:t>
            </w:r>
            <w:r w:rsidRPr="00C050D9">
              <w:rPr>
                <w:rFonts w:ascii="Times New Roman" w:hAnsi="Times New Roman" w:cs="Times New Roman"/>
                <w:sz w:val="28"/>
                <w:szCs w:val="28"/>
                <w:lang w:val="es-ES_tradnl"/>
              </w:rPr>
              <w:t xml:space="preserve">o por la violación de los artículos 95.9 y 363 de la Constitución Políticas, y por tanto, se declaró inhibida para fallar. </w:t>
            </w:r>
          </w:p>
          <w:p w:rsidR="004114EF" w:rsidRPr="00C050D9" w:rsidRDefault="00C050D9" w:rsidP="004114EF">
            <w:pPr>
              <w:ind w:right="53"/>
              <w:rPr>
                <w:rFonts w:ascii="Times New Roman" w:hAnsi="Times New Roman" w:cs="Times New Roman"/>
                <w:sz w:val="28"/>
                <w:szCs w:val="28"/>
              </w:rPr>
            </w:pPr>
          </w:p>
        </w:tc>
      </w:tr>
    </w:tbl>
    <w:p w:rsidR="004114EF" w:rsidRPr="00C050D9" w:rsidRDefault="00C050D9" w:rsidP="004114EF">
      <w:pPr>
        <w:spacing w:after="0" w:line="240" w:lineRule="auto"/>
        <w:ind w:right="53"/>
        <w:rPr>
          <w:rFonts w:ascii="Times New Roman" w:hAnsi="Times New Roman" w:cs="Times New Roman"/>
          <w:sz w:val="28"/>
          <w:szCs w:val="28"/>
        </w:rPr>
      </w:pPr>
    </w:p>
    <w:p w:rsidR="0053111F" w:rsidRPr="00C050D9" w:rsidRDefault="00C050D9" w:rsidP="004114EF">
      <w:pPr>
        <w:spacing w:after="0" w:line="240" w:lineRule="auto"/>
        <w:ind w:right="53"/>
        <w:rPr>
          <w:rFonts w:ascii="Times New Roman" w:hAnsi="Times New Roman" w:cs="Times New Roman"/>
          <w:sz w:val="28"/>
          <w:szCs w:val="28"/>
        </w:rPr>
      </w:pPr>
    </w:p>
    <w:p w:rsidR="003F2558" w:rsidRPr="00C050D9" w:rsidRDefault="00C050D9" w:rsidP="005C2406">
      <w:pPr>
        <w:pStyle w:val="Prrafodelista"/>
        <w:numPr>
          <w:ilvl w:val="0"/>
          <w:numId w:val="1"/>
        </w:numPr>
        <w:spacing w:after="0" w:line="240" w:lineRule="auto"/>
        <w:ind w:left="567" w:hanging="567"/>
        <w:rPr>
          <w:rFonts w:ascii="Times New Roman" w:hAnsi="Times New Roman" w:cs="Times New Roman"/>
          <w:b/>
          <w:bCs/>
          <w:sz w:val="28"/>
          <w:szCs w:val="28"/>
        </w:rPr>
      </w:pPr>
      <w:r w:rsidRPr="00C050D9">
        <w:rPr>
          <w:rFonts w:ascii="Times New Roman" w:hAnsi="Times New Roman" w:cs="Times New Roman"/>
          <w:b/>
          <w:bCs/>
          <w:sz w:val="28"/>
          <w:szCs w:val="28"/>
        </w:rPr>
        <w:t>ANTECEDENTES</w:t>
      </w:r>
    </w:p>
    <w:p w:rsidR="00415C72" w:rsidRPr="00C050D9" w:rsidRDefault="00C050D9" w:rsidP="00415C72">
      <w:pPr>
        <w:spacing w:after="0" w:line="240" w:lineRule="auto"/>
        <w:rPr>
          <w:rFonts w:ascii="Times New Roman" w:hAnsi="Times New Roman" w:cs="Times New Roman"/>
          <w:sz w:val="28"/>
          <w:szCs w:val="28"/>
        </w:rPr>
      </w:pPr>
    </w:p>
    <w:p w:rsidR="00415C72" w:rsidRPr="00C050D9" w:rsidRDefault="00C050D9" w:rsidP="00415C72">
      <w:pPr>
        <w:numPr>
          <w:ilvl w:val="0"/>
          <w:numId w:val="2"/>
        </w:numPr>
        <w:tabs>
          <w:tab w:val="left" w:pos="0"/>
          <w:tab w:val="num" w:pos="284"/>
          <w:tab w:val="num"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eastAsia="es-MX"/>
        </w:rPr>
      </w:pPr>
      <w:r w:rsidRPr="00C050D9">
        <w:rPr>
          <w:rFonts w:ascii="Times New Roman" w:hAnsi="Times New Roman" w:cs="Times New Roman"/>
          <w:sz w:val="28"/>
          <w:szCs w:val="28"/>
          <w:lang w:val="es-ES_tradnl" w:eastAsia="es-MX"/>
        </w:rPr>
        <w:t xml:space="preserve">En ejercicio de la </w:t>
      </w:r>
      <w:bookmarkStart w:id="2" w:name="_Hlk87254159"/>
      <w:r w:rsidRPr="00C050D9">
        <w:rPr>
          <w:rFonts w:ascii="Times New Roman" w:hAnsi="Times New Roman" w:cs="Times New Roman"/>
          <w:sz w:val="28"/>
          <w:szCs w:val="28"/>
          <w:lang w:val="es-ES_tradnl" w:eastAsia="es-MX"/>
        </w:rPr>
        <w:t>acción pública de inconstitucionalidad</w:t>
      </w:r>
      <w:bookmarkStart w:id="3" w:name="_Hlk78448939"/>
      <w:r w:rsidRPr="00C050D9">
        <w:rPr>
          <w:rFonts w:ascii="Times New Roman" w:hAnsi="Times New Roman" w:cs="Times New Roman"/>
          <w:sz w:val="28"/>
          <w:szCs w:val="28"/>
          <w:lang w:val="es-ES_tradnl" w:eastAsia="es-MX"/>
        </w:rPr>
        <w:t xml:space="preserve"> </w:t>
      </w:r>
      <w:bookmarkStart w:id="4" w:name="_Hlk112925937"/>
      <w:bookmarkStart w:id="5" w:name="_Hlk102571620"/>
      <w:r w:rsidRPr="00C050D9">
        <w:rPr>
          <w:rFonts w:ascii="Times New Roman" w:hAnsi="Times New Roman" w:cs="Times New Roman"/>
          <w:sz w:val="28"/>
          <w:szCs w:val="28"/>
          <w:lang w:val="es-ES_tradnl" w:eastAsia="es-MX"/>
        </w:rPr>
        <w:t>los ciudadanos Felipe Zuluaga Gutiérrez, Paola Rodríguez</w:t>
      </w:r>
      <w:r w:rsidRPr="00C050D9">
        <w:rPr>
          <w:rFonts w:ascii="Times New Roman" w:hAnsi="Times New Roman" w:cs="Times New Roman"/>
          <w:sz w:val="28"/>
          <w:szCs w:val="28"/>
          <w:lang w:val="es-ES_tradnl" w:eastAsia="es-MX"/>
        </w:rPr>
        <w:t xml:space="preserve"> Ramírez y Bernardo Henao Jaramillo demandaron el parágrafo del artículo 3°, el parágrafo 6° del artículo 10, el artículo 42 y los numerales 4 y 5 del inciso 2° y del parágrafo 4° del artículo 44 de la Ley 2277 de 2022 «por medio de la cual se adopta una r</w:t>
      </w:r>
      <w:r w:rsidRPr="00C050D9">
        <w:rPr>
          <w:rFonts w:ascii="Times New Roman" w:hAnsi="Times New Roman" w:cs="Times New Roman"/>
          <w:sz w:val="28"/>
          <w:szCs w:val="28"/>
          <w:lang w:val="es-ES_tradnl" w:eastAsia="es-MX"/>
        </w:rPr>
        <w:t>eforma tributaria para la igualdad y la justicia social y se dictan otras disposiciones». La demanda fue radicada con el número D-15.213.</w:t>
      </w:r>
      <w:bookmarkEnd w:id="4"/>
    </w:p>
    <w:bookmarkEnd w:id="2"/>
    <w:bookmarkEnd w:id="3"/>
    <w:bookmarkEnd w:id="5"/>
    <w:p w:rsidR="00415C72" w:rsidRPr="00C050D9" w:rsidRDefault="00C050D9" w:rsidP="00415C72">
      <w:pPr>
        <w:tabs>
          <w:tab w:val="left" w:pos="0"/>
        </w:tabs>
        <w:overflowPunct w:val="0"/>
        <w:autoSpaceDE w:val="0"/>
        <w:autoSpaceDN w:val="0"/>
        <w:adjustRightInd w:val="0"/>
        <w:spacing w:after="0" w:line="240" w:lineRule="auto"/>
        <w:textAlignment w:val="baseline"/>
        <w:rPr>
          <w:rFonts w:ascii="Times New Roman" w:hAnsi="Times New Roman" w:cs="Times New Roman"/>
          <w:sz w:val="28"/>
          <w:szCs w:val="28"/>
          <w:lang w:val="es-ES_tradnl" w:eastAsia="es-MX"/>
        </w:rPr>
      </w:pPr>
    </w:p>
    <w:p w:rsidR="00415C72" w:rsidRPr="00C050D9" w:rsidRDefault="00C050D9" w:rsidP="00415C72">
      <w:pPr>
        <w:numPr>
          <w:ilvl w:val="0"/>
          <w:numId w:val="2"/>
        </w:numPr>
        <w:tabs>
          <w:tab w:val="left" w:pos="0"/>
          <w:tab w:val="num" w:pos="284"/>
          <w:tab w:val="num"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_tradnl" w:eastAsia="es-MX"/>
        </w:rPr>
      </w:pPr>
      <w:r w:rsidRPr="00C050D9">
        <w:rPr>
          <w:rFonts w:ascii="Times New Roman" w:hAnsi="Times New Roman" w:cs="Times New Roman"/>
          <w:sz w:val="28"/>
          <w:szCs w:val="28"/>
          <w:lang w:val="es-ES_tradnl" w:eastAsia="es-MX"/>
        </w:rPr>
        <w:t>El texto de las normas demandadas</w:t>
      </w:r>
      <w:r w:rsidRPr="00C050D9">
        <w:rPr>
          <w:rFonts w:ascii="Times New Roman" w:hAnsi="Times New Roman" w:cs="Times New Roman"/>
          <w:sz w:val="28"/>
          <w:szCs w:val="28"/>
          <w:lang w:val="es-ES_tradnl" w:eastAsia="es-MX"/>
        </w:rPr>
        <w:t xml:space="preserve"> </w:t>
      </w:r>
      <w:r w:rsidRPr="00C050D9">
        <w:rPr>
          <w:rFonts w:ascii="Times New Roman" w:hAnsi="Times New Roman" w:cs="Times New Roman"/>
          <w:sz w:val="28"/>
          <w:szCs w:val="28"/>
          <w:lang w:val="es-ES_tradnl" w:eastAsia="es-MX"/>
        </w:rPr>
        <w:t xml:space="preserve">y admitidas </w:t>
      </w:r>
      <w:r w:rsidRPr="00C050D9">
        <w:rPr>
          <w:rFonts w:ascii="Times New Roman" w:hAnsi="Times New Roman" w:cs="Times New Roman"/>
          <w:sz w:val="28"/>
          <w:szCs w:val="28"/>
          <w:lang w:val="es-ES_tradnl" w:eastAsia="es-MX"/>
        </w:rPr>
        <w:t>es el siguiente:</w:t>
      </w:r>
    </w:p>
    <w:p w:rsidR="00415C72" w:rsidRPr="00C050D9" w:rsidRDefault="00C050D9" w:rsidP="00415C72">
      <w:pPr>
        <w:tabs>
          <w:tab w:val="left" w:pos="0"/>
          <w:tab w:val="num" w:pos="426"/>
        </w:tabs>
        <w:overflowPunct w:val="0"/>
        <w:autoSpaceDE w:val="0"/>
        <w:autoSpaceDN w:val="0"/>
        <w:adjustRightInd w:val="0"/>
        <w:spacing w:after="0" w:line="240" w:lineRule="auto"/>
        <w:textAlignment w:val="baseline"/>
        <w:rPr>
          <w:rFonts w:ascii="Times New Roman" w:hAnsi="Times New Roman" w:cs="Times New Roman"/>
          <w:sz w:val="28"/>
          <w:szCs w:val="26"/>
          <w:lang w:val="es-ES_tradnl" w:eastAsia="es-MX"/>
        </w:rPr>
      </w:pP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b/>
          <w:bCs/>
          <w:sz w:val="28"/>
          <w:szCs w:val="26"/>
        </w:rPr>
      </w:pPr>
      <w:r w:rsidRPr="00C050D9">
        <w:rPr>
          <w:rFonts w:ascii="Times New Roman" w:hAnsi="Times New Roman" w:cs="Times New Roman"/>
          <w:b/>
          <w:bCs/>
          <w:sz w:val="28"/>
          <w:szCs w:val="26"/>
        </w:rPr>
        <w:t>LEY 2277 DE 2022</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b/>
          <w:bCs/>
          <w:sz w:val="28"/>
          <w:szCs w:val="26"/>
        </w:rPr>
      </w:pPr>
      <w:r w:rsidRPr="00C050D9">
        <w:rPr>
          <w:rFonts w:ascii="Times New Roman" w:hAnsi="Times New Roman" w:cs="Times New Roman"/>
          <w:b/>
          <w:bCs/>
          <w:sz w:val="28"/>
          <w:szCs w:val="26"/>
        </w:rPr>
        <w:t>(diciembre 13)</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r w:rsidRPr="00C050D9">
        <w:rPr>
          <w:rFonts w:ascii="Times New Roman" w:hAnsi="Times New Roman" w:cs="Times New Roman"/>
          <w:sz w:val="28"/>
          <w:szCs w:val="26"/>
        </w:rPr>
        <w:t xml:space="preserve">Diario Oficial No. </w:t>
      </w:r>
      <w:r w:rsidRPr="00C050D9">
        <w:rPr>
          <w:rFonts w:ascii="Times New Roman" w:hAnsi="Times New Roman" w:cs="Times New Roman"/>
          <w:sz w:val="28"/>
          <w:szCs w:val="26"/>
        </w:rPr>
        <w:t>52.247 de 13 de diciembre de 2022</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r w:rsidRPr="00C050D9">
        <w:rPr>
          <w:rFonts w:ascii="Times New Roman" w:hAnsi="Times New Roman" w:cs="Times New Roman"/>
          <w:sz w:val="28"/>
          <w:szCs w:val="26"/>
        </w:rPr>
        <w:t>PODER PÚBLICO – RAMA LEGISLATIVA</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r w:rsidRPr="00C050D9">
        <w:rPr>
          <w:rFonts w:ascii="Times New Roman" w:hAnsi="Times New Roman" w:cs="Times New Roman"/>
          <w:sz w:val="28"/>
          <w:szCs w:val="26"/>
        </w:rPr>
        <w:t>&lt;La publicación en el Diario Oficial presenta errores tipográficos&gt;</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r w:rsidRPr="00C050D9">
        <w:rPr>
          <w:rFonts w:ascii="Times New Roman" w:hAnsi="Times New Roman" w:cs="Times New Roman"/>
          <w:sz w:val="28"/>
          <w:szCs w:val="26"/>
        </w:rPr>
        <w:t xml:space="preserve">Por medio de la cual se adopta una reforma tributaria para la igualdad y la justicia social y se dictan otras </w:t>
      </w:r>
      <w:r w:rsidRPr="00C050D9">
        <w:rPr>
          <w:rFonts w:ascii="Times New Roman" w:hAnsi="Times New Roman" w:cs="Times New Roman"/>
          <w:sz w:val="28"/>
          <w:szCs w:val="26"/>
        </w:rPr>
        <w:t>disposiciones.</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r w:rsidRPr="00C050D9">
        <w:rPr>
          <w:rFonts w:ascii="Times New Roman" w:hAnsi="Times New Roman" w:cs="Times New Roman"/>
          <w:sz w:val="28"/>
          <w:szCs w:val="26"/>
        </w:rPr>
        <w:t>EL CONGRESO DE COLOMBIA</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r w:rsidRPr="00C050D9">
        <w:rPr>
          <w:rFonts w:ascii="Times New Roman" w:hAnsi="Times New Roman" w:cs="Times New Roman"/>
          <w:sz w:val="28"/>
          <w:szCs w:val="26"/>
        </w:rPr>
        <w:t>DECRETA:</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b/>
          <w:bCs/>
          <w:sz w:val="28"/>
          <w:szCs w:val="26"/>
        </w:rPr>
      </w:pP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color w:val="FF0000"/>
          <w:sz w:val="28"/>
          <w:szCs w:val="26"/>
        </w:rPr>
      </w:pPr>
      <w:r w:rsidRPr="00C050D9">
        <w:rPr>
          <w:rFonts w:ascii="Times New Roman" w:hAnsi="Times New Roman" w:cs="Times New Roman"/>
          <w:color w:val="FF0000"/>
          <w:sz w:val="28"/>
          <w:szCs w:val="26"/>
        </w:rPr>
        <w:t xml:space="preserve">(…) </w:t>
      </w: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sz w:val="28"/>
          <w:szCs w:val="26"/>
        </w:rPr>
      </w:pPr>
    </w:p>
    <w:p w:rsidR="00415C72" w:rsidRPr="00C050D9" w:rsidRDefault="00C050D9" w:rsidP="00415C72">
      <w:pPr>
        <w:spacing w:after="0" w:line="240" w:lineRule="auto"/>
        <w:jc w:val="center"/>
        <w:rPr>
          <w:rFonts w:ascii="Times New Roman" w:hAnsi="Times New Roman" w:cs="Times New Roman"/>
          <w:b/>
          <w:bCs/>
          <w:sz w:val="28"/>
          <w:szCs w:val="26"/>
        </w:rPr>
      </w:pPr>
      <w:bookmarkStart w:id="6" w:name="TÍTULO_I"/>
      <w:r w:rsidRPr="00C050D9">
        <w:rPr>
          <w:rFonts w:ascii="Times New Roman" w:hAnsi="Times New Roman" w:cs="Times New Roman"/>
          <w:b/>
          <w:bCs/>
          <w:sz w:val="28"/>
          <w:szCs w:val="26"/>
        </w:rPr>
        <w:t>TÍTULO I.</w:t>
      </w:r>
      <w:bookmarkEnd w:id="6"/>
    </w:p>
    <w:p w:rsidR="00415C72" w:rsidRPr="00C050D9" w:rsidRDefault="00C050D9" w:rsidP="00415C72">
      <w:pPr>
        <w:spacing w:after="0" w:line="240" w:lineRule="auto"/>
        <w:jc w:val="center"/>
        <w:rPr>
          <w:rFonts w:ascii="Times New Roman" w:hAnsi="Times New Roman" w:cs="Times New Roman"/>
          <w:sz w:val="28"/>
          <w:szCs w:val="26"/>
        </w:rPr>
      </w:pPr>
    </w:p>
    <w:p w:rsidR="00415C72" w:rsidRPr="00C050D9" w:rsidRDefault="00C050D9" w:rsidP="00415C72">
      <w:pPr>
        <w:spacing w:after="0" w:line="240" w:lineRule="auto"/>
        <w:jc w:val="center"/>
        <w:rPr>
          <w:rFonts w:ascii="Times New Roman" w:hAnsi="Times New Roman" w:cs="Times New Roman"/>
          <w:b/>
          <w:bCs/>
          <w:sz w:val="28"/>
          <w:szCs w:val="26"/>
        </w:rPr>
      </w:pPr>
      <w:r w:rsidRPr="00C050D9">
        <w:rPr>
          <w:rFonts w:ascii="Times New Roman" w:hAnsi="Times New Roman" w:cs="Times New Roman"/>
          <w:b/>
          <w:bCs/>
          <w:sz w:val="28"/>
          <w:szCs w:val="26"/>
        </w:rPr>
        <w:t>IMPUESTO SOBRE LA RENTA Y COMPLEMENTARIOS.</w:t>
      </w:r>
    </w:p>
    <w:p w:rsidR="00415C72" w:rsidRPr="00C050D9" w:rsidRDefault="00C050D9" w:rsidP="00415C72">
      <w:pPr>
        <w:spacing w:after="0" w:line="240" w:lineRule="auto"/>
        <w:jc w:val="center"/>
        <w:rPr>
          <w:rFonts w:ascii="Times New Roman" w:hAnsi="Times New Roman" w:cs="Times New Roman"/>
          <w:sz w:val="28"/>
          <w:szCs w:val="26"/>
        </w:rPr>
      </w:pPr>
    </w:p>
    <w:p w:rsidR="00415C72" w:rsidRPr="00C050D9" w:rsidRDefault="00C050D9" w:rsidP="00415C72">
      <w:pPr>
        <w:spacing w:after="0" w:line="240" w:lineRule="auto"/>
        <w:jc w:val="center"/>
        <w:rPr>
          <w:rFonts w:ascii="Times New Roman" w:hAnsi="Times New Roman" w:cs="Times New Roman"/>
          <w:b/>
          <w:bCs/>
          <w:sz w:val="28"/>
          <w:szCs w:val="26"/>
        </w:rPr>
      </w:pPr>
      <w:bookmarkStart w:id="7" w:name="CAPÍTULO_I-I"/>
      <w:r w:rsidRPr="00C050D9">
        <w:rPr>
          <w:rFonts w:ascii="Times New Roman" w:hAnsi="Times New Roman" w:cs="Times New Roman"/>
          <w:b/>
          <w:bCs/>
          <w:sz w:val="28"/>
          <w:szCs w:val="26"/>
        </w:rPr>
        <w:t>CAPÍTULO I.</w:t>
      </w:r>
      <w:bookmarkEnd w:id="7"/>
    </w:p>
    <w:p w:rsidR="00415C72" w:rsidRPr="00C050D9" w:rsidRDefault="00C050D9" w:rsidP="00415C72">
      <w:pPr>
        <w:spacing w:after="0" w:line="240" w:lineRule="auto"/>
        <w:jc w:val="center"/>
        <w:rPr>
          <w:rFonts w:ascii="Times New Roman" w:hAnsi="Times New Roman" w:cs="Times New Roman"/>
          <w:sz w:val="28"/>
          <w:szCs w:val="26"/>
        </w:rPr>
      </w:pPr>
    </w:p>
    <w:p w:rsidR="00415C72" w:rsidRPr="00C050D9" w:rsidRDefault="00C050D9" w:rsidP="00415C72">
      <w:pPr>
        <w:spacing w:after="0" w:line="240" w:lineRule="auto"/>
        <w:jc w:val="center"/>
        <w:rPr>
          <w:rFonts w:ascii="Times New Roman" w:hAnsi="Times New Roman" w:cs="Times New Roman"/>
          <w:b/>
          <w:bCs/>
          <w:sz w:val="28"/>
          <w:szCs w:val="26"/>
        </w:rPr>
      </w:pPr>
      <w:r w:rsidRPr="00C050D9">
        <w:rPr>
          <w:rFonts w:ascii="Times New Roman" w:hAnsi="Times New Roman" w:cs="Times New Roman"/>
          <w:b/>
          <w:bCs/>
          <w:sz w:val="28"/>
          <w:szCs w:val="26"/>
        </w:rPr>
        <w:t>IMPUESTO SOBRE LA RENTA PARA LAS PERSONAS NATURALES.</w:t>
      </w:r>
    </w:p>
    <w:p w:rsidR="00415C72" w:rsidRPr="00C050D9" w:rsidRDefault="00C050D9" w:rsidP="00415C72">
      <w:pPr>
        <w:spacing w:after="0" w:line="240" w:lineRule="auto"/>
        <w:jc w:val="center"/>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bookmarkStart w:id="8" w:name="3"/>
      <w:r w:rsidRPr="00C050D9">
        <w:rPr>
          <w:rFonts w:ascii="Times New Roman" w:hAnsi="Times New Roman" w:cs="Times New Roman"/>
          <w:b/>
          <w:bCs/>
          <w:sz w:val="28"/>
          <w:szCs w:val="26"/>
        </w:rPr>
        <w:t>ARTÍCULO 3o.</w:t>
      </w:r>
      <w:bookmarkEnd w:id="8"/>
      <w:r w:rsidRPr="00C050D9">
        <w:rPr>
          <w:rFonts w:ascii="Times New Roman" w:hAnsi="Times New Roman" w:cs="Times New Roman"/>
          <w:sz w:val="28"/>
          <w:szCs w:val="26"/>
        </w:rPr>
        <w:t> Modifíquese el Artículo </w:t>
      </w:r>
      <w:hyperlink r:id="rId8" w:anchor="242" w:history="1">
        <w:r w:rsidRPr="00C050D9">
          <w:rPr>
            <w:rFonts w:ascii="Times New Roman" w:hAnsi="Times New Roman" w:cs="Times New Roman"/>
            <w:sz w:val="28"/>
            <w:szCs w:val="26"/>
            <w:u w:val="single"/>
          </w:rPr>
          <w:t>242</w:t>
        </w:r>
      </w:hyperlink>
      <w:r w:rsidRPr="00C050D9">
        <w:rPr>
          <w:rFonts w:ascii="Times New Roman" w:hAnsi="Times New Roman" w:cs="Times New Roman"/>
          <w:sz w:val="28"/>
          <w:szCs w:val="26"/>
        </w:rPr>
        <w:t> del Estatuto Tributario, el cual quedará así:</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Artículo </w:t>
      </w:r>
      <w:hyperlink r:id="rId9" w:anchor="242" w:history="1">
        <w:r w:rsidRPr="00C050D9">
          <w:rPr>
            <w:rFonts w:ascii="Times New Roman" w:hAnsi="Times New Roman" w:cs="Times New Roman"/>
            <w:b/>
            <w:bCs/>
            <w:sz w:val="28"/>
            <w:szCs w:val="26"/>
            <w:u w:val="single"/>
          </w:rPr>
          <w:t>242</w:t>
        </w:r>
      </w:hyperlink>
      <w:r w:rsidRPr="00C050D9">
        <w:rPr>
          <w:rFonts w:ascii="Times New Roman" w:hAnsi="Times New Roman" w:cs="Times New Roman"/>
          <w:b/>
          <w:bCs/>
          <w:sz w:val="28"/>
          <w:szCs w:val="26"/>
        </w:rPr>
        <w:t>. Tarifa especial para dividendos o participaciones recibidas por personas naturales residentes</w:t>
      </w:r>
      <w:r w:rsidRPr="00C050D9">
        <w:rPr>
          <w:rFonts w:ascii="Times New Roman" w:hAnsi="Times New Roman" w:cs="Times New Roman"/>
          <w:sz w:val="28"/>
          <w:szCs w:val="26"/>
        </w:rPr>
        <w:t>. Los dividendos y participaciones pagados o abonados en cuenta a personas naturales residentes y sucesiones ilíquidas de causantes que al momento de su mue</w:t>
      </w:r>
      <w:r w:rsidRPr="00C050D9">
        <w:rPr>
          <w:rFonts w:ascii="Times New Roman" w:hAnsi="Times New Roman" w:cs="Times New Roman"/>
          <w:sz w:val="28"/>
          <w:szCs w:val="26"/>
        </w:rPr>
        <w:t>rte eran residentes del país, provenientes de distribución de utilidades que hubieren sido consideradas como ingreso no constitutivo de renta ni ganancia ocasional conforme a lo dispuesto en el numeral 3 del Artículo </w:t>
      </w:r>
      <w:hyperlink r:id="rId10" w:anchor="49" w:history="1">
        <w:r w:rsidRPr="00C050D9">
          <w:rPr>
            <w:rFonts w:ascii="Times New Roman" w:hAnsi="Times New Roman" w:cs="Times New Roman"/>
            <w:sz w:val="28"/>
            <w:szCs w:val="26"/>
            <w:u w:val="single"/>
          </w:rPr>
          <w:t>49</w:t>
        </w:r>
      </w:hyperlink>
      <w:r w:rsidRPr="00C050D9">
        <w:rPr>
          <w:rFonts w:ascii="Times New Roman" w:hAnsi="Times New Roman" w:cs="Times New Roman"/>
          <w:sz w:val="28"/>
          <w:szCs w:val="26"/>
        </w:rPr>
        <w:t> de este Estatuto, integrarán la base gravable del impuesto sobre la renta y complementarios y estarán sujetas a la tarifa señalada en el Artículo </w:t>
      </w:r>
      <w:hyperlink r:id="rId11" w:anchor="241" w:history="1">
        <w:r w:rsidRPr="00C050D9">
          <w:rPr>
            <w:rFonts w:ascii="Times New Roman" w:hAnsi="Times New Roman" w:cs="Times New Roman"/>
            <w:sz w:val="28"/>
            <w:szCs w:val="26"/>
            <w:u w:val="single"/>
          </w:rPr>
          <w:t>241</w:t>
        </w:r>
      </w:hyperlink>
      <w:r w:rsidRPr="00C050D9">
        <w:rPr>
          <w:rFonts w:ascii="Times New Roman" w:hAnsi="Times New Roman" w:cs="Times New Roman"/>
          <w:sz w:val="28"/>
          <w:szCs w:val="26"/>
        </w:rPr>
        <w:t> de este Estatuto.</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Los dividendos y participaciones pagados o abonados en cuenta a personas naturales residentes y sucesiones ilíquidas de causantes que al momento de su muerte eran resid</w:t>
      </w:r>
      <w:r w:rsidRPr="00C050D9">
        <w:rPr>
          <w:rFonts w:ascii="Times New Roman" w:hAnsi="Times New Roman" w:cs="Times New Roman"/>
          <w:sz w:val="28"/>
          <w:szCs w:val="26"/>
        </w:rPr>
        <w:t>entes del país, provenientes de distribuciones de utilidades gravadas conforme a lo dispuesto en el parágrafo 2 del Artículo </w:t>
      </w:r>
      <w:hyperlink r:id="rId12" w:anchor="49" w:history="1">
        <w:r w:rsidRPr="00C050D9">
          <w:rPr>
            <w:rFonts w:ascii="Times New Roman" w:hAnsi="Times New Roman" w:cs="Times New Roman"/>
            <w:sz w:val="28"/>
            <w:szCs w:val="26"/>
            <w:u w:val="single"/>
          </w:rPr>
          <w:t>49</w:t>
        </w:r>
      </w:hyperlink>
      <w:r w:rsidRPr="00C050D9">
        <w:rPr>
          <w:rFonts w:ascii="Times New Roman" w:hAnsi="Times New Roman" w:cs="Times New Roman"/>
          <w:sz w:val="28"/>
          <w:szCs w:val="26"/>
        </w:rPr>
        <w:t> de este Estatuto, estar</w:t>
      </w:r>
      <w:r w:rsidRPr="00C050D9">
        <w:rPr>
          <w:rFonts w:ascii="Times New Roman" w:hAnsi="Times New Roman" w:cs="Times New Roman"/>
          <w:sz w:val="28"/>
          <w:szCs w:val="26"/>
        </w:rPr>
        <w:t>án sujetos a la tarifa señalada en el Artículo </w:t>
      </w:r>
      <w:hyperlink r:id="rId13" w:anchor="240" w:history="1">
        <w:r w:rsidRPr="00C050D9">
          <w:rPr>
            <w:rFonts w:ascii="Times New Roman" w:hAnsi="Times New Roman" w:cs="Times New Roman"/>
            <w:sz w:val="28"/>
            <w:szCs w:val="26"/>
            <w:u w:val="single"/>
          </w:rPr>
          <w:t>240</w:t>
        </w:r>
      </w:hyperlink>
      <w:r w:rsidRPr="00C050D9">
        <w:rPr>
          <w:rFonts w:ascii="Times New Roman" w:hAnsi="Times New Roman" w:cs="Times New Roman"/>
          <w:sz w:val="28"/>
          <w:szCs w:val="26"/>
        </w:rPr>
        <w:t> de este Estatuto, según el período gravable en que se paguen o se abonen en cuenta, caso en el cual el im</w:t>
      </w:r>
      <w:r w:rsidRPr="00C050D9">
        <w:rPr>
          <w:rFonts w:ascii="Times New Roman" w:hAnsi="Times New Roman" w:cs="Times New Roman"/>
          <w:sz w:val="28"/>
          <w:szCs w:val="26"/>
        </w:rPr>
        <w:t>puesto señalado en el inciso anterior se aplicará una vez disminuido este impuesto. A esta misma tarifa estarán gravados los dividendos y participaciones recibidos de sociedades y entidades extranjeras.</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b/>
          <w:bCs/>
          <w:sz w:val="28"/>
          <w:szCs w:val="26"/>
          <w:u w:val="single"/>
        </w:rPr>
      </w:pPr>
      <w:r w:rsidRPr="00C050D9">
        <w:rPr>
          <w:rFonts w:ascii="Times New Roman" w:hAnsi="Times New Roman" w:cs="Times New Roman"/>
          <w:b/>
          <w:bCs/>
          <w:sz w:val="28"/>
          <w:szCs w:val="26"/>
        </w:rPr>
        <w:t>PARÁGRAFO.</w:t>
      </w:r>
      <w:r w:rsidRPr="00C050D9">
        <w:rPr>
          <w:rFonts w:ascii="Times New Roman" w:hAnsi="Times New Roman" w:cs="Times New Roman"/>
          <w:sz w:val="28"/>
          <w:szCs w:val="26"/>
        </w:rPr>
        <w:t> </w:t>
      </w:r>
      <w:r w:rsidRPr="00C050D9">
        <w:rPr>
          <w:rFonts w:ascii="Times New Roman" w:hAnsi="Times New Roman" w:cs="Times New Roman"/>
          <w:b/>
          <w:bCs/>
          <w:sz w:val="28"/>
          <w:szCs w:val="26"/>
          <w:u w:val="single"/>
        </w:rPr>
        <w:t xml:space="preserve">La retención en la fuente sobre el valor </w:t>
      </w:r>
      <w:r w:rsidRPr="00C050D9">
        <w:rPr>
          <w:rFonts w:ascii="Times New Roman" w:hAnsi="Times New Roman" w:cs="Times New Roman"/>
          <w:b/>
          <w:bCs/>
          <w:sz w:val="28"/>
          <w:szCs w:val="26"/>
          <w:u w:val="single"/>
        </w:rPr>
        <w:t>de los dividendos brutos pagados o decretados en calidad de exigibles por concepto de dividendos o participaciones durante el periodo gravable, independientemente del número de cuotas en que se fraccione dicho valor, será la que resulte de aplicar a dichos</w:t>
      </w:r>
      <w:r w:rsidRPr="00C050D9">
        <w:rPr>
          <w:rFonts w:ascii="Times New Roman" w:hAnsi="Times New Roman" w:cs="Times New Roman"/>
          <w:b/>
          <w:bCs/>
          <w:sz w:val="28"/>
          <w:szCs w:val="26"/>
          <w:u w:val="single"/>
        </w:rPr>
        <w:t xml:space="preserve"> pagos la siguiente tabla.</w:t>
      </w:r>
    </w:p>
    <w:p w:rsidR="00415C72" w:rsidRPr="00C050D9" w:rsidRDefault="00C050D9" w:rsidP="00415C72">
      <w:pPr>
        <w:spacing w:after="0" w:line="240" w:lineRule="auto"/>
        <w:rPr>
          <w:rFonts w:ascii="Times New Roman" w:hAnsi="Times New Roman" w:cs="Times New Roman"/>
          <w:sz w:val="28"/>
          <w:szCs w:val="26"/>
        </w:rPr>
      </w:pPr>
    </w:p>
    <w:tbl>
      <w:tblPr>
        <w:tblW w:w="4950" w:type="pct"/>
        <w:tblCellSpacing w:w="15" w:type="dxa"/>
        <w:tblCellMar>
          <w:top w:w="15" w:type="dxa"/>
          <w:left w:w="15" w:type="dxa"/>
          <w:bottom w:w="15" w:type="dxa"/>
          <w:right w:w="15" w:type="dxa"/>
        </w:tblCellMar>
        <w:tblLook w:val="04A0" w:firstRow="1" w:lastRow="0" w:firstColumn="1" w:lastColumn="0" w:noHBand="0" w:noVBand="1"/>
      </w:tblPr>
      <w:tblGrid>
        <w:gridCol w:w="912"/>
        <w:gridCol w:w="1407"/>
        <w:gridCol w:w="2096"/>
        <w:gridCol w:w="4266"/>
      </w:tblGrid>
      <w:tr w:rsidR="00415C72" w:rsidRPr="00C050D9" w:rsidTr="002F3112">
        <w:trPr>
          <w:tblCellSpacing w:w="15" w:type="dxa"/>
        </w:trPr>
        <w:tc>
          <w:tcPr>
            <w:tcW w:w="5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Desde</w:t>
            </w:r>
          </w:p>
        </w:tc>
        <w:tc>
          <w:tcPr>
            <w:tcW w:w="8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Hasta</w:t>
            </w:r>
          </w:p>
        </w:tc>
        <w:tc>
          <w:tcPr>
            <w:tcW w:w="12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marginal de retención en la fuente</w:t>
            </w:r>
          </w:p>
        </w:tc>
        <w:tc>
          <w:tcPr>
            <w:tcW w:w="245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Retención en la fuente</w:t>
            </w:r>
          </w:p>
        </w:tc>
      </w:tr>
      <w:tr w:rsidR="00415C72" w:rsidRPr="00C050D9" w:rsidTr="002F3112">
        <w:trPr>
          <w:tblCellSpacing w:w="15" w:type="dxa"/>
        </w:trPr>
        <w:tc>
          <w:tcPr>
            <w:tcW w:w="5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8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1.090</w:t>
            </w:r>
          </w:p>
        </w:tc>
        <w:tc>
          <w:tcPr>
            <w:tcW w:w="12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245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r>
      <w:tr w:rsidR="00415C72" w:rsidRPr="00C050D9" w:rsidTr="002F3112">
        <w:trPr>
          <w:tblCellSpacing w:w="15" w:type="dxa"/>
        </w:trPr>
        <w:tc>
          <w:tcPr>
            <w:tcW w:w="5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&gt; 1.090</w:t>
            </w:r>
          </w:p>
        </w:tc>
        <w:tc>
          <w:tcPr>
            <w:tcW w:w="8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En adelante</w:t>
            </w:r>
          </w:p>
        </w:tc>
        <w:tc>
          <w:tcPr>
            <w:tcW w:w="120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w:t>
            </w:r>
          </w:p>
        </w:tc>
        <w:tc>
          <w:tcPr>
            <w:tcW w:w="2450" w:type="pct"/>
            <w:tcBorders>
              <w:top w:val="single" w:sz="8" w:space="0" w:color="auto"/>
              <w:left w:val="single" w:sz="8" w:space="0" w:color="auto"/>
              <w:bottom w:val="single" w:sz="8" w:space="0" w:color="auto"/>
              <w:right w:val="single" w:sz="8"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(Dividendos decretados en calidad de exigibles en UVT menos l. 090 UVT) x 15%</w:t>
            </w:r>
          </w:p>
        </w:tc>
      </w:tr>
    </w:tbl>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b/>
          <w:bCs/>
          <w:sz w:val="28"/>
          <w:szCs w:val="26"/>
          <w:u w:val="single"/>
        </w:rPr>
      </w:pPr>
      <w:r w:rsidRPr="00C050D9">
        <w:rPr>
          <w:rFonts w:ascii="Times New Roman" w:hAnsi="Times New Roman" w:cs="Times New Roman"/>
          <w:b/>
          <w:bCs/>
          <w:sz w:val="28"/>
          <w:szCs w:val="26"/>
          <w:u w:val="single"/>
        </w:rPr>
        <w:t xml:space="preserve">El accionista persona natural </w:t>
      </w:r>
      <w:r w:rsidRPr="00C050D9">
        <w:rPr>
          <w:rFonts w:ascii="Times New Roman" w:hAnsi="Times New Roman" w:cs="Times New Roman"/>
          <w:b/>
          <w:bCs/>
          <w:sz w:val="28"/>
          <w:szCs w:val="26"/>
          <w:u w:val="single"/>
        </w:rPr>
        <w:t>residente imputará la retención en la fuente practicada en su declaración del impuesto sobre la renta.</w:t>
      </w:r>
    </w:p>
    <w:p w:rsidR="00415C72" w:rsidRPr="00C050D9" w:rsidRDefault="00C050D9" w:rsidP="00415C72">
      <w:pPr>
        <w:spacing w:after="0" w:line="240" w:lineRule="auto"/>
        <w:rPr>
          <w:rFonts w:ascii="Times New Roman" w:hAnsi="Times New Roman" w:cs="Times New Roman"/>
          <w:b/>
          <w:bCs/>
          <w:sz w:val="28"/>
          <w:szCs w:val="26"/>
          <w:u w:val="single"/>
        </w:rPr>
      </w:pPr>
    </w:p>
    <w:p w:rsidR="00415C72" w:rsidRPr="00C050D9" w:rsidRDefault="00C050D9" w:rsidP="00415C72">
      <w:pPr>
        <w:tabs>
          <w:tab w:val="left" w:pos="426"/>
        </w:tabs>
        <w:autoSpaceDE w:val="0"/>
        <w:autoSpaceDN w:val="0"/>
        <w:adjustRightInd w:val="0"/>
        <w:spacing w:after="0" w:line="240" w:lineRule="auto"/>
        <w:ind w:right="616"/>
        <w:contextualSpacing/>
        <w:jc w:val="center"/>
        <w:rPr>
          <w:rFonts w:ascii="Times New Roman" w:hAnsi="Times New Roman" w:cs="Times New Roman"/>
          <w:color w:val="FF0000"/>
          <w:sz w:val="28"/>
          <w:szCs w:val="26"/>
        </w:rPr>
      </w:pPr>
      <w:r w:rsidRPr="00C050D9">
        <w:rPr>
          <w:rFonts w:ascii="Times New Roman" w:hAnsi="Times New Roman" w:cs="Times New Roman"/>
          <w:color w:val="FF0000"/>
          <w:sz w:val="28"/>
          <w:szCs w:val="26"/>
        </w:rPr>
        <w:t>(…)</w:t>
      </w:r>
    </w:p>
    <w:p w:rsidR="00415C72" w:rsidRPr="00C050D9" w:rsidRDefault="00C050D9" w:rsidP="00415C72">
      <w:pPr>
        <w:spacing w:after="0" w:line="240" w:lineRule="auto"/>
        <w:rPr>
          <w:rFonts w:ascii="Times New Roman" w:hAnsi="Times New Roman" w:cs="Times New Roman"/>
          <w:sz w:val="28"/>
          <w:szCs w:val="26"/>
        </w:rPr>
      </w:pPr>
      <w:bookmarkStart w:id="9" w:name="TÍTULO_II"/>
    </w:p>
    <w:p w:rsidR="00415C72" w:rsidRPr="00C050D9" w:rsidRDefault="00C050D9" w:rsidP="00415C72">
      <w:pPr>
        <w:spacing w:after="0" w:line="240" w:lineRule="auto"/>
        <w:jc w:val="center"/>
        <w:rPr>
          <w:rFonts w:ascii="Times New Roman" w:hAnsi="Times New Roman" w:cs="Times New Roman"/>
          <w:b/>
          <w:bCs/>
          <w:sz w:val="28"/>
          <w:szCs w:val="26"/>
        </w:rPr>
      </w:pPr>
      <w:r w:rsidRPr="00C050D9">
        <w:rPr>
          <w:rFonts w:ascii="Times New Roman" w:hAnsi="Times New Roman" w:cs="Times New Roman"/>
          <w:b/>
          <w:bCs/>
          <w:sz w:val="28"/>
          <w:szCs w:val="26"/>
        </w:rPr>
        <w:t>TÍTULO III.</w:t>
      </w:r>
    </w:p>
    <w:p w:rsidR="00415C72" w:rsidRPr="00C050D9" w:rsidRDefault="00C050D9" w:rsidP="00415C72">
      <w:pPr>
        <w:spacing w:after="0" w:line="240" w:lineRule="auto"/>
        <w:jc w:val="center"/>
        <w:rPr>
          <w:rFonts w:ascii="Times New Roman" w:hAnsi="Times New Roman" w:cs="Times New Roman"/>
          <w:sz w:val="28"/>
          <w:szCs w:val="26"/>
        </w:rPr>
      </w:pPr>
    </w:p>
    <w:p w:rsidR="00415C72" w:rsidRPr="00C050D9" w:rsidRDefault="00C050D9" w:rsidP="00415C72">
      <w:pPr>
        <w:spacing w:after="0" w:line="240" w:lineRule="auto"/>
        <w:jc w:val="center"/>
        <w:rPr>
          <w:rFonts w:ascii="Times New Roman" w:hAnsi="Times New Roman" w:cs="Times New Roman"/>
          <w:b/>
          <w:bCs/>
          <w:sz w:val="28"/>
          <w:szCs w:val="26"/>
        </w:rPr>
      </w:pPr>
      <w:r w:rsidRPr="00C050D9">
        <w:rPr>
          <w:rFonts w:ascii="Times New Roman" w:hAnsi="Times New Roman" w:cs="Times New Roman"/>
          <w:b/>
          <w:bCs/>
          <w:sz w:val="28"/>
          <w:szCs w:val="26"/>
        </w:rPr>
        <w:t>IMPUESTO UNIFICADO BAJO EL RÉGIMEN SIMPLE DE TRIBUTACIÓN (SIMPLE).</w:t>
      </w:r>
    </w:p>
    <w:p w:rsidR="00415C72" w:rsidRPr="00C050D9" w:rsidRDefault="00C050D9" w:rsidP="00415C72">
      <w:pPr>
        <w:spacing w:after="0" w:line="240" w:lineRule="auto"/>
        <w:jc w:val="center"/>
        <w:rPr>
          <w:rFonts w:ascii="Times New Roman" w:hAnsi="Times New Roman" w:cs="Times New Roman"/>
          <w:sz w:val="28"/>
          <w:szCs w:val="26"/>
        </w:rPr>
      </w:pPr>
      <w:hyperlink r:id="rId14" w:anchor="top" w:tooltip="Ir al inicio" w:history="1"/>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ARTÍCULO 42.</w:t>
      </w:r>
      <w:r w:rsidRPr="00C050D9">
        <w:rPr>
          <w:rFonts w:ascii="Times New Roman" w:hAnsi="Times New Roman" w:cs="Times New Roman"/>
          <w:sz w:val="28"/>
          <w:szCs w:val="26"/>
        </w:rPr>
        <w:t> Adiciónese un inciso al numeral 2 y modifíquese el numeral 6 del Artículo </w:t>
      </w:r>
      <w:hyperlink r:id="rId15" w:anchor="905" w:history="1">
        <w:r w:rsidRPr="00C050D9">
          <w:rPr>
            <w:rFonts w:ascii="Times New Roman" w:hAnsi="Times New Roman" w:cs="Times New Roman"/>
            <w:sz w:val="28"/>
            <w:szCs w:val="26"/>
            <w:u w:val="single"/>
          </w:rPr>
          <w:t>905</w:t>
        </w:r>
      </w:hyperlink>
      <w:r w:rsidRPr="00C050D9">
        <w:rPr>
          <w:rFonts w:ascii="Times New Roman" w:hAnsi="Times New Roman" w:cs="Times New Roman"/>
          <w:sz w:val="28"/>
          <w:szCs w:val="26"/>
        </w:rPr>
        <w:t> del Estatuto Tribut</w:t>
      </w:r>
      <w:r w:rsidRPr="00C050D9">
        <w:rPr>
          <w:rFonts w:ascii="Times New Roman" w:hAnsi="Times New Roman" w:cs="Times New Roman"/>
          <w:sz w:val="28"/>
          <w:szCs w:val="26"/>
        </w:rPr>
        <w:t>ario, así:</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b/>
          <w:bCs/>
          <w:sz w:val="28"/>
          <w:szCs w:val="26"/>
          <w:u w:val="single"/>
        </w:rPr>
      </w:pPr>
      <w:r w:rsidRPr="00C050D9">
        <w:rPr>
          <w:rFonts w:ascii="Times New Roman" w:hAnsi="Times New Roman" w:cs="Times New Roman"/>
          <w:b/>
          <w:bCs/>
          <w:sz w:val="28"/>
          <w:szCs w:val="26"/>
          <w:u w:val="single"/>
        </w:rPr>
        <w:t xml:space="preserve">Las personas que presten servicios profesionales de consultoría y científicos en los que predomine el factor intelectual sobre el material incluidos los servicios de profesiones liberales, sólo podrán ser sujetos pasivos del impuesto unificado </w:t>
      </w:r>
      <w:r w:rsidRPr="00C050D9">
        <w:rPr>
          <w:rFonts w:ascii="Times New Roman" w:hAnsi="Times New Roman" w:cs="Times New Roman"/>
          <w:b/>
          <w:bCs/>
          <w:sz w:val="28"/>
          <w:szCs w:val="26"/>
          <w:u w:val="single"/>
        </w:rPr>
        <w:t>bajo el régimen simple de tributación - SIMPLE si por estos conceptos hubieren obtenido ingresos brutos, ordinarios o extraordinarios inferiores a doce mil (12.000) UVT en el año gravable anterior.</w:t>
      </w:r>
    </w:p>
    <w:p w:rsidR="00415C72" w:rsidRPr="00C050D9" w:rsidRDefault="00C050D9" w:rsidP="00415C72">
      <w:pPr>
        <w:spacing w:after="0" w:line="240" w:lineRule="auto"/>
        <w:rPr>
          <w:rFonts w:ascii="Times New Roman" w:hAnsi="Times New Roman" w:cs="Times New Roman"/>
          <w:b/>
          <w:bCs/>
          <w:sz w:val="28"/>
          <w:szCs w:val="26"/>
          <w:u w:val="single"/>
        </w:rPr>
      </w:pPr>
    </w:p>
    <w:p w:rsidR="00415C72" w:rsidRPr="00C050D9" w:rsidRDefault="00C050D9" w:rsidP="00415C72">
      <w:pPr>
        <w:spacing w:after="0" w:line="240" w:lineRule="auto"/>
        <w:rPr>
          <w:rFonts w:ascii="Times New Roman" w:hAnsi="Times New Roman" w:cs="Times New Roman"/>
          <w:color w:val="4B4949"/>
          <w:sz w:val="28"/>
          <w:szCs w:val="26"/>
        </w:rPr>
      </w:pPr>
      <w:r w:rsidRPr="00C050D9">
        <w:rPr>
          <w:rFonts w:ascii="Times New Roman" w:hAnsi="Times New Roman" w:cs="Times New Roman"/>
          <w:sz w:val="28"/>
          <w:szCs w:val="26"/>
        </w:rPr>
        <w:t>6. La persona natural o jurídica debe contar con la inscr</w:t>
      </w:r>
      <w:r w:rsidRPr="00C050D9">
        <w:rPr>
          <w:rFonts w:ascii="Times New Roman" w:hAnsi="Times New Roman" w:cs="Times New Roman"/>
          <w:sz w:val="28"/>
          <w:szCs w:val="26"/>
        </w:rPr>
        <w:t>ipción respectiva en el Registro Único Tributario (RUT) y con todos los mecanismos electrónicos de cumplimiento, firma electrónica y factura electrónica o documentos equivalentes electrónicos.</w:t>
      </w:r>
    </w:p>
    <w:p w:rsidR="00415C72" w:rsidRPr="00C050D9" w:rsidRDefault="00C050D9" w:rsidP="00415C72">
      <w:pPr>
        <w:spacing w:after="0" w:line="240" w:lineRule="auto"/>
        <w:rPr>
          <w:rFonts w:ascii="Times New Roman" w:hAnsi="Times New Roman" w:cs="Times New Roman"/>
          <w:color w:val="4B4949"/>
          <w:sz w:val="28"/>
          <w:szCs w:val="26"/>
        </w:rPr>
      </w:pPr>
    </w:p>
    <w:p w:rsidR="00415C72" w:rsidRPr="00C050D9" w:rsidRDefault="00C050D9" w:rsidP="00415C72">
      <w:pPr>
        <w:spacing w:after="0" w:line="240" w:lineRule="auto"/>
        <w:jc w:val="center"/>
        <w:rPr>
          <w:rFonts w:ascii="Times New Roman" w:hAnsi="Times New Roman" w:cs="Times New Roman"/>
          <w:color w:val="FF0000"/>
          <w:sz w:val="28"/>
          <w:szCs w:val="26"/>
        </w:rPr>
      </w:pPr>
      <w:r w:rsidRPr="00C050D9">
        <w:rPr>
          <w:rFonts w:ascii="Times New Roman" w:hAnsi="Times New Roman" w:cs="Times New Roman"/>
          <w:color w:val="FF0000"/>
          <w:sz w:val="28"/>
          <w:szCs w:val="26"/>
        </w:rPr>
        <w:t>(…)</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ARTÍCULO 44.</w:t>
      </w:r>
      <w:r w:rsidRPr="00C050D9">
        <w:rPr>
          <w:rFonts w:ascii="Times New Roman" w:hAnsi="Times New Roman" w:cs="Times New Roman"/>
          <w:sz w:val="28"/>
          <w:szCs w:val="26"/>
        </w:rPr>
        <w:t> Modifíquese el inciso 1 y el parágrafo 4 del</w:t>
      </w:r>
      <w:r w:rsidRPr="00C050D9">
        <w:rPr>
          <w:rFonts w:ascii="Times New Roman" w:hAnsi="Times New Roman" w:cs="Times New Roman"/>
          <w:sz w:val="28"/>
          <w:szCs w:val="26"/>
        </w:rPr>
        <w:t xml:space="preserve"> Artículo </w:t>
      </w:r>
      <w:hyperlink r:id="rId16" w:anchor="908" w:history="1">
        <w:r w:rsidRPr="00C050D9">
          <w:rPr>
            <w:rFonts w:ascii="Times New Roman" w:hAnsi="Times New Roman" w:cs="Times New Roman"/>
            <w:sz w:val="28"/>
            <w:szCs w:val="26"/>
            <w:u w:val="single"/>
          </w:rPr>
          <w:t>908</w:t>
        </w:r>
      </w:hyperlink>
      <w:r w:rsidRPr="00C050D9">
        <w:rPr>
          <w:rFonts w:ascii="Times New Roman" w:hAnsi="Times New Roman" w:cs="Times New Roman"/>
          <w:sz w:val="28"/>
          <w:szCs w:val="26"/>
        </w:rPr>
        <w:t> del Estatuto Tributario, los cuales quedarán así:</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Artículo </w:t>
      </w:r>
      <w:hyperlink r:id="rId17" w:anchor="908" w:history="1">
        <w:r w:rsidRPr="00C050D9">
          <w:rPr>
            <w:rFonts w:ascii="Times New Roman" w:hAnsi="Times New Roman" w:cs="Times New Roman"/>
            <w:b/>
            <w:bCs/>
            <w:sz w:val="28"/>
            <w:szCs w:val="26"/>
            <w:u w:val="single"/>
          </w:rPr>
          <w:t>908</w:t>
        </w:r>
      </w:hyperlink>
      <w:r w:rsidRPr="00C050D9">
        <w:rPr>
          <w:rFonts w:ascii="Times New Roman" w:hAnsi="Times New Roman" w:cs="Times New Roman"/>
          <w:b/>
          <w:bCs/>
          <w:sz w:val="28"/>
          <w:szCs w:val="26"/>
        </w:rPr>
        <w:t>. Tarifa</w:t>
      </w:r>
      <w:r w:rsidRPr="00C050D9">
        <w:rPr>
          <w:rFonts w:ascii="Times New Roman" w:hAnsi="Times New Roman" w:cs="Times New Roman"/>
          <w:sz w:val="28"/>
          <w:szCs w:val="26"/>
        </w:rPr>
        <w:t>. La tarifa del impuesto unificado bajo el régimen simple de Tributación –SIMPLE depende de los ingresos brutos anuales y de la actividad empresarial así:</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 Tiendas pequeñas, minimercados, micromercados y peluquería:</w:t>
      </w:r>
    </w:p>
    <w:p w:rsidR="00415C72" w:rsidRPr="00C050D9" w:rsidRDefault="00C050D9" w:rsidP="00415C72">
      <w:pPr>
        <w:spacing w:after="0" w:line="240" w:lineRule="auto"/>
        <w:rPr>
          <w:rFonts w:ascii="Times New Roman" w:hAnsi="Times New Roman" w:cs="Times New Roman"/>
          <w:sz w:val="28"/>
          <w:szCs w:val="2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55"/>
        <w:gridCol w:w="2671"/>
        <w:gridCol w:w="647"/>
      </w:tblGrid>
      <w:tr w:rsidR="00415C72" w:rsidRPr="00C050D9" w:rsidTr="002F3112">
        <w:trPr>
          <w:tblCellSpacing w:w="15" w:type="dxa"/>
        </w:trPr>
        <w:tc>
          <w:tcPr>
            <w:tcW w:w="33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anuales</w:t>
            </w:r>
          </w:p>
        </w:tc>
        <w:tc>
          <w:tcPr>
            <w:tcW w:w="17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75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1,2%</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2,8%</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4,4%</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5,6%</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205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17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r>
    </w:tbl>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 xml:space="preserve">2. Actividades comerciales al por mayor y detal; servicios técnicos y mecánicos en los </w:t>
      </w:r>
      <w:r w:rsidRPr="00C050D9">
        <w:rPr>
          <w:rFonts w:ascii="Times New Roman" w:hAnsi="Times New Roman" w:cs="Times New Roman"/>
          <w:sz w:val="28"/>
          <w:szCs w:val="26"/>
        </w:rPr>
        <w:t>que predomina el factor material sobre el intelectual, los electricistas los albañiles los servicios de construcción y los talleres mecánicos de vehículos y electrodomésticos; actividades industriales, incluidas las de agroindustria, miniindustria y microi</w:t>
      </w:r>
      <w:r w:rsidRPr="00C050D9">
        <w:rPr>
          <w:rFonts w:ascii="Times New Roman" w:hAnsi="Times New Roman" w:cs="Times New Roman"/>
          <w:sz w:val="28"/>
          <w:szCs w:val="26"/>
        </w:rPr>
        <w:t>ndustria; actividades de telecomunicaciones; y las demás actividades no incluidas en los siguientes numerales:</w:t>
      </w:r>
    </w:p>
    <w:p w:rsidR="00415C72" w:rsidRPr="00C050D9" w:rsidRDefault="00C050D9" w:rsidP="00415C72">
      <w:pPr>
        <w:spacing w:after="0" w:line="240" w:lineRule="auto"/>
        <w:rPr>
          <w:rFonts w:ascii="Times New Roman" w:hAnsi="Times New Roman" w:cs="Times New Roman"/>
          <w:sz w:val="28"/>
          <w:szCs w:val="2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55"/>
        <w:gridCol w:w="2671"/>
        <w:gridCol w:w="647"/>
      </w:tblGrid>
      <w:tr w:rsidR="00415C72" w:rsidRPr="00C050D9" w:rsidTr="002F3112">
        <w:trPr>
          <w:tblCellSpacing w:w="15" w:type="dxa"/>
        </w:trPr>
        <w:tc>
          <w:tcPr>
            <w:tcW w:w="33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anuales</w:t>
            </w:r>
          </w:p>
        </w:tc>
        <w:tc>
          <w:tcPr>
            <w:tcW w:w="17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8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1,6%</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2,0%</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3,5%</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4,5%</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21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17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r>
    </w:tbl>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 Actividades de expendio de comidas y bebidas, y actividades de transporte:</w:t>
      </w:r>
    </w:p>
    <w:p w:rsidR="00415C72" w:rsidRPr="00C050D9" w:rsidRDefault="00C050D9" w:rsidP="00415C72">
      <w:pPr>
        <w:spacing w:after="0" w:line="240" w:lineRule="auto"/>
        <w:rPr>
          <w:rFonts w:ascii="Times New Roman" w:hAnsi="Times New Roman" w:cs="Times New Roman"/>
          <w:sz w:val="28"/>
          <w:szCs w:val="2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55"/>
        <w:gridCol w:w="2671"/>
        <w:gridCol w:w="647"/>
      </w:tblGrid>
      <w:tr w:rsidR="00415C72" w:rsidRPr="00C050D9" w:rsidTr="002F3112">
        <w:trPr>
          <w:tblCellSpacing w:w="15" w:type="dxa"/>
        </w:trPr>
        <w:tc>
          <w:tcPr>
            <w:tcW w:w="33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anuales</w:t>
            </w:r>
          </w:p>
        </w:tc>
        <w:tc>
          <w:tcPr>
            <w:tcW w:w="17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75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3,1%</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3,4%</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4,0%</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4,5%</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21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17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r>
    </w:tbl>
    <w:p w:rsidR="00415C72" w:rsidRPr="00C050D9" w:rsidRDefault="00C050D9" w:rsidP="00415C72">
      <w:pPr>
        <w:spacing w:after="0" w:line="240" w:lineRule="auto"/>
        <w:rPr>
          <w:rFonts w:ascii="Times New Roman" w:hAnsi="Times New Roman" w:cs="Times New Roman"/>
          <w:b/>
          <w:bCs/>
          <w:sz w:val="28"/>
          <w:szCs w:val="26"/>
          <w:u w:val="single"/>
        </w:rPr>
      </w:pPr>
      <w:r w:rsidRPr="00C050D9">
        <w:rPr>
          <w:rFonts w:ascii="Times New Roman" w:hAnsi="Times New Roman" w:cs="Times New Roman"/>
          <w:b/>
          <w:bCs/>
          <w:sz w:val="28"/>
          <w:szCs w:val="26"/>
          <w:u w:val="single"/>
        </w:rPr>
        <w:t>4.</w:t>
      </w:r>
      <w:r w:rsidRPr="00C050D9">
        <w:rPr>
          <w:rFonts w:ascii="Times New Roman" w:hAnsi="Times New Roman" w:cs="Times New Roman"/>
          <w:sz w:val="28"/>
          <w:szCs w:val="26"/>
        </w:rPr>
        <w:t xml:space="preserve"> </w:t>
      </w:r>
      <w:r w:rsidRPr="00C050D9">
        <w:rPr>
          <w:rFonts w:ascii="Times New Roman" w:hAnsi="Times New Roman" w:cs="Times New Roman"/>
          <w:b/>
          <w:bCs/>
          <w:sz w:val="28"/>
          <w:szCs w:val="26"/>
          <w:u w:val="single"/>
        </w:rPr>
        <w:t>Educación y actividades de atención de la salud humana y de asistencia social:</w:t>
      </w:r>
    </w:p>
    <w:p w:rsidR="00415C72" w:rsidRPr="00C050D9" w:rsidRDefault="00C050D9" w:rsidP="00415C72">
      <w:pPr>
        <w:spacing w:after="0" w:line="240" w:lineRule="auto"/>
        <w:rPr>
          <w:rFonts w:ascii="Times New Roman" w:hAnsi="Times New Roman" w:cs="Times New Roman"/>
          <w:sz w:val="28"/>
          <w:szCs w:val="2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55"/>
        <w:gridCol w:w="2671"/>
        <w:gridCol w:w="647"/>
      </w:tblGrid>
      <w:tr w:rsidR="00415C72" w:rsidRPr="00C050D9" w:rsidTr="002F3112">
        <w:trPr>
          <w:tblCellSpacing w:w="15" w:type="dxa"/>
        </w:trPr>
        <w:tc>
          <w:tcPr>
            <w:tcW w:w="33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anuales</w:t>
            </w:r>
          </w:p>
        </w:tc>
        <w:tc>
          <w:tcPr>
            <w:tcW w:w="17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75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3,7%</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15.000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5,4%</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30.000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5,9%</w:t>
            </w:r>
          </w:p>
        </w:tc>
      </w:tr>
    </w:tbl>
    <w:p w:rsidR="00415C72" w:rsidRPr="00C050D9" w:rsidRDefault="00C050D9" w:rsidP="00415C72">
      <w:pPr>
        <w:spacing w:after="0" w:line="240" w:lineRule="auto"/>
        <w:rPr>
          <w:rFonts w:ascii="Times New Roman" w:hAnsi="Times New Roman" w:cs="Times New Roman"/>
          <w:b/>
          <w:bCs/>
          <w:sz w:val="28"/>
          <w:szCs w:val="26"/>
          <w:u w:val="single"/>
        </w:rPr>
      </w:pPr>
      <w:r w:rsidRPr="00C050D9">
        <w:rPr>
          <w:rFonts w:ascii="Times New Roman" w:hAnsi="Times New Roman" w:cs="Times New Roman"/>
          <w:b/>
          <w:bCs/>
          <w:sz w:val="28"/>
          <w:szCs w:val="26"/>
          <w:u w:val="single"/>
        </w:rPr>
        <w:t>5.</w:t>
      </w:r>
      <w:r w:rsidRPr="00C050D9">
        <w:rPr>
          <w:rFonts w:ascii="Times New Roman" w:hAnsi="Times New Roman" w:cs="Times New Roman"/>
          <w:sz w:val="28"/>
          <w:szCs w:val="26"/>
        </w:rPr>
        <w:t xml:space="preserve"> </w:t>
      </w:r>
      <w:r w:rsidRPr="00C050D9">
        <w:rPr>
          <w:rFonts w:ascii="Times New Roman" w:hAnsi="Times New Roman" w:cs="Times New Roman"/>
          <w:b/>
          <w:bCs/>
          <w:sz w:val="28"/>
          <w:szCs w:val="26"/>
          <w:u w:val="single"/>
        </w:rPr>
        <w:t>Servicios profesionales de consultoría y científicos en los que predomine el factor intelectual sobre el material, incluidos los servicios de profesiones liberales:</w:t>
      </w:r>
    </w:p>
    <w:p w:rsidR="00415C72" w:rsidRPr="00C050D9" w:rsidRDefault="00C050D9" w:rsidP="00415C72">
      <w:pPr>
        <w:spacing w:after="0" w:line="240" w:lineRule="auto"/>
        <w:rPr>
          <w:rFonts w:ascii="Times New Roman" w:hAnsi="Times New Roman" w:cs="Times New Roman"/>
          <w:b/>
          <w:bCs/>
          <w:sz w:val="28"/>
          <w:szCs w:val="26"/>
          <w:u w:val="single"/>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55"/>
        <w:gridCol w:w="2671"/>
        <w:gridCol w:w="647"/>
      </w:tblGrid>
      <w:tr w:rsidR="00415C72" w:rsidRPr="00C050D9" w:rsidTr="002F3112">
        <w:trPr>
          <w:tblCellSpacing w:w="15" w:type="dxa"/>
        </w:trPr>
        <w:tc>
          <w:tcPr>
            <w:tcW w:w="33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anuales</w:t>
            </w:r>
          </w:p>
        </w:tc>
        <w:tc>
          <w:tcPr>
            <w:tcW w:w="17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75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7,3%</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6.000</w:t>
            </w:r>
          </w:p>
        </w:tc>
        <w:tc>
          <w:tcPr>
            <w:tcW w:w="20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12.000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8,3%</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205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17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r>
    </w:tbl>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 xml:space="preserve">6. Actividades económicas CIIU 4665, 3830 y 3811: La tarifa del impuesto unificado bajo el régimen simple de tributación -SIMPLE- para las personas naturales o Jurídicas que desarrollen las actividades </w:t>
      </w:r>
      <w:r w:rsidRPr="00C050D9">
        <w:rPr>
          <w:rFonts w:ascii="Times New Roman" w:hAnsi="Times New Roman" w:cs="Times New Roman"/>
          <w:sz w:val="28"/>
          <w:szCs w:val="26"/>
        </w:rPr>
        <w:t>económicas CIIU 4665, 3830 y 3811, corresponderá al uno coma sesenta y dos por ciento (1,62%). La misma tarifa será aplicable para el pago bimestral anticipado que deberá declarar y pagar.</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PARÁGRAFO 4o.</w:t>
      </w:r>
      <w:r w:rsidRPr="00C050D9">
        <w:rPr>
          <w:rFonts w:ascii="Times New Roman" w:hAnsi="Times New Roman" w:cs="Times New Roman"/>
          <w:sz w:val="28"/>
          <w:szCs w:val="26"/>
        </w:rPr>
        <w:t> Los contribuyentes del impuesto unificado bajo el ré</w:t>
      </w:r>
      <w:r w:rsidRPr="00C050D9">
        <w:rPr>
          <w:rFonts w:ascii="Times New Roman" w:hAnsi="Times New Roman" w:cs="Times New Roman"/>
          <w:sz w:val="28"/>
          <w:szCs w:val="26"/>
        </w:rPr>
        <w:t>gimen simple de tributación - SIMPLE, están obligados a pagar de forma bimestral un anticipo a título de este impuesto, a través de los recibos de pago electrónico del régimen SIMPLE, el cual debe incluir la información sobre los ingresos que corresponde a</w:t>
      </w:r>
      <w:r w:rsidRPr="00C050D9">
        <w:rPr>
          <w:rFonts w:ascii="Times New Roman" w:hAnsi="Times New Roman" w:cs="Times New Roman"/>
          <w:sz w:val="28"/>
          <w:szCs w:val="26"/>
        </w:rPr>
        <w:t xml:space="preserve"> cada municipio o distrito.</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La base del anticipo depende de los ingresos brutos bimestrales y de la actividad desarrollada, así.</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 Tiendas pequeñas, minimercados, micromercados y peluquería:</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4"/>
        <w:gridCol w:w="2972"/>
        <w:gridCol w:w="737"/>
      </w:tblGrid>
      <w:tr w:rsidR="00415C72" w:rsidRPr="00C050D9" w:rsidTr="002F3112">
        <w:trPr>
          <w:tblCellSpacing w:w="15" w:type="dxa"/>
        </w:trPr>
        <w:tc>
          <w:tcPr>
            <w:tcW w:w="29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bimestrales</w:t>
            </w:r>
          </w:p>
        </w:tc>
        <w:tc>
          <w:tcPr>
            <w:tcW w:w="21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 (bimestr</w:t>
            </w:r>
            <w:r w:rsidRPr="00C050D9">
              <w:rPr>
                <w:rFonts w:ascii="Times New Roman" w:hAnsi="Times New Roman" w:cs="Times New Roman"/>
                <w:b/>
                <w:bCs/>
                <w:sz w:val="28"/>
                <w:szCs w:val="26"/>
              </w:rPr>
              <w:t>al)</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75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1,2%</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2,8%</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4,4%</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16.666</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5,6%</w:t>
            </w:r>
          </w:p>
        </w:tc>
      </w:tr>
    </w:tbl>
    <w:p w:rsidR="0063795D"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 xml:space="preserve">2. Actividades comerciales al por mayor y detal; servicios técnicos y mecánicos en los que predomina el factor material sobre el intelectual, </w:t>
      </w:r>
      <w:r w:rsidRPr="00C050D9">
        <w:rPr>
          <w:rFonts w:ascii="Times New Roman" w:hAnsi="Times New Roman" w:cs="Times New Roman"/>
          <w:sz w:val="28"/>
          <w:szCs w:val="26"/>
        </w:rPr>
        <w:t>los electricistas, los albañiles, los servicios de construcción y los talleres mecánicos de vehículos y electrodomésticos; actividades industriales, incluidas las de agroindustria miniindustria y microindustria; actividades de telecomunicaciones; y las dem</w:t>
      </w:r>
      <w:r w:rsidRPr="00C050D9">
        <w:rPr>
          <w:rFonts w:ascii="Times New Roman" w:hAnsi="Times New Roman" w:cs="Times New Roman"/>
          <w:sz w:val="28"/>
          <w:szCs w:val="26"/>
        </w:rPr>
        <w:t>ás actividades no incluidas en los siguientes numerales:</w:t>
      </w:r>
    </w:p>
    <w:p w:rsidR="0063795D" w:rsidRPr="00C050D9" w:rsidRDefault="00C050D9" w:rsidP="00415C72">
      <w:pPr>
        <w:spacing w:after="0" w:line="240" w:lineRule="auto"/>
        <w:rPr>
          <w:rFonts w:ascii="Times New Roman" w:hAnsi="Times New Roman" w:cs="Times New Roman"/>
          <w:sz w:val="28"/>
          <w:szCs w:val="2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4"/>
        <w:gridCol w:w="2885"/>
        <w:gridCol w:w="824"/>
      </w:tblGrid>
      <w:tr w:rsidR="00415C72" w:rsidRPr="00C050D9" w:rsidTr="002F3112">
        <w:trPr>
          <w:tblCellSpacing w:w="15" w:type="dxa"/>
        </w:trPr>
        <w:tc>
          <w:tcPr>
            <w:tcW w:w="29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bimestrales</w:t>
            </w:r>
          </w:p>
        </w:tc>
        <w:tc>
          <w:tcPr>
            <w:tcW w:w="21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 (bimestral)</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8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21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1,6%</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21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2,0%</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21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3,5%</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16.666</w:t>
            </w:r>
          </w:p>
        </w:tc>
        <w:tc>
          <w:tcPr>
            <w:tcW w:w="21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4,5%</w:t>
            </w:r>
          </w:p>
        </w:tc>
      </w:tr>
    </w:tbl>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 xml:space="preserve">3. Actividades de </w:t>
      </w:r>
      <w:r w:rsidRPr="00C050D9">
        <w:rPr>
          <w:rFonts w:ascii="Times New Roman" w:hAnsi="Times New Roman" w:cs="Times New Roman"/>
          <w:sz w:val="28"/>
          <w:szCs w:val="26"/>
        </w:rPr>
        <w:t>expendio de comidas y bebidas, y actividades de transporte: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4"/>
        <w:gridCol w:w="2885"/>
        <w:gridCol w:w="824"/>
      </w:tblGrid>
      <w:tr w:rsidR="00415C72" w:rsidRPr="00C050D9" w:rsidTr="002F3112">
        <w:trPr>
          <w:tblCellSpacing w:w="15" w:type="dxa"/>
        </w:trPr>
        <w:tc>
          <w:tcPr>
            <w:tcW w:w="29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bimestrales</w:t>
            </w:r>
          </w:p>
        </w:tc>
        <w:tc>
          <w:tcPr>
            <w:tcW w:w="21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 (bimestral)</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75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3,1%</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3,4%</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4,0%</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16.666</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4,5%</w:t>
            </w:r>
          </w:p>
        </w:tc>
      </w:tr>
    </w:tbl>
    <w:p w:rsidR="00415C72" w:rsidRPr="00C050D9" w:rsidRDefault="00C050D9" w:rsidP="00415C72">
      <w:pPr>
        <w:spacing w:after="0" w:line="240" w:lineRule="auto"/>
        <w:rPr>
          <w:rFonts w:ascii="Times New Roman" w:hAnsi="Times New Roman" w:cs="Times New Roman"/>
          <w:b/>
          <w:bCs/>
          <w:sz w:val="28"/>
          <w:szCs w:val="26"/>
          <w:u w:val="single"/>
        </w:rPr>
      </w:pPr>
      <w:r w:rsidRPr="00C050D9">
        <w:rPr>
          <w:rFonts w:ascii="Times New Roman" w:hAnsi="Times New Roman" w:cs="Times New Roman"/>
          <w:sz w:val="28"/>
          <w:szCs w:val="26"/>
        </w:rPr>
        <w:t xml:space="preserve">4. </w:t>
      </w:r>
      <w:r w:rsidRPr="00C050D9">
        <w:rPr>
          <w:rFonts w:ascii="Times New Roman" w:hAnsi="Times New Roman" w:cs="Times New Roman"/>
          <w:b/>
          <w:bCs/>
          <w:sz w:val="28"/>
          <w:szCs w:val="26"/>
          <w:u w:val="single"/>
        </w:rPr>
        <w:t xml:space="preserve">Educación y </w:t>
      </w:r>
      <w:r w:rsidRPr="00C050D9">
        <w:rPr>
          <w:rFonts w:ascii="Times New Roman" w:hAnsi="Times New Roman" w:cs="Times New Roman"/>
          <w:b/>
          <w:bCs/>
          <w:sz w:val="28"/>
          <w:szCs w:val="26"/>
          <w:u w:val="single"/>
        </w:rPr>
        <w:t>actividades de atención de la salud humana y de asistencia social: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4"/>
        <w:gridCol w:w="2972"/>
        <w:gridCol w:w="737"/>
      </w:tblGrid>
      <w:tr w:rsidR="00415C72" w:rsidRPr="00C050D9" w:rsidTr="002F3112">
        <w:trPr>
          <w:tblCellSpacing w:w="15" w:type="dxa"/>
        </w:trPr>
        <w:tc>
          <w:tcPr>
            <w:tcW w:w="29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bimestrales</w:t>
            </w:r>
          </w:p>
        </w:tc>
        <w:tc>
          <w:tcPr>
            <w:tcW w:w="21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 (bimestral)</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75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Inferior (UVT)</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3,7%</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2.500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5,4%</w:t>
            </w:r>
          </w:p>
        </w:tc>
      </w:tr>
      <w:tr w:rsidR="00415C72" w:rsidRPr="00C050D9" w:rsidTr="002F3112">
        <w:trPr>
          <w:tblCellSpacing w:w="15" w:type="dxa"/>
        </w:trPr>
        <w:tc>
          <w:tcPr>
            <w:tcW w:w="12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5.000</w:t>
            </w:r>
          </w:p>
        </w:tc>
        <w:tc>
          <w:tcPr>
            <w:tcW w:w="17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16.666</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5,9%</w:t>
            </w:r>
          </w:p>
        </w:tc>
      </w:tr>
    </w:tbl>
    <w:p w:rsidR="00415C72" w:rsidRPr="00C050D9" w:rsidRDefault="00C050D9" w:rsidP="00415C72">
      <w:pPr>
        <w:spacing w:after="0" w:line="240" w:lineRule="auto"/>
        <w:rPr>
          <w:rFonts w:ascii="Times New Roman" w:hAnsi="Times New Roman" w:cs="Times New Roman"/>
          <w:b/>
          <w:bCs/>
          <w:sz w:val="28"/>
          <w:szCs w:val="26"/>
          <w:u w:val="single"/>
        </w:rPr>
      </w:pPr>
      <w:r w:rsidRPr="00C050D9">
        <w:rPr>
          <w:rFonts w:ascii="Times New Roman" w:hAnsi="Times New Roman" w:cs="Times New Roman"/>
          <w:sz w:val="28"/>
          <w:szCs w:val="26"/>
        </w:rPr>
        <w:t xml:space="preserve">5. </w:t>
      </w:r>
      <w:r w:rsidRPr="00C050D9">
        <w:rPr>
          <w:rFonts w:ascii="Times New Roman" w:hAnsi="Times New Roman" w:cs="Times New Roman"/>
          <w:b/>
          <w:bCs/>
          <w:sz w:val="28"/>
          <w:szCs w:val="26"/>
          <w:u w:val="single"/>
        </w:rPr>
        <w:t xml:space="preserve">Servicios </w:t>
      </w:r>
      <w:r w:rsidRPr="00C050D9">
        <w:rPr>
          <w:rFonts w:ascii="Times New Roman" w:hAnsi="Times New Roman" w:cs="Times New Roman"/>
          <w:b/>
          <w:bCs/>
          <w:sz w:val="28"/>
          <w:szCs w:val="26"/>
          <w:u w:val="single"/>
        </w:rPr>
        <w:t>profesionales, de consultoría y científicos en los que predomine el factor intelectual sobre el material, incluidos los servicios de profesiones liberales: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4"/>
        <w:gridCol w:w="2885"/>
        <w:gridCol w:w="824"/>
      </w:tblGrid>
      <w:tr w:rsidR="00415C72" w:rsidRPr="00C050D9" w:rsidTr="002F3112">
        <w:trPr>
          <w:tblCellSpacing w:w="15" w:type="dxa"/>
        </w:trPr>
        <w:tc>
          <w:tcPr>
            <w:tcW w:w="29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Ingresos brutos bimestrales</w:t>
            </w:r>
          </w:p>
        </w:tc>
        <w:tc>
          <w:tcPr>
            <w:tcW w:w="21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Tarifa SIMPLE consolidada (bimestral)</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Igual o superior (UVT)</w:t>
            </w:r>
          </w:p>
        </w:tc>
        <w:tc>
          <w:tcPr>
            <w:tcW w:w="3800" w:type="pct"/>
            <w:gridSpan w:val="2"/>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b/>
                <w:bCs/>
                <w:sz w:val="28"/>
                <w:szCs w:val="26"/>
              </w:rPr>
              <w:t xml:space="preserve">Inferior </w:t>
            </w:r>
            <w:r w:rsidRPr="00C050D9">
              <w:rPr>
                <w:rFonts w:ascii="Times New Roman" w:hAnsi="Times New Roman" w:cs="Times New Roman"/>
                <w:b/>
                <w:bCs/>
                <w:sz w:val="28"/>
                <w:szCs w:val="26"/>
              </w:rPr>
              <w:t>(UVT)</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7,3%</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1.000</w:t>
            </w:r>
          </w:p>
        </w:tc>
        <w:tc>
          <w:tcPr>
            <w:tcW w:w="165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2.000</w:t>
            </w:r>
          </w:p>
        </w:tc>
        <w:tc>
          <w:tcPr>
            <w:tcW w:w="2100" w:type="pct"/>
            <w:tcBorders>
              <w:top w:val="single" w:sz="6" w:space="0" w:color="auto"/>
              <w:left w:val="single" w:sz="6" w:space="0" w:color="auto"/>
              <w:bottom w:val="single" w:sz="6" w:space="0" w:color="auto"/>
              <w:right w:val="single" w:sz="6" w:space="0" w:color="auto"/>
            </w:tcBorders>
            <w:hideMark/>
          </w:tcPr>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8,3%</w:t>
            </w:r>
          </w:p>
        </w:tc>
      </w:tr>
      <w:tr w:rsidR="00415C72" w:rsidRPr="00C050D9" w:rsidTr="002F3112">
        <w:trPr>
          <w:tblCellSpacing w:w="15" w:type="dxa"/>
        </w:trPr>
        <w:tc>
          <w:tcPr>
            <w:tcW w:w="12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165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c>
          <w:tcPr>
            <w:tcW w:w="2100" w:type="pct"/>
            <w:tcBorders>
              <w:top w:val="single" w:sz="6" w:space="0" w:color="auto"/>
              <w:left w:val="single" w:sz="6" w:space="0" w:color="auto"/>
              <w:bottom w:val="single" w:sz="6" w:space="0" w:color="auto"/>
              <w:right w:val="single" w:sz="6" w:space="0" w:color="auto"/>
            </w:tcBorders>
          </w:tcPr>
          <w:p w:rsidR="00415C72" w:rsidRPr="00C050D9" w:rsidRDefault="00C050D9" w:rsidP="00415C72">
            <w:pPr>
              <w:spacing w:after="0" w:line="240" w:lineRule="auto"/>
              <w:rPr>
                <w:rFonts w:ascii="Times New Roman" w:hAnsi="Times New Roman" w:cs="Times New Roman"/>
                <w:sz w:val="28"/>
                <w:szCs w:val="26"/>
              </w:rPr>
            </w:pPr>
          </w:p>
        </w:tc>
      </w:tr>
    </w:tbl>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 xml:space="preserve">6. Actividades Económicas CIIU 4665, 3830 y 3811: La tarifa del impuesto unificado bajo el régimen simple de tributación - SIMPLE- para las personas naturales o Jurídicas que desarrollen las actividades </w:t>
      </w:r>
      <w:r w:rsidRPr="00C050D9">
        <w:rPr>
          <w:rFonts w:ascii="Times New Roman" w:hAnsi="Times New Roman" w:cs="Times New Roman"/>
          <w:sz w:val="28"/>
          <w:szCs w:val="26"/>
        </w:rPr>
        <w:t>económicas CIIU 4665, 3830 y 3811, corresponderá al uno coma sesenta y dos por ciento (1,62%). La misma tarifa será aplicable para el pago bimestral anticipado que deberá declarar y pagar.</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rPr>
          <w:rFonts w:ascii="Times New Roman" w:hAnsi="Times New Roman" w:cs="Times New Roman"/>
          <w:sz w:val="28"/>
          <w:szCs w:val="26"/>
        </w:rPr>
      </w:pPr>
      <w:r w:rsidRPr="00C050D9">
        <w:rPr>
          <w:rFonts w:ascii="Times New Roman" w:hAnsi="Times New Roman" w:cs="Times New Roman"/>
          <w:sz w:val="28"/>
          <w:szCs w:val="26"/>
        </w:rPr>
        <w:t xml:space="preserve">En los recibos electrónicos de pago del anticipo bimestral SIMPLE </w:t>
      </w:r>
      <w:r w:rsidRPr="00C050D9">
        <w:rPr>
          <w:rFonts w:ascii="Times New Roman" w:hAnsi="Times New Roman" w:cs="Times New Roman"/>
          <w:sz w:val="28"/>
          <w:szCs w:val="26"/>
        </w:rPr>
        <w:t>se adicionará la tarifa correspondiente al impuesto nacional al consumo, a la tarifa del ocho por ciento (8%) por concepto de impuesto al consumo a la tarifa SIMPLE consolidada. De igual forma, se entiende integrada la tarifa consolidada del impuesto de in</w:t>
      </w:r>
      <w:r w:rsidRPr="00C050D9">
        <w:rPr>
          <w:rFonts w:ascii="Times New Roman" w:hAnsi="Times New Roman" w:cs="Times New Roman"/>
          <w:sz w:val="28"/>
          <w:szCs w:val="26"/>
        </w:rPr>
        <w:t>dustria y comercio en la tarifa SIMPLE».</w:t>
      </w:r>
    </w:p>
    <w:p w:rsidR="00415C72" w:rsidRPr="00C050D9" w:rsidRDefault="00C050D9" w:rsidP="00415C72">
      <w:pPr>
        <w:spacing w:after="0" w:line="240" w:lineRule="auto"/>
        <w:rPr>
          <w:rFonts w:ascii="Times New Roman" w:hAnsi="Times New Roman" w:cs="Times New Roman"/>
          <w:sz w:val="28"/>
          <w:szCs w:val="26"/>
        </w:rPr>
      </w:pPr>
    </w:p>
    <w:p w:rsidR="00415C72" w:rsidRPr="00C050D9" w:rsidRDefault="00C050D9" w:rsidP="00415C72">
      <w:pPr>
        <w:spacing w:after="0" w:line="240" w:lineRule="auto"/>
        <w:jc w:val="center"/>
        <w:rPr>
          <w:rFonts w:ascii="Times New Roman" w:hAnsi="Times New Roman" w:cs="Times New Roman"/>
          <w:sz w:val="28"/>
          <w:szCs w:val="26"/>
        </w:rPr>
      </w:pPr>
      <w:bookmarkStart w:id="10" w:name="_Hlk133332310"/>
      <w:r w:rsidRPr="00C050D9">
        <w:rPr>
          <w:rFonts w:ascii="Times New Roman" w:hAnsi="Times New Roman" w:cs="Times New Roman"/>
          <w:sz w:val="28"/>
          <w:szCs w:val="26"/>
        </w:rPr>
        <w:t>~ ~ ~</w:t>
      </w:r>
    </w:p>
    <w:bookmarkEnd w:id="10"/>
    <w:p w:rsidR="00035ACA" w:rsidRPr="00C050D9" w:rsidRDefault="00C050D9" w:rsidP="00415C72">
      <w:pPr>
        <w:spacing w:after="0" w:line="240" w:lineRule="auto"/>
        <w:rPr>
          <w:rFonts w:ascii="Times New Roman" w:hAnsi="Times New Roman" w:cs="Times New Roman"/>
          <w:sz w:val="28"/>
          <w:szCs w:val="28"/>
        </w:rPr>
      </w:pPr>
    </w:p>
    <w:bookmarkEnd w:id="9"/>
    <w:p w:rsidR="00415C72" w:rsidRPr="00C050D9" w:rsidRDefault="00C050D9" w:rsidP="00415C72">
      <w:pPr>
        <w:numPr>
          <w:ilvl w:val="0"/>
          <w:numId w:val="2"/>
        </w:numPr>
        <w:tabs>
          <w:tab w:val="left" w:pos="284"/>
          <w:tab w:val="left" w:pos="426"/>
        </w:tabs>
        <w:autoSpaceDE w:val="0"/>
        <w:autoSpaceDN w:val="0"/>
        <w:adjustRightInd w:val="0"/>
        <w:spacing w:after="0" w:line="240" w:lineRule="auto"/>
        <w:ind w:left="0" w:right="51" w:firstLine="0"/>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Los demandantes presentaron cuatro cargos contra los apartes resaltados en las normas transcritas. A continuación, se hará una síntesis de la demanda en el orden presentado por los ciudadanos. En resumen, fo</w:t>
      </w:r>
      <w:r w:rsidRPr="00C050D9">
        <w:rPr>
          <w:rFonts w:ascii="Times New Roman" w:hAnsi="Times New Roman" w:cs="Times New Roman"/>
          <w:sz w:val="28"/>
          <w:szCs w:val="28"/>
          <w:lang w:val="es-ES_tradnl" w:eastAsia="es-ES"/>
        </w:rPr>
        <w:t xml:space="preserve">rmularon los siguientes cargos: </w:t>
      </w:r>
    </w:p>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bookmarkStart w:id="11" w:name="_Hlk135127469"/>
      <w:r w:rsidRPr="00C050D9">
        <w:rPr>
          <w:rFonts w:ascii="Times New Roman" w:hAnsi="Times New Roman" w:cs="Times New Roman"/>
          <w:sz w:val="28"/>
          <w:szCs w:val="28"/>
          <w:lang w:val="es-ES_tradnl" w:eastAsia="es-ES"/>
        </w:rPr>
        <w:t>(i) el parágrafo 6° del artículo 10 de la Ley 2277 de 2022, por medio del cual se modificó el artículo 270 del Estatuto Tributario, desconoce los principios de legalidad y certeza tributaria (art. 338 CP) al incluir como b</w:t>
      </w:r>
      <w:r w:rsidRPr="00C050D9">
        <w:rPr>
          <w:rFonts w:ascii="Times New Roman" w:hAnsi="Times New Roman" w:cs="Times New Roman"/>
          <w:sz w:val="28"/>
          <w:szCs w:val="28"/>
          <w:lang w:val="es-ES_tradnl" w:eastAsia="es-ES"/>
        </w:rPr>
        <w:t xml:space="preserve">ase gravable del “impuesto mínimo de tributación”, la «utilidad financiera depurada», concepto cuyo contenido no se encuentra determinado por el legislador; </w:t>
      </w:r>
    </w:p>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(ii) el </w:t>
      </w:r>
      <w:bookmarkStart w:id="12" w:name="_Hlk133333375"/>
      <w:r w:rsidRPr="00C050D9">
        <w:rPr>
          <w:rFonts w:ascii="Times New Roman" w:hAnsi="Times New Roman" w:cs="Times New Roman"/>
          <w:sz w:val="28"/>
          <w:szCs w:val="28"/>
          <w:lang w:val="es-ES_tradnl" w:eastAsia="es-ES"/>
        </w:rPr>
        <w:t>parágrafo 6° del artículo 10 de la Ley 2277 de 2022, por medio del cual se modificó el ar</w:t>
      </w:r>
      <w:r w:rsidRPr="00C050D9">
        <w:rPr>
          <w:rFonts w:ascii="Times New Roman" w:hAnsi="Times New Roman" w:cs="Times New Roman"/>
          <w:sz w:val="28"/>
          <w:szCs w:val="28"/>
          <w:lang w:val="es-ES_tradnl" w:eastAsia="es-ES"/>
        </w:rPr>
        <w:t>tículo 270 del Estatuto Tributario, viola el derecho a la propiedad privada (art. 58 CP) al omitir contemplar todas las rentas exentas de las que se benefician los contribuyentes según su actividad económica, para ser restadas en el cálculo del impuesto mí</w:t>
      </w:r>
      <w:r w:rsidRPr="00C050D9">
        <w:rPr>
          <w:rFonts w:ascii="Times New Roman" w:hAnsi="Times New Roman" w:cs="Times New Roman"/>
          <w:sz w:val="28"/>
          <w:szCs w:val="28"/>
          <w:lang w:val="es-ES_tradnl" w:eastAsia="es-ES"/>
        </w:rPr>
        <w:t>nimo de tributación</w:t>
      </w:r>
      <w:bookmarkEnd w:id="12"/>
      <w:r w:rsidRPr="00C050D9">
        <w:rPr>
          <w:rFonts w:ascii="Times New Roman" w:hAnsi="Times New Roman" w:cs="Times New Roman"/>
          <w:sz w:val="28"/>
          <w:szCs w:val="28"/>
          <w:lang w:val="es-ES_tradnl" w:eastAsia="es-ES"/>
        </w:rPr>
        <w:t xml:space="preserve">; </w:t>
      </w:r>
    </w:p>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(iii) el parágrafo del artículo 3° de la Ley 2277 de 2022, que modificó el artículo 242 del Estatuto Tributario, desconoce los principios de equidad y justicia tributaria al establecer una retención en la fuente del 15% para el pago </w:t>
      </w:r>
      <w:r w:rsidRPr="00C050D9">
        <w:rPr>
          <w:rFonts w:ascii="Times New Roman" w:hAnsi="Times New Roman" w:cs="Times New Roman"/>
          <w:sz w:val="28"/>
          <w:szCs w:val="28"/>
          <w:lang w:val="es-ES_tradnl" w:eastAsia="es-ES"/>
        </w:rPr>
        <w:t xml:space="preserve">de dividendos, sin incluir gastos y costos; </w:t>
      </w:r>
    </w:p>
    <w:bookmarkEnd w:id="11"/>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left" w:pos="284"/>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(iv) el artículo 42 de la Ley 2277 de 2022, el cual adicionó el inciso 2° al numeral 2° del artículo 905 del Estatuto Tributario y los numerales 4 y 5 del inciso 2° y del parágrafo 4° del artículo 44 de la Ley </w:t>
      </w:r>
      <w:r w:rsidRPr="00C050D9">
        <w:rPr>
          <w:rFonts w:ascii="Times New Roman" w:hAnsi="Times New Roman" w:cs="Times New Roman"/>
          <w:sz w:val="28"/>
          <w:szCs w:val="28"/>
          <w:lang w:val="es-ES_tradnl" w:eastAsia="es-ES"/>
        </w:rPr>
        <w:t>2277 de 2022, que modificaron el artículo 908 del Estatuto Tributario, vulneran el derecho a la igualdad (art. 13 CP) y el principio de equidad tributaria - horizontal (art. 363 CP) al contemplar dos grupos de personas que son profesiones liberales (numera</w:t>
      </w:r>
      <w:r w:rsidRPr="00C050D9">
        <w:rPr>
          <w:rFonts w:ascii="Times New Roman" w:hAnsi="Times New Roman" w:cs="Times New Roman"/>
          <w:sz w:val="28"/>
          <w:szCs w:val="28"/>
          <w:lang w:val="es-ES_tradnl" w:eastAsia="es-ES"/>
        </w:rPr>
        <w:t>l 4. «Educación y actividades de atención de salud humana y de asistencia social» y numeral 5. «Servicios profesionales de consultoría y científicos en los que predomine el factor intelectual sobre el material, incluidos los servicios de profesiones libera</w:t>
      </w:r>
      <w:r w:rsidRPr="00C050D9">
        <w:rPr>
          <w:rFonts w:ascii="Times New Roman" w:hAnsi="Times New Roman" w:cs="Times New Roman"/>
          <w:sz w:val="28"/>
          <w:szCs w:val="28"/>
          <w:lang w:val="es-ES_tradnl" w:eastAsia="es-ES"/>
        </w:rPr>
        <w:t xml:space="preserve">les») e imponer topes y tarifas diferentes para el impuesto unificado del Régimen Simple de Tributación. </w:t>
      </w:r>
    </w:p>
    <w:p w:rsidR="00415C72" w:rsidRPr="00C050D9" w:rsidRDefault="00C050D9" w:rsidP="00035ACA">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035ACA" w:rsidRPr="00C050D9" w:rsidRDefault="00C050D9" w:rsidP="00035ACA">
      <w:pPr>
        <w:numPr>
          <w:ilvl w:val="0"/>
          <w:numId w:val="2"/>
        </w:numPr>
        <w:tabs>
          <w:tab w:val="left" w:pos="284"/>
          <w:tab w:val="num" w:pos="426"/>
        </w:tabs>
        <w:overflowPunct w:val="0"/>
        <w:autoSpaceDE w:val="0"/>
        <w:autoSpaceDN w:val="0"/>
        <w:adjustRightInd w:val="0"/>
        <w:spacing w:after="0" w:line="240" w:lineRule="auto"/>
        <w:ind w:left="0" w:firstLine="0"/>
        <w:contextualSpacing/>
        <w:textAlignment w:val="baseline"/>
        <w:rPr>
          <w:rFonts w:ascii="Times New Roman" w:hAnsi="Times New Roman" w:cs="Times New Roman"/>
          <w:sz w:val="28"/>
          <w:szCs w:val="28"/>
          <w:lang w:val="es-ES_tradnl" w:eastAsia="es-MX"/>
        </w:rPr>
      </w:pPr>
      <w:r w:rsidRPr="00C050D9">
        <w:rPr>
          <w:rFonts w:ascii="Times New Roman" w:hAnsi="Times New Roman" w:cs="Times New Roman"/>
          <w:sz w:val="28"/>
          <w:szCs w:val="28"/>
          <w:lang w:val="es-ES_tradnl" w:eastAsia="es-MX"/>
        </w:rPr>
        <w:t xml:space="preserve">La Sala Plena de la Corporación, en sesión del 23 de marzo de 2023 resolvió acumular el expediente D-15.213 a los expedientes D-15.211 y D-15.217, y </w:t>
      </w:r>
      <w:r w:rsidRPr="00C050D9">
        <w:rPr>
          <w:rFonts w:ascii="Times New Roman" w:hAnsi="Times New Roman" w:cs="Times New Roman"/>
          <w:sz w:val="28"/>
          <w:szCs w:val="28"/>
          <w:lang w:val="es-ES_tradnl" w:eastAsia="es-MX"/>
        </w:rPr>
        <w:t>previo sorteo de rigor, remitió el asunto al Despacho de la magistrada Paola Andrea Meneses Mosquera para impartir el trámite correspondiente.</w:t>
      </w:r>
      <w:r w:rsidRPr="00C050D9">
        <w:rPr>
          <w:rFonts w:ascii="Times New Roman" w:hAnsi="Times New Roman" w:cs="Times New Roman"/>
          <w:sz w:val="28"/>
          <w:szCs w:val="28"/>
          <w:vertAlign w:val="superscript"/>
          <w:lang w:val="es-ES_tradnl" w:eastAsia="es-MX"/>
        </w:rPr>
        <w:footnoteReference w:id="1"/>
      </w:r>
      <w:r w:rsidRPr="00C050D9">
        <w:rPr>
          <w:rFonts w:ascii="Times New Roman" w:hAnsi="Times New Roman" w:cs="Times New Roman"/>
          <w:sz w:val="28"/>
          <w:szCs w:val="28"/>
          <w:lang w:val="es-ES_tradnl" w:eastAsia="es-MX"/>
        </w:rPr>
        <w:t xml:space="preserve"> </w:t>
      </w:r>
    </w:p>
    <w:p w:rsidR="00035ACA" w:rsidRPr="00C050D9" w:rsidRDefault="00C050D9" w:rsidP="00035ACA">
      <w:pPr>
        <w:tabs>
          <w:tab w:val="left" w:pos="0"/>
          <w:tab w:val="num" w:pos="750"/>
        </w:tabs>
        <w:overflowPunct w:val="0"/>
        <w:autoSpaceDE w:val="0"/>
        <w:autoSpaceDN w:val="0"/>
        <w:adjustRightInd w:val="0"/>
        <w:spacing w:after="0" w:line="240" w:lineRule="auto"/>
        <w:textAlignment w:val="baseline"/>
        <w:rPr>
          <w:rFonts w:ascii="Times New Roman" w:hAnsi="Times New Roman" w:cs="Times New Roman"/>
          <w:sz w:val="28"/>
          <w:szCs w:val="28"/>
          <w:lang w:eastAsia="es-MX"/>
        </w:rPr>
      </w:pPr>
    </w:p>
    <w:p w:rsidR="00035ACA" w:rsidRPr="00C050D9" w:rsidRDefault="00C050D9" w:rsidP="00035ACA">
      <w:pPr>
        <w:numPr>
          <w:ilvl w:val="0"/>
          <w:numId w:val="2"/>
        </w:numPr>
        <w:tabs>
          <w:tab w:val="num" w:pos="0"/>
          <w:tab w:val="num" w:pos="142"/>
          <w:tab w:val="left" w:pos="284"/>
          <w:tab w:val="num" w:pos="426"/>
        </w:tabs>
        <w:overflowPunct w:val="0"/>
        <w:autoSpaceDE w:val="0"/>
        <w:autoSpaceDN w:val="0"/>
        <w:adjustRightInd w:val="0"/>
        <w:spacing w:after="0" w:line="240" w:lineRule="auto"/>
        <w:ind w:left="0" w:firstLine="0"/>
        <w:contextualSpacing/>
        <w:textAlignment w:val="baseline"/>
        <w:rPr>
          <w:rFonts w:ascii="Times New Roman" w:hAnsi="Times New Roman" w:cs="Times New Roman"/>
          <w:sz w:val="28"/>
          <w:szCs w:val="28"/>
          <w:lang w:val="es-ES_tradnl" w:eastAsia="es-MX"/>
        </w:rPr>
      </w:pPr>
      <w:r w:rsidRPr="00C050D9">
        <w:rPr>
          <w:rFonts w:ascii="Times New Roman" w:hAnsi="Times New Roman" w:cs="Times New Roman"/>
          <w:sz w:val="28"/>
          <w:szCs w:val="28"/>
          <w:lang w:val="es-ES" w:eastAsia="es-MX"/>
        </w:rPr>
        <w:t xml:space="preserve">El 31 de marzo de 2023 la magistrada sustanciadora presentó impedimento para adelantar el trámite de admisión </w:t>
      </w:r>
      <w:r w:rsidRPr="00C050D9">
        <w:rPr>
          <w:rFonts w:ascii="Times New Roman" w:hAnsi="Times New Roman" w:cs="Times New Roman"/>
          <w:sz w:val="28"/>
          <w:szCs w:val="28"/>
          <w:lang w:val="es-ES" w:eastAsia="es-MX"/>
        </w:rPr>
        <w:t>de los expedientes acumulados. En sesión virtual del 14 de abril de 2023 la Sala Plena aceptó el impedimento.</w:t>
      </w:r>
      <w:r w:rsidRPr="00C050D9">
        <w:rPr>
          <w:rFonts w:ascii="Times New Roman" w:hAnsi="Times New Roman" w:cs="Times New Roman"/>
          <w:sz w:val="28"/>
          <w:szCs w:val="28"/>
          <w:vertAlign w:val="superscript"/>
          <w:lang w:val="es-ES" w:eastAsia="es-MX"/>
        </w:rPr>
        <w:footnoteReference w:id="2"/>
      </w:r>
      <w:r w:rsidRPr="00C050D9">
        <w:rPr>
          <w:rFonts w:ascii="Times New Roman" w:hAnsi="Times New Roman" w:cs="Times New Roman"/>
          <w:sz w:val="28"/>
          <w:szCs w:val="28"/>
          <w:lang w:val="es-ES" w:eastAsia="es-MX"/>
        </w:rPr>
        <w:t xml:space="preserve"> Dado que éste se refería solo a la demanda relacionada con el artículo 10 de la Ley 2277 de 2022 (que modificó el artículo 240 del Estatuto Tributario), la Sala Plena resolvió desacumular los expedientes referidos.</w:t>
      </w:r>
    </w:p>
    <w:p w:rsidR="00035ACA" w:rsidRPr="00C050D9" w:rsidRDefault="00C050D9" w:rsidP="00035ACA">
      <w:pPr>
        <w:tabs>
          <w:tab w:val="num" w:pos="142"/>
          <w:tab w:val="left" w:pos="284"/>
          <w:tab w:val="num" w:pos="426"/>
        </w:tabs>
        <w:overflowPunct w:val="0"/>
        <w:autoSpaceDE w:val="0"/>
        <w:autoSpaceDN w:val="0"/>
        <w:adjustRightInd w:val="0"/>
        <w:spacing w:after="0" w:line="240" w:lineRule="auto"/>
        <w:contextualSpacing/>
        <w:textAlignment w:val="baseline"/>
        <w:rPr>
          <w:rFonts w:ascii="Times New Roman" w:hAnsi="Times New Roman" w:cs="Times New Roman"/>
          <w:sz w:val="28"/>
          <w:szCs w:val="28"/>
          <w:lang w:val="es-ES_tradnl" w:eastAsia="es-MX"/>
        </w:rPr>
      </w:pPr>
    </w:p>
    <w:p w:rsidR="00035ACA" w:rsidRPr="00C050D9" w:rsidRDefault="00C050D9" w:rsidP="00035ACA">
      <w:pPr>
        <w:numPr>
          <w:ilvl w:val="0"/>
          <w:numId w:val="2"/>
        </w:numPr>
        <w:tabs>
          <w:tab w:val="num" w:pos="0"/>
          <w:tab w:val="num" w:pos="142"/>
          <w:tab w:val="left" w:pos="284"/>
          <w:tab w:val="num" w:pos="426"/>
        </w:tabs>
        <w:overflowPunct w:val="0"/>
        <w:autoSpaceDE w:val="0"/>
        <w:autoSpaceDN w:val="0"/>
        <w:adjustRightInd w:val="0"/>
        <w:spacing w:after="0" w:line="240" w:lineRule="auto"/>
        <w:ind w:left="0" w:firstLine="0"/>
        <w:contextualSpacing/>
        <w:textAlignment w:val="baseline"/>
        <w:rPr>
          <w:rFonts w:ascii="Times New Roman" w:hAnsi="Times New Roman" w:cs="Times New Roman"/>
          <w:sz w:val="28"/>
          <w:szCs w:val="28"/>
          <w:lang w:val="es-ES_tradnl" w:eastAsia="es-MX"/>
        </w:rPr>
      </w:pPr>
      <w:r w:rsidRPr="00C050D9">
        <w:rPr>
          <w:rFonts w:ascii="Times New Roman" w:hAnsi="Times New Roman" w:cs="Times New Roman"/>
          <w:sz w:val="28"/>
          <w:szCs w:val="28"/>
          <w:lang w:val="es-ES_tradnl" w:eastAsia="es-MX"/>
        </w:rPr>
        <w:t>Conforme a lo anterior, según constanci</w:t>
      </w:r>
      <w:r w:rsidRPr="00C050D9">
        <w:rPr>
          <w:rFonts w:ascii="Times New Roman" w:hAnsi="Times New Roman" w:cs="Times New Roman"/>
          <w:sz w:val="28"/>
          <w:szCs w:val="28"/>
          <w:lang w:val="es-ES_tradnl" w:eastAsia="es-MX"/>
        </w:rPr>
        <w:t>a de la Secretaría General del 24 de abril</w:t>
      </w:r>
      <w:r w:rsidRPr="00C050D9">
        <w:rPr>
          <w:rFonts w:ascii="Times New Roman" w:hAnsi="Times New Roman" w:cs="Times New Roman"/>
          <w:sz w:val="28"/>
          <w:szCs w:val="28"/>
          <w:lang w:val="es-ES_tradnl" w:eastAsia="es-MX"/>
        </w:rPr>
        <w:t xml:space="preserve"> de 2023</w:t>
      </w:r>
      <w:r w:rsidRPr="00C050D9">
        <w:rPr>
          <w:rFonts w:ascii="Times New Roman" w:hAnsi="Times New Roman" w:cs="Times New Roman"/>
          <w:sz w:val="28"/>
          <w:szCs w:val="28"/>
          <w:lang w:val="es-ES_tradnl" w:eastAsia="es-MX"/>
        </w:rPr>
        <w:t>, el expediente D-15.213 fue remitido a la suscrita magistrada para impartir el trámite de admisión correspondiente.</w:t>
      </w:r>
      <w:r w:rsidRPr="00C050D9">
        <w:rPr>
          <w:rFonts w:ascii="Times New Roman" w:hAnsi="Times New Roman" w:cs="Times New Roman"/>
          <w:sz w:val="28"/>
          <w:szCs w:val="28"/>
          <w:vertAlign w:val="superscript"/>
          <w:lang w:val="es-ES" w:eastAsia="es-MX"/>
        </w:rPr>
        <w:footnoteReference w:id="3"/>
      </w:r>
    </w:p>
    <w:p w:rsidR="00035ACA"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D0072C" w:rsidRPr="00C050D9" w:rsidRDefault="00C050D9" w:rsidP="00415C72">
      <w:pPr>
        <w:pStyle w:val="Prrafodelista"/>
        <w:numPr>
          <w:ilvl w:val="0"/>
          <w:numId w:val="2"/>
        </w:numPr>
        <w:tabs>
          <w:tab w:val="clear" w:pos="750"/>
          <w:tab w:val="left" w:pos="284"/>
          <w:tab w:val="num" w:pos="360"/>
        </w:tabs>
        <w:spacing w:after="0" w:line="240" w:lineRule="auto"/>
        <w:ind w:left="0" w:firstLine="0"/>
        <w:rPr>
          <w:rFonts w:ascii="Times New Roman" w:hAnsi="Times New Roman" w:cs="Times New Roman"/>
          <w:sz w:val="28"/>
          <w:szCs w:val="28"/>
          <w:lang w:eastAsia="es-MX"/>
        </w:rPr>
      </w:pPr>
      <w:r w:rsidRPr="00C050D9">
        <w:rPr>
          <w:rFonts w:ascii="Times New Roman" w:hAnsi="Times New Roman" w:cs="Times New Roman"/>
          <w:sz w:val="28"/>
          <w:szCs w:val="28"/>
          <w:lang w:eastAsia="es-MX"/>
        </w:rPr>
        <w:t xml:space="preserve">Mediante Auto del 4 de mayo de 2023, la magistrada sustanciadora admitió únicamente el </w:t>
      </w:r>
      <w:r w:rsidRPr="00C050D9">
        <w:rPr>
          <w:rFonts w:ascii="Times New Roman" w:hAnsi="Times New Roman" w:cs="Times New Roman"/>
          <w:sz w:val="28"/>
          <w:szCs w:val="28"/>
          <w:lang w:eastAsia="es-MX"/>
        </w:rPr>
        <w:t xml:space="preserve">cuarto cargo, es decir, el dirigido contra el artículo 42 de la Ley 2277 de 2022, el cual adicionó el inciso 2° al numeral 2° del artículo 905 del Estatuto Tributario y los numerales 4 y 5 del inciso 2° y del parágrafo 4° del artículo 44 de la Ley 2277 de </w:t>
      </w:r>
      <w:r w:rsidRPr="00C050D9">
        <w:rPr>
          <w:rFonts w:ascii="Times New Roman" w:hAnsi="Times New Roman" w:cs="Times New Roman"/>
          <w:sz w:val="28"/>
          <w:szCs w:val="28"/>
          <w:lang w:eastAsia="es-MX"/>
        </w:rPr>
        <w:t>2022, que modificaron el artículo 908 del Estatuto Tributario, por la presunta violación del derecho a la igualdad (art. 13 CP) y el principio de equidad tributaria - horizontal (art. 363 CP). Por su parte, los demás cargos fueron inadmitidos. Los demandan</w:t>
      </w:r>
      <w:r w:rsidRPr="00C050D9">
        <w:rPr>
          <w:rFonts w:ascii="Times New Roman" w:hAnsi="Times New Roman" w:cs="Times New Roman"/>
          <w:sz w:val="28"/>
          <w:szCs w:val="28"/>
          <w:lang w:eastAsia="es-MX"/>
        </w:rPr>
        <w:t xml:space="preserve">tes presentaron corrección de la demanda de manera oportuna. </w:t>
      </w:r>
    </w:p>
    <w:p w:rsidR="00D0072C" w:rsidRPr="00C050D9" w:rsidRDefault="00C050D9" w:rsidP="00D0072C">
      <w:pPr>
        <w:pStyle w:val="Prrafodelista"/>
        <w:tabs>
          <w:tab w:val="left" w:pos="284"/>
        </w:tabs>
        <w:spacing w:after="0" w:line="240" w:lineRule="auto"/>
        <w:ind w:left="0"/>
        <w:rPr>
          <w:rFonts w:ascii="Times New Roman" w:hAnsi="Times New Roman" w:cs="Times New Roman"/>
          <w:sz w:val="28"/>
          <w:szCs w:val="28"/>
          <w:lang w:eastAsia="es-MX"/>
        </w:rPr>
      </w:pPr>
    </w:p>
    <w:p w:rsidR="00D0072C" w:rsidRPr="00C050D9" w:rsidRDefault="00C050D9" w:rsidP="00D0072C">
      <w:pPr>
        <w:pStyle w:val="Prrafodelista"/>
        <w:numPr>
          <w:ilvl w:val="0"/>
          <w:numId w:val="2"/>
        </w:numPr>
        <w:tabs>
          <w:tab w:val="clear" w:pos="750"/>
          <w:tab w:val="left" w:pos="284"/>
          <w:tab w:val="num" w:pos="360"/>
        </w:tabs>
        <w:spacing w:after="0" w:line="240" w:lineRule="auto"/>
        <w:ind w:left="0" w:firstLine="0"/>
        <w:rPr>
          <w:rFonts w:ascii="Times New Roman" w:hAnsi="Times New Roman" w:cs="Times New Roman"/>
          <w:sz w:val="28"/>
          <w:szCs w:val="28"/>
          <w:lang w:eastAsia="es-MX"/>
        </w:rPr>
      </w:pPr>
      <w:r w:rsidRPr="00C050D9">
        <w:rPr>
          <w:rFonts w:ascii="Times New Roman" w:hAnsi="Times New Roman" w:cs="Times New Roman"/>
          <w:sz w:val="28"/>
          <w:szCs w:val="28"/>
          <w:lang w:eastAsia="es-MX"/>
        </w:rPr>
        <w:t xml:space="preserve">Mediante Auto del 26 de mayo de 2023 el despacho de la magistrada ponente admitió a trámite dos de los cargos formulados; a saber, contra el artículo 3 (que modificó el art. 242 del Estatuto </w:t>
      </w:r>
      <w:r w:rsidRPr="00C050D9">
        <w:rPr>
          <w:rFonts w:ascii="Times New Roman" w:hAnsi="Times New Roman" w:cs="Times New Roman"/>
          <w:sz w:val="28"/>
          <w:szCs w:val="28"/>
          <w:lang w:eastAsia="es-MX"/>
        </w:rPr>
        <w:t>Tributario), el artículo 42 (parcial) y los numerales 4 y 5 del inciso 2° y del parágrafo 4° del artículo 44 de la Ley 2277 de 2022 «por medio de la cual se adopta una reforma tributaria para la igualdad y la justicia social y se dictan otras disposiciones</w:t>
      </w:r>
      <w:r w:rsidRPr="00C050D9">
        <w:rPr>
          <w:rFonts w:ascii="Times New Roman" w:hAnsi="Times New Roman" w:cs="Times New Roman"/>
          <w:sz w:val="28"/>
          <w:szCs w:val="28"/>
          <w:lang w:eastAsia="es-MX"/>
        </w:rPr>
        <w:t>», por la presunta violación de los artículos 13, 95.9 y 363 de la Constitución Política. En esta misma providencia, la magistrada ordenó oficiar a la Dirección de Impuestos y Aduanas Nacionales – DIAN y al Ministerio de Hacienda y Crédito Público para que</w:t>
      </w:r>
      <w:r w:rsidRPr="00C050D9">
        <w:rPr>
          <w:rFonts w:ascii="Times New Roman" w:hAnsi="Times New Roman" w:cs="Times New Roman"/>
          <w:sz w:val="28"/>
          <w:szCs w:val="28"/>
          <w:lang w:eastAsia="es-MX"/>
        </w:rPr>
        <w:t xml:space="preserve"> respondieran preguntas relacionadas con los problemas jurídicos que subyacen al cargo de inconstitucionalidad formulado.</w:t>
      </w:r>
    </w:p>
    <w:p w:rsidR="00F40D98" w:rsidRPr="00C050D9" w:rsidRDefault="00C050D9" w:rsidP="00F40D98">
      <w:pPr>
        <w:pStyle w:val="Prrafodelista"/>
        <w:tabs>
          <w:tab w:val="left" w:pos="426"/>
        </w:tabs>
        <w:spacing w:after="0" w:line="240" w:lineRule="auto"/>
        <w:ind w:left="0" w:right="51"/>
        <w:rPr>
          <w:rFonts w:ascii="Times New Roman" w:eastAsiaTheme="minorHAnsi" w:hAnsi="Times New Roman" w:cs="Times New Roman"/>
          <w:sz w:val="28"/>
          <w:szCs w:val="28"/>
          <w:lang w:eastAsia="en-US"/>
        </w:rPr>
      </w:pPr>
    </w:p>
    <w:p w:rsidR="00F40D98" w:rsidRPr="00C050D9" w:rsidRDefault="00C050D9" w:rsidP="00F40D98">
      <w:pPr>
        <w:pStyle w:val="Prrafodelista"/>
        <w:tabs>
          <w:tab w:val="left" w:pos="426"/>
        </w:tabs>
        <w:spacing w:after="0" w:line="240" w:lineRule="auto"/>
        <w:ind w:left="0" w:right="51"/>
        <w:rPr>
          <w:rFonts w:ascii="Times New Roman" w:hAnsi="Times New Roman" w:cs="Times New Roman"/>
          <w:sz w:val="28"/>
          <w:szCs w:val="28"/>
          <w:lang w:val="es-ES_tradnl" w:eastAsia="es-ES"/>
        </w:rPr>
      </w:pPr>
      <w:r w:rsidRPr="00C050D9">
        <w:rPr>
          <w:rFonts w:ascii="Times New Roman" w:hAnsi="Times New Roman" w:cs="Times New Roman"/>
          <w:sz w:val="28"/>
          <w:szCs w:val="28"/>
          <w:bdr w:val="none" w:sz="0" w:space="0" w:color="auto" w:frame="1"/>
        </w:rPr>
        <w:t>En el mismo auto admisorio</w:t>
      </w:r>
      <w:r w:rsidRPr="00C050D9">
        <w:rPr>
          <w:rFonts w:ascii="Times New Roman" w:hAnsi="Times New Roman" w:cs="Times New Roman"/>
          <w:sz w:val="28"/>
          <w:szCs w:val="28"/>
          <w:bdr w:val="none" w:sz="0" w:space="0" w:color="auto" w:frame="1"/>
        </w:rPr>
        <w:t xml:space="preserve"> y de rechazo</w:t>
      </w:r>
      <w:r w:rsidRPr="00C050D9">
        <w:rPr>
          <w:rFonts w:ascii="Times New Roman" w:hAnsi="Times New Roman" w:cs="Times New Roman"/>
          <w:sz w:val="28"/>
          <w:szCs w:val="28"/>
          <w:bdr w:val="none" w:sz="0" w:space="0" w:color="auto" w:frame="1"/>
        </w:rPr>
        <w:t>,</w:t>
      </w:r>
      <w:r w:rsidRPr="00C050D9">
        <w:rPr>
          <w:rFonts w:ascii="Times New Roman" w:hAnsi="Times New Roman" w:cs="Times New Roman"/>
          <w:sz w:val="28"/>
          <w:szCs w:val="28"/>
          <w:bdr w:val="none" w:sz="0" w:space="0" w:color="auto" w:frame="1"/>
        </w:rPr>
        <w:t xml:space="preserve"> el despacho procedió a: (i) disponer su fijación en lista; (ii) comunicar la iniciación del proceso a la Presidencia de la República, al Congreso de la República, y a los Ministerios de Hacienda y Crédito Público, Educación y Salud y Protección Social y a</w:t>
      </w:r>
      <w:r w:rsidRPr="00C050D9">
        <w:rPr>
          <w:rFonts w:ascii="Times New Roman" w:hAnsi="Times New Roman" w:cs="Times New Roman"/>
          <w:sz w:val="28"/>
          <w:szCs w:val="28"/>
          <w:bdr w:val="none" w:sz="0" w:space="0" w:color="auto" w:frame="1"/>
        </w:rPr>
        <w:t xml:space="preserve"> la Dirección de Impuestos y Aduanas Nacionales - DIAN</w:t>
      </w:r>
      <w:r w:rsidRPr="00C050D9">
        <w:rPr>
          <w:rFonts w:ascii="Times New Roman" w:hAnsi="Times New Roman" w:cs="Times New Roman"/>
          <w:sz w:val="28"/>
          <w:szCs w:val="28"/>
          <w:bdr w:val="none" w:sz="0" w:space="0" w:color="auto" w:frame="1"/>
          <w:lang w:val="es-ES_tradnl"/>
        </w:rPr>
        <w:t>; (i</w:t>
      </w:r>
      <w:r w:rsidRPr="00C050D9">
        <w:rPr>
          <w:rFonts w:ascii="Times New Roman" w:hAnsi="Times New Roman" w:cs="Times New Roman"/>
          <w:sz w:val="28"/>
          <w:szCs w:val="28"/>
          <w:bdr w:val="none" w:sz="0" w:space="0" w:color="auto" w:frame="1"/>
          <w:lang w:val="es-ES_tradnl"/>
        </w:rPr>
        <w:t>ii</w:t>
      </w:r>
      <w:r w:rsidRPr="00C050D9">
        <w:rPr>
          <w:rFonts w:ascii="Times New Roman" w:hAnsi="Times New Roman" w:cs="Times New Roman"/>
          <w:sz w:val="28"/>
          <w:szCs w:val="28"/>
          <w:bdr w:val="none" w:sz="0" w:space="0" w:color="auto" w:frame="1"/>
          <w:lang w:val="es-ES_tradnl"/>
        </w:rPr>
        <w:t>) oficiar a la Dirección de Impuestos y Aduanas Nacionales – DIAN- y al Ministerio de Hacienda y Crédito Público para que remitieran al despacho la información requerida</w:t>
      </w:r>
      <w:r w:rsidRPr="00C050D9">
        <w:rPr>
          <w:rFonts w:ascii="Times New Roman" w:hAnsi="Times New Roman" w:cs="Times New Roman"/>
          <w:bCs/>
          <w:sz w:val="28"/>
          <w:szCs w:val="28"/>
          <w:bdr w:val="none" w:sz="0" w:space="0" w:color="auto" w:frame="1"/>
        </w:rPr>
        <w:t>, según las actividades eco</w:t>
      </w:r>
      <w:r w:rsidRPr="00C050D9">
        <w:rPr>
          <w:rFonts w:ascii="Times New Roman" w:hAnsi="Times New Roman" w:cs="Times New Roman"/>
          <w:bCs/>
          <w:sz w:val="28"/>
          <w:szCs w:val="28"/>
          <w:bdr w:val="none" w:sz="0" w:space="0" w:color="auto" w:frame="1"/>
        </w:rPr>
        <w:t>nómicas correspondientes a las profesiones liberales en general y a las de educación y actividades de atención de la salud humana y de asistencia social</w:t>
      </w:r>
      <w:r w:rsidRPr="00C050D9">
        <w:rPr>
          <w:rFonts w:ascii="Times New Roman" w:hAnsi="Times New Roman" w:cs="Times New Roman"/>
          <w:bCs/>
          <w:sz w:val="28"/>
          <w:szCs w:val="28"/>
          <w:bdr w:val="none" w:sz="0" w:space="0" w:color="auto" w:frame="1"/>
        </w:rPr>
        <w:t>. Así como información sobre el procedimiento de devolución de saldos a favor de los contribuyentes</w:t>
      </w:r>
      <w:r w:rsidRPr="00C050D9">
        <w:rPr>
          <w:rFonts w:ascii="Times New Roman" w:hAnsi="Times New Roman" w:cs="Times New Roman"/>
          <w:bCs/>
          <w:sz w:val="28"/>
          <w:szCs w:val="28"/>
          <w:bdr w:val="none" w:sz="0" w:space="0" w:color="auto" w:frame="1"/>
        </w:rPr>
        <w:t>; (</w:t>
      </w:r>
      <w:r w:rsidRPr="00C050D9">
        <w:rPr>
          <w:rFonts w:ascii="Times New Roman" w:hAnsi="Times New Roman" w:cs="Times New Roman"/>
          <w:bCs/>
          <w:sz w:val="28"/>
          <w:szCs w:val="28"/>
          <w:bdr w:val="none" w:sz="0" w:space="0" w:color="auto" w:frame="1"/>
        </w:rPr>
        <w:t>i</w:t>
      </w:r>
      <w:r w:rsidRPr="00C050D9">
        <w:rPr>
          <w:rFonts w:ascii="Times New Roman" w:hAnsi="Times New Roman" w:cs="Times New Roman"/>
          <w:bCs/>
          <w:sz w:val="28"/>
          <w:szCs w:val="28"/>
          <w:bdr w:val="none" w:sz="0" w:space="0" w:color="auto" w:frame="1"/>
        </w:rPr>
        <w:t>v</w:t>
      </w:r>
      <w:r w:rsidRPr="00C050D9">
        <w:rPr>
          <w:rFonts w:ascii="Times New Roman" w:hAnsi="Times New Roman" w:cs="Times New Roman"/>
          <w:bCs/>
          <w:sz w:val="28"/>
          <w:szCs w:val="28"/>
          <w:bdr w:val="none" w:sz="0" w:space="0" w:color="auto" w:frame="1"/>
        </w:rPr>
        <w:t xml:space="preserve">) invitar al </w:t>
      </w:r>
      <w:r w:rsidRPr="00C050D9">
        <w:rPr>
          <w:rFonts w:ascii="Times New Roman" w:hAnsi="Times New Roman" w:cs="Times New Roman"/>
          <w:sz w:val="28"/>
          <w:szCs w:val="28"/>
          <w:lang w:eastAsia="es-MX"/>
        </w:rPr>
        <w:t>Departamento Nacional de Planeación, Academia Colombiana de Jurisprudencia, Instituto Colombiano de Derecho Tributario (ICDT), Asociación Centro de Estudios Tributarios, Consejo Nacional de Contadores Públicos, Instituto Nacional de Contadores</w:t>
      </w:r>
      <w:r w:rsidRPr="00C050D9">
        <w:rPr>
          <w:rFonts w:ascii="Times New Roman" w:hAnsi="Times New Roman" w:cs="Times New Roman"/>
          <w:sz w:val="28"/>
          <w:szCs w:val="28"/>
          <w:lang w:eastAsia="es-MX"/>
        </w:rPr>
        <w:t xml:space="preserve"> Públicos, Consejo Gremial Nacional, ANDI, </w:t>
      </w:r>
      <w:r w:rsidRPr="00C050D9">
        <w:rPr>
          <w:rFonts w:ascii="Times New Roman" w:hAnsi="Times New Roman" w:cs="Times New Roman"/>
          <w:sz w:val="28"/>
          <w:szCs w:val="28"/>
          <w:lang w:val="es-ES_tradnl" w:eastAsia="es-MX"/>
        </w:rPr>
        <w:t xml:space="preserve">Cámara de Comercio de Bogotá, Centro de Estudios Fiscales de la Universidad Externado de Colombia, </w:t>
      </w:r>
      <w:r w:rsidRPr="00C050D9">
        <w:rPr>
          <w:rFonts w:ascii="Times New Roman" w:hAnsi="Times New Roman" w:cs="Times New Roman"/>
          <w:sz w:val="28"/>
          <w:szCs w:val="28"/>
          <w:lang w:eastAsia="es-MX"/>
        </w:rPr>
        <w:t>facultades de derecho de las universidades del Rosario, Pontificia Universidad Javeriana de Bogotá, Externado de C</w:t>
      </w:r>
      <w:r w:rsidRPr="00C050D9">
        <w:rPr>
          <w:rFonts w:ascii="Times New Roman" w:hAnsi="Times New Roman" w:cs="Times New Roman"/>
          <w:sz w:val="28"/>
          <w:szCs w:val="28"/>
          <w:lang w:eastAsia="es-MX"/>
        </w:rPr>
        <w:t>olombia, de los Andes, Libre y Nacional de Colombia, y a las Facultades de Contaduría de las universidades Externado de Colombia, del Valle y Nacional de Colombia.</w:t>
      </w:r>
    </w:p>
    <w:p w:rsidR="00F40D98" w:rsidRPr="00C050D9" w:rsidRDefault="00C050D9" w:rsidP="00F40D98">
      <w:pPr>
        <w:rPr>
          <w:rFonts w:ascii="Times New Roman" w:eastAsiaTheme="minorHAnsi" w:hAnsi="Times New Roman" w:cs="Times New Roman"/>
          <w:sz w:val="28"/>
          <w:szCs w:val="28"/>
          <w:lang w:eastAsia="en-US"/>
        </w:rPr>
      </w:pPr>
    </w:p>
    <w:p w:rsidR="00415C72" w:rsidRPr="00C050D9" w:rsidRDefault="00C050D9" w:rsidP="00D0072C">
      <w:pPr>
        <w:pStyle w:val="Prrafodelista"/>
        <w:numPr>
          <w:ilvl w:val="0"/>
          <w:numId w:val="2"/>
        </w:numPr>
        <w:tabs>
          <w:tab w:val="clear" w:pos="750"/>
          <w:tab w:val="left" w:pos="284"/>
          <w:tab w:val="num" w:pos="360"/>
        </w:tabs>
        <w:spacing w:after="0" w:line="240" w:lineRule="auto"/>
        <w:ind w:left="0" w:firstLine="0"/>
        <w:rPr>
          <w:rFonts w:ascii="Times New Roman" w:hAnsi="Times New Roman" w:cs="Times New Roman"/>
          <w:sz w:val="28"/>
          <w:szCs w:val="28"/>
          <w:lang w:eastAsia="es-MX"/>
        </w:rPr>
      </w:pPr>
      <w:r w:rsidRPr="00C050D9">
        <w:rPr>
          <w:rFonts w:ascii="Times New Roman" w:eastAsiaTheme="minorHAnsi" w:hAnsi="Times New Roman" w:cs="Times New Roman"/>
          <w:sz w:val="28"/>
          <w:szCs w:val="28"/>
          <w:lang w:eastAsia="en-US"/>
        </w:rPr>
        <w:t>L</w:t>
      </w:r>
      <w:r w:rsidRPr="00C050D9">
        <w:rPr>
          <w:rFonts w:ascii="Times New Roman" w:eastAsiaTheme="minorHAnsi" w:hAnsi="Times New Roman" w:cs="Times New Roman"/>
          <w:sz w:val="28"/>
          <w:szCs w:val="28"/>
          <w:lang w:eastAsia="en-US"/>
        </w:rPr>
        <w:t>os demandantes presentaron recurso de súplica contra el auto de rechazo dentro del término</w:t>
      </w:r>
      <w:r w:rsidRPr="00C050D9">
        <w:rPr>
          <w:rFonts w:ascii="Times New Roman" w:eastAsiaTheme="minorHAnsi" w:hAnsi="Times New Roman" w:cs="Times New Roman"/>
          <w:sz w:val="28"/>
          <w:szCs w:val="28"/>
          <w:lang w:eastAsia="en-US"/>
        </w:rPr>
        <w:t xml:space="preserve"> legal. Mediante Auto 1782 del 2 de agosto de 2023 la Sala Plena rechazó el recu</w:t>
      </w:r>
      <w:r w:rsidRPr="00C050D9">
        <w:rPr>
          <w:rFonts w:ascii="Times New Roman" w:eastAsiaTheme="minorHAnsi" w:hAnsi="Times New Roman" w:cs="Times New Roman"/>
          <w:sz w:val="28"/>
          <w:szCs w:val="28"/>
          <w:lang w:eastAsia="en-US"/>
        </w:rPr>
        <w:t>r</w:t>
      </w:r>
      <w:r w:rsidRPr="00C050D9">
        <w:rPr>
          <w:rFonts w:ascii="Times New Roman" w:eastAsiaTheme="minorHAnsi" w:hAnsi="Times New Roman" w:cs="Times New Roman"/>
          <w:sz w:val="28"/>
          <w:szCs w:val="28"/>
          <w:lang w:eastAsia="en-US"/>
        </w:rPr>
        <w:t xml:space="preserve">so de súplica formulado contra el Auto del 26 de mayo de 2023. Esta providencia fue comunicada y ejecutoriada el 31 de agosto de 2023. </w:t>
      </w:r>
    </w:p>
    <w:p w:rsidR="00D0072C" w:rsidRPr="00C050D9" w:rsidRDefault="00C050D9" w:rsidP="00D0072C">
      <w:pPr>
        <w:rPr>
          <w:rFonts w:ascii="Times New Roman" w:hAnsi="Times New Roman" w:cs="Times New Roman"/>
          <w:sz w:val="28"/>
          <w:szCs w:val="28"/>
          <w:lang w:eastAsia="es-MX"/>
        </w:rPr>
      </w:pPr>
    </w:p>
    <w:p w:rsidR="00D0072C" w:rsidRPr="00C050D9" w:rsidRDefault="00C050D9" w:rsidP="00D0072C">
      <w:pPr>
        <w:pStyle w:val="Prrafodelista"/>
        <w:numPr>
          <w:ilvl w:val="0"/>
          <w:numId w:val="2"/>
        </w:numPr>
        <w:tabs>
          <w:tab w:val="clear" w:pos="750"/>
          <w:tab w:val="left" w:pos="284"/>
          <w:tab w:val="num" w:pos="360"/>
        </w:tabs>
        <w:spacing w:after="0" w:line="240" w:lineRule="auto"/>
        <w:ind w:left="0" w:firstLine="0"/>
        <w:rPr>
          <w:rFonts w:ascii="Times New Roman" w:hAnsi="Times New Roman" w:cs="Times New Roman"/>
          <w:sz w:val="28"/>
          <w:szCs w:val="28"/>
          <w:lang w:eastAsia="es-MX"/>
        </w:rPr>
      </w:pPr>
      <w:r w:rsidRPr="00C050D9">
        <w:rPr>
          <w:rFonts w:ascii="Times New Roman" w:hAnsi="Times New Roman" w:cs="Times New Roman"/>
          <w:sz w:val="28"/>
          <w:szCs w:val="28"/>
          <w:lang w:eastAsia="es-MX"/>
        </w:rPr>
        <w:t>Los argumentos que desarrollaron los d</w:t>
      </w:r>
      <w:r w:rsidRPr="00C050D9">
        <w:rPr>
          <w:rFonts w:ascii="Times New Roman" w:hAnsi="Times New Roman" w:cs="Times New Roman"/>
          <w:sz w:val="28"/>
          <w:szCs w:val="28"/>
          <w:lang w:eastAsia="es-MX"/>
        </w:rPr>
        <w:t xml:space="preserve">emandantes en relación con los dos cargos admitidos a trámite se exponen a continuación. </w:t>
      </w: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415C72" w:rsidRPr="00C050D9" w:rsidRDefault="00C050D9" w:rsidP="00415C72">
      <w:pPr>
        <w:numPr>
          <w:ilvl w:val="1"/>
          <w:numId w:val="2"/>
        </w:numPr>
        <w:tabs>
          <w:tab w:val="num" w:pos="0"/>
          <w:tab w:val="left" w:pos="426"/>
        </w:tabs>
        <w:autoSpaceDE w:val="0"/>
        <w:autoSpaceDN w:val="0"/>
        <w:adjustRightInd w:val="0"/>
        <w:spacing w:after="0" w:line="240" w:lineRule="auto"/>
        <w:ind w:left="0" w:right="51" w:firstLine="0"/>
        <w:contextualSpacing/>
        <w:rPr>
          <w:rFonts w:ascii="Times New Roman" w:hAnsi="Times New Roman" w:cs="Times New Roman"/>
          <w:sz w:val="28"/>
          <w:szCs w:val="28"/>
          <w:lang w:eastAsia="es-ES"/>
        </w:rPr>
      </w:pPr>
      <w:r w:rsidRPr="00C050D9">
        <w:rPr>
          <w:rFonts w:ascii="Times New Roman" w:hAnsi="Times New Roman" w:cs="Times New Roman"/>
          <w:b/>
          <w:bCs/>
          <w:i/>
          <w:iCs/>
          <w:sz w:val="28"/>
          <w:szCs w:val="28"/>
          <w:lang w:eastAsia="es-ES"/>
        </w:rPr>
        <w:t xml:space="preserve">Primer cargo. </w:t>
      </w:r>
      <w:r w:rsidRPr="00C050D9">
        <w:rPr>
          <w:rFonts w:ascii="Times New Roman" w:hAnsi="Times New Roman" w:cs="Times New Roman"/>
          <w:bCs/>
          <w:iCs/>
          <w:sz w:val="28"/>
          <w:szCs w:val="28"/>
          <w:lang w:eastAsia="es-ES"/>
        </w:rPr>
        <w:t>L</w:t>
      </w:r>
      <w:r w:rsidRPr="00C050D9">
        <w:rPr>
          <w:rFonts w:ascii="Times New Roman" w:hAnsi="Times New Roman" w:cs="Times New Roman"/>
          <w:sz w:val="28"/>
          <w:szCs w:val="28"/>
          <w:lang w:eastAsia="es-ES"/>
        </w:rPr>
        <w:t>os demandantes argumentaron que el parágrafo del artículo 3 de la Ley 2277 de 2022 (modificó el art. 242 del Estatuto Tributario) desconoce los princi</w:t>
      </w:r>
      <w:r w:rsidRPr="00C050D9">
        <w:rPr>
          <w:rFonts w:ascii="Times New Roman" w:hAnsi="Times New Roman" w:cs="Times New Roman"/>
          <w:sz w:val="28"/>
          <w:szCs w:val="28"/>
          <w:lang w:eastAsia="es-ES"/>
        </w:rPr>
        <w:t>pios de justicia y equidad tributaria (arts. 95 y 363 CP), por las siguientes razones. Adujeron que, según la jurisprudencia constitucional, el contenido del principio de equidad tributaria prohíbe que el orden jurídico imponga obligaciones excesivas o ben</w:t>
      </w:r>
      <w:r w:rsidRPr="00C050D9">
        <w:rPr>
          <w:rFonts w:ascii="Times New Roman" w:hAnsi="Times New Roman" w:cs="Times New Roman"/>
          <w:sz w:val="28"/>
          <w:szCs w:val="28"/>
          <w:lang w:eastAsia="es-ES"/>
        </w:rPr>
        <w:t xml:space="preserve">eficios desbordados al contribuyente. Explicaron que la norma demandada establece una retención en la fuente del 15% para el pago de dividendos, la cual es descontada posteriormente del impuesto a cargo del contribuyente en la declaración privada. </w:t>
      </w: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r w:rsidRPr="00C050D9">
        <w:rPr>
          <w:rFonts w:ascii="Times New Roman" w:hAnsi="Times New Roman" w:cs="Times New Roman"/>
          <w:sz w:val="28"/>
          <w:szCs w:val="28"/>
          <w:lang w:eastAsia="es-ES"/>
        </w:rPr>
        <w:t>Aclara</w:t>
      </w:r>
      <w:r w:rsidRPr="00C050D9">
        <w:rPr>
          <w:rFonts w:ascii="Times New Roman" w:hAnsi="Times New Roman" w:cs="Times New Roman"/>
          <w:sz w:val="28"/>
          <w:szCs w:val="28"/>
          <w:lang w:eastAsia="es-ES"/>
        </w:rPr>
        <w:t xml:space="preserve">ron que esta norma establece un nuevo tratamiento al concepto de ingreso por dividendos que «implica que este se declara como cualquier otro ingreso dentro del impuesto sobre la renta y complementarios, aunque sin posibilidad de incluirle costos y gastos, </w:t>
      </w:r>
      <w:r w:rsidRPr="00C050D9">
        <w:rPr>
          <w:rFonts w:ascii="Times New Roman" w:hAnsi="Times New Roman" w:cs="Times New Roman"/>
          <w:sz w:val="28"/>
          <w:szCs w:val="28"/>
          <w:lang w:eastAsia="es-ES"/>
        </w:rPr>
        <w:t>de conformidad con la tabla establecida en el artículo 241 del Estatuto Tributario Nacional, con un descuento del 19%, según la nueva Ley 2277 de 2022».</w:t>
      </w:r>
      <w:r w:rsidRPr="00C050D9">
        <w:rPr>
          <w:rFonts w:ascii="Times New Roman" w:hAnsi="Times New Roman" w:cs="Times New Roman"/>
          <w:sz w:val="28"/>
          <w:szCs w:val="28"/>
          <w:vertAlign w:val="superscript"/>
          <w:lang w:eastAsia="es-ES"/>
        </w:rPr>
        <w:footnoteReference w:id="4"/>
      </w:r>
      <w:r w:rsidRPr="00C050D9">
        <w:rPr>
          <w:rFonts w:ascii="Times New Roman" w:hAnsi="Times New Roman" w:cs="Times New Roman"/>
          <w:sz w:val="28"/>
          <w:szCs w:val="28"/>
          <w:lang w:eastAsia="es-ES"/>
        </w:rPr>
        <w:t xml:space="preserve"> Esta tabla, según los actores, establece un gravamen progresivo para las personas naturales «donde a m</w:t>
      </w:r>
      <w:r w:rsidRPr="00C050D9">
        <w:rPr>
          <w:rFonts w:ascii="Times New Roman" w:hAnsi="Times New Roman" w:cs="Times New Roman"/>
          <w:sz w:val="28"/>
          <w:szCs w:val="28"/>
          <w:lang w:eastAsia="es-ES"/>
        </w:rPr>
        <w:t xml:space="preserve">ayor renta, mayores tasas impositivas». </w:t>
      </w: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r w:rsidRPr="00C050D9">
        <w:rPr>
          <w:rFonts w:ascii="Times New Roman" w:hAnsi="Times New Roman" w:cs="Times New Roman"/>
          <w:sz w:val="28"/>
          <w:szCs w:val="28"/>
          <w:lang w:eastAsia="es-ES"/>
        </w:rPr>
        <w:t xml:space="preserve">Sobre este punto, los demandantes adjuntaron una tabla que representa un ejemplo en el que se toman los ingresos por concepto de dividendos de una persona y al aplicar la retención en la fuente y el impuesto a la </w:t>
      </w:r>
      <w:r w:rsidRPr="00C050D9">
        <w:rPr>
          <w:rFonts w:ascii="Times New Roman" w:hAnsi="Times New Roman" w:cs="Times New Roman"/>
          <w:sz w:val="28"/>
          <w:szCs w:val="28"/>
          <w:lang w:eastAsia="es-ES"/>
        </w:rPr>
        <w:t>renta se genera un valor a pagar o un saldo a favor. Sobre esto, afirmaron: «obsérvese cómo un contribuyente que se le paguen por concepto de dividendos más de 1090 UVT ($46.229.080 en el año 2023) hasta $1.000.000.000, siempre le quedará saldo a favor, co</w:t>
      </w:r>
      <w:r w:rsidRPr="00C050D9">
        <w:rPr>
          <w:rFonts w:ascii="Times New Roman" w:hAnsi="Times New Roman" w:cs="Times New Roman"/>
          <w:sz w:val="28"/>
          <w:szCs w:val="28"/>
          <w:lang w:eastAsia="es-ES"/>
        </w:rPr>
        <w:t>mo quiera que las retenciones practicadas serán superiores al impuesto a cargo. Tan solo para pagos superiores a $1.056.000.000 aproximadamente, el impuesto y las retenciones terminan siendo iguales, y a partir de allí el primero será superior a las segund</w:t>
      </w:r>
      <w:r w:rsidRPr="00C050D9">
        <w:rPr>
          <w:rFonts w:ascii="Times New Roman" w:hAnsi="Times New Roman" w:cs="Times New Roman"/>
          <w:sz w:val="28"/>
          <w:szCs w:val="28"/>
          <w:lang w:eastAsia="es-ES"/>
        </w:rPr>
        <w:t>as. Lo anterior es una evidente transgresión a los principios de justicia y equidad, pues resulta una carga excesiva que la retención en la fuente sea superior al impuesto a cargo de un contribuyente, cuando se supone que la primera está establecida para r</w:t>
      </w:r>
      <w:r w:rsidRPr="00C050D9">
        <w:rPr>
          <w:rFonts w:ascii="Times New Roman" w:hAnsi="Times New Roman" w:cs="Times New Roman"/>
          <w:sz w:val="28"/>
          <w:szCs w:val="28"/>
          <w:lang w:eastAsia="es-ES"/>
        </w:rPr>
        <w:t>ecaudar el gravamen de manera anticipada, no para cobrar un mayor valor por el mismo. En últimas, lo que obligará la norma en cita a los contribuyentes es a adelantar ante la Autoridad Tributaria solicitudes de devolución de los saldos a favor, con las dem</w:t>
      </w:r>
      <w:r w:rsidRPr="00C050D9">
        <w:rPr>
          <w:rFonts w:ascii="Times New Roman" w:hAnsi="Times New Roman" w:cs="Times New Roman"/>
          <w:sz w:val="28"/>
          <w:szCs w:val="28"/>
          <w:lang w:eastAsia="es-ES"/>
        </w:rPr>
        <w:t>oras y costos que ello implica, una carga absolutamente desproporcionada».</w:t>
      </w: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ED2C27" w:rsidRPr="00C050D9" w:rsidRDefault="00C050D9" w:rsidP="00ED2C27">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r w:rsidRPr="00C050D9">
        <w:rPr>
          <w:rFonts w:ascii="Times New Roman" w:hAnsi="Times New Roman" w:cs="Times New Roman"/>
          <w:sz w:val="28"/>
          <w:szCs w:val="28"/>
          <w:lang w:eastAsia="es-ES"/>
        </w:rPr>
        <w:t>Del mismo modo, en el escrito de corrección aclararon que</w:t>
      </w:r>
      <w:r w:rsidRPr="00C050D9">
        <w:rPr>
          <w:rFonts w:ascii="Times New Roman" w:hAnsi="Times New Roman" w:cs="Times New Roman"/>
          <w:iCs/>
          <w:sz w:val="28"/>
          <w:szCs w:val="28"/>
          <w:lang w:val="es-ES_tradnl" w:eastAsia="es-ES"/>
        </w:rPr>
        <w:t xml:space="preserve"> el ejercicio matemático que se realizó en el escrito de la demanda «tenía como finalidad demostrar que la forma en la que </w:t>
      </w:r>
      <w:r w:rsidRPr="00C050D9">
        <w:rPr>
          <w:rFonts w:ascii="Times New Roman" w:hAnsi="Times New Roman" w:cs="Times New Roman"/>
          <w:iCs/>
          <w:sz w:val="28"/>
          <w:szCs w:val="28"/>
          <w:lang w:val="es-ES_tradnl" w:eastAsia="es-ES"/>
        </w:rPr>
        <w:t>quedó establecida la retención en la fuente, implica que hasta muy altos ingresos la retención recaudada será superior al impuesto a cargo, lo que obligaría al contribuyente a realizar una solicitud de devolución del saldo a favor, situación que impone una</w:t>
      </w:r>
      <w:r w:rsidRPr="00C050D9">
        <w:rPr>
          <w:rFonts w:ascii="Times New Roman" w:hAnsi="Times New Roman" w:cs="Times New Roman"/>
          <w:iCs/>
          <w:sz w:val="28"/>
          <w:szCs w:val="28"/>
          <w:lang w:val="es-ES_tradnl" w:eastAsia="es-ES"/>
        </w:rPr>
        <w:t xml:space="preserve"> carga absolutamente desproporcionada».</w:t>
      </w:r>
      <w:r w:rsidRPr="00C050D9">
        <w:rPr>
          <w:rFonts w:ascii="Times New Roman" w:hAnsi="Times New Roman" w:cs="Times New Roman"/>
          <w:iCs/>
          <w:sz w:val="28"/>
          <w:szCs w:val="28"/>
          <w:vertAlign w:val="superscript"/>
          <w:lang w:val="es-ES_tradnl" w:eastAsia="es-ES"/>
        </w:rPr>
        <w:footnoteReference w:id="5"/>
      </w:r>
      <w:r w:rsidRPr="00C050D9">
        <w:rPr>
          <w:rFonts w:ascii="Times New Roman" w:hAnsi="Times New Roman" w:cs="Times New Roman"/>
          <w:iCs/>
          <w:sz w:val="28"/>
          <w:szCs w:val="28"/>
          <w:lang w:val="es-ES_tradnl" w:eastAsia="es-ES"/>
        </w:rPr>
        <w:t xml:space="preserve"> Precisaron que esta retención anticipada sobre los dividendos</w:t>
      </w:r>
      <w:r w:rsidRPr="00C050D9">
        <w:rPr>
          <w:rFonts w:ascii="Times New Roman" w:hAnsi="Times New Roman" w:cs="Times New Roman"/>
          <w:sz w:val="28"/>
          <w:szCs w:val="28"/>
          <w:lang w:eastAsia="es-ES"/>
        </w:rPr>
        <w:t xml:space="preserve"> </w:t>
      </w:r>
      <w:r w:rsidRPr="00C050D9">
        <w:rPr>
          <w:rFonts w:ascii="Times New Roman" w:hAnsi="Times New Roman" w:cs="Times New Roman"/>
          <w:iCs/>
          <w:sz w:val="28"/>
          <w:szCs w:val="28"/>
          <w:lang w:val="es-ES_tradnl" w:eastAsia="es-ES"/>
        </w:rPr>
        <w:t xml:space="preserve">desconoce el principio de justicia tributaria, toda vez que «retenerles un mayor valor que el impuesto a pagar, resulta una carga pública excesiva, pues </w:t>
      </w:r>
      <w:r w:rsidRPr="00C050D9">
        <w:rPr>
          <w:rFonts w:ascii="Times New Roman" w:hAnsi="Times New Roman" w:cs="Times New Roman"/>
          <w:iCs/>
          <w:sz w:val="28"/>
          <w:szCs w:val="28"/>
          <w:lang w:val="es-ES_tradnl" w:eastAsia="es-ES"/>
        </w:rPr>
        <w:t>el contribuyente claramente propendió porque los contribuyentes pagaran sus impuestos, mas no obligarlos a financiar al estado temporalmente con retenciones excesivas».</w:t>
      </w:r>
      <w:r w:rsidRPr="00C050D9">
        <w:rPr>
          <w:rFonts w:ascii="Times New Roman" w:hAnsi="Times New Roman" w:cs="Times New Roman"/>
          <w:iCs/>
          <w:sz w:val="28"/>
          <w:szCs w:val="28"/>
          <w:vertAlign w:val="superscript"/>
          <w:lang w:val="es-ES_tradnl" w:eastAsia="es-ES"/>
        </w:rPr>
        <w:footnoteReference w:id="6"/>
      </w:r>
    </w:p>
    <w:p w:rsidR="002675BB"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r w:rsidRPr="00C050D9">
        <w:rPr>
          <w:rFonts w:ascii="Times New Roman" w:hAnsi="Times New Roman" w:cs="Times New Roman"/>
          <w:sz w:val="28"/>
          <w:szCs w:val="28"/>
          <w:lang w:eastAsia="es-ES"/>
        </w:rPr>
        <w:t>Con sustento en lo anterior, solicitaron que el parágrafo del artículo 3 de la Ley 22</w:t>
      </w:r>
      <w:r w:rsidRPr="00C050D9">
        <w:rPr>
          <w:rFonts w:ascii="Times New Roman" w:hAnsi="Times New Roman" w:cs="Times New Roman"/>
          <w:sz w:val="28"/>
          <w:szCs w:val="28"/>
          <w:lang w:eastAsia="es-ES"/>
        </w:rPr>
        <w:t xml:space="preserve">77 de 2022 sea declarado inconstitucional por desconocer los principios de justicia y equidad tributaria. </w:t>
      </w: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415C72" w:rsidRPr="00C050D9" w:rsidRDefault="00C050D9" w:rsidP="00415C72">
      <w:pPr>
        <w:numPr>
          <w:ilvl w:val="1"/>
          <w:numId w:val="2"/>
        </w:numPr>
        <w:tabs>
          <w:tab w:val="num" w:pos="0"/>
          <w:tab w:val="left" w:pos="426"/>
        </w:tabs>
        <w:autoSpaceDE w:val="0"/>
        <w:autoSpaceDN w:val="0"/>
        <w:adjustRightInd w:val="0"/>
        <w:spacing w:after="0" w:line="240" w:lineRule="auto"/>
        <w:ind w:left="0" w:right="51" w:firstLine="0"/>
        <w:contextualSpacing/>
        <w:rPr>
          <w:rFonts w:ascii="Times New Roman" w:hAnsi="Times New Roman" w:cs="Times New Roman"/>
          <w:sz w:val="28"/>
          <w:szCs w:val="28"/>
          <w:lang w:eastAsia="es-ES"/>
        </w:rPr>
      </w:pPr>
      <w:r w:rsidRPr="00C050D9">
        <w:rPr>
          <w:rFonts w:ascii="Times New Roman" w:hAnsi="Times New Roman" w:cs="Times New Roman"/>
          <w:b/>
          <w:bCs/>
          <w:i/>
          <w:iCs/>
          <w:sz w:val="28"/>
          <w:szCs w:val="28"/>
          <w:lang w:eastAsia="es-ES"/>
        </w:rPr>
        <w:t>Segundo</w:t>
      </w:r>
      <w:r w:rsidRPr="00C050D9">
        <w:rPr>
          <w:rFonts w:ascii="Times New Roman" w:hAnsi="Times New Roman" w:cs="Times New Roman"/>
          <w:b/>
          <w:bCs/>
          <w:i/>
          <w:iCs/>
          <w:sz w:val="28"/>
          <w:szCs w:val="28"/>
          <w:lang w:eastAsia="es-ES"/>
        </w:rPr>
        <w:t xml:space="preserve"> cargo.</w:t>
      </w:r>
      <w:r w:rsidRPr="00C050D9">
        <w:rPr>
          <w:rFonts w:ascii="Times New Roman" w:hAnsi="Times New Roman" w:cs="Times New Roman"/>
          <w:sz w:val="28"/>
          <w:szCs w:val="28"/>
          <w:lang w:eastAsia="es-ES"/>
        </w:rPr>
        <w:t xml:space="preserve"> </w:t>
      </w:r>
      <w:r w:rsidRPr="00C050D9">
        <w:rPr>
          <w:rFonts w:ascii="Times New Roman" w:hAnsi="Times New Roman" w:cs="Times New Roman"/>
          <w:sz w:val="28"/>
          <w:szCs w:val="28"/>
          <w:lang w:eastAsia="es-ES"/>
        </w:rPr>
        <w:t>L</w:t>
      </w:r>
      <w:r w:rsidRPr="00C050D9">
        <w:rPr>
          <w:rFonts w:ascii="Times New Roman" w:hAnsi="Times New Roman" w:cs="Times New Roman"/>
          <w:sz w:val="28"/>
          <w:szCs w:val="28"/>
          <w:lang w:eastAsia="es-ES"/>
        </w:rPr>
        <w:t>os demandantes afirmaron que el artículo 42 (adicionó el inciso 2 al numeral 2 del artículo 905 del Estatuto Tributario) y los numer</w:t>
      </w:r>
      <w:r w:rsidRPr="00C050D9">
        <w:rPr>
          <w:rFonts w:ascii="Times New Roman" w:hAnsi="Times New Roman" w:cs="Times New Roman"/>
          <w:sz w:val="28"/>
          <w:szCs w:val="28"/>
          <w:lang w:eastAsia="es-ES"/>
        </w:rPr>
        <w:t>ales 4 y 5 del inciso 2 y del parágrafo 4 del artículo 44 (modificó el artículo 908 del Estatuto Tributario) de la Ley 2277 de 2022 vulneran el derecho a la igualdad y el principio de equidad tributaria, toda vez que establece topes y tarifas diferentes pa</w:t>
      </w:r>
      <w:r w:rsidRPr="00C050D9">
        <w:rPr>
          <w:rFonts w:ascii="Times New Roman" w:hAnsi="Times New Roman" w:cs="Times New Roman"/>
          <w:sz w:val="28"/>
          <w:szCs w:val="28"/>
          <w:lang w:eastAsia="es-ES"/>
        </w:rPr>
        <w:t xml:space="preserve">ra contribuyentes en igualdad de condiciones. </w:t>
      </w: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r w:rsidRPr="00C050D9">
        <w:rPr>
          <w:rFonts w:ascii="Times New Roman" w:hAnsi="Times New Roman" w:cs="Times New Roman"/>
          <w:sz w:val="28"/>
          <w:szCs w:val="28"/>
          <w:lang w:eastAsia="es-ES"/>
        </w:rPr>
        <w:t xml:space="preserve">Explicaron que la finalidad del impuesto unificado bajo el Régimen Simple de Tributación es «reducir las cargas formales y sustanciales, impulsar la formalidad y, en general, simplificar y facilitar el </w:t>
      </w:r>
      <w:r w:rsidRPr="00C050D9">
        <w:rPr>
          <w:rFonts w:ascii="Times New Roman" w:hAnsi="Times New Roman" w:cs="Times New Roman"/>
          <w:sz w:val="28"/>
          <w:szCs w:val="28"/>
          <w:lang w:eastAsia="es-ES"/>
        </w:rPr>
        <w:t xml:space="preserve">cumplimiento de la obligación tributaria de los contribuyentes que voluntariamente se acojan al régimen, de ahí que el legislador sustituyó el impuesto sobre la renta, integrando el impuesto nacional al consumo y el impuesto de industria y comercio, en el </w:t>
      </w:r>
      <w:r w:rsidRPr="00C050D9">
        <w:rPr>
          <w:rFonts w:ascii="Times New Roman" w:hAnsi="Times New Roman" w:cs="Times New Roman"/>
          <w:sz w:val="28"/>
          <w:szCs w:val="28"/>
          <w:lang w:eastAsia="es-ES"/>
        </w:rPr>
        <w:t>impuesto unificado».</w:t>
      </w:r>
      <w:r w:rsidRPr="00C050D9">
        <w:rPr>
          <w:rFonts w:ascii="Times New Roman" w:hAnsi="Times New Roman" w:cs="Times New Roman"/>
          <w:sz w:val="28"/>
          <w:szCs w:val="28"/>
          <w:vertAlign w:val="superscript"/>
          <w:lang w:eastAsia="es-ES"/>
        </w:rPr>
        <w:footnoteReference w:id="7"/>
      </w:r>
      <w:r w:rsidRPr="00C050D9">
        <w:rPr>
          <w:rFonts w:ascii="Times New Roman" w:hAnsi="Times New Roman" w:cs="Times New Roman"/>
          <w:sz w:val="28"/>
          <w:szCs w:val="28"/>
          <w:lang w:eastAsia="es-ES"/>
        </w:rPr>
        <w:t xml:space="preserve"> Señalaron que desde su creación (2019), la tarifa de este impuesto se determinó de acuerdo al nivel de ingresos brutos anuales clasificados en cuatro grupos de acuerdo a la actividad empresarial.</w:t>
      </w:r>
      <w:r w:rsidRPr="00C050D9">
        <w:rPr>
          <w:rFonts w:ascii="Times New Roman" w:hAnsi="Times New Roman" w:cs="Times New Roman"/>
          <w:sz w:val="28"/>
          <w:szCs w:val="28"/>
          <w:vertAlign w:val="superscript"/>
          <w:lang w:eastAsia="es-ES"/>
        </w:rPr>
        <w:footnoteReference w:id="8"/>
      </w:r>
      <w:r w:rsidRPr="00C050D9">
        <w:rPr>
          <w:rFonts w:ascii="Times New Roman" w:hAnsi="Times New Roman" w:cs="Times New Roman"/>
          <w:sz w:val="28"/>
          <w:szCs w:val="28"/>
          <w:lang w:eastAsia="es-ES"/>
        </w:rPr>
        <w:t xml:space="preserve"> La Ley 2277 de 2022, mediante el artí</w:t>
      </w:r>
      <w:r w:rsidRPr="00C050D9">
        <w:rPr>
          <w:rFonts w:ascii="Times New Roman" w:hAnsi="Times New Roman" w:cs="Times New Roman"/>
          <w:sz w:val="28"/>
          <w:szCs w:val="28"/>
          <w:lang w:eastAsia="es-ES"/>
        </w:rPr>
        <w:t>culo 44 creó un nuevo grupo empresarial, correspondiente a actividades de “educación y actividades de atención de la salud humana y de asistencia social”. Para este grupo, el legislado</w:t>
      </w:r>
      <w:r w:rsidRPr="00C050D9">
        <w:rPr>
          <w:rFonts w:ascii="Times New Roman" w:hAnsi="Times New Roman" w:cs="Times New Roman"/>
          <w:sz w:val="28"/>
          <w:szCs w:val="28"/>
          <w:lang w:eastAsia="es-ES"/>
        </w:rPr>
        <w:t>r</w:t>
      </w:r>
      <w:r w:rsidRPr="00C050D9">
        <w:rPr>
          <w:rFonts w:ascii="Times New Roman" w:hAnsi="Times New Roman" w:cs="Times New Roman"/>
          <w:sz w:val="28"/>
          <w:szCs w:val="28"/>
          <w:lang w:eastAsia="es-ES"/>
        </w:rPr>
        <w:t xml:space="preserve"> estableció otras tarifas de acuerdo al nivel de ingresos. </w:t>
      </w: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p>
    <w:p w:rsidR="00415C72" w:rsidRPr="00C050D9" w:rsidRDefault="00C050D9" w:rsidP="00415C72">
      <w:pPr>
        <w:tabs>
          <w:tab w:val="left" w:pos="426"/>
        </w:tabs>
        <w:autoSpaceDE w:val="0"/>
        <w:autoSpaceDN w:val="0"/>
        <w:adjustRightInd w:val="0"/>
        <w:spacing w:after="0" w:line="240" w:lineRule="auto"/>
        <w:ind w:right="51"/>
        <w:contextualSpacing/>
        <w:rPr>
          <w:rFonts w:ascii="Times New Roman" w:hAnsi="Times New Roman" w:cs="Times New Roman"/>
          <w:sz w:val="28"/>
          <w:szCs w:val="28"/>
          <w:lang w:eastAsia="es-ES"/>
        </w:rPr>
      </w:pPr>
      <w:r w:rsidRPr="00C050D9">
        <w:rPr>
          <w:rFonts w:ascii="Times New Roman" w:hAnsi="Times New Roman" w:cs="Times New Roman"/>
          <w:sz w:val="28"/>
          <w:szCs w:val="28"/>
          <w:lang w:eastAsia="es-ES"/>
        </w:rPr>
        <w:t>Explicaron</w:t>
      </w:r>
      <w:r w:rsidRPr="00C050D9">
        <w:rPr>
          <w:rFonts w:ascii="Times New Roman" w:hAnsi="Times New Roman" w:cs="Times New Roman"/>
          <w:sz w:val="28"/>
          <w:szCs w:val="28"/>
          <w:lang w:eastAsia="es-ES"/>
        </w:rPr>
        <w:t xml:space="preserve"> que según el Decreto 3032 de 2013 las profesiones liberales deben entenderse «como toda actividad personal en la que predomina el ejercicio del intelecto, reconocida por el Estado y para cuyo ejercicio se requiere, (i) título académico de estudios y grado</w:t>
      </w:r>
      <w:r w:rsidRPr="00C050D9">
        <w:rPr>
          <w:rFonts w:ascii="Times New Roman" w:hAnsi="Times New Roman" w:cs="Times New Roman"/>
          <w:sz w:val="28"/>
          <w:szCs w:val="28"/>
          <w:lang w:eastAsia="es-ES"/>
        </w:rPr>
        <w:t xml:space="preserve"> de educación superior, o habilitación estatal para las personas que sin título profesional fueron autorizadas para ejercer. (ii) Inscripción en el registro nacional que las autoridades estatales de vigilancia, control y disciplinarias lleven conforme con </w:t>
      </w:r>
      <w:r w:rsidRPr="00C050D9">
        <w:rPr>
          <w:rFonts w:ascii="Times New Roman" w:hAnsi="Times New Roman" w:cs="Times New Roman"/>
          <w:sz w:val="28"/>
          <w:szCs w:val="28"/>
          <w:lang w:eastAsia="es-ES"/>
        </w:rPr>
        <w:t>la ley que regula la profesión liberal de que se trate, cuando la misma esté oficialmente reglada».</w:t>
      </w:r>
      <w:r w:rsidRPr="00C050D9">
        <w:rPr>
          <w:rFonts w:ascii="Times New Roman" w:hAnsi="Times New Roman" w:cs="Times New Roman"/>
          <w:sz w:val="28"/>
          <w:szCs w:val="28"/>
          <w:vertAlign w:val="superscript"/>
          <w:lang w:eastAsia="es-ES"/>
        </w:rPr>
        <w:footnoteReference w:id="9"/>
      </w: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Aclararon que acorde con aquella definición, el nuevo grupo incluido por el legislador también clasifica como profesiones liberales. Para el efecto, citan</w:t>
      </w:r>
      <w:r w:rsidRPr="00C050D9">
        <w:rPr>
          <w:rFonts w:ascii="Times New Roman" w:hAnsi="Times New Roman" w:cs="Times New Roman"/>
          <w:sz w:val="28"/>
          <w:szCs w:val="28"/>
          <w:lang w:val="es-ES_tradnl" w:eastAsia="es-ES"/>
        </w:rPr>
        <w:t xml:space="preserve"> el concepto de la DIAN que confirma esta posición: «2.1. ¿Bajo qué actividad empresarial debe liquidar el impuesto unificado bajo el SIMPLE una persona natural dedicada al ejercicio de la medicina o de la educación? ¿Aplica lo señalado en el numeral 4 o l</w:t>
      </w:r>
      <w:r w:rsidRPr="00C050D9">
        <w:rPr>
          <w:rFonts w:ascii="Times New Roman" w:hAnsi="Times New Roman" w:cs="Times New Roman"/>
          <w:sz w:val="28"/>
          <w:szCs w:val="28"/>
          <w:lang w:val="es-ES_tradnl" w:eastAsia="es-ES"/>
        </w:rPr>
        <w:t>o señalado en el numeral 5 del artículo 908 del Estatuto Tributario? Aunque el ejercicio de la medicina y de la educación involucra la prestación de los servicios en el numeral 5 del artículo 908 (…), lo cierto es que, por criterio de especialidad, se debe</w:t>
      </w:r>
      <w:r w:rsidRPr="00C050D9">
        <w:rPr>
          <w:rFonts w:ascii="Times New Roman" w:hAnsi="Times New Roman" w:cs="Times New Roman"/>
          <w:sz w:val="28"/>
          <w:szCs w:val="28"/>
          <w:lang w:val="es-ES_tradnl" w:eastAsia="es-ES"/>
        </w:rPr>
        <w:t xml:space="preserve"> dar aplicación al numeral 4 de esta misma disposición».</w:t>
      </w:r>
      <w:r w:rsidRPr="00C050D9">
        <w:rPr>
          <w:rFonts w:ascii="Times New Roman" w:hAnsi="Times New Roman" w:cs="Times New Roman"/>
          <w:sz w:val="28"/>
          <w:szCs w:val="28"/>
          <w:vertAlign w:val="superscript"/>
          <w:lang w:val="es-ES_tradnl" w:eastAsia="es-ES"/>
        </w:rPr>
        <w:footnoteReference w:id="10"/>
      </w: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Con base en ello, </w:t>
      </w:r>
      <w:bookmarkStart w:id="13" w:name="_Hlk152864882"/>
      <w:r w:rsidRPr="00C050D9">
        <w:rPr>
          <w:rFonts w:ascii="Times New Roman" w:hAnsi="Times New Roman" w:cs="Times New Roman"/>
          <w:sz w:val="28"/>
          <w:szCs w:val="28"/>
          <w:lang w:val="es-ES_tradnl" w:eastAsia="es-ES"/>
        </w:rPr>
        <w:t>los actores argumentaron que el legislador contempló dos grupos con la misma actividad económica, pero hace más gravosa la carga tributaria de las profesiones liberales (numeral 5</w:t>
      </w:r>
      <w:r w:rsidRPr="00C050D9">
        <w:rPr>
          <w:rFonts w:ascii="Times New Roman" w:hAnsi="Times New Roman" w:cs="Times New Roman"/>
          <w:sz w:val="28"/>
          <w:szCs w:val="28"/>
          <w:lang w:val="es-ES_tradnl" w:eastAsia="es-ES"/>
        </w:rPr>
        <w:t xml:space="preserve">) en comparación con las de educación y servicios de salud humana (numeral 4). Agregaron que, adicionalmente, el legislador estableció un límite de ingresos también diferente entre ambos grupos de contribuyentes. Por consiguiente, adujeron que la creación </w:t>
      </w:r>
      <w:r w:rsidRPr="00C050D9">
        <w:rPr>
          <w:rFonts w:ascii="Times New Roman" w:hAnsi="Times New Roman" w:cs="Times New Roman"/>
          <w:sz w:val="28"/>
          <w:szCs w:val="28"/>
          <w:lang w:val="es-ES_tradnl" w:eastAsia="es-ES"/>
        </w:rPr>
        <w:t xml:space="preserve">de un grupo diferente a las profesiones liberales, pero que cumple con sus mismas características como actividad económica, «comporta un trato diferenciado e injustificado que desconoce el principio de igualdad y de equidad tributaria». </w:t>
      </w:r>
      <w:bookmarkEnd w:id="13"/>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A partir de esta </w:t>
      </w:r>
      <w:r w:rsidRPr="00C050D9">
        <w:rPr>
          <w:rFonts w:ascii="Times New Roman" w:hAnsi="Times New Roman" w:cs="Times New Roman"/>
          <w:sz w:val="28"/>
          <w:szCs w:val="28"/>
          <w:lang w:val="es-ES_tradnl" w:eastAsia="es-ES"/>
        </w:rPr>
        <w:t>premisa, los ciudadanos propusieron un juicio de igualdad leve y agotaron cada uno de los supuestos que la jurisprudencia constitucional exige. Particularmente, manifestaron que según la exposición de motivos del proyecto de la Ley 2277 de 2022, se puede a</w:t>
      </w:r>
      <w:r w:rsidRPr="00C050D9">
        <w:rPr>
          <w:rFonts w:ascii="Times New Roman" w:hAnsi="Times New Roman" w:cs="Times New Roman"/>
          <w:sz w:val="28"/>
          <w:szCs w:val="28"/>
          <w:lang w:val="es-ES_tradnl" w:eastAsia="es-ES"/>
        </w:rPr>
        <w:t>firmar que con la modificación de tarifas del régimen simple de tributación, «el legislador pretendía que gran parte de las pequeñas empresas se beneficiaran con el esquema, para lo cual era necesario reducir las tarifas efectivas de tributación (…) pues e</w:t>
      </w:r>
      <w:r w:rsidRPr="00C050D9">
        <w:rPr>
          <w:rFonts w:ascii="Times New Roman" w:hAnsi="Times New Roman" w:cs="Times New Roman"/>
          <w:sz w:val="28"/>
          <w:szCs w:val="28"/>
          <w:lang w:val="es-ES_tradnl" w:eastAsia="es-ES"/>
        </w:rPr>
        <w:t>n Colombia la tasa de tributación efectiva era mayor para empresas de menor tamaño, siendo las tasas de impuestos sobre las PYMES las más altas. Así también, debido a que había un sector de las profesiones liberales ubicadas en el sector de educación y sal</w:t>
      </w:r>
      <w:r w:rsidRPr="00C050D9">
        <w:rPr>
          <w:rFonts w:ascii="Times New Roman" w:hAnsi="Times New Roman" w:cs="Times New Roman"/>
          <w:sz w:val="28"/>
          <w:szCs w:val="28"/>
          <w:lang w:val="es-ES_tradnl" w:eastAsia="es-ES"/>
        </w:rPr>
        <w:t>ud, que en comparación con la tasa de tributación del régimen ordinario podía disminuírsele la tarifa a efectos de encontrar equilibrio, consideró crear un nuevo grupo independiente para aquellas actividades profesionales».</w:t>
      </w:r>
      <w:r w:rsidRPr="00C050D9">
        <w:rPr>
          <w:rFonts w:ascii="Times New Roman" w:hAnsi="Times New Roman" w:cs="Times New Roman"/>
          <w:sz w:val="28"/>
          <w:szCs w:val="28"/>
          <w:vertAlign w:val="superscript"/>
          <w:lang w:val="es-ES_tradnl" w:eastAsia="es-ES"/>
        </w:rPr>
        <w:footnoteReference w:id="11"/>
      </w: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Luego, los actores se refirier</w:t>
      </w:r>
      <w:r w:rsidRPr="00C050D9">
        <w:rPr>
          <w:rFonts w:ascii="Times New Roman" w:hAnsi="Times New Roman" w:cs="Times New Roman"/>
          <w:sz w:val="28"/>
          <w:szCs w:val="28"/>
          <w:lang w:val="es-ES_tradnl" w:eastAsia="es-ES"/>
        </w:rPr>
        <w:t>on a la idoneidad del medio escogido por el legislador para alcanzar la finalidad antes referida. Al respecto, expresaron que el principio de equidad horizontal exige que el sistema tributario debe tratar de idéntica forma a las personas que tienen igual c</w:t>
      </w:r>
      <w:r w:rsidRPr="00C050D9">
        <w:rPr>
          <w:rFonts w:ascii="Times New Roman" w:hAnsi="Times New Roman" w:cs="Times New Roman"/>
          <w:sz w:val="28"/>
          <w:szCs w:val="28"/>
          <w:lang w:val="es-ES_tradnl" w:eastAsia="es-ES"/>
        </w:rPr>
        <w:t>apacidad económica, de tal forma que al pagar el tributo queden situadas en el mismo nivel. Así, las profesiones liberales deben estar en el mismo nivel de tributación tratándose del impuesto unificado bajo el régimen simple, «pues la capacidad de pago est</w:t>
      </w:r>
      <w:r w:rsidRPr="00C050D9">
        <w:rPr>
          <w:rFonts w:ascii="Times New Roman" w:hAnsi="Times New Roman" w:cs="Times New Roman"/>
          <w:sz w:val="28"/>
          <w:szCs w:val="28"/>
          <w:lang w:val="es-ES_tradnl" w:eastAsia="es-ES"/>
        </w:rPr>
        <w:t>a dada de acuerdo a la actividad empresarial, luego no pueden distinguirse dentro de este grupo, una diferencia en las tarifas aplicables y el tope de ingresos». Conforme a lo anterior, los actores explicaron que la medida adoptada por el legislador (de se</w:t>
      </w:r>
      <w:r w:rsidRPr="00C050D9">
        <w:rPr>
          <w:rFonts w:ascii="Times New Roman" w:hAnsi="Times New Roman" w:cs="Times New Roman"/>
          <w:sz w:val="28"/>
          <w:szCs w:val="28"/>
          <w:lang w:val="es-ES_tradnl" w:eastAsia="es-ES"/>
        </w:rPr>
        <w:t xml:space="preserve">parar las profesiones liberales e imponerles unas cargas diferentes), no es idónea para alcanzar el fin, toda vez que desincentiva la participación de un sector de las profesiones liberales. En palabras de los demandantes: </w:t>
      </w: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left" w:pos="426"/>
        </w:tabs>
        <w:autoSpaceDE w:val="0"/>
        <w:autoSpaceDN w:val="0"/>
        <w:adjustRightInd w:val="0"/>
        <w:spacing w:after="0" w:line="240" w:lineRule="auto"/>
        <w:ind w:left="851" w:right="616"/>
        <w:contextualSpacing/>
        <w:rPr>
          <w:rFonts w:ascii="Times New Roman" w:hAnsi="Times New Roman" w:cs="Times New Roman"/>
          <w:sz w:val="28"/>
          <w:szCs w:val="26"/>
          <w:lang w:val="es-ES_tradnl" w:eastAsia="es-ES"/>
        </w:rPr>
      </w:pPr>
      <w:r w:rsidRPr="00C050D9">
        <w:rPr>
          <w:rFonts w:ascii="Times New Roman" w:hAnsi="Times New Roman" w:cs="Times New Roman"/>
          <w:sz w:val="28"/>
          <w:szCs w:val="26"/>
          <w:lang w:val="es-ES_tradnl" w:eastAsia="es-ES"/>
        </w:rPr>
        <w:t xml:space="preserve">«Con lo expuesto se tiene que, </w:t>
      </w:r>
      <w:r w:rsidRPr="00C050D9">
        <w:rPr>
          <w:rFonts w:ascii="Times New Roman" w:hAnsi="Times New Roman" w:cs="Times New Roman"/>
          <w:sz w:val="28"/>
          <w:szCs w:val="26"/>
          <w:lang w:val="es-ES_tradnl" w:eastAsia="es-ES"/>
        </w:rPr>
        <w:t>si el legislador quería incentivar a ciertas profesiones liberales pertenecer al régimen simple de tributación, lo cual es válido, no podía lograr esto mediante la asignación de cargas tributarias desiguales que desatiendan el principio de equidad horizont</w:t>
      </w:r>
      <w:r w:rsidRPr="00C050D9">
        <w:rPr>
          <w:rFonts w:ascii="Times New Roman" w:hAnsi="Times New Roman" w:cs="Times New Roman"/>
          <w:sz w:val="28"/>
          <w:szCs w:val="26"/>
          <w:lang w:val="es-ES_tradnl" w:eastAsia="es-ES"/>
        </w:rPr>
        <w:t xml:space="preserve">al, pues teniendo las profesiones liberales equivalencia en su capacidad de pago, la carga fiscal asignada debe tener correspondencia, con lo cual existe una omisión legislativa relativa sobre el grupo 4, al no incluirse allí a los servicios profesionales </w:t>
      </w:r>
      <w:r w:rsidRPr="00C050D9">
        <w:rPr>
          <w:rFonts w:ascii="Times New Roman" w:hAnsi="Times New Roman" w:cs="Times New Roman"/>
          <w:sz w:val="28"/>
          <w:szCs w:val="26"/>
          <w:lang w:val="es-ES_tradnl" w:eastAsia="es-ES"/>
        </w:rPr>
        <w:t>de consultoría y científicos en los que predomine el factor intelectual sobre el material, incluidos los servicios de profesiones liberales».</w:t>
      </w:r>
      <w:r w:rsidRPr="00C050D9">
        <w:rPr>
          <w:rFonts w:ascii="Times New Roman" w:hAnsi="Times New Roman" w:cs="Times New Roman"/>
          <w:sz w:val="28"/>
          <w:szCs w:val="26"/>
          <w:vertAlign w:val="superscript"/>
          <w:lang w:val="es-ES_tradnl" w:eastAsia="es-ES"/>
        </w:rPr>
        <w:footnoteReference w:id="12"/>
      </w: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Adicionalmente, precisaron que mantener el grupo del numeral 5 separado del grupo del numeral 4, no es una </w:t>
      </w:r>
      <w:r w:rsidRPr="00C050D9">
        <w:rPr>
          <w:rFonts w:ascii="Times New Roman" w:hAnsi="Times New Roman" w:cs="Times New Roman"/>
          <w:sz w:val="28"/>
          <w:szCs w:val="28"/>
          <w:lang w:val="es-ES_tradnl" w:eastAsia="es-ES"/>
        </w:rPr>
        <w:t>medida adecuada para alcanzar un mayor incentivo de tributación en el régimen simple, toda vez que «al disminuir el tope de ingresos se excluye a una parte del sector de las pequeñas empresas de poder pertenecer al régimen simple de tributación, y al aumen</w:t>
      </w:r>
      <w:r w:rsidRPr="00C050D9">
        <w:rPr>
          <w:rFonts w:ascii="Times New Roman" w:hAnsi="Times New Roman" w:cs="Times New Roman"/>
          <w:sz w:val="28"/>
          <w:szCs w:val="28"/>
          <w:lang w:val="es-ES_tradnl" w:eastAsia="es-ES"/>
        </w:rPr>
        <w:t>tar tarifas, se impone una mayor carga tributaria, lo cual contrapone al objetivo de disminuir cargas tributarias a este grupo para alcanzar mayores niveles de formalidad empresarial».</w:t>
      </w:r>
      <w:r w:rsidRPr="00C050D9">
        <w:rPr>
          <w:rFonts w:ascii="Times New Roman" w:hAnsi="Times New Roman" w:cs="Times New Roman"/>
          <w:sz w:val="28"/>
          <w:szCs w:val="28"/>
          <w:vertAlign w:val="superscript"/>
          <w:lang w:val="es-ES_tradnl" w:eastAsia="es-ES"/>
        </w:rPr>
        <w:footnoteReference w:id="13"/>
      </w:r>
      <w:r w:rsidRPr="00C050D9">
        <w:rPr>
          <w:rFonts w:ascii="Times New Roman" w:hAnsi="Times New Roman" w:cs="Times New Roman"/>
          <w:sz w:val="28"/>
          <w:szCs w:val="28"/>
          <w:lang w:val="es-ES_tradnl" w:eastAsia="es-ES"/>
        </w:rPr>
        <w:t xml:space="preserve"> </w:t>
      </w: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p>
    <w:p w:rsidR="00415C72" w:rsidRPr="00C050D9" w:rsidRDefault="00C050D9" w:rsidP="00415C72">
      <w:pPr>
        <w:tabs>
          <w:tab w:val="num" w:pos="0"/>
          <w:tab w:val="left" w:pos="426"/>
        </w:tabs>
        <w:autoSpaceDE w:val="0"/>
        <w:autoSpaceDN w:val="0"/>
        <w:adjustRightInd w:val="0"/>
        <w:spacing w:after="0" w:line="240" w:lineRule="auto"/>
        <w:ind w:right="51"/>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Con todo, los actores concluyeron que, al haberse previsto un grupo </w:t>
      </w:r>
      <w:r w:rsidRPr="00C050D9">
        <w:rPr>
          <w:rFonts w:ascii="Times New Roman" w:hAnsi="Times New Roman" w:cs="Times New Roman"/>
          <w:sz w:val="28"/>
          <w:szCs w:val="28"/>
          <w:lang w:val="es-ES_tradnl" w:eastAsia="es-ES"/>
        </w:rPr>
        <w:t>de profesiones liberales relacionadas con la educación, atención en salud humana y la asistencia social, y se omitiera incluir a las demás profesiones liberales, lo razonable debe ser integrar ambos grupos al trato tributario del numeral 4 del inciso 2, as</w:t>
      </w:r>
      <w:r w:rsidRPr="00C050D9">
        <w:rPr>
          <w:rFonts w:ascii="Times New Roman" w:hAnsi="Times New Roman" w:cs="Times New Roman"/>
          <w:sz w:val="28"/>
          <w:szCs w:val="28"/>
          <w:lang w:val="es-ES_tradnl" w:eastAsia="es-ES"/>
        </w:rPr>
        <w:t xml:space="preserve">í como del numeral 4 del parágrafo del artículo 908 del Estatuto Tributario (artículo 44 de la Ley 2277 de 2022). </w:t>
      </w:r>
    </w:p>
    <w:p w:rsidR="00415C72" w:rsidRPr="00C050D9" w:rsidRDefault="00C050D9" w:rsidP="00415C72">
      <w:pPr>
        <w:tabs>
          <w:tab w:val="left" w:pos="0"/>
        </w:tabs>
        <w:autoSpaceDE w:val="0"/>
        <w:autoSpaceDN w:val="0"/>
        <w:adjustRightInd w:val="0"/>
        <w:spacing w:after="0" w:line="240" w:lineRule="auto"/>
        <w:ind w:right="51" w:hanging="142"/>
        <w:contextualSpacing/>
        <w:rPr>
          <w:rFonts w:ascii="Times New Roman" w:hAnsi="Times New Roman" w:cs="Times New Roman"/>
          <w:sz w:val="28"/>
          <w:szCs w:val="28"/>
          <w:lang w:val="es-ES_tradnl" w:eastAsia="es-ES"/>
        </w:rPr>
      </w:pPr>
    </w:p>
    <w:p w:rsidR="00415C72" w:rsidRPr="00C050D9" w:rsidRDefault="00C050D9" w:rsidP="00415C72">
      <w:pPr>
        <w:numPr>
          <w:ilvl w:val="1"/>
          <w:numId w:val="2"/>
        </w:numPr>
        <w:tabs>
          <w:tab w:val="left" w:pos="0"/>
          <w:tab w:val="left" w:pos="284"/>
          <w:tab w:val="left" w:pos="426"/>
        </w:tabs>
        <w:autoSpaceDE w:val="0"/>
        <w:autoSpaceDN w:val="0"/>
        <w:adjustRightInd w:val="0"/>
        <w:spacing w:after="0" w:line="240" w:lineRule="auto"/>
        <w:ind w:left="0" w:right="51" w:firstLine="0"/>
        <w:contextualSpacing/>
        <w:rPr>
          <w:rFonts w:ascii="Times New Roman" w:hAnsi="Times New Roman" w:cs="Times New Roman"/>
          <w:sz w:val="28"/>
          <w:szCs w:val="28"/>
          <w:lang w:val="es-ES_tradnl" w:eastAsia="es-ES"/>
        </w:rPr>
      </w:pPr>
      <w:r w:rsidRPr="00C050D9">
        <w:rPr>
          <w:rFonts w:ascii="Times New Roman" w:hAnsi="Times New Roman" w:cs="Times New Roman"/>
          <w:sz w:val="28"/>
          <w:szCs w:val="28"/>
          <w:lang w:val="es-ES_tradnl" w:eastAsia="es-ES"/>
        </w:rPr>
        <w:t xml:space="preserve">Los demandantes formularon las siguientes pretensiones </w:t>
      </w:r>
      <w:r w:rsidRPr="00C050D9">
        <w:rPr>
          <w:rFonts w:ascii="Times New Roman" w:hAnsi="Times New Roman" w:cs="Times New Roman"/>
          <w:sz w:val="28"/>
          <w:szCs w:val="28"/>
          <w:lang w:val="es-ES_tradnl" w:eastAsia="es-ES"/>
        </w:rPr>
        <w:t>en relación con los</w:t>
      </w:r>
      <w:r w:rsidRPr="00C050D9">
        <w:rPr>
          <w:rFonts w:ascii="Times New Roman" w:hAnsi="Times New Roman" w:cs="Times New Roman"/>
          <w:sz w:val="28"/>
          <w:szCs w:val="28"/>
          <w:lang w:val="es-ES_tradnl" w:eastAsia="es-ES"/>
        </w:rPr>
        <w:t xml:space="preserve"> cargos </w:t>
      </w:r>
      <w:r w:rsidRPr="00C050D9">
        <w:rPr>
          <w:rFonts w:ascii="Times New Roman" w:hAnsi="Times New Roman" w:cs="Times New Roman"/>
          <w:sz w:val="28"/>
          <w:szCs w:val="28"/>
          <w:lang w:val="es-ES_tradnl" w:eastAsia="es-ES"/>
        </w:rPr>
        <w:t>admitidos</w:t>
      </w:r>
      <w:r w:rsidRPr="00C050D9">
        <w:rPr>
          <w:rFonts w:ascii="Times New Roman" w:hAnsi="Times New Roman" w:cs="Times New Roman"/>
          <w:sz w:val="28"/>
          <w:szCs w:val="28"/>
          <w:lang w:val="es-ES_tradnl" w:eastAsia="es-ES"/>
        </w:rPr>
        <w:t xml:space="preserve">: </w:t>
      </w:r>
    </w:p>
    <w:p w:rsidR="00415C72" w:rsidRPr="00C050D9" w:rsidRDefault="00C050D9" w:rsidP="00415C72">
      <w:pPr>
        <w:tabs>
          <w:tab w:val="left" w:pos="0"/>
        </w:tabs>
        <w:autoSpaceDE w:val="0"/>
        <w:autoSpaceDN w:val="0"/>
        <w:adjustRightInd w:val="0"/>
        <w:spacing w:after="0" w:line="240" w:lineRule="auto"/>
        <w:ind w:right="51" w:hanging="142"/>
        <w:rPr>
          <w:rFonts w:ascii="Times New Roman" w:hAnsi="Times New Roman" w:cs="Times New Roman"/>
          <w:sz w:val="28"/>
          <w:szCs w:val="28"/>
          <w:lang w:val="es-ES_tradnl" w:eastAsia="es-ES"/>
        </w:rPr>
      </w:pPr>
    </w:p>
    <w:p w:rsidR="00415C72" w:rsidRPr="00C050D9" w:rsidRDefault="00C050D9" w:rsidP="00035ACA">
      <w:pPr>
        <w:tabs>
          <w:tab w:val="left" w:pos="426"/>
        </w:tabs>
        <w:autoSpaceDE w:val="0"/>
        <w:autoSpaceDN w:val="0"/>
        <w:adjustRightInd w:val="0"/>
        <w:spacing w:after="0" w:line="240" w:lineRule="auto"/>
        <w:ind w:left="851" w:right="616"/>
        <w:rPr>
          <w:rFonts w:ascii="Times New Roman" w:hAnsi="Times New Roman" w:cs="Times New Roman"/>
          <w:sz w:val="28"/>
          <w:szCs w:val="28"/>
          <w:lang w:eastAsia="es-ES"/>
        </w:rPr>
      </w:pPr>
      <w:r w:rsidRPr="00C050D9">
        <w:rPr>
          <w:rFonts w:ascii="Times New Roman" w:hAnsi="Times New Roman" w:cs="Times New Roman"/>
          <w:sz w:val="28"/>
          <w:szCs w:val="28"/>
          <w:lang w:val="es-ES_tradnl" w:eastAsia="es-ES"/>
        </w:rPr>
        <w:t>«</w:t>
      </w:r>
      <w:r w:rsidRPr="00C050D9">
        <w:rPr>
          <w:rFonts w:ascii="Times New Roman" w:hAnsi="Times New Roman" w:cs="Times New Roman"/>
          <w:sz w:val="28"/>
          <w:szCs w:val="28"/>
          <w:lang w:eastAsia="es-ES"/>
        </w:rPr>
        <w:t>D</w:t>
      </w:r>
      <w:r w:rsidRPr="00C050D9">
        <w:rPr>
          <w:rFonts w:ascii="Times New Roman" w:hAnsi="Times New Roman" w:cs="Times New Roman"/>
          <w:sz w:val="28"/>
          <w:szCs w:val="28"/>
          <w:lang w:eastAsia="es-ES"/>
        </w:rPr>
        <w:t xml:space="preserve">eclarar </w:t>
      </w:r>
      <w:r w:rsidRPr="00C050D9">
        <w:rPr>
          <w:rFonts w:ascii="Times New Roman" w:hAnsi="Times New Roman" w:cs="Times New Roman"/>
          <w:b/>
          <w:bCs/>
          <w:sz w:val="28"/>
          <w:szCs w:val="28"/>
          <w:lang w:eastAsia="es-ES"/>
        </w:rPr>
        <w:t xml:space="preserve">INEXEQUIBLE </w:t>
      </w:r>
      <w:r w:rsidRPr="00C050D9">
        <w:rPr>
          <w:rFonts w:ascii="Times New Roman" w:hAnsi="Times New Roman" w:cs="Times New Roman"/>
          <w:sz w:val="28"/>
          <w:szCs w:val="28"/>
          <w:lang w:eastAsia="es-ES"/>
        </w:rPr>
        <w:t xml:space="preserve">el parágrafo del </w:t>
      </w:r>
      <w:r w:rsidRPr="00C050D9">
        <w:rPr>
          <w:rFonts w:ascii="Times New Roman" w:hAnsi="Times New Roman" w:cs="Times New Roman"/>
          <w:sz w:val="28"/>
          <w:szCs w:val="28"/>
          <w:lang w:eastAsia="es-ES"/>
        </w:rPr>
        <w:t>artículo 3 de la Ley 2277 del 2022, por medio del cual se modificó el artículo 242 del Estatuto Tributario Nacional.</w:t>
      </w:r>
    </w:p>
    <w:p w:rsidR="00415C72" w:rsidRPr="00C050D9" w:rsidRDefault="00C050D9" w:rsidP="00415C72">
      <w:pPr>
        <w:tabs>
          <w:tab w:val="num" w:pos="0"/>
          <w:tab w:val="left" w:pos="426"/>
        </w:tabs>
        <w:spacing w:after="0" w:line="240" w:lineRule="auto"/>
        <w:ind w:left="851" w:right="616"/>
        <w:rPr>
          <w:rFonts w:ascii="Times New Roman" w:hAnsi="Times New Roman" w:cs="Times New Roman"/>
          <w:sz w:val="28"/>
          <w:szCs w:val="28"/>
          <w:lang w:eastAsia="es-ES"/>
        </w:rPr>
      </w:pPr>
    </w:p>
    <w:p w:rsidR="00415C72" w:rsidRPr="00C050D9" w:rsidRDefault="00C050D9" w:rsidP="00415C72">
      <w:pPr>
        <w:tabs>
          <w:tab w:val="num" w:pos="0"/>
          <w:tab w:val="left" w:pos="426"/>
        </w:tabs>
        <w:spacing w:after="0" w:line="240" w:lineRule="auto"/>
        <w:ind w:left="851" w:right="616"/>
        <w:rPr>
          <w:rFonts w:ascii="Times New Roman" w:hAnsi="Times New Roman" w:cs="Times New Roman"/>
          <w:sz w:val="28"/>
          <w:szCs w:val="28"/>
          <w:lang w:eastAsia="es-ES"/>
        </w:rPr>
      </w:pPr>
      <w:r w:rsidRPr="00C050D9">
        <w:rPr>
          <w:rFonts w:ascii="Times New Roman" w:hAnsi="Times New Roman" w:cs="Times New Roman"/>
          <w:sz w:val="28"/>
          <w:szCs w:val="28"/>
          <w:lang w:eastAsia="es-ES"/>
        </w:rPr>
        <w:t xml:space="preserve">Declarar </w:t>
      </w:r>
      <w:r w:rsidRPr="00C050D9">
        <w:rPr>
          <w:rFonts w:ascii="Times New Roman" w:hAnsi="Times New Roman" w:cs="Times New Roman"/>
          <w:b/>
          <w:bCs/>
          <w:sz w:val="28"/>
          <w:szCs w:val="28"/>
          <w:lang w:eastAsia="es-ES"/>
        </w:rPr>
        <w:t xml:space="preserve">INEXEQUIBLE </w:t>
      </w:r>
      <w:r w:rsidRPr="00C050D9">
        <w:rPr>
          <w:rFonts w:ascii="Times New Roman" w:hAnsi="Times New Roman" w:cs="Times New Roman"/>
          <w:sz w:val="28"/>
          <w:szCs w:val="28"/>
          <w:lang w:eastAsia="es-ES"/>
        </w:rPr>
        <w:t xml:space="preserve">el artículo 42 de la Ley 2277 del 2022, por medio del cual se adicionó el inciso 2 al numeral 2 del artículo 905 del </w:t>
      </w:r>
      <w:r w:rsidRPr="00C050D9">
        <w:rPr>
          <w:rFonts w:ascii="Times New Roman" w:hAnsi="Times New Roman" w:cs="Times New Roman"/>
          <w:sz w:val="28"/>
          <w:szCs w:val="28"/>
          <w:lang w:eastAsia="es-ES"/>
        </w:rPr>
        <w:t>Estatuto Tributario Nacional.</w:t>
      </w:r>
    </w:p>
    <w:p w:rsidR="00415C72" w:rsidRPr="00C050D9" w:rsidRDefault="00C050D9" w:rsidP="00415C72">
      <w:pPr>
        <w:tabs>
          <w:tab w:val="num" w:pos="0"/>
          <w:tab w:val="left" w:pos="426"/>
        </w:tabs>
        <w:spacing w:after="0" w:line="240" w:lineRule="auto"/>
        <w:ind w:left="851" w:right="616"/>
        <w:rPr>
          <w:rFonts w:ascii="Times New Roman" w:hAnsi="Times New Roman" w:cs="Times New Roman"/>
          <w:sz w:val="28"/>
          <w:szCs w:val="28"/>
          <w:lang w:eastAsia="es-ES"/>
        </w:rPr>
      </w:pPr>
    </w:p>
    <w:p w:rsidR="00415C72" w:rsidRPr="00C050D9" w:rsidRDefault="00C050D9" w:rsidP="00415C72">
      <w:pPr>
        <w:tabs>
          <w:tab w:val="num" w:pos="0"/>
          <w:tab w:val="left" w:pos="426"/>
        </w:tabs>
        <w:spacing w:after="0" w:line="240" w:lineRule="auto"/>
        <w:ind w:left="851" w:right="616"/>
        <w:rPr>
          <w:rFonts w:ascii="Times New Roman" w:hAnsi="Times New Roman" w:cs="Times New Roman"/>
          <w:sz w:val="28"/>
          <w:szCs w:val="28"/>
          <w:lang w:eastAsia="es-ES"/>
        </w:rPr>
      </w:pPr>
      <w:r w:rsidRPr="00C050D9">
        <w:rPr>
          <w:rFonts w:ascii="Times New Roman" w:hAnsi="Times New Roman" w:cs="Times New Roman"/>
          <w:sz w:val="28"/>
          <w:szCs w:val="28"/>
          <w:lang w:eastAsia="es-ES"/>
        </w:rPr>
        <w:t xml:space="preserve">Declarar </w:t>
      </w:r>
      <w:r w:rsidRPr="00C050D9">
        <w:rPr>
          <w:rFonts w:ascii="Times New Roman" w:hAnsi="Times New Roman" w:cs="Times New Roman"/>
          <w:b/>
          <w:bCs/>
          <w:sz w:val="28"/>
          <w:szCs w:val="28"/>
          <w:lang w:eastAsia="es-ES"/>
        </w:rPr>
        <w:t xml:space="preserve">INEXEQUIBLE </w:t>
      </w:r>
      <w:r w:rsidRPr="00C050D9">
        <w:rPr>
          <w:rFonts w:ascii="Times New Roman" w:hAnsi="Times New Roman" w:cs="Times New Roman"/>
          <w:sz w:val="28"/>
          <w:szCs w:val="28"/>
          <w:lang w:eastAsia="es-ES"/>
        </w:rPr>
        <w:t>el numeral 5 del inciso 2° y del parágrafo 4° del artículo 44 de la Ley 2277 de 2022, que modificó el artículo 908 del Estatuto Tributario Nacional.</w:t>
      </w:r>
    </w:p>
    <w:p w:rsidR="00415C72" w:rsidRPr="00C050D9" w:rsidRDefault="00C050D9" w:rsidP="00415C72">
      <w:pPr>
        <w:tabs>
          <w:tab w:val="num" w:pos="0"/>
          <w:tab w:val="left" w:pos="426"/>
        </w:tabs>
        <w:spacing w:after="0" w:line="240" w:lineRule="auto"/>
        <w:ind w:left="851" w:right="616"/>
        <w:rPr>
          <w:rFonts w:ascii="Times New Roman" w:hAnsi="Times New Roman" w:cs="Times New Roman"/>
          <w:sz w:val="28"/>
          <w:szCs w:val="28"/>
          <w:lang w:eastAsia="es-ES"/>
        </w:rPr>
      </w:pPr>
    </w:p>
    <w:p w:rsidR="00415C72" w:rsidRPr="00C050D9" w:rsidRDefault="00C050D9" w:rsidP="00415C72">
      <w:pPr>
        <w:tabs>
          <w:tab w:val="num" w:pos="0"/>
          <w:tab w:val="left" w:pos="426"/>
        </w:tabs>
        <w:spacing w:after="0" w:line="240" w:lineRule="auto"/>
        <w:ind w:left="851" w:right="616"/>
        <w:rPr>
          <w:rFonts w:ascii="Times New Roman" w:hAnsi="Times New Roman" w:cs="Times New Roman"/>
          <w:sz w:val="28"/>
          <w:szCs w:val="28"/>
          <w:lang w:eastAsia="es-ES"/>
        </w:rPr>
      </w:pPr>
      <w:r w:rsidRPr="00C050D9">
        <w:rPr>
          <w:rFonts w:ascii="Times New Roman" w:hAnsi="Times New Roman" w:cs="Times New Roman"/>
          <w:sz w:val="28"/>
          <w:szCs w:val="28"/>
          <w:lang w:eastAsia="es-ES"/>
        </w:rPr>
        <w:t xml:space="preserve">Declarar </w:t>
      </w:r>
      <w:r w:rsidRPr="00C050D9">
        <w:rPr>
          <w:rFonts w:ascii="Times New Roman" w:hAnsi="Times New Roman" w:cs="Times New Roman"/>
          <w:b/>
          <w:bCs/>
          <w:sz w:val="28"/>
          <w:szCs w:val="28"/>
          <w:lang w:eastAsia="es-ES"/>
        </w:rPr>
        <w:t xml:space="preserve">CONDICIONALMENTE EXEQUIBLE </w:t>
      </w:r>
      <w:r w:rsidRPr="00C050D9">
        <w:rPr>
          <w:rFonts w:ascii="Times New Roman" w:hAnsi="Times New Roman" w:cs="Times New Roman"/>
          <w:sz w:val="28"/>
          <w:szCs w:val="28"/>
          <w:lang w:eastAsia="es-ES"/>
        </w:rPr>
        <w:t>el numeral 4 del i</w:t>
      </w:r>
      <w:r w:rsidRPr="00C050D9">
        <w:rPr>
          <w:rFonts w:ascii="Times New Roman" w:hAnsi="Times New Roman" w:cs="Times New Roman"/>
          <w:sz w:val="28"/>
          <w:szCs w:val="28"/>
          <w:lang w:eastAsia="es-ES"/>
        </w:rPr>
        <w:t>nciso 2° y del parágrafo 4° del artículo 44 de la Ley 2277 de 2022, que modificó el artículo 908 del Estatuto Tributario, en el sentido de entender allí incluidos “</w:t>
      </w:r>
      <w:r w:rsidRPr="00C050D9">
        <w:rPr>
          <w:rFonts w:ascii="Times New Roman" w:hAnsi="Times New Roman" w:cs="Times New Roman"/>
          <w:i/>
          <w:iCs/>
          <w:sz w:val="28"/>
          <w:szCs w:val="28"/>
          <w:lang w:eastAsia="es-ES"/>
        </w:rPr>
        <w:t>los servicios profesionales, de consultoría y científicos en los</w:t>
      </w:r>
      <w:r w:rsidRPr="00C050D9">
        <w:rPr>
          <w:rFonts w:ascii="Times New Roman" w:hAnsi="Times New Roman" w:cs="Times New Roman"/>
          <w:sz w:val="28"/>
          <w:szCs w:val="28"/>
          <w:lang w:eastAsia="es-ES"/>
        </w:rPr>
        <w:t xml:space="preserve"> </w:t>
      </w:r>
      <w:r w:rsidRPr="00C050D9">
        <w:rPr>
          <w:rFonts w:ascii="Times New Roman" w:hAnsi="Times New Roman" w:cs="Times New Roman"/>
          <w:i/>
          <w:iCs/>
          <w:sz w:val="28"/>
          <w:szCs w:val="28"/>
          <w:lang w:eastAsia="es-ES"/>
        </w:rPr>
        <w:t xml:space="preserve">que predomine el factor </w:t>
      </w:r>
      <w:r w:rsidRPr="00C050D9">
        <w:rPr>
          <w:rFonts w:ascii="Times New Roman" w:hAnsi="Times New Roman" w:cs="Times New Roman"/>
          <w:i/>
          <w:iCs/>
          <w:sz w:val="28"/>
          <w:szCs w:val="28"/>
          <w:lang w:eastAsia="es-ES"/>
        </w:rPr>
        <w:t>intelectual sobre el material, incluidos los servicios de profesiones liberales</w:t>
      </w:r>
      <w:r w:rsidRPr="00C050D9">
        <w:rPr>
          <w:rFonts w:ascii="Times New Roman" w:hAnsi="Times New Roman" w:cs="Times New Roman"/>
          <w:sz w:val="28"/>
          <w:szCs w:val="28"/>
          <w:lang w:eastAsia="es-ES"/>
        </w:rPr>
        <w:t>”.»</w:t>
      </w:r>
    </w:p>
    <w:p w:rsidR="00576B8F" w:rsidRPr="00C050D9" w:rsidRDefault="00C050D9" w:rsidP="00351271">
      <w:pPr>
        <w:spacing w:after="0" w:line="240" w:lineRule="auto"/>
        <w:ind w:right="20"/>
        <w:rPr>
          <w:rFonts w:ascii="Times New Roman" w:hAnsi="Times New Roman" w:cs="Times New Roman"/>
          <w:sz w:val="28"/>
          <w:szCs w:val="28"/>
          <w:bdr w:val="none" w:sz="0" w:space="0" w:color="auto" w:frame="1"/>
        </w:rPr>
      </w:pPr>
    </w:p>
    <w:p w:rsidR="003524E5" w:rsidRPr="00C050D9" w:rsidRDefault="00C050D9" w:rsidP="003524E5">
      <w:pPr>
        <w:pStyle w:val="Prrafodelista"/>
        <w:numPr>
          <w:ilvl w:val="0"/>
          <w:numId w:val="1"/>
        </w:numPr>
        <w:rPr>
          <w:rFonts w:ascii="Times New Roman" w:hAnsi="Times New Roman" w:cs="Times New Roman"/>
          <w:b/>
          <w:bCs/>
          <w:sz w:val="28"/>
          <w:szCs w:val="28"/>
          <w:bdr w:val="none" w:sz="0" w:space="0" w:color="auto" w:frame="1"/>
        </w:rPr>
      </w:pPr>
      <w:r w:rsidRPr="00C050D9">
        <w:rPr>
          <w:rFonts w:ascii="Times New Roman" w:hAnsi="Times New Roman" w:cs="Times New Roman"/>
          <w:b/>
          <w:bCs/>
          <w:sz w:val="28"/>
          <w:szCs w:val="28"/>
          <w:bdr w:val="none" w:sz="0" w:space="0" w:color="auto" w:frame="1"/>
        </w:rPr>
        <w:t>INTERVENCIONES</w:t>
      </w:r>
    </w:p>
    <w:p w:rsidR="009715D5" w:rsidRPr="00C050D9" w:rsidRDefault="00C050D9" w:rsidP="004E757B">
      <w:pPr>
        <w:pStyle w:val="Prrafodelista"/>
        <w:shd w:val="clear" w:color="auto" w:fill="FFFFFF"/>
        <w:tabs>
          <w:tab w:val="left" w:pos="284"/>
        </w:tabs>
        <w:spacing w:after="0" w:line="240" w:lineRule="auto"/>
        <w:ind w:left="0" w:right="20"/>
        <w:textAlignment w:val="baseline"/>
        <w:rPr>
          <w:rFonts w:ascii="Times New Roman" w:hAnsi="Times New Roman" w:cs="Times New Roman"/>
          <w:sz w:val="28"/>
          <w:szCs w:val="28"/>
          <w:bdr w:val="none" w:sz="0" w:space="0" w:color="auto" w:frame="1"/>
        </w:rPr>
      </w:pPr>
    </w:p>
    <w:tbl>
      <w:tblPr>
        <w:tblStyle w:val="Tablaconcuadrcula1"/>
        <w:tblW w:w="6232" w:type="dxa"/>
        <w:tblInd w:w="1294" w:type="dxa"/>
        <w:tblLook w:val="04A0" w:firstRow="1" w:lastRow="0" w:firstColumn="1" w:lastColumn="0" w:noHBand="0" w:noVBand="1"/>
      </w:tblPr>
      <w:tblGrid>
        <w:gridCol w:w="2972"/>
        <w:gridCol w:w="3260"/>
      </w:tblGrid>
      <w:tr w:rsidR="0080460D" w:rsidRPr="00C050D9" w:rsidTr="0080460D">
        <w:tc>
          <w:tcPr>
            <w:tcW w:w="2972" w:type="dxa"/>
            <w:shd w:val="clear" w:color="auto" w:fill="BFBFBF"/>
            <w:vAlign w:val="center"/>
          </w:tcPr>
          <w:p w:rsidR="0080460D" w:rsidRPr="00C050D9" w:rsidRDefault="00C050D9" w:rsidP="00135E30">
            <w:pPr>
              <w:jc w:val="center"/>
              <w:rPr>
                <w:b/>
                <w:sz w:val="28"/>
                <w:szCs w:val="20"/>
              </w:rPr>
            </w:pPr>
            <w:r w:rsidRPr="00C050D9">
              <w:rPr>
                <w:b/>
                <w:sz w:val="28"/>
                <w:szCs w:val="20"/>
              </w:rPr>
              <w:t>CONSTITUCIONALIDAD SIMPLE o CONDICIONADA</w:t>
            </w:r>
          </w:p>
        </w:tc>
        <w:tc>
          <w:tcPr>
            <w:tcW w:w="3260" w:type="dxa"/>
            <w:shd w:val="clear" w:color="auto" w:fill="BFBFBF"/>
            <w:vAlign w:val="center"/>
          </w:tcPr>
          <w:p w:rsidR="0080460D" w:rsidRPr="00C050D9" w:rsidRDefault="00C050D9" w:rsidP="00135E30">
            <w:pPr>
              <w:jc w:val="center"/>
              <w:rPr>
                <w:b/>
                <w:sz w:val="28"/>
                <w:szCs w:val="20"/>
              </w:rPr>
            </w:pPr>
            <w:r w:rsidRPr="00C050D9">
              <w:rPr>
                <w:b/>
                <w:sz w:val="28"/>
                <w:szCs w:val="20"/>
              </w:rPr>
              <w:t>INCONSTITUCIONAL</w:t>
            </w:r>
          </w:p>
        </w:tc>
      </w:tr>
      <w:tr w:rsidR="0080460D" w:rsidRPr="00C050D9" w:rsidTr="0080460D">
        <w:tc>
          <w:tcPr>
            <w:tcW w:w="2972" w:type="dxa"/>
          </w:tcPr>
          <w:p w:rsidR="0080460D" w:rsidRPr="00C050D9" w:rsidRDefault="00C050D9" w:rsidP="004E4131">
            <w:pPr>
              <w:jc w:val="center"/>
              <w:rPr>
                <w:sz w:val="28"/>
                <w:szCs w:val="20"/>
              </w:rPr>
            </w:pPr>
            <w:r w:rsidRPr="00C050D9">
              <w:rPr>
                <w:sz w:val="28"/>
                <w:szCs w:val="20"/>
              </w:rPr>
              <w:t>Dirección de Impuestos y Aduanas Nacionales – DIAN</w:t>
            </w:r>
          </w:p>
          <w:p w:rsidR="005A52A0" w:rsidRPr="00C050D9" w:rsidRDefault="00C050D9" w:rsidP="005A52A0">
            <w:pPr>
              <w:jc w:val="center"/>
              <w:rPr>
                <w:sz w:val="28"/>
                <w:szCs w:val="20"/>
              </w:rPr>
            </w:pPr>
            <w:r w:rsidRPr="00C050D9">
              <w:rPr>
                <w:sz w:val="28"/>
                <w:szCs w:val="20"/>
              </w:rPr>
              <w:t>Instituto Colombiano de Derecho Tributario</w:t>
            </w:r>
          </w:p>
          <w:p w:rsidR="00200F1E" w:rsidRPr="00C050D9" w:rsidRDefault="00C050D9" w:rsidP="004E4131">
            <w:pPr>
              <w:jc w:val="center"/>
              <w:rPr>
                <w:sz w:val="28"/>
                <w:szCs w:val="20"/>
              </w:rPr>
            </w:pPr>
            <w:r w:rsidRPr="00C050D9">
              <w:rPr>
                <w:sz w:val="28"/>
                <w:szCs w:val="20"/>
              </w:rPr>
              <w:t>(respecto del parágrafo del artículo 3°</w:t>
            </w:r>
            <w:r w:rsidRPr="00C050D9">
              <w:rPr>
                <w:sz w:val="28"/>
                <w:szCs w:val="20"/>
              </w:rPr>
              <w:t>)</w:t>
            </w:r>
          </w:p>
        </w:tc>
        <w:tc>
          <w:tcPr>
            <w:tcW w:w="3260" w:type="dxa"/>
          </w:tcPr>
          <w:p w:rsidR="008E049B" w:rsidRPr="00C050D9" w:rsidRDefault="00C050D9" w:rsidP="008E049B">
            <w:pPr>
              <w:jc w:val="center"/>
              <w:rPr>
                <w:sz w:val="28"/>
                <w:szCs w:val="20"/>
              </w:rPr>
            </w:pPr>
            <w:r w:rsidRPr="00C050D9">
              <w:rPr>
                <w:sz w:val="28"/>
                <w:szCs w:val="20"/>
              </w:rPr>
              <w:t xml:space="preserve">Centro de Estudios Tributarios </w:t>
            </w:r>
            <w:r w:rsidRPr="00C050D9">
              <w:rPr>
                <w:sz w:val="28"/>
                <w:szCs w:val="20"/>
              </w:rPr>
              <w:t>–</w:t>
            </w:r>
            <w:r w:rsidRPr="00C050D9">
              <w:rPr>
                <w:sz w:val="28"/>
                <w:szCs w:val="20"/>
              </w:rPr>
              <w:t xml:space="preserve"> CETA</w:t>
            </w:r>
          </w:p>
          <w:p w:rsidR="005A54E7" w:rsidRPr="00C050D9" w:rsidRDefault="00C050D9" w:rsidP="008E049B">
            <w:pPr>
              <w:jc w:val="center"/>
              <w:rPr>
                <w:sz w:val="28"/>
                <w:szCs w:val="20"/>
              </w:rPr>
            </w:pPr>
            <w:r w:rsidRPr="00C050D9">
              <w:rPr>
                <w:sz w:val="28"/>
                <w:szCs w:val="20"/>
              </w:rPr>
              <w:t>(respecto del parágrafo del artículo 3</w:t>
            </w:r>
            <w:r w:rsidRPr="00C050D9">
              <w:rPr>
                <w:sz w:val="28"/>
                <w:szCs w:val="20"/>
              </w:rPr>
              <w:t xml:space="preserve"> y los artículos 42 y 44 (parciales</w:t>
            </w:r>
            <w:r w:rsidRPr="00C050D9">
              <w:rPr>
                <w:sz w:val="28"/>
                <w:szCs w:val="20"/>
              </w:rPr>
              <w:t>)</w:t>
            </w:r>
            <w:r w:rsidRPr="00C050D9">
              <w:rPr>
                <w:sz w:val="28"/>
                <w:szCs w:val="20"/>
              </w:rPr>
              <w:t xml:space="preserve"> de la Ley 2277 de 2022)</w:t>
            </w:r>
          </w:p>
        </w:tc>
      </w:tr>
      <w:tr w:rsidR="0080460D" w:rsidRPr="00C050D9" w:rsidTr="0080460D">
        <w:tc>
          <w:tcPr>
            <w:tcW w:w="2972" w:type="dxa"/>
          </w:tcPr>
          <w:p w:rsidR="0080460D" w:rsidRPr="00C050D9" w:rsidRDefault="00C050D9" w:rsidP="004E4131">
            <w:pPr>
              <w:jc w:val="center"/>
              <w:rPr>
                <w:sz w:val="28"/>
                <w:szCs w:val="20"/>
                <w:lang w:val="es-CO"/>
              </w:rPr>
            </w:pPr>
            <w:r w:rsidRPr="00C050D9">
              <w:rPr>
                <w:sz w:val="28"/>
                <w:szCs w:val="20"/>
                <w:lang w:val="es-CO"/>
              </w:rPr>
              <w:t>Asociación Nacional de Empresario de Colombia – ANDI</w:t>
            </w:r>
          </w:p>
          <w:p w:rsidR="00200F1E" w:rsidRPr="00C050D9" w:rsidRDefault="00C050D9" w:rsidP="004E4131">
            <w:pPr>
              <w:jc w:val="center"/>
              <w:rPr>
                <w:sz w:val="28"/>
                <w:szCs w:val="20"/>
                <w:lang w:val="es-CO"/>
              </w:rPr>
            </w:pPr>
          </w:p>
          <w:p w:rsidR="00200F1E" w:rsidRPr="00C050D9" w:rsidRDefault="00C050D9" w:rsidP="004E4131">
            <w:pPr>
              <w:jc w:val="center"/>
              <w:rPr>
                <w:sz w:val="28"/>
                <w:szCs w:val="20"/>
                <w:lang w:val="es-CO"/>
              </w:rPr>
            </w:pPr>
            <w:r w:rsidRPr="00C050D9">
              <w:rPr>
                <w:sz w:val="28"/>
                <w:szCs w:val="20"/>
                <w:lang w:val="es-CO"/>
              </w:rPr>
              <w:t>(Subraya que las medida</w:t>
            </w:r>
            <w:r w:rsidRPr="00C050D9">
              <w:rPr>
                <w:sz w:val="28"/>
                <w:szCs w:val="20"/>
                <w:lang w:val="es-CO"/>
              </w:rPr>
              <w:t>s establecen trato</w:t>
            </w:r>
            <w:r w:rsidRPr="00C050D9">
              <w:rPr>
                <w:sz w:val="28"/>
                <w:szCs w:val="20"/>
                <w:lang w:val="es-CO"/>
              </w:rPr>
              <w:t>s</w:t>
            </w:r>
            <w:r w:rsidRPr="00C050D9">
              <w:rPr>
                <w:sz w:val="28"/>
                <w:szCs w:val="20"/>
                <w:lang w:val="es-CO"/>
              </w:rPr>
              <w:t xml:space="preserve"> discriminatorios</w:t>
            </w:r>
            <w:r w:rsidRPr="00C050D9">
              <w:rPr>
                <w:sz w:val="28"/>
                <w:szCs w:val="20"/>
                <w:lang w:val="es-CO"/>
              </w:rPr>
              <w:t>,</w:t>
            </w:r>
            <w:r w:rsidRPr="00C050D9">
              <w:rPr>
                <w:sz w:val="28"/>
                <w:szCs w:val="20"/>
                <w:lang w:val="es-CO"/>
              </w:rPr>
              <w:t xml:space="preserve"> pero sugiere la exequibilidad condicionada)</w:t>
            </w:r>
          </w:p>
          <w:p w:rsidR="00200F1E" w:rsidRPr="00C050D9" w:rsidRDefault="00C050D9" w:rsidP="004E4131">
            <w:pPr>
              <w:jc w:val="center"/>
              <w:rPr>
                <w:sz w:val="28"/>
                <w:szCs w:val="20"/>
                <w:lang w:val="es-CO"/>
              </w:rPr>
            </w:pPr>
          </w:p>
        </w:tc>
        <w:tc>
          <w:tcPr>
            <w:tcW w:w="3260" w:type="dxa"/>
          </w:tcPr>
          <w:p w:rsidR="008E049B" w:rsidRPr="00C050D9" w:rsidRDefault="00C050D9" w:rsidP="008E049B">
            <w:pPr>
              <w:jc w:val="center"/>
              <w:rPr>
                <w:sz w:val="28"/>
                <w:szCs w:val="20"/>
              </w:rPr>
            </w:pPr>
            <w:r w:rsidRPr="00C050D9">
              <w:rPr>
                <w:sz w:val="28"/>
                <w:szCs w:val="20"/>
              </w:rPr>
              <w:t>Instituto Colombiano de Derecho Tributario</w:t>
            </w:r>
            <w:r w:rsidRPr="00C050D9">
              <w:rPr>
                <w:sz w:val="28"/>
                <w:szCs w:val="20"/>
              </w:rPr>
              <w:t xml:space="preserve"> (respecto del cargo contra los artículos 42 y 44 parciales de la Ley 2277 de 2022)</w:t>
            </w:r>
          </w:p>
          <w:p w:rsidR="00200F1E" w:rsidRPr="00C050D9" w:rsidRDefault="00C050D9" w:rsidP="00135E30">
            <w:pPr>
              <w:jc w:val="center"/>
              <w:rPr>
                <w:sz w:val="28"/>
                <w:szCs w:val="20"/>
              </w:rPr>
            </w:pPr>
          </w:p>
        </w:tc>
      </w:tr>
      <w:tr w:rsidR="0080460D" w:rsidRPr="00C050D9" w:rsidTr="0080460D">
        <w:tc>
          <w:tcPr>
            <w:tcW w:w="2972" w:type="dxa"/>
          </w:tcPr>
          <w:p w:rsidR="0080460D" w:rsidRPr="00C050D9" w:rsidRDefault="00C050D9" w:rsidP="004E4131">
            <w:pPr>
              <w:jc w:val="center"/>
              <w:rPr>
                <w:sz w:val="28"/>
                <w:szCs w:val="20"/>
              </w:rPr>
            </w:pPr>
            <w:r w:rsidRPr="00C050D9">
              <w:rPr>
                <w:sz w:val="28"/>
                <w:szCs w:val="20"/>
              </w:rPr>
              <w:t>Ministerio de Hacienda y Crédito Público</w:t>
            </w:r>
          </w:p>
          <w:p w:rsidR="00E952BF" w:rsidRPr="00C050D9" w:rsidRDefault="00C050D9" w:rsidP="004E4131">
            <w:pPr>
              <w:jc w:val="center"/>
              <w:rPr>
                <w:sz w:val="28"/>
                <w:szCs w:val="20"/>
              </w:rPr>
            </w:pPr>
            <w:r w:rsidRPr="00C050D9">
              <w:rPr>
                <w:sz w:val="28"/>
                <w:szCs w:val="20"/>
              </w:rPr>
              <w:t>(respecto de ambos cargos la exequibilidad simple)</w:t>
            </w:r>
          </w:p>
          <w:p w:rsidR="00E952BF" w:rsidRPr="00C050D9" w:rsidRDefault="00C050D9" w:rsidP="004E4131">
            <w:pPr>
              <w:jc w:val="center"/>
              <w:rPr>
                <w:sz w:val="28"/>
                <w:szCs w:val="20"/>
              </w:rPr>
            </w:pPr>
          </w:p>
        </w:tc>
        <w:tc>
          <w:tcPr>
            <w:tcW w:w="3260" w:type="dxa"/>
          </w:tcPr>
          <w:p w:rsidR="00200F1E" w:rsidRPr="00C050D9" w:rsidRDefault="00C050D9" w:rsidP="00495D3B">
            <w:pPr>
              <w:jc w:val="center"/>
              <w:rPr>
                <w:sz w:val="28"/>
                <w:szCs w:val="20"/>
              </w:rPr>
            </w:pPr>
          </w:p>
        </w:tc>
      </w:tr>
      <w:tr w:rsidR="0080460D" w:rsidRPr="00C050D9" w:rsidTr="0080460D">
        <w:tc>
          <w:tcPr>
            <w:tcW w:w="2972" w:type="dxa"/>
          </w:tcPr>
          <w:p w:rsidR="0080460D" w:rsidRPr="00C050D9" w:rsidRDefault="00C050D9" w:rsidP="009D6178">
            <w:pPr>
              <w:jc w:val="center"/>
              <w:rPr>
                <w:sz w:val="28"/>
                <w:szCs w:val="20"/>
              </w:rPr>
            </w:pPr>
            <w:r w:rsidRPr="00C050D9">
              <w:rPr>
                <w:sz w:val="28"/>
                <w:szCs w:val="20"/>
              </w:rPr>
              <w:t>Secretaría Jurídica del Departamento Administrativo de la Presidencia de la República</w:t>
            </w:r>
          </w:p>
          <w:p w:rsidR="00E952BF" w:rsidRPr="00C050D9" w:rsidRDefault="00C050D9" w:rsidP="00E952BF">
            <w:pPr>
              <w:jc w:val="center"/>
              <w:rPr>
                <w:sz w:val="28"/>
                <w:szCs w:val="20"/>
              </w:rPr>
            </w:pPr>
            <w:r w:rsidRPr="00C050D9">
              <w:rPr>
                <w:sz w:val="28"/>
                <w:szCs w:val="20"/>
              </w:rPr>
              <w:t>(respecto de ambos cargos la exequibilidad simple)</w:t>
            </w:r>
          </w:p>
          <w:p w:rsidR="00AE0864" w:rsidRPr="00C050D9" w:rsidRDefault="00C050D9" w:rsidP="009D6178">
            <w:pPr>
              <w:jc w:val="center"/>
              <w:rPr>
                <w:sz w:val="28"/>
                <w:szCs w:val="20"/>
              </w:rPr>
            </w:pPr>
          </w:p>
        </w:tc>
        <w:tc>
          <w:tcPr>
            <w:tcW w:w="3260" w:type="dxa"/>
          </w:tcPr>
          <w:p w:rsidR="00156487" w:rsidRPr="00C050D9" w:rsidRDefault="00C050D9" w:rsidP="008E049B">
            <w:pPr>
              <w:jc w:val="center"/>
              <w:rPr>
                <w:sz w:val="28"/>
                <w:szCs w:val="20"/>
              </w:rPr>
            </w:pPr>
          </w:p>
        </w:tc>
      </w:tr>
    </w:tbl>
    <w:p w:rsidR="00135E30" w:rsidRPr="00C050D9" w:rsidRDefault="00C050D9" w:rsidP="008A4CEF">
      <w:pPr>
        <w:spacing w:after="0" w:line="240" w:lineRule="auto"/>
        <w:rPr>
          <w:rFonts w:ascii="Times New Roman" w:hAnsi="Times New Roman" w:cs="Times New Roman"/>
          <w:sz w:val="28"/>
          <w:szCs w:val="28"/>
        </w:rPr>
      </w:pPr>
    </w:p>
    <w:p w:rsidR="00C64D03" w:rsidRPr="00C050D9" w:rsidRDefault="00C050D9" w:rsidP="008A4CEF">
      <w:pPr>
        <w:spacing w:after="0" w:line="240" w:lineRule="auto"/>
        <w:rPr>
          <w:rFonts w:ascii="Times New Roman" w:hAnsi="Times New Roman" w:cs="Times New Roman"/>
          <w:sz w:val="28"/>
          <w:szCs w:val="28"/>
        </w:rPr>
      </w:pPr>
      <w:r w:rsidRPr="00C050D9">
        <w:rPr>
          <w:rFonts w:ascii="Times New Roman" w:hAnsi="Times New Roman" w:cs="Times New Roman"/>
          <w:sz w:val="28"/>
          <w:szCs w:val="28"/>
        </w:rPr>
        <w:t xml:space="preserve">La síntesis de las intervenciones puede consultarse en el </w:t>
      </w:r>
      <w:r w:rsidRPr="00C050D9">
        <w:rPr>
          <w:rFonts w:ascii="Times New Roman" w:hAnsi="Times New Roman" w:cs="Times New Roman"/>
          <w:sz w:val="28"/>
          <w:szCs w:val="28"/>
        </w:rPr>
        <w:t>A</w:t>
      </w:r>
      <w:r w:rsidRPr="00C050D9">
        <w:rPr>
          <w:rFonts w:ascii="Times New Roman" w:hAnsi="Times New Roman" w:cs="Times New Roman"/>
          <w:sz w:val="28"/>
          <w:szCs w:val="28"/>
        </w:rPr>
        <w:t xml:space="preserve">nexo </w:t>
      </w:r>
      <w:r w:rsidRPr="00C050D9">
        <w:rPr>
          <w:rFonts w:ascii="Times New Roman" w:hAnsi="Times New Roman" w:cs="Times New Roman"/>
          <w:sz w:val="28"/>
          <w:szCs w:val="28"/>
        </w:rPr>
        <w:t>I</w:t>
      </w:r>
      <w:r w:rsidRPr="00C050D9">
        <w:rPr>
          <w:rFonts w:ascii="Times New Roman" w:hAnsi="Times New Roman" w:cs="Times New Roman"/>
          <w:sz w:val="28"/>
          <w:szCs w:val="28"/>
        </w:rPr>
        <w:t>I</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de</w:t>
      </w:r>
      <w:r w:rsidRPr="00C050D9">
        <w:rPr>
          <w:rFonts w:ascii="Times New Roman" w:hAnsi="Times New Roman" w:cs="Times New Roman"/>
          <w:sz w:val="28"/>
          <w:szCs w:val="28"/>
        </w:rPr>
        <w:t xml:space="preserve"> esta providencia que hace parte integral de la sentencia.</w:t>
      </w:r>
      <w:r w:rsidRPr="00C050D9">
        <w:rPr>
          <w:rFonts w:ascii="Times New Roman" w:hAnsi="Times New Roman" w:cs="Times New Roman"/>
          <w:sz w:val="28"/>
          <w:szCs w:val="28"/>
        </w:rPr>
        <w:t xml:space="preserve"> Las pruebas practicadas mediante auto admisorio del </w:t>
      </w:r>
      <w:r w:rsidRPr="00C050D9">
        <w:rPr>
          <w:rFonts w:ascii="Times New Roman" w:hAnsi="Times New Roman" w:cs="Times New Roman"/>
          <w:sz w:val="28"/>
          <w:szCs w:val="28"/>
        </w:rPr>
        <w:t>26 de mayo</w:t>
      </w:r>
      <w:r w:rsidRPr="00C050D9">
        <w:rPr>
          <w:rFonts w:ascii="Times New Roman" w:hAnsi="Times New Roman" w:cs="Times New Roman"/>
          <w:sz w:val="28"/>
          <w:szCs w:val="28"/>
        </w:rPr>
        <w:t xml:space="preserve"> de 2023 serán también descritas en el Anexo I de esta providencia. </w:t>
      </w:r>
    </w:p>
    <w:p w:rsidR="00135E30" w:rsidRPr="00C050D9" w:rsidRDefault="00C050D9" w:rsidP="008A4CEF">
      <w:pPr>
        <w:spacing w:after="0" w:line="240" w:lineRule="auto"/>
        <w:rPr>
          <w:rFonts w:ascii="Times New Roman" w:hAnsi="Times New Roman" w:cs="Times New Roman"/>
          <w:sz w:val="28"/>
          <w:szCs w:val="28"/>
        </w:rPr>
      </w:pPr>
    </w:p>
    <w:p w:rsidR="00F505E8" w:rsidRPr="00C050D9" w:rsidRDefault="00C050D9" w:rsidP="008A4CEF">
      <w:pPr>
        <w:pStyle w:val="Prrafodelista"/>
        <w:numPr>
          <w:ilvl w:val="0"/>
          <w:numId w:val="1"/>
        </w:numPr>
        <w:tabs>
          <w:tab w:val="left" w:pos="426"/>
        </w:tabs>
        <w:spacing w:after="0" w:line="240" w:lineRule="auto"/>
        <w:ind w:left="426" w:hanging="426"/>
        <w:rPr>
          <w:rFonts w:ascii="Times New Roman" w:hAnsi="Times New Roman" w:cs="Times New Roman"/>
          <w:b/>
          <w:bCs/>
          <w:sz w:val="28"/>
          <w:szCs w:val="28"/>
        </w:rPr>
      </w:pPr>
      <w:r w:rsidRPr="00C050D9">
        <w:rPr>
          <w:rFonts w:ascii="Times New Roman" w:hAnsi="Times New Roman" w:cs="Times New Roman"/>
          <w:b/>
          <w:bCs/>
          <w:sz w:val="28"/>
          <w:szCs w:val="28"/>
        </w:rPr>
        <w:t>CONCEPTO DE</w:t>
      </w:r>
      <w:r w:rsidRPr="00C050D9">
        <w:rPr>
          <w:rFonts w:ascii="Times New Roman" w:hAnsi="Times New Roman" w:cs="Times New Roman"/>
          <w:b/>
          <w:bCs/>
          <w:sz w:val="28"/>
          <w:szCs w:val="28"/>
        </w:rPr>
        <w:t xml:space="preserve"> LA</w:t>
      </w:r>
      <w:r w:rsidRPr="00C050D9">
        <w:rPr>
          <w:rFonts w:ascii="Times New Roman" w:hAnsi="Times New Roman" w:cs="Times New Roman"/>
          <w:b/>
          <w:bCs/>
          <w:sz w:val="28"/>
          <w:szCs w:val="28"/>
        </w:rPr>
        <w:t xml:space="preserve"> </w:t>
      </w:r>
      <w:r w:rsidRPr="00C050D9">
        <w:rPr>
          <w:rFonts w:ascii="Times New Roman" w:hAnsi="Times New Roman" w:cs="Times New Roman"/>
          <w:b/>
          <w:bCs/>
          <w:sz w:val="28"/>
          <w:szCs w:val="28"/>
        </w:rPr>
        <w:t>PROCURADORA</w:t>
      </w:r>
      <w:r w:rsidRPr="00C050D9">
        <w:rPr>
          <w:rFonts w:ascii="Times New Roman" w:hAnsi="Times New Roman" w:cs="Times New Roman"/>
          <w:b/>
          <w:bCs/>
          <w:sz w:val="28"/>
          <w:szCs w:val="28"/>
        </w:rPr>
        <w:t xml:space="preserve"> GENERAL DE LA NACIÓN </w:t>
      </w:r>
    </w:p>
    <w:p w:rsidR="00667FFD" w:rsidRPr="00C050D9" w:rsidRDefault="00C050D9" w:rsidP="00667FFD">
      <w:pPr>
        <w:pStyle w:val="Prrafodelista"/>
        <w:tabs>
          <w:tab w:val="left" w:pos="426"/>
        </w:tabs>
        <w:spacing w:after="0" w:line="240" w:lineRule="auto"/>
        <w:ind w:left="0"/>
        <w:rPr>
          <w:rFonts w:ascii="Times New Roman" w:hAnsi="Times New Roman" w:cs="Times New Roman"/>
          <w:sz w:val="28"/>
          <w:szCs w:val="28"/>
          <w:lang w:val="es-ES_tradnl"/>
        </w:rPr>
      </w:pPr>
    </w:p>
    <w:p w:rsidR="00385354" w:rsidRPr="00C050D9" w:rsidRDefault="00C050D9" w:rsidP="001F592D">
      <w:pPr>
        <w:pStyle w:val="Prrafodelista"/>
        <w:numPr>
          <w:ilvl w:val="0"/>
          <w:numId w:val="2"/>
        </w:numPr>
        <w:tabs>
          <w:tab w:val="clear" w:pos="750"/>
          <w:tab w:val="num" w:pos="360"/>
          <w:tab w:val="left" w:pos="426"/>
        </w:tabs>
        <w:spacing w:after="0" w:line="240" w:lineRule="auto"/>
        <w:ind w:left="0" w:firstLine="0"/>
        <w:rPr>
          <w:rFonts w:ascii="Times New Roman" w:hAnsi="Times New Roman" w:cs="Times New Roman"/>
          <w:b/>
          <w:bCs/>
          <w:sz w:val="28"/>
          <w:szCs w:val="28"/>
          <w:lang w:val="es-ES_tradnl"/>
        </w:rPr>
      </w:pPr>
      <w:r w:rsidRPr="00C050D9">
        <w:rPr>
          <w:rFonts w:ascii="Times New Roman" w:hAnsi="Times New Roman" w:cs="Times New Roman"/>
          <w:sz w:val="28"/>
          <w:szCs w:val="28"/>
          <w:lang w:val="es-ES_tradnl"/>
        </w:rPr>
        <w:t xml:space="preserve">El </w:t>
      </w:r>
      <w:r w:rsidRPr="00C050D9">
        <w:rPr>
          <w:rFonts w:ascii="Times New Roman" w:hAnsi="Times New Roman" w:cs="Times New Roman"/>
          <w:sz w:val="28"/>
          <w:szCs w:val="28"/>
          <w:lang w:val="es-ES_tradnl"/>
        </w:rPr>
        <w:t xml:space="preserve">9 </w:t>
      </w:r>
      <w:r w:rsidRPr="00C050D9">
        <w:rPr>
          <w:rFonts w:ascii="Times New Roman" w:hAnsi="Times New Roman" w:cs="Times New Roman"/>
          <w:sz w:val="28"/>
          <w:szCs w:val="28"/>
          <w:lang w:val="es-ES_tradnl"/>
        </w:rPr>
        <w:t>de noviembre</w:t>
      </w:r>
      <w:r w:rsidRPr="00C050D9">
        <w:rPr>
          <w:rFonts w:ascii="Times New Roman" w:hAnsi="Times New Roman" w:cs="Times New Roman"/>
          <w:sz w:val="28"/>
          <w:szCs w:val="28"/>
          <w:lang w:val="es-ES_tradnl"/>
        </w:rPr>
        <w:t xml:space="preserve"> de 2023 la Procuradora General de la Nación rindió concepto sobre el proceso de la referencia. </w:t>
      </w:r>
      <w:r w:rsidRPr="00C050D9">
        <w:rPr>
          <w:rFonts w:ascii="Times New Roman" w:eastAsiaTheme="minorHAnsi" w:hAnsi="Times New Roman" w:cs="Times New Roman"/>
          <w:sz w:val="28"/>
          <w:szCs w:val="28"/>
          <w:lang w:val="es-ES" w:eastAsia="en-US"/>
        </w:rPr>
        <w:t>Solicitó a la Corte Constitucional declarar la exequibilidad (i) del parágrafo del artículo 3° y (ii) los artículos 42 y 44 (parciales) de la Ley 22</w:t>
      </w:r>
      <w:r w:rsidRPr="00C050D9">
        <w:rPr>
          <w:rFonts w:ascii="Times New Roman" w:eastAsiaTheme="minorHAnsi" w:hAnsi="Times New Roman" w:cs="Times New Roman"/>
          <w:sz w:val="28"/>
          <w:szCs w:val="28"/>
          <w:lang w:val="es-ES" w:eastAsia="en-US"/>
        </w:rPr>
        <w:t xml:space="preserve">77 de 2022 por los cargos formulados en la demanda. </w:t>
      </w:r>
    </w:p>
    <w:p w:rsidR="00385354" w:rsidRPr="00C050D9" w:rsidRDefault="00C050D9" w:rsidP="00385354">
      <w:pPr>
        <w:pStyle w:val="Prrafodelista"/>
        <w:tabs>
          <w:tab w:val="left" w:pos="426"/>
        </w:tabs>
        <w:spacing w:after="0" w:line="240" w:lineRule="auto"/>
        <w:ind w:left="0"/>
        <w:rPr>
          <w:rFonts w:ascii="Times New Roman" w:hAnsi="Times New Roman" w:cs="Times New Roman"/>
          <w:b/>
          <w:bCs/>
          <w:sz w:val="28"/>
          <w:szCs w:val="28"/>
          <w:lang w:val="es-ES_tradnl"/>
        </w:rPr>
      </w:pPr>
    </w:p>
    <w:p w:rsidR="008535E5" w:rsidRPr="00C050D9" w:rsidRDefault="00C050D9" w:rsidP="001F592D">
      <w:pPr>
        <w:pStyle w:val="Prrafodelista"/>
        <w:numPr>
          <w:ilvl w:val="0"/>
          <w:numId w:val="2"/>
        </w:numPr>
        <w:tabs>
          <w:tab w:val="clear" w:pos="750"/>
          <w:tab w:val="num" w:pos="360"/>
          <w:tab w:val="left" w:pos="426"/>
        </w:tabs>
        <w:spacing w:after="0" w:line="240" w:lineRule="auto"/>
        <w:ind w:left="0" w:firstLine="0"/>
        <w:rPr>
          <w:rFonts w:ascii="Times New Roman" w:hAnsi="Times New Roman" w:cs="Times New Roman"/>
          <w:b/>
          <w:bCs/>
          <w:sz w:val="28"/>
          <w:szCs w:val="28"/>
          <w:lang w:val="es-ES_tradnl"/>
        </w:rPr>
      </w:pPr>
      <w:r w:rsidRPr="00C050D9">
        <w:rPr>
          <w:rFonts w:ascii="Times New Roman" w:eastAsiaTheme="minorHAnsi" w:hAnsi="Times New Roman" w:cs="Times New Roman"/>
          <w:sz w:val="28"/>
          <w:szCs w:val="28"/>
          <w:lang w:val="es-ES" w:eastAsia="en-US"/>
        </w:rPr>
        <w:t>En relación con el primero, la entidad afirmó que el legislador cuenta con un amplio margen de configuración en materia tributaria. Sin embargo, los límites a esta facultad son los principios de igualdad, equidad, progresividad y justicia tributaria, todos</w:t>
      </w:r>
      <w:r w:rsidRPr="00C050D9">
        <w:rPr>
          <w:rFonts w:ascii="Times New Roman" w:eastAsiaTheme="minorHAnsi" w:hAnsi="Times New Roman" w:cs="Times New Roman"/>
          <w:sz w:val="28"/>
          <w:szCs w:val="28"/>
          <w:lang w:val="es-ES" w:eastAsia="en-US"/>
        </w:rPr>
        <w:t xml:space="preserve"> ellos reconocidos en los artículos 13, 95.9 y 363 de la Carta Política. Conforme a lo anterior, resaltó que el primer cargo no puede prosperar porque la retención en la fuente de los dividendos supera el test leve de razonabilidad. Al respecto, señaló que</w:t>
      </w:r>
      <w:r w:rsidRPr="00C050D9">
        <w:rPr>
          <w:rFonts w:ascii="Times New Roman" w:eastAsiaTheme="minorHAnsi" w:hAnsi="Times New Roman" w:cs="Times New Roman"/>
          <w:sz w:val="28"/>
          <w:szCs w:val="28"/>
          <w:lang w:val="es-ES" w:eastAsia="en-US"/>
        </w:rPr>
        <w:t xml:space="preserve"> la medida cumple con un fin legítimo, el cual se concentra en garantizar el pago anticipado de un tributo. La jurisprudencia constitucional ha reconocido que la retención en la fuente es un mecanismo legítimo para recaudar </w:t>
      </w:r>
      <w:r w:rsidRPr="00C050D9">
        <w:rPr>
          <w:rFonts w:ascii="Times New Roman" w:eastAsiaTheme="minorHAnsi" w:hAnsi="Times New Roman" w:cs="Times New Roman"/>
          <w:sz w:val="28"/>
          <w:szCs w:val="28"/>
          <w:lang w:val="es-ES" w:eastAsia="en-US"/>
        </w:rPr>
        <w:t xml:space="preserve">el </w:t>
      </w:r>
      <w:r w:rsidRPr="00C050D9">
        <w:rPr>
          <w:rFonts w:ascii="Times New Roman" w:eastAsiaTheme="minorHAnsi" w:hAnsi="Times New Roman" w:cs="Times New Roman"/>
          <w:sz w:val="28"/>
          <w:szCs w:val="28"/>
          <w:lang w:val="es-ES" w:eastAsia="en-US"/>
        </w:rPr>
        <w:t>impuesto que, en principio, e</w:t>
      </w:r>
      <w:r w:rsidRPr="00C050D9">
        <w:rPr>
          <w:rFonts w:ascii="Times New Roman" w:eastAsiaTheme="minorHAnsi" w:hAnsi="Times New Roman" w:cs="Times New Roman"/>
          <w:sz w:val="28"/>
          <w:szCs w:val="28"/>
          <w:lang w:val="es-ES" w:eastAsia="en-US"/>
        </w:rPr>
        <w:t xml:space="preserve">s acorde con la Constitución. Además, el medio es idóneo para cumplir el fin que la misma norma persigue «ya que la retención en la fuente es un mecanismo que optimiza el principio superior de eficiencia tributaria». </w:t>
      </w:r>
    </w:p>
    <w:p w:rsidR="008535E5" w:rsidRPr="00C050D9" w:rsidRDefault="00C050D9" w:rsidP="008535E5">
      <w:pPr>
        <w:pStyle w:val="Prrafodelista"/>
        <w:rPr>
          <w:rFonts w:ascii="Times New Roman" w:eastAsiaTheme="minorHAnsi" w:hAnsi="Times New Roman" w:cs="Times New Roman"/>
          <w:sz w:val="28"/>
          <w:szCs w:val="28"/>
          <w:lang w:val="es-ES" w:eastAsia="en-US"/>
        </w:rPr>
      </w:pPr>
    </w:p>
    <w:p w:rsidR="008535E5" w:rsidRPr="00C050D9" w:rsidRDefault="00C050D9" w:rsidP="001F592D">
      <w:pPr>
        <w:pStyle w:val="Prrafodelista"/>
        <w:numPr>
          <w:ilvl w:val="0"/>
          <w:numId w:val="2"/>
        </w:numPr>
        <w:tabs>
          <w:tab w:val="clear" w:pos="750"/>
          <w:tab w:val="num" w:pos="360"/>
          <w:tab w:val="left" w:pos="426"/>
        </w:tabs>
        <w:spacing w:after="0" w:line="240" w:lineRule="auto"/>
        <w:ind w:left="0" w:firstLine="0"/>
        <w:rPr>
          <w:rFonts w:ascii="Times New Roman" w:hAnsi="Times New Roman" w:cs="Times New Roman"/>
          <w:b/>
          <w:bCs/>
          <w:sz w:val="28"/>
          <w:szCs w:val="28"/>
          <w:lang w:val="es-ES_tradnl"/>
        </w:rPr>
      </w:pPr>
      <w:r w:rsidRPr="00C050D9">
        <w:rPr>
          <w:rFonts w:ascii="Times New Roman" w:eastAsiaTheme="minorHAnsi" w:hAnsi="Times New Roman" w:cs="Times New Roman"/>
          <w:sz w:val="28"/>
          <w:szCs w:val="28"/>
          <w:lang w:val="es-ES" w:eastAsia="en-US"/>
        </w:rPr>
        <w:t>Igualmente, el Ministerio Público adu</w:t>
      </w:r>
      <w:r w:rsidRPr="00C050D9">
        <w:rPr>
          <w:rFonts w:ascii="Times New Roman" w:eastAsiaTheme="minorHAnsi" w:hAnsi="Times New Roman" w:cs="Times New Roman"/>
          <w:sz w:val="28"/>
          <w:szCs w:val="28"/>
          <w:lang w:val="es-ES" w:eastAsia="en-US"/>
        </w:rPr>
        <w:t xml:space="preserve">jo que el hecho de que se generen saldos a favor del contribuyente al final del ejercicio, no es un problema de la constitucionalidad de la norma, toda vez que «si la retención en la fuente resulta superior al valor del impuesto de renta y complementarios </w:t>
      </w:r>
      <w:r w:rsidRPr="00C050D9">
        <w:rPr>
          <w:rFonts w:ascii="Times New Roman" w:eastAsiaTheme="minorHAnsi" w:hAnsi="Times New Roman" w:cs="Times New Roman"/>
          <w:sz w:val="28"/>
          <w:szCs w:val="28"/>
          <w:lang w:val="es-ES" w:eastAsia="en-US"/>
        </w:rPr>
        <w:t xml:space="preserve">a cargo, el contribuyente puede: (i) solicitar la devolución de saldos, (ii) compensar la diferencia con obligaciones tributarias pendientes de pago, o (iii) imputar el valor a su declaración del periodo gravable siguiente». </w:t>
      </w:r>
    </w:p>
    <w:p w:rsidR="008535E5" w:rsidRPr="00C050D9" w:rsidRDefault="00C050D9" w:rsidP="008535E5">
      <w:pPr>
        <w:pStyle w:val="Prrafodelista"/>
        <w:rPr>
          <w:rFonts w:ascii="Times New Roman" w:eastAsiaTheme="minorHAnsi" w:hAnsi="Times New Roman" w:cs="Times New Roman"/>
          <w:sz w:val="28"/>
          <w:szCs w:val="28"/>
          <w:lang w:val="es-ES" w:eastAsia="en-US"/>
        </w:rPr>
      </w:pPr>
    </w:p>
    <w:p w:rsidR="008535E5" w:rsidRPr="00C050D9" w:rsidRDefault="00C050D9" w:rsidP="001F592D">
      <w:pPr>
        <w:pStyle w:val="Prrafodelista"/>
        <w:numPr>
          <w:ilvl w:val="0"/>
          <w:numId w:val="2"/>
        </w:numPr>
        <w:tabs>
          <w:tab w:val="clear" w:pos="750"/>
          <w:tab w:val="num" w:pos="360"/>
          <w:tab w:val="left" w:pos="426"/>
        </w:tabs>
        <w:spacing w:after="0" w:line="240" w:lineRule="auto"/>
        <w:ind w:left="0" w:firstLine="0"/>
        <w:rPr>
          <w:rFonts w:ascii="Times New Roman" w:hAnsi="Times New Roman" w:cs="Times New Roman"/>
          <w:b/>
          <w:bCs/>
          <w:sz w:val="28"/>
          <w:szCs w:val="28"/>
          <w:lang w:val="es-ES_tradnl"/>
        </w:rPr>
      </w:pPr>
      <w:r w:rsidRPr="00C050D9">
        <w:rPr>
          <w:rFonts w:ascii="Times New Roman" w:eastAsiaTheme="minorHAnsi" w:hAnsi="Times New Roman" w:cs="Times New Roman"/>
          <w:sz w:val="28"/>
          <w:szCs w:val="28"/>
          <w:lang w:val="es-ES" w:eastAsia="en-US"/>
        </w:rPr>
        <w:t xml:space="preserve">De esa manera, la señora </w:t>
      </w:r>
      <w:r w:rsidRPr="00C050D9">
        <w:rPr>
          <w:rFonts w:ascii="Times New Roman" w:eastAsiaTheme="minorHAnsi" w:hAnsi="Times New Roman" w:cs="Times New Roman"/>
          <w:sz w:val="28"/>
          <w:szCs w:val="28"/>
          <w:lang w:val="es-ES" w:eastAsia="en-US"/>
        </w:rPr>
        <w:t>Procuradora subrayó que comparte los argumentos de algunos de los intervinientes que señalaron que la tarifa del 15% no es desproporcionada ni excesiva, toda vez que, a pesar de que puede ser mayor que el impuesto, esta sola circunstancia no implica que la</w:t>
      </w:r>
      <w:r w:rsidRPr="00C050D9">
        <w:rPr>
          <w:rFonts w:ascii="Times New Roman" w:eastAsiaTheme="minorHAnsi" w:hAnsi="Times New Roman" w:cs="Times New Roman"/>
          <w:sz w:val="28"/>
          <w:szCs w:val="28"/>
          <w:lang w:val="es-ES" w:eastAsia="en-US"/>
        </w:rPr>
        <w:t xml:space="preserve"> norma sea contraria a la Carta Política. Del mismo modo, el contribuyente puede recuperar el impuesto pagado a través de diferentes vías y «el monto de la retención no implica una desproporción tal en relación con el monto del ingreso por concepto de divi</w:t>
      </w:r>
      <w:r w:rsidRPr="00C050D9">
        <w:rPr>
          <w:rFonts w:ascii="Times New Roman" w:eastAsiaTheme="minorHAnsi" w:hAnsi="Times New Roman" w:cs="Times New Roman"/>
          <w:sz w:val="28"/>
          <w:szCs w:val="28"/>
          <w:lang w:val="es-ES" w:eastAsia="en-US"/>
        </w:rPr>
        <w:t>dendos, que permita afirmar que el sujeto pasivo del impuesto no esté en capacidad de asumir un menor flujo de recursos que, en todo caso, sí está en capacidad de recuperar».</w:t>
      </w:r>
    </w:p>
    <w:p w:rsidR="008535E5" w:rsidRPr="00C050D9" w:rsidRDefault="00C050D9" w:rsidP="008535E5">
      <w:pPr>
        <w:pStyle w:val="Prrafodelista"/>
        <w:tabs>
          <w:tab w:val="left" w:pos="426"/>
        </w:tabs>
        <w:spacing w:after="0" w:line="240" w:lineRule="auto"/>
        <w:ind w:left="0"/>
        <w:rPr>
          <w:rFonts w:ascii="Times New Roman" w:hAnsi="Times New Roman" w:cs="Times New Roman"/>
          <w:b/>
          <w:bCs/>
          <w:sz w:val="28"/>
          <w:szCs w:val="28"/>
          <w:lang w:val="es-ES_tradnl"/>
        </w:rPr>
      </w:pPr>
      <w:r w:rsidRPr="00C050D9">
        <w:rPr>
          <w:rFonts w:ascii="Times New Roman" w:eastAsiaTheme="minorHAnsi" w:hAnsi="Times New Roman" w:cs="Times New Roman"/>
          <w:sz w:val="28"/>
          <w:szCs w:val="28"/>
          <w:lang w:val="es-ES" w:eastAsia="en-US"/>
        </w:rPr>
        <w:t xml:space="preserve"> </w:t>
      </w:r>
    </w:p>
    <w:p w:rsidR="008535E5" w:rsidRPr="00C050D9" w:rsidRDefault="00C050D9" w:rsidP="001F592D">
      <w:pPr>
        <w:pStyle w:val="Prrafodelista"/>
        <w:numPr>
          <w:ilvl w:val="0"/>
          <w:numId w:val="2"/>
        </w:numPr>
        <w:tabs>
          <w:tab w:val="clear" w:pos="750"/>
          <w:tab w:val="num" w:pos="360"/>
          <w:tab w:val="left" w:pos="426"/>
        </w:tabs>
        <w:spacing w:after="0" w:line="240" w:lineRule="auto"/>
        <w:ind w:left="0" w:firstLine="0"/>
        <w:rPr>
          <w:rFonts w:ascii="Times New Roman" w:hAnsi="Times New Roman" w:cs="Times New Roman"/>
          <w:b/>
          <w:bCs/>
          <w:sz w:val="28"/>
          <w:szCs w:val="28"/>
          <w:lang w:val="es-ES_tradnl"/>
        </w:rPr>
      </w:pPr>
      <w:r w:rsidRPr="00C050D9">
        <w:rPr>
          <w:rFonts w:ascii="Times New Roman" w:eastAsiaTheme="minorHAnsi" w:hAnsi="Times New Roman" w:cs="Times New Roman"/>
          <w:noProof/>
          <w:sz w:val="28"/>
          <w:szCs w:val="28"/>
          <w:lang w:val="es-ES" w:eastAsia="en-US"/>
        </w:rPr>
        <w:t>Ahora bien, en relación con los cargos dirigidos contra los artículos 42 y 44 (</w:t>
      </w:r>
      <w:r w:rsidRPr="00C050D9">
        <w:rPr>
          <w:rFonts w:ascii="Times New Roman" w:eastAsiaTheme="minorHAnsi" w:hAnsi="Times New Roman" w:cs="Times New Roman"/>
          <w:noProof/>
          <w:sz w:val="28"/>
          <w:szCs w:val="28"/>
          <w:lang w:val="es-ES" w:eastAsia="en-US"/>
        </w:rPr>
        <w:t>parciales) de la Ley 2277 de 2022 relacionados con el desconocimiento de los principios de igualdad y equidad tributaria, al realizarse una distinción entre actividades económicas de igual naturaleza en el</w:t>
      </w:r>
      <w:r w:rsidRPr="00C050D9">
        <w:rPr>
          <w:rFonts w:ascii="Times New Roman" w:eastAsiaTheme="minorHAnsi" w:hAnsi="Times New Roman" w:cs="Times New Roman"/>
          <w:noProof/>
          <w:sz w:val="28"/>
          <w:szCs w:val="28"/>
          <w:lang w:val="es-ES" w:eastAsia="en-US"/>
        </w:rPr>
        <w:t xml:space="preserve"> </w:t>
      </w:r>
      <w:r w:rsidRPr="00C050D9">
        <w:rPr>
          <w:rFonts w:ascii="Times New Roman" w:eastAsiaTheme="minorHAnsi" w:hAnsi="Times New Roman" w:cs="Times New Roman"/>
          <w:noProof/>
          <w:sz w:val="28"/>
          <w:szCs w:val="28"/>
          <w:lang w:val="es-ES" w:eastAsia="en-US"/>
        </w:rPr>
        <w:t>marco del régimen simple de tributación, la señora</w:t>
      </w:r>
      <w:r w:rsidRPr="00C050D9">
        <w:rPr>
          <w:rFonts w:ascii="Times New Roman" w:eastAsiaTheme="minorHAnsi" w:hAnsi="Times New Roman" w:cs="Times New Roman"/>
          <w:noProof/>
          <w:sz w:val="28"/>
          <w:szCs w:val="28"/>
          <w:lang w:val="es-ES" w:eastAsia="en-US"/>
        </w:rPr>
        <w:t xml:space="preserve"> Procuradora solicitó remitirse a los argumentos expuestos dentro de los expedientes D-15211 y D-15270. Sobre el particular, recordó que solicitó la exequibilidad de las normas atacadas, toda vez que tanto el Gobierno Nacional como el legislador, demostrar</w:t>
      </w:r>
      <w:r w:rsidRPr="00C050D9">
        <w:rPr>
          <w:rFonts w:ascii="Times New Roman" w:eastAsiaTheme="minorHAnsi" w:hAnsi="Times New Roman" w:cs="Times New Roman"/>
          <w:noProof/>
          <w:sz w:val="28"/>
          <w:szCs w:val="28"/>
          <w:lang w:val="es-ES" w:eastAsia="en-US"/>
        </w:rPr>
        <w:t xml:space="preserve">on que el trato diferenciado entre las profesiones liberales y las profesiones liberales que se desempeñan en servicios de salud y educación, se encuentra justificado. </w:t>
      </w:r>
    </w:p>
    <w:p w:rsidR="008535E5" w:rsidRPr="00C050D9" w:rsidRDefault="00C050D9" w:rsidP="008535E5">
      <w:pPr>
        <w:pStyle w:val="Prrafodelista"/>
        <w:rPr>
          <w:rFonts w:ascii="Times New Roman" w:eastAsiaTheme="minorHAnsi" w:hAnsi="Times New Roman" w:cs="Times New Roman"/>
          <w:noProof/>
          <w:sz w:val="28"/>
          <w:szCs w:val="28"/>
          <w:lang w:val="es-ES" w:eastAsia="en-US"/>
        </w:rPr>
      </w:pPr>
    </w:p>
    <w:p w:rsidR="008535E5" w:rsidRPr="00C050D9" w:rsidRDefault="00C050D9" w:rsidP="001F592D">
      <w:pPr>
        <w:pStyle w:val="Prrafodelista"/>
        <w:numPr>
          <w:ilvl w:val="0"/>
          <w:numId w:val="2"/>
        </w:numPr>
        <w:tabs>
          <w:tab w:val="clear" w:pos="750"/>
          <w:tab w:val="num" w:pos="360"/>
          <w:tab w:val="left" w:pos="426"/>
        </w:tabs>
        <w:spacing w:after="0" w:line="240" w:lineRule="auto"/>
        <w:ind w:left="0" w:firstLine="0"/>
        <w:rPr>
          <w:rFonts w:ascii="Times New Roman" w:hAnsi="Times New Roman" w:cs="Times New Roman"/>
          <w:b/>
          <w:bCs/>
          <w:sz w:val="28"/>
          <w:szCs w:val="28"/>
          <w:lang w:val="es-ES_tradnl"/>
        </w:rPr>
      </w:pPr>
      <w:r w:rsidRPr="00C050D9">
        <w:rPr>
          <w:rFonts w:ascii="Times New Roman" w:eastAsiaTheme="minorHAnsi" w:hAnsi="Times New Roman" w:cs="Times New Roman"/>
          <w:noProof/>
          <w:sz w:val="28"/>
          <w:szCs w:val="28"/>
          <w:lang w:val="es-ES" w:eastAsia="en-US"/>
        </w:rPr>
        <w:t>Resaltó que la reforma al Régimen Simple de Tributación tiene un fin legítimo, en la m</w:t>
      </w:r>
      <w:r w:rsidRPr="00C050D9">
        <w:rPr>
          <w:rFonts w:ascii="Times New Roman" w:eastAsiaTheme="minorHAnsi" w:hAnsi="Times New Roman" w:cs="Times New Roman"/>
          <w:noProof/>
          <w:sz w:val="28"/>
          <w:szCs w:val="28"/>
          <w:lang w:val="es-ES" w:eastAsia="en-US"/>
        </w:rPr>
        <w:t>edida en que se pretende racionalizar y focalizar los beneficios de este sistema para quienes realmente lo requieren y evitar que contribuyentes que tienen la capacidad económica para estar en el ordinario se beneficien del modelo excepcional. Sobre el pun</w:t>
      </w:r>
      <w:r w:rsidRPr="00C050D9">
        <w:rPr>
          <w:rFonts w:ascii="Times New Roman" w:eastAsiaTheme="minorHAnsi" w:hAnsi="Times New Roman" w:cs="Times New Roman"/>
          <w:noProof/>
          <w:sz w:val="28"/>
          <w:szCs w:val="28"/>
          <w:lang w:val="es-ES" w:eastAsia="en-US"/>
        </w:rPr>
        <w:t xml:space="preserve">to, afirmó que el trato no es arbitrario, toda vez que las profesiones liberales de los sectores de la salud y educación tienen mayores costos que las demás profesiones liberales, y por tanto, las tarifas son más bajas. En palabras de la Procuraduría: </w:t>
      </w:r>
      <w:r w:rsidRPr="00C050D9">
        <w:rPr>
          <w:rFonts w:ascii="Times New Roman" w:eastAsiaTheme="minorHAnsi" w:hAnsi="Times New Roman" w:cs="Times New Roman"/>
          <w:sz w:val="28"/>
          <w:szCs w:val="28"/>
          <w:lang w:val="es-ES" w:eastAsia="en-US"/>
        </w:rPr>
        <w:t xml:space="preserve">«no </w:t>
      </w:r>
      <w:r w:rsidRPr="00C050D9">
        <w:rPr>
          <w:rFonts w:ascii="Times New Roman" w:eastAsiaTheme="minorHAnsi" w:hAnsi="Times New Roman" w:cs="Times New Roman"/>
          <w:sz w:val="28"/>
          <w:szCs w:val="28"/>
          <w:lang w:val="es-ES" w:eastAsia="en-US"/>
        </w:rPr>
        <w:t>es arbitrario el trato fiscal diferencial que establecen las normas acusadas entre (i) las personas que prestan servicios de consultoría y científicos en los que predomine el factor intelectual sobre el material, incluidos los servicios de profesiones libe</w:t>
      </w:r>
      <w:r w:rsidRPr="00C050D9">
        <w:rPr>
          <w:rFonts w:ascii="Times New Roman" w:eastAsiaTheme="minorHAnsi" w:hAnsi="Times New Roman" w:cs="Times New Roman"/>
          <w:sz w:val="28"/>
          <w:szCs w:val="28"/>
          <w:lang w:val="es-ES" w:eastAsia="en-US"/>
        </w:rPr>
        <w:t>rales, y (ii) los sujetos que se desempeñan en actividades de educación, atención de la salud humana y asistencia social. Ello, pues aquel se encuentra justificado en la consecución de una finalidad legítima (optimización del mandato de eficiencia tributar</w:t>
      </w:r>
      <w:r w:rsidRPr="00C050D9">
        <w:rPr>
          <w:rFonts w:ascii="Times New Roman" w:eastAsiaTheme="minorHAnsi" w:hAnsi="Times New Roman" w:cs="Times New Roman"/>
          <w:sz w:val="28"/>
          <w:szCs w:val="28"/>
          <w:lang w:val="es-ES" w:eastAsia="en-US"/>
        </w:rPr>
        <w:t>ia), la cual se materializa a través de una medida idónea (ajustes diferenciales del umbral y las tarifas del impuesto SIMPLE)».</w:t>
      </w:r>
    </w:p>
    <w:p w:rsidR="008535E5" w:rsidRPr="00C050D9" w:rsidRDefault="00C050D9" w:rsidP="008535E5">
      <w:pPr>
        <w:pStyle w:val="Prrafodelista"/>
        <w:tabs>
          <w:tab w:val="left" w:pos="426"/>
        </w:tabs>
        <w:spacing w:after="0" w:line="240" w:lineRule="auto"/>
        <w:ind w:left="0"/>
        <w:rPr>
          <w:rFonts w:ascii="Times New Roman" w:hAnsi="Times New Roman" w:cs="Times New Roman"/>
          <w:b/>
          <w:bCs/>
          <w:sz w:val="28"/>
          <w:szCs w:val="28"/>
          <w:lang w:val="es-ES_tradnl"/>
        </w:rPr>
      </w:pPr>
    </w:p>
    <w:p w:rsidR="001F592D" w:rsidRPr="00C050D9" w:rsidRDefault="00C050D9" w:rsidP="001F592D">
      <w:pPr>
        <w:pStyle w:val="Prrafodelista"/>
        <w:numPr>
          <w:ilvl w:val="0"/>
          <w:numId w:val="2"/>
        </w:numPr>
        <w:tabs>
          <w:tab w:val="clear" w:pos="750"/>
          <w:tab w:val="num" w:pos="360"/>
          <w:tab w:val="left" w:pos="426"/>
        </w:tabs>
        <w:spacing w:after="0" w:line="240" w:lineRule="auto"/>
        <w:ind w:left="0" w:firstLine="0"/>
        <w:rPr>
          <w:rFonts w:ascii="Times New Roman" w:hAnsi="Times New Roman" w:cs="Times New Roman"/>
          <w:b/>
          <w:bCs/>
          <w:sz w:val="28"/>
          <w:szCs w:val="28"/>
          <w:lang w:val="es-ES_tradnl"/>
        </w:rPr>
      </w:pPr>
      <w:r w:rsidRPr="00C050D9">
        <w:rPr>
          <w:rFonts w:ascii="Times New Roman" w:eastAsiaTheme="minorHAnsi" w:hAnsi="Times New Roman" w:cs="Times New Roman"/>
          <w:noProof/>
          <w:sz w:val="28"/>
          <w:szCs w:val="28"/>
          <w:lang w:val="es-ES" w:eastAsia="en-US"/>
        </w:rPr>
        <w:t xml:space="preserve">Con todo lo anterior, la Procuraduría solicitó a la Sala Plena declarar la exequibilidad de los artículos 42 y 44 (parciales) </w:t>
      </w:r>
      <w:r w:rsidRPr="00C050D9">
        <w:rPr>
          <w:rFonts w:ascii="Times New Roman" w:eastAsiaTheme="minorHAnsi" w:hAnsi="Times New Roman" w:cs="Times New Roman"/>
          <w:noProof/>
          <w:sz w:val="28"/>
          <w:szCs w:val="28"/>
          <w:lang w:val="es-ES" w:eastAsia="en-US"/>
        </w:rPr>
        <w:t xml:space="preserve">de la Ley 2277 de 2022, o dado el caso, estarse a lo resuelto en la sentencia que se expida dentro del expediente D-15.211. </w:t>
      </w:r>
    </w:p>
    <w:p w:rsidR="001F592D" w:rsidRPr="00C050D9" w:rsidRDefault="00C050D9" w:rsidP="001F592D">
      <w:pPr>
        <w:pStyle w:val="Prrafodelista"/>
        <w:tabs>
          <w:tab w:val="left" w:pos="426"/>
        </w:tabs>
        <w:spacing w:after="0" w:line="240" w:lineRule="auto"/>
        <w:ind w:left="0"/>
        <w:rPr>
          <w:rFonts w:ascii="Times New Roman" w:hAnsi="Times New Roman" w:cs="Times New Roman"/>
          <w:b/>
          <w:bCs/>
          <w:sz w:val="28"/>
          <w:szCs w:val="28"/>
          <w:lang w:val="es-ES_tradnl"/>
        </w:rPr>
      </w:pPr>
    </w:p>
    <w:p w:rsidR="00F505E8" w:rsidRPr="00C050D9" w:rsidRDefault="00C050D9" w:rsidP="008A4CEF">
      <w:pPr>
        <w:pStyle w:val="Prrafodelista"/>
        <w:numPr>
          <w:ilvl w:val="0"/>
          <w:numId w:val="1"/>
        </w:numPr>
        <w:tabs>
          <w:tab w:val="left" w:pos="426"/>
        </w:tabs>
        <w:spacing w:after="0" w:line="240" w:lineRule="auto"/>
        <w:ind w:left="426" w:hanging="426"/>
        <w:rPr>
          <w:rFonts w:ascii="Times New Roman" w:hAnsi="Times New Roman" w:cs="Times New Roman"/>
          <w:b/>
          <w:bCs/>
          <w:sz w:val="28"/>
          <w:szCs w:val="28"/>
        </w:rPr>
      </w:pPr>
      <w:r w:rsidRPr="00C050D9">
        <w:rPr>
          <w:rFonts w:ascii="Times New Roman" w:hAnsi="Times New Roman" w:cs="Times New Roman"/>
          <w:b/>
          <w:bCs/>
          <w:sz w:val="28"/>
          <w:szCs w:val="28"/>
        </w:rPr>
        <w:t xml:space="preserve">COMPETENCIA </w:t>
      </w:r>
    </w:p>
    <w:p w:rsidR="00F505E8" w:rsidRPr="00C050D9" w:rsidRDefault="00C050D9" w:rsidP="008A4CEF">
      <w:pPr>
        <w:tabs>
          <w:tab w:val="left" w:pos="426"/>
        </w:tabs>
        <w:spacing w:after="0" w:line="240" w:lineRule="auto"/>
        <w:rPr>
          <w:rFonts w:ascii="Times New Roman" w:hAnsi="Times New Roman" w:cs="Times New Roman"/>
          <w:b/>
          <w:bCs/>
          <w:sz w:val="28"/>
          <w:szCs w:val="28"/>
        </w:rPr>
      </w:pPr>
    </w:p>
    <w:p w:rsidR="00F948D3" w:rsidRPr="00C050D9" w:rsidRDefault="00C050D9" w:rsidP="002315E3">
      <w:pPr>
        <w:pStyle w:val="Prrafodelista"/>
        <w:numPr>
          <w:ilvl w:val="0"/>
          <w:numId w:val="3"/>
        </w:numPr>
        <w:tabs>
          <w:tab w:val="left" w:pos="284"/>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_tradnl" w:eastAsia="es-MX"/>
        </w:rPr>
      </w:pPr>
      <w:r w:rsidRPr="00C050D9">
        <w:rPr>
          <w:rFonts w:ascii="Times New Roman" w:hAnsi="Times New Roman" w:cs="Times New Roman"/>
          <w:sz w:val="28"/>
          <w:szCs w:val="28"/>
          <w:lang w:val="es-ES_tradnl" w:eastAsia="es-MX"/>
        </w:rPr>
        <w:t xml:space="preserve">La Corte Constitucional es competente para conocer de la presente demanda en virtud del numeral 4º del artículo 241 </w:t>
      </w:r>
      <w:r w:rsidRPr="00C050D9">
        <w:rPr>
          <w:rFonts w:ascii="Times New Roman" w:hAnsi="Times New Roman" w:cs="Times New Roman"/>
          <w:sz w:val="28"/>
          <w:szCs w:val="28"/>
          <w:lang w:val="es-ES_tradnl" w:eastAsia="es-MX"/>
        </w:rPr>
        <w:t>de la Carta Política.</w:t>
      </w:r>
    </w:p>
    <w:p w:rsidR="00A210A8" w:rsidRPr="00C050D9" w:rsidRDefault="00C050D9" w:rsidP="00F948D3">
      <w:pPr>
        <w:rPr>
          <w:rFonts w:ascii="Times New Roman" w:hAnsi="Times New Roman" w:cs="Times New Roman"/>
          <w:sz w:val="28"/>
          <w:szCs w:val="28"/>
          <w:lang w:val="es-ES_tradnl" w:eastAsia="es-MX"/>
        </w:rPr>
      </w:pPr>
    </w:p>
    <w:p w:rsidR="00263244" w:rsidRPr="00C050D9" w:rsidRDefault="00C050D9" w:rsidP="001F32AF">
      <w:pPr>
        <w:tabs>
          <w:tab w:val="left" w:pos="284"/>
        </w:tabs>
        <w:overflowPunct w:val="0"/>
        <w:autoSpaceDE w:val="0"/>
        <w:autoSpaceDN w:val="0"/>
        <w:adjustRightInd w:val="0"/>
        <w:spacing w:after="0" w:line="240" w:lineRule="auto"/>
        <w:contextualSpacing/>
        <w:textAlignment w:val="baseline"/>
        <w:rPr>
          <w:rFonts w:ascii="Times New Roman" w:hAnsi="Times New Roman" w:cs="Times New Roman"/>
          <w:b/>
          <w:i/>
          <w:sz w:val="28"/>
          <w:szCs w:val="28"/>
          <w:lang w:val="es-ES_tradnl" w:eastAsia="es-MX"/>
        </w:rPr>
      </w:pPr>
      <w:r w:rsidRPr="00C050D9">
        <w:rPr>
          <w:rFonts w:ascii="Times New Roman" w:hAnsi="Times New Roman" w:cs="Times New Roman"/>
          <w:b/>
          <w:i/>
          <w:sz w:val="28"/>
          <w:szCs w:val="28"/>
          <w:lang w:val="es-ES_tradnl" w:eastAsia="es-MX"/>
        </w:rPr>
        <w:t>Cuestiones preliminares</w:t>
      </w:r>
    </w:p>
    <w:p w:rsidR="00263244" w:rsidRPr="00C050D9" w:rsidRDefault="00C050D9" w:rsidP="001F32AF">
      <w:pPr>
        <w:tabs>
          <w:tab w:val="left" w:pos="284"/>
        </w:tabs>
        <w:overflowPunct w:val="0"/>
        <w:autoSpaceDE w:val="0"/>
        <w:autoSpaceDN w:val="0"/>
        <w:adjustRightInd w:val="0"/>
        <w:spacing w:after="0" w:line="240" w:lineRule="auto"/>
        <w:contextualSpacing/>
        <w:textAlignment w:val="baseline"/>
        <w:rPr>
          <w:rFonts w:ascii="Times New Roman" w:hAnsi="Times New Roman" w:cs="Times New Roman"/>
          <w:b/>
          <w:sz w:val="28"/>
          <w:szCs w:val="28"/>
          <w:lang w:val="es-ES_tradnl" w:eastAsia="es-MX"/>
        </w:rPr>
      </w:pPr>
    </w:p>
    <w:p w:rsidR="00263244" w:rsidRPr="00C050D9" w:rsidRDefault="00C050D9" w:rsidP="001F32AF">
      <w:pPr>
        <w:tabs>
          <w:tab w:val="left" w:pos="284"/>
        </w:tabs>
        <w:overflowPunct w:val="0"/>
        <w:autoSpaceDE w:val="0"/>
        <w:autoSpaceDN w:val="0"/>
        <w:adjustRightInd w:val="0"/>
        <w:spacing w:after="0" w:line="240" w:lineRule="auto"/>
        <w:contextualSpacing/>
        <w:textAlignment w:val="baseline"/>
        <w:rPr>
          <w:rFonts w:ascii="Times New Roman" w:hAnsi="Times New Roman" w:cs="Times New Roman"/>
          <w:b/>
          <w:sz w:val="28"/>
          <w:szCs w:val="28"/>
          <w:lang w:val="es-ES_tradnl" w:eastAsia="es-MX"/>
        </w:rPr>
      </w:pPr>
      <w:r w:rsidRPr="00C050D9">
        <w:rPr>
          <w:rFonts w:ascii="Times New Roman" w:hAnsi="Times New Roman" w:cs="Times New Roman"/>
          <w:b/>
          <w:sz w:val="28"/>
          <w:szCs w:val="28"/>
          <w:lang w:val="es-ES_tradnl" w:eastAsia="es-MX"/>
        </w:rPr>
        <w:t xml:space="preserve">Existencia de cosa juzgada constitucional respecto del cargo contra </w:t>
      </w:r>
      <w:r w:rsidRPr="00C050D9">
        <w:rPr>
          <w:rFonts w:ascii="Times New Roman" w:hAnsi="Times New Roman" w:cs="Times New Roman"/>
          <w:b/>
          <w:sz w:val="28"/>
          <w:szCs w:val="28"/>
          <w:lang w:val="es-ES" w:eastAsia="es-MX"/>
        </w:rPr>
        <w:t>los artículos 42 y 44 (parciales) de la Ley 2277 de 2022</w:t>
      </w:r>
    </w:p>
    <w:p w:rsidR="00263244" w:rsidRPr="00C050D9" w:rsidRDefault="00C050D9" w:rsidP="001F32AF">
      <w:pPr>
        <w:tabs>
          <w:tab w:val="left" w:pos="284"/>
        </w:tabs>
        <w:overflowPunct w:val="0"/>
        <w:autoSpaceDE w:val="0"/>
        <w:autoSpaceDN w:val="0"/>
        <w:adjustRightInd w:val="0"/>
        <w:spacing w:after="0" w:line="240" w:lineRule="auto"/>
        <w:contextualSpacing/>
        <w:textAlignment w:val="baseline"/>
        <w:rPr>
          <w:rFonts w:ascii="Times New Roman" w:hAnsi="Times New Roman" w:cs="Times New Roman"/>
          <w:b/>
          <w:sz w:val="28"/>
          <w:szCs w:val="28"/>
          <w:lang w:val="es-ES_tradnl" w:eastAsia="es-MX"/>
        </w:rPr>
      </w:pPr>
    </w:p>
    <w:p w:rsidR="008B48AA" w:rsidRPr="00C050D9" w:rsidRDefault="00C050D9" w:rsidP="008B48AA">
      <w:pPr>
        <w:pStyle w:val="Prrafodelista"/>
        <w:numPr>
          <w:ilvl w:val="0"/>
          <w:numId w:val="3"/>
        </w:numPr>
        <w:tabs>
          <w:tab w:val="left" w:pos="284"/>
        </w:tabs>
        <w:overflowPunct w:val="0"/>
        <w:autoSpaceDE w:val="0"/>
        <w:autoSpaceDN w:val="0"/>
        <w:adjustRightInd w:val="0"/>
        <w:spacing w:after="0" w:line="240" w:lineRule="auto"/>
        <w:ind w:left="0" w:firstLine="0"/>
        <w:textAlignment w:val="baseline"/>
        <w:rPr>
          <w:rFonts w:ascii="Times New Roman" w:hAnsi="Times New Roman" w:cs="Times New Roman"/>
          <w:b/>
          <w:sz w:val="28"/>
          <w:szCs w:val="28"/>
          <w:lang w:val="es-ES_tradnl" w:eastAsia="es-MX"/>
        </w:rPr>
      </w:pPr>
      <w:r w:rsidRPr="00C050D9">
        <w:rPr>
          <w:rFonts w:ascii="Times New Roman" w:hAnsi="Times New Roman" w:cs="Times New Roman"/>
          <w:sz w:val="28"/>
          <w:szCs w:val="28"/>
          <w:lang w:val="es-ES_tradnl" w:eastAsia="es-MX"/>
        </w:rPr>
        <w:t>Los demandantes pretenden que la Corte Constitucional declare inconstitucional</w:t>
      </w:r>
      <w:r w:rsidRPr="00C050D9">
        <w:rPr>
          <w:rFonts w:ascii="Times New Roman" w:hAnsi="Times New Roman" w:cs="Times New Roman"/>
          <w:sz w:val="28"/>
          <w:szCs w:val="28"/>
          <w:lang w:val="es-ES_tradnl" w:eastAsia="es-MX"/>
        </w:rPr>
        <w:t>es</w:t>
      </w:r>
      <w:r w:rsidRPr="00C050D9">
        <w:rPr>
          <w:rFonts w:ascii="Times New Roman" w:hAnsi="Times New Roman" w:cs="Times New Roman"/>
          <w:sz w:val="28"/>
          <w:szCs w:val="28"/>
          <w:lang w:val="es-ES_tradnl" w:eastAsia="es-MX"/>
        </w:rPr>
        <w:t xml:space="preserve"> el primer inciso del artículo 42 y el numeral 5, tanto del primer inciso como del parágrafo, del artículo 44 de la Ley 2277 de 2022, por la vulneración de los principios tributarios dispuestos en los artículos 13, 95.9 y 363 de la Constitución Política. E</w:t>
      </w:r>
      <w:r w:rsidRPr="00C050D9">
        <w:rPr>
          <w:rFonts w:ascii="Times New Roman" w:hAnsi="Times New Roman" w:cs="Times New Roman"/>
          <w:sz w:val="28"/>
          <w:szCs w:val="28"/>
          <w:lang w:val="es-ES_tradnl" w:eastAsia="es-MX"/>
        </w:rPr>
        <w:t xml:space="preserve">n síntesis, los actores sostienen </w:t>
      </w:r>
      <w:r w:rsidRPr="00C050D9">
        <w:rPr>
          <w:rFonts w:ascii="Times New Roman" w:hAnsi="Times New Roman" w:cs="Times New Roman"/>
          <w:sz w:val="28"/>
          <w:szCs w:val="28"/>
          <w:lang w:val="es-ES_tradnl" w:eastAsia="es-MX"/>
        </w:rPr>
        <w:t>que el legislador contempló dos grupos con la misma actividad económica, pero hace más gravosa la carga tributaria de las profesiones liberales (numeral 5) en comparación con las de educación y servicios de salud humana (n</w:t>
      </w:r>
      <w:r w:rsidRPr="00C050D9">
        <w:rPr>
          <w:rFonts w:ascii="Times New Roman" w:hAnsi="Times New Roman" w:cs="Times New Roman"/>
          <w:sz w:val="28"/>
          <w:szCs w:val="28"/>
          <w:lang w:val="es-ES_tradnl" w:eastAsia="es-MX"/>
        </w:rPr>
        <w:t>umeral 4). Agregaron que</w:t>
      </w:r>
      <w:r w:rsidRPr="00C050D9">
        <w:rPr>
          <w:rFonts w:ascii="Times New Roman" w:hAnsi="Times New Roman" w:cs="Times New Roman"/>
          <w:sz w:val="28"/>
          <w:szCs w:val="28"/>
          <w:lang w:val="es-ES_tradnl" w:eastAsia="es-MX"/>
        </w:rPr>
        <w:t xml:space="preserve"> </w:t>
      </w:r>
      <w:r w:rsidRPr="00C050D9">
        <w:rPr>
          <w:rFonts w:ascii="Times New Roman" w:hAnsi="Times New Roman" w:cs="Times New Roman"/>
          <w:sz w:val="28"/>
          <w:szCs w:val="28"/>
          <w:lang w:val="es-ES_tradnl" w:eastAsia="es-MX"/>
        </w:rPr>
        <w:t>el legislador estableció un límite de ingresos también diferente entre ambos grupos de contribuyentes. Por consiguiente, adujeron que la creación de un grupo diferente a las profesiones liberales, pero que cumple con sus mismas car</w:t>
      </w:r>
      <w:r w:rsidRPr="00C050D9">
        <w:rPr>
          <w:rFonts w:ascii="Times New Roman" w:hAnsi="Times New Roman" w:cs="Times New Roman"/>
          <w:sz w:val="28"/>
          <w:szCs w:val="28"/>
          <w:lang w:val="es-ES_tradnl" w:eastAsia="es-MX"/>
        </w:rPr>
        <w:t>acterísticas como actividad económica, «comporta un trato diferenciado e injustificado que desconoce el principio de igualdad y de equidad tributaria».</w:t>
      </w:r>
    </w:p>
    <w:p w:rsidR="008B48AA" w:rsidRPr="00C050D9" w:rsidRDefault="00C050D9" w:rsidP="008B48AA">
      <w:pPr>
        <w:pStyle w:val="Prrafodelista"/>
        <w:tabs>
          <w:tab w:val="left" w:pos="284"/>
        </w:tabs>
        <w:overflowPunct w:val="0"/>
        <w:autoSpaceDE w:val="0"/>
        <w:autoSpaceDN w:val="0"/>
        <w:adjustRightInd w:val="0"/>
        <w:spacing w:after="0" w:line="240" w:lineRule="auto"/>
        <w:ind w:left="0"/>
        <w:textAlignment w:val="baseline"/>
        <w:rPr>
          <w:rFonts w:ascii="Times New Roman" w:hAnsi="Times New Roman" w:cs="Times New Roman"/>
          <w:b/>
          <w:sz w:val="28"/>
          <w:szCs w:val="28"/>
          <w:lang w:val="es-ES_tradnl" w:eastAsia="es-MX"/>
        </w:rPr>
      </w:pPr>
    </w:p>
    <w:p w:rsidR="008B48AA" w:rsidRPr="00C050D9" w:rsidRDefault="00C050D9" w:rsidP="008B48AA">
      <w:pPr>
        <w:pStyle w:val="Prrafodelista"/>
        <w:numPr>
          <w:ilvl w:val="0"/>
          <w:numId w:val="3"/>
        </w:numPr>
        <w:tabs>
          <w:tab w:val="left" w:pos="284"/>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_tradnl" w:eastAsia="es-MX"/>
        </w:rPr>
      </w:pPr>
      <w:r w:rsidRPr="00C050D9">
        <w:rPr>
          <w:rFonts w:ascii="Times New Roman" w:hAnsi="Times New Roman" w:cs="Times New Roman"/>
          <w:sz w:val="28"/>
          <w:szCs w:val="28"/>
          <w:lang w:val="es-ES_tradnl" w:eastAsia="es-MX"/>
        </w:rPr>
        <w:t xml:space="preserve">La Sala Plena considera que se configuró cosa juzgada constitucional formal y absoluta con lo resuelto </w:t>
      </w:r>
      <w:r w:rsidRPr="00C050D9">
        <w:rPr>
          <w:rFonts w:ascii="Times New Roman" w:hAnsi="Times New Roman" w:cs="Times New Roman"/>
          <w:sz w:val="28"/>
          <w:szCs w:val="28"/>
          <w:lang w:val="es-ES_tradnl" w:eastAsia="es-MX"/>
        </w:rPr>
        <w:t>en la sentencia C-540 de 2023</w:t>
      </w:r>
      <w:r w:rsidRPr="00C050D9">
        <w:rPr>
          <w:rFonts w:ascii="Times New Roman" w:hAnsi="Times New Roman" w:cs="Times New Roman"/>
          <w:sz w:val="28"/>
          <w:szCs w:val="28"/>
          <w:lang w:val="es-ES_tradnl" w:eastAsia="es-MX"/>
        </w:rPr>
        <w:t>. Para explicar esta afirmación, se hará una breve referencia a</w:t>
      </w:r>
      <w:r w:rsidRPr="00C050D9">
        <w:rPr>
          <w:rFonts w:ascii="Times New Roman" w:hAnsi="Times New Roman" w:cs="Times New Roman"/>
          <w:sz w:val="28"/>
          <w:szCs w:val="28"/>
          <w:lang w:val="es-ES_tradnl" w:eastAsia="es-MX"/>
        </w:rPr>
        <w:t xml:space="preserve"> </w:t>
      </w:r>
      <w:r w:rsidRPr="00C050D9">
        <w:rPr>
          <w:rFonts w:ascii="Times New Roman" w:hAnsi="Times New Roman" w:cs="Times New Roman"/>
          <w:sz w:val="28"/>
          <w:szCs w:val="28"/>
          <w:lang w:val="es-ES_tradnl" w:eastAsia="es-MX"/>
        </w:rPr>
        <w:t xml:space="preserve">las reglas más importantes sobre esta figura y luego se concluirá el análisis con la comparación de los cargos de la presente demanda. </w:t>
      </w:r>
    </w:p>
    <w:p w:rsidR="008B48AA" w:rsidRPr="00C050D9" w:rsidRDefault="00C050D9" w:rsidP="008B48AA">
      <w:pPr>
        <w:pStyle w:val="Prrafodelista"/>
        <w:rPr>
          <w:rFonts w:ascii="Times New Roman" w:hAnsi="Times New Roman" w:cs="Times New Roman"/>
          <w:b/>
          <w:sz w:val="28"/>
          <w:szCs w:val="28"/>
          <w:lang w:val="es-ES_tradnl" w:eastAsia="es-MX"/>
        </w:rPr>
      </w:pPr>
    </w:p>
    <w:p w:rsidR="008B48AA" w:rsidRPr="00C050D9" w:rsidRDefault="00C050D9" w:rsidP="008B48AA">
      <w:pPr>
        <w:shd w:val="clear" w:color="auto" w:fill="FFFFFF" w:themeFill="background1"/>
        <w:tabs>
          <w:tab w:val="left" w:pos="284"/>
        </w:tabs>
        <w:spacing w:after="0" w:line="240" w:lineRule="auto"/>
        <w:contextualSpacing/>
        <w:rPr>
          <w:rFonts w:ascii="Times New Roman" w:eastAsiaTheme="minorHAnsi" w:hAnsi="Times New Roman" w:cs="Times New Roman"/>
          <w:b/>
          <w:bCs/>
          <w:i/>
          <w:sz w:val="28"/>
          <w:szCs w:val="28"/>
          <w:lang w:eastAsia="en-US"/>
        </w:rPr>
      </w:pPr>
      <w:r w:rsidRPr="00C050D9">
        <w:rPr>
          <w:rFonts w:ascii="Times New Roman" w:eastAsiaTheme="minorHAnsi" w:hAnsi="Times New Roman" w:cs="Times New Roman"/>
          <w:b/>
          <w:bCs/>
          <w:i/>
          <w:sz w:val="28"/>
          <w:szCs w:val="28"/>
          <w:lang w:eastAsia="en-US"/>
        </w:rPr>
        <w:t>El fenómeno de la cosa juz</w:t>
      </w:r>
      <w:r w:rsidRPr="00C050D9">
        <w:rPr>
          <w:rFonts w:ascii="Times New Roman" w:eastAsiaTheme="minorHAnsi" w:hAnsi="Times New Roman" w:cs="Times New Roman"/>
          <w:b/>
          <w:bCs/>
          <w:i/>
          <w:sz w:val="28"/>
          <w:szCs w:val="28"/>
          <w:lang w:eastAsia="en-US"/>
        </w:rPr>
        <w:t>gada constitucional. Reiteración de jurisprudencia</w:t>
      </w:r>
    </w:p>
    <w:p w:rsidR="008B48AA" w:rsidRPr="00C050D9" w:rsidRDefault="00C050D9" w:rsidP="008B48AA">
      <w:pPr>
        <w:shd w:val="clear" w:color="auto" w:fill="FFFFFF" w:themeFill="background1"/>
        <w:tabs>
          <w:tab w:val="left" w:pos="284"/>
        </w:tabs>
        <w:spacing w:after="0" w:line="240" w:lineRule="auto"/>
        <w:contextualSpacing/>
        <w:rPr>
          <w:rFonts w:ascii="Times New Roman" w:eastAsiaTheme="minorHAnsi" w:hAnsi="Times New Roman" w:cs="Times New Roman"/>
          <w:b/>
          <w:bCs/>
          <w:sz w:val="28"/>
          <w:szCs w:val="28"/>
          <w:lang w:eastAsia="en-US"/>
        </w:rPr>
      </w:pPr>
    </w:p>
    <w:p w:rsidR="008B48AA" w:rsidRPr="00C050D9" w:rsidRDefault="00C050D9" w:rsidP="008B48AA">
      <w:pPr>
        <w:pStyle w:val="Prrafodelista"/>
        <w:numPr>
          <w:ilvl w:val="0"/>
          <w:numId w:val="3"/>
        </w:numPr>
        <w:shd w:val="clear" w:color="auto" w:fill="FFFFFF" w:themeFill="background1"/>
        <w:tabs>
          <w:tab w:val="left" w:pos="284"/>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lang w:eastAsia="en-US"/>
        </w:rPr>
        <w:t>El artículo 243 de la Constitución dispone que «[l]os fallos que la Corte dicte en ejercicio del control jurisdiccional hacen tránsito a cosa juzgada constitucional». En consecuencia, dichos fallos tienen</w:t>
      </w:r>
      <w:r w:rsidRPr="00C050D9">
        <w:rPr>
          <w:rFonts w:ascii="Times New Roman" w:eastAsiaTheme="minorHAnsi" w:hAnsi="Times New Roman" w:cs="Times New Roman"/>
          <w:sz w:val="28"/>
          <w:szCs w:val="28"/>
          <w:lang w:eastAsia="en-US"/>
        </w:rPr>
        <w:t xml:space="preserve"> «el carácter de inmutables, vinculantes y definitivos».</w:t>
      </w:r>
      <w:r w:rsidRPr="00C050D9">
        <w:rPr>
          <w:rFonts w:ascii="Times New Roman" w:eastAsiaTheme="minorHAnsi" w:hAnsi="Times New Roman" w:cs="Times New Roman"/>
          <w:sz w:val="28"/>
          <w:vertAlign w:val="superscript"/>
          <w:lang w:eastAsia="en-US"/>
        </w:rPr>
        <w:footnoteReference w:id="14"/>
      </w:r>
      <w:r w:rsidRPr="00C050D9">
        <w:rPr>
          <w:rFonts w:ascii="Times New Roman" w:eastAsiaTheme="minorHAnsi" w:hAnsi="Times New Roman" w:cs="Times New Roman"/>
          <w:sz w:val="28"/>
          <w:szCs w:val="28"/>
          <w:lang w:eastAsia="en-US"/>
        </w:rPr>
        <w:t xml:space="preserve"> Por ello, el juez constitucional no podrá «volver a conocer y decidir sobre lo resuelto».</w:t>
      </w:r>
      <w:r w:rsidRPr="00C050D9">
        <w:rPr>
          <w:rFonts w:ascii="Times New Roman" w:eastAsiaTheme="minorHAnsi" w:hAnsi="Times New Roman" w:cs="Times New Roman"/>
          <w:sz w:val="28"/>
          <w:vertAlign w:val="superscript"/>
          <w:lang w:eastAsia="en-US"/>
        </w:rPr>
        <w:footnoteReference w:id="15"/>
      </w:r>
      <w:r w:rsidRPr="00C050D9">
        <w:rPr>
          <w:rFonts w:ascii="Times New Roman" w:eastAsiaTheme="minorHAnsi" w:hAnsi="Times New Roman" w:cs="Times New Roman"/>
          <w:sz w:val="28"/>
          <w:szCs w:val="28"/>
          <w:lang w:eastAsia="en-US"/>
        </w:rPr>
        <w:t xml:space="preserve"> De ahí que la cosa juzgada constitucional persigue dos propósitos fundamentales: </w:t>
      </w:r>
      <w:r w:rsidRPr="00C050D9">
        <w:rPr>
          <w:rFonts w:ascii="Times New Roman" w:eastAsiaTheme="minorHAnsi" w:hAnsi="Times New Roman" w:cs="Times New Roman"/>
          <w:i/>
          <w:iCs/>
          <w:sz w:val="28"/>
          <w:szCs w:val="28"/>
          <w:lang w:eastAsia="en-US"/>
        </w:rPr>
        <w:t xml:space="preserve">i) </w:t>
      </w:r>
      <w:r w:rsidRPr="00C050D9">
        <w:rPr>
          <w:rFonts w:ascii="Times New Roman" w:eastAsiaTheme="minorHAnsi" w:hAnsi="Times New Roman" w:cs="Times New Roman"/>
          <w:sz w:val="28"/>
          <w:szCs w:val="28"/>
          <w:lang w:eastAsia="en-US"/>
        </w:rPr>
        <w:t>otorga eficacia al prin</w:t>
      </w:r>
      <w:r w:rsidRPr="00C050D9">
        <w:rPr>
          <w:rFonts w:ascii="Times New Roman" w:eastAsiaTheme="minorHAnsi" w:hAnsi="Times New Roman" w:cs="Times New Roman"/>
          <w:sz w:val="28"/>
          <w:szCs w:val="28"/>
          <w:lang w:eastAsia="en-US"/>
        </w:rPr>
        <w:t xml:space="preserve">cipio de supremacía constitucional (artículo 4 de la CP) y </w:t>
      </w:r>
      <w:r w:rsidRPr="00C050D9">
        <w:rPr>
          <w:rFonts w:ascii="Times New Roman" w:eastAsiaTheme="minorHAnsi" w:hAnsi="Times New Roman" w:cs="Times New Roman"/>
          <w:i/>
          <w:iCs/>
          <w:sz w:val="28"/>
          <w:szCs w:val="28"/>
          <w:lang w:eastAsia="en-US"/>
        </w:rPr>
        <w:t>ii)</w:t>
      </w:r>
      <w:r w:rsidRPr="00C050D9">
        <w:rPr>
          <w:rFonts w:ascii="Times New Roman" w:eastAsiaTheme="minorHAnsi" w:hAnsi="Times New Roman" w:cs="Times New Roman"/>
          <w:sz w:val="28"/>
          <w:szCs w:val="28"/>
          <w:lang w:eastAsia="en-US"/>
        </w:rPr>
        <w:t xml:space="preserve"> garantiza el principio de seguridad jurídica,</w:t>
      </w:r>
      <w:r w:rsidRPr="00C050D9">
        <w:rPr>
          <w:rFonts w:ascii="Times New Roman" w:eastAsiaTheme="minorHAnsi" w:hAnsi="Times New Roman" w:cs="Times New Roman"/>
          <w:sz w:val="28"/>
          <w:vertAlign w:val="superscript"/>
          <w:lang w:eastAsia="en-US"/>
        </w:rPr>
        <w:footnoteReference w:id="16"/>
      </w:r>
      <w:r w:rsidRPr="00C050D9">
        <w:rPr>
          <w:rFonts w:ascii="Times New Roman" w:eastAsiaTheme="minorHAnsi" w:hAnsi="Times New Roman" w:cs="Times New Roman"/>
          <w:sz w:val="28"/>
          <w:szCs w:val="28"/>
          <w:lang w:eastAsia="en-US"/>
        </w:rPr>
        <w:t xml:space="preserve"> «la estabilidad del derecho y la confianza y la certeza de las personas respecto de los efectos de las decisiones judiciales».</w:t>
      </w:r>
      <w:r w:rsidRPr="00C050D9">
        <w:rPr>
          <w:rFonts w:ascii="Times New Roman" w:eastAsiaTheme="minorHAnsi" w:hAnsi="Times New Roman" w:cs="Times New Roman"/>
          <w:sz w:val="28"/>
          <w:vertAlign w:val="superscript"/>
          <w:lang w:eastAsia="en-US"/>
        </w:rPr>
        <w:footnoteReference w:id="17"/>
      </w:r>
      <w:r w:rsidRPr="00C050D9">
        <w:rPr>
          <w:rFonts w:ascii="Times New Roman" w:eastAsiaTheme="minorHAnsi" w:hAnsi="Times New Roman" w:cs="Times New Roman"/>
          <w:sz w:val="28"/>
          <w:szCs w:val="28"/>
          <w:lang w:eastAsia="en-US"/>
        </w:rPr>
        <w:t xml:space="preserve"> </w:t>
      </w:r>
    </w:p>
    <w:p w:rsidR="008B48AA" w:rsidRPr="00C050D9" w:rsidRDefault="00C050D9" w:rsidP="008B48AA">
      <w:pPr>
        <w:pStyle w:val="Prrafodelista"/>
        <w:shd w:val="clear" w:color="auto" w:fill="FFFFFF" w:themeFill="background1"/>
        <w:tabs>
          <w:tab w:val="left" w:pos="284"/>
        </w:tabs>
        <w:spacing w:after="0" w:line="240" w:lineRule="auto"/>
        <w:ind w:left="0"/>
        <w:rPr>
          <w:rFonts w:ascii="Times New Roman" w:eastAsiaTheme="minorHAnsi" w:hAnsi="Times New Roman" w:cs="Times New Roman"/>
          <w:sz w:val="28"/>
          <w:szCs w:val="28"/>
          <w:lang w:eastAsia="en-US"/>
        </w:rPr>
      </w:pPr>
    </w:p>
    <w:p w:rsidR="008B48AA" w:rsidRPr="00C050D9" w:rsidRDefault="00C050D9" w:rsidP="008B48AA">
      <w:pPr>
        <w:pStyle w:val="Prrafodelista"/>
        <w:numPr>
          <w:ilvl w:val="0"/>
          <w:numId w:val="3"/>
        </w:numPr>
        <w:shd w:val="clear" w:color="auto" w:fill="FFFFFF" w:themeFill="background1"/>
        <w:tabs>
          <w:tab w:val="left" w:pos="284"/>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lang w:eastAsia="en-US"/>
        </w:rPr>
        <w:t xml:space="preserve">En concordancia con la jurisprudencia, la cosa juzgada constitucional se configura cuando </w:t>
      </w:r>
      <w:r w:rsidRPr="00C050D9">
        <w:rPr>
          <w:rFonts w:ascii="Times New Roman" w:hAnsi="Times New Roman" w:cs="Times New Roman"/>
          <w:sz w:val="28"/>
          <w:szCs w:val="28"/>
          <w:lang w:val="es-ES_tradnl"/>
        </w:rPr>
        <w:t>(i) se propone el estudio del mismo contenido normativo de una proposición jurídica ya analizada (identidad de objeto), (ii) la demanda se sustenta en los mismos carg</w:t>
      </w:r>
      <w:r w:rsidRPr="00C050D9">
        <w:rPr>
          <w:rFonts w:ascii="Times New Roman" w:hAnsi="Times New Roman" w:cs="Times New Roman"/>
          <w:sz w:val="28"/>
          <w:szCs w:val="28"/>
          <w:lang w:val="es-ES_tradnl"/>
        </w:rPr>
        <w:t xml:space="preserve">os y razones analizadas (identidad de causa </w:t>
      </w:r>
      <w:r w:rsidRPr="00C050D9">
        <w:rPr>
          <w:rFonts w:ascii="Times New Roman" w:hAnsi="Times New Roman" w:cs="Times New Roman"/>
          <w:i/>
          <w:iCs/>
          <w:sz w:val="28"/>
          <w:szCs w:val="28"/>
          <w:lang w:val="es-ES_tradnl"/>
        </w:rPr>
        <w:t>petendi</w:t>
      </w:r>
      <w:r w:rsidRPr="00C050D9">
        <w:rPr>
          <w:rFonts w:ascii="Times New Roman" w:hAnsi="Times New Roman" w:cs="Times New Roman"/>
          <w:sz w:val="28"/>
          <w:szCs w:val="28"/>
          <w:lang w:val="es-ES_tradnl"/>
        </w:rPr>
        <w:t>) y (iii) no ha sido modificado el parámetro normativo y constitucional del control (parámetro de constitucionalidad).</w:t>
      </w:r>
      <w:r w:rsidRPr="00C050D9">
        <w:rPr>
          <w:rFonts w:ascii="Times New Roman" w:eastAsiaTheme="minorHAnsi" w:hAnsi="Times New Roman" w:cs="Times New Roman"/>
          <w:sz w:val="28"/>
          <w:vertAlign w:val="superscript"/>
          <w:lang w:eastAsia="en-US"/>
        </w:rPr>
        <w:footnoteReference w:id="18"/>
      </w:r>
      <w:r w:rsidRPr="00C050D9">
        <w:rPr>
          <w:rFonts w:ascii="Times New Roman" w:eastAsiaTheme="minorHAnsi" w:hAnsi="Times New Roman" w:cs="Times New Roman"/>
          <w:sz w:val="28"/>
          <w:szCs w:val="28"/>
          <w:lang w:eastAsia="en-US"/>
        </w:rPr>
        <w:t xml:space="preserve">. En cuanto a la identidad de </w:t>
      </w:r>
      <w:r w:rsidRPr="00C050D9">
        <w:rPr>
          <w:rFonts w:ascii="Times New Roman" w:eastAsiaTheme="minorHAnsi" w:hAnsi="Times New Roman" w:cs="Times New Roman"/>
          <w:i/>
          <w:iCs/>
          <w:sz w:val="28"/>
          <w:szCs w:val="28"/>
          <w:lang w:eastAsia="en-US"/>
        </w:rPr>
        <w:t>causa petendi</w:t>
      </w:r>
      <w:r w:rsidRPr="00C050D9">
        <w:rPr>
          <w:rFonts w:ascii="Times New Roman" w:eastAsiaTheme="minorHAnsi" w:hAnsi="Times New Roman" w:cs="Times New Roman"/>
          <w:sz w:val="28"/>
          <w:szCs w:val="28"/>
          <w:lang w:eastAsia="en-US"/>
        </w:rPr>
        <w:t xml:space="preserve">, se debe determinar si la demanda formula </w:t>
      </w:r>
      <w:r w:rsidRPr="00C050D9">
        <w:rPr>
          <w:rFonts w:ascii="Times New Roman" w:eastAsiaTheme="minorHAnsi" w:hAnsi="Times New Roman" w:cs="Times New Roman"/>
          <w:sz w:val="28"/>
          <w:szCs w:val="28"/>
          <w:lang w:eastAsia="en-US"/>
        </w:rPr>
        <w:t>las mismas razones de inconstitucionalidad analizadas en una sentencia previa. Finalmente, la identidad del parámetro de control de constitucionalidad exige establecer «</w:t>
      </w:r>
      <w:r w:rsidRPr="00C050D9">
        <w:rPr>
          <w:rFonts w:ascii="Times New Roman" w:eastAsiaTheme="minorHAnsi" w:hAnsi="Times New Roman" w:cs="Times New Roman"/>
          <w:sz w:val="28"/>
          <w:szCs w:val="28"/>
          <w:shd w:val="clear" w:color="auto" w:fill="FFFFFF"/>
          <w:lang w:eastAsia="en-US"/>
        </w:rPr>
        <w:t>que no exista un cambio de contexto </w:t>
      </w:r>
      <w:r w:rsidRPr="00C050D9">
        <w:rPr>
          <w:rFonts w:ascii="Times New Roman" w:eastAsiaTheme="minorHAnsi" w:hAnsi="Times New Roman" w:cs="Times New Roman"/>
          <w:sz w:val="28"/>
          <w:szCs w:val="28"/>
          <w:shd w:val="clear" w:color="auto" w:fill="FFFFFF"/>
          <w:lang w:eastAsia="en-US"/>
        </w:rPr>
        <w:t>[…]</w:t>
      </w:r>
      <w:r w:rsidRPr="00C050D9">
        <w:rPr>
          <w:rFonts w:ascii="Times New Roman" w:eastAsiaTheme="minorHAnsi" w:hAnsi="Times New Roman" w:cs="Times New Roman"/>
          <w:sz w:val="28"/>
          <w:szCs w:val="28"/>
          <w:shd w:val="clear" w:color="auto" w:fill="FFFFFF"/>
          <w:lang w:eastAsia="en-US"/>
        </w:rPr>
        <w:t xml:space="preserve"> que de manera excepcional </w:t>
      </w:r>
      <w:r w:rsidRPr="00C050D9">
        <w:rPr>
          <w:rFonts w:ascii="Times New Roman" w:eastAsiaTheme="minorHAnsi" w:hAnsi="Times New Roman" w:cs="Times New Roman"/>
          <w:sz w:val="28"/>
          <w:szCs w:val="28"/>
          <w:shd w:val="clear" w:color="auto" w:fill="FFFFFF"/>
          <w:lang w:eastAsia="en-US"/>
        </w:rPr>
        <w:t>[haga]</w:t>
      </w:r>
      <w:r w:rsidRPr="00C050D9">
        <w:rPr>
          <w:rFonts w:ascii="Times New Roman" w:eastAsiaTheme="minorHAnsi" w:hAnsi="Times New Roman" w:cs="Times New Roman"/>
          <w:sz w:val="28"/>
          <w:szCs w:val="28"/>
          <w:shd w:val="clear" w:color="auto" w:fill="FFFFFF"/>
          <w:lang w:eastAsia="en-US"/>
        </w:rPr>
        <w:t xml:space="preserve"> procedente la revisión, lo que la jurisprudencia ha referido como un nuevo contexto de valoración</w:t>
      </w:r>
      <w:r w:rsidRPr="00C050D9">
        <w:rPr>
          <w:rFonts w:ascii="Times New Roman" w:eastAsiaTheme="minorHAnsi" w:hAnsi="Times New Roman" w:cs="Times New Roman"/>
          <w:sz w:val="28"/>
          <w:szCs w:val="28"/>
          <w:lang w:eastAsia="en-US"/>
        </w:rPr>
        <w:t>»</w:t>
      </w:r>
      <w:r w:rsidRPr="00C050D9">
        <w:rPr>
          <w:rFonts w:ascii="Times New Roman" w:eastAsiaTheme="minorHAnsi" w:hAnsi="Times New Roman" w:cs="Times New Roman"/>
          <w:sz w:val="28"/>
          <w:vertAlign w:val="superscript"/>
          <w:lang w:eastAsia="en-US"/>
        </w:rPr>
        <w:footnoteReference w:id="19"/>
      </w:r>
      <w:r w:rsidRPr="00C050D9">
        <w:rPr>
          <w:rFonts w:ascii="Times New Roman" w:eastAsiaTheme="minorHAnsi" w:hAnsi="Times New Roman" w:cs="Times New Roman"/>
          <w:sz w:val="28"/>
          <w:szCs w:val="28"/>
          <w:lang w:eastAsia="en-US"/>
        </w:rPr>
        <w:t xml:space="preserve">. </w:t>
      </w:r>
    </w:p>
    <w:p w:rsidR="008B48AA" w:rsidRPr="00C050D9" w:rsidRDefault="00C050D9" w:rsidP="008B48AA">
      <w:pPr>
        <w:pStyle w:val="Prrafodelista"/>
        <w:shd w:val="clear" w:color="auto" w:fill="FFFFFF" w:themeFill="background1"/>
        <w:tabs>
          <w:tab w:val="left" w:pos="284"/>
        </w:tabs>
        <w:spacing w:after="0" w:line="240" w:lineRule="auto"/>
        <w:ind w:left="0"/>
        <w:rPr>
          <w:rFonts w:ascii="Times New Roman" w:eastAsiaTheme="minorHAnsi" w:hAnsi="Times New Roman" w:cs="Times New Roman"/>
          <w:sz w:val="28"/>
          <w:szCs w:val="28"/>
          <w:lang w:eastAsia="en-US"/>
        </w:rPr>
      </w:pPr>
    </w:p>
    <w:p w:rsidR="008B48AA" w:rsidRPr="00C050D9" w:rsidRDefault="00C050D9" w:rsidP="008B48AA">
      <w:pPr>
        <w:pStyle w:val="Prrafodelista"/>
        <w:numPr>
          <w:ilvl w:val="0"/>
          <w:numId w:val="3"/>
        </w:numPr>
        <w:shd w:val="clear" w:color="auto" w:fill="FFFFFF" w:themeFill="background1"/>
        <w:tabs>
          <w:tab w:val="left" w:pos="284"/>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hAnsi="Times New Roman" w:cs="Times New Roman"/>
          <w:sz w:val="28"/>
          <w:szCs w:val="28"/>
          <w:lang w:val="es-ES_tradnl"/>
        </w:rPr>
        <w:t>La jurisprudencia ha establecido que aquel supuesto de la cosa juzgada puede configurarse en distintas formas. La Corte ha formulado estas modalidades e</w:t>
      </w:r>
      <w:r w:rsidRPr="00C050D9">
        <w:rPr>
          <w:rFonts w:ascii="Times New Roman" w:hAnsi="Times New Roman" w:cs="Times New Roman"/>
          <w:sz w:val="28"/>
          <w:szCs w:val="28"/>
          <w:lang w:val="es-ES_tradnl"/>
        </w:rPr>
        <w:t>n el siguiente cuadro:</w:t>
      </w:r>
      <w:r w:rsidRPr="00C050D9">
        <w:rPr>
          <w:rStyle w:val="Refdenotaalpie"/>
          <w:rFonts w:ascii="Times New Roman" w:hAnsi="Times New Roman" w:cs="Times New Roman"/>
          <w:sz w:val="28"/>
          <w:szCs w:val="28"/>
          <w:lang w:val="es-ES_tradnl"/>
        </w:rPr>
        <w:footnoteReference w:id="20"/>
      </w:r>
      <w:r w:rsidRPr="00C050D9">
        <w:rPr>
          <w:rFonts w:ascii="Times New Roman" w:hAnsi="Times New Roman" w:cs="Times New Roman"/>
          <w:sz w:val="28"/>
          <w:szCs w:val="28"/>
          <w:lang w:val="es-ES_tradnl"/>
        </w:rPr>
        <w:t xml:space="preserve">  </w:t>
      </w:r>
    </w:p>
    <w:p w:rsidR="008B48AA" w:rsidRPr="00C050D9" w:rsidRDefault="00C050D9" w:rsidP="008B48AA">
      <w:pPr>
        <w:tabs>
          <w:tab w:val="left" w:pos="426"/>
        </w:tabs>
        <w:spacing w:after="0" w:line="240" w:lineRule="auto"/>
        <w:rPr>
          <w:rFonts w:ascii="Times New Roman" w:hAnsi="Times New Roman" w:cs="Times New Roman"/>
          <w:sz w:val="28"/>
          <w:szCs w:val="28"/>
          <w:lang w:val="es-ES_tradnl"/>
        </w:rPr>
      </w:pPr>
    </w:p>
    <w:tbl>
      <w:tblPr>
        <w:tblStyle w:val="Tablaconcuadrcula2"/>
        <w:tblW w:w="0" w:type="auto"/>
        <w:tblLook w:val="04A0" w:firstRow="1" w:lastRow="0" w:firstColumn="1" w:lastColumn="0" w:noHBand="0" w:noVBand="1"/>
      </w:tblPr>
      <w:tblGrid>
        <w:gridCol w:w="4168"/>
        <w:gridCol w:w="4611"/>
      </w:tblGrid>
      <w:tr w:rsidR="008B48AA" w:rsidRPr="00C050D9" w:rsidTr="00BB7A4D">
        <w:tc>
          <w:tcPr>
            <w:tcW w:w="9351" w:type="dxa"/>
            <w:gridSpan w:val="2"/>
            <w:shd w:val="clear" w:color="auto" w:fill="D0CECE" w:themeFill="background2" w:themeFillShade="E6"/>
          </w:tcPr>
          <w:p w:rsidR="008B48AA" w:rsidRPr="00C050D9" w:rsidRDefault="00C050D9" w:rsidP="00BB7A4D">
            <w:pPr>
              <w:autoSpaceDE w:val="0"/>
              <w:autoSpaceDN w:val="0"/>
              <w:adjustRightInd w:val="0"/>
              <w:spacing w:before="1"/>
              <w:ind w:right="103"/>
              <w:jc w:val="center"/>
              <w:rPr>
                <w:rFonts w:ascii="Times New Roman" w:hAnsi="Times New Roman"/>
                <w:b/>
                <w:bCs/>
                <w:sz w:val="28"/>
                <w:szCs w:val="24"/>
                <w:shd w:val="clear" w:color="auto" w:fill="FFFFFF"/>
                <w:lang w:val="es-ES_tradnl" w:eastAsia="en-US"/>
              </w:rPr>
            </w:pPr>
            <w:r w:rsidRPr="00C050D9">
              <w:rPr>
                <w:rFonts w:ascii="Times New Roman" w:hAnsi="Times New Roman"/>
                <w:b/>
                <w:bCs/>
                <w:sz w:val="28"/>
                <w:szCs w:val="24"/>
                <w:shd w:val="clear" w:color="auto" w:fill="FFFFFF"/>
                <w:lang w:val="es-ES_tradnl" w:eastAsia="en-US"/>
              </w:rPr>
              <w:t>Por el objeto de control</w:t>
            </w:r>
          </w:p>
        </w:tc>
      </w:tr>
      <w:tr w:rsidR="008B48AA" w:rsidRPr="00C050D9" w:rsidTr="00BB7A4D">
        <w:tc>
          <w:tcPr>
            <w:tcW w:w="4415" w:type="dxa"/>
          </w:tcPr>
          <w:p w:rsidR="008B48AA" w:rsidRPr="00C050D9" w:rsidRDefault="00C050D9" w:rsidP="00BB7A4D">
            <w:pPr>
              <w:autoSpaceDE w:val="0"/>
              <w:autoSpaceDN w:val="0"/>
              <w:adjustRightInd w:val="0"/>
              <w:spacing w:before="1"/>
              <w:ind w:right="103"/>
              <w:rPr>
                <w:rFonts w:ascii="Times New Roman" w:hAnsi="Times New Roman"/>
                <w:b/>
                <w:bCs/>
                <w:sz w:val="28"/>
                <w:szCs w:val="24"/>
                <w:shd w:val="clear" w:color="auto" w:fill="FFFFFF"/>
                <w:lang w:val="es-ES_tradnl" w:eastAsia="en-US"/>
              </w:rPr>
            </w:pPr>
          </w:p>
          <w:p w:rsidR="008B48AA" w:rsidRPr="00C050D9" w:rsidRDefault="00C050D9" w:rsidP="00BB7A4D">
            <w:pPr>
              <w:autoSpaceDE w:val="0"/>
              <w:autoSpaceDN w:val="0"/>
              <w:adjustRightInd w:val="0"/>
              <w:spacing w:before="1"/>
              <w:ind w:right="103"/>
              <w:rPr>
                <w:rFonts w:ascii="Times New Roman" w:hAnsi="Times New Roman"/>
                <w:b/>
                <w:bCs/>
                <w:sz w:val="28"/>
                <w:szCs w:val="24"/>
                <w:shd w:val="clear" w:color="auto" w:fill="FFFFFF"/>
                <w:lang w:val="es-ES_tradnl" w:eastAsia="en-US"/>
              </w:rPr>
            </w:pPr>
            <w:r w:rsidRPr="00C050D9">
              <w:rPr>
                <w:rFonts w:ascii="Times New Roman" w:hAnsi="Times New Roman"/>
                <w:b/>
                <w:bCs/>
                <w:sz w:val="28"/>
                <w:szCs w:val="24"/>
                <w:shd w:val="clear" w:color="auto" w:fill="FFFFFF"/>
                <w:lang w:val="es-ES_tradnl" w:eastAsia="en-US"/>
              </w:rPr>
              <w:t>Cosa juzgada formal:</w:t>
            </w:r>
          </w:p>
          <w:p w:rsidR="008B48AA" w:rsidRPr="00C050D9" w:rsidRDefault="00C050D9" w:rsidP="00BB7A4D">
            <w:pPr>
              <w:autoSpaceDE w:val="0"/>
              <w:autoSpaceDN w:val="0"/>
              <w:adjustRightInd w:val="0"/>
              <w:spacing w:before="1"/>
              <w:ind w:right="103"/>
              <w:rPr>
                <w:rFonts w:ascii="Times New Roman" w:hAnsi="Times New Roman"/>
                <w:sz w:val="28"/>
                <w:szCs w:val="24"/>
                <w:lang w:val="es-ES_tradnl" w:eastAsia="en-US"/>
              </w:rPr>
            </w:pPr>
          </w:p>
          <w:p w:rsidR="008B48AA" w:rsidRPr="00C050D9" w:rsidRDefault="00C050D9" w:rsidP="00BB7A4D">
            <w:pPr>
              <w:autoSpaceDE w:val="0"/>
              <w:autoSpaceDN w:val="0"/>
              <w:adjustRightInd w:val="0"/>
              <w:spacing w:before="1"/>
              <w:ind w:right="103"/>
              <w:rPr>
                <w:rFonts w:ascii="Times New Roman" w:hAnsi="Times New Roman"/>
                <w:b/>
                <w:bCs/>
                <w:sz w:val="28"/>
                <w:szCs w:val="24"/>
                <w:shd w:val="clear" w:color="auto" w:fill="FFFFFF"/>
                <w:lang w:val="es-ES_tradnl" w:eastAsia="en-US"/>
              </w:rPr>
            </w:pPr>
            <w:r w:rsidRPr="00C050D9">
              <w:rPr>
                <w:rFonts w:ascii="Times New Roman" w:hAnsi="Times New Roman"/>
                <w:sz w:val="28"/>
                <w:szCs w:val="24"/>
                <w:lang w:val="es-ES_tradnl" w:eastAsia="en-US"/>
              </w:rPr>
              <w:t>Cuando la decisión previa de la Corte ha recaído sobre un texto igual al sometido nuevamente a su consideración.</w:t>
            </w:r>
          </w:p>
        </w:tc>
        <w:tc>
          <w:tcPr>
            <w:tcW w:w="4936" w:type="dxa"/>
          </w:tcPr>
          <w:p w:rsidR="008B48AA" w:rsidRPr="00C050D9" w:rsidRDefault="00C050D9" w:rsidP="00BB7A4D">
            <w:pPr>
              <w:autoSpaceDE w:val="0"/>
              <w:autoSpaceDN w:val="0"/>
              <w:adjustRightInd w:val="0"/>
              <w:spacing w:before="1"/>
              <w:ind w:right="103"/>
              <w:rPr>
                <w:rFonts w:ascii="Times New Roman" w:hAnsi="Times New Roman"/>
                <w:b/>
                <w:bCs/>
                <w:sz w:val="28"/>
                <w:szCs w:val="24"/>
                <w:shd w:val="clear" w:color="auto" w:fill="FFFFFF"/>
                <w:lang w:val="es-ES_tradnl" w:eastAsia="en-US"/>
              </w:rPr>
            </w:pPr>
          </w:p>
          <w:p w:rsidR="008B48AA" w:rsidRPr="00C050D9" w:rsidRDefault="00C050D9" w:rsidP="00BB7A4D">
            <w:pPr>
              <w:autoSpaceDE w:val="0"/>
              <w:autoSpaceDN w:val="0"/>
              <w:adjustRightInd w:val="0"/>
              <w:spacing w:before="1"/>
              <w:ind w:right="103"/>
              <w:rPr>
                <w:rFonts w:ascii="Times New Roman" w:hAnsi="Times New Roman"/>
                <w:b/>
                <w:bCs/>
                <w:sz w:val="28"/>
                <w:szCs w:val="24"/>
                <w:shd w:val="clear" w:color="auto" w:fill="FFFFFF"/>
                <w:lang w:val="es-ES_tradnl" w:eastAsia="en-US"/>
              </w:rPr>
            </w:pPr>
            <w:r w:rsidRPr="00C050D9">
              <w:rPr>
                <w:rFonts w:ascii="Times New Roman" w:hAnsi="Times New Roman"/>
                <w:b/>
                <w:bCs/>
                <w:sz w:val="28"/>
                <w:szCs w:val="24"/>
                <w:shd w:val="clear" w:color="auto" w:fill="FFFFFF"/>
                <w:lang w:val="es-ES_tradnl" w:eastAsia="en-US"/>
              </w:rPr>
              <w:t>Cosa juzgada material:</w:t>
            </w:r>
          </w:p>
          <w:p w:rsidR="008B48AA" w:rsidRPr="00C050D9" w:rsidRDefault="00C050D9" w:rsidP="00BB7A4D">
            <w:pPr>
              <w:autoSpaceDE w:val="0"/>
              <w:autoSpaceDN w:val="0"/>
              <w:adjustRightInd w:val="0"/>
              <w:spacing w:before="1"/>
              <w:ind w:right="103"/>
              <w:rPr>
                <w:rFonts w:ascii="Times New Roman" w:hAnsi="Times New Roman"/>
                <w:b/>
                <w:bCs/>
                <w:sz w:val="28"/>
                <w:szCs w:val="24"/>
                <w:shd w:val="clear" w:color="auto" w:fill="FFFFFF"/>
                <w:lang w:val="es-ES_tradnl" w:eastAsia="en-US"/>
              </w:rPr>
            </w:pPr>
          </w:p>
          <w:p w:rsidR="008B48AA" w:rsidRPr="00C050D9" w:rsidRDefault="00C050D9" w:rsidP="00BB7A4D">
            <w:pPr>
              <w:autoSpaceDE w:val="0"/>
              <w:autoSpaceDN w:val="0"/>
              <w:adjustRightInd w:val="0"/>
              <w:spacing w:before="1"/>
              <w:ind w:right="103"/>
              <w:rPr>
                <w:rFonts w:ascii="Times New Roman" w:hAnsi="Times New Roman"/>
                <w:sz w:val="28"/>
                <w:szCs w:val="24"/>
                <w:shd w:val="clear" w:color="auto" w:fill="FFFFFF"/>
                <w:lang w:val="es-ES_tradnl" w:eastAsia="en-US"/>
              </w:rPr>
            </w:pPr>
            <w:r w:rsidRPr="00C050D9">
              <w:rPr>
                <w:rFonts w:ascii="Times New Roman" w:hAnsi="Times New Roman"/>
                <w:sz w:val="28"/>
                <w:szCs w:val="24"/>
                <w:shd w:val="clear" w:color="auto" w:fill="FFFFFF"/>
                <w:lang w:val="es-ES_tradnl" w:eastAsia="en-US"/>
              </w:rPr>
              <w:t xml:space="preserve">Cuando la sentencia previa examinó una </w:t>
            </w:r>
            <w:r w:rsidRPr="00C050D9">
              <w:rPr>
                <w:rFonts w:ascii="Times New Roman" w:hAnsi="Times New Roman"/>
                <w:sz w:val="28"/>
                <w:szCs w:val="24"/>
                <w:shd w:val="clear" w:color="auto" w:fill="FFFFFF"/>
                <w:lang w:val="es-ES_tradnl" w:eastAsia="en-US"/>
              </w:rPr>
              <w:t>norma equivalente a la demandada, contenida en un texto normativo distinto. De forma que, aunque se trate de disposiciones formalmente diferentes, producen los mismos efectos en cuanto contienen la misma regla.</w:t>
            </w:r>
          </w:p>
          <w:p w:rsidR="008B48AA" w:rsidRPr="00C050D9" w:rsidRDefault="00C050D9" w:rsidP="00BB7A4D">
            <w:pPr>
              <w:autoSpaceDE w:val="0"/>
              <w:autoSpaceDN w:val="0"/>
              <w:adjustRightInd w:val="0"/>
              <w:spacing w:before="1"/>
              <w:ind w:right="103"/>
              <w:rPr>
                <w:rFonts w:ascii="Times New Roman" w:hAnsi="Times New Roman"/>
                <w:sz w:val="28"/>
                <w:szCs w:val="24"/>
                <w:shd w:val="clear" w:color="auto" w:fill="FFFFFF"/>
                <w:lang w:val="es-ES_tradnl" w:eastAsia="en-US"/>
              </w:rPr>
            </w:pPr>
          </w:p>
        </w:tc>
      </w:tr>
      <w:tr w:rsidR="008B48AA" w:rsidRPr="00C050D9" w:rsidTr="00BB7A4D">
        <w:tc>
          <w:tcPr>
            <w:tcW w:w="9351" w:type="dxa"/>
            <w:gridSpan w:val="2"/>
            <w:shd w:val="clear" w:color="auto" w:fill="D0CECE" w:themeFill="background2" w:themeFillShade="E6"/>
          </w:tcPr>
          <w:p w:rsidR="008B48AA" w:rsidRPr="00C050D9" w:rsidRDefault="00C050D9" w:rsidP="00BB7A4D">
            <w:pPr>
              <w:autoSpaceDE w:val="0"/>
              <w:autoSpaceDN w:val="0"/>
              <w:adjustRightInd w:val="0"/>
              <w:spacing w:before="1"/>
              <w:ind w:right="103"/>
              <w:jc w:val="center"/>
              <w:rPr>
                <w:rFonts w:ascii="Times New Roman" w:hAnsi="Times New Roman"/>
                <w:b/>
                <w:bCs/>
                <w:sz w:val="28"/>
                <w:szCs w:val="24"/>
                <w:shd w:val="clear" w:color="auto" w:fill="FFFFFF"/>
                <w:lang w:val="es-ES_tradnl" w:eastAsia="en-US"/>
              </w:rPr>
            </w:pPr>
            <w:r w:rsidRPr="00C050D9">
              <w:rPr>
                <w:rFonts w:ascii="Times New Roman" w:hAnsi="Times New Roman"/>
                <w:b/>
                <w:bCs/>
                <w:sz w:val="28"/>
                <w:szCs w:val="24"/>
                <w:shd w:val="clear" w:color="auto" w:fill="FFFFFF"/>
                <w:lang w:val="es-ES_tradnl" w:eastAsia="en-US"/>
              </w:rPr>
              <w:t>Por el cargo de constitucionalidad</w:t>
            </w:r>
          </w:p>
        </w:tc>
      </w:tr>
      <w:tr w:rsidR="008B48AA" w:rsidRPr="00C050D9" w:rsidTr="00BB7A4D">
        <w:tc>
          <w:tcPr>
            <w:tcW w:w="4415" w:type="dxa"/>
          </w:tcPr>
          <w:p w:rsidR="008B48AA" w:rsidRPr="00C050D9" w:rsidRDefault="00C050D9" w:rsidP="00BB7A4D">
            <w:pPr>
              <w:autoSpaceDE w:val="0"/>
              <w:autoSpaceDN w:val="0"/>
              <w:adjustRightInd w:val="0"/>
              <w:spacing w:before="1"/>
              <w:ind w:right="103"/>
              <w:rPr>
                <w:rFonts w:ascii="Times New Roman" w:hAnsi="Times New Roman"/>
                <w:b/>
                <w:bCs/>
                <w:sz w:val="28"/>
                <w:szCs w:val="24"/>
                <w:lang w:val="es-ES_tradnl" w:eastAsia="en-US"/>
              </w:rPr>
            </w:pPr>
          </w:p>
          <w:p w:rsidR="008B48AA" w:rsidRPr="00C050D9" w:rsidRDefault="00C050D9" w:rsidP="00BB7A4D">
            <w:pPr>
              <w:autoSpaceDE w:val="0"/>
              <w:autoSpaceDN w:val="0"/>
              <w:adjustRightInd w:val="0"/>
              <w:spacing w:before="1"/>
              <w:ind w:right="103"/>
              <w:rPr>
                <w:rFonts w:ascii="Times New Roman" w:hAnsi="Times New Roman"/>
                <w:b/>
                <w:bCs/>
                <w:sz w:val="28"/>
                <w:szCs w:val="24"/>
                <w:lang w:val="es-ES_tradnl" w:eastAsia="en-US"/>
              </w:rPr>
            </w:pPr>
            <w:r w:rsidRPr="00C050D9">
              <w:rPr>
                <w:rFonts w:ascii="Times New Roman" w:hAnsi="Times New Roman"/>
                <w:b/>
                <w:bCs/>
                <w:sz w:val="28"/>
                <w:szCs w:val="24"/>
                <w:lang w:val="es-ES_tradnl" w:eastAsia="en-US"/>
              </w:rPr>
              <w:t>Cosa j</w:t>
            </w:r>
            <w:r w:rsidRPr="00C050D9">
              <w:rPr>
                <w:rFonts w:ascii="Times New Roman" w:hAnsi="Times New Roman"/>
                <w:b/>
                <w:bCs/>
                <w:sz w:val="28"/>
                <w:szCs w:val="24"/>
                <w:lang w:val="es-ES_tradnl" w:eastAsia="en-US"/>
              </w:rPr>
              <w:t>uzgada absoluta:</w:t>
            </w:r>
          </w:p>
          <w:p w:rsidR="008B48AA" w:rsidRPr="00C050D9" w:rsidRDefault="00C050D9" w:rsidP="00BB7A4D">
            <w:pPr>
              <w:autoSpaceDE w:val="0"/>
              <w:autoSpaceDN w:val="0"/>
              <w:adjustRightInd w:val="0"/>
              <w:spacing w:before="1"/>
              <w:ind w:right="103"/>
              <w:rPr>
                <w:rFonts w:ascii="Times New Roman" w:hAnsi="Times New Roman"/>
                <w:sz w:val="28"/>
                <w:szCs w:val="24"/>
                <w:lang w:val="es-ES_tradnl" w:eastAsia="en-US"/>
              </w:rPr>
            </w:pPr>
          </w:p>
          <w:p w:rsidR="008B48AA" w:rsidRPr="00C050D9" w:rsidRDefault="00C050D9" w:rsidP="00BB7A4D">
            <w:pPr>
              <w:autoSpaceDE w:val="0"/>
              <w:autoSpaceDN w:val="0"/>
              <w:adjustRightInd w:val="0"/>
              <w:spacing w:before="1"/>
              <w:ind w:right="103"/>
              <w:rPr>
                <w:rFonts w:ascii="Times New Roman" w:hAnsi="Times New Roman"/>
                <w:sz w:val="28"/>
                <w:szCs w:val="24"/>
                <w:shd w:val="clear" w:color="auto" w:fill="FFFFFF"/>
                <w:lang w:val="es-ES_tradnl" w:eastAsia="en-US"/>
              </w:rPr>
            </w:pPr>
            <w:r w:rsidRPr="00C050D9">
              <w:rPr>
                <w:rFonts w:ascii="Times New Roman" w:hAnsi="Times New Roman"/>
                <w:sz w:val="28"/>
                <w:szCs w:val="24"/>
                <w:lang w:val="es-ES_tradnl" w:eastAsia="en-US"/>
              </w:rPr>
              <w:t>Cuando la primera decisión agotó cualquier debate sobre la constitucionalidad de la norma acusada. Ocurre cuando se analizó la validez de la norma con la totalidad de las normas de rango constitucional, incluidas aquellas que conforman el</w:t>
            </w:r>
            <w:r w:rsidRPr="00C050D9">
              <w:rPr>
                <w:rFonts w:ascii="Times New Roman" w:hAnsi="Times New Roman"/>
                <w:sz w:val="28"/>
                <w:szCs w:val="24"/>
                <w:lang w:val="es-ES_tradnl" w:eastAsia="en-US"/>
              </w:rPr>
              <w:t xml:space="preserve"> bloque de constitucionalidad. Por regla general, corresponde a las sentencias dictadas en ejercicio del control automático e integral que la Constitución Política asigna a cierto tipo de normas.</w:t>
            </w:r>
          </w:p>
        </w:tc>
        <w:tc>
          <w:tcPr>
            <w:tcW w:w="4936" w:type="dxa"/>
          </w:tcPr>
          <w:p w:rsidR="008B48AA" w:rsidRPr="00C050D9" w:rsidRDefault="00C050D9" w:rsidP="00BB7A4D">
            <w:pPr>
              <w:autoSpaceDE w:val="0"/>
              <w:autoSpaceDN w:val="0"/>
              <w:adjustRightInd w:val="0"/>
              <w:spacing w:before="1"/>
              <w:ind w:right="103"/>
              <w:rPr>
                <w:rFonts w:ascii="Times New Roman" w:hAnsi="Times New Roman"/>
                <w:b/>
                <w:bCs/>
                <w:sz w:val="28"/>
                <w:szCs w:val="24"/>
                <w:lang w:val="es-ES_tradnl" w:eastAsia="en-US"/>
              </w:rPr>
            </w:pPr>
          </w:p>
          <w:p w:rsidR="008B48AA" w:rsidRPr="00C050D9" w:rsidRDefault="00C050D9" w:rsidP="00BB7A4D">
            <w:pPr>
              <w:autoSpaceDE w:val="0"/>
              <w:autoSpaceDN w:val="0"/>
              <w:adjustRightInd w:val="0"/>
              <w:spacing w:before="1"/>
              <w:ind w:right="103"/>
              <w:rPr>
                <w:rFonts w:ascii="Times New Roman" w:hAnsi="Times New Roman"/>
                <w:b/>
                <w:bCs/>
                <w:sz w:val="28"/>
                <w:szCs w:val="24"/>
                <w:lang w:val="es-ES_tradnl" w:eastAsia="en-US"/>
              </w:rPr>
            </w:pPr>
            <w:r w:rsidRPr="00C050D9">
              <w:rPr>
                <w:rFonts w:ascii="Times New Roman" w:hAnsi="Times New Roman"/>
                <w:b/>
                <w:bCs/>
                <w:sz w:val="28"/>
                <w:szCs w:val="24"/>
                <w:lang w:val="es-ES_tradnl" w:eastAsia="en-US"/>
              </w:rPr>
              <w:t>Cosa juzgada relativa:</w:t>
            </w:r>
          </w:p>
          <w:p w:rsidR="008B48AA" w:rsidRPr="00C050D9" w:rsidRDefault="00C050D9" w:rsidP="00BB7A4D">
            <w:pPr>
              <w:autoSpaceDE w:val="0"/>
              <w:autoSpaceDN w:val="0"/>
              <w:adjustRightInd w:val="0"/>
              <w:spacing w:before="1"/>
              <w:ind w:right="103"/>
              <w:rPr>
                <w:rFonts w:ascii="Times New Roman" w:hAnsi="Times New Roman"/>
                <w:b/>
                <w:bCs/>
                <w:sz w:val="28"/>
                <w:szCs w:val="24"/>
                <w:lang w:val="es-ES_tradnl" w:eastAsia="en-US"/>
              </w:rPr>
            </w:pPr>
          </w:p>
          <w:p w:rsidR="008B48AA" w:rsidRPr="00C050D9" w:rsidRDefault="00C050D9" w:rsidP="00BB7A4D">
            <w:pPr>
              <w:autoSpaceDE w:val="0"/>
              <w:autoSpaceDN w:val="0"/>
              <w:adjustRightInd w:val="0"/>
              <w:spacing w:before="1"/>
              <w:ind w:right="103"/>
              <w:rPr>
                <w:rFonts w:ascii="Times New Roman" w:hAnsi="Times New Roman"/>
                <w:sz w:val="28"/>
                <w:szCs w:val="24"/>
                <w:lang w:val="es-ES_tradnl" w:eastAsia="en-US"/>
              </w:rPr>
            </w:pPr>
            <w:r w:rsidRPr="00C050D9">
              <w:rPr>
                <w:rFonts w:ascii="Times New Roman" w:hAnsi="Times New Roman"/>
                <w:sz w:val="28"/>
                <w:szCs w:val="24"/>
                <w:lang w:val="es-ES_tradnl" w:eastAsia="en-US"/>
              </w:rPr>
              <w:t xml:space="preserve">Cuando la decisión previa juzgó la </w:t>
            </w:r>
            <w:r w:rsidRPr="00C050D9">
              <w:rPr>
                <w:rFonts w:ascii="Times New Roman" w:hAnsi="Times New Roman"/>
                <w:sz w:val="28"/>
                <w:szCs w:val="24"/>
                <w:lang w:val="es-ES_tradnl" w:eastAsia="en-US"/>
              </w:rPr>
              <w:t>validez constitucional solo desde la perspectiva de algunos de los cargos posibles. La cosa juzgada relativa puede ser explícita o implícita.</w:t>
            </w:r>
          </w:p>
          <w:p w:rsidR="008B48AA" w:rsidRPr="00C050D9" w:rsidRDefault="00C050D9" w:rsidP="00BB7A4D">
            <w:pPr>
              <w:autoSpaceDE w:val="0"/>
              <w:autoSpaceDN w:val="0"/>
              <w:adjustRightInd w:val="0"/>
              <w:spacing w:before="1"/>
              <w:ind w:right="103"/>
              <w:rPr>
                <w:rFonts w:ascii="Times New Roman" w:hAnsi="Times New Roman"/>
                <w:sz w:val="28"/>
                <w:szCs w:val="24"/>
                <w:lang w:val="es-ES_tradnl" w:eastAsia="en-US"/>
              </w:rPr>
            </w:pPr>
          </w:p>
          <w:p w:rsidR="008B48AA" w:rsidRPr="00C050D9" w:rsidRDefault="00C050D9" w:rsidP="00BB7A4D">
            <w:pPr>
              <w:autoSpaceDE w:val="0"/>
              <w:autoSpaceDN w:val="0"/>
              <w:adjustRightInd w:val="0"/>
              <w:spacing w:before="1"/>
              <w:ind w:right="103"/>
              <w:rPr>
                <w:rFonts w:ascii="Times New Roman" w:hAnsi="Times New Roman"/>
                <w:sz w:val="28"/>
                <w:szCs w:val="24"/>
                <w:lang w:val="es-ES_tradnl" w:eastAsia="en-US"/>
              </w:rPr>
            </w:pPr>
            <w:r w:rsidRPr="00C050D9">
              <w:rPr>
                <w:rFonts w:ascii="Times New Roman" w:hAnsi="Times New Roman"/>
                <w:sz w:val="28"/>
                <w:szCs w:val="24"/>
                <w:lang w:val="es-ES_tradnl" w:eastAsia="en-US"/>
              </w:rPr>
              <w:t xml:space="preserve">Será </w:t>
            </w:r>
            <w:r w:rsidRPr="00C050D9">
              <w:rPr>
                <w:rFonts w:ascii="Times New Roman" w:hAnsi="Times New Roman"/>
                <w:b/>
                <w:bCs/>
                <w:sz w:val="28"/>
                <w:szCs w:val="24"/>
                <w:lang w:val="es-ES_tradnl" w:eastAsia="en-US"/>
              </w:rPr>
              <w:t>cosa juzgada relativa explícita</w:t>
            </w:r>
            <w:r w:rsidRPr="00C050D9">
              <w:rPr>
                <w:rFonts w:ascii="Times New Roman" w:hAnsi="Times New Roman"/>
                <w:sz w:val="28"/>
                <w:szCs w:val="24"/>
                <w:lang w:val="es-ES_tradnl" w:eastAsia="en-US"/>
              </w:rPr>
              <w:t xml:space="preserve"> cuando en la parte resolutiva de la sentencia se establece expresamente que </w:t>
            </w:r>
            <w:r w:rsidRPr="00C050D9">
              <w:rPr>
                <w:rFonts w:ascii="Times New Roman" w:hAnsi="Times New Roman"/>
                <w:sz w:val="28"/>
                <w:szCs w:val="24"/>
                <w:lang w:val="es-ES_tradnl" w:eastAsia="en-US"/>
              </w:rPr>
              <w:t xml:space="preserve">el pronunciamiento de la Corte se limita a los cargos analizados. </w:t>
            </w:r>
          </w:p>
          <w:p w:rsidR="008B48AA" w:rsidRPr="00C050D9" w:rsidRDefault="00C050D9" w:rsidP="00BB7A4D">
            <w:pPr>
              <w:autoSpaceDE w:val="0"/>
              <w:autoSpaceDN w:val="0"/>
              <w:adjustRightInd w:val="0"/>
              <w:spacing w:before="1"/>
              <w:ind w:right="103"/>
              <w:rPr>
                <w:rFonts w:ascii="Times New Roman" w:hAnsi="Times New Roman"/>
                <w:sz w:val="28"/>
                <w:szCs w:val="24"/>
                <w:lang w:val="es-ES_tradnl" w:eastAsia="en-US"/>
              </w:rPr>
            </w:pPr>
          </w:p>
          <w:p w:rsidR="008B48AA" w:rsidRPr="00C050D9" w:rsidRDefault="00C050D9" w:rsidP="00BB7A4D">
            <w:pPr>
              <w:autoSpaceDE w:val="0"/>
              <w:autoSpaceDN w:val="0"/>
              <w:adjustRightInd w:val="0"/>
              <w:spacing w:before="1"/>
              <w:ind w:right="103"/>
              <w:rPr>
                <w:rFonts w:ascii="Times New Roman" w:hAnsi="Times New Roman"/>
                <w:sz w:val="28"/>
                <w:szCs w:val="24"/>
                <w:lang w:val="es-ES_tradnl" w:eastAsia="en-US"/>
              </w:rPr>
            </w:pPr>
            <w:r w:rsidRPr="00C050D9">
              <w:rPr>
                <w:rFonts w:ascii="Times New Roman" w:hAnsi="Times New Roman"/>
                <w:sz w:val="28"/>
                <w:szCs w:val="24"/>
                <w:lang w:val="es-ES_tradnl" w:eastAsia="en-US"/>
              </w:rPr>
              <w:t xml:space="preserve">Será </w:t>
            </w:r>
            <w:r w:rsidRPr="00C050D9">
              <w:rPr>
                <w:rFonts w:ascii="Times New Roman" w:hAnsi="Times New Roman"/>
                <w:b/>
                <w:bCs/>
                <w:sz w:val="28"/>
                <w:szCs w:val="24"/>
                <w:lang w:val="es-ES_tradnl" w:eastAsia="en-US"/>
              </w:rPr>
              <w:t>cosa juzgada relativa implícita</w:t>
            </w:r>
            <w:r w:rsidRPr="00C050D9">
              <w:rPr>
                <w:rFonts w:ascii="Times New Roman" w:hAnsi="Times New Roman"/>
                <w:sz w:val="28"/>
                <w:szCs w:val="24"/>
                <w:lang w:val="es-ES_tradnl" w:eastAsia="en-US"/>
              </w:rPr>
              <w:t xml:space="preserve"> cuando, pese a no hacerse tal referencia en la parte resolutiva, de las consideraciones de la sentencia se puede desprender que la Corte limitó su juicio a determinados cargos.</w:t>
            </w:r>
          </w:p>
          <w:p w:rsidR="008B48AA" w:rsidRPr="00C050D9" w:rsidRDefault="00C050D9" w:rsidP="00BB7A4D">
            <w:pPr>
              <w:autoSpaceDE w:val="0"/>
              <w:autoSpaceDN w:val="0"/>
              <w:adjustRightInd w:val="0"/>
              <w:spacing w:before="1"/>
              <w:ind w:right="103"/>
              <w:rPr>
                <w:rFonts w:ascii="Times New Roman" w:hAnsi="Times New Roman"/>
                <w:sz w:val="28"/>
                <w:szCs w:val="24"/>
                <w:shd w:val="clear" w:color="auto" w:fill="FFFFFF"/>
                <w:lang w:val="es-ES_tradnl" w:eastAsia="en-US"/>
              </w:rPr>
            </w:pPr>
          </w:p>
        </w:tc>
      </w:tr>
      <w:tr w:rsidR="008B48AA" w:rsidRPr="00C050D9" w:rsidTr="00BB7A4D">
        <w:tc>
          <w:tcPr>
            <w:tcW w:w="9351" w:type="dxa"/>
            <w:gridSpan w:val="2"/>
            <w:shd w:val="clear" w:color="auto" w:fill="D0CECE" w:themeFill="background2" w:themeFillShade="E6"/>
          </w:tcPr>
          <w:p w:rsidR="008B48AA" w:rsidRPr="00C050D9" w:rsidRDefault="00C050D9" w:rsidP="00BB7A4D">
            <w:pPr>
              <w:autoSpaceDE w:val="0"/>
              <w:autoSpaceDN w:val="0"/>
              <w:adjustRightInd w:val="0"/>
              <w:spacing w:before="1"/>
              <w:ind w:right="103"/>
              <w:jc w:val="center"/>
              <w:rPr>
                <w:rFonts w:ascii="Times New Roman" w:hAnsi="Times New Roman"/>
                <w:b/>
                <w:bCs/>
                <w:sz w:val="28"/>
                <w:szCs w:val="24"/>
                <w:lang w:val="es-ES_tradnl" w:eastAsia="en-US"/>
              </w:rPr>
            </w:pPr>
            <w:r w:rsidRPr="00C050D9">
              <w:rPr>
                <w:rFonts w:ascii="Times New Roman" w:hAnsi="Times New Roman"/>
                <w:b/>
                <w:bCs/>
                <w:sz w:val="28"/>
                <w:szCs w:val="24"/>
                <w:lang w:val="es-ES_tradnl" w:eastAsia="en-US"/>
              </w:rPr>
              <w:t>Cosa juzgada aparente</w:t>
            </w:r>
          </w:p>
        </w:tc>
      </w:tr>
      <w:tr w:rsidR="008B48AA" w:rsidRPr="00C050D9" w:rsidTr="00BB7A4D">
        <w:tc>
          <w:tcPr>
            <w:tcW w:w="9351" w:type="dxa"/>
            <w:gridSpan w:val="2"/>
          </w:tcPr>
          <w:p w:rsidR="008B48AA" w:rsidRPr="00C050D9" w:rsidRDefault="00C050D9" w:rsidP="00BB7A4D">
            <w:pPr>
              <w:contextualSpacing/>
              <w:rPr>
                <w:rFonts w:ascii="Times New Roman" w:hAnsi="Times New Roman"/>
                <w:noProof/>
                <w:sz w:val="28"/>
                <w:szCs w:val="24"/>
                <w:lang w:eastAsia="en-US"/>
              </w:rPr>
            </w:pPr>
          </w:p>
          <w:p w:rsidR="008B48AA" w:rsidRPr="00C050D9" w:rsidRDefault="00C050D9" w:rsidP="00BB7A4D">
            <w:pPr>
              <w:contextualSpacing/>
              <w:rPr>
                <w:rFonts w:ascii="Times New Roman" w:hAnsi="Times New Roman"/>
                <w:noProof/>
                <w:sz w:val="28"/>
                <w:szCs w:val="24"/>
                <w:lang w:val="es-ES_tradnl" w:eastAsia="en-US"/>
              </w:rPr>
            </w:pPr>
            <w:r w:rsidRPr="00C050D9">
              <w:rPr>
                <w:rFonts w:ascii="Times New Roman" w:hAnsi="Times New Roman"/>
                <w:noProof/>
                <w:sz w:val="28"/>
                <w:szCs w:val="24"/>
                <w:lang w:eastAsia="en-US"/>
              </w:rPr>
              <w:t>Ocurre cuando</w:t>
            </w:r>
            <w:r w:rsidRPr="00C050D9">
              <w:rPr>
                <w:rFonts w:ascii="Times New Roman" w:hAnsi="Times New Roman"/>
                <w:noProof/>
                <w:sz w:val="28"/>
                <w:szCs w:val="24"/>
                <w:lang w:val="es-ES_tradnl" w:eastAsia="en-US"/>
              </w:rPr>
              <w:t xml:space="preserve"> la Corte, «a pesar de adoptar una decisión en la parte resolutiva de sus providencias declarando la exequibilidad de una norma, en realidad no ejerce función jurisdiccional alguna y, por ello, la cosa juzgada es ficticia».</w:t>
            </w:r>
            <w:r w:rsidRPr="00C050D9">
              <w:rPr>
                <w:rFonts w:ascii="Times New Roman" w:hAnsi="Times New Roman"/>
                <w:sz w:val="28"/>
                <w:szCs w:val="24"/>
                <w:vertAlign w:val="superscript"/>
                <w:lang w:eastAsia="en-US"/>
              </w:rPr>
              <w:footnoteReference w:id="21"/>
            </w:r>
          </w:p>
          <w:p w:rsidR="008B48AA" w:rsidRPr="00C050D9" w:rsidRDefault="00C050D9" w:rsidP="00BB7A4D">
            <w:pPr>
              <w:contextualSpacing/>
              <w:rPr>
                <w:rFonts w:ascii="Times New Roman" w:hAnsi="Times New Roman"/>
                <w:bCs/>
                <w:sz w:val="28"/>
                <w:szCs w:val="24"/>
                <w:lang w:eastAsia="en-US"/>
              </w:rPr>
            </w:pPr>
            <w:r w:rsidRPr="00C050D9">
              <w:rPr>
                <w:rFonts w:ascii="Times New Roman" w:hAnsi="Times New Roman"/>
                <w:bCs/>
                <w:sz w:val="28"/>
                <w:szCs w:val="24"/>
                <w:lang w:eastAsia="en-US"/>
              </w:rPr>
              <w:t>«La cosa juzgada aparente tiene</w:t>
            </w:r>
            <w:r w:rsidRPr="00C050D9">
              <w:rPr>
                <w:rFonts w:ascii="Times New Roman" w:hAnsi="Times New Roman"/>
                <w:bCs/>
                <w:sz w:val="28"/>
                <w:szCs w:val="24"/>
                <w:lang w:eastAsia="en-US"/>
              </w:rPr>
              <w:t xml:space="preserve"> lugar en dos eventos: </w:t>
            </w:r>
            <w:r w:rsidRPr="00C050D9">
              <w:rPr>
                <w:rFonts w:ascii="Times New Roman" w:hAnsi="Times New Roman"/>
                <w:bCs/>
                <w:i/>
                <w:iCs/>
                <w:sz w:val="28"/>
                <w:szCs w:val="24"/>
                <w:lang w:eastAsia="en-US"/>
              </w:rPr>
              <w:t>i)</w:t>
            </w:r>
            <w:r w:rsidRPr="00C050D9">
              <w:rPr>
                <w:rFonts w:ascii="Times New Roman" w:hAnsi="Times New Roman"/>
                <w:bCs/>
                <w:sz w:val="28"/>
                <w:szCs w:val="24"/>
                <w:lang w:eastAsia="en-US"/>
              </w:rPr>
              <w:t xml:space="preserve"> cuando la Corte resuelve declarar exequible una disposición, pero en la parte motiva de la sentencia omite totalmente el estudio de constitucionalidad de aquella, de forma que la disposición no fue objeto de función jurisdiccional alguna, y </w:t>
            </w:r>
            <w:r w:rsidRPr="00C050D9">
              <w:rPr>
                <w:rFonts w:ascii="Times New Roman" w:hAnsi="Times New Roman"/>
                <w:bCs/>
                <w:i/>
                <w:iCs/>
                <w:sz w:val="28"/>
                <w:szCs w:val="24"/>
                <w:lang w:eastAsia="en-US"/>
              </w:rPr>
              <w:t>ii)</w:t>
            </w:r>
            <w:r w:rsidRPr="00C050D9">
              <w:rPr>
                <w:rFonts w:ascii="Times New Roman" w:hAnsi="Times New Roman"/>
                <w:bCs/>
                <w:sz w:val="28"/>
                <w:szCs w:val="24"/>
                <w:lang w:eastAsia="en-US"/>
              </w:rPr>
              <w:t xml:space="preserve"> cuando se </w:t>
            </w:r>
            <w:r w:rsidRPr="00C050D9">
              <w:rPr>
                <w:rFonts w:ascii="Times New Roman" w:hAnsi="Times New Roman"/>
                <w:bCs/>
                <w:sz w:val="28"/>
                <w:szCs w:val="24"/>
                <w:lang w:eastAsia="en-US"/>
              </w:rPr>
              <w:t>declara exequible una disposición, pero en la parte motiva del fallo solo se estudió una de las normas contenidas en aquella.</w:t>
            </w:r>
            <w:r w:rsidRPr="00C050D9">
              <w:rPr>
                <w:rFonts w:ascii="Times New Roman" w:hAnsi="Times New Roman"/>
                <w:bCs/>
                <w:sz w:val="28"/>
                <w:szCs w:val="24"/>
                <w:vertAlign w:val="superscript"/>
                <w:lang w:eastAsia="en-US"/>
              </w:rPr>
              <w:footnoteReference w:id="22"/>
            </w:r>
            <w:r w:rsidRPr="00C050D9">
              <w:rPr>
                <w:rFonts w:ascii="Times New Roman" w:hAnsi="Times New Roman"/>
                <w:bCs/>
                <w:sz w:val="28"/>
                <w:szCs w:val="24"/>
                <w:lang w:eastAsia="en-US"/>
              </w:rPr>
              <w:t xml:space="preserve"> En este caso, las normas que carecieron de pronunciamiento jurisdiccional pueden ser objeto de un estudio de constitucionalidad e</w:t>
            </w:r>
            <w:r w:rsidRPr="00C050D9">
              <w:rPr>
                <w:rFonts w:ascii="Times New Roman" w:hAnsi="Times New Roman"/>
                <w:bCs/>
                <w:sz w:val="28"/>
                <w:szCs w:val="24"/>
                <w:lang w:eastAsia="en-US"/>
              </w:rPr>
              <w:t>n una nueva ocasión».</w:t>
            </w:r>
            <w:r w:rsidRPr="00C050D9">
              <w:rPr>
                <w:rFonts w:ascii="Times New Roman" w:hAnsi="Times New Roman"/>
                <w:bCs/>
                <w:sz w:val="28"/>
                <w:szCs w:val="24"/>
                <w:vertAlign w:val="superscript"/>
                <w:lang w:eastAsia="en-US"/>
              </w:rPr>
              <w:footnoteReference w:id="23"/>
            </w:r>
          </w:p>
          <w:p w:rsidR="008B48AA" w:rsidRPr="00C050D9" w:rsidRDefault="00C050D9" w:rsidP="00BB7A4D">
            <w:pPr>
              <w:contextualSpacing/>
              <w:rPr>
                <w:rFonts w:ascii="Times New Roman" w:hAnsi="Times New Roman"/>
                <w:noProof/>
                <w:sz w:val="28"/>
                <w:szCs w:val="24"/>
                <w:lang w:val="es-ES_tradnl" w:eastAsia="en-US"/>
              </w:rPr>
            </w:pPr>
          </w:p>
        </w:tc>
      </w:tr>
    </w:tbl>
    <w:p w:rsidR="008B48AA" w:rsidRPr="00C050D9" w:rsidRDefault="00C050D9" w:rsidP="008B48AA">
      <w:pPr>
        <w:tabs>
          <w:tab w:val="left" w:pos="426"/>
        </w:tabs>
        <w:spacing w:after="0" w:line="240" w:lineRule="auto"/>
        <w:rPr>
          <w:rFonts w:ascii="Times New Roman" w:hAnsi="Times New Roman" w:cs="Times New Roman"/>
          <w:sz w:val="28"/>
          <w:szCs w:val="28"/>
          <w:lang w:val="es-ES_tradnl"/>
        </w:rPr>
      </w:pPr>
    </w:p>
    <w:p w:rsidR="008B48AA" w:rsidRPr="00C050D9" w:rsidRDefault="00C050D9" w:rsidP="008B48AA">
      <w:pPr>
        <w:pStyle w:val="Prrafodelista"/>
        <w:numPr>
          <w:ilvl w:val="0"/>
          <w:numId w:val="3"/>
        </w:numPr>
        <w:tabs>
          <w:tab w:val="left" w:pos="426"/>
        </w:tabs>
        <w:spacing w:after="0" w:line="240" w:lineRule="auto"/>
        <w:ind w:left="0" w:firstLine="0"/>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 xml:space="preserve">Los efectos que se generan al presentarse una cosa juzgada dependen de la decisión emitida por la Sala Plena. En </w:t>
      </w:r>
      <w:r w:rsidRPr="00C050D9">
        <w:rPr>
          <w:rFonts w:ascii="Times New Roman" w:eastAsiaTheme="minorHAnsi" w:hAnsi="Times New Roman" w:cs="Times New Roman"/>
          <w:sz w:val="28"/>
          <w:szCs w:val="28"/>
          <w:lang w:eastAsia="en-US"/>
        </w:rPr>
        <w:t>el caso de que se configure la cosa juzgada formal, la decisión deberá declarar el estarse a lo resuelto en la provid</w:t>
      </w:r>
      <w:r w:rsidRPr="00C050D9">
        <w:rPr>
          <w:rFonts w:ascii="Times New Roman" w:eastAsiaTheme="minorHAnsi" w:hAnsi="Times New Roman" w:cs="Times New Roman"/>
          <w:sz w:val="28"/>
          <w:szCs w:val="28"/>
          <w:lang w:eastAsia="en-US"/>
        </w:rPr>
        <w:t>encia anterior.</w:t>
      </w:r>
      <w:r w:rsidRPr="00C050D9">
        <w:rPr>
          <w:rFonts w:ascii="Times New Roman" w:eastAsiaTheme="minorHAnsi" w:hAnsi="Times New Roman" w:cs="Times New Roman"/>
          <w:sz w:val="28"/>
          <w:vertAlign w:val="superscript"/>
          <w:lang w:eastAsia="en-US"/>
        </w:rPr>
        <w:footnoteReference w:id="24"/>
      </w:r>
      <w:r w:rsidRPr="00C050D9">
        <w:rPr>
          <w:rFonts w:ascii="Times New Roman" w:eastAsiaTheme="minorHAnsi" w:hAnsi="Times New Roman" w:cs="Times New Roman"/>
          <w:sz w:val="28"/>
          <w:szCs w:val="28"/>
          <w:lang w:eastAsia="en-US"/>
        </w:rPr>
        <w:t xml:space="preserve"> Por otra parte, la cosa juzgada absoluta se produce, en principio, en dos casos: cuando la Corte declara la inexequibilidad de una norma jurídica o luego de que se ha contrastado la norma con toda la Constitución.</w:t>
      </w:r>
      <w:r w:rsidRPr="00C050D9">
        <w:rPr>
          <w:rFonts w:ascii="Times New Roman" w:eastAsiaTheme="minorHAnsi" w:hAnsi="Times New Roman" w:cs="Times New Roman"/>
          <w:sz w:val="28"/>
          <w:vertAlign w:val="superscript"/>
          <w:lang w:eastAsia="en-US"/>
        </w:rPr>
        <w:footnoteReference w:id="25"/>
      </w:r>
      <w:r w:rsidRPr="00C050D9">
        <w:rPr>
          <w:rFonts w:ascii="Times New Roman" w:eastAsiaTheme="minorHAnsi" w:hAnsi="Times New Roman" w:cs="Times New Roman"/>
          <w:sz w:val="28"/>
          <w:szCs w:val="28"/>
          <w:lang w:eastAsia="en-US"/>
        </w:rPr>
        <w:t xml:space="preserve"> En estos eventos, la nor</w:t>
      </w:r>
      <w:r w:rsidRPr="00C050D9">
        <w:rPr>
          <w:rFonts w:ascii="Times New Roman" w:eastAsiaTheme="minorHAnsi" w:hAnsi="Times New Roman" w:cs="Times New Roman"/>
          <w:sz w:val="28"/>
          <w:szCs w:val="28"/>
          <w:lang w:eastAsia="en-US"/>
        </w:rPr>
        <w:t>ma no podrá ser objeto de un nuevo control de constitucionalidad y, por consiguiente, «la demanda que se presente con posterioridad deberá rechazarse o, en caso de haberse surtido la admisión, será necesario [dictar] un fallo en el que se esté a lo resuelt</w:t>
      </w:r>
      <w:r w:rsidRPr="00C050D9">
        <w:rPr>
          <w:rFonts w:ascii="Times New Roman" w:eastAsiaTheme="minorHAnsi" w:hAnsi="Times New Roman" w:cs="Times New Roman"/>
          <w:sz w:val="28"/>
          <w:szCs w:val="28"/>
          <w:lang w:eastAsia="en-US"/>
        </w:rPr>
        <w:t>o en la decisión anterior».</w:t>
      </w:r>
      <w:r w:rsidRPr="00C050D9">
        <w:rPr>
          <w:rFonts w:ascii="Times New Roman" w:eastAsiaTheme="minorHAnsi" w:hAnsi="Times New Roman" w:cs="Times New Roman"/>
          <w:sz w:val="28"/>
          <w:vertAlign w:val="superscript"/>
          <w:lang w:eastAsia="en-US"/>
        </w:rPr>
        <w:footnoteReference w:id="26"/>
      </w:r>
      <w:r w:rsidRPr="00C050D9">
        <w:rPr>
          <w:rFonts w:ascii="Times New Roman" w:eastAsiaTheme="minorHAnsi" w:hAnsi="Times New Roman" w:cs="Times New Roman"/>
          <w:sz w:val="28"/>
          <w:szCs w:val="28"/>
          <w:lang w:eastAsia="en-US"/>
        </w:rPr>
        <w:t xml:space="preserve"> Lo anterior, «con independencia del parámetro de constitucionalidad que desconoció la norma invalidada».</w:t>
      </w:r>
      <w:r w:rsidRPr="00C050D9">
        <w:rPr>
          <w:rFonts w:ascii="Times New Roman" w:eastAsiaTheme="minorHAnsi" w:hAnsi="Times New Roman" w:cs="Times New Roman"/>
          <w:sz w:val="28"/>
          <w:vertAlign w:val="superscript"/>
          <w:lang w:eastAsia="en-US"/>
        </w:rPr>
        <w:footnoteReference w:id="27"/>
      </w:r>
      <w:r w:rsidRPr="00C050D9">
        <w:rPr>
          <w:rFonts w:ascii="Times New Roman" w:eastAsiaTheme="minorHAnsi" w:hAnsi="Times New Roman" w:cs="Times New Roman"/>
          <w:sz w:val="28"/>
          <w:szCs w:val="28"/>
          <w:lang w:eastAsia="en-US"/>
        </w:rPr>
        <w:t xml:space="preserve"> En estas circunstancias, no resulta necesario confrontar las razones que fundamentaron la decisión previa con la demanda,</w:t>
      </w:r>
      <w:r w:rsidRPr="00C050D9">
        <w:rPr>
          <w:rFonts w:ascii="Times New Roman" w:eastAsiaTheme="minorHAnsi" w:hAnsi="Times New Roman" w:cs="Times New Roman"/>
          <w:sz w:val="28"/>
          <w:szCs w:val="28"/>
          <w:lang w:eastAsia="en-US"/>
        </w:rPr>
        <w:t xml:space="preserve"> pues el texto legal ya no forma parte del ordenamiento jurídico. Como es lógico, esto impide un nuevo juicio de constitucionalidad.</w:t>
      </w:r>
      <w:r w:rsidRPr="00C050D9">
        <w:rPr>
          <w:rFonts w:ascii="Times New Roman" w:eastAsiaTheme="minorHAnsi" w:hAnsi="Times New Roman" w:cs="Times New Roman"/>
          <w:sz w:val="28"/>
          <w:vertAlign w:val="superscript"/>
          <w:lang w:eastAsia="en-US"/>
        </w:rPr>
        <w:footnoteReference w:id="28"/>
      </w:r>
      <w:r w:rsidRPr="00C050D9">
        <w:rPr>
          <w:rFonts w:ascii="Times New Roman" w:eastAsiaTheme="minorHAnsi" w:hAnsi="Times New Roman" w:cs="Times New Roman"/>
          <w:sz w:val="28"/>
          <w:szCs w:val="28"/>
          <w:lang w:eastAsia="en-US"/>
        </w:rPr>
        <w:t xml:space="preserve"> </w:t>
      </w:r>
    </w:p>
    <w:p w:rsidR="008B48AA" w:rsidRPr="00C050D9" w:rsidRDefault="00C050D9" w:rsidP="008B48AA">
      <w:pPr>
        <w:pStyle w:val="Prrafodelista"/>
        <w:tabs>
          <w:tab w:val="left" w:pos="426"/>
        </w:tabs>
        <w:spacing w:after="0" w:line="240" w:lineRule="auto"/>
        <w:ind w:left="0"/>
        <w:rPr>
          <w:rFonts w:ascii="Times New Roman" w:eastAsiaTheme="minorHAnsi" w:hAnsi="Times New Roman" w:cs="Times New Roman"/>
          <w:sz w:val="28"/>
          <w:szCs w:val="28"/>
          <w:lang w:eastAsia="en-US"/>
        </w:rPr>
      </w:pPr>
    </w:p>
    <w:p w:rsidR="008B48AA" w:rsidRPr="00C050D9" w:rsidRDefault="00C050D9" w:rsidP="008B48AA">
      <w:pPr>
        <w:pStyle w:val="Prrafodelista"/>
        <w:numPr>
          <w:ilvl w:val="0"/>
          <w:numId w:val="3"/>
        </w:numPr>
        <w:tabs>
          <w:tab w:val="left" w:pos="426"/>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lang w:eastAsia="en-US"/>
        </w:rPr>
        <w:t>Por el contrario, la cosa juzgada relativa se presenta cuando en la sentencia previa, que declara la inexequibilidad par</w:t>
      </w:r>
      <w:r w:rsidRPr="00C050D9">
        <w:rPr>
          <w:rFonts w:ascii="Times New Roman" w:eastAsiaTheme="minorHAnsi" w:hAnsi="Times New Roman" w:cs="Times New Roman"/>
          <w:sz w:val="28"/>
          <w:szCs w:val="28"/>
          <w:lang w:eastAsia="en-US"/>
        </w:rPr>
        <w:t>cial o exequibilidad de la norma, se analizaron únicamente los cargos de inconstitucionalidad propuestos. Este tipo de decisión deja abierta la posibilidad de formular un cargo distinto al examinado en la providencia anterior.</w:t>
      </w:r>
      <w:r w:rsidRPr="00C050D9">
        <w:rPr>
          <w:rFonts w:ascii="Times New Roman" w:eastAsiaTheme="minorHAnsi" w:hAnsi="Times New Roman" w:cs="Times New Roman"/>
          <w:sz w:val="28"/>
          <w:vertAlign w:val="superscript"/>
          <w:lang w:eastAsia="en-US"/>
        </w:rPr>
        <w:footnoteReference w:id="29"/>
      </w:r>
      <w:r w:rsidRPr="00C050D9">
        <w:rPr>
          <w:rFonts w:ascii="Times New Roman" w:eastAsiaTheme="minorHAnsi" w:hAnsi="Times New Roman" w:cs="Times New Roman"/>
          <w:sz w:val="28"/>
          <w:szCs w:val="28"/>
          <w:lang w:eastAsia="en-US"/>
        </w:rPr>
        <w:t xml:space="preserve"> No obstante, si la decisión </w:t>
      </w:r>
      <w:r w:rsidRPr="00C050D9">
        <w:rPr>
          <w:rFonts w:ascii="Times New Roman" w:eastAsiaTheme="minorHAnsi" w:hAnsi="Times New Roman" w:cs="Times New Roman"/>
          <w:sz w:val="28"/>
          <w:szCs w:val="28"/>
          <w:lang w:eastAsia="en-US"/>
        </w:rPr>
        <w:t>previa declaró la exequibilidad de la norma con base en el mismo cargo planteado en la demanda, «en principio, la Corte deberá estarse a lo resuelto en aquella providencia para garantizar la seguridad jurídica de sus decisiones»</w:t>
      </w:r>
      <w:r w:rsidRPr="00C050D9">
        <w:rPr>
          <w:rFonts w:ascii="Times New Roman" w:eastAsiaTheme="minorHAnsi" w:hAnsi="Times New Roman" w:cs="Times New Roman"/>
          <w:sz w:val="28"/>
          <w:vertAlign w:val="superscript"/>
          <w:lang w:eastAsia="en-US"/>
        </w:rPr>
        <w:footnoteReference w:id="30"/>
      </w:r>
      <w:r w:rsidRPr="00C050D9">
        <w:rPr>
          <w:rFonts w:ascii="Times New Roman" w:eastAsiaTheme="minorHAnsi" w:hAnsi="Times New Roman" w:cs="Times New Roman"/>
          <w:sz w:val="28"/>
          <w:szCs w:val="28"/>
          <w:lang w:eastAsia="en-US"/>
        </w:rPr>
        <w:t xml:space="preserve">. </w:t>
      </w:r>
    </w:p>
    <w:p w:rsidR="008B48AA" w:rsidRPr="00C050D9" w:rsidRDefault="00C050D9" w:rsidP="008B48AA">
      <w:pPr>
        <w:pStyle w:val="Prrafodelista"/>
        <w:rPr>
          <w:rFonts w:ascii="Times New Roman" w:eastAsiaTheme="minorHAnsi" w:hAnsi="Times New Roman" w:cs="Times New Roman"/>
          <w:sz w:val="28"/>
          <w:szCs w:val="28"/>
          <w:lang w:eastAsia="en-US"/>
        </w:rPr>
      </w:pPr>
    </w:p>
    <w:p w:rsidR="008B48AA" w:rsidRPr="00C050D9" w:rsidRDefault="00C050D9" w:rsidP="008B48AA">
      <w:pPr>
        <w:pStyle w:val="Prrafodelista"/>
        <w:numPr>
          <w:ilvl w:val="0"/>
          <w:numId w:val="3"/>
        </w:numPr>
        <w:tabs>
          <w:tab w:val="left" w:pos="426"/>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lang w:eastAsia="en-US"/>
        </w:rPr>
        <w:t>Finalmente es preciso r</w:t>
      </w:r>
      <w:r w:rsidRPr="00C050D9">
        <w:rPr>
          <w:rFonts w:ascii="Times New Roman" w:eastAsiaTheme="minorHAnsi" w:hAnsi="Times New Roman" w:cs="Times New Roman"/>
          <w:sz w:val="28"/>
          <w:szCs w:val="28"/>
          <w:lang w:eastAsia="en-US"/>
        </w:rPr>
        <w:t>ecordar que la Sala Plena ha identificado tres supuestos excepcionales que debilitan la cosa juzgada constitucional y, a su vez, habilitan a la Corte a emitir un nuevo pronunciamiento. Estos son: «</w:t>
      </w:r>
      <w:r w:rsidRPr="00C050D9">
        <w:rPr>
          <w:rFonts w:ascii="Times New Roman" w:eastAsiaTheme="minorHAnsi" w:hAnsi="Times New Roman" w:cs="Times New Roman"/>
          <w:i/>
          <w:iCs/>
          <w:sz w:val="28"/>
          <w:szCs w:val="28"/>
          <w:lang w:eastAsia="en-US"/>
        </w:rPr>
        <w:t>i)</w:t>
      </w:r>
      <w:r w:rsidRPr="00C050D9">
        <w:rPr>
          <w:rFonts w:ascii="Times New Roman" w:eastAsiaTheme="minorHAnsi" w:hAnsi="Times New Roman" w:cs="Times New Roman"/>
          <w:sz w:val="28"/>
          <w:szCs w:val="28"/>
          <w:lang w:eastAsia="en-US"/>
        </w:rPr>
        <w:t xml:space="preserve"> la modificación del parámetro de control, lo cual sucede cuando se aprueban reformas constitucionales;</w:t>
      </w:r>
      <w:r w:rsidRPr="00C050D9">
        <w:rPr>
          <w:rFonts w:ascii="Times New Roman" w:eastAsia="SimSun" w:hAnsi="Times New Roman" w:cs="Times New Roman"/>
          <w:sz w:val="28"/>
          <w:shd w:val="clear" w:color="auto" w:fill="FFFFFF"/>
          <w:vertAlign w:val="superscript"/>
          <w:lang w:eastAsia="en-US"/>
        </w:rPr>
        <w:footnoteReference w:id="31"/>
      </w:r>
      <w:r w:rsidRPr="00C050D9">
        <w:rPr>
          <w:rFonts w:ascii="Times New Roman" w:eastAsiaTheme="minorHAnsi" w:hAnsi="Times New Roman" w:cs="Times New Roman"/>
          <w:sz w:val="28"/>
          <w:szCs w:val="28"/>
          <w:lang w:eastAsia="en-US"/>
        </w:rPr>
        <w:t xml:space="preserve"> </w:t>
      </w:r>
      <w:r w:rsidRPr="00C050D9">
        <w:rPr>
          <w:rFonts w:ascii="Times New Roman" w:eastAsiaTheme="minorHAnsi" w:hAnsi="Times New Roman" w:cs="Times New Roman"/>
          <w:i/>
          <w:iCs/>
          <w:sz w:val="28"/>
          <w:szCs w:val="28"/>
          <w:lang w:eastAsia="en-US"/>
        </w:rPr>
        <w:t>ii)</w:t>
      </w:r>
      <w:r w:rsidRPr="00C050D9">
        <w:rPr>
          <w:rFonts w:ascii="Times New Roman" w:eastAsiaTheme="minorHAnsi" w:hAnsi="Times New Roman" w:cs="Times New Roman"/>
          <w:sz w:val="28"/>
          <w:szCs w:val="28"/>
          <w:lang w:eastAsia="en-US"/>
        </w:rPr>
        <w:t xml:space="preserve"> el cambio en el significado material de la Constitución, que se relaciona con modificaciones en el “carácter dinámico de la Carta”</w:t>
      </w:r>
      <w:r w:rsidRPr="00C050D9">
        <w:rPr>
          <w:rFonts w:ascii="Times New Roman" w:eastAsia="SimSun" w:hAnsi="Times New Roman" w:cs="Times New Roman"/>
          <w:sz w:val="28"/>
          <w:shd w:val="clear" w:color="auto" w:fill="FFFFFF"/>
          <w:vertAlign w:val="superscript"/>
          <w:lang w:eastAsia="en-US"/>
        </w:rPr>
        <w:footnoteReference w:id="32"/>
      </w:r>
      <w:r w:rsidRPr="00C050D9">
        <w:rPr>
          <w:rFonts w:ascii="Times New Roman" w:eastAsiaTheme="minorHAnsi" w:hAnsi="Times New Roman" w:cs="Times New Roman"/>
          <w:sz w:val="28"/>
          <w:szCs w:val="28"/>
          <w:lang w:eastAsia="en-US"/>
        </w:rPr>
        <w:t xml:space="preserve"> y </w:t>
      </w:r>
      <w:r w:rsidRPr="00C050D9">
        <w:rPr>
          <w:rFonts w:ascii="Times New Roman" w:eastAsiaTheme="minorHAnsi" w:hAnsi="Times New Roman" w:cs="Times New Roman"/>
          <w:i/>
          <w:iCs/>
          <w:sz w:val="28"/>
          <w:szCs w:val="28"/>
          <w:lang w:eastAsia="en-US"/>
        </w:rPr>
        <w:t>iii)</w:t>
      </w:r>
      <w:r w:rsidRPr="00C050D9">
        <w:rPr>
          <w:rFonts w:ascii="Times New Roman" w:eastAsiaTheme="minorHAnsi" w:hAnsi="Times New Roman" w:cs="Times New Roman"/>
          <w:sz w:val="28"/>
          <w:szCs w:val="28"/>
          <w:lang w:eastAsia="en-US"/>
        </w:rPr>
        <w:t xml:space="preserve"> la varia</w:t>
      </w:r>
      <w:r w:rsidRPr="00C050D9">
        <w:rPr>
          <w:rFonts w:ascii="Times New Roman" w:eastAsiaTheme="minorHAnsi" w:hAnsi="Times New Roman" w:cs="Times New Roman"/>
          <w:sz w:val="28"/>
          <w:szCs w:val="28"/>
          <w:lang w:eastAsia="en-US"/>
        </w:rPr>
        <w:t>ción del contexto normativo de la disposición o norma objeto de control, caso en el cual es necesario llevar a cabo una nueva ponderación de principios constitucionales</w:t>
      </w:r>
      <w:r w:rsidRPr="00C050D9">
        <w:rPr>
          <w:rFonts w:ascii="Times New Roman" w:eastAsia="SimSun" w:hAnsi="Times New Roman" w:cs="Times New Roman"/>
          <w:sz w:val="28"/>
          <w:shd w:val="clear" w:color="auto" w:fill="FFFFFF"/>
          <w:vertAlign w:val="superscript"/>
          <w:lang w:eastAsia="en-US"/>
        </w:rPr>
        <w:footnoteReference w:id="33"/>
      </w:r>
      <w:r w:rsidRPr="00C050D9">
        <w:rPr>
          <w:rFonts w:ascii="Times New Roman" w:eastAsiaTheme="minorHAnsi" w:hAnsi="Times New Roman" w:cs="Times New Roman"/>
          <w:sz w:val="28"/>
          <w:szCs w:val="28"/>
          <w:lang w:eastAsia="en-US"/>
        </w:rPr>
        <w:t>»</w:t>
      </w:r>
      <w:r w:rsidRPr="00C050D9">
        <w:rPr>
          <w:rFonts w:ascii="Times New Roman" w:eastAsiaTheme="minorHAnsi" w:hAnsi="Times New Roman" w:cs="Times New Roman"/>
          <w:sz w:val="28"/>
          <w:vertAlign w:val="superscript"/>
          <w:lang w:eastAsia="en-US"/>
        </w:rPr>
        <w:footnoteReference w:id="34"/>
      </w:r>
      <w:r w:rsidRPr="00C050D9">
        <w:rPr>
          <w:rFonts w:ascii="Times New Roman" w:eastAsiaTheme="minorHAnsi" w:hAnsi="Times New Roman" w:cs="Times New Roman"/>
          <w:sz w:val="28"/>
          <w:szCs w:val="28"/>
          <w:lang w:eastAsia="en-US"/>
        </w:rPr>
        <w:t xml:space="preserve">.  </w:t>
      </w:r>
    </w:p>
    <w:p w:rsidR="007E30F7" w:rsidRPr="00C050D9" w:rsidRDefault="00C050D9" w:rsidP="007E30F7">
      <w:pPr>
        <w:pStyle w:val="Prrafodelista"/>
        <w:rPr>
          <w:rFonts w:ascii="Times New Roman" w:eastAsiaTheme="minorHAnsi" w:hAnsi="Times New Roman" w:cs="Times New Roman"/>
          <w:sz w:val="28"/>
          <w:szCs w:val="28"/>
          <w:lang w:eastAsia="en-US"/>
        </w:rPr>
      </w:pPr>
    </w:p>
    <w:p w:rsidR="007E30F7" w:rsidRPr="00C050D9" w:rsidRDefault="00C050D9" w:rsidP="007E30F7">
      <w:pPr>
        <w:pStyle w:val="Prrafodelista"/>
        <w:tabs>
          <w:tab w:val="left" w:pos="426"/>
        </w:tabs>
        <w:spacing w:after="0" w:line="240" w:lineRule="auto"/>
        <w:ind w:left="0"/>
        <w:rPr>
          <w:rFonts w:ascii="Times New Roman" w:eastAsiaTheme="minorHAnsi" w:hAnsi="Times New Roman" w:cs="Times New Roman"/>
          <w:b/>
          <w:i/>
          <w:sz w:val="28"/>
          <w:szCs w:val="28"/>
          <w:lang w:eastAsia="en-US"/>
        </w:rPr>
      </w:pPr>
      <w:r w:rsidRPr="00C050D9">
        <w:rPr>
          <w:rFonts w:ascii="Times New Roman" w:eastAsiaTheme="minorHAnsi" w:hAnsi="Times New Roman" w:cs="Times New Roman"/>
          <w:b/>
          <w:i/>
          <w:sz w:val="28"/>
          <w:szCs w:val="28"/>
          <w:lang w:eastAsia="en-US"/>
        </w:rPr>
        <w:t>En el asunto bajo estudio se configuró la cosa juzgada en relación con los cargo</w:t>
      </w:r>
      <w:r w:rsidRPr="00C050D9">
        <w:rPr>
          <w:rFonts w:ascii="Times New Roman" w:eastAsiaTheme="minorHAnsi" w:hAnsi="Times New Roman" w:cs="Times New Roman"/>
          <w:b/>
          <w:i/>
          <w:sz w:val="28"/>
          <w:szCs w:val="28"/>
          <w:lang w:eastAsia="en-US"/>
        </w:rPr>
        <w:t>s dirigidos contra los artículos 42 y 44 (parciales) de la Ley 2277 de 2022</w:t>
      </w:r>
    </w:p>
    <w:p w:rsidR="008B48AA" w:rsidRPr="00C050D9" w:rsidRDefault="00C050D9" w:rsidP="008B48AA">
      <w:pPr>
        <w:pStyle w:val="Prrafodelista"/>
        <w:rPr>
          <w:rFonts w:ascii="Times New Roman" w:eastAsiaTheme="minorHAnsi" w:hAnsi="Times New Roman" w:cs="Times New Roman"/>
          <w:sz w:val="28"/>
          <w:szCs w:val="28"/>
          <w:lang w:eastAsia="en-US"/>
        </w:rPr>
      </w:pPr>
    </w:p>
    <w:p w:rsidR="008B48AA" w:rsidRPr="00C050D9" w:rsidRDefault="00C050D9" w:rsidP="008B48AA">
      <w:pPr>
        <w:pStyle w:val="Prrafodelista"/>
        <w:numPr>
          <w:ilvl w:val="0"/>
          <w:numId w:val="3"/>
        </w:numPr>
        <w:tabs>
          <w:tab w:val="left" w:pos="426"/>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lang w:eastAsia="en-US"/>
        </w:rPr>
        <w:t xml:space="preserve">Con sustento en lo sostenido hasta aquí, la Sala Plena encuentra que debe estarse a lo resuelto en la citada sentencia C-540 de 2023 (D-15.211), en virtud de la configuración de la cosa juzgada formal y absoluta. Como ya se advirtió, en esa providencia la </w:t>
      </w:r>
      <w:r w:rsidRPr="00C050D9">
        <w:rPr>
          <w:rFonts w:ascii="Times New Roman" w:eastAsiaTheme="minorHAnsi" w:hAnsi="Times New Roman" w:cs="Times New Roman"/>
          <w:sz w:val="28"/>
          <w:szCs w:val="28"/>
          <w:lang w:eastAsia="en-US"/>
        </w:rPr>
        <w:t xml:space="preserve">Corte declaró la inexequibilidad </w:t>
      </w:r>
      <w:r w:rsidRPr="00C050D9">
        <w:rPr>
          <w:rFonts w:ascii="Times New Roman" w:eastAsiaTheme="minorHAnsi" w:hAnsi="Times New Roman" w:cs="Times New Roman"/>
          <w:sz w:val="28"/>
          <w:szCs w:val="28"/>
          <w:shd w:val="clear" w:color="auto" w:fill="FFFFFF"/>
          <w:lang w:eastAsia="en-US"/>
        </w:rPr>
        <w:t>del primer inciso del</w:t>
      </w:r>
      <w:r w:rsidRPr="00C050D9">
        <w:rPr>
          <w:rFonts w:ascii="Times New Roman" w:eastAsiaTheme="minorHAnsi" w:hAnsi="Times New Roman" w:cs="Times New Roman"/>
          <w:sz w:val="28"/>
          <w:szCs w:val="28"/>
          <w:shd w:val="clear" w:color="auto" w:fill="FFFFFF"/>
          <w:lang w:val="es-ES_tradnl" w:eastAsia="en-US"/>
        </w:rPr>
        <w:t xml:space="preserve"> artículo 42 y los numerales 4 y 5 del inciso y del parágrafo cuarto del artículo 44 de la Ley 2277 de 2022 «por medio de la cual se adopta una reforma tributaria para la igualdad y la justicia social y</w:t>
      </w:r>
      <w:r w:rsidRPr="00C050D9">
        <w:rPr>
          <w:rFonts w:ascii="Times New Roman" w:eastAsiaTheme="minorHAnsi" w:hAnsi="Times New Roman" w:cs="Times New Roman"/>
          <w:sz w:val="28"/>
          <w:szCs w:val="28"/>
          <w:shd w:val="clear" w:color="auto" w:fill="FFFFFF"/>
          <w:lang w:val="es-ES_tradnl" w:eastAsia="en-US"/>
        </w:rPr>
        <w:t xml:space="preserve"> se dictan otras disposiciones».</w:t>
      </w:r>
    </w:p>
    <w:p w:rsidR="008B48AA" w:rsidRPr="00C050D9" w:rsidRDefault="00C050D9" w:rsidP="007717EE">
      <w:pPr>
        <w:rPr>
          <w:rFonts w:ascii="Times New Roman" w:eastAsiaTheme="minorHAnsi" w:hAnsi="Times New Roman" w:cs="Times New Roman"/>
          <w:sz w:val="28"/>
          <w:szCs w:val="28"/>
          <w:shd w:val="clear" w:color="auto" w:fill="FFFFFF"/>
          <w:lang w:eastAsia="en-US"/>
        </w:rPr>
      </w:pPr>
    </w:p>
    <w:p w:rsidR="007717EE" w:rsidRPr="00C050D9" w:rsidRDefault="00C050D9" w:rsidP="007717EE">
      <w:pPr>
        <w:pStyle w:val="Prrafodelista"/>
        <w:numPr>
          <w:ilvl w:val="0"/>
          <w:numId w:val="3"/>
        </w:numPr>
        <w:tabs>
          <w:tab w:val="left" w:pos="426"/>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shd w:val="clear" w:color="auto" w:fill="FFFFFF"/>
          <w:lang w:eastAsia="en-US"/>
        </w:rPr>
        <w:t xml:space="preserve">La Sala Plena de la Corte Constitucional en aquella oportunidad encontró que </w:t>
      </w:r>
      <w:r w:rsidRPr="00C050D9">
        <w:rPr>
          <w:rFonts w:ascii="Times New Roman" w:eastAsiaTheme="minorHAnsi" w:hAnsi="Times New Roman" w:cs="Times New Roman"/>
          <w:sz w:val="28"/>
          <w:szCs w:val="28"/>
          <w:shd w:val="clear" w:color="auto" w:fill="FFFFFF"/>
          <w:lang w:val="es-ES" w:eastAsia="en-US"/>
        </w:rPr>
        <w:t xml:space="preserve">el criterio que planteó el Gobierno y el legislador para separar las profesiones liberales y adoptar dos grupos distintos no cuenta con una </w:t>
      </w:r>
      <w:r w:rsidRPr="00C050D9">
        <w:rPr>
          <w:rFonts w:ascii="Times New Roman" w:eastAsiaTheme="minorHAnsi" w:hAnsi="Times New Roman" w:cs="Times New Roman"/>
          <w:sz w:val="28"/>
          <w:szCs w:val="28"/>
          <w:shd w:val="clear" w:color="auto" w:fill="FFFFFF"/>
          <w:lang w:val="es-ES" w:eastAsia="en-US"/>
        </w:rPr>
        <w:t>justificación sólida y suficiente, y por tanto, se torna arbitraria la medida</w:t>
      </w:r>
      <w:r w:rsidRPr="00C050D9">
        <w:rPr>
          <w:rFonts w:ascii="Times New Roman" w:eastAsiaTheme="minorHAnsi" w:hAnsi="Times New Roman" w:cs="Times New Roman"/>
          <w:i/>
          <w:sz w:val="28"/>
          <w:szCs w:val="28"/>
          <w:shd w:val="clear" w:color="auto" w:fill="FFFFFF"/>
          <w:lang w:val="es-ES" w:eastAsia="en-US"/>
        </w:rPr>
        <w:t xml:space="preserve">. </w:t>
      </w:r>
      <w:r w:rsidRPr="00C050D9">
        <w:rPr>
          <w:rFonts w:ascii="Times New Roman" w:eastAsiaTheme="minorHAnsi" w:hAnsi="Times New Roman" w:cs="Times New Roman"/>
          <w:sz w:val="28"/>
          <w:szCs w:val="28"/>
          <w:shd w:val="clear" w:color="auto" w:fill="FFFFFF"/>
          <w:lang w:val="es-ES" w:eastAsia="en-US"/>
        </w:rPr>
        <w:t>Los grupos 4 y 5 de contribuyentes del RST están integrados por sujetos pasivos tan disímiles en cuanto a su estructura de costos, que el fundamento utilizado para justificar el</w:t>
      </w:r>
      <w:r w:rsidRPr="00C050D9">
        <w:rPr>
          <w:rFonts w:ascii="Times New Roman" w:eastAsiaTheme="minorHAnsi" w:hAnsi="Times New Roman" w:cs="Times New Roman"/>
          <w:sz w:val="28"/>
          <w:szCs w:val="28"/>
          <w:shd w:val="clear" w:color="auto" w:fill="FFFFFF"/>
          <w:lang w:val="es-ES" w:eastAsia="en-US"/>
        </w:rPr>
        <w:t xml:space="preserve"> agrupamiento separado es caprichoso y arbitrario, tratándose de profesionales liberales igualmente valiosas para la sociedad. Del mismo modo, en aquella oportunidad la Corte presentó algunos ejemplos entre las actividades económicas de cada uno de los gru</w:t>
      </w:r>
      <w:r w:rsidRPr="00C050D9">
        <w:rPr>
          <w:rFonts w:ascii="Times New Roman" w:eastAsiaTheme="minorHAnsi" w:hAnsi="Times New Roman" w:cs="Times New Roman"/>
          <w:sz w:val="28"/>
          <w:szCs w:val="28"/>
          <w:shd w:val="clear" w:color="auto" w:fill="FFFFFF"/>
          <w:lang w:val="es-ES" w:eastAsia="en-US"/>
        </w:rPr>
        <w:t>pos distinguidos y concluyó que,</w:t>
      </w:r>
    </w:p>
    <w:p w:rsidR="007717EE" w:rsidRPr="00C050D9" w:rsidRDefault="00C050D9" w:rsidP="007717EE">
      <w:pPr>
        <w:pStyle w:val="Prrafodelista"/>
        <w:tabs>
          <w:tab w:val="left" w:pos="426"/>
        </w:tabs>
        <w:spacing w:after="0" w:line="240" w:lineRule="auto"/>
        <w:ind w:left="0"/>
        <w:rPr>
          <w:rFonts w:ascii="Times New Roman" w:eastAsiaTheme="minorHAnsi" w:hAnsi="Times New Roman" w:cs="Times New Roman"/>
          <w:sz w:val="28"/>
          <w:szCs w:val="28"/>
          <w:shd w:val="clear" w:color="auto" w:fill="FFFFFF"/>
          <w:lang w:val="es-ES" w:eastAsia="en-US"/>
        </w:rPr>
      </w:pPr>
    </w:p>
    <w:p w:rsidR="007717EE" w:rsidRPr="00C050D9" w:rsidRDefault="00C050D9" w:rsidP="007717EE">
      <w:pPr>
        <w:pStyle w:val="Prrafodelista"/>
        <w:tabs>
          <w:tab w:val="left" w:pos="426"/>
        </w:tabs>
        <w:spacing w:after="0" w:line="240" w:lineRule="auto"/>
        <w:ind w:left="851" w:right="567"/>
        <w:rPr>
          <w:rFonts w:ascii="Times New Roman" w:eastAsiaTheme="minorHAnsi" w:hAnsi="Times New Roman" w:cs="Times New Roman"/>
          <w:sz w:val="28"/>
          <w:szCs w:val="26"/>
          <w:lang w:eastAsia="en-US"/>
        </w:rPr>
      </w:pPr>
      <w:r w:rsidRPr="00C050D9">
        <w:rPr>
          <w:rFonts w:ascii="Times New Roman" w:eastAsiaTheme="minorHAnsi" w:hAnsi="Times New Roman" w:cs="Times New Roman"/>
          <w:sz w:val="28"/>
          <w:szCs w:val="26"/>
          <w:shd w:val="clear" w:color="auto" w:fill="FFFFFF"/>
          <w:lang w:val="es-ES" w:eastAsia="en-US"/>
        </w:rPr>
        <w:t>«(…) la estructura de costos como criterio para separar y establecer un trato diferente entre el universo de profesiones liberales no atiende a las realidades económicas del grupo objeto de análisis. Como puede verse, incl</w:t>
      </w:r>
      <w:r w:rsidRPr="00C050D9">
        <w:rPr>
          <w:rFonts w:ascii="Times New Roman" w:eastAsiaTheme="minorHAnsi" w:hAnsi="Times New Roman" w:cs="Times New Roman"/>
          <w:sz w:val="28"/>
          <w:szCs w:val="26"/>
          <w:shd w:val="clear" w:color="auto" w:fill="FFFFFF"/>
          <w:lang w:val="es-ES" w:eastAsia="en-US"/>
        </w:rPr>
        <w:t>uso entre las actividades económicas que se desempeñan al interior de cada grupo existen grandes diferencias, pues también depende de la forma en la que se ejerce la profesión, si es a través de personas naturales o jurídicas, por ejemplo. Así, la Sala con</w:t>
      </w:r>
      <w:r w:rsidRPr="00C050D9">
        <w:rPr>
          <w:rFonts w:ascii="Times New Roman" w:eastAsiaTheme="minorHAnsi" w:hAnsi="Times New Roman" w:cs="Times New Roman"/>
          <w:sz w:val="28"/>
          <w:szCs w:val="26"/>
          <w:shd w:val="clear" w:color="auto" w:fill="FFFFFF"/>
          <w:lang w:val="es-ES" w:eastAsia="en-US"/>
        </w:rPr>
        <w:t>sidera que los grupos 4 y 5 no pueden ser comparables por cuanto las personas naturales y jurídicas que forman parte de cada grupo y ejercen profesiones liberales son, dentro de su respectivo grupo, manifiestamente disimiles y no comparten la misma estruct</w:t>
      </w:r>
      <w:r w:rsidRPr="00C050D9">
        <w:rPr>
          <w:rFonts w:ascii="Times New Roman" w:eastAsiaTheme="minorHAnsi" w:hAnsi="Times New Roman" w:cs="Times New Roman"/>
          <w:sz w:val="28"/>
          <w:szCs w:val="26"/>
          <w:shd w:val="clear" w:color="auto" w:fill="FFFFFF"/>
          <w:lang w:val="es-ES" w:eastAsia="en-US"/>
        </w:rPr>
        <w:t>ura de costos, de manera que puedan ser asimiladas entre sí para la construcción de las condiciones en las que podrían acceder al RST, a pesar de que todas ellas ejercen profesiones igualmente valiosas para la sociedad».</w:t>
      </w:r>
    </w:p>
    <w:p w:rsidR="007717EE" w:rsidRPr="00C050D9" w:rsidRDefault="00C050D9" w:rsidP="007717EE">
      <w:pPr>
        <w:spacing w:after="0" w:line="240" w:lineRule="auto"/>
        <w:rPr>
          <w:rFonts w:ascii="Times New Roman" w:eastAsiaTheme="minorHAnsi" w:hAnsi="Times New Roman" w:cs="Times New Roman"/>
          <w:sz w:val="28"/>
          <w:szCs w:val="28"/>
          <w:shd w:val="clear" w:color="auto" w:fill="FFFFFF"/>
          <w:lang w:val="es-ES" w:eastAsia="en-US"/>
        </w:rPr>
      </w:pPr>
    </w:p>
    <w:p w:rsidR="007717EE" w:rsidRPr="00C050D9" w:rsidRDefault="00C050D9" w:rsidP="007717EE">
      <w:pPr>
        <w:pStyle w:val="Prrafodelista"/>
        <w:numPr>
          <w:ilvl w:val="0"/>
          <w:numId w:val="3"/>
        </w:numPr>
        <w:tabs>
          <w:tab w:val="left" w:pos="426"/>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shd w:val="clear" w:color="auto" w:fill="FFFFFF"/>
          <w:lang w:eastAsia="en-US"/>
        </w:rPr>
        <w:t>La Sala señaló que, d</w:t>
      </w:r>
      <w:r w:rsidRPr="00C050D9">
        <w:rPr>
          <w:rFonts w:ascii="Times New Roman" w:eastAsiaTheme="minorHAnsi" w:hAnsi="Times New Roman" w:cs="Times New Roman"/>
          <w:iCs/>
          <w:sz w:val="28"/>
          <w:szCs w:val="28"/>
          <w:shd w:val="clear" w:color="auto" w:fill="FFFFFF"/>
          <w:lang w:val="es-ES" w:eastAsia="en-US"/>
        </w:rPr>
        <w:t xml:space="preserve">e conformidad con las normas demandadas, el límite de ingresos para optar por el RST y las tarifas aplicables son más exigentes para el </w:t>
      </w:r>
      <w:r w:rsidRPr="00C050D9">
        <w:rPr>
          <w:rFonts w:ascii="Times New Roman" w:eastAsiaTheme="minorHAnsi" w:hAnsi="Times New Roman" w:cs="Times New Roman"/>
          <w:i/>
          <w:sz w:val="28"/>
          <w:szCs w:val="28"/>
          <w:shd w:val="clear" w:color="auto" w:fill="FFFFFF"/>
          <w:lang w:val="es-ES" w:eastAsia="en-US"/>
        </w:rPr>
        <w:t xml:space="preserve">grupo </w:t>
      </w:r>
      <w:r w:rsidRPr="00C050D9">
        <w:rPr>
          <w:rFonts w:ascii="Times New Roman" w:eastAsiaTheme="minorHAnsi" w:hAnsi="Times New Roman" w:cs="Times New Roman"/>
          <w:iCs/>
          <w:sz w:val="28"/>
          <w:szCs w:val="28"/>
          <w:shd w:val="clear" w:color="auto" w:fill="FFFFFF"/>
          <w:lang w:val="es-ES" w:eastAsia="en-US"/>
        </w:rPr>
        <w:t xml:space="preserve">5, en comparación con el </w:t>
      </w:r>
      <w:r w:rsidRPr="00C050D9">
        <w:rPr>
          <w:rFonts w:ascii="Times New Roman" w:eastAsiaTheme="minorHAnsi" w:hAnsi="Times New Roman" w:cs="Times New Roman"/>
          <w:i/>
          <w:sz w:val="28"/>
          <w:szCs w:val="28"/>
          <w:shd w:val="clear" w:color="auto" w:fill="FFFFFF"/>
          <w:lang w:val="es-ES" w:eastAsia="en-US"/>
        </w:rPr>
        <w:t>grupo 4</w:t>
      </w:r>
      <w:r w:rsidRPr="00C050D9">
        <w:rPr>
          <w:rFonts w:ascii="Times New Roman" w:eastAsiaTheme="minorHAnsi" w:hAnsi="Times New Roman" w:cs="Times New Roman"/>
          <w:iCs/>
          <w:sz w:val="28"/>
          <w:szCs w:val="28"/>
          <w:shd w:val="clear" w:color="auto" w:fill="FFFFFF"/>
          <w:lang w:val="es-ES" w:eastAsia="en-US"/>
        </w:rPr>
        <w:t>, sin que los contribuyentes de cada uno de estos grupos sean comparables entre sí</w:t>
      </w:r>
      <w:r w:rsidRPr="00C050D9">
        <w:rPr>
          <w:rFonts w:ascii="Times New Roman" w:eastAsiaTheme="minorHAnsi" w:hAnsi="Times New Roman" w:cs="Times New Roman"/>
          <w:iCs/>
          <w:sz w:val="28"/>
          <w:szCs w:val="28"/>
          <w:shd w:val="clear" w:color="auto" w:fill="FFFFFF"/>
          <w:lang w:val="es-ES" w:eastAsia="en-US"/>
        </w:rPr>
        <w:t xml:space="preserve">, ni que las diferencias de trato se justifiquen respecto de todos los sujetos que integran estos dos grupos. </w:t>
      </w:r>
      <w:r w:rsidRPr="00C050D9">
        <w:rPr>
          <w:rFonts w:ascii="Times New Roman" w:eastAsiaTheme="minorHAnsi" w:hAnsi="Times New Roman" w:cs="Times New Roman"/>
          <w:sz w:val="28"/>
          <w:szCs w:val="28"/>
          <w:shd w:val="clear" w:color="auto" w:fill="FFFFFF"/>
          <w:lang w:eastAsia="en-US"/>
        </w:rPr>
        <w:t>Así, estableció que las normas acusadas, en cuanto a los criterios de distinción, con fundamento en una estructura de costos disímil, resultaban a</w:t>
      </w:r>
      <w:r w:rsidRPr="00C050D9">
        <w:rPr>
          <w:rFonts w:ascii="Times New Roman" w:eastAsiaTheme="minorHAnsi" w:hAnsi="Times New Roman" w:cs="Times New Roman"/>
          <w:sz w:val="28"/>
          <w:szCs w:val="28"/>
          <w:shd w:val="clear" w:color="auto" w:fill="FFFFFF"/>
          <w:lang w:eastAsia="en-US"/>
        </w:rPr>
        <w:t>rbitrarias. Acorde con ello, la Sala resolvió lo siguiente:</w:t>
      </w:r>
    </w:p>
    <w:p w:rsidR="007717EE" w:rsidRPr="00C050D9" w:rsidRDefault="00C050D9" w:rsidP="007717EE">
      <w:pPr>
        <w:pStyle w:val="Prrafodelista"/>
        <w:rPr>
          <w:rFonts w:ascii="Times New Roman" w:eastAsiaTheme="minorHAnsi" w:hAnsi="Times New Roman" w:cs="Times New Roman"/>
          <w:sz w:val="28"/>
          <w:szCs w:val="28"/>
          <w:lang w:eastAsia="en-US"/>
        </w:rPr>
      </w:pPr>
    </w:p>
    <w:p w:rsidR="007717EE" w:rsidRPr="00C050D9" w:rsidRDefault="00C050D9" w:rsidP="007717EE">
      <w:pPr>
        <w:pStyle w:val="Prrafodelista"/>
        <w:spacing w:after="0" w:line="240" w:lineRule="auto"/>
        <w:ind w:left="851" w:right="567"/>
        <w:rPr>
          <w:rFonts w:ascii="Times New Roman" w:eastAsia="Century Gothic" w:hAnsi="Times New Roman" w:cs="Times New Roman"/>
          <w:color w:val="000000" w:themeColor="text1"/>
          <w:sz w:val="28"/>
          <w:szCs w:val="26"/>
          <w:lang w:eastAsia="en-US"/>
        </w:rPr>
      </w:pPr>
      <w:r w:rsidRPr="00C050D9">
        <w:rPr>
          <w:rFonts w:ascii="Times New Roman" w:eastAsiaTheme="minorHAnsi" w:hAnsi="Times New Roman" w:cs="Times New Roman"/>
          <w:sz w:val="28"/>
          <w:szCs w:val="26"/>
          <w:lang w:eastAsia="en-US"/>
        </w:rPr>
        <w:t>«</w:t>
      </w:r>
      <w:r w:rsidRPr="00C050D9">
        <w:rPr>
          <w:rFonts w:ascii="Times New Roman" w:eastAsia="Century Gothic" w:hAnsi="Times New Roman" w:cs="Times New Roman"/>
          <w:b/>
          <w:bCs/>
          <w:color w:val="000000" w:themeColor="text1"/>
          <w:sz w:val="28"/>
          <w:szCs w:val="26"/>
          <w:lang w:val="es-ES_tradnl" w:eastAsia="en-US"/>
        </w:rPr>
        <w:t>Primero</w:t>
      </w:r>
      <w:r w:rsidRPr="00C050D9">
        <w:rPr>
          <w:rFonts w:ascii="Times New Roman" w:eastAsia="Century Gothic" w:hAnsi="Times New Roman" w:cs="Times New Roman"/>
          <w:color w:val="000000" w:themeColor="text1"/>
          <w:sz w:val="28"/>
          <w:szCs w:val="26"/>
          <w:lang w:val="es-ES_tradnl" w:eastAsia="en-US"/>
        </w:rPr>
        <w:t>.</w:t>
      </w:r>
      <w:r w:rsidRPr="00C050D9">
        <w:rPr>
          <w:rFonts w:ascii="Times New Roman" w:eastAsia="Century Gothic" w:hAnsi="Times New Roman" w:cs="Times New Roman"/>
          <w:b/>
          <w:bCs/>
          <w:color w:val="000000" w:themeColor="text1"/>
          <w:sz w:val="28"/>
          <w:szCs w:val="26"/>
          <w:lang w:val="es-ES_tradnl" w:eastAsia="en-US"/>
        </w:rPr>
        <w:t>-</w:t>
      </w:r>
      <w:r w:rsidRPr="00C050D9">
        <w:rPr>
          <w:rFonts w:ascii="Times New Roman" w:eastAsia="Century Gothic" w:hAnsi="Times New Roman" w:cs="Times New Roman"/>
          <w:color w:val="000000" w:themeColor="text1"/>
          <w:sz w:val="28"/>
          <w:szCs w:val="26"/>
          <w:lang w:val="es-ES_tradnl" w:eastAsia="en-US"/>
        </w:rPr>
        <w:t xml:space="preserve"> </w:t>
      </w:r>
      <w:r w:rsidRPr="00C050D9">
        <w:rPr>
          <w:rFonts w:ascii="Times New Roman" w:eastAsia="Century Gothic" w:hAnsi="Times New Roman" w:cs="Times New Roman"/>
          <w:b/>
          <w:color w:val="000000" w:themeColor="text1"/>
          <w:sz w:val="28"/>
          <w:szCs w:val="26"/>
          <w:lang w:eastAsia="en-US"/>
        </w:rPr>
        <w:t xml:space="preserve">DECLARAR INEXEQUIBLE </w:t>
      </w:r>
      <w:r w:rsidRPr="00C050D9">
        <w:rPr>
          <w:rFonts w:ascii="Times New Roman" w:eastAsia="Century Gothic" w:hAnsi="Times New Roman" w:cs="Times New Roman"/>
          <w:color w:val="000000" w:themeColor="text1"/>
          <w:sz w:val="28"/>
          <w:szCs w:val="26"/>
          <w:lang w:eastAsia="en-US"/>
        </w:rPr>
        <w:t>el inciso 2º del numeral 2º del artículo 905 del Estatuto Tributario, adicionado por el inciso 2º del artículo 42 de la Ley 2277 de 2022. </w:t>
      </w:r>
    </w:p>
    <w:p w:rsidR="007717EE" w:rsidRPr="00C050D9" w:rsidRDefault="00C050D9" w:rsidP="007717EE">
      <w:pPr>
        <w:spacing w:after="0" w:line="240" w:lineRule="auto"/>
        <w:ind w:left="851" w:right="567"/>
        <w:rPr>
          <w:rFonts w:ascii="Times New Roman" w:eastAsiaTheme="minorHAnsi" w:hAnsi="Times New Roman" w:cs="Times New Roman"/>
          <w:color w:val="000000" w:themeColor="text1"/>
          <w:sz w:val="28"/>
          <w:szCs w:val="26"/>
          <w:lang w:eastAsia="en-US"/>
        </w:rPr>
      </w:pPr>
      <w:r w:rsidRPr="00C050D9">
        <w:rPr>
          <w:rFonts w:ascii="Times New Roman" w:eastAsiaTheme="minorHAnsi" w:hAnsi="Times New Roman" w:cs="Times New Roman"/>
          <w:color w:val="000000" w:themeColor="text1"/>
          <w:sz w:val="28"/>
          <w:szCs w:val="26"/>
          <w:lang w:eastAsia="en-US"/>
        </w:rPr>
        <w:br/>
      </w:r>
      <w:r w:rsidRPr="00C050D9">
        <w:rPr>
          <w:rFonts w:ascii="Times New Roman" w:eastAsiaTheme="minorHAnsi" w:hAnsi="Times New Roman" w:cs="Times New Roman"/>
          <w:b/>
          <w:color w:val="000000" w:themeColor="text1"/>
          <w:sz w:val="28"/>
          <w:szCs w:val="26"/>
          <w:lang w:eastAsia="en-US"/>
        </w:rPr>
        <w:t xml:space="preserve">Segundo.- DECLARAR INEXEQUIBLES </w:t>
      </w:r>
      <w:r w:rsidRPr="00C050D9">
        <w:rPr>
          <w:rFonts w:ascii="Times New Roman" w:eastAsiaTheme="minorHAnsi" w:hAnsi="Times New Roman" w:cs="Times New Roman"/>
          <w:color w:val="000000" w:themeColor="text1"/>
          <w:sz w:val="28"/>
          <w:szCs w:val="26"/>
          <w:lang w:eastAsia="en-US"/>
        </w:rPr>
        <w:t>los numerales 4º y 5º del artículo 908 del Estatuto Tributario y los numerales 4º y 5º del parágrafo 4º del artículo 908 del Estatuto Tributario, de conformidad con la modificación efectuada por el artículo 44 de la Ley 2277</w:t>
      </w:r>
      <w:r w:rsidRPr="00C050D9">
        <w:rPr>
          <w:rFonts w:ascii="Times New Roman" w:eastAsiaTheme="minorHAnsi" w:hAnsi="Times New Roman" w:cs="Times New Roman"/>
          <w:color w:val="000000" w:themeColor="text1"/>
          <w:sz w:val="28"/>
          <w:szCs w:val="26"/>
          <w:lang w:eastAsia="en-US"/>
        </w:rPr>
        <w:t xml:space="preserve"> de 2022. Como consecuencia de lo anterior, se revive el numeral 3º del artículo 42 de la Ley 2155 de 2021 que en su momento modificó el artículo 908 del Estatuto Tributario.</w:t>
      </w:r>
    </w:p>
    <w:p w:rsidR="007717EE" w:rsidRPr="00C050D9" w:rsidRDefault="00C050D9" w:rsidP="007717EE">
      <w:pPr>
        <w:spacing w:after="0" w:line="240" w:lineRule="auto"/>
        <w:ind w:left="851" w:right="567"/>
        <w:rPr>
          <w:rFonts w:ascii="Times New Roman" w:eastAsiaTheme="minorHAnsi" w:hAnsi="Times New Roman" w:cs="Times New Roman"/>
          <w:color w:val="000000" w:themeColor="text1"/>
          <w:sz w:val="28"/>
          <w:szCs w:val="26"/>
          <w:lang w:eastAsia="en-US"/>
        </w:rPr>
      </w:pPr>
      <w:r w:rsidRPr="00C050D9">
        <w:rPr>
          <w:rFonts w:ascii="Times New Roman" w:eastAsiaTheme="minorHAnsi" w:hAnsi="Times New Roman" w:cs="Times New Roman"/>
          <w:b/>
          <w:color w:val="000000" w:themeColor="text1"/>
          <w:sz w:val="28"/>
          <w:szCs w:val="26"/>
          <w:lang w:eastAsia="en-US"/>
        </w:rPr>
        <w:br/>
        <w:t xml:space="preserve">Tercero.- EXHORTAR </w:t>
      </w:r>
      <w:r w:rsidRPr="00C050D9">
        <w:rPr>
          <w:rFonts w:ascii="Times New Roman" w:eastAsiaTheme="minorHAnsi" w:hAnsi="Times New Roman" w:cs="Times New Roman"/>
          <w:color w:val="000000" w:themeColor="text1"/>
          <w:sz w:val="28"/>
          <w:szCs w:val="26"/>
          <w:lang w:eastAsia="en-US"/>
        </w:rPr>
        <w:t>al Congreso de la República para que, en caso de considerar l</w:t>
      </w:r>
      <w:r w:rsidRPr="00C050D9">
        <w:rPr>
          <w:rFonts w:ascii="Times New Roman" w:eastAsiaTheme="minorHAnsi" w:hAnsi="Times New Roman" w:cs="Times New Roman"/>
          <w:color w:val="000000" w:themeColor="text1"/>
          <w:sz w:val="28"/>
          <w:szCs w:val="26"/>
          <w:lang w:eastAsia="en-US"/>
        </w:rPr>
        <w:t xml:space="preserve">a necesidad de regular la tarifa del impuesto unificado bajo el Régimen Simple de Tributación para </w:t>
      </w:r>
      <w:r w:rsidRPr="00C050D9">
        <w:rPr>
          <w:rFonts w:ascii="Times New Roman" w:eastAsiaTheme="minorHAnsi" w:hAnsi="Times New Roman" w:cs="Times New Roman"/>
          <w:iCs/>
          <w:color w:val="000000" w:themeColor="text1"/>
          <w:sz w:val="28"/>
          <w:szCs w:val="26"/>
          <w:lang w:val="es-ES" w:eastAsia="en-US"/>
        </w:rPr>
        <w:t xml:space="preserve">quienes tienen como actividad económica la </w:t>
      </w:r>
      <w:r w:rsidRPr="00C050D9">
        <w:rPr>
          <w:rFonts w:ascii="Times New Roman" w:eastAsiaTheme="minorHAnsi" w:hAnsi="Times New Roman" w:cs="Times New Roman"/>
          <w:i/>
          <w:iCs/>
          <w:color w:val="000000" w:themeColor="text1"/>
          <w:sz w:val="28"/>
          <w:szCs w:val="26"/>
          <w:lang w:val="es-ES_tradnl" w:eastAsia="en-US"/>
        </w:rPr>
        <w:t xml:space="preserve">educación la atención de la salud humana y asistencia social </w:t>
      </w:r>
      <w:r w:rsidRPr="00C050D9">
        <w:rPr>
          <w:rFonts w:ascii="Times New Roman" w:eastAsiaTheme="minorHAnsi" w:hAnsi="Times New Roman" w:cs="Times New Roman"/>
          <w:iCs/>
          <w:color w:val="000000" w:themeColor="text1"/>
          <w:sz w:val="28"/>
          <w:szCs w:val="26"/>
          <w:lang w:val="es-ES_tradnl" w:eastAsia="en-US"/>
        </w:rPr>
        <w:t>y prestar</w:t>
      </w:r>
      <w:r w:rsidRPr="00C050D9">
        <w:rPr>
          <w:rFonts w:ascii="Times New Roman" w:eastAsiaTheme="minorHAnsi" w:hAnsi="Times New Roman" w:cs="Times New Roman"/>
          <w:i/>
          <w:iCs/>
          <w:color w:val="000000" w:themeColor="text1"/>
          <w:sz w:val="28"/>
          <w:szCs w:val="26"/>
          <w:lang w:val="es-ES" w:eastAsia="en-US"/>
        </w:rPr>
        <w:t xml:space="preserve"> </w:t>
      </w:r>
      <w:r w:rsidRPr="00C050D9">
        <w:rPr>
          <w:rFonts w:ascii="Times New Roman" w:eastAsiaTheme="minorHAnsi" w:hAnsi="Times New Roman" w:cs="Times New Roman"/>
          <w:i/>
          <w:iCs/>
          <w:color w:val="000000" w:themeColor="text1"/>
          <w:sz w:val="28"/>
          <w:szCs w:val="26"/>
          <w:lang w:val="es-ES_tradnl" w:eastAsia="en-US"/>
        </w:rPr>
        <w:t>servicios profesionales de consultoría y ci</w:t>
      </w:r>
      <w:r w:rsidRPr="00C050D9">
        <w:rPr>
          <w:rFonts w:ascii="Times New Roman" w:eastAsiaTheme="minorHAnsi" w:hAnsi="Times New Roman" w:cs="Times New Roman"/>
          <w:i/>
          <w:iCs/>
          <w:color w:val="000000" w:themeColor="text1"/>
          <w:sz w:val="28"/>
          <w:szCs w:val="26"/>
          <w:lang w:val="es-ES_tradnl" w:eastAsia="en-US"/>
        </w:rPr>
        <w:t>entíficos en los que predomine el factor intelectual sobre el material, incluidos los servicios de profesiones liberales,</w:t>
      </w:r>
      <w:r w:rsidRPr="00C050D9">
        <w:rPr>
          <w:rFonts w:ascii="Times New Roman" w:eastAsiaTheme="minorHAnsi" w:hAnsi="Times New Roman" w:cs="Times New Roman"/>
          <w:color w:val="000000" w:themeColor="text1"/>
          <w:sz w:val="28"/>
          <w:szCs w:val="26"/>
          <w:lang w:eastAsia="en-US"/>
        </w:rPr>
        <w:t xml:space="preserve"> lo haga con base en los criterios establecidos en la parte motiva de la presente providencia».</w:t>
      </w:r>
    </w:p>
    <w:p w:rsidR="008B48AA" w:rsidRPr="00C050D9" w:rsidRDefault="00C050D9" w:rsidP="008B48AA">
      <w:pPr>
        <w:pStyle w:val="Prrafodelista"/>
        <w:tabs>
          <w:tab w:val="left" w:pos="426"/>
        </w:tabs>
        <w:spacing w:after="0" w:line="240" w:lineRule="auto"/>
        <w:ind w:left="0"/>
        <w:rPr>
          <w:rFonts w:ascii="Times New Roman" w:eastAsiaTheme="minorHAnsi" w:hAnsi="Times New Roman" w:cs="Times New Roman"/>
          <w:sz w:val="28"/>
          <w:szCs w:val="28"/>
          <w:lang w:eastAsia="en-US"/>
        </w:rPr>
      </w:pPr>
    </w:p>
    <w:p w:rsidR="008B48AA" w:rsidRPr="00C050D9" w:rsidRDefault="00C050D9" w:rsidP="008B48AA">
      <w:pPr>
        <w:pStyle w:val="Prrafodelista"/>
        <w:numPr>
          <w:ilvl w:val="0"/>
          <w:numId w:val="3"/>
        </w:numPr>
        <w:tabs>
          <w:tab w:val="left" w:pos="426"/>
        </w:tabs>
        <w:spacing w:after="0" w:line="240" w:lineRule="auto"/>
        <w:ind w:left="0" w:firstLine="0"/>
        <w:rPr>
          <w:rFonts w:ascii="Times New Roman" w:eastAsiaTheme="minorHAnsi" w:hAnsi="Times New Roman" w:cs="Times New Roman"/>
          <w:sz w:val="28"/>
          <w:szCs w:val="28"/>
          <w:lang w:eastAsia="en-US"/>
        </w:rPr>
      </w:pPr>
      <w:r w:rsidRPr="00C050D9">
        <w:rPr>
          <w:rFonts w:ascii="Times New Roman" w:eastAsiaTheme="minorHAnsi" w:hAnsi="Times New Roman" w:cs="Times New Roman"/>
          <w:sz w:val="28"/>
          <w:szCs w:val="28"/>
          <w:lang w:eastAsia="en-US"/>
        </w:rPr>
        <w:t xml:space="preserve">Pues bien, en el asunto de la </w:t>
      </w:r>
      <w:r w:rsidRPr="00C050D9">
        <w:rPr>
          <w:rFonts w:ascii="Times New Roman" w:eastAsiaTheme="minorHAnsi" w:hAnsi="Times New Roman" w:cs="Times New Roman"/>
          <w:sz w:val="28"/>
          <w:szCs w:val="28"/>
          <w:lang w:eastAsia="en-US"/>
        </w:rPr>
        <w:t>referencia, se admitió a trámite una demanda contra las mismas normas. En razón de la decisión adoptada en la sentencia C-540 de 2023 (D-15.211</w:t>
      </w:r>
      <w:r w:rsidRPr="00C050D9">
        <w:rPr>
          <w:rFonts w:ascii="Times New Roman" w:eastAsiaTheme="minorHAnsi" w:hAnsi="Times New Roman" w:cs="Times New Roman"/>
          <w:sz w:val="28"/>
          <w:szCs w:val="28"/>
          <w:lang w:eastAsia="en-US"/>
        </w:rPr>
        <w:t>ac</w:t>
      </w:r>
      <w:r w:rsidRPr="00C050D9">
        <w:rPr>
          <w:rFonts w:ascii="Times New Roman" w:eastAsiaTheme="minorHAnsi" w:hAnsi="Times New Roman" w:cs="Times New Roman"/>
          <w:sz w:val="28"/>
          <w:szCs w:val="28"/>
          <w:lang w:eastAsia="en-US"/>
        </w:rPr>
        <w:t>), las normas atacadas ya no forman parte del ordenamiento jurídico y, por tanto, no es posible examinar su con</w:t>
      </w:r>
      <w:r w:rsidRPr="00C050D9">
        <w:rPr>
          <w:rFonts w:ascii="Times New Roman" w:eastAsiaTheme="minorHAnsi" w:hAnsi="Times New Roman" w:cs="Times New Roman"/>
          <w:sz w:val="28"/>
          <w:szCs w:val="28"/>
          <w:lang w:eastAsia="en-US"/>
        </w:rPr>
        <w:t xml:space="preserve">stitucionalidad. </w:t>
      </w:r>
    </w:p>
    <w:p w:rsidR="008B48AA" w:rsidRPr="00C050D9" w:rsidRDefault="00C050D9" w:rsidP="008B48AA">
      <w:pPr>
        <w:pStyle w:val="Prrafodelista"/>
        <w:tabs>
          <w:tab w:val="left" w:pos="284"/>
        </w:tabs>
        <w:overflowPunct w:val="0"/>
        <w:autoSpaceDE w:val="0"/>
        <w:autoSpaceDN w:val="0"/>
        <w:adjustRightInd w:val="0"/>
        <w:spacing w:after="0" w:line="240" w:lineRule="auto"/>
        <w:ind w:left="0"/>
        <w:textAlignment w:val="baseline"/>
        <w:rPr>
          <w:rFonts w:ascii="Times New Roman" w:hAnsi="Times New Roman" w:cs="Times New Roman"/>
          <w:b/>
          <w:sz w:val="28"/>
          <w:szCs w:val="28"/>
          <w:lang w:val="es-ES_tradnl" w:eastAsia="es-MX"/>
        </w:rPr>
      </w:pPr>
    </w:p>
    <w:p w:rsidR="00263244" w:rsidRPr="00C050D9" w:rsidRDefault="00C050D9" w:rsidP="001F32AF">
      <w:pPr>
        <w:tabs>
          <w:tab w:val="left" w:pos="284"/>
        </w:tabs>
        <w:overflowPunct w:val="0"/>
        <w:autoSpaceDE w:val="0"/>
        <w:autoSpaceDN w:val="0"/>
        <w:adjustRightInd w:val="0"/>
        <w:spacing w:after="0" w:line="240" w:lineRule="auto"/>
        <w:contextualSpacing/>
        <w:textAlignment w:val="baseline"/>
        <w:rPr>
          <w:rFonts w:ascii="Times New Roman" w:hAnsi="Times New Roman" w:cs="Times New Roman"/>
          <w:b/>
          <w:i/>
          <w:sz w:val="28"/>
          <w:szCs w:val="28"/>
          <w:lang w:val="es-ES_tradnl" w:eastAsia="es-MX"/>
        </w:rPr>
      </w:pPr>
      <w:r w:rsidRPr="00C050D9">
        <w:rPr>
          <w:rFonts w:ascii="Times New Roman" w:hAnsi="Times New Roman" w:cs="Times New Roman"/>
          <w:b/>
          <w:i/>
          <w:sz w:val="28"/>
          <w:szCs w:val="28"/>
          <w:lang w:val="es-ES_tradnl" w:eastAsia="es-MX"/>
        </w:rPr>
        <w:t xml:space="preserve">Aptitud del cargo </w:t>
      </w:r>
      <w:r w:rsidRPr="00C050D9">
        <w:rPr>
          <w:rFonts w:ascii="Times New Roman" w:hAnsi="Times New Roman" w:cs="Times New Roman"/>
          <w:b/>
          <w:i/>
          <w:sz w:val="28"/>
          <w:szCs w:val="28"/>
          <w:lang w:val="es-ES_tradnl" w:eastAsia="es-MX"/>
        </w:rPr>
        <w:t xml:space="preserve">dirigido </w:t>
      </w:r>
      <w:r w:rsidRPr="00C050D9">
        <w:rPr>
          <w:rFonts w:ascii="Times New Roman" w:hAnsi="Times New Roman" w:cs="Times New Roman"/>
          <w:b/>
          <w:i/>
          <w:sz w:val="28"/>
          <w:szCs w:val="28"/>
          <w:lang w:val="es-ES_tradnl" w:eastAsia="es-MX"/>
        </w:rPr>
        <w:t xml:space="preserve">contra el </w:t>
      </w:r>
      <w:r w:rsidRPr="00C050D9">
        <w:rPr>
          <w:rFonts w:ascii="Times New Roman" w:hAnsi="Times New Roman" w:cs="Times New Roman"/>
          <w:b/>
          <w:i/>
          <w:sz w:val="28"/>
          <w:szCs w:val="28"/>
          <w:lang w:val="es-ES_tradnl" w:eastAsia="es-MX"/>
        </w:rPr>
        <w:t xml:space="preserve">parágrafo del </w:t>
      </w:r>
      <w:r w:rsidRPr="00C050D9">
        <w:rPr>
          <w:rFonts w:ascii="Times New Roman" w:hAnsi="Times New Roman" w:cs="Times New Roman"/>
          <w:b/>
          <w:i/>
          <w:sz w:val="28"/>
          <w:szCs w:val="28"/>
          <w:lang w:val="es-ES_tradnl" w:eastAsia="es-MX"/>
        </w:rPr>
        <w:t>artículo 3°</w:t>
      </w:r>
      <w:r w:rsidRPr="00C050D9">
        <w:rPr>
          <w:rFonts w:ascii="Times New Roman" w:hAnsi="Times New Roman" w:cs="Times New Roman"/>
          <w:b/>
          <w:i/>
          <w:sz w:val="28"/>
          <w:szCs w:val="28"/>
          <w:lang w:val="es-ES_tradnl" w:eastAsia="es-MX"/>
        </w:rPr>
        <w:t xml:space="preserve"> de la Ley 2277 de 2022</w:t>
      </w:r>
    </w:p>
    <w:p w:rsidR="001321BA" w:rsidRPr="00C050D9" w:rsidRDefault="00C050D9" w:rsidP="001F32AF">
      <w:pPr>
        <w:tabs>
          <w:tab w:val="left" w:pos="284"/>
        </w:tabs>
        <w:overflowPunct w:val="0"/>
        <w:autoSpaceDE w:val="0"/>
        <w:autoSpaceDN w:val="0"/>
        <w:adjustRightInd w:val="0"/>
        <w:spacing w:after="0" w:line="240" w:lineRule="auto"/>
        <w:contextualSpacing/>
        <w:textAlignment w:val="baseline"/>
        <w:rPr>
          <w:rFonts w:ascii="Times New Roman" w:hAnsi="Times New Roman" w:cs="Times New Roman"/>
          <w:b/>
          <w:sz w:val="28"/>
          <w:szCs w:val="28"/>
          <w:lang w:val="es-ES_tradnl" w:eastAsia="es-MX"/>
        </w:rPr>
      </w:pPr>
    </w:p>
    <w:p w:rsidR="0010027F" w:rsidRPr="00C050D9" w:rsidRDefault="00C050D9" w:rsidP="0010027F">
      <w:pPr>
        <w:pStyle w:val="Prrafodelista"/>
        <w:numPr>
          <w:ilvl w:val="0"/>
          <w:numId w:val="3"/>
        </w:numPr>
        <w:tabs>
          <w:tab w:val="left" w:pos="284"/>
          <w:tab w:val="left" w:pos="567"/>
        </w:tabs>
        <w:overflowPunct w:val="0"/>
        <w:autoSpaceDE w:val="0"/>
        <w:autoSpaceDN w:val="0"/>
        <w:adjustRightInd w:val="0"/>
        <w:spacing w:after="0" w:line="240" w:lineRule="auto"/>
        <w:ind w:left="0" w:firstLine="0"/>
        <w:textAlignment w:val="baseline"/>
        <w:rPr>
          <w:rFonts w:ascii="Times New Roman" w:hAnsi="Times New Roman" w:cs="Times New Roman"/>
          <w:b/>
          <w:sz w:val="28"/>
          <w:szCs w:val="28"/>
          <w:lang w:val="es-ES_tradnl" w:eastAsia="es-MX"/>
        </w:rPr>
      </w:pPr>
      <w:r w:rsidRPr="00C050D9">
        <w:rPr>
          <w:rFonts w:ascii="Times New Roman" w:hAnsi="Times New Roman" w:cs="Times New Roman"/>
          <w:sz w:val="28"/>
          <w:szCs w:val="28"/>
          <w:lang w:val="es-ES_tradnl"/>
        </w:rPr>
        <w:t>La Corte Constitucional ha establecido en su jurisprudencia los requisitos necesarios para la admisión de la acción de inconstitucionalidad presentada</w:t>
      </w:r>
      <w:r w:rsidRPr="00C050D9">
        <w:rPr>
          <w:rFonts w:ascii="Times New Roman" w:hAnsi="Times New Roman" w:cs="Times New Roman"/>
          <w:sz w:val="28"/>
          <w:szCs w:val="28"/>
          <w:lang w:val="es-ES_tradnl"/>
        </w:rPr>
        <w:t xml:space="preserve"> por los ciudadanos, personas legitimadas para ello.</w:t>
      </w:r>
      <w:r w:rsidRPr="00C050D9">
        <w:rPr>
          <w:rFonts w:ascii="Times New Roman" w:hAnsi="Times New Roman" w:cs="Times New Roman"/>
          <w:sz w:val="28"/>
          <w:vertAlign w:val="superscript"/>
          <w:lang w:val="es-ES_tradnl"/>
        </w:rPr>
        <w:footnoteReference w:id="35"/>
      </w:r>
      <w:r w:rsidRPr="00C050D9">
        <w:rPr>
          <w:rFonts w:ascii="Times New Roman" w:hAnsi="Times New Roman" w:cs="Times New Roman"/>
          <w:sz w:val="28"/>
          <w:szCs w:val="28"/>
          <w:vertAlign w:val="superscript"/>
          <w:lang w:val="es-ES_tradnl"/>
        </w:rPr>
        <w:t xml:space="preserve"> </w:t>
      </w:r>
      <w:r w:rsidRPr="00C050D9">
        <w:rPr>
          <w:rFonts w:ascii="Times New Roman" w:hAnsi="Times New Roman" w:cs="Times New Roman"/>
          <w:sz w:val="28"/>
          <w:szCs w:val="28"/>
          <w:lang w:val="es-ES_tradnl"/>
        </w:rPr>
        <w:t xml:space="preserve">Al respecto, las acciones de constitucionalidad requieren tres elementos fundamentales: “(1) </w:t>
      </w:r>
      <w:r w:rsidRPr="00C050D9">
        <w:rPr>
          <w:rFonts w:ascii="Times New Roman" w:hAnsi="Times New Roman" w:cs="Times New Roman"/>
          <w:i/>
          <w:sz w:val="28"/>
          <w:szCs w:val="28"/>
          <w:lang w:val="es-ES_tradnl"/>
        </w:rPr>
        <w:t>debe referir con precisión el objeto demandado</w:t>
      </w:r>
      <w:r w:rsidRPr="00C050D9">
        <w:rPr>
          <w:rFonts w:ascii="Times New Roman" w:hAnsi="Times New Roman" w:cs="Times New Roman"/>
          <w:sz w:val="28"/>
          <w:szCs w:val="28"/>
          <w:lang w:val="es-ES_tradnl"/>
        </w:rPr>
        <w:t xml:space="preserve">, (2) el concepto de la violación y (3) </w:t>
      </w:r>
      <w:r w:rsidRPr="00C050D9">
        <w:rPr>
          <w:rFonts w:ascii="Times New Roman" w:hAnsi="Times New Roman" w:cs="Times New Roman"/>
          <w:i/>
          <w:sz w:val="28"/>
          <w:szCs w:val="28"/>
          <w:lang w:val="es-ES_tradnl"/>
        </w:rPr>
        <w:t>la razón por la cual la</w:t>
      </w:r>
      <w:r w:rsidRPr="00C050D9">
        <w:rPr>
          <w:rFonts w:ascii="Times New Roman" w:hAnsi="Times New Roman" w:cs="Times New Roman"/>
          <w:i/>
          <w:sz w:val="28"/>
          <w:szCs w:val="28"/>
          <w:lang w:val="es-ES_tradnl"/>
        </w:rPr>
        <w:t xml:space="preserve"> Corte es competente para conocer del asunto</w:t>
      </w:r>
      <w:r w:rsidRPr="00C050D9">
        <w:rPr>
          <w:rFonts w:ascii="Times New Roman" w:hAnsi="Times New Roman" w:cs="Times New Roman"/>
          <w:sz w:val="28"/>
          <w:szCs w:val="28"/>
          <w:lang w:val="es-ES_tradnl"/>
        </w:rPr>
        <w:t>” (art. 2, Decreto 2067 de 1991).</w:t>
      </w:r>
      <w:r w:rsidRPr="00C050D9">
        <w:rPr>
          <w:rFonts w:ascii="Times New Roman" w:hAnsi="Times New Roman" w:cs="Times New Roman"/>
          <w:sz w:val="28"/>
          <w:vertAlign w:val="superscript"/>
          <w:lang w:val="es-ES_tradnl"/>
        </w:rPr>
        <w:footnoteReference w:id="36"/>
      </w:r>
      <w:r w:rsidRPr="00C050D9">
        <w:rPr>
          <w:rFonts w:ascii="Times New Roman" w:hAnsi="Times New Roman" w:cs="Times New Roman"/>
          <w:sz w:val="28"/>
          <w:szCs w:val="28"/>
          <w:vertAlign w:val="superscript"/>
          <w:lang w:val="es-ES_tradnl"/>
        </w:rPr>
        <w:t xml:space="preserve"> </w:t>
      </w:r>
      <w:r w:rsidRPr="00C050D9">
        <w:rPr>
          <w:rFonts w:ascii="Times New Roman" w:hAnsi="Times New Roman" w:cs="Times New Roman"/>
          <w:sz w:val="28"/>
          <w:szCs w:val="28"/>
          <w:lang w:val="es-ES_tradnl"/>
        </w:rPr>
        <w:t>El segundo de estos elementos (el concepto de la violación), debe observar, a su vez, tres condiciones mínimas: (i) “</w:t>
      </w:r>
      <w:r w:rsidRPr="00C050D9">
        <w:rPr>
          <w:rFonts w:ascii="Times New Roman" w:hAnsi="Times New Roman" w:cs="Times New Roman"/>
          <w:i/>
          <w:sz w:val="28"/>
          <w:szCs w:val="28"/>
          <w:lang w:val="es-ES_tradnl"/>
        </w:rPr>
        <w:t>el señalamiento de las normas constitucionales que considere</w:t>
      </w:r>
      <w:r w:rsidRPr="00C050D9">
        <w:rPr>
          <w:rFonts w:ascii="Times New Roman" w:hAnsi="Times New Roman" w:cs="Times New Roman"/>
          <w:i/>
          <w:sz w:val="28"/>
          <w:szCs w:val="28"/>
          <w:lang w:val="es-ES_tradnl"/>
        </w:rPr>
        <w:t xml:space="preserve">n infringidas “(art. 2, num.2, Decreto 2067 de 1991); </w:t>
      </w:r>
      <w:r w:rsidRPr="00C050D9">
        <w:rPr>
          <w:rFonts w:ascii="Times New Roman" w:hAnsi="Times New Roman" w:cs="Times New Roman"/>
          <w:sz w:val="28"/>
          <w:szCs w:val="28"/>
          <w:lang w:val="es-ES_tradnl"/>
        </w:rPr>
        <w:t>(ii)</w:t>
      </w:r>
      <w:r w:rsidRPr="00C050D9">
        <w:rPr>
          <w:rFonts w:ascii="Times New Roman" w:hAnsi="Times New Roman" w:cs="Times New Roman"/>
          <w:i/>
          <w:sz w:val="28"/>
          <w:szCs w:val="28"/>
          <w:lang w:val="es-ES_tradnl"/>
        </w:rPr>
        <w:t xml:space="preserve"> “la exposición del contenido normativo de las disposiciones constitucionales que riñe con las normas demandadas”</w:t>
      </w:r>
      <w:r w:rsidRPr="00C050D9">
        <w:rPr>
          <w:rFonts w:ascii="Times New Roman" w:hAnsi="Times New Roman" w:cs="Times New Roman"/>
          <w:i/>
          <w:sz w:val="28"/>
          <w:vertAlign w:val="superscript"/>
          <w:lang w:val="es-ES_tradnl"/>
        </w:rPr>
        <w:footnoteReference w:id="37"/>
      </w:r>
      <w:r w:rsidRPr="00C050D9">
        <w:rPr>
          <w:rFonts w:ascii="Times New Roman" w:hAnsi="Times New Roman" w:cs="Times New Roman"/>
          <w:i/>
          <w:sz w:val="28"/>
          <w:szCs w:val="28"/>
          <w:lang w:val="es-ES_tradnl"/>
        </w:rPr>
        <w:t xml:space="preserve"> </w:t>
      </w:r>
      <w:r w:rsidRPr="00C050D9">
        <w:rPr>
          <w:rFonts w:ascii="Times New Roman" w:hAnsi="Times New Roman" w:cs="Times New Roman"/>
          <w:sz w:val="28"/>
          <w:szCs w:val="28"/>
          <w:lang w:val="es-ES_tradnl"/>
        </w:rPr>
        <w:t xml:space="preserve">y (iii) exponer las razones por las cuales las disposiciones normativas demandadas </w:t>
      </w:r>
      <w:r w:rsidRPr="00C050D9">
        <w:rPr>
          <w:rFonts w:ascii="Times New Roman" w:hAnsi="Times New Roman" w:cs="Times New Roman"/>
          <w:sz w:val="28"/>
          <w:szCs w:val="28"/>
          <w:lang w:val="es-ES_tradnl"/>
        </w:rPr>
        <w:t>violan la Constitución, las cuales deberán ser, al menos, “</w:t>
      </w:r>
      <w:r w:rsidRPr="00C050D9">
        <w:rPr>
          <w:rFonts w:ascii="Times New Roman" w:hAnsi="Times New Roman" w:cs="Times New Roman"/>
          <w:i/>
          <w:sz w:val="28"/>
          <w:szCs w:val="28"/>
          <w:lang w:val="es-ES_tradnl"/>
        </w:rPr>
        <w:t>claras, ciertas, específicas, pertinentes y suficientes</w:t>
      </w:r>
      <w:r w:rsidRPr="00C050D9">
        <w:rPr>
          <w:rFonts w:ascii="Times New Roman" w:hAnsi="Times New Roman" w:cs="Times New Roman"/>
          <w:sz w:val="28"/>
          <w:szCs w:val="28"/>
          <w:lang w:val="es-ES_tradnl"/>
        </w:rPr>
        <w:t>”.</w:t>
      </w:r>
      <w:r w:rsidRPr="00C050D9">
        <w:rPr>
          <w:rFonts w:ascii="Times New Roman" w:hAnsi="Times New Roman" w:cs="Times New Roman"/>
          <w:sz w:val="28"/>
          <w:vertAlign w:val="superscript"/>
          <w:lang w:val="es-ES_tradnl"/>
        </w:rPr>
        <w:footnoteReference w:id="38"/>
      </w:r>
      <w:r w:rsidRPr="00C050D9">
        <w:rPr>
          <w:rFonts w:ascii="Times New Roman" w:hAnsi="Times New Roman" w:cs="Times New Roman"/>
          <w:sz w:val="28"/>
          <w:szCs w:val="28"/>
          <w:vertAlign w:val="superscript"/>
          <w:lang w:val="es-ES_tradnl"/>
        </w:rPr>
        <w:t xml:space="preserve"> </w:t>
      </w:r>
    </w:p>
    <w:p w:rsidR="0010027F" w:rsidRPr="00C050D9" w:rsidRDefault="00C050D9" w:rsidP="0010027F">
      <w:pPr>
        <w:tabs>
          <w:tab w:val="left" w:pos="426"/>
        </w:tabs>
        <w:spacing w:after="0" w:line="240" w:lineRule="auto"/>
        <w:rPr>
          <w:rFonts w:ascii="Times New Roman" w:hAnsi="Times New Roman" w:cs="Times New Roman"/>
          <w:sz w:val="28"/>
          <w:szCs w:val="28"/>
          <w:lang w:val="es-ES_tradnl"/>
        </w:rPr>
      </w:pPr>
    </w:p>
    <w:p w:rsidR="0010027F" w:rsidRPr="00C050D9" w:rsidRDefault="00C050D9" w:rsidP="0010027F">
      <w:pPr>
        <w:pStyle w:val="Prrafodelista"/>
        <w:numPr>
          <w:ilvl w:val="0"/>
          <w:numId w:val="3"/>
        </w:numPr>
        <w:tabs>
          <w:tab w:val="left" w:pos="426"/>
        </w:tabs>
        <w:spacing w:after="0" w:line="240" w:lineRule="auto"/>
        <w:ind w:left="0" w:firstLine="0"/>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Dichas características que debe reunir el concepto de violación, formulado por quien demanda la norma, fueron definidas por la Corte. En</w:t>
      </w:r>
      <w:r w:rsidRPr="00C050D9">
        <w:rPr>
          <w:rFonts w:ascii="Times New Roman" w:hAnsi="Times New Roman" w:cs="Times New Roman"/>
          <w:sz w:val="28"/>
          <w:szCs w:val="28"/>
          <w:lang w:val="es-ES_tradnl"/>
        </w:rPr>
        <w:t xml:space="preserve"> cuanto al requisito de la </w:t>
      </w:r>
      <w:r w:rsidRPr="00C050D9">
        <w:rPr>
          <w:rFonts w:ascii="Times New Roman" w:hAnsi="Times New Roman" w:cs="Times New Roman"/>
          <w:i/>
          <w:sz w:val="28"/>
          <w:szCs w:val="28"/>
          <w:lang w:val="es-ES_tradnl"/>
        </w:rPr>
        <w:t>claridad</w:t>
      </w:r>
      <w:r w:rsidRPr="00C050D9">
        <w:rPr>
          <w:rFonts w:ascii="Times New Roman" w:hAnsi="Times New Roman" w:cs="Times New Roman"/>
          <w:sz w:val="28"/>
          <w:szCs w:val="28"/>
          <w:lang w:val="es-ES_tradnl"/>
        </w:rPr>
        <w:t>, indicó esta Corporación que el mismo se refiere a la existencia de un hilo conductor en la argumentación, que permita al lector la comprensión del contenido en su demanda.</w:t>
      </w:r>
      <w:r w:rsidRPr="00C050D9">
        <w:rPr>
          <w:rFonts w:ascii="Times New Roman" w:hAnsi="Times New Roman" w:cs="Times New Roman"/>
          <w:sz w:val="28"/>
          <w:vertAlign w:val="superscript"/>
          <w:lang w:val="es-ES_tradnl"/>
        </w:rPr>
        <w:footnoteReference w:id="39"/>
      </w:r>
      <w:r w:rsidRPr="00C050D9">
        <w:rPr>
          <w:rFonts w:ascii="Times New Roman" w:hAnsi="Times New Roman" w:cs="Times New Roman"/>
          <w:sz w:val="28"/>
          <w:szCs w:val="28"/>
          <w:lang w:val="es-ES_tradnl"/>
        </w:rPr>
        <w:t xml:space="preserve"> La condición de </w:t>
      </w:r>
      <w:r w:rsidRPr="00C050D9">
        <w:rPr>
          <w:rFonts w:ascii="Times New Roman" w:hAnsi="Times New Roman" w:cs="Times New Roman"/>
          <w:i/>
          <w:sz w:val="28"/>
          <w:szCs w:val="28"/>
          <w:lang w:val="es-ES_tradnl"/>
        </w:rPr>
        <w:t xml:space="preserve">certeza, </w:t>
      </w:r>
      <w:r w:rsidRPr="00C050D9">
        <w:rPr>
          <w:rFonts w:ascii="Times New Roman" w:hAnsi="Times New Roman" w:cs="Times New Roman"/>
          <w:sz w:val="28"/>
          <w:szCs w:val="28"/>
          <w:lang w:val="es-ES_tradnl"/>
        </w:rPr>
        <w:t>por su lado,</w:t>
      </w:r>
      <w:r w:rsidRPr="00C050D9">
        <w:rPr>
          <w:rFonts w:ascii="Times New Roman" w:hAnsi="Times New Roman" w:cs="Times New Roman"/>
          <w:i/>
          <w:sz w:val="28"/>
          <w:szCs w:val="28"/>
          <w:lang w:val="es-ES_tradnl"/>
        </w:rPr>
        <w:t xml:space="preserve"> </w:t>
      </w:r>
      <w:r w:rsidRPr="00C050D9">
        <w:rPr>
          <w:rFonts w:ascii="Times New Roman" w:hAnsi="Times New Roman" w:cs="Times New Roman"/>
          <w:sz w:val="28"/>
          <w:szCs w:val="28"/>
          <w:lang w:val="es-ES_tradnl"/>
        </w:rPr>
        <w:t>exige al</w:t>
      </w:r>
      <w:r w:rsidRPr="00C050D9">
        <w:rPr>
          <w:rFonts w:ascii="Times New Roman" w:hAnsi="Times New Roman" w:cs="Times New Roman"/>
          <w:sz w:val="28"/>
          <w:szCs w:val="28"/>
          <w:lang w:val="es-ES_tradnl"/>
        </w:rPr>
        <w:t xml:space="preserve"> actor presentar cargos contra una proposición jurídica real, existente y que tenga conexión con el texto de la norma acusada, y no una simple deducción del demandante.</w:t>
      </w:r>
      <w:r w:rsidRPr="00C050D9">
        <w:rPr>
          <w:rFonts w:ascii="Times New Roman" w:hAnsi="Times New Roman" w:cs="Times New Roman"/>
          <w:sz w:val="28"/>
          <w:vertAlign w:val="superscript"/>
          <w:lang w:val="es-ES_tradnl"/>
        </w:rPr>
        <w:footnoteReference w:id="40"/>
      </w:r>
      <w:r w:rsidRPr="00C050D9">
        <w:rPr>
          <w:rFonts w:ascii="Times New Roman" w:hAnsi="Times New Roman" w:cs="Times New Roman"/>
          <w:sz w:val="28"/>
          <w:szCs w:val="28"/>
          <w:lang w:val="es-ES_tradnl"/>
        </w:rPr>
        <w:t xml:space="preserve"> La exigencia de </w:t>
      </w:r>
      <w:r w:rsidRPr="00C050D9">
        <w:rPr>
          <w:rFonts w:ascii="Times New Roman" w:hAnsi="Times New Roman" w:cs="Times New Roman"/>
          <w:i/>
          <w:sz w:val="28"/>
          <w:szCs w:val="28"/>
          <w:lang w:val="es-ES_tradnl"/>
        </w:rPr>
        <w:t>especificidad</w:t>
      </w:r>
      <w:r w:rsidRPr="00C050D9">
        <w:rPr>
          <w:rFonts w:ascii="Times New Roman" w:hAnsi="Times New Roman" w:cs="Times New Roman"/>
          <w:sz w:val="28"/>
          <w:szCs w:val="28"/>
          <w:lang w:val="es-ES_tradnl"/>
        </w:rPr>
        <w:t xml:space="preserve"> hace alusión a que el demandante debe formular, al menos</w:t>
      </w:r>
      <w:r w:rsidRPr="00C050D9">
        <w:rPr>
          <w:rFonts w:ascii="Times New Roman" w:hAnsi="Times New Roman" w:cs="Times New Roman"/>
          <w:sz w:val="28"/>
          <w:szCs w:val="28"/>
          <w:lang w:val="es-ES_tradnl"/>
        </w:rPr>
        <w:t>, un cargo constitucional concreto y directamente relacionado con las disposiciones que se acusan, pues exponer motivos vagos o indeterminados impediría un juicio de constitucionalidad.</w:t>
      </w:r>
      <w:r w:rsidRPr="00C050D9">
        <w:rPr>
          <w:rFonts w:ascii="Times New Roman" w:hAnsi="Times New Roman" w:cs="Times New Roman"/>
          <w:sz w:val="28"/>
          <w:vertAlign w:val="superscript"/>
          <w:lang w:val="es-ES_tradnl"/>
        </w:rPr>
        <w:footnoteReference w:id="41"/>
      </w:r>
      <w:r w:rsidRPr="00C050D9">
        <w:rPr>
          <w:rFonts w:ascii="Times New Roman" w:hAnsi="Times New Roman" w:cs="Times New Roman"/>
          <w:sz w:val="28"/>
          <w:szCs w:val="28"/>
          <w:vertAlign w:val="superscript"/>
          <w:lang w:val="es-ES_tradnl"/>
        </w:rPr>
        <w:t xml:space="preserve"> </w:t>
      </w:r>
      <w:r w:rsidRPr="00C050D9">
        <w:rPr>
          <w:rFonts w:ascii="Times New Roman" w:hAnsi="Times New Roman" w:cs="Times New Roman"/>
          <w:sz w:val="28"/>
          <w:szCs w:val="28"/>
          <w:lang w:val="es-ES_tradnl"/>
        </w:rPr>
        <w:t xml:space="preserve">En cuanto a la </w:t>
      </w:r>
      <w:r w:rsidRPr="00C050D9">
        <w:rPr>
          <w:rFonts w:ascii="Times New Roman" w:hAnsi="Times New Roman" w:cs="Times New Roman"/>
          <w:i/>
          <w:sz w:val="28"/>
          <w:szCs w:val="28"/>
          <w:lang w:val="es-ES_tradnl"/>
        </w:rPr>
        <w:t xml:space="preserve">pertinencia, </w:t>
      </w:r>
      <w:r w:rsidRPr="00C050D9">
        <w:rPr>
          <w:rFonts w:ascii="Times New Roman" w:hAnsi="Times New Roman" w:cs="Times New Roman"/>
          <w:sz w:val="28"/>
          <w:szCs w:val="28"/>
          <w:lang w:val="es-ES_tradnl"/>
        </w:rPr>
        <w:t>la Corte ha establecido que la misma se r</w:t>
      </w:r>
      <w:r w:rsidRPr="00C050D9">
        <w:rPr>
          <w:rFonts w:ascii="Times New Roman" w:hAnsi="Times New Roman" w:cs="Times New Roman"/>
          <w:sz w:val="28"/>
          <w:szCs w:val="28"/>
          <w:lang w:val="es-ES_tradnl"/>
        </w:rPr>
        <w:t>elaciona con la existencia de reproches basados en la confrontación del contenido de una norma superior con aquel de la disposición demandada, por lo cual no puede tratarse de argumentos de orden legal o doctrinario, o de puntos de vista subjetivos del acc</w:t>
      </w:r>
      <w:r w:rsidRPr="00C050D9">
        <w:rPr>
          <w:rFonts w:ascii="Times New Roman" w:hAnsi="Times New Roman" w:cs="Times New Roman"/>
          <w:sz w:val="28"/>
          <w:szCs w:val="28"/>
          <w:lang w:val="es-ES_tradnl"/>
        </w:rPr>
        <w:t>ionante.</w:t>
      </w:r>
      <w:r w:rsidRPr="00C050D9">
        <w:rPr>
          <w:rFonts w:ascii="Times New Roman" w:hAnsi="Times New Roman" w:cs="Times New Roman"/>
          <w:sz w:val="28"/>
          <w:vertAlign w:val="superscript"/>
          <w:lang w:val="es-ES_tradnl"/>
        </w:rPr>
        <w:footnoteReference w:id="42"/>
      </w:r>
      <w:r w:rsidRPr="00C050D9">
        <w:rPr>
          <w:rFonts w:ascii="Times New Roman" w:hAnsi="Times New Roman" w:cs="Times New Roman"/>
          <w:sz w:val="28"/>
          <w:szCs w:val="28"/>
          <w:vertAlign w:val="superscript"/>
          <w:lang w:val="es-ES_tradnl"/>
        </w:rPr>
        <w:t xml:space="preserve"> </w:t>
      </w:r>
      <w:r w:rsidRPr="00C050D9">
        <w:rPr>
          <w:rFonts w:ascii="Times New Roman" w:hAnsi="Times New Roman" w:cs="Times New Roman"/>
          <w:sz w:val="28"/>
          <w:szCs w:val="28"/>
          <w:lang w:val="es-ES_tradnl"/>
        </w:rPr>
        <w:t xml:space="preserve">Con respecto a la </w:t>
      </w:r>
      <w:r w:rsidRPr="00C050D9">
        <w:rPr>
          <w:rFonts w:ascii="Times New Roman" w:hAnsi="Times New Roman" w:cs="Times New Roman"/>
          <w:i/>
          <w:sz w:val="28"/>
          <w:szCs w:val="28"/>
          <w:lang w:val="es-ES_tradnl"/>
        </w:rPr>
        <w:t xml:space="preserve">suficiencia, </w:t>
      </w:r>
      <w:r w:rsidRPr="00C050D9">
        <w:rPr>
          <w:rFonts w:ascii="Times New Roman" w:hAnsi="Times New Roman" w:cs="Times New Roman"/>
          <w:sz w:val="28"/>
          <w:szCs w:val="28"/>
          <w:lang w:val="es-ES_tradnl"/>
        </w:rPr>
        <w:t xml:space="preserve">ésta guarda relación con la exposición de los elementos de juicio necesarios para llevar a cabo un juicio de constitucionalidad y con el empleo de argumentos que despierten una </w:t>
      </w:r>
      <w:r w:rsidRPr="00C050D9">
        <w:rPr>
          <w:rFonts w:ascii="Times New Roman" w:hAnsi="Times New Roman" w:cs="Times New Roman"/>
          <w:i/>
          <w:sz w:val="28"/>
          <w:szCs w:val="28"/>
          <w:lang w:val="es-ES_tradnl"/>
        </w:rPr>
        <w:t xml:space="preserve">duda mínima </w:t>
      </w:r>
      <w:r w:rsidRPr="00C050D9">
        <w:rPr>
          <w:rFonts w:ascii="Times New Roman" w:hAnsi="Times New Roman" w:cs="Times New Roman"/>
          <w:sz w:val="28"/>
          <w:szCs w:val="28"/>
          <w:lang w:val="es-ES_tradnl"/>
        </w:rPr>
        <w:t>sobre la constitucionalida</w:t>
      </w:r>
      <w:r w:rsidRPr="00C050D9">
        <w:rPr>
          <w:rFonts w:ascii="Times New Roman" w:hAnsi="Times New Roman" w:cs="Times New Roman"/>
          <w:sz w:val="28"/>
          <w:szCs w:val="28"/>
          <w:lang w:val="es-ES_tradnl"/>
        </w:rPr>
        <w:t>d de la disposición atacada, logrando así que la demanda tenga un alcance persuasivo.</w:t>
      </w:r>
      <w:r w:rsidRPr="00C050D9">
        <w:rPr>
          <w:rFonts w:ascii="Times New Roman" w:hAnsi="Times New Roman" w:cs="Times New Roman"/>
          <w:sz w:val="28"/>
          <w:vertAlign w:val="superscript"/>
          <w:lang w:val="es-ES_tradnl"/>
        </w:rPr>
        <w:footnoteReference w:id="43"/>
      </w:r>
      <w:r w:rsidRPr="00C050D9">
        <w:rPr>
          <w:rFonts w:ascii="Times New Roman" w:hAnsi="Times New Roman" w:cs="Times New Roman"/>
          <w:sz w:val="28"/>
          <w:szCs w:val="28"/>
          <w:vertAlign w:val="superscript"/>
          <w:lang w:val="es-ES_tradnl"/>
        </w:rPr>
        <w:t xml:space="preserve"> </w:t>
      </w:r>
    </w:p>
    <w:p w:rsidR="00511A72" w:rsidRPr="00C050D9" w:rsidRDefault="00C050D9" w:rsidP="008E74D4">
      <w:pPr>
        <w:pStyle w:val="Prrafodelista"/>
        <w:tabs>
          <w:tab w:val="left" w:pos="426"/>
        </w:tabs>
        <w:spacing w:after="0" w:line="240" w:lineRule="auto"/>
        <w:ind w:left="0"/>
        <w:rPr>
          <w:rFonts w:ascii="Times New Roman" w:hAnsi="Times New Roman" w:cs="Times New Roman"/>
          <w:sz w:val="28"/>
          <w:szCs w:val="28"/>
          <w:lang w:val="es-ES_tradnl"/>
        </w:rPr>
      </w:pPr>
    </w:p>
    <w:p w:rsidR="00B72A19" w:rsidRPr="00C050D9" w:rsidRDefault="00C050D9" w:rsidP="008E74D4">
      <w:pPr>
        <w:pStyle w:val="Prrafodelista"/>
        <w:numPr>
          <w:ilvl w:val="0"/>
          <w:numId w:val="3"/>
        </w:numPr>
        <w:tabs>
          <w:tab w:val="left" w:pos="426"/>
        </w:tabs>
        <w:spacing w:after="0" w:line="240" w:lineRule="auto"/>
        <w:ind w:left="0" w:firstLine="0"/>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 xml:space="preserve">En el asunto bajo estudio </w:t>
      </w:r>
      <w:r w:rsidRPr="00C050D9">
        <w:rPr>
          <w:rFonts w:ascii="Times New Roman" w:hAnsi="Times New Roman" w:cs="Times New Roman"/>
          <w:sz w:val="28"/>
          <w:szCs w:val="28"/>
          <w:lang w:val="es-ES_tradnl"/>
        </w:rPr>
        <w:t xml:space="preserve">el Ministerio Público, </w:t>
      </w:r>
      <w:r w:rsidRPr="00C050D9">
        <w:rPr>
          <w:rFonts w:ascii="Times New Roman" w:hAnsi="Times New Roman" w:cs="Times New Roman"/>
          <w:sz w:val="28"/>
          <w:szCs w:val="28"/>
          <w:lang w:val="es-ES_tradnl"/>
        </w:rPr>
        <w:t xml:space="preserve">la Dirección de Impuestos y Aduanas Nacionales – DIAN y la Secretaría Jurídica del Departamento Administrativo de la Presidencia de la República sugirieron a la Corte que el cargo </w:t>
      </w:r>
      <w:r w:rsidRPr="00C050D9">
        <w:rPr>
          <w:rFonts w:ascii="Times New Roman" w:hAnsi="Times New Roman" w:cs="Times New Roman"/>
          <w:sz w:val="28"/>
          <w:szCs w:val="28"/>
          <w:lang w:val="es-ES_tradnl"/>
        </w:rPr>
        <w:t>formulado contra</w:t>
      </w:r>
      <w:r w:rsidRPr="00C050D9">
        <w:rPr>
          <w:rFonts w:ascii="Times New Roman" w:hAnsi="Times New Roman" w:cs="Times New Roman"/>
          <w:sz w:val="28"/>
          <w:szCs w:val="28"/>
          <w:lang w:val="es-ES_tradnl"/>
        </w:rPr>
        <w:t xml:space="preserve"> el parágrafo del artículo 3 de la Ley 2277 de 2022 </w:t>
      </w:r>
      <w:r w:rsidRPr="00C050D9">
        <w:rPr>
          <w:rFonts w:ascii="Times New Roman" w:hAnsi="Times New Roman" w:cs="Times New Roman"/>
          <w:sz w:val="28"/>
          <w:szCs w:val="28"/>
          <w:lang w:val="es-ES_tradnl"/>
        </w:rPr>
        <w:t>no es ap</w:t>
      </w:r>
      <w:r w:rsidRPr="00C050D9">
        <w:rPr>
          <w:rFonts w:ascii="Times New Roman" w:hAnsi="Times New Roman" w:cs="Times New Roman"/>
          <w:sz w:val="28"/>
          <w:szCs w:val="28"/>
          <w:lang w:val="es-ES_tradnl"/>
        </w:rPr>
        <w:t xml:space="preserve">to. Sobre este punto la Sala considera que les asiste razón por las siguientes consideraciones. </w:t>
      </w:r>
    </w:p>
    <w:p w:rsidR="00B72A19" w:rsidRPr="00C050D9" w:rsidRDefault="00C050D9" w:rsidP="008E74D4">
      <w:pPr>
        <w:pStyle w:val="Prrafodelista"/>
        <w:tabs>
          <w:tab w:val="left" w:pos="426"/>
        </w:tabs>
        <w:spacing w:after="0" w:line="240" w:lineRule="auto"/>
        <w:ind w:left="0"/>
        <w:rPr>
          <w:rFonts w:ascii="Times New Roman" w:hAnsi="Times New Roman" w:cs="Times New Roman"/>
          <w:sz w:val="28"/>
          <w:szCs w:val="28"/>
          <w:lang w:val="es-ES_tradnl"/>
        </w:rPr>
      </w:pPr>
    </w:p>
    <w:p w:rsidR="00D0691D" w:rsidRPr="00C050D9" w:rsidRDefault="00C050D9" w:rsidP="008E74D4">
      <w:pPr>
        <w:pStyle w:val="Prrafodelista"/>
        <w:numPr>
          <w:ilvl w:val="0"/>
          <w:numId w:val="3"/>
        </w:numPr>
        <w:tabs>
          <w:tab w:val="left" w:pos="426"/>
        </w:tabs>
        <w:spacing w:after="0" w:line="240" w:lineRule="auto"/>
        <w:ind w:left="0" w:firstLine="0"/>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 xml:space="preserve">En suma, los demandantes sostienen que el parágrafo del artículo 3 de la Ley 2277 de 2022 desconoce </w:t>
      </w:r>
      <w:r w:rsidRPr="00C050D9">
        <w:rPr>
          <w:rFonts w:ascii="Times New Roman" w:hAnsi="Times New Roman" w:cs="Times New Roman"/>
          <w:sz w:val="28"/>
          <w:szCs w:val="28"/>
        </w:rPr>
        <w:t>los principios de equidad y justicia tributaria para quien</w:t>
      </w:r>
      <w:r w:rsidRPr="00C050D9">
        <w:rPr>
          <w:rFonts w:ascii="Times New Roman" w:hAnsi="Times New Roman" w:cs="Times New Roman"/>
          <w:sz w:val="28"/>
          <w:szCs w:val="28"/>
        </w:rPr>
        <w:t xml:space="preserve">es tienen como ingresos únicamente dividendos y se les impone una retención en la fuente del 15%, puesto que, al final del ejercicio </w:t>
      </w:r>
      <w:r w:rsidRPr="00C050D9">
        <w:rPr>
          <w:rFonts w:ascii="Times New Roman" w:hAnsi="Times New Roman" w:cs="Times New Roman"/>
          <w:sz w:val="28"/>
          <w:szCs w:val="28"/>
        </w:rPr>
        <w:t xml:space="preserve">esta retención </w:t>
      </w:r>
      <w:r w:rsidRPr="00C050D9">
        <w:rPr>
          <w:rFonts w:ascii="Times New Roman" w:hAnsi="Times New Roman" w:cs="Times New Roman"/>
          <w:sz w:val="28"/>
          <w:szCs w:val="28"/>
        </w:rPr>
        <w:t xml:space="preserve">es superior al pago del impuesto a la renta y complementarios. Esta situación los actores la califican como </w:t>
      </w:r>
      <w:r w:rsidRPr="00C050D9">
        <w:rPr>
          <w:rFonts w:ascii="Times New Roman" w:hAnsi="Times New Roman" w:cs="Times New Roman"/>
          <w:sz w:val="28"/>
          <w:szCs w:val="28"/>
        </w:rPr>
        <w:t xml:space="preserve">una carga </w:t>
      </w:r>
      <w:r w:rsidRPr="00C050D9">
        <w:rPr>
          <w:rFonts w:ascii="Times New Roman" w:hAnsi="Times New Roman" w:cs="Times New Roman"/>
          <w:sz w:val="28"/>
          <w:szCs w:val="28"/>
        </w:rPr>
        <w:t xml:space="preserve">pública </w:t>
      </w:r>
      <w:r w:rsidRPr="00C050D9">
        <w:rPr>
          <w:rFonts w:ascii="Times New Roman" w:hAnsi="Times New Roman" w:cs="Times New Roman"/>
          <w:sz w:val="28"/>
          <w:szCs w:val="28"/>
        </w:rPr>
        <w:t xml:space="preserve">excesiva, pues el contribuyente se ve obligado a solicitar </w:t>
      </w:r>
      <w:r w:rsidRPr="00C050D9">
        <w:rPr>
          <w:rFonts w:ascii="Times New Roman" w:hAnsi="Times New Roman" w:cs="Times New Roman"/>
          <w:sz w:val="28"/>
          <w:szCs w:val="28"/>
        </w:rPr>
        <w:t xml:space="preserve">la devolución o compensación de los saldos ante la DIAN. </w:t>
      </w:r>
    </w:p>
    <w:p w:rsidR="00D0691D" w:rsidRPr="00C050D9" w:rsidRDefault="00C050D9" w:rsidP="008E74D4">
      <w:pPr>
        <w:pStyle w:val="Prrafodelista"/>
        <w:tabs>
          <w:tab w:val="left" w:pos="426"/>
        </w:tabs>
        <w:spacing w:after="0" w:line="240" w:lineRule="auto"/>
        <w:ind w:left="0"/>
        <w:rPr>
          <w:rFonts w:ascii="Times New Roman" w:hAnsi="Times New Roman" w:cs="Times New Roman"/>
          <w:sz w:val="28"/>
          <w:szCs w:val="28"/>
          <w:lang w:val="es-ES_tradnl"/>
        </w:rPr>
      </w:pPr>
    </w:p>
    <w:p w:rsidR="008B6BE7" w:rsidRPr="00C050D9" w:rsidRDefault="00C050D9" w:rsidP="008B6BE7">
      <w:pPr>
        <w:pStyle w:val="Prrafodelista"/>
        <w:numPr>
          <w:ilvl w:val="0"/>
          <w:numId w:val="3"/>
        </w:numPr>
        <w:tabs>
          <w:tab w:val="left" w:pos="426"/>
        </w:tabs>
        <w:spacing w:after="0" w:line="240" w:lineRule="auto"/>
        <w:ind w:left="0" w:firstLine="0"/>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 xml:space="preserve">La Sala Plena considera que el cargo no cumple con razones claras, </w:t>
      </w:r>
      <w:r w:rsidRPr="00C050D9">
        <w:rPr>
          <w:rFonts w:ascii="Times New Roman" w:hAnsi="Times New Roman" w:cs="Times New Roman"/>
          <w:sz w:val="28"/>
          <w:szCs w:val="28"/>
          <w:lang w:val="es-ES_tradnl"/>
        </w:rPr>
        <w:t xml:space="preserve">específicas, </w:t>
      </w:r>
      <w:r w:rsidRPr="00C050D9">
        <w:rPr>
          <w:rFonts w:ascii="Times New Roman" w:hAnsi="Times New Roman" w:cs="Times New Roman"/>
          <w:sz w:val="28"/>
          <w:szCs w:val="28"/>
          <w:lang w:val="es-ES_tradnl"/>
        </w:rPr>
        <w:t>pertinentes y suficientes</w:t>
      </w:r>
      <w:r w:rsidRPr="00C050D9">
        <w:rPr>
          <w:rFonts w:ascii="Times New Roman" w:hAnsi="Times New Roman" w:cs="Times New Roman"/>
          <w:sz w:val="28"/>
          <w:szCs w:val="28"/>
          <w:lang w:val="es-ES_tradnl"/>
        </w:rPr>
        <w:t xml:space="preserve">. En primer lugar, es preciso recordar que </w:t>
      </w:r>
      <w:r w:rsidRPr="00C050D9">
        <w:rPr>
          <w:rFonts w:ascii="Times New Roman" w:hAnsi="Times New Roman" w:cs="Times New Roman"/>
          <w:sz w:val="28"/>
          <w:szCs w:val="28"/>
          <w:lang w:val="es-ES_tradnl"/>
        </w:rPr>
        <w:t>el amplio margen de configuración legislativa en materia tributaria incluye también las diferentes formas de hacer el recaudo más eficiente de los impuestos. Así, la jurisprudencia constitucional ha declarado exeq</w:t>
      </w:r>
      <w:r w:rsidRPr="00C050D9">
        <w:rPr>
          <w:rFonts w:ascii="Times New Roman" w:hAnsi="Times New Roman" w:cs="Times New Roman"/>
          <w:sz w:val="28"/>
          <w:szCs w:val="28"/>
          <w:lang w:val="es-ES_tradnl"/>
        </w:rPr>
        <w:t>uible el cobro anticipado de tributos, como lo es la retención en la fuente, puesto que es una vía de lograr la eficiencia tributaria.</w:t>
      </w:r>
      <w:r w:rsidRPr="00C050D9">
        <w:rPr>
          <w:rFonts w:ascii="Times New Roman" w:hAnsi="Times New Roman" w:cs="Times New Roman"/>
          <w:sz w:val="28"/>
          <w:szCs w:val="20"/>
          <w:vertAlign w:val="superscript"/>
          <w:lang w:val="es-ES_tradnl"/>
        </w:rPr>
        <w:footnoteReference w:id="44"/>
      </w:r>
      <w:r w:rsidRPr="00C050D9">
        <w:rPr>
          <w:rFonts w:ascii="Times New Roman" w:hAnsi="Times New Roman" w:cs="Times New Roman"/>
          <w:sz w:val="28"/>
          <w:szCs w:val="28"/>
          <w:vertAlign w:val="superscript"/>
          <w:lang w:val="es-ES_tradnl"/>
        </w:rPr>
        <w:t xml:space="preserve"> </w:t>
      </w:r>
      <w:r w:rsidRPr="00C050D9">
        <w:rPr>
          <w:rFonts w:ascii="Times New Roman" w:hAnsi="Times New Roman" w:cs="Times New Roman"/>
          <w:sz w:val="28"/>
          <w:szCs w:val="28"/>
          <w:lang w:val="es-ES_tradnl"/>
        </w:rPr>
        <w:t>Sobre este punto, el cargo carece de claridad en razón a que no es preciso el reproche de los demandantes. Atacan, por u</w:t>
      </w:r>
      <w:r w:rsidRPr="00C050D9">
        <w:rPr>
          <w:rFonts w:ascii="Times New Roman" w:hAnsi="Times New Roman" w:cs="Times New Roman"/>
          <w:sz w:val="28"/>
          <w:szCs w:val="28"/>
          <w:lang w:val="es-ES_tradnl"/>
        </w:rPr>
        <w:t>n parte, que la tarifa del 15% sobre los dividendos es excesiva, pero a la vez -y sobre todo en el escrito de corrección-, ahora reprochan el recaudo anticipado a través de retención en la fuente.</w:t>
      </w:r>
    </w:p>
    <w:p w:rsidR="008B6BE7" w:rsidRPr="00C050D9" w:rsidRDefault="00C050D9" w:rsidP="008B6BE7">
      <w:pPr>
        <w:pStyle w:val="Prrafodelista"/>
        <w:tabs>
          <w:tab w:val="left" w:pos="426"/>
        </w:tabs>
        <w:spacing w:after="0" w:line="240" w:lineRule="auto"/>
        <w:ind w:left="0"/>
        <w:rPr>
          <w:rFonts w:ascii="Times New Roman" w:hAnsi="Times New Roman" w:cs="Times New Roman"/>
          <w:sz w:val="28"/>
          <w:szCs w:val="28"/>
          <w:lang w:val="es-ES_tradnl"/>
        </w:rPr>
      </w:pPr>
    </w:p>
    <w:p w:rsidR="00FC73B8" w:rsidRPr="00C050D9" w:rsidRDefault="00C050D9" w:rsidP="008B6BE7">
      <w:pPr>
        <w:pStyle w:val="Prrafodelista"/>
        <w:numPr>
          <w:ilvl w:val="0"/>
          <w:numId w:val="3"/>
        </w:numPr>
        <w:tabs>
          <w:tab w:val="left" w:pos="426"/>
        </w:tabs>
        <w:spacing w:after="0" w:line="240" w:lineRule="auto"/>
        <w:ind w:left="0" w:firstLine="0"/>
        <w:rPr>
          <w:rFonts w:ascii="Times New Roman" w:hAnsi="Times New Roman" w:cs="Times New Roman"/>
          <w:sz w:val="28"/>
          <w:szCs w:val="28"/>
          <w:lang w:val="es-ES_tradnl"/>
        </w:rPr>
      </w:pPr>
      <w:r w:rsidRPr="00C050D9">
        <w:rPr>
          <w:rFonts w:ascii="Times New Roman" w:hAnsi="Times New Roman" w:cs="Times New Roman"/>
          <w:sz w:val="28"/>
          <w:szCs w:val="28"/>
          <w:lang w:val="es-ES_tradnl"/>
        </w:rPr>
        <w:t>En segundo lugar, los argumentos</w:t>
      </w:r>
      <w:r w:rsidRPr="00C050D9">
        <w:rPr>
          <w:rFonts w:ascii="Times New Roman" w:hAnsi="Times New Roman" w:cs="Times New Roman"/>
          <w:sz w:val="28"/>
          <w:szCs w:val="28"/>
          <w:lang w:val="es-ES_tradnl"/>
        </w:rPr>
        <w:t xml:space="preserve"> carecen de </w:t>
      </w:r>
      <w:r w:rsidRPr="00C050D9">
        <w:rPr>
          <w:rFonts w:ascii="Times New Roman" w:hAnsi="Times New Roman" w:cs="Times New Roman"/>
          <w:sz w:val="28"/>
          <w:szCs w:val="28"/>
          <w:lang w:val="es-ES_tradnl"/>
        </w:rPr>
        <w:t>pertinencia</w:t>
      </w:r>
      <w:r w:rsidRPr="00C050D9">
        <w:rPr>
          <w:rFonts w:ascii="Times New Roman" w:hAnsi="Times New Roman" w:cs="Times New Roman"/>
          <w:sz w:val="28"/>
          <w:szCs w:val="28"/>
          <w:lang w:val="es-ES_tradnl"/>
        </w:rPr>
        <w:t>, p</w:t>
      </w:r>
      <w:r w:rsidRPr="00C050D9">
        <w:rPr>
          <w:rFonts w:ascii="Times New Roman" w:hAnsi="Times New Roman" w:cs="Times New Roman"/>
          <w:sz w:val="28"/>
          <w:szCs w:val="28"/>
          <w:lang w:val="es-ES_tradnl"/>
        </w:rPr>
        <w:t xml:space="preserve">uesto </w:t>
      </w:r>
      <w:r w:rsidRPr="00C050D9">
        <w:rPr>
          <w:rFonts w:ascii="Times New Roman" w:hAnsi="Times New Roman" w:cs="Times New Roman"/>
          <w:sz w:val="28"/>
          <w:szCs w:val="28"/>
          <w:lang w:val="es-ES_tradnl"/>
        </w:rPr>
        <w:t>que las razones que</w:t>
      </w:r>
      <w:r w:rsidRPr="00C050D9">
        <w:rPr>
          <w:rFonts w:ascii="Times New Roman" w:hAnsi="Times New Roman" w:cs="Times New Roman"/>
          <w:sz w:val="28"/>
          <w:szCs w:val="28"/>
          <w:lang w:val="es-ES_tradnl"/>
        </w:rPr>
        <w:t xml:space="preserve"> exponen los demandantes no son de naturaleza constitucional, sino de conveniencia en relación con los trámites que debe adelantar el contribuyente para solicitar saldos a favor. En el escrito de corrección de la demanda, los ciuda</w:t>
      </w:r>
      <w:r w:rsidRPr="00C050D9">
        <w:rPr>
          <w:rFonts w:ascii="Times New Roman" w:hAnsi="Times New Roman" w:cs="Times New Roman"/>
          <w:sz w:val="28"/>
          <w:szCs w:val="28"/>
          <w:lang w:val="es-ES_tradnl"/>
        </w:rPr>
        <w:t xml:space="preserve">danos resaltaron que </w:t>
      </w:r>
      <w:r w:rsidRPr="00C050D9">
        <w:rPr>
          <w:rFonts w:ascii="Times New Roman" w:hAnsi="Times New Roman" w:cs="Times New Roman"/>
          <w:iCs/>
          <w:sz w:val="28"/>
          <w:szCs w:val="28"/>
          <w:lang w:val="es-ES_tradnl" w:eastAsia="es-MX"/>
        </w:rPr>
        <w:t>«</w:t>
      </w:r>
      <w:r w:rsidRPr="00C050D9">
        <w:rPr>
          <w:rFonts w:ascii="Times New Roman" w:eastAsiaTheme="minorHAnsi" w:hAnsi="Times New Roman" w:cs="Times New Roman"/>
          <w:sz w:val="28"/>
          <w:szCs w:val="28"/>
          <w:lang w:eastAsia="en-US"/>
        </w:rPr>
        <w:t xml:space="preserve">(…) </w:t>
      </w:r>
      <w:r w:rsidRPr="00C050D9">
        <w:rPr>
          <w:rFonts w:ascii="Times New Roman" w:hAnsi="Times New Roman" w:cs="Times New Roman"/>
          <w:iCs/>
          <w:sz w:val="28"/>
          <w:szCs w:val="28"/>
          <w:lang w:eastAsia="es-MX"/>
        </w:rPr>
        <w:t>jamás se ha negado que el exceso de retenciones podrá ser solicitado en devolución por parte de los contribuyentes, sin embargo, ese hecho es precisamente el objeto de reproche en el caso que nos convoca, pues a todas luces result</w:t>
      </w:r>
      <w:r w:rsidRPr="00C050D9">
        <w:rPr>
          <w:rFonts w:ascii="Times New Roman" w:hAnsi="Times New Roman" w:cs="Times New Roman"/>
          <w:iCs/>
          <w:sz w:val="28"/>
          <w:szCs w:val="28"/>
          <w:lang w:eastAsia="es-MX"/>
        </w:rPr>
        <w:t>a desproporcionado recaudar vía retención un mayor valor del impuesto a cargo, para obligarlo a adelantar un proceso de devolución, donde seguramente tendrá que contratar un profesional para que adelante el trámite, como quiera que deben cumplirse varios r</w:t>
      </w:r>
      <w:r w:rsidRPr="00C050D9">
        <w:rPr>
          <w:rFonts w:ascii="Times New Roman" w:hAnsi="Times New Roman" w:cs="Times New Roman"/>
          <w:iCs/>
          <w:sz w:val="28"/>
          <w:szCs w:val="28"/>
          <w:lang w:eastAsia="es-MX"/>
        </w:rPr>
        <w:t>equisitos para culminar el proceso con éxito».</w:t>
      </w:r>
      <w:r w:rsidRPr="00C050D9">
        <w:rPr>
          <w:rFonts w:ascii="Times New Roman" w:hAnsi="Times New Roman" w:cs="Times New Roman"/>
          <w:sz w:val="28"/>
          <w:szCs w:val="28"/>
          <w:vertAlign w:val="superscript"/>
          <w:lang w:eastAsia="es-MX"/>
        </w:rPr>
        <w:footnoteReference w:id="45"/>
      </w:r>
    </w:p>
    <w:p w:rsidR="008B6BE7" w:rsidRPr="00C050D9" w:rsidRDefault="00C050D9" w:rsidP="008B6BE7">
      <w:pPr>
        <w:pStyle w:val="Prrafodelista"/>
        <w:rPr>
          <w:rFonts w:ascii="Times New Roman" w:hAnsi="Times New Roman" w:cs="Times New Roman"/>
          <w:sz w:val="28"/>
          <w:szCs w:val="28"/>
          <w:lang w:val="es-ES_tradnl"/>
        </w:rPr>
      </w:pPr>
    </w:p>
    <w:p w:rsidR="00767320" w:rsidRPr="00C050D9" w:rsidRDefault="00C050D9" w:rsidP="008E74D4">
      <w:pPr>
        <w:pStyle w:val="Prrafodelista"/>
        <w:numPr>
          <w:ilvl w:val="0"/>
          <w:numId w:val="3"/>
        </w:numPr>
        <w:tabs>
          <w:tab w:val="left" w:pos="142"/>
          <w:tab w:val="left"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6"/>
          <w:lang w:val="es-ES" w:eastAsia="es-MX"/>
        </w:rPr>
      </w:pPr>
      <w:r w:rsidRPr="00C050D9">
        <w:rPr>
          <w:rFonts w:ascii="Times New Roman" w:hAnsi="Times New Roman" w:cs="Times New Roman"/>
          <w:sz w:val="28"/>
          <w:szCs w:val="28"/>
          <w:lang w:val="es-ES_tradnl"/>
        </w:rPr>
        <w:t xml:space="preserve">Como es posible evidenciar en la argumentación de los ciudadanos, su </w:t>
      </w:r>
      <w:r w:rsidRPr="00C050D9">
        <w:rPr>
          <w:rFonts w:ascii="Times New Roman" w:hAnsi="Times New Roman" w:cs="Times New Roman"/>
          <w:sz w:val="28"/>
          <w:szCs w:val="28"/>
          <w:lang w:val="es-ES_tradnl"/>
        </w:rPr>
        <w:t>reproche</w:t>
      </w:r>
      <w:r w:rsidRPr="00C050D9">
        <w:rPr>
          <w:rFonts w:ascii="Times New Roman" w:hAnsi="Times New Roman" w:cs="Times New Roman"/>
          <w:sz w:val="28"/>
          <w:szCs w:val="28"/>
          <w:lang w:val="es-ES_tradnl"/>
        </w:rPr>
        <w:t xml:space="preserve"> no se concentra en el contraste del contenido de la disposición y las normas constitucionales, sino en </w:t>
      </w:r>
      <w:r w:rsidRPr="00C050D9">
        <w:rPr>
          <w:rFonts w:ascii="Times New Roman" w:hAnsi="Times New Roman" w:cs="Times New Roman"/>
          <w:sz w:val="28"/>
          <w:szCs w:val="28"/>
          <w:lang w:val="es-ES_tradnl"/>
        </w:rPr>
        <w:t xml:space="preserve">la incomodidad que le </w:t>
      </w:r>
      <w:r w:rsidRPr="00C050D9">
        <w:rPr>
          <w:rFonts w:ascii="Times New Roman" w:hAnsi="Times New Roman" w:cs="Times New Roman"/>
          <w:sz w:val="28"/>
          <w:szCs w:val="28"/>
          <w:lang w:val="es-ES_tradnl"/>
        </w:rPr>
        <w:t>genera al contribuyente verse obligado a solicitar a la DIAN</w:t>
      </w:r>
      <w:r w:rsidRPr="00C050D9">
        <w:rPr>
          <w:rFonts w:ascii="Times New Roman" w:hAnsi="Times New Roman" w:cs="Times New Roman"/>
          <w:sz w:val="28"/>
          <w:szCs w:val="28"/>
          <w:lang w:val="es-ES_tradnl"/>
        </w:rPr>
        <w:t xml:space="preserve"> los saldos a favor o la compensación de la carga tributaria. </w:t>
      </w:r>
      <w:r w:rsidRPr="00C050D9">
        <w:rPr>
          <w:rFonts w:ascii="Times New Roman" w:hAnsi="Times New Roman" w:cs="Times New Roman"/>
          <w:sz w:val="28"/>
          <w:szCs w:val="28"/>
          <w:lang w:val="es-ES_tradnl"/>
        </w:rPr>
        <w:t>En efecto, los ciudadanos no explicaron, por ejemplo, cómo el adelantamiento de un trámite, como lo es solicitar los saldos a favor, e</w:t>
      </w:r>
      <w:r w:rsidRPr="00C050D9">
        <w:rPr>
          <w:rFonts w:ascii="Times New Roman" w:hAnsi="Times New Roman" w:cs="Times New Roman"/>
          <w:sz w:val="28"/>
          <w:szCs w:val="28"/>
          <w:lang w:val="es-ES_tradnl"/>
        </w:rPr>
        <w:t>s en sí mismo una “carga excesiva o un beneficio exagerado” en los términos de la jurisprudencia constitucional; pues en principio, la Corte se ha referido a estos conceptos cuando la medida impositiva no consulta la capacidad económica del contribuyente e</w:t>
      </w:r>
      <w:r w:rsidRPr="00C050D9">
        <w:rPr>
          <w:rFonts w:ascii="Times New Roman" w:hAnsi="Times New Roman" w:cs="Times New Roman"/>
          <w:sz w:val="28"/>
          <w:szCs w:val="28"/>
          <w:lang w:val="es-ES_tradnl"/>
        </w:rPr>
        <w:t>n razón a la naturaleza y fines del impuesto que se estudia.</w:t>
      </w:r>
      <w:r w:rsidRPr="00C050D9">
        <w:rPr>
          <w:rStyle w:val="Refdenotaalpie"/>
          <w:rFonts w:ascii="Times New Roman" w:hAnsi="Times New Roman" w:cs="Times New Roman"/>
          <w:sz w:val="28"/>
          <w:szCs w:val="28"/>
          <w:lang w:val="es-ES_tradnl"/>
        </w:rPr>
        <w:footnoteReference w:id="46"/>
      </w:r>
    </w:p>
    <w:p w:rsidR="00767320" w:rsidRPr="00C050D9" w:rsidRDefault="00C050D9" w:rsidP="00767320">
      <w:pPr>
        <w:pStyle w:val="Prrafodelista"/>
        <w:rPr>
          <w:rFonts w:ascii="Times New Roman" w:hAnsi="Times New Roman" w:cs="Times New Roman"/>
          <w:kern w:val="2"/>
          <w:sz w:val="28"/>
          <w:szCs w:val="28"/>
          <w14:ligatures w14:val="standardContextual"/>
        </w:rPr>
      </w:pPr>
    </w:p>
    <w:p w:rsidR="008E6524" w:rsidRPr="00C050D9" w:rsidRDefault="00C050D9" w:rsidP="008E74D4">
      <w:pPr>
        <w:pStyle w:val="Prrafodelista"/>
        <w:numPr>
          <w:ilvl w:val="0"/>
          <w:numId w:val="3"/>
        </w:numPr>
        <w:tabs>
          <w:tab w:val="left" w:pos="142"/>
          <w:tab w:val="left"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 w:eastAsia="es-MX"/>
        </w:rPr>
      </w:pPr>
      <w:r w:rsidRPr="00C050D9">
        <w:rPr>
          <w:rFonts w:ascii="Times New Roman" w:hAnsi="Times New Roman" w:cs="Times New Roman"/>
          <w:sz w:val="28"/>
          <w:szCs w:val="28"/>
          <w:lang w:val="es-ES" w:eastAsia="es-MX"/>
        </w:rPr>
        <w:t xml:space="preserve">En tercer lugar, </w:t>
      </w:r>
      <w:r w:rsidRPr="00C050D9">
        <w:rPr>
          <w:rFonts w:ascii="Times New Roman" w:hAnsi="Times New Roman" w:cs="Times New Roman"/>
          <w:sz w:val="28"/>
          <w:szCs w:val="28"/>
          <w:lang w:val="es-ES" w:eastAsia="es-MX"/>
        </w:rPr>
        <w:t xml:space="preserve">las razones expuestas por los demandantes carecen de </w:t>
      </w:r>
      <w:r w:rsidRPr="00C050D9">
        <w:rPr>
          <w:rFonts w:ascii="Times New Roman" w:hAnsi="Times New Roman" w:cs="Times New Roman"/>
          <w:sz w:val="28"/>
          <w:szCs w:val="28"/>
          <w:lang w:val="es-ES" w:eastAsia="es-MX"/>
        </w:rPr>
        <w:t>especificidad</w:t>
      </w:r>
      <w:r w:rsidRPr="00C050D9">
        <w:rPr>
          <w:rFonts w:ascii="Times New Roman" w:hAnsi="Times New Roman" w:cs="Times New Roman"/>
          <w:sz w:val="28"/>
          <w:szCs w:val="28"/>
          <w:lang w:val="es-ES" w:eastAsia="es-MX"/>
        </w:rPr>
        <w:t>, pues los ciudadanos presenta</w:t>
      </w:r>
      <w:r w:rsidRPr="00C050D9">
        <w:rPr>
          <w:rFonts w:ascii="Times New Roman" w:hAnsi="Times New Roman" w:cs="Times New Roman"/>
          <w:sz w:val="28"/>
          <w:szCs w:val="28"/>
          <w:lang w:val="es-ES" w:eastAsia="es-MX"/>
        </w:rPr>
        <w:t>n</w:t>
      </w:r>
      <w:r w:rsidRPr="00C050D9">
        <w:rPr>
          <w:rFonts w:ascii="Times New Roman" w:hAnsi="Times New Roman" w:cs="Times New Roman"/>
          <w:sz w:val="28"/>
          <w:szCs w:val="28"/>
          <w:lang w:val="es-ES" w:eastAsia="es-MX"/>
        </w:rPr>
        <w:t xml:space="preserve"> una tabla en la que hacen un ejercicio económico para demostrar su premisa, pero infieren de ella consecuencias subjetivas que no son claramente explicadas. En efecto, el ejercicio matemático que se presenta en la demanda no explica de dónde salen los val</w:t>
      </w:r>
      <w:r w:rsidRPr="00C050D9">
        <w:rPr>
          <w:rFonts w:ascii="Times New Roman" w:hAnsi="Times New Roman" w:cs="Times New Roman"/>
          <w:sz w:val="28"/>
          <w:szCs w:val="28"/>
          <w:lang w:val="es-ES" w:eastAsia="es-MX"/>
        </w:rPr>
        <w:t>ores allí presentados, particularmente el de “descuentos”.</w:t>
      </w:r>
      <w:r w:rsidRPr="00C050D9">
        <w:rPr>
          <w:rStyle w:val="Refdenotaalpie"/>
          <w:rFonts w:ascii="Times New Roman" w:hAnsi="Times New Roman" w:cs="Times New Roman"/>
          <w:sz w:val="28"/>
          <w:szCs w:val="28"/>
          <w:lang w:val="es-ES" w:eastAsia="es-MX"/>
        </w:rPr>
        <w:footnoteReference w:id="47"/>
      </w:r>
      <w:r w:rsidRPr="00C050D9">
        <w:rPr>
          <w:rFonts w:ascii="Times New Roman" w:hAnsi="Times New Roman" w:cs="Times New Roman"/>
          <w:sz w:val="28"/>
          <w:szCs w:val="28"/>
          <w:lang w:val="es-ES" w:eastAsia="es-MX"/>
        </w:rPr>
        <w:t xml:space="preserve"> Tampoco se precisa</w:t>
      </w:r>
      <w:r w:rsidRPr="00C050D9">
        <w:rPr>
          <w:rFonts w:ascii="Times New Roman" w:hAnsi="Times New Roman" w:cs="Times New Roman"/>
          <w:sz w:val="28"/>
          <w:szCs w:val="28"/>
          <w:lang w:val="es-ES" w:eastAsia="es-MX"/>
        </w:rPr>
        <w:t xml:space="preserve"> cuáles personas antes de tributar tienen la misma capacidad económica según sus utilidades en materia de dividendos, con el fin de determinar si su situación es la misma o es di</w:t>
      </w:r>
      <w:r w:rsidRPr="00C050D9">
        <w:rPr>
          <w:rFonts w:ascii="Times New Roman" w:hAnsi="Times New Roman" w:cs="Times New Roman"/>
          <w:sz w:val="28"/>
          <w:szCs w:val="28"/>
          <w:lang w:val="es-ES" w:eastAsia="es-MX"/>
        </w:rPr>
        <w:t>ferente luego de pagar el impuesto sobre la renta.</w:t>
      </w:r>
      <w:r w:rsidRPr="00C050D9">
        <w:rPr>
          <w:rFonts w:ascii="Times New Roman" w:hAnsi="Times New Roman" w:cs="Times New Roman"/>
          <w:sz w:val="28"/>
          <w:szCs w:val="28"/>
          <w:lang w:val="es-ES" w:eastAsia="es-MX"/>
        </w:rPr>
        <w:t xml:space="preserve"> Esto, para evidenciar la presunta violación del principio de equidad.</w:t>
      </w:r>
      <w:r w:rsidRPr="00C050D9">
        <w:rPr>
          <w:rFonts w:ascii="Times New Roman" w:hAnsi="Times New Roman" w:cs="Times New Roman"/>
          <w:sz w:val="28"/>
          <w:szCs w:val="28"/>
          <w:lang w:val="es-ES" w:eastAsia="es-MX"/>
        </w:rPr>
        <w:t xml:space="preserve"> </w:t>
      </w:r>
      <w:r w:rsidRPr="00C050D9">
        <w:rPr>
          <w:rFonts w:ascii="Times New Roman" w:hAnsi="Times New Roman" w:cs="Times New Roman"/>
          <w:sz w:val="28"/>
          <w:szCs w:val="28"/>
          <w:lang w:val="es-ES" w:eastAsia="es-MX"/>
        </w:rPr>
        <w:t>Contrario a ello, el parágrafo establece unas tarifas de retención de la fuente</w:t>
      </w:r>
      <w:r w:rsidRPr="00C050D9">
        <w:rPr>
          <w:rFonts w:ascii="Times New Roman" w:hAnsi="Times New Roman" w:cs="Times New Roman"/>
          <w:sz w:val="28"/>
          <w:szCs w:val="26"/>
        </w:rPr>
        <w:t xml:space="preserve"> </w:t>
      </w:r>
      <w:r w:rsidRPr="00C050D9">
        <w:rPr>
          <w:rFonts w:ascii="Times New Roman" w:hAnsi="Times New Roman" w:cs="Times New Roman"/>
          <w:sz w:val="28"/>
          <w:szCs w:val="28"/>
          <w:lang w:eastAsia="es-MX"/>
        </w:rPr>
        <w:t>sobre el valor de los dividendos o participaciones</w:t>
      </w:r>
      <w:r w:rsidRPr="00C050D9">
        <w:rPr>
          <w:rFonts w:ascii="Times New Roman" w:hAnsi="Times New Roman" w:cs="Times New Roman"/>
          <w:sz w:val="28"/>
          <w:szCs w:val="28"/>
          <w:lang w:eastAsia="es-MX"/>
        </w:rPr>
        <w:t xml:space="preserve"> esca</w:t>
      </w:r>
      <w:r w:rsidRPr="00C050D9">
        <w:rPr>
          <w:rFonts w:ascii="Times New Roman" w:hAnsi="Times New Roman" w:cs="Times New Roman"/>
          <w:sz w:val="28"/>
          <w:szCs w:val="28"/>
          <w:lang w:eastAsia="es-MX"/>
        </w:rPr>
        <w:t>lonadas</w:t>
      </w:r>
      <w:r w:rsidRPr="00C050D9">
        <w:rPr>
          <w:rFonts w:ascii="Times New Roman" w:hAnsi="Times New Roman" w:cs="Times New Roman"/>
          <w:sz w:val="28"/>
          <w:szCs w:val="28"/>
          <w:lang w:eastAsia="es-MX"/>
        </w:rPr>
        <w:t>, es decir, a mayores ingresos por dividendos mayor será el valor de retención en la fuente.</w:t>
      </w:r>
      <w:r w:rsidRPr="00C050D9">
        <w:rPr>
          <w:rFonts w:ascii="Times New Roman" w:hAnsi="Times New Roman" w:cs="Times New Roman"/>
          <w:sz w:val="28"/>
          <w:szCs w:val="28"/>
          <w:lang w:eastAsia="es-MX"/>
        </w:rPr>
        <w:t xml:space="preserve"> De manera que no se exponen razones que evidencien la existencia de una oposición objetiva entre la disposición demandada y el texto constitucional.</w:t>
      </w:r>
    </w:p>
    <w:p w:rsidR="008E6524" w:rsidRPr="00C050D9" w:rsidRDefault="00C050D9" w:rsidP="008E6524">
      <w:pPr>
        <w:pStyle w:val="Prrafodelista"/>
        <w:rPr>
          <w:rFonts w:ascii="Times New Roman" w:hAnsi="Times New Roman" w:cs="Times New Roman"/>
          <w:sz w:val="28"/>
          <w:szCs w:val="28"/>
          <w:lang w:val="es-ES" w:eastAsia="es-MX"/>
        </w:rPr>
      </w:pPr>
    </w:p>
    <w:p w:rsidR="00E9663D" w:rsidRPr="00C050D9" w:rsidRDefault="00C050D9" w:rsidP="008E74D4">
      <w:pPr>
        <w:pStyle w:val="Prrafodelista"/>
        <w:numPr>
          <w:ilvl w:val="0"/>
          <w:numId w:val="3"/>
        </w:numPr>
        <w:tabs>
          <w:tab w:val="left" w:pos="142"/>
          <w:tab w:val="left"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 w:eastAsia="es-MX"/>
        </w:rPr>
      </w:pPr>
      <w:r w:rsidRPr="00C050D9">
        <w:rPr>
          <w:rFonts w:ascii="Times New Roman" w:hAnsi="Times New Roman" w:cs="Times New Roman"/>
          <w:sz w:val="28"/>
          <w:szCs w:val="28"/>
          <w:lang w:val="es-ES" w:eastAsia="es-MX"/>
        </w:rPr>
        <w:t xml:space="preserve">Con lo anterior, se evidencia que las razones que sustentan el reproche de los ciudadanos son subjetivas y no obedecen a los contenidos de las normas constitucionales. </w:t>
      </w:r>
    </w:p>
    <w:p w:rsidR="004A5C0B" w:rsidRPr="00C050D9" w:rsidRDefault="00C050D9" w:rsidP="004A5C0B">
      <w:pPr>
        <w:rPr>
          <w:rFonts w:ascii="Times New Roman" w:hAnsi="Times New Roman" w:cs="Times New Roman"/>
          <w:kern w:val="2"/>
          <w:sz w:val="28"/>
          <w:szCs w:val="28"/>
          <w14:ligatures w14:val="standardContextual"/>
        </w:rPr>
      </w:pPr>
    </w:p>
    <w:p w:rsidR="00767320" w:rsidRPr="00C050D9" w:rsidRDefault="00C050D9" w:rsidP="008E74D4">
      <w:pPr>
        <w:pStyle w:val="Prrafodelista"/>
        <w:numPr>
          <w:ilvl w:val="0"/>
          <w:numId w:val="3"/>
        </w:numPr>
        <w:tabs>
          <w:tab w:val="left" w:pos="142"/>
          <w:tab w:val="left"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 w:eastAsia="es-MX"/>
        </w:rPr>
      </w:pPr>
      <w:r w:rsidRPr="00C050D9">
        <w:rPr>
          <w:rFonts w:ascii="Times New Roman" w:hAnsi="Times New Roman" w:cs="Times New Roman"/>
          <w:kern w:val="2"/>
          <w:sz w:val="28"/>
          <w:szCs w:val="28"/>
          <w14:ligatures w14:val="standardContextual"/>
        </w:rPr>
        <w:t xml:space="preserve">En </w:t>
      </w:r>
      <w:r w:rsidRPr="00C050D9">
        <w:rPr>
          <w:rFonts w:ascii="Times New Roman" w:hAnsi="Times New Roman" w:cs="Times New Roman"/>
          <w:kern w:val="2"/>
          <w:sz w:val="28"/>
          <w:szCs w:val="28"/>
          <w14:ligatures w14:val="standardContextual"/>
        </w:rPr>
        <w:t>cuarto</w:t>
      </w:r>
      <w:r w:rsidRPr="00C050D9">
        <w:rPr>
          <w:rFonts w:ascii="Times New Roman" w:hAnsi="Times New Roman" w:cs="Times New Roman"/>
          <w:kern w:val="2"/>
          <w:sz w:val="28"/>
          <w:szCs w:val="28"/>
          <w14:ligatures w14:val="standardContextual"/>
        </w:rPr>
        <w:t xml:space="preserve"> lugar, y aunado a lo anterior, el cargo carece de razones </w:t>
      </w:r>
      <w:r w:rsidRPr="00C050D9">
        <w:rPr>
          <w:rFonts w:ascii="Times New Roman" w:hAnsi="Times New Roman" w:cs="Times New Roman"/>
          <w:kern w:val="2"/>
          <w:sz w:val="28"/>
          <w:szCs w:val="28"/>
          <w14:ligatures w14:val="standardContextual"/>
        </w:rPr>
        <w:t>sufici</w:t>
      </w:r>
      <w:r w:rsidRPr="00C050D9">
        <w:rPr>
          <w:rFonts w:ascii="Times New Roman" w:hAnsi="Times New Roman" w:cs="Times New Roman"/>
          <w:kern w:val="2"/>
          <w:sz w:val="28"/>
          <w:szCs w:val="28"/>
          <w14:ligatures w14:val="standardContextual"/>
        </w:rPr>
        <w:t>entes</w:t>
      </w:r>
      <w:r w:rsidRPr="00C050D9">
        <w:rPr>
          <w:rFonts w:ascii="Times New Roman" w:hAnsi="Times New Roman" w:cs="Times New Roman"/>
          <w:kern w:val="2"/>
          <w:sz w:val="28"/>
          <w:szCs w:val="28"/>
          <w14:ligatures w14:val="standardContextual"/>
        </w:rPr>
        <w:t xml:space="preserve">, pues </w:t>
      </w:r>
      <w:r w:rsidRPr="00C050D9">
        <w:rPr>
          <w:rFonts w:ascii="Times New Roman" w:hAnsi="Times New Roman" w:cs="Times New Roman"/>
          <w:kern w:val="2"/>
          <w:sz w:val="28"/>
          <w:szCs w:val="28"/>
          <w14:ligatures w14:val="standardContextual"/>
        </w:rPr>
        <w:t>los actores no generan una mínima duda para entender que el cobro anticipado del impuesto resulta ser una carga excesiva, tratándose de contribuyentes con una amplia capacidad de pago por las ganancias que generan los dividendos de los que son beneficiario</w:t>
      </w:r>
      <w:r w:rsidRPr="00C050D9">
        <w:rPr>
          <w:rFonts w:ascii="Times New Roman" w:hAnsi="Times New Roman" w:cs="Times New Roman"/>
          <w:kern w:val="2"/>
          <w:sz w:val="28"/>
          <w:szCs w:val="28"/>
          <w14:ligatures w14:val="standardContextual"/>
        </w:rPr>
        <w:t>s.</w:t>
      </w:r>
      <w:r w:rsidRPr="00C050D9">
        <w:rPr>
          <w:rFonts w:ascii="Times New Roman" w:hAnsi="Times New Roman" w:cs="Times New Roman"/>
          <w:sz w:val="28"/>
          <w:szCs w:val="28"/>
          <w:vertAlign w:val="superscript"/>
        </w:rPr>
        <w:footnoteReference w:id="48"/>
      </w:r>
      <w:r w:rsidRPr="00C050D9">
        <w:rPr>
          <w:rFonts w:ascii="Times New Roman" w:hAnsi="Times New Roman" w:cs="Times New Roman"/>
          <w:kern w:val="2"/>
          <w:sz w:val="28"/>
          <w:szCs w:val="28"/>
          <w14:ligatures w14:val="standardContextual"/>
        </w:rPr>
        <w:t xml:space="preserve"> Finalmente, el saldo a favor que alegan los demandantes puede solicitarse por el contribuyente por medio de la devolución o a través de la compensación con otros tributos.</w:t>
      </w:r>
    </w:p>
    <w:p w:rsidR="00767320" w:rsidRPr="00C050D9" w:rsidRDefault="00C050D9" w:rsidP="00767320">
      <w:pPr>
        <w:pStyle w:val="Prrafodelista"/>
        <w:rPr>
          <w:rFonts w:ascii="Times New Roman" w:hAnsi="Times New Roman" w:cs="Times New Roman"/>
          <w:kern w:val="2"/>
          <w:sz w:val="28"/>
          <w:szCs w:val="28"/>
          <w14:ligatures w14:val="standardContextual"/>
        </w:rPr>
      </w:pPr>
    </w:p>
    <w:p w:rsidR="00FF7086" w:rsidRPr="00C050D9" w:rsidRDefault="00C050D9" w:rsidP="00FF7086">
      <w:pPr>
        <w:pStyle w:val="Prrafodelista"/>
        <w:numPr>
          <w:ilvl w:val="0"/>
          <w:numId w:val="3"/>
        </w:numPr>
        <w:tabs>
          <w:tab w:val="left" w:pos="142"/>
          <w:tab w:val="left"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 w:eastAsia="es-MX"/>
        </w:rPr>
      </w:pPr>
      <w:r w:rsidRPr="00C050D9">
        <w:rPr>
          <w:rFonts w:ascii="Times New Roman" w:hAnsi="Times New Roman" w:cs="Times New Roman"/>
          <w:kern w:val="2"/>
          <w:sz w:val="28"/>
          <w:szCs w:val="28"/>
          <w14:ligatures w14:val="standardContextual"/>
        </w:rPr>
        <w:t>Conforme a las consideraciones expuestas, las razones que fundamentan el cargo</w:t>
      </w:r>
      <w:r w:rsidRPr="00C050D9">
        <w:rPr>
          <w:rFonts w:ascii="Times New Roman" w:hAnsi="Times New Roman" w:cs="Times New Roman"/>
          <w:kern w:val="2"/>
          <w:sz w:val="28"/>
          <w:szCs w:val="28"/>
          <w14:ligatures w14:val="standardContextual"/>
        </w:rPr>
        <w:t xml:space="preserve"> </w:t>
      </w:r>
      <w:r w:rsidRPr="00C050D9">
        <w:rPr>
          <w:rFonts w:ascii="Times New Roman" w:hAnsi="Times New Roman" w:cs="Times New Roman"/>
          <w:kern w:val="2"/>
          <w:sz w:val="28"/>
          <w:szCs w:val="28"/>
          <w14:ligatures w14:val="standardContextual"/>
        </w:rPr>
        <w:t xml:space="preserve">son precarias y </w:t>
      </w:r>
      <w:r w:rsidRPr="00C050D9">
        <w:rPr>
          <w:rFonts w:ascii="Times New Roman" w:hAnsi="Times New Roman" w:cs="Times New Roman"/>
          <w:kern w:val="2"/>
          <w:sz w:val="28"/>
          <w:szCs w:val="28"/>
          <w14:ligatures w14:val="standardContextual"/>
        </w:rPr>
        <w:t xml:space="preserve">no demuestran cómo </w:t>
      </w:r>
      <w:r w:rsidRPr="00C050D9">
        <w:rPr>
          <w:rFonts w:ascii="Times New Roman" w:hAnsi="Times New Roman" w:cs="Times New Roman"/>
          <w:sz w:val="28"/>
          <w:szCs w:val="28"/>
        </w:rPr>
        <w:t xml:space="preserve">el hecho de que exista un saldo a favor del contribuyente ante el pago anticipado del impuesto sobre la renta produce una violación del principio de equidad y justicia tributaria. En ese sentido, los argumentos expuestos </w:t>
      </w:r>
      <w:r w:rsidRPr="00C050D9">
        <w:rPr>
          <w:rFonts w:ascii="Times New Roman" w:hAnsi="Times New Roman" w:cs="Times New Roman"/>
          <w:sz w:val="28"/>
          <w:szCs w:val="28"/>
        </w:rPr>
        <w:t xml:space="preserve">no son pertinentes ni suficientes para extraer una violación de los principios tributarios constitucionales. Conforme a ello, los ciudadanos omitieron explicar con mayor concreción el nexo causal de la violación, es decir, lo establecido por el legislador </w:t>
      </w:r>
      <w:r w:rsidRPr="00C050D9">
        <w:rPr>
          <w:rFonts w:ascii="Times New Roman" w:hAnsi="Times New Roman" w:cs="Times New Roman"/>
          <w:sz w:val="28"/>
          <w:szCs w:val="28"/>
        </w:rPr>
        <w:t xml:space="preserve">y los contenidos de la Constitución que invocan como vulnerados. </w:t>
      </w:r>
    </w:p>
    <w:p w:rsidR="00FF7086" w:rsidRPr="00C050D9" w:rsidRDefault="00C050D9" w:rsidP="00FF7086">
      <w:pPr>
        <w:pStyle w:val="Prrafodelista"/>
        <w:tabs>
          <w:tab w:val="left" w:pos="142"/>
          <w:tab w:val="left" w:pos="426"/>
        </w:tabs>
        <w:overflowPunct w:val="0"/>
        <w:autoSpaceDE w:val="0"/>
        <w:autoSpaceDN w:val="0"/>
        <w:adjustRightInd w:val="0"/>
        <w:spacing w:after="0" w:line="240" w:lineRule="auto"/>
        <w:ind w:left="0"/>
        <w:textAlignment w:val="baseline"/>
        <w:rPr>
          <w:rFonts w:ascii="Times New Roman" w:hAnsi="Times New Roman" w:cs="Times New Roman"/>
          <w:sz w:val="28"/>
          <w:szCs w:val="28"/>
          <w:lang w:val="es-ES" w:eastAsia="es-MX"/>
        </w:rPr>
      </w:pPr>
    </w:p>
    <w:p w:rsidR="00FF7086" w:rsidRPr="00C050D9" w:rsidRDefault="00C050D9" w:rsidP="008E74D4">
      <w:pPr>
        <w:pStyle w:val="Prrafodelista"/>
        <w:numPr>
          <w:ilvl w:val="0"/>
          <w:numId w:val="3"/>
        </w:numPr>
        <w:tabs>
          <w:tab w:val="left" w:pos="142"/>
          <w:tab w:val="left" w:pos="426"/>
        </w:tabs>
        <w:overflowPunct w:val="0"/>
        <w:autoSpaceDE w:val="0"/>
        <w:autoSpaceDN w:val="0"/>
        <w:adjustRightInd w:val="0"/>
        <w:spacing w:after="0" w:line="240" w:lineRule="auto"/>
        <w:ind w:left="0" w:firstLine="0"/>
        <w:textAlignment w:val="baseline"/>
        <w:rPr>
          <w:rFonts w:ascii="Times New Roman" w:hAnsi="Times New Roman" w:cs="Times New Roman"/>
          <w:sz w:val="28"/>
          <w:szCs w:val="28"/>
          <w:lang w:val="es-ES" w:eastAsia="es-MX"/>
        </w:rPr>
      </w:pPr>
      <w:r w:rsidRPr="00C050D9">
        <w:rPr>
          <w:rFonts w:ascii="Times New Roman" w:hAnsi="Times New Roman" w:cs="Times New Roman"/>
          <w:sz w:val="28"/>
          <w:szCs w:val="28"/>
          <w:lang w:val="es-ES" w:eastAsia="es-MX"/>
        </w:rPr>
        <w:t>En conclusión, la Sala Plena se inhibirá para fallar de fondo el cargo contra el parágrafo del artículo 3 de la Ley 2277 de 2022, por la presunta violación de los principios de justicia y equidad tributarias, por carecer de razones claras, pertinentes, esp</w:t>
      </w:r>
      <w:r w:rsidRPr="00C050D9">
        <w:rPr>
          <w:rFonts w:ascii="Times New Roman" w:hAnsi="Times New Roman" w:cs="Times New Roman"/>
          <w:sz w:val="28"/>
          <w:szCs w:val="28"/>
          <w:lang w:val="es-ES" w:eastAsia="es-MX"/>
        </w:rPr>
        <w:t xml:space="preserve">ecíficas y suficientes. </w:t>
      </w:r>
    </w:p>
    <w:p w:rsidR="005E3297" w:rsidRPr="00C050D9" w:rsidRDefault="00C050D9" w:rsidP="0015527B">
      <w:pPr>
        <w:spacing w:after="0" w:line="240" w:lineRule="auto"/>
        <w:ind w:right="49"/>
        <w:rPr>
          <w:rFonts w:ascii="Times New Roman" w:hAnsi="Times New Roman" w:cs="Times New Roman"/>
          <w:sz w:val="28"/>
          <w:szCs w:val="28"/>
          <w:shd w:val="clear" w:color="auto" w:fill="FFFFFF"/>
          <w:lang w:val="es-ES_tradnl"/>
        </w:rPr>
      </w:pPr>
      <w:bookmarkStart w:id="14" w:name="_Hlk51928375"/>
    </w:p>
    <w:p w:rsidR="0015527B" w:rsidRPr="00C050D9" w:rsidRDefault="00C050D9" w:rsidP="0015527B">
      <w:pPr>
        <w:spacing w:after="0" w:line="240" w:lineRule="auto"/>
        <w:ind w:right="49"/>
        <w:jc w:val="center"/>
        <w:rPr>
          <w:rFonts w:ascii="Times New Roman" w:hAnsi="Times New Roman" w:cs="Times New Roman"/>
          <w:b/>
          <w:bCs/>
          <w:sz w:val="28"/>
          <w:szCs w:val="28"/>
          <w:shd w:val="clear" w:color="auto" w:fill="FFFFFF"/>
          <w:lang w:val="es-ES_tradnl"/>
        </w:rPr>
      </w:pPr>
      <w:r w:rsidRPr="00C050D9">
        <w:rPr>
          <w:rFonts w:ascii="Times New Roman" w:hAnsi="Times New Roman" w:cs="Times New Roman"/>
          <w:b/>
          <w:bCs/>
          <w:sz w:val="28"/>
          <w:szCs w:val="28"/>
          <w:shd w:val="clear" w:color="auto" w:fill="FFFFFF"/>
          <w:lang w:val="es-ES_tradnl"/>
        </w:rPr>
        <w:t>RESUELVE</w:t>
      </w:r>
    </w:p>
    <w:p w:rsidR="00CF0A6D" w:rsidRPr="00C050D9" w:rsidRDefault="00C050D9" w:rsidP="0015527B">
      <w:pPr>
        <w:spacing w:after="0" w:line="240" w:lineRule="auto"/>
        <w:ind w:right="49"/>
        <w:jc w:val="center"/>
        <w:rPr>
          <w:rFonts w:ascii="Times New Roman" w:hAnsi="Times New Roman" w:cs="Times New Roman"/>
          <w:b/>
          <w:bCs/>
          <w:sz w:val="28"/>
          <w:szCs w:val="28"/>
          <w:shd w:val="clear" w:color="auto" w:fill="FFFFFF"/>
          <w:lang w:val="es-ES_tradnl"/>
        </w:rPr>
      </w:pPr>
    </w:p>
    <w:p w:rsidR="00C918DD" w:rsidRPr="00C050D9" w:rsidRDefault="00C050D9" w:rsidP="00C918DD">
      <w:pPr>
        <w:shd w:val="clear" w:color="auto" w:fill="FFFFFF"/>
        <w:spacing w:after="0" w:line="240" w:lineRule="auto"/>
        <w:contextualSpacing/>
        <w:rPr>
          <w:rFonts w:ascii="Times New Roman" w:eastAsiaTheme="minorHAnsi" w:hAnsi="Times New Roman" w:cs="Times New Roman"/>
          <w:sz w:val="28"/>
          <w:szCs w:val="28"/>
          <w:shd w:val="clear" w:color="auto" w:fill="FFFFFF"/>
          <w:lang w:eastAsia="en-US"/>
        </w:rPr>
      </w:pPr>
      <w:bookmarkStart w:id="15" w:name="_Hlk152757629"/>
      <w:r w:rsidRPr="00C050D9">
        <w:rPr>
          <w:rFonts w:ascii="Times New Roman" w:eastAsiaTheme="minorHAnsi" w:hAnsi="Times New Roman" w:cs="Times New Roman"/>
          <w:b/>
          <w:sz w:val="28"/>
          <w:szCs w:val="28"/>
          <w:bdr w:val="none" w:sz="0" w:space="0" w:color="auto" w:frame="1"/>
          <w:lang w:eastAsia="en-US"/>
        </w:rPr>
        <w:t xml:space="preserve">PRIMERO. </w:t>
      </w:r>
      <w:r w:rsidRPr="00C050D9">
        <w:rPr>
          <w:rFonts w:ascii="Times New Roman" w:eastAsiaTheme="minorHAnsi" w:hAnsi="Times New Roman" w:cs="Times New Roman"/>
          <w:b/>
          <w:sz w:val="28"/>
          <w:szCs w:val="28"/>
          <w:bdr w:val="none" w:sz="0" w:space="0" w:color="auto" w:frame="1"/>
          <w:lang w:val="es-ES_tradnl" w:eastAsia="en-US"/>
        </w:rPr>
        <w:t xml:space="preserve">ESTARSE A LO RESUELTO </w:t>
      </w:r>
      <w:r w:rsidRPr="00C050D9">
        <w:rPr>
          <w:rFonts w:ascii="Times New Roman" w:eastAsiaTheme="minorHAnsi" w:hAnsi="Times New Roman" w:cs="Times New Roman"/>
          <w:bCs/>
          <w:sz w:val="28"/>
          <w:szCs w:val="28"/>
          <w:bdr w:val="none" w:sz="0" w:space="0" w:color="auto" w:frame="1"/>
          <w:lang w:val="es-ES_tradnl" w:eastAsia="en-US"/>
        </w:rPr>
        <w:t xml:space="preserve">en la </w:t>
      </w:r>
      <w:r w:rsidRPr="00C050D9">
        <w:rPr>
          <w:rFonts w:ascii="Times New Roman" w:eastAsiaTheme="minorHAnsi" w:hAnsi="Times New Roman" w:cs="Times New Roman"/>
          <w:b/>
          <w:bCs/>
          <w:sz w:val="28"/>
          <w:szCs w:val="28"/>
          <w:bdr w:val="none" w:sz="0" w:space="0" w:color="auto" w:frame="1"/>
          <w:lang w:val="es-ES_tradnl" w:eastAsia="en-US"/>
        </w:rPr>
        <w:t>Sentencia C-</w:t>
      </w:r>
      <w:r w:rsidRPr="00C050D9">
        <w:rPr>
          <w:rFonts w:ascii="Times New Roman" w:eastAsiaTheme="minorHAnsi" w:hAnsi="Times New Roman" w:cs="Times New Roman"/>
          <w:b/>
          <w:bCs/>
          <w:sz w:val="28"/>
          <w:szCs w:val="28"/>
          <w:bdr w:val="none" w:sz="0" w:space="0" w:color="auto" w:frame="1"/>
          <w:lang w:eastAsia="en-US"/>
        </w:rPr>
        <w:t>540 de 2023</w:t>
      </w:r>
      <w:r w:rsidRPr="00C050D9">
        <w:rPr>
          <w:rFonts w:ascii="Times New Roman" w:eastAsiaTheme="minorHAnsi" w:hAnsi="Times New Roman" w:cs="Times New Roman"/>
          <w:bCs/>
          <w:sz w:val="28"/>
          <w:szCs w:val="28"/>
          <w:bdr w:val="none" w:sz="0" w:space="0" w:color="auto" w:frame="1"/>
          <w:lang w:val="es-ES_tradnl" w:eastAsia="en-US"/>
        </w:rPr>
        <w:t xml:space="preserve">, en la cual declaró la inexequibilidad </w:t>
      </w:r>
      <w:r w:rsidRPr="00C050D9">
        <w:rPr>
          <w:rFonts w:ascii="Times New Roman" w:eastAsiaTheme="minorHAnsi" w:hAnsi="Times New Roman" w:cs="Times New Roman"/>
          <w:sz w:val="28"/>
          <w:szCs w:val="28"/>
          <w:shd w:val="clear" w:color="auto" w:fill="FFFFFF"/>
          <w:lang w:eastAsia="en-US"/>
        </w:rPr>
        <w:t xml:space="preserve">del </w:t>
      </w:r>
      <w:r w:rsidRPr="00C050D9">
        <w:rPr>
          <w:rFonts w:ascii="Times New Roman" w:eastAsiaTheme="minorHAnsi" w:hAnsi="Times New Roman" w:cs="Times New Roman"/>
          <w:bCs/>
          <w:sz w:val="28"/>
          <w:szCs w:val="28"/>
          <w:shd w:val="clear" w:color="auto" w:fill="FFFFFF"/>
          <w:lang w:eastAsia="en-US"/>
        </w:rPr>
        <w:t>inciso 2º del artículo 42</w:t>
      </w:r>
      <w:r w:rsidRPr="00C050D9">
        <w:rPr>
          <w:rFonts w:ascii="Times New Roman" w:eastAsiaTheme="minorHAnsi" w:hAnsi="Times New Roman" w:cs="Times New Roman"/>
          <w:sz w:val="28"/>
          <w:szCs w:val="28"/>
          <w:shd w:val="clear" w:color="auto" w:fill="FFFFFF"/>
          <w:lang w:val="es-ES_tradnl" w:eastAsia="en-US"/>
        </w:rPr>
        <w:t xml:space="preserve"> y los numerales 4 y 5 del inciso y del parágrafo cuarto del artículo 44 de la Ley </w:t>
      </w:r>
      <w:bookmarkStart w:id="16" w:name="_Hlk153806229"/>
      <w:r w:rsidRPr="00C050D9">
        <w:rPr>
          <w:rFonts w:ascii="Times New Roman" w:eastAsiaTheme="minorHAnsi" w:hAnsi="Times New Roman" w:cs="Times New Roman"/>
          <w:sz w:val="28"/>
          <w:szCs w:val="28"/>
          <w:shd w:val="clear" w:color="auto" w:fill="FFFFFF"/>
          <w:lang w:val="es-ES_tradnl" w:eastAsia="en-US"/>
        </w:rPr>
        <w:t xml:space="preserve">2277 de </w:t>
      </w:r>
      <w:r w:rsidRPr="00C050D9">
        <w:rPr>
          <w:rFonts w:ascii="Times New Roman" w:eastAsiaTheme="minorHAnsi" w:hAnsi="Times New Roman" w:cs="Times New Roman"/>
          <w:sz w:val="28"/>
          <w:szCs w:val="28"/>
          <w:shd w:val="clear" w:color="auto" w:fill="FFFFFF"/>
          <w:lang w:val="es-ES_tradnl" w:eastAsia="en-US"/>
        </w:rPr>
        <w:t>2022 «por medio de la cual se adopta una reforma tributaria para la igualdad y la justicia social y se dictan otras disposiciones».</w:t>
      </w:r>
    </w:p>
    <w:bookmarkEnd w:id="16"/>
    <w:p w:rsidR="00D6342B" w:rsidRPr="00C050D9" w:rsidRDefault="00C050D9" w:rsidP="00D6342B">
      <w:pPr>
        <w:shd w:val="clear" w:color="auto" w:fill="FFFFFF"/>
        <w:spacing w:after="0" w:line="240" w:lineRule="auto"/>
        <w:contextualSpacing/>
        <w:rPr>
          <w:rFonts w:ascii="Times New Roman" w:eastAsiaTheme="minorHAnsi" w:hAnsi="Times New Roman" w:cs="Times New Roman"/>
          <w:b/>
          <w:sz w:val="28"/>
          <w:szCs w:val="28"/>
          <w:bdr w:val="none" w:sz="0" w:space="0" w:color="auto" w:frame="1"/>
          <w:lang w:val="es-ES_tradnl" w:eastAsia="en-US"/>
        </w:rPr>
      </w:pPr>
    </w:p>
    <w:p w:rsidR="000A10A3" w:rsidRPr="00C050D9" w:rsidRDefault="00C050D9" w:rsidP="000A10A3">
      <w:pPr>
        <w:shd w:val="clear" w:color="auto" w:fill="FFFFFF"/>
        <w:spacing w:after="0" w:line="240" w:lineRule="auto"/>
        <w:contextualSpacing/>
        <w:rPr>
          <w:rFonts w:ascii="Times New Roman" w:eastAsiaTheme="minorHAnsi" w:hAnsi="Times New Roman" w:cs="Times New Roman"/>
          <w:sz w:val="28"/>
          <w:szCs w:val="28"/>
          <w:shd w:val="clear" w:color="auto" w:fill="FFFFFF"/>
          <w:lang w:eastAsia="en-US"/>
        </w:rPr>
      </w:pPr>
      <w:r w:rsidRPr="00C050D9">
        <w:rPr>
          <w:rFonts w:ascii="Times New Roman" w:eastAsiaTheme="minorHAnsi" w:hAnsi="Times New Roman" w:cs="Times New Roman"/>
          <w:b/>
          <w:sz w:val="28"/>
          <w:szCs w:val="28"/>
          <w:bdr w:val="none" w:sz="0" w:space="0" w:color="auto" w:frame="1"/>
          <w:lang w:val="es-ES_tradnl" w:eastAsia="en-US"/>
        </w:rPr>
        <w:t xml:space="preserve">SEGUNDO. </w:t>
      </w:r>
      <w:bookmarkStart w:id="17" w:name="_Hlk152254286"/>
      <w:r w:rsidRPr="00C050D9">
        <w:rPr>
          <w:rFonts w:ascii="Times New Roman" w:eastAsiaTheme="minorHAnsi" w:hAnsi="Times New Roman" w:cs="Times New Roman"/>
          <w:b/>
          <w:sz w:val="28"/>
          <w:szCs w:val="28"/>
          <w:bdr w:val="none" w:sz="0" w:space="0" w:color="auto" w:frame="1"/>
          <w:lang w:val="es-ES_tradnl" w:eastAsia="en-US"/>
        </w:rPr>
        <w:t xml:space="preserve">DECLARARSE INHIBIDA </w:t>
      </w:r>
      <w:r w:rsidRPr="00C050D9">
        <w:rPr>
          <w:rFonts w:ascii="Times New Roman" w:eastAsiaTheme="minorHAnsi" w:hAnsi="Times New Roman" w:cs="Times New Roman"/>
          <w:sz w:val="28"/>
          <w:szCs w:val="28"/>
          <w:bdr w:val="none" w:sz="0" w:space="0" w:color="auto" w:frame="1"/>
          <w:lang w:val="es-ES_tradnl" w:eastAsia="en-US"/>
        </w:rPr>
        <w:t>para fallar</w:t>
      </w:r>
      <w:r w:rsidRPr="00C050D9">
        <w:rPr>
          <w:rFonts w:ascii="Times New Roman" w:eastAsiaTheme="minorHAnsi" w:hAnsi="Times New Roman" w:cs="Times New Roman"/>
          <w:b/>
          <w:sz w:val="28"/>
          <w:szCs w:val="28"/>
          <w:bdr w:val="none" w:sz="0" w:space="0" w:color="auto" w:frame="1"/>
          <w:lang w:val="es-ES_tradnl" w:eastAsia="en-US"/>
        </w:rPr>
        <w:t xml:space="preserve"> </w:t>
      </w:r>
      <w:r w:rsidRPr="00C050D9">
        <w:rPr>
          <w:rFonts w:ascii="Times New Roman" w:eastAsiaTheme="minorHAnsi" w:hAnsi="Times New Roman" w:cs="Times New Roman"/>
          <w:sz w:val="28"/>
          <w:szCs w:val="28"/>
          <w:bdr w:val="none" w:sz="0" w:space="0" w:color="auto" w:frame="1"/>
          <w:lang w:val="es-ES_tradnl" w:eastAsia="en-US"/>
        </w:rPr>
        <w:t>respecto del cargo formulado contra el parágrafo del artículo 3 de la Ley</w:t>
      </w:r>
      <w:r w:rsidRPr="00C050D9">
        <w:rPr>
          <w:rFonts w:ascii="Times New Roman" w:eastAsiaTheme="minorHAnsi" w:hAnsi="Times New Roman" w:cs="Times New Roman"/>
          <w:b/>
          <w:sz w:val="28"/>
          <w:szCs w:val="28"/>
          <w:bdr w:val="none" w:sz="0" w:space="0" w:color="auto" w:frame="1"/>
          <w:lang w:val="es-ES_tradnl" w:eastAsia="en-US"/>
        </w:rPr>
        <w:t xml:space="preserve"> </w:t>
      </w:r>
      <w:r w:rsidRPr="00C050D9">
        <w:rPr>
          <w:rFonts w:ascii="Times New Roman" w:eastAsiaTheme="minorHAnsi" w:hAnsi="Times New Roman" w:cs="Times New Roman"/>
          <w:sz w:val="28"/>
          <w:szCs w:val="28"/>
          <w:shd w:val="clear" w:color="auto" w:fill="FFFFFF"/>
          <w:lang w:val="es-ES_tradnl" w:eastAsia="en-US"/>
        </w:rPr>
        <w:t xml:space="preserve">2277 de </w:t>
      </w:r>
      <w:r w:rsidRPr="00C050D9">
        <w:rPr>
          <w:rFonts w:ascii="Times New Roman" w:eastAsiaTheme="minorHAnsi" w:hAnsi="Times New Roman" w:cs="Times New Roman"/>
          <w:sz w:val="28"/>
          <w:szCs w:val="28"/>
          <w:shd w:val="clear" w:color="auto" w:fill="FFFFFF"/>
          <w:lang w:val="es-ES_tradnl" w:eastAsia="en-US"/>
        </w:rPr>
        <w:t>2022 «por medio de la cual se adopta una reforma tributaria para la igualdad y la justicia social y se dictan otras disposiciones», por las razones expuestas en esta providencia.</w:t>
      </w:r>
    </w:p>
    <w:p w:rsidR="00D6342B" w:rsidRPr="00C050D9" w:rsidRDefault="00C050D9" w:rsidP="00D6342B">
      <w:pPr>
        <w:shd w:val="clear" w:color="auto" w:fill="FFFFFF"/>
        <w:spacing w:after="0" w:line="240" w:lineRule="auto"/>
        <w:contextualSpacing/>
        <w:rPr>
          <w:rFonts w:ascii="Times New Roman" w:eastAsiaTheme="minorHAnsi" w:hAnsi="Times New Roman" w:cs="Times New Roman"/>
          <w:sz w:val="28"/>
          <w:szCs w:val="28"/>
          <w:shd w:val="clear" w:color="auto" w:fill="FFFFFF"/>
          <w:lang w:eastAsia="en-US"/>
        </w:rPr>
      </w:pPr>
    </w:p>
    <w:bookmarkEnd w:id="15"/>
    <w:bookmarkEnd w:id="17"/>
    <w:p w:rsidR="001B6344" w:rsidRPr="00C050D9" w:rsidRDefault="00C050D9" w:rsidP="00310130">
      <w:pPr>
        <w:shd w:val="clear" w:color="auto" w:fill="FFFFFF"/>
        <w:spacing w:after="0" w:line="240" w:lineRule="auto"/>
        <w:textAlignment w:val="baseline"/>
        <w:rPr>
          <w:rFonts w:ascii="Times New Roman" w:hAnsi="Times New Roman" w:cs="Times New Roman"/>
          <w:color w:val="000000" w:themeColor="text1"/>
          <w:sz w:val="28"/>
          <w:szCs w:val="28"/>
          <w:lang w:eastAsia="es-MX"/>
        </w:rPr>
      </w:pPr>
    </w:p>
    <w:p w:rsidR="00B40C57" w:rsidRPr="00C050D9" w:rsidRDefault="00C050D9" w:rsidP="00756A1A">
      <w:pPr>
        <w:shd w:val="clear" w:color="auto" w:fill="FFFFFF"/>
        <w:spacing w:after="0" w:line="240" w:lineRule="auto"/>
        <w:textAlignment w:val="baseline"/>
        <w:rPr>
          <w:rFonts w:ascii="Times New Roman" w:hAnsi="Times New Roman" w:cs="Times New Roman"/>
          <w:color w:val="000000" w:themeColor="text1"/>
          <w:sz w:val="28"/>
          <w:szCs w:val="28"/>
          <w:lang w:eastAsia="es-MX"/>
        </w:rPr>
      </w:pPr>
      <w:r w:rsidRPr="00C050D9">
        <w:rPr>
          <w:rFonts w:ascii="Times New Roman" w:hAnsi="Times New Roman" w:cs="Times New Roman"/>
          <w:color w:val="000000" w:themeColor="text1"/>
          <w:sz w:val="28"/>
          <w:szCs w:val="28"/>
          <w:lang w:eastAsia="es-MX"/>
        </w:rPr>
        <w:t>Comuníquese y cúmplase.</w:t>
      </w:r>
      <w:bookmarkEnd w:id="14"/>
    </w:p>
    <w:p w:rsidR="000234ED" w:rsidRPr="00C050D9" w:rsidRDefault="00C050D9" w:rsidP="008A4CEF">
      <w:pPr>
        <w:tabs>
          <w:tab w:val="left" w:pos="426"/>
        </w:tabs>
        <w:spacing w:after="0" w:line="240" w:lineRule="auto"/>
        <w:rPr>
          <w:rFonts w:ascii="Times New Roman" w:hAnsi="Times New Roman" w:cs="Times New Roman"/>
          <w:b/>
          <w:bCs/>
          <w:sz w:val="28"/>
          <w:szCs w:val="28"/>
        </w:rPr>
      </w:pPr>
    </w:p>
    <w:p w:rsidR="00A97D3E" w:rsidRPr="00C050D9" w:rsidRDefault="00C050D9" w:rsidP="008A4CEF">
      <w:pPr>
        <w:tabs>
          <w:tab w:val="left" w:pos="426"/>
        </w:tabs>
        <w:spacing w:after="0" w:line="240" w:lineRule="auto"/>
        <w:rPr>
          <w:rFonts w:ascii="Times New Roman" w:hAnsi="Times New Roman" w:cs="Times New Roman"/>
          <w:b/>
          <w:bCs/>
          <w:sz w:val="28"/>
          <w:szCs w:val="28"/>
        </w:rPr>
      </w:pPr>
    </w:p>
    <w:p w:rsidR="00A97D3E" w:rsidRPr="00C050D9" w:rsidRDefault="00C050D9" w:rsidP="008A4CEF">
      <w:pPr>
        <w:tabs>
          <w:tab w:val="left" w:pos="426"/>
        </w:tabs>
        <w:spacing w:after="0" w:line="240" w:lineRule="auto"/>
        <w:rPr>
          <w:rFonts w:ascii="Times New Roman" w:hAnsi="Times New Roman" w:cs="Times New Roman"/>
          <w:b/>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JOSE FERNANDO REYES CUARTAS</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Presidente</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NATALIA ÁNGEL CABO</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Magistrada</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JUAN CARLOS CORTÉS GONZÁLEZ</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Magistrado</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DIANA FAJARDO RIVERA</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Magistrada</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VLADIMIR FERNÁNDEZ ANDRADE</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Magistrado</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Con impedimento aceptado</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 xml:space="preserve">JORGE ENRIQUE IBÁÑEZ NAJAR </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Magistrado</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ANTONIO JOSÉ LIZARAZO OCAMPO</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Magistrado</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PAOLA ANDREA MENESES MOSQUERA</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Magistrada</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CRISTINA PARDO SCHLESINGER</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Magistrada</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ANDREA LILIANA ROMERO LOPEZ</w:t>
      </w:r>
    </w:p>
    <w:p w:rsidR="00A97D3E" w:rsidRPr="00C050D9" w:rsidRDefault="00C050D9" w:rsidP="00A97D3E">
      <w:pPr>
        <w:tabs>
          <w:tab w:val="left" w:pos="426"/>
        </w:tabs>
        <w:spacing w:after="0" w:line="240" w:lineRule="auto"/>
        <w:jc w:val="center"/>
        <w:rPr>
          <w:rFonts w:ascii="Times New Roman" w:hAnsi="Times New Roman" w:cs="Times New Roman"/>
          <w:bCs/>
          <w:sz w:val="28"/>
          <w:szCs w:val="28"/>
        </w:rPr>
      </w:pPr>
      <w:r w:rsidRPr="00C050D9">
        <w:rPr>
          <w:rFonts w:ascii="Times New Roman" w:hAnsi="Times New Roman" w:cs="Times New Roman"/>
          <w:bCs/>
          <w:sz w:val="28"/>
          <w:szCs w:val="28"/>
        </w:rPr>
        <w:t>Secretaria General</w:t>
      </w:r>
    </w:p>
    <w:p w:rsidR="00B217F2" w:rsidRPr="00C050D9" w:rsidRDefault="00C050D9" w:rsidP="00B217F2">
      <w:pPr>
        <w:spacing w:after="0" w:line="240" w:lineRule="auto"/>
        <w:jc w:val="center"/>
        <w:rPr>
          <w:rFonts w:ascii="Times New Roman" w:hAnsi="Times New Roman" w:cs="Times New Roman"/>
          <w:b/>
          <w:sz w:val="28"/>
          <w:szCs w:val="28"/>
        </w:rPr>
      </w:pPr>
      <w:r w:rsidRPr="00C050D9">
        <w:rPr>
          <w:rFonts w:ascii="Times New Roman" w:hAnsi="Times New Roman" w:cs="Times New Roman"/>
          <w:b/>
          <w:sz w:val="28"/>
          <w:szCs w:val="28"/>
        </w:rPr>
        <w:t>Anexo I</w:t>
      </w:r>
      <w:r w:rsidRPr="00C050D9">
        <w:rPr>
          <w:rFonts w:ascii="Times New Roman" w:hAnsi="Times New Roman" w:cs="Times New Roman"/>
          <w:b/>
          <w:sz w:val="28"/>
          <w:szCs w:val="28"/>
        </w:rPr>
        <w:t xml:space="preserve"> – Expediente D-15.213</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Pruebas allegadas por el Ministerio de Hacienda y Crédito Público y la </w:t>
      </w:r>
      <w:bookmarkStart w:id="18" w:name="_Hlk148021664"/>
      <w:r w:rsidRPr="00C050D9">
        <w:rPr>
          <w:rFonts w:ascii="Times New Roman" w:hAnsi="Times New Roman" w:cs="Times New Roman"/>
          <w:sz w:val="28"/>
          <w:szCs w:val="28"/>
        </w:rPr>
        <w:t>Dirección de Impuestos y Aduanas Nacionales DIAN</w:t>
      </w:r>
      <w:bookmarkEnd w:id="18"/>
      <w:r w:rsidRPr="00C050D9">
        <w:rPr>
          <w:rFonts w:ascii="Times New Roman" w:hAnsi="Times New Roman" w:cs="Times New Roman"/>
          <w:sz w:val="28"/>
          <w:szCs w:val="28"/>
        </w:rPr>
        <w:t xml:space="preserve">.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b/>
          <w:sz w:val="28"/>
          <w:szCs w:val="28"/>
        </w:rPr>
      </w:pPr>
      <w:r w:rsidRPr="00C050D9">
        <w:rPr>
          <w:rFonts w:ascii="Times New Roman" w:hAnsi="Times New Roman" w:cs="Times New Roman"/>
          <w:b/>
          <w:sz w:val="28"/>
          <w:szCs w:val="28"/>
        </w:rPr>
        <w:t>Ministerio de Hacienda y Crédito Público</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b/>
          <w:bCs/>
          <w:sz w:val="28"/>
          <w:szCs w:val="28"/>
        </w:rPr>
      </w:pPr>
      <w:r w:rsidRPr="00C050D9">
        <w:rPr>
          <w:rFonts w:ascii="Times New Roman" w:hAnsi="Times New Roman" w:cs="Times New Roman"/>
          <w:sz w:val="28"/>
          <w:szCs w:val="28"/>
        </w:rPr>
        <w:t>«</w:t>
      </w:r>
      <w:r w:rsidRPr="00C050D9">
        <w:rPr>
          <w:rFonts w:ascii="Times New Roman" w:hAnsi="Times New Roman" w:cs="Times New Roman"/>
          <w:b/>
          <w:bCs/>
          <w:sz w:val="28"/>
          <w:szCs w:val="28"/>
        </w:rPr>
        <w:t>(a) explicar las razones técnicas, económicas, jurídicas y sociales que se tuvieron en cuenta para establecer que en el impuesto unificado bajo el régimen simple</w:t>
      </w:r>
      <w:r w:rsidRPr="00C050D9">
        <w:rPr>
          <w:rFonts w:ascii="Times New Roman" w:hAnsi="Times New Roman" w:cs="Times New Roman"/>
          <w:b/>
          <w:bCs/>
          <w:sz w:val="28"/>
          <w:szCs w:val="28"/>
        </w:rPr>
        <w:t xml:space="preserve"> de tributación – SIMPLE- se distinguieran (i) las profesiones liberales y (ii) las actividades de educación y atención de la salud humana y de asistencia social</w:t>
      </w:r>
      <w:r w:rsidRPr="00C050D9">
        <w:rPr>
          <w:rFonts w:ascii="Times New Roman" w:hAnsi="Times New Roman" w:cs="Times New Roman"/>
          <w:b/>
          <w:bCs/>
          <w:sz w:val="28"/>
          <w:szCs w:val="28"/>
        </w:rPr>
        <w:t>»</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La entidad explicó que se advirtieron disparidades entre las actividades profesionales liber</w:t>
      </w:r>
      <w:r w:rsidRPr="00C050D9">
        <w:rPr>
          <w:rFonts w:ascii="Times New Roman" w:hAnsi="Times New Roman" w:cs="Times New Roman"/>
          <w:sz w:val="28"/>
          <w:szCs w:val="28"/>
        </w:rPr>
        <w:t>ales y los sectores de la salud y la educación, situación que exigió modificar el tope para acceder al régimen simple de tributación y ajustar las tarifas según las realidades económicas. Precisó que «los sujetos que desarrollan unas y otras actividades cu</w:t>
      </w:r>
      <w:r w:rsidRPr="00C050D9">
        <w:rPr>
          <w:rFonts w:ascii="Times New Roman" w:hAnsi="Times New Roman" w:cs="Times New Roman"/>
          <w:sz w:val="28"/>
          <w:szCs w:val="28"/>
        </w:rPr>
        <w:t>entan con una capacidad de percepción de ingresos disímil, siendo menores aquellos provenientes de las actividades profesionales de que trata el numeral 5 precitado, lo que, una vez analizada la magnitud de esta discrepancia en la percepción de ingresos br</w:t>
      </w:r>
      <w:r w:rsidRPr="00C050D9">
        <w:rPr>
          <w:rFonts w:ascii="Times New Roman" w:hAnsi="Times New Roman" w:cs="Times New Roman"/>
          <w:sz w:val="28"/>
          <w:szCs w:val="28"/>
        </w:rPr>
        <w:t>utos, motivó la reducción en su límite máximo de ingreso para acceder al mencionado régimen (…)». Para el efecto, adjuntó una gráfica que muestra la diferencia de ingresos brutos entre las profesiones liberales y los sectores de la salud y educación. Con b</w:t>
      </w:r>
      <w:r w:rsidRPr="00C050D9">
        <w:rPr>
          <w:rFonts w:ascii="Times New Roman" w:hAnsi="Times New Roman" w:cs="Times New Roman"/>
          <w:sz w:val="28"/>
          <w:szCs w:val="28"/>
        </w:rPr>
        <w:t>ase en esta información, era necesario focalizar de mejor manera el régimen tributario especial de la tributación simple con el fin de «evitar que sujetos con capacidades económicas más robustas se beneficien de un instrumento de política fiscal que preten</w:t>
      </w:r>
      <w:r w:rsidRPr="00C050D9">
        <w:rPr>
          <w:rFonts w:ascii="Times New Roman" w:hAnsi="Times New Roman" w:cs="Times New Roman"/>
          <w:sz w:val="28"/>
          <w:szCs w:val="28"/>
        </w:rPr>
        <w:t xml:space="preserve">de enfocarse en la formalización de las micro y pequeñas empresas».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De igual forma, la entidad resaltó que otro hallazgo fue que las actividades del numeral 5 cuentan con una estructura de costos que difiere de los contribuyentes de los demás grupos. Los</w:t>
      </w:r>
      <w:r w:rsidRPr="00C050D9">
        <w:rPr>
          <w:rFonts w:ascii="Times New Roman" w:hAnsi="Times New Roman" w:cs="Times New Roman"/>
          <w:sz w:val="28"/>
          <w:szCs w:val="28"/>
        </w:rPr>
        <w:t xml:space="preserve"> del grupo 5 cuentan con una estructura de costos ostensiblemente inferiores a los demás, de manera que las tarifas debían responder a esta realidad económica. Esto es relevante en la medida en que la base gravable del impuesto unificado bajo el régimen si</w:t>
      </w:r>
      <w:r w:rsidRPr="00C050D9">
        <w:rPr>
          <w:rFonts w:ascii="Times New Roman" w:hAnsi="Times New Roman" w:cs="Times New Roman"/>
          <w:sz w:val="28"/>
          <w:szCs w:val="28"/>
        </w:rPr>
        <w:t>mple de tributación considera los ingresos brutos. Explicó, en sus palabras:</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ind w:left="851" w:right="616"/>
        <w:jc w:val="both"/>
        <w:rPr>
          <w:rFonts w:ascii="Times New Roman" w:hAnsi="Times New Roman" w:cs="Times New Roman"/>
          <w:sz w:val="28"/>
          <w:szCs w:val="26"/>
        </w:rPr>
      </w:pPr>
      <w:r w:rsidRPr="00C050D9">
        <w:rPr>
          <w:rFonts w:ascii="Times New Roman" w:hAnsi="Times New Roman" w:cs="Times New Roman"/>
          <w:sz w:val="28"/>
          <w:szCs w:val="26"/>
        </w:rPr>
        <w:t xml:space="preserve">«Lo anterior, pues un contribuyente con menor utilidad, por su carga elevada de costos y gastos, con una tarifa igual o superior a la de otro </w:t>
      </w:r>
      <w:r w:rsidRPr="00C050D9">
        <w:rPr>
          <w:rFonts w:ascii="Times New Roman" w:hAnsi="Times New Roman" w:cs="Times New Roman"/>
          <w:sz w:val="28"/>
          <w:szCs w:val="26"/>
        </w:rPr>
        <w:t>contribuyente con menos carga de costos y gastos, puede generar al primero un impacto tributario desproporcionado. En suma, por ser una tarifa sobre los ingresos brutos, ignorar los costos y gastos al momento de definir la tarifa podría llevar a que activi</w:t>
      </w:r>
      <w:r w:rsidRPr="00C050D9">
        <w:rPr>
          <w:rFonts w:ascii="Times New Roman" w:hAnsi="Times New Roman" w:cs="Times New Roman"/>
          <w:sz w:val="28"/>
          <w:szCs w:val="26"/>
        </w:rPr>
        <w:t xml:space="preserve">dades con ingresos brutos similares, pero con costos diferentes, asuman una carga tributaria desproporcionada».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Con la evidencia de estas disparidades entre las actividades económicas, a pesar de su naturaleza similar,  las reformas al régimen simple de </w:t>
      </w:r>
      <w:r w:rsidRPr="00C050D9">
        <w:rPr>
          <w:rFonts w:ascii="Times New Roman" w:hAnsi="Times New Roman" w:cs="Times New Roman"/>
          <w:sz w:val="28"/>
          <w:szCs w:val="28"/>
        </w:rPr>
        <w:t>tributación «</w:t>
      </w:r>
      <w:r w:rsidRPr="00C050D9">
        <w:rPr>
          <w:rFonts w:ascii="Times New Roman" w:hAnsi="Times New Roman" w:cs="Times New Roman"/>
          <w:sz w:val="28"/>
          <w:szCs w:val="28"/>
        </w:rPr>
        <w:t>permite</w:t>
      </w:r>
      <w:r w:rsidRPr="00C050D9">
        <w:rPr>
          <w:rFonts w:ascii="Times New Roman" w:hAnsi="Times New Roman" w:cs="Times New Roman"/>
          <w:sz w:val="28"/>
          <w:szCs w:val="28"/>
        </w:rPr>
        <w:t>n</w:t>
      </w:r>
      <w:r w:rsidRPr="00C050D9">
        <w:rPr>
          <w:rFonts w:ascii="Times New Roman" w:hAnsi="Times New Roman" w:cs="Times New Roman"/>
          <w:sz w:val="28"/>
          <w:szCs w:val="28"/>
        </w:rPr>
        <w:t xml:space="preserve"> reconocer estas diferencias, con el fin de (i) disminuir inequidades en el sistema, (ii) promover ciertas actividades que lograran un acercamiento a la formalización de estos contribuyentes con el RST y, progresivamente, (iii) evitar </w:t>
      </w:r>
      <w:r w:rsidRPr="00C050D9">
        <w:rPr>
          <w:rFonts w:ascii="Times New Roman" w:hAnsi="Times New Roman" w:cs="Times New Roman"/>
          <w:sz w:val="28"/>
          <w:szCs w:val="28"/>
        </w:rPr>
        <w:t>la evasión de tributos y aportes al Sistema Integral de la Seguridad Social de los sujetos que al encontrarse todavía en la informalidad empresarial no liquidan y pagan estos tributos. Siendo estas últimas, justificaciones constitucionalmente legítimas</w:t>
      </w:r>
      <w:r w:rsidRPr="00C050D9">
        <w:rPr>
          <w:rFonts w:ascii="Times New Roman" w:hAnsi="Times New Roman" w:cs="Times New Roman"/>
          <w:sz w:val="28"/>
          <w:szCs w:val="28"/>
        </w:rPr>
        <w:t xml:space="preserve">».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b/>
          <w:sz w:val="28"/>
          <w:szCs w:val="28"/>
        </w:rPr>
      </w:pPr>
      <w:r w:rsidRPr="00C050D9">
        <w:rPr>
          <w:rFonts w:ascii="Times New Roman" w:hAnsi="Times New Roman" w:cs="Times New Roman"/>
          <w:b/>
          <w:sz w:val="28"/>
          <w:szCs w:val="28"/>
        </w:rPr>
        <w:t>«Remitir la documentación respectiva y (b) precisar cómo las medidas establecidas en los artículos 42 y 44 de la Ley 2277 de 2022, es decir, aumentar el tope a 12.000 UVT para las profesiones liberales; y separar las actividades de educación y atención de</w:t>
      </w:r>
      <w:r w:rsidRPr="00C050D9">
        <w:rPr>
          <w:rFonts w:ascii="Times New Roman" w:hAnsi="Times New Roman" w:cs="Times New Roman"/>
          <w:b/>
          <w:sz w:val="28"/>
          <w:szCs w:val="28"/>
        </w:rPr>
        <w:t xml:space="preserve"> la salud humana y de asistencia social y aplicarles tarifas distintas a ambos grupos poblaciones, logra alcanzar los objetivos propuestos en materia de política fiscal».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En cuanto a este interrogante, el Ministerio de Hacienda y Crédito Público afirmó q</w:t>
      </w:r>
      <w:r w:rsidRPr="00C050D9">
        <w:rPr>
          <w:rFonts w:ascii="Times New Roman" w:hAnsi="Times New Roman" w:cs="Times New Roman"/>
          <w:sz w:val="28"/>
          <w:szCs w:val="28"/>
        </w:rPr>
        <w:t>ue a partir de datos del DANE «</w:t>
      </w:r>
      <w:r w:rsidRPr="00C050D9">
        <w:rPr>
          <w:rFonts w:ascii="Times New Roman" w:hAnsi="Times New Roman" w:cs="Times New Roman"/>
          <w:sz w:val="28"/>
          <w:szCs w:val="28"/>
        </w:rPr>
        <w:t>la rama de actividades profesionales, científicas, técnicas y servicios administrativos genera menos empleo que la rama de actividad de Administración pública y defensa, educación y atención de la salud humana</w:t>
      </w:r>
      <w:r w:rsidRPr="00C050D9">
        <w:rPr>
          <w:rFonts w:ascii="Times New Roman" w:hAnsi="Times New Roman" w:cs="Times New Roman"/>
          <w:sz w:val="28"/>
          <w:szCs w:val="28"/>
        </w:rPr>
        <w:t xml:space="preserve">». Con sustento </w:t>
      </w:r>
      <w:r w:rsidRPr="00C050D9">
        <w:rPr>
          <w:rFonts w:ascii="Times New Roman" w:hAnsi="Times New Roman" w:cs="Times New Roman"/>
          <w:sz w:val="28"/>
          <w:szCs w:val="28"/>
        </w:rPr>
        <w:t xml:space="preserve">en eso, las modificaciones al régimen simple de tributación obedecen a las diferencias de las realidades económicas de las distintas actividades profesionales. La entidad adujo: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ind w:left="851" w:right="616"/>
        <w:jc w:val="both"/>
        <w:rPr>
          <w:rFonts w:ascii="Times New Roman" w:hAnsi="Times New Roman" w:cs="Times New Roman"/>
          <w:sz w:val="28"/>
          <w:szCs w:val="26"/>
        </w:rPr>
      </w:pPr>
      <w:r w:rsidRPr="00C050D9">
        <w:rPr>
          <w:rFonts w:ascii="Times New Roman" w:hAnsi="Times New Roman" w:cs="Times New Roman"/>
          <w:sz w:val="28"/>
          <w:szCs w:val="26"/>
        </w:rPr>
        <w:t>«En otras palabras, con las modificaciones realizadas por la Ley 2277 de 202</w:t>
      </w:r>
      <w:r w:rsidRPr="00C050D9">
        <w:rPr>
          <w:rFonts w:ascii="Times New Roman" w:hAnsi="Times New Roman" w:cs="Times New Roman"/>
          <w:sz w:val="28"/>
          <w:szCs w:val="26"/>
        </w:rPr>
        <w:t>2 se busca de manera más eficiente que los contribuyentes de cada uno de los regímenes tengan tarifas efectivas de tributación asimilables dadas las características propias (nivel de ingresos, costos, gastos y generación de empleo, entre otras). En este se</w:t>
      </w:r>
      <w:r w:rsidRPr="00C050D9">
        <w:rPr>
          <w:rFonts w:ascii="Times New Roman" w:hAnsi="Times New Roman" w:cs="Times New Roman"/>
          <w:sz w:val="28"/>
          <w:szCs w:val="26"/>
        </w:rPr>
        <w:t>ntido, también se destaca que las tarifas de equilibrio difieren en cada uno de los sectores, puesto que existen diferencias en los beneficios tributarios que utiliza cada sector. Dicho de otro modo, el RST conecta con las tarifas del régimen ordinario, si</w:t>
      </w:r>
      <w:r w:rsidRPr="00C050D9">
        <w:rPr>
          <w:rFonts w:ascii="Times New Roman" w:hAnsi="Times New Roman" w:cs="Times New Roman"/>
          <w:sz w:val="28"/>
          <w:szCs w:val="26"/>
        </w:rPr>
        <w:t>endo este un diseño que atiende no solo la realidad de los contribuyentes, sino que además garantiza que aquellos que tributen por uno u otro régimen (ya sea en el ordinario o en el simple) contribuyan de forma proporcional o equiparable con el resto de lo</w:t>
      </w:r>
      <w:r w:rsidRPr="00C050D9">
        <w:rPr>
          <w:rFonts w:ascii="Times New Roman" w:hAnsi="Times New Roman" w:cs="Times New Roman"/>
          <w:sz w:val="28"/>
          <w:szCs w:val="26"/>
        </w:rPr>
        <w:t>s contribuyentes que se encuentren en el mismo régimen. Por ende, se reitera, la modificación que la norma impugnada propone garantiza que los contribuyentes de cada uno de los regímenes tengan tarifas efectivas de tributación asimilables».</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b/>
          <w:sz w:val="28"/>
          <w:szCs w:val="28"/>
        </w:rPr>
      </w:pPr>
      <w:r w:rsidRPr="00C050D9">
        <w:rPr>
          <w:rFonts w:ascii="Times New Roman" w:hAnsi="Times New Roman" w:cs="Times New Roman"/>
          <w:b/>
          <w:sz w:val="28"/>
          <w:szCs w:val="28"/>
        </w:rPr>
        <w:t xml:space="preserve">«Partiendo de </w:t>
      </w:r>
      <w:r w:rsidRPr="00C050D9">
        <w:rPr>
          <w:rFonts w:ascii="Times New Roman" w:hAnsi="Times New Roman" w:cs="Times New Roman"/>
          <w:b/>
          <w:sz w:val="28"/>
          <w:szCs w:val="28"/>
        </w:rPr>
        <w:t xml:space="preserve">la hipótesis propuesta por los demandantes, (i) informe al despacho las razones técnicas económicas, jurídicas y sociales que se tuvieron en cuenta para establecer una retención de la fuente del 15% sobre los dividendos y (ii) explique cómo esta retención </w:t>
      </w:r>
      <w:r w:rsidRPr="00C050D9">
        <w:rPr>
          <w:rFonts w:ascii="Times New Roman" w:hAnsi="Times New Roman" w:cs="Times New Roman"/>
          <w:b/>
          <w:sz w:val="28"/>
          <w:szCs w:val="28"/>
        </w:rPr>
        <w:t>impacta la declaración de renta de los contribuyentes que realizaron el pago por anticipado a través de la retención en la fuente y las ventajas que tiene esta retención para el sistema tributario»</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La entidad señaló que el principal objetivo de la reforma</w:t>
      </w:r>
      <w:r w:rsidRPr="00C050D9">
        <w:rPr>
          <w:rFonts w:ascii="Times New Roman" w:hAnsi="Times New Roman" w:cs="Times New Roman"/>
          <w:sz w:val="28"/>
          <w:szCs w:val="28"/>
        </w:rPr>
        <w:t xml:space="preserve"> tributaria se fundamentó en</w:t>
      </w:r>
      <w:r w:rsidRPr="00C050D9">
        <w:rPr>
          <w:rFonts w:ascii="Times New Roman" w:hAnsi="Times New Roman" w:cs="Times New Roman"/>
          <w:color w:val="000000"/>
          <w:sz w:val="28"/>
        </w:rPr>
        <w:t xml:space="preserve"> </w:t>
      </w:r>
      <w:r w:rsidRPr="00C050D9">
        <w:rPr>
          <w:rFonts w:ascii="Times New Roman" w:hAnsi="Times New Roman" w:cs="Times New Roman"/>
          <w:sz w:val="28"/>
          <w:szCs w:val="28"/>
        </w:rPr>
        <w:t>el incremento</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d</w:t>
      </w:r>
      <w:r w:rsidRPr="00C050D9">
        <w:rPr>
          <w:rFonts w:ascii="Times New Roman" w:hAnsi="Times New Roman" w:cs="Times New Roman"/>
          <w:sz w:val="28"/>
          <w:szCs w:val="28"/>
        </w:rPr>
        <w:t xml:space="preserve">el gasto público </w:t>
      </w:r>
      <w:r w:rsidRPr="00C050D9">
        <w:rPr>
          <w:rFonts w:ascii="Times New Roman" w:hAnsi="Times New Roman" w:cs="Times New Roman"/>
          <w:sz w:val="28"/>
          <w:szCs w:val="28"/>
        </w:rPr>
        <w:t>social para avanzar en la igualdad y la justicia social. En ese orden, resaltó que era necesario realizar un ajuste sobre le</w:t>
      </w:r>
      <w:r w:rsidRPr="00C050D9">
        <w:rPr>
          <w:rFonts w:ascii="Times New Roman" w:hAnsi="Times New Roman" w:cs="Times New Roman"/>
          <w:sz w:val="28"/>
          <w:szCs w:val="28"/>
        </w:rPr>
        <w:t xml:space="preserve"> impuesto de renta de personas naturales (IRPN), toda vez que «(i) el recaudo por concepto del Impuesto de Renta de Personas Naturales (IRPN) en Colombia es el más bajo entre una muestra de 36 países de economías avanzadas y de otras economías de la región</w:t>
      </w:r>
      <w:r w:rsidRPr="00C050D9">
        <w:rPr>
          <w:rFonts w:ascii="Times New Roman" w:hAnsi="Times New Roman" w:cs="Times New Roman"/>
          <w:sz w:val="28"/>
          <w:szCs w:val="28"/>
        </w:rPr>
        <w:t xml:space="preserve"> y (ii) que, según cifras de la OCDE, en 2019 el coeficiente de Gini5 de Colombia, luego de impuestos y transferencias, disminuye únicamente 0,02pp frente al nivel de este indicador a partir de condiciones de mercado, lo que configura la menor reducción de</w:t>
      </w:r>
      <w:r w:rsidRPr="00C050D9">
        <w:rPr>
          <w:rFonts w:ascii="Times New Roman" w:hAnsi="Times New Roman" w:cs="Times New Roman"/>
          <w:sz w:val="28"/>
          <w:szCs w:val="28"/>
        </w:rPr>
        <w:t>ntro de los países OCDE</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 xml:space="preserve">Estas observaciones condujeron a revisar: i) el tratamiento disímil en las tarifas que componen los diferentes tipos de ingreso, y ii) las disminuciones de la renta líquida gravable a través de las detracciones de costos, así como </w:t>
      </w:r>
      <w:r w:rsidRPr="00C050D9">
        <w:rPr>
          <w:rFonts w:ascii="Times New Roman" w:hAnsi="Times New Roman" w:cs="Times New Roman"/>
          <w:sz w:val="28"/>
          <w:szCs w:val="28"/>
        </w:rPr>
        <w:t>de rentas exentas y deducciones, las cuales reducen en mayor proporción el impuesto a cargo de las personas naturales de mayores ingresos</w:t>
      </w:r>
      <w:r w:rsidRPr="00C050D9">
        <w:rPr>
          <w:rFonts w:ascii="Times New Roman" w:hAnsi="Times New Roman" w:cs="Times New Roman"/>
          <w:sz w:val="28"/>
          <w:szCs w:val="28"/>
        </w:rPr>
        <w:t>».</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Para lograr esta progresividad del IRPN se buscó incrementar la tarifa Efectiva de Tributación (TET) de los contrib</w:t>
      </w:r>
      <w:r w:rsidRPr="00C050D9">
        <w:rPr>
          <w:rFonts w:ascii="Times New Roman" w:hAnsi="Times New Roman" w:cs="Times New Roman"/>
          <w:sz w:val="28"/>
          <w:szCs w:val="28"/>
        </w:rPr>
        <w:t>uyentes de mayores ingresos. Precisó en este punto, que al analizar «la TET sobre ingresos brutos para el 2020, antes de incorporar las modificaciones de esta Reforma Tributaria, en promedio, los cerca de 4.000 declarantes de mayores ingresos que tienen in</w:t>
      </w:r>
      <w:r w:rsidRPr="00C050D9">
        <w:rPr>
          <w:rFonts w:ascii="Times New Roman" w:hAnsi="Times New Roman" w:cs="Times New Roman"/>
          <w:sz w:val="28"/>
          <w:szCs w:val="28"/>
        </w:rPr>
        <w:t>gresos mensuales de $125,8 millones presentan una TET de 16,4% del ingreso bruto. Esto es, una tarifa reducida si se consideran las tarifas marginales nominales consistentes con este nivel de ingreso (39%)».</w:t>
      </w: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De ese </w:t>
      </w:r>
      <w:r w:rsidRPr="00C050D9">
        <w:rPr>
          <w:rFonts w:ascii="Times New Roman" w:hAnsi="Times New Roman" w:cs="Times New Roman"/>
          <w:sz w:val="28"/>
          <w:szCs w:val="28"/>
        </w:rPr>
        <w:t>modo, una de las formas que propuso la re</w:t>
      </w:r>
      <w:r w:rsidRPr="00C050D9">
        <w:rPr>
          <w:rFonts w:ascii="Times New Roman" w:hAnsi="Times New Roman" w:cs="Times New Roman"/>
          <w:sz w:val="28"/>
          <w:szCs w:val="28"/>
        </w:rPr>
        <w:t xml:space="preserve">forma tributaria para aumentar el TET de los contribuyentes de mayores ingresos consistió en el incremento de la tributación de los dividendos, «de manera que se incorporaron, junto con ingresos provenientes de la cédula general, dentro de una misma Renta </w:t>
      </w:r>
      <w:r w:rsidRPr="00C050D9">
        <w:rPr>
          <w:rFonts w:ascii="Times New Roman" w:hAnsi="Times New Roman" w:cs="Times New Roman"/>
          <w:sz w:val="28"/>
          <w:szCs w:val="28"/>
        </w:rPr>
        <w:t>Líquida Gravable (RLG), a la cual se le aplican las tarifas señaladas en el artículo 241 del Estatuto Tributario. Con esta medida se genera un aumento en la tributación agregada del contribuyente hasta 18,3% en el IRPN. Sin perjuicio de lo anterior y con e</w:t>
      </w:r>
      <w:r w:rsidRPr="00C050D9">
        <w:rPr>
          <w:rFonts w:ascii="Times New Roman" w:hAnsi="Times New Roman" w:cs="Times New Roman"/>
          <w:sz w:val="28"/>
          <w:szCs w:val="28"/>
        </w:rPr>
        <w:t xml:space="preserve">l objetivo de no afectar a los pequeños inversionistas, en atención al principio de progresividad tributaria, se incorporó un descuento tributario que se hace efectivo únicamente para los ingresos por dividendos».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Expresó que la modificación del artículo</w:t>
      </w:r>
      <w:r w:rsidRPr="00C050D9">
        <w:rPr>
          <w:rFonts w:ascii="Times New Roman" w:hAnsi="Times New Roman" w:cs="Times New Roman"/>
          <w:sz w:val="28"/>
          <w:szCs w:val="28"/>
        </w:rPr>
        <w:t xml:space="preserve"> 242 del ET relacionada con la tarifa especial sobre los dividendos, atendió a la necesidad de evitar asimetrías entre el valor recaudado por retención en la fuente y el impuesto sobre la renta a cargo de las personas naturales que perciban rentas de divid</w:t>
      </w:r>
      <w:r w:rsidRPr="00C050D9">
        <w:rPr>
          <w:rFonts w:ascii="Times New Roman" w:hAnsi="Times New Roman" w:cs="Times New Roman"/>
          <w:sz w:val="28"/>
          <w:szCs w:val="28"/>
        </w:rPr>
        <w:t>endos junto con otros ingresos de la cédula general. En efecto, adujo que, en el año 2020 por el rubro de dividendos, en promedio, solo 0.3% de los declarantes del IRPN con mayores ingresos serían sujetos a retención (aproximadamente 11.926 personas).</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En </w:t>
      </w:r>
      <w:r w:rsidRPr="00C050D9">
        <w:rPr>
          <w:rFonts w:ascii="Times New Roman" w:hAnsi="Times New Roman" w:cs="Times New Roman"/>
          <w:sz w:val="28"/>
          <w:szCs w:val="28"/>
        </w:rPr>
        <w:t xml:space="preserve">cuanto al impacto de la retención en la declaración de renta de los contribuyentes sujetos a ella, el Ministerio explicó que la retención en la fuente prevista en la reforma pretende mitigar el efecto de los cambios de la Ley 2277 de 2022 en el impuesto a </w:t>
      </w:r>
      <w:r w:rsidRPr="00C050D9">
        <w:rPr>
          <w:rFonts w:ascii="Times New Roman" w:hAnsi="Times New Roman" w:cs="Times New Roman"/>
          <w:sz w:val="28"/>
          <w:szCs w:val="28"/>
        </w:rPr>
        <w:t>la renta de personas naturales. Explicó que a partir de un estimado de la misma cartera ministerial «</w:t>
      </w:r>
      <w:r w:rsidRPr="00C050D9">
        <w:rPr>
          <w:rFonts w:ascii="Times New Roman" w:hAnsi="Times New Roman" w:cs="Times New Roman"/>
          <w:sz w:val="28"/>
          <w:szCs w:val="28"/>
        </w:rPr>
        <w:t>se evidencia que el 0.7% de los declarantes del IRPN con mayores ingresos por dividendos eran los sujetos a la retención (aproximadamente 28.333 personas).</w:t>
      </w:r>
      <w:r w:rsidRPr="00C050D9">
        <w:rPr>
          <w:rFonts w:ascii="Times New Roman" w:hAnsi="Times New Roman" w:cs="Times New Roman"/>
          <w:sz w:val="28"/>
          <w:szCs w:val="28"/>
        </w:rPr>
        <w:t xml:space="preserve"> Bajo este esquema, en promedio el 0.1% de los contribuyentes del IRPN con mayores ingresos por dividendos tenía un impuesto a cargo de $174.2 millones (incluyendo dividendos y cédula general). Producto de la retención en la fuente a los dividendos, se log</w:t>
      </w:r>
      <w:r w:rsidRPr="00C050D9">
        <w:rPr>
          <w:rFonts w:ascii="Times New Roman" w:hAnsi="Times New Roman" w:cs="Times New Roman"/>
          <w:sz w:val="28"/>
          <w:szCs w:val="28"/>
        </w:rPr>
        <w:t>raba una disminución representada en un saldo a pagar de $81.7 millones</w:t>
      </w:r>
      <w:r w:rsidRPr="00C050D9">
        <w:rPr>
          <w:rFonts w:ascii="Times New Roman" w:hAnsi="Times New Roman" w:cs="Times New Roman"/>
          <w:sz w:val="28"/>
          <w:szCs w:val="28"/>
        </w:rPr>
        <w:t xml:space="preserve">». </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Acorde con lo anterior, manifestó que la retención en la fuente resulta ser un mecanismo idóneo para que el contribuyente de altos ingresos  cumpla con su carga tributaria, y a la </w:t>
      </w:r>
      <w:r w:rsidRPr="00C050D9">
        <w:rPr>
          <w:rFonts w:ascii="Times New Roman" w:hAnsi="Times New Roman" w:cs="Times New Roman"/>
          <w:sz w:val="28"/>
          <w:szCs w:val="28"/>
        </w:rPr>
        <w:t>vez, se respete su situación de liquidez: «</w:t>
      </w:r>
      <w:r w:rsidRPr="00C050D9">
        <w:rPr>
          <w:rFonts w:ascii="Times New Roman" w:hAnsi="Times New Roman" w:cs="Times New Roman"/>
          <w:sz w:val="28"/>
          <w:szCs w:val="28"/>
        </w:rPr>
        <w:t xml:space="preserve">resulta vital la función de la retención en la fuente como instrumento que permite mitigar de manera sustancial la cuota del IRPN del contribuyente para, de esta manera, evitar presiones de liquidez que afecten a </w:t>
      </w:r>
      <w:r w:rsidRPr="00C050D9">
        <w:rPr>
          <w:rFonts w:ascii="Times New Roman" w:hAnsi="Times New Roman" w:cs="Times New Roman"/>
          <w:sz w:val="28"/>
          <w:szCs w:val="28"/>
        </w:rPr>
        <w:t>los contribuyentes al momento de pagar sus obligaciones tributarias. Bajo los supuestos de este ejercicio, la retención en la fuente propuesta en la Ley 2277 de 2022 permite que el crecimiento en el saldo a pagar (la cuota del IRPN) para el 0,1% de contrib</w:t>
      </w:r>
      <w:r w:rsidRPr="00C050D9">
        <w:rPr>
          <w:rFonts w:ascii="Times New Roman" w:hAnsi="Times New Roman" w:cs="Times New Roman"/>
          <w:sz w:val="28"/>
          <w:szCs w:val="28"/>
        </w:rPr>
        <w:t>uyentes de mayores ingresos por dividendos sea simplemente de un 45%, a diferencia de la variación porcentual que se presentaría en el impuesto a cargo (210%) sin este ajuste de la retención en la fuente</w:t>
      </w:r>
      <w:r w:rsidRPr="00C050D9">
        <w:rPr>
          <w:rFonts w:ascii="Times New Roman" w:hAnsi="Times New Roman" w:cs="Times New Roman"/>
          <w:sz w:val="28"/>
          <w:szCs w:val="28"/>
        </w:rPr>
        <w:t>».</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spacing w:after="0" w:line="240" w:lineRule="auto"/>
        <w:jc w:val="both"/>
        <w:rPr>
          <w:rFonts w:ascii="Times New Roman" w:hAnsi="Times New Roman" w:cs="Times New Roman"/>
          <w:b/>
          <w:sz w:val="28"/>
          <w:szCs w:val="28"/>
        </w:rPr>
      </w:pPr>
      <w:r w:rsidRPr="00C050D9">
        <w:rPr>
          <w:rFonts w:ascii="Times New Roman" w:hAnsi="Times New Roman" w:cs="Times New Roman"/>
          <w:b/>
          <w:sz w:val="28"/>
          <w:szCs w:val="28"/>
        </w:rPr>
        <w:t xml:space="preserve">Dirección de Impuestos y </w:t>
      </w:r>
      <w:r w:rsidRPr="00C050D9">
        <w:rPr>
          <w:rFonts w:ascii="Times New Roman" w:hAnsi="Times New Roman" w:cs="Times New Roman"/>
          <w:b/>
          <w:sz w:val="28"/>
          <w:szCs w:val="28"/>
        </w:rPr>
        <w:t>Aduanas Nacionales DIAN</w:t>
      </w:r>
    </w:p>
    <w:p w:rsidR="00B217F2" w:rsidRPr="00C050D9" w:rsidRDefault="00C050D9" w:rsidP="00B217F2">
      <w:pPr>
        <w:spacing w:after="0" w:line="240" w:lineRule="auto"/>
        <w:jc w:val="both"/>
        <w:rPr>
          <w:rFonts w:ascii="Times New Roman" w:hAnsi="Times New Roman" w:cs="Times New Roman"/>
          <w:sz w:val="28"/>
          <w:szCs w:val="28"/>
        </w:rPr>
      </w:pPr>
    </w:p>
    <w:p w:rsidR="00B217F2" w:rsidRPr="00C050D9" w:rsidRDefault="00C050D9" w:rsidP="00B217F2">
      <w:pPr>
        <w:autoSpaceDE w:val="0"/>
        <w:autoSpaceDN w:val="0"/>
        <w:adjustRightInd w:val="0"/>
        <w:spacing w:after="0" w:line="240" w:lineRule="auto"/>
        <w:rPr>
          <w:rFonts w:ascii="Times New Roman" w:hAnsi="Times New Roman" w:cs="Times New Roman"/>
          <w:color w:val="000000"/>
          <w:sz w:val="28"/>
          <w:szCs w:val="28"/>
        </w:rPr>
      </w:pPr>
      <w:r w:rsidRPr="00C050D9">
        <w:rPr>
          <w:rFonts w:ascii="Times New Roman" w:hAnsi="Times New Roman" w:cs="Times New Roman"/>
          <w:color w:val="000000"/>
          <w:sz w:val="28"/>
          <w:szCs w:val="28"/>
        </w:rPr>
        <w:t xml:space="preserve">La entidad dio respuesta a cada uno de los interrogantes formulados en el auto admisorio. </w:t>
      </w:r>
    </w:p>
    <w:p w:rsidR="00B217F2" w:rsidRPr="00C050D9" w:rsidRDefault="00C050D9" w:rsidP="00B217F2">
      <w:pPr>
        <w:autoSpaceDE w:val="0"/>
        <w:autoSpaceDN w:val="0"/>
        <w:adjustRightInd w:val="0"/>
        <w:spacing w:after="0" w:line="240" w:lineRule="auto"/>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 xml:space="preserve">En lo relacionado con el cargo contra las normas del Régimen Simple de Tributación, la entidad remitió las respuestas desarrolladas en el expediente D-15270. </w:t>
      </w:r>
      <w:r w:rsidRPr="00C050D9">
        <w:rPr>
          <w:rFonts w:ascii="Times New Roman" w:hAnsi="Times New Roman" w:cs="Times New Roman"/>
          <w:color w:val="000000"/>
          <w:sz w:val="28"/>
          <w:szCs w:val="28"/>
        </w:rPr>
        <w:t>Particularmente reiteró que las modificaciones que se hicieron al RST se sustentaron en la focalización del régimen especial y el incentivo de formalización de sectores sociales con particularidades, como lo son la educación y la salud. Señaló que la refor</w:t>
      </w:r>
      <w:r w:rsidRPr="00C050D9">
        <w:rPr>
          <w:rFonts w:ascii="Times New Roman" w:hAnsi="Times New Roman" w:cs="Times New Roman"/>
          <w:color w:val="000000"/>
          <w:sz w:val="28"/>
          <w:szCs w:val="28"/>
        </w:rPr>
        <w:t>ma también buscó evitar que ciertos sectores que podían contribuir al sistema general de tributación, lo hicieran en el especial y opcional. Al respecto, señaló que «n</w:t>
      </w:r>
      <w:r w:rsidRPr="00C050D9">
        <w:rPr>
          <w:rFonts w:ascii="Times New Roman" w:hAnsi="Times New Roman" w:cs="Times New Roman"/>
          <w:color w:val="000000"/>
          <w:sz w:val="28"/>
          <w:szCs w:val="28"/>
        </w:rPr>
        <w:t>o puede dejarse de vista que aquellos contribuyentes del grupo 5 que excedan los topes de</w:t>
      </w:r>
      <w:r w:rsidRPr="00C050D9">
        <w:rPr>
          <w:rFonts w:ascii="Times New Roman" w:hAnsi="Times New Roman" w:cs="Times New Roman"/>
          <w:color w:val="000000"/>
          <w:sz w:val="28"/>
          <w:szCs w:val="28"/>
        </w:rPr>
        <w:t xml:space="preserve"> ingreso bruto para pertenecer al SIMPLE van a poder cumplir sus obligaciones tributarias en plena igualdad de condiciones con los demás contribuyentes en el régimen ordinario del impuesto sobre la renta</w:t>
      </w:r>
      <w:r w:rsidRPr="00C050D9">
        <w:rPr>
          <w:rFonts w:ascii="Times New Roman" w:hAnsi="Times New Roman" w:cs="Times New Roman"/>
          <w:color w:val="000000"/>
          <w:sz w:val="28"/>
          <w:szCs w:val="28"/>
        </w:rPr>
        <w:t>». Con gráficas, la entidad explicó que existía una e</w:t>
      </w:r>
      <w:r w:rsidRPr="00C050D9">
        <w:rPr>
          <w:rFonts w:ascii="Times New Roman" w:hAnsi="Times New Roman" w:cs="Times New Roman"/>
          <w:color w:val="000000"/>
          <w:sz w:val="28"/>
          <w:szCs w:val="28"/>
        </w:rPr>
        <w:t xml:space="preserve">structura de costos ingresos muy diferente entre los grupos 4 y 5, y por esa razón se debían hacer ajustes al acceso al RST.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 xml:space="preserve">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lang w:val="es-ES_tradnl"/>
        </w:rPr>
      </w:pPr>
      <w:r w:rsidRPr="00C050D9">
        <w:rPr>
          <w:rFonts w:ascii="Times New Roman" w:hAnsi="Times New Roman" w:cs="Times New Roman"/>
          <w:color w:val="000000"/>
          <w:sz w:val="28"/>
          <w:szCs w:val="28"/>
        </w:rPr>
        <w:t xml:space="preserve">En cuanto al cargo contra </w:t>
      </w:r>
      <w:r w:rsidRPr="00C050D9">
        <w:rPr>
          <w:rFonts w:ascii="Times New Roman" w:hAnsi="Times New Roman" w:cs="Times New Roman"/>
          <w:color w:val="000000"/>
          <w:sz w:val="28"/>
          <w:szCs w:val="28"/>
          <w:lang w:val="es-ES_tradnl"/>
        </w:rPr>
        <w:t>el parágrafo del artículo 3°</w:t>
      </w:r>
      <w:r w:rsidRPr="00C050D9">
        <w:rPr>
          <w:rFonts w:ascii="Times New Roman" w:hAnsi="Times New Roman" w:cs="Times New Roman"/>
          <w:color w:val="000000"/>
          <w:sz w:val="28"/>
          <w:szCs w:val="28"/>
          <w:lang w:val="es-ES_tradnl"/>
        </w:rPr>
        <w:t xml:space="preserve"> de la Ley 2277 de 2022, respondió lo siguiente: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b/>
          <w:bCs/>
          <w:color w:val="000000"/>
          <w:sz w:val="28"/>
          <w:szCs w:val="28"/>
        </w:rPr>
      </w:pPr>
      <w:r w:rsidRPr="00C050D9">
        <w:rPr>
          <w:rFonts w:ascii="Times New Roman" w:hAnsi="Times New Roman" w:cs="Times New Roman"/>
          <w:b/>
          <w:bCs/>
          <w:color w:val="000000"/>
          <w:sz w:val="28"/>
          <w:szCs w:val="28"/>
        </w:rPr>
        <w:t>i) Describir al detalle</w:t>
      </w:r>
      <w:r w:rsidRPr="00C050D9">
        <w:rPr>
          <w:rFonts w:ascii="Times New Roman" w:hAnsi="Times New Roman" w:cs="Times New Roman"/>
          <w:b/>
          <w:bCs/>
          <w:color w:val="000000"/>
          <w:sz w:val="28"/>
          <w:szCs w:val="28"/>
        </w:rPr>
        <w:t xml:space="preserve"> cómo es el proceso de devolución de saldos a favor que deben adelantar los contribuyentes ante su entidad y el tiempo -en promedio- que tarda el proceso para hacerse efectiva la devolución</w:t>
      </w:r>
      <w:r w:rsidRPr="00C050D9">
        <w:rPr>
          <w:rFonts w:ascii="Times New Roman" w:hAnsi="Times New Roman" w:cs="Times New Roman"/>
          <w:b/>
          <w:bCs/>
          <w:color w:val="000000"/>
          <w:sz w:val="28"/>
          <w:szCs w:val="28"/>
        </w:rPr>
        <w:t>.</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b/>
          <w:bCs/>
          <w:color w:val="000000"/>
          <w:sz w:val="28"/>
          <w:szCs w:val="28"/>
        </w:rPr>
        <w:t xml:space="preserve">Respuesta: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w:t>
      </w:r>
      <w:r w:rsidRPr="00C050D9">
        <w:rPr>
          <w:rFonts w:ascii="Times New Roman" w:hAnsi="Times New Roman" w:cs="Times New Roman"/>
          <w:color w:val="000000"/>
          <w:sz w:val="28"/>
          <w:szCs w:val="28"/>
        </w:rPr>
        <w:t>Con respecto al proceso de devolución que deben adelantar los contribuyentes, se anexa en PDF los manuales de usuario de devoluciones y/o compensaciones de saldos a favor en renta y saldos a favor en ventas, en los cuales se detalla el proceso que deben ad</w:t>
      </w:r>
      <w:r w:rsidRPr="00C050D9">
        <w:rPr>
          <w:rFonts w:ascii="Times New Roman" w:hAnsi="Times New Roman" w:cs="Times New Roman"/>
          <w:color w:val="000000"/>
          <w:sz w:val="28"/>
          <w:szCs w:val="28"/>
        </w:rPr>
        <w:t>elantar los contribuyentes ante la DIAN. Es de precisar que para la presentación de las solicitudes de devolución y/o compensación los solicitantes tienen disponible el Servicio Informático de Devoluciones al cual pueden acceder de manera virtual ingresand</w:t>
      </w:r>
      <w:r w:rsidRPr="00C050D9">
        <w:rPr>
          <w:rFonts w:ascii="Times New Roman" w:hAnsi="Times New Roman" w:cs="Times New Roman"/>
          <w:color w:val="000000"/>
          <w:sz w:val="28"/>
          <w:szCs w:val="28"/>
        </w:rPr>
        <w:t xml:space="preserve">o a la URL de la DIAN: http://devolucion.dian.go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En complemento a lo anterior, en la página Web de la DIAN se encuentra a disposición de los contribuyentes la información de los trámites para solicitudes de devolución, en el</w:t>
      </w:r>
      <w:r w:rsidRPr="00C050D9">
        <w:rPr>
          <w:rFonts w:ascii="Times New Roman" w:hAnsi="Times New Roman" w:cs="Times New Roman"/>
          <w:color w:val="000000"/>
          <w:sz w:val="28"/>
          <w:szCs w:val="28"/>
        </w:rPr>
        <w:t xml:space="preserve"> </w:t>
      </w:r>
      <w:r w:rsidRPr="00C050D9">
        <w:rPr>
          <w:rFonts w:ascii="Times New Roman" w:hAnsi="Times New Roman" w:cs="Times New Roman"/>
          <w:color w:val="000000"/>
          <w:sz w:val="28"/>
          <w:szCs w:val="28"/>
        </w:rPr>
        <w:t xml:space="preserve">siguiente link: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https://www.</w:t>
      </w:r>
      <w:r w:rsidRPr="00C050D9">
        <w:rPr>
          <w:rFonts w:ascii="Times New Roman" w:hAnsi="Times New Roman" w:cs="Times New Roman"/>
          <w:color w:val="000000"/>
          <w:sz w:val="28"/>
          <w:szCs w:val="28"/>
        </w:rPr>
        <w:t xml:space="preserve">dian.gov.co/tramitesservicios/tramites-y-servicios/tributarios/Paginas/devoluciones-compensaciones.aspx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Adicionalmente, los contribuyentes pueden encontrar material de apoyo complementario como cartillas, manuales, formatos con sus respectivos instructiv</w:t>
      </w:r>
      <w:r w:rsidRPr="00C050D9">
        <w:rPr>
          <w:rFonts w:ascii="Times New Roman" w:hAnsi="Times New Roman" w:cs="Times New Roman"/>
          <w:color w:val="000000"/>
          <w:sz w:val="28"/>
          <w:szCs w:val="28"/>
        </w:rPr>
        <w:t xml:space="preserve">os, en la página Web de la DIAN, en el siguiente link: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 xml:space="preserve">https://www.dian.gov.co/Transaccional/Paginas/DevolucionesCompensaciones.aspx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En referencia a los tiempos promedio para resolver las solicitudes de devolución, se debe tener en cuenta lo establ</w:t>
      </w:r>
      <w:r w:rsidRPr="00C050D9">
        <w:rPr>
          <w:rFonts w:ascii="Times New Roman" w:hAnsi="Times New Roman" w:cs="Times New Roman"/>
          <w:color w:val="000000"/>
          <w:sz w:val="28"/>
          <w:szCs w:val="28"/>
        </w:rPr>
        <w:t>ecido en el artículo 855 del Estatuto Tributario. La norma establece tiempos para devoluciones ordinarias, para devoluciones automáticas, para devoluciones de productores de bienes exentos de que trata el artículo 477 del Estatuto Tributario, para los resp</w:t>
      </w:r>
      <w:r w:rsidRPr="00C050D9">
        <w:rPr>
          <w:rFonts w:ascii="Times New Roman" w:hAnsi="Times New Roman" w:cs="Times New Roman"/>
          <w:color w:val="000000"/>
          <w:sz w:val="28"/>
          <w:szCs w:val="28"/>
        </w:rPr>
        <w:t>onsables de los bienes y servicios de que tratan los artículos 468-1 y 468-3 del Estatuto Tributario y para los responsables del impuesto sobre las ventas de que trata el artículo 481 del Estatuto Tributario, que ostenten la calidad de operador económico a</w:t>
      </w:r>
      <w:r w:rsidRPr="00C050D9">
        <w:rPr>
          <w:rFonts w:ascii="Times New Roman" w:hAnsi="Times New Roman" w:cs="Times New Roman"/>
          <w:color w:val="000000"/>
          <w:sz w:val="28"/>
          <w:szCs w:val="28"/>
        </w:rPr>
        <w:t xml:space="preserve">utorizado de conformidad con el decreto 3568 de 2011.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Así mismo, se debe considerar lo establecido en el artículo 860 del Estatuto Tributario que señala un término de veinte (20) días para las solicitudes de devolución presentadas con garantía, y, adicio</w:t>
      </w:r>
      <w:r w:rsidRPr="00C050D9">
        <w:rPr>
          <w:rFonts w:ascii="Times New Roman" w:hAnsi="Times New Roman" w:cs="Times New Roman"/>
          <w:color w:val="000000"/>
          <w:sz w:val="28"/>
          <w:szCs w:val="28"/>
        </w:rPr>
        <w:t xml:space="preserve">nalmente lo establecido en el artículo 857-1 del Estatuto Tributario donde se establece que el término para devolver o compensar se podrá suspender hasta por un máximo de noventa (90) días.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 xml:space="preserve">Acorde con los resultados del indicador de días promedio para </w:t>
      </w:r>
      <w:r w:rsidRPr="00C050D9">
        <w:rPr>
          <w:rFonts w:ascii="Times New Roman" w:hAnsi="Times New Roman" w:cs="Times New Roman"/>
          <w:color w:val="000000"/>
          <w:sz w:val="28"/>
          <w:szCs w:val="28"/>
        </w:rPr>
        <w:t>resolver solicitudes de devolución sujetas al término ordinario de cincuenta (50) días, en el año 2022 se logró un tiempo promedio a nivel nacional de 27,5 días y en el cuatrimestre enero a abril de 2023 el promedio fue de 28 días</w:t>
      </w:r>
      <w:r w:rsidRPr="00C050D9">
        <w:rPr>
          <w:rFonts w:ascii="Times New Roman" w:hAnsi="Times New Roman" w:cs="Times New Roman"/>
          <w:color w:val="000000"/>
          <w:sz w:val="28"/>
          <w:szCs w:val="28"/>
        </w:rPr>
        <w:t xml:space="preserve">».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b/>
          <w:bCs/>
          <w:color w:val="000000"/>
          <w:sz w:val="28"/>
          <w:szCs w:val="28"/>
        </w:rPr>
        <w:t>ii) Aclarar cuáles so</w:t>
      </w:r>
      <w:r w:rsidRPr="00C050D9">
        <w:rPr>
          <w:rFonts w:ascii="Times New Roman" w:hAnsi="Times New Roman" w:cs="Times New Roman"/>
          <w:b/>
          <w:bCs/>
          <w:color w:val="000000"/>
          <w:sz w:val="28"/>
          <w:szCs w:val="28"/>
        </w:rPr>
        <w:t xml:space="preserve">n los obstáculos que se presentan al adelantarse estos procesos ante la entidad y las medidas que se han tomado para solventarlos. </w:t>
      </w:r>
    </w:p>
    <w:p w:rsidR="00B217F2" w:rsidRPr="00C050D9" w:rsidRDefault="00C050D9" w:rsidP="00B217F2">
      <w:pPr>
        <w:autoSpaceDE w:val="0"/>
        <w:autoSpaceDN w:val="0"/>
        <w:adjustRightInd w:val="0"/>
        <w:spacing w:after="0" w:line="240" w:lineRule="auto"/>
        <w:jc w:val="both"/>
        <w:rPr>
          <w:rFonts w:ascii="Times New Roman" w:hAnsi="Times New Roman" w:cs="Times New Roman"/>
          <w:b/>
          <w:bCs/>
          <w:color w:val="000000"/>
          <w:sz w:val="28"/>
          <w:szCs w:val="28"/>
        </w:rPr>
      </w:pPr>
      <w:r w:rsidRPr="00C050D9">
        <w:rPr>
          <w:rFonts w:ascii="Times New Roman" w:hAnsi="Times New Roman" w:cs="Times New Roman"/>
          <w:b/>
          <w:bCs/>
          <w:color w:val="000000"/>
          <w:sz w:val="28"/>
          <w:szCs w:val="28"/>
        </w:rPr>
        <w:t>Respuesta:</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r w:rsidRPr="00C050D9">
        <w:rPr>
          <w:rFonts w:ascii="Times New Roman" w:hAnsi="Times New Roman" w:cs="Times New Roman"/>
          <w:color w:val="000000"/>
          <w:sz w:val="28"/>
          <w:szCs w:val="28"/>
        </w:rPr>
        <w:t>«</w:t>
      </w:r>
      <w:r w:rsidRPr="00C050D9">
        <w:rPr>
          <w:rFonts w:ascii="Times New Roman" w:hAnsi="Times New Roman" w:cs="Times New Roman"/>
          <w:color w:val="000000"/>
          <w:sz w:val="28"/>
          <w:szCs w:val="28"/>
        </w:rPr>
        <w:t>El Servicio Informático de Devoluciones permite radicar las solicitudes de devolución de saldos a favor del imp</w:t>
      </w:r>
      <w:r w:rsidRPr="00C050D9">
        <w:rPr>
          <w:rFonts w:ascii="Times New Roman" w:hAnsi="Times New Roman" w:cs="Times New Roman"/>
          <w:color w:val="000000"/>
          <w:sz w:val="28"/>
          <w:szCs w:val="28"/>
        </w:rPr>
        <w:t>uesto sobre la renta y del impuesto sobre las ventas, de manera virtual y con disponibilidad de las 24 horas del día. El contribuyente puede hacer seguimiento en tiempo real del avance de las solicitudes de devolución que ha presentado</w:t>
      </w:r>
      <w:r w:rsidRPr="00C050D9">
        <w:rPr>
          <w:rFonts w:ascii="Times New Roman" w:hAnsi="Times New Roman" w:cs="Times New Roman"/>
          <w:color w:val="000000"/>
          <w:sz w:val="28"/>
          <w:szCs w:val="28"/>
        </w:rPr>
        <w:t xml:space="preserve">». </w:t>
      </w:r>
      <w:r w:rsidRPr="00C050D9">
        <w:rPr>
          <w:rFonts w:ascii="Times New Roman" w:hAnsi="Times New Roman" w:cs="Times New Roman"/>
          <w:color w:val="000000"/>
          <w:sz w:val="28"/>
          <w:szCs w:val="28"/>
        </w:rPr>
        <w:t xml:space="preserve"> </w:t>
      </w:r>
    </w:p>
    <w:p w:rsidR="00B217F2" w:rsidRPr="00C050D9" w:rsidRDefault="00C050D9" w:rsidP="00B217F2">
      <w:pPr>
        <w:autoSpaceDE w:val="0"/>
        <w:autoSpaceDN w:val="0"/>
        <w:adjustRightInd w:val="0"/>
        <w:spacing w:after="0" w:line="240" w:lineRule="auto"/>
        <w:jc w:val="both"/>
        <w:rPr>
          <w:rFonts w:ascii="Times New Roman" w:hAnsi="Times New Roman" w:cs="Times New Roman"/>
          <w:color w:val="000000"/>
          <w:sz w:val="28"/>
          <w:szCs w:val="28"/>
        </w:rPr>
      </w:pPr>
    </w:p>
    <w:p w:rsidR="00B217F2" w:rsidRPr="00C050D9" w:rsidRDefault="00C050D9" w:rsidP="00B217F2">
      <w:pPr>
        <w:spacing w:after="0" w:line="240" w:lineRule="auto"/>
        <w:jc w:val="center"/>
        <w:rPr>
          <w:rFonts w:ascii="Times New Roman" w:hAnsi="Times New Roman" w:cs="Times New Roman"/>
          <w:b/>
          <w:sz w:val="28"/>
          <w:szCs w:val="28"/>
        </w:rPr>
      </w:pPr>
      <w:r w:rsidRPr="00C050D9">
        <w:rPr>
          <w:rFonts w:ascii="Times New Roman" w:hAnsi="Times New Roman" w:cs="Times New Roman"/>
          <w:color w:val="000000"/>
          <w:sz w:val="28"/>
          <w:szCs w:val="28"/>
        </w:rPr>
        <w:t>La entidad adju</w:t>
      </w:r>
      <w:r w:rsidRPr="00C050D9">
        <w:rPr>
          <w:rFonts w:ascii="Times New Roman" w:hAnsi="Times New Roman" w:cs="Times New Roman"/>
          <w:color w:val="000000"/>
          <w:sz w:val="28"/>
          <w:szCs w:val="28"/>
        </w:rPr>
        <w:t>ntó a sus respuestas todos los insumos</w:t>
      </w: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B217F2" w:rsidRPr="00C050D9" w:rsidRDefault="00C050D9" w:rsidP="00B806F7">
      <w:pPr>
        <w:spacing w:after="0" w:line="240" w:lineRule="auto"/>
        <w:jc w:val="center"/>
        <w:rPr>
          <w:rFonts w:ascii="Times New Roman" w:hAnsi="Times New Roman" w:cs="Times New Roman"/>
          <w:b/>
          <w:sz w:val="28"/>
          <w:szCs w:val="28"/>
        </w:rPr>
      </w:pPr>
    </w:p>
    <w:p w:rsidR="006C0BB8" w:rsidRPr="00C050D9" w:rsidRDefault="00C050D9" w:rsidP="00B806F7">
      <w:pPr>
        <w:spacing w:after="0" w:line="240" w:lineRule="auto"/>
        <w:jc w:val="center"/>
        <w:rPr>
          <w:rFonts w:ascii="Times New Roman" w:hAnsi="Times New Roman" w:cs="Times New Roman"/>
          <w:b/>
          <w:sz w:val="28"/>
          <w:szCs w:val="28"/>
        </w:rPr>
      </w:pPr>
    </w:p>
    <w:p w:rsidR="00BE707D" w:rsidRPr="00C050D9" w:rsidRDefault="00C050D9" w:rsidP="00B806F7">
      <w:pPr>
        <w:spacing w:after="0" w:line="240" w:lineRule="auto"/>
        <w:jc w:val="center"/>
        <w:rPr>
          <w:rFonts w:ascii="Times New Roman" w:hAnsi="Times New Roman" w:cs="Times New Roman"/>
          <w:b/>
          <w:sz w:val="28"/>
          <w:szCs w:val="28"/>
        </w:rPr>
      </w:pPr>
      <w:r w:rsidRPr="00C050D9">
        <w:rPr>
          <w:rFonts w:ascii="Times New Roman" w:hAnsi="Times New Roman" w:cs="Times New Roman"/>
          <w:b/>
          <w:sz w:val="28"/>
          <w:szCs w:val="28"/>
        </w:rPr>
        <w:t>Intervenciones – Expediente D-15.213</w:t>
      </w:r>
    </w:p>
    <w:p w:rsidR="00B806F7" w:rsidRPr="00C050D9" w:rsidRDefault="00C050D9" w:rsidP="00B806F7">
      <w:pPr>
        <w:spacing w:after="0" w:line="240" w:lineRule="auto"/>
        <w:jc w:val="center"/>
        <w:rPr>
          <w:rFonts w:ascii="Times New Roman" w:hAnsi="Times New Roman" w:cs="Times New Roman"/>
          <w:sz w:val="28"/>
          <w:szCs w:val="28"/>
        </w:rPr>
      </w:pPr>
    </w:p>
    <w:p w:rsidR="00F5099F" w:rsidRPr="00C050D9" w:rsidRDefault="00C050D9" w:rsidP="00F5099F">
      <w:pPr>
        <w:spacing w:after="0" w:line="240" w:lineRule="auto"/>
        <w:jc w:val="both"/>
        <w:rPr>
          <w:rFonts w:ascii="Times New Roman" w:hAnsi="Times New Roman" w:cs="Times New Roman"/>
          <w:b/>
          <w:i/>
          <w:sz w:val="28"/>
          <w:szCs w:val="28"/>
        </w:rPr>
      </w:pPr>
      <w:r w:rsidRPr="00C050D9">
        <w:rPr>
          <w:rFonts w:ascii="Times New Roman" w:hAnsi="Times New Roman" w:cs="Times New Roman"/>
          <w:b/>
          <w:i/>
          <w:sz w:val="28"/>
          <w:szCs w:val="28"/>
        </w:rPr>
        <w:t>Dirección de Impuestos y Aduanas Nacionales – DIAN</w:t>
      </w:r>
    </w:p>
    <w:p w:rsidR="008C1C7D" w:rsidRPr="00C050D9" w:rsidRDefault="00C050D9" w:rsidP="008C1C7D">
      <w:pPr>
        <w:spacing w:after="0" w:line="240" w:lineRule="auto"/>
        <w:jc w:val="both"/>
        <w:rPr>
          <w:rFonts w:ascii="Times New Roman" w:hAnsi="Times New Roman" w:cs="Times New Roman"/>
          <w:sz w:val="28"/>
          <w:szCs w:val="28"/>
        </w:rPr>
      </w:pPr>
    </w:p>
    <w:p w:rsidR="008C1C7D"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La entidad solicitó a la Corte declarar la constitucionalidad de las normas demandadas. En cuanto al impuesto unificado bajo el régimen simple de tributación, la entidad señaló que la distinción de los grupos de salud y educación y la modificación de tarif</w:t>
      </w:r>
      <w:r w:rsidRPr="00C050D9">
        <w:rPr>
          <w:rFonts w:ascii="Times New Roman" w:hAnsi="Times New Roman" w:cs="Times New Roman"/>
          <w:sz w:val="28"/>
          <w:szCs w:val="28"/>
        </w:rPr>
        <w:t xml:space="preserve">as </w:t>
      </w:r>
      <w:r w:rsidRPr="00C050D9">
        <w:rPr>
          <w:rFonts w:ascii="Times New Roman" w:hAnsi="Times New Roman" w:cs="Times New Roman"/>
          <w:sz w:val="28"/>
          <w:szCs w:val="28"/>
        </w:rPr>
        <w:t>«busca mantener y avanzar en la cobertura de salud, educación y asistencia social para sanar un tejido social deteriorado». Del mismo modo, pretende incluir una tarifa de equilibrio entre las profesiones liberales y aquellas de los sectores salud y educ</w:t>
      </w:r>
      <w:r w:rsidRPr="00C050D9">
        <w:rPr>
          <w:rFonts w:ascii="Times New Roman" w:hAnsi="Times New Roman" w:cs="Times New Roman"/>
          <w:sz w:val="28"/>
          <w:szCs w:val="28"/>
        </w:rPr>
        <w:t>ación. Acorde con ello, la DIAN afirmó que las reformas introducidas al régimen especial de tributación no desconocen los principios de igualdad y equidad horizontal, toda vez que el trato diferenciado se encuentre justificados en objetivos constitucionale</w:t>
      </w:r>
      <w:r w:rsidRPr="00C050D9">
        <w:rPr>
          <w:rFonts w:ascii="Times New Roman" w:hAnsi="Times New Roman" w:cs="Times New Roman"/>
          <w:sz w:val="28"/>
          <w:szCs w:val="28"/>
        </w:rPr>
        <w:t>s y de política fiscal.</w:t>
      </w:r>
    </w:p>
    <w:p w:rsidR="00356A63" w:rsidRPr="00C050D9" w:rsidRDefault="00C050D9" w:rsidP="008C1C7D">
      <w:pPr>
        <w:spacing w:after="0" w:line="240" w:lineRule="auto"/>
        <w:jc w:val="both"/>
        <w:rPr>
          <w:rFonts w:ascii="Times New Roman" w:hAnsi="Times New Roman" w:cs="Times New Roman"/>
          <w:sz w:val="28"/>
          <w:szCs w:val="28"/>
        </w:rPr>
      </w:pPr>
    </w:p>
    <w:p w:rsidR="00946EE8"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Argumentó que </w:t>
      </w:r>
      <w:r w:rsidRPr="00C050D9">
        <w:rPr>
          <w:rFonts w:ascii="Times New Roman" w:hAnsi="Times New Roman" w:cs="Times New Roman"/>
          <w:sz w:val="28"/>
          <w:szCs w:val="28"/>
        </w:rPr>
        <w:t>el legislador cuenta con una potestad de configuración amplia en materia fiscal</w:t>
      </w:r>
      <w:r w:rsidRPr="00C050D9">
        <w:rPr>
          <w:rFonts w:ascii="Times New Roman" w:hAnsi="Times New Roman" w:cs="Times New Roman"/>
          <w:sz w:val="28"/>
          <w:szCs w:val="28"/>
        </w:rPr>
        <w:t>, y en esa medida, puede modificar un régimen como el simple con el fin de incentivar la formalización en ciertos sectores. Adujo que le c</w:t>
      </w:r>
      <w:r w:rsidRPr="00C050D9">
        <w:rPr>
          <w:rFonts w:ascii="Times New Roman" w:hAnsi="Times New Roman" w:cs="Times New Roman"/>
          <w:sz w:val="28"/>
          <w:szCs w:val="28"/>
        </w:rPr>
        <w:t>orresponde a los demandantes demostrar que la opción escogida por el legislador es inconstitucional. En este caso, en principio, es legítimo que el legislador modifica el umbral de acceso para las profesiones liberales y les imponga una tarifa más alta, de</w:t>
      </w:r>
      <w:r w:rsidRPr="00C050D9">
        <w:rPr>
          <w:rFonts w:ascii="Times New Roman" w:hAnsi="Times New Roman" w:cs="Times New Roman"/>
          <w:sz w:val="28"/>
          <w:szCs w:val="28"/>
        </w:rPr>
        <w:t xml:space="preserve">bido a su amplia discrecionalidad en materia tributaria. </w:t>
      </w:r>
    </w:p>
    <w:p w:rsidR="009157A8" w:rsidRPr="00C050D9" w:rsidRDefault="00C050D9" w:rsidP="008C1C7D">
      <w:pPr>
        <w:spacing w:after="0" w:line="240" w:lineRule="auto"/>
        <w:jc w:val="both"/>
        <w:rPr>
          <w:rFonts w:ascii="Times New Roman" w:hAnsi="Times New Roman" w:cs="Times New Roman"/>
          <w:sz w:val="28"/>
          <w:szCs w:val="28"/>
        </w:rPr>
      </w:pPr>
    </w:p>
    <w:p w:rsidR="009157A8"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Luego de constatar que existen dos poblaciones que son comparables y el trato diferenciado dispuesto por el legislador (particularmente, en cuanto al tope de acceso al régimen y las tarifas de reca</w:t>
      </w:r>
      <w:r w:rsidRPr="00C050D9">
        <w:rPr>
          <w:rFonts w:ascii="Times New Roman" w:hAnsi="Times New Roman" w:cs="Times New Roman"/>
          <w:sz w:val="28"/>
          <w:szCs w:val="28"/>
        </w:rPr>
        <w:t xml:space="preserve">udo), </w:t>
      </w:r>
      <w:r w:rsidRPr="00C050D9">
        <w:rPr>
          <w:rFonts w:ascii="Times New Roman" w:hAnsi="Times New Roman" w:cs="Times New Roman"/>
          <w:sz w:val="28"/>
          <w:szCs w:val="28"/>
        </w:rPr>
        <w:t xml:space="preserve">explicó que </w:t>
      </w:r>
      <w:r w:rsidRPr="00C050D9">
        <w:rPr>
          <w:rFonts w:ascii="Times New Roman" w:hAnsi="Times New Roman" w:cs="Times New Roman"/>
          <w:sz w:val="28"/>
          <w:szCs w:val="28"/>
        </w:rPr>
        <w:t>la</w:t>
      </w:r>
      <w:r w:rsidRPr="00C050D9">
        <w:rPr>
          <w:rFonts w:ascii="Times New Roman" w:hAnsi="Times New Roman" w:cs="Times New Roman"/>
          <w:sz w:val="28"/>
          <w:szCs w:val="28"/>
        </w:rPr>
        <w:t>s</w:t>
      </w:r>
      <w:r w:rsidRPr="00C050D9">
        <w:rPr>
          <w:rFonts w:ascii="Times New Roman" w:hAnsi="Times New Roman" w:cs="Times New Roman"/>
          <w:sz w:val="28"/>
          <w:szCs w:val="28"/>
        </w:rPr>
        <w:t xml:space="preserve"> reforma</w:t>
      </w:r>
      <w:r w:rsidRPr="00C050D9">
        <w:rPr>
          <w:rFonts w:ascii="Times New Roman" w:hAnsi="Times New Roman" w:cs="Times New Roman"/>
          <w:sz w:val="28"/>
          <w:szCs w:val="28"/>
        </w:rPr>
        <w:t>s</w:t>
      </w:r>
      <w:r w:rsidRPr="00C050D9">
        <w:rPr>
          <w:rFonts w:ascii="Times New Roman" w:hAnsi="Times New Roman" w:cs="Times New Roman"/>
          <w:sz w:val="28"/>
          <w:szCs w:val="28"/>
        </w:rPr>
        <w:t xml:space="preserve"> al régimen simple tampoco desconocen los principios de igualdad y equidad tributaria horizontal</w:t>
      </w:r>
      <w:r w:rsidRPr="00C050D9">
        <w:rPr>
          <w:rFonts w:ascii="Times New Roman" w:hAnsi="Times New Roman" w:cs="Times New Roman"/>
          <w:sz w:val="28"/>
          <w:szCs w:val="28"/>
        </w:rPr>
        <w:t xml:space="preserve">, porque (i) </w:t>
      </w:r>
      <w:r w:rsidRPr="00C050D9">
        <w:rPr>
          <w:rFonts w:ascii="Times New Roman" w:hAnsi="Times New Roman" w:cs="Times New Roman"/>
          <w:sz w:val="28"/>
          <w:szCs w:val="28"/>
        </w:rPr>
        <w:t>pretenden un fin constitucionalmente legítimo, como lo es lograr la formalidad de ciertos sectores y facilitar el cum</w:t>
      </w:r>
      <w:r w:rsidRPr="00C050D9">
        <w:rPr>
          <w:rFonts w:ascii="Times New Roman" w:hAnsi="Times New Roman" w:cs="Times New Roman"/>
          <w:sz w:val="28"/>
          <w:szCs w:val="28"/>
        </w:rPr>
        <w:t>plimiento de las cargas tributarias. Precisó que «</w:t>
      </w:r>
      <w:r w:rsidRPr="00C050D9">
        <w:rPr>
          <w:rFonts w:ascii="Times New Roman" w:hAnsi="Times New Roman" w:cs="Times New Roman"/>
          <w:color w:val="000000"/>
          <w:sz w:val="28"/>
          <w:szCs w:val="28"/>
        </w:rPr>
        <w:t>[l]</w:t>
      </w:r>
      <w:r w:rsidRPr="00C050D9">
        <w:rPr>
          <w:rFonts w:ascii="Times New Roman" w:hAnsi="Times New Roman" w:cs="Times New Roman"/>
          <w:sz w:val="28"/>
          <w:szCs w:val="28"/>
        </w:rPr>
        <w:t>os ingresos, las tarifas y los topes del anticipo del impuesto bajo examen no pueden ser iguales porque los sujetos que desarrollan actividades de educación, de atención de la salud humana y de asistenci</w:t>
      </w:r>
      <w:r w:rsidRPr="00C050D9">
        <w:rPr>
          <w:rFonts w:ascii="Times New Roman" w:hAnsi="Times New Roman" w:cs="Times New Roman"/>
          <w:sz w:val="28"/>
          <w:szCs w:val="28"/>
        </w:rPr>
        <w:t>a social son sectores que el legislador quiso privilegiar por el rol que cumplen dentro de la sociedad tal cómo se señaló en la exposición de motivos generales de la ley que busca sanar un tejido social deteriorado</w:t>
      </w:r>
      <w:r w:rsidRPr="00C050D9">
        <w:rPr>
          <w:rFonts w:ascii="Times New Roman" w:hAnsi="Times New Roman" w:cs="Times New Roman"/>
          <w:sz w:val="28"/>
          <w:szCs w:val="28"/>
        </w:rPr>
        <w:t xml:space="preserve">». </w:t>
      </w:r>
    </w:p>
    <w:p w:rsidR="00C74A96" w:rsidRPr="00C050D9" w:rsidRDefault="00C050D9" w:rsidP="008C1C7D">
      <w:pPr>
        <w:spacing w:after="0" w:line="240" w:lineRule="auto"/>
        <w:jc w:val="both"/>
        <w:rPr>
          <w:rFonts w:ascii="Times New Roman" w:hAnsi="Times New Roman" w:cs="Times New Roman"/>
          <w:sz w:val="28"/>
          <w:szCs w:val="28"/>
        </w:rPr>
      </w:pPr>
    </w:p>
    <w:p w:rsidR="00C74A96"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(ii) La medida prevista es idónea </w:t>
      </w:r>
      <w:r w:rsidRPr="00C050D9">
        <w:rPr>
          <w:rFonts w:ascii="Times New Roman" w:hAnsi="Times New Roman" w:cs="Times New Roman"/>
          <w:sz w:val="28"/>
          <w:szCs w:val="28"/>
        </w:rPr>
        <w:t>para alcanzar los fines mencionados, puesto que establece unas cargas impositivas inferiores para los sectores de salud y educación</w:t>
      </w:r>
      <w:r w:rsidRPr="00C050D9">
        <w:rPr>
          <w:rFonts w:ascii="Times New Roman" w:hAnsi="Times New Roman" w:cs="Times New Roman"/>
          <w:sz w:val="28"/>
          <w:szCs w:val="28"/>
        </w:rPr>
        <w:t>.</w:t>
      </w:r>
      <w:r w:rsidRPr="00C050D9">
        <w:rPr>
          <w:rFonts w:ascii="Times New Roman" w:hAnsi="Times New Roman" w:cs="Times New Roman"/>
          <w:sz w:val="28"/>
          <w:szCs w:val="28"/>
        </w:rPr>
        <w:t xml:space="preserve"> Con todo lo anterior, la entidad insistió que no se desconoce el principio de igualdad y equidad tributarias, pues se encue</w:t>
      </w:r>
      <w:r w:rsidRPr="00C050D9">
        <w:rPr>
          <w:rFonts w:ascii="Times New Roman" w:hAnsi="Times New Roman" w:cs="Times New Roman"/>
          <w:sz w:val="28"/>
          <w:szCs w:val="28"/>
        </w:rPr>
        <w:t xml:space="preserve">ntra suficientemente justificado el trato diferenciado. </w:t>
      </w:r>
    </w:p>
    <w:p w:rsidR="00C74A96" w:rsidRPr="00C050D9" w:rsidRDefault="00C050D9" w:rsidP="008C1C7D">
      <w:pPr>
        <w:spacing w:after="0" w:line="240" w:lineRule="auto"/>
        <w:jc w:val="both"/>
        <w:rPr>
          <w:rFonts w:ascii="Times New Roman" w:hAnsi="Times New Roman" w:cs="Times New Roman"/>
          <w:sz w:val="28"/>
          <w:szCs w:val="28"/>
        </w:rPr>
      </w:pPr>
    </w:p>
    <w:p w:rsidR="00356A63"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En cuanto a los cargo</w:t>
      </w:r>
      <w:r w:rsidRPr="00C050D9">
        <w:rPr>
          <w:rFonts w:ascii="Times New Roman" w:hAnsi="Times New Roman" w:cs="Times New Roman"/>
          <w:sz w:val="28"/>
          <w:szCs w:val="28"/>
        </w:rPr>
        <w:t>s</w:t>
      </w:r>
      <w:r w:rsidRPr="00C050D9">
        <w:rPr>
          <w:rFonts w:ascii="Times New Roman" w:hAnsi="Times New Roman" w:cs="Times New Roman"/>
          <w:sz w:val="28"/>
          <w:szCs w:val="28"/>
        </w:rPr>
        <w:t xml:space="preserve"> relacionados con el parágrafo del artículo 3 de la Ley 2277 de 2022</w:t>
      </w:r>
      <w:r w:rsidRPr="00C050D9">
        <w:rPr>
          <w:rFonts w:ascii="Times New Roman" w:hAnsi="Times New Roman" w:cs="Times New Roman"/>
          <w:sz w:val="28"/>
          <w:szCs w:val="28"/>
        </w:rPr>
        <w:t>, la entidad sugirió la ineptitud de la demanda, y subsidiariamente, declarar su exequibilidad. Sobre el pri</w:t>
      </w:r>
      <w:r w:rsidRPr="00C050D9">
        <w:rPr>
          <w:rFonts w:ascii="Times New Roman" w:hAnsi="Times New Roman" w:cs="Times New Roman"/>
          <w:sz w:val="28"/>
          <w:szCs w:val="28"/>
        </w:rPr>
        <w:t xml:space="preserve">mer </w:t>
      </w:r>
      <w:r w:rsidRPr="00C050D9">
        <w:rPr>
          <w:rFonts w:ascii="Times New Roman" w:hAnsi="Times New Roman" w:cs="Times New Roman"/>
          <w:sz w:val="28"/>
          <w:szCs w:val="28"/>
        </w:rPr>
        <w:t>punto, adujo que</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la argumentación de la demanda es precaria y no alcanza a generar dudas sólidas sobre la inconstitucionalidad de la norma. El cargo carece de especificidad y suficiencia, toda vez que no basta con citar las normas constitucionales vuln</w:t>
      </w:r>
      <w:r w:rsidRPr="00C050D9">
        <w:rPr>
          <w:rFonts w:ascii="Times New Roman" w:hAnsi="Times New Roman" w:cs="Times New Roman"/>
          <w:sz w:val="28"/>
          <w:szCs w:val="28"/>
        </w:rPr>
        <w:t>eradas, sino en explicar cómo los contenidos legales afectan la Carta Política. Además, la entidad señaló que «el cargo evidencia ausencia de certeza porque los accionantes infieren consecuencias subjetivas a partir de ejemplos mediante los cuales pretende</w:t>
      </w:r>
      <w:r w:rsidRPr="00C050D9">
        <w:rPr>
          <w:rFonts w:ascii="Times New Roman" w:hAnsi="Times New Roman" w:cs="Times New Roman"/>
          <w:sz w:val="28"/>
          <w:szCs w:val="28"/>
        </w:rPr>
        <w:t>n demostrar la pretendida inequidad de la disposición demandada y no se sustenta en elementos normativos que objetivamente se derivan de la disposición atacada (…)».</w:t>
      </w:r>
      <w:r w:rsidRPr="00C050D9">
        <w:rPr>
          <w:rStyle w:val="Refdenotaalpie"/>
          <w:rFonts w:ascii="Times New Roman" w:hAnsi="Times New Roman" w:cs="Times New Roman"/>
          <w:sz w:val="28"/>
          <w:szCs w:val="28"/>
        </w:rPr>
        <w:footnoteReference w:id="49"/>
      </w:r>
      <w:r w:rsidRPr="00C050D9">
        <w:rPr>
          <w:rFonts w:ascii="Times New Roman" w:hAnsi="Times New Roman" w:cs="Times New Roman"/>
          <w:sz w:val="28"/>
          <w:szCs w:val="28"/>
        </w:rPr>
        <w:t xml:space="preserve"> </w:t>
      </w:r>
    </w:p>
    <w:p w:rsidR="00E85D2D" w:rsidRPr="00C050D9" w:rsidRDefault="00C050D9" w:rsidP="008C1C7D">
      <w:pPr>
        <w:spacing w:after="0" w:line="240" w:lineRule="auto"/>
        <w:jc w:val="both"/>
        <w:rPr>
          <w:rFonts w:ascii="Times New Roman" w:hAnsi="Times New Roman" w:cs="Times New Roman"/>
          <w:sz w:val="28"/>
          <w:szCs w:val="28"/>
        </w:rPr>
      </w:pPr>
    </w:p>
    <w:p w:rsidR="008C1C7D" w:rsidRPr="00C050D9" w:rsidRDefault="00C050D9" w:rsidP="008C1C7D">
      <w:pPr>
        <w:spacing w:after="0" w:line="240" w:lineRule="auto"/>
        <w:jc w:val="both"/>
        <w:rPr>
          <w:rFonts w:ascii="Times New Roman" w:hAnsi="Times New Roman" w:cs="Times New Roman"/>
          <w:bCs/>
          <w:sz w:val="28"/>
          <w:szCs w:val="28"/>
        </w:rPr>
      </w:pPr>
      <w:r w:rsidRPr="00C050D9">
        <w:rPr>
          <w:rFonts w:ascii="Times New Roman" w:hAnsi="Times New Roman" w:cs="Times New Roman"/>
          <w:sz w:val="28"/>
          <w:szCs w:val="28"/>
        </w:rPr>
        <w:t xml:space="preserve">En todo caso, </w:t>
      </w:r>
      <w:r w:rsidRPr="00C050D9">
        <w:rPr>
          <w:rFonts w:ascii="Times New Roman" w:hAnsi="Times New Roman" w:cs="Times New Roman"/>
          <w:sz w:val="28"/>
          <w:szCs w:val="28"/>
        </w:rPr>
        <w:t>afirmó la entidad</w:t>
      </w:r>
      <w:r w:rsidRPr="00C050D9">
        <w:rPr>
          <w:rFonts w:ascii="Times New Roman" w:hAnsi="Times New Roman" w:cs="Times New Roman"/>
          <w:sz w:val="28"/>
          <w:szCs w:val="28"/>
        </w:rPr>
        <w:t xml:space="preserve"> que</w:t>
      </w:r>
      <w:r w:rsidRPr="00C050D9">
        <w:rPr>
          <w:rFonts w:ascii="Times New Roman" w:hAnsi="Times New Roman" w:cs="Times New Roman"/>
          <w:sz w:val="28"/>
          <w:szCs w:val="28"/>
        </w:rPr>
        <w:t xml:space="preserve"> la norma es constitucional, toda vez que (i) el leg</w:t>
      </w:r>
      <w:r w:rsidRPr="00C050D9">
        <w:rPr>
          <w:rFonts w:ascii="Times New Roman" w:hAnsi="Times New Roman" w:cs="Times New Roman"/>
          <w:sz w:val="28"/>
          <w:szCs w:val="28"/>
        </w:rPr>
        <w:t xml:space="preserve">islador cuenta con un amplio margen de configuración en materia </w:t>
      </w:r>
      <w:r w:rsidRPr="00C050D9">
        <w:rPr>
          <w:rFonts w:ascii="Times New Roman" w:hAnsi="Times New Roman" w:cs="Times New Roman"/>
          <w:sz w:val="28"/>
          <w:szCs w:val="28"/>
        </w:rPr>
        <w:t>impositiva</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y (ii) «</w:t>
      </w:r>
      <w:r w:rsidRPr="00C050D9">
        <w:rPr>
          <w:rFonts w:ascii="Times New Roman" w:hAnsi="Times New Roman" w:cs="Times New Roman"/>
          <w:bCs/>
          <w:sz w:val="28"/>
          <w:szCs w:val="28"/>
        </w:rPr>
        <w:t>no transgrede el principio de equidad tributaria porque no siempre el impuesto de renta va a ser inferior a la tarifa de retención en la fuente por dividendos</w:t>
      </w:r>
      <w:r w:rsidRPr="00C050D9">
        <w:rPr>
          <w:rFonts w:ascii="Times New Roman" w:hAnsi="Times New Roman" w:cs="Times New Roman"/>
          <w:bCs/>
          <w:sz w:val="28"/>
          <w:szCs w:val="28"/>
        </w:rPr>
        <w:t xml:space="preserve">». En cuanto a este último asunto, manifestó que </w:t>
      </w:r>
      <w:r w:rsidRPr="00C050D9">
        <w:rPr>
          <w:rFonts w:ascii="Times New Roman" w:hAnsi="Times New Roman" w:cs="Times New Roman"/>
          <w:bCs/>
          <w:sz w:val="28"/>
          <w:szCs w:val="28"/>
        </w:rPr>
        <w:t>el ejercicio planteado por los demandantes en el escrito de la demanda «incluye un descuento que se desconoce su origen, es decir, no manifiestan qué descuento están tomando para restar al impuesto de renta.</w:t>
      </w:r>
      <w:r w:rsidRPr="00C050D9">
        <w:rPr>
          <w:rFonts w:ascii="Times New Roman" w:hAnsi="Times New Roman" w:cs="Times New Roman"/>
          <w:bCs/>
          <w:sz w:val="28"/>
          <w:szCs w:val="28"/>
        </w:rPr>
        <w:t xml:space="preserve"> Adicionalmente, como se señaló dicho argumento es una apreciación subjetiva que adolece de juicios objetivos de constitucionalidad de la norma, lo cual, va es oposición del principio pro actione». La demanda no ofrece elemento suficientes y objetivos que </w:t>
      </w:r>
      <w:r w:rsidRPr="00C050D9">
        <w:rPr>
          <w:rFonts w:ascii="Times New Roman" w:hAnsi="Times New Roman" w:cs="Times New Roman"/>
          <w:bCs/>
          <w:sz w:val="28"/>
          <w:szCs w:val="28"/>
        </w:rPr>
        <w:t xml:space="preserve">expliquen la vulneración del principio de equidad horizontal «en el entendido que, no indica cuáles personas que, antes de tributar, tienen la misma capacidad económica, para que queden situadas en el mismo nivel después de pagar el impuesto de renta». </w:t>
      </w:r>
    </w:p>
    <w:p w:rsidR="008276BD" w:rsidRPr="00C050D9" w:rsidRDefault="00C050D9" w:rsidP="008C1C7D">
      <w:pPr>
        <w:spacing w:after="0" w:line="240" w:lineRule="auto"/>
        <w:jc w:val="both"/>
        <w:rPr>
          <w:rFonts w:ascii="Times New Roman" w:hAnsi="Times New Roman" w:cs="Times New Roman"/>
          <w:sz w:val="28"/>
          <w:szCs w:val="28"/>
        </w:rPr>
      </w:pPr>
    </w:p>
    <w:p w:rsidR="008276BD"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L</w:t>
      </w:r>
      <w:r w:rsidRPr="00C050D9">
        <w:rPr>
          <w:rFonts w:ascii="Times New Roman" w:hAnsi="Times New Roman" w:cs="Times New Roman"/>
          <w:sz w:val="28"/>
          <w:szCs w:val="28"/>
        </w:rPr>
        <w:t>a entidad hace un ejercicio de contabilidad en el que, contrario a los demandantes, demuestra que no siempre la retención en la fuente efectuada a una persona que solo recibe ingresos por dividendos será superior al impuesto de renta a pagar.</w:t>
      </w:r>
      <w:r w:rsidRPr="00C050D9">
        <w:rPr>
          <w:rFonts w:ascii="Times New Roman" w:hAnsi="Times New Roman" w:cs="Times New Roman"/>
          <w:sz w:val="28"/>
          <w:szCs w:val="28"/>
        </w:rPr>
        <w:t xml:space="preserve"> Subrayó que l</w:t>
      </w:r>
      <w:r w:rsidRPr="00C050D9">
        <w:rPr>
          <w:rFonts w:ascii="Times New Roman" w:hAnsi="Times New Roman" w:cs="Times New Roman"/>
          <w:sz w:val="28"/>
          <w:szCs w:val="28"/>
        </w:rPr>
        <w:t xml:space="preserve">as tarifas de la retención en la fuente son progresivas, pues a mayores ingresos por dividendos mayor será el valor de retención en la fuente. </w:t>
      </w:r>
    </w:p>
    <w:p w:rsidR="00571C6F" w:rsidRPr="00C050D9" w:rsidRDefault="00C050D9" w:rsidP="008C1C7D">
      <w:pPr>
        <w:spacing w:after="0" w:line="240" w:lineRule="auto"/>
        <w:jc w:val="both"/>
        <w:rPr>
          <w:rFonts w:ascii="Times New Roman" w:hAnsi="Times New Roman" w:cs="Times New Roman"/>
          <w:sz w:val="28"/>
          <w:szCs w:val="28"/>
        </w:rPr>
      </w:pPr>
    </w:p>
    <w:p w:rsidR="00571C6F"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Finalmente, advirtió que en caso de ser mayor el monto de la retención en la fuente que el impuesto a la renta,</w:t>
      </w:r>
      <w:r w:rsidRPr="00C050D9">
        <w:rPr>
          <w:rFonts w:ascii="Times New Roman" w:hAnsi="Times New Roman" w:cs="Times New Roman"/>
          <w:sz w:val="28"/>
          <w:szCs w:val="28"/>
        </w:rPr>
        <w:t xml:space="preserve"> el contribuyente puede solicitar esos saldos a su favor ante la DIAN, sin que represente una carga gravosa. Aclaró que no se requiere abogado para adelantar el procedimiento ante la entidad.</w:t>
      </w:r>
      <w:r w:rsidRPr="00C050D9">
        <w:rPr>
          <w:rFonts w:ascii="Times New Roman" w:hAnsi="Times New Roman" w:cs="Times New Roman"/>
          <w:sz w:val="28"/>
          <w:szCs w:val="28"/>
        </w:rPr>
        <w:t xml:space="preserve"> Resaltó que según la exposición de motivos de la Ley 2277 para e</w:t>
      </w:r>
      <w:r w:rsidRPr="00C050D9">
        <w:rPr>
          <w:rFonts w:ascii="Times New Roman" w:hAnsi="Times New Roman" w:cs="Times New Roman"/>
          <w:sz w:val="28"/>
          <w:szCs w:val="28"/>
        </w:rPr>
        <w:t xml:space="preserve">l 0,1% de los declarantes más ricos, el 60,9% de sus ingresos provienen de rentas de capital, el 25,6% de ingresos mixtos y el restante 13,5% de ingresos laborales. En sus palabras: </w:t>
      </w:r>
    </w:p>
    <w:p w:rsidR="008F5DEF" w:rsidRPr="00C050D9" w:rsidRDefault="00C050D9" w:rsidP="008C1C7D">
      <w:pPr>
        <w:spacing w:after="0" w:line="240" w:lineRule="auto"/>
        <w:jc w:val="both"/>
        <w:rPr>
          <w:rFonts w:ascii="Times New Roman" w:hAnsi="Times New Roman" w:cs="Times New Roman"/>
          <w:sz w:val="28"/>
          <w:szCs w:val="28"/>
        </w:rPr>
      </w:pPr>
    </w:p>
    <w:p w:rsidR="008F5DEF" w:rsidRPr="00C050D9" w:rsidRDefault="00C050D9" w:rsidP="008F5DEF">
      <w:pPr>
        <w:spacing w:after="0" w:line="240" w:lineRule="auto"/>
        <w:ind w:left="851" w:right="616"/>
        <w:jc w:val="both"/>
        <w:rPr>
          <w:rFonts w:ascii="Times New Roman" w:hAnsi="Times New Roman" w:cs="Times New Roman"/>
          <w:sz w:val="28"/>
          <w:szCs w:val="28"/>
        </w:rPr>
      </w:pPr>
      <w:r w:rsidRPr="00C050D9">
        <w:rPr>
          <w:rFonts w:ascii="Times New Roman" w:hAnsi="Times New Roman" w:cs="Times New Roman"/>
          <w:sz w:val="28"/>
          <w:szCs w:val="28"/>
        </w:rPr>
        <w:t>«</w:t>
      </w:r>
      <w:r w:rsidRPr="00C050D9">
        <w:rPr>
          <w:rFonts w:ascii="Times New Roman" w:hAnsi="Times New Roman" w:cs="Times New Roman"/>
          <w:sz w:val="28"/>
          <w:szCs w:val="28"/>
        </w:rPr>
        <w:t>En conclusión, en Colombia las personas naturales que obtienen rentas d</w:t>
      </w:r>
      <w:r w:rsidRPr="00C050D9">
        <w:rPr>
          <w:rFonts w:ascii="Times New Roman" w:hAnsi="Times New Roman" w:cs="Times New Roman"/>
          <w:sz w:val="28"/>
          <w:szCs w:val="28"/>
        </w:rPr>
        <w:t>e capital, dentro de los cuales se incluyen los dividendos, tienen un tratamiento tributario disímil frente al resto de ingresos para no vulnerar el principio de equidad tributaria porque representan un porcentaje mínimo de declarantes, de forma que las so</w:t>
      </w:r>
      <w:r w:rsidRPr="00C050D9">
        <w:rPr>
          <w:rFonts w:ascii="Times New Roman" w:hAnsi="Times New Roman" w:cs="Times New Roman"/>
          <w:sz w:val="28"/>
          <w:szCs w:val="28"/>
        </w:rPr>
        <w:t>licitudes de devolución de saldos a favor no es una carga excesiva sino el resultado del recaudo por el mecanismo de la retención en la fuente</w:t>
      </w:r>
      <w:r w:rsidRPr="00C050D9">
        <w:rPr>
          <w:rFonts w:ascii="Times New Roman" w:hAnsi="Times New Roman" w:cs="Times New Roman"/>
          <w:sz w:val="28"/>
          <w:szCs w:val="28"/>
        </w:rPr>
        <w:t>».</w:t>
      </w:r>
    </w:p>
    <w:p w:rsidR="008C1C7D" w:rsidRPr="00C050D9" w:rsidRDefault="00C050D9" w:rsidP="008C1C7D">
      <w:pPr>
        <w:spacing w:after="0" w:line="240" w:lineRule="auto"/>
        <w:jc w:val="both"/>
        <w:rPr>
          <w:rFonts w:ascii="Times New Roman" w:hAnsi="Times New Roman" w:cs="Times New Roman"/>
          <w:sz w:val="28"/>
          <w:szCs w:val="28"/>
        </w:rPr>
      </w:pPr>
    </w:p>
    <w:p w:rsidR="008F5DEF" w:rsidRPr="00C050D9" w:rsidRDefault="00C050D9" w:rsidP="008F5DEF">
      <w:pPr>
        <w:spacing w:after="0" w:line="240" w:lineRule="auto"/>
        <w:jc w:val="both"/>
        <w:rPr>
          <w:rFonts w:ascii="Times New Roman" w:hAnsi="Times New Roman" w:cs="Times New Roman"/>
          <w:b/>
          <w:i/>
          <w:sz w:val="28"/>
          <w:szCs w:val="28"/>
        </w:rPr>
      </w:pPr>
      <w:r w:rsidRPr="00C050D9">
        <w:rPr>
          <w:rFonts w:ascii="Times New Roman" w:hAnsi="Times New Roman" w:cs="Times New Roman"/>
          <w:b/>
          <w:i/>
          <w:sz w:val="28"/>
          <w:szCs w:val="28"/>
        </w:rPr>
        <w:t>Ministerio de Hacienda y Crédito Público</w:t>
      </w:r>
    </w:p>
    <w:p w:rsidR="008C1C7D" w:rsidRPr="00C050D9" w:rsidRDefault="00C050D9" w:rsidP="008C1C7D">
      <w:pPr>
        <w:spacing w:after="0" w:line="240" w:lineRule="auto"/>
        <w:jc w:val="both"/>
        <w:rPr>
          <w:rFonts w:ascii="Times New Roman" w:hAnsi="Times New Roman" w:cs="Times New Roman"/>
          <w:sz w:val="28"/>
          <w:szCs w:val="28"/>
        </w:rPr>
      </w:pPr>
    </w:p>
    <w:p w:rsidR="004F7C6A"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La entidad reiteró la argumentación que presentó bajo el expediente D-15.270. </w:t>
      </w:r>
      <w:r w:rsidRPr="00C050D9">
        <w:rPr>
          <w:rFonts w:ascii="Times New Roman" w:hAnsi="Times New Roman" w:cs="Times New Roman"/>
          <w:sz w:val="28"/>
          <w:szCs w:val="28"/>
        </w:rPr>
        <w:t>En lo relativo a la separación de las profesiones liberales entre los grupos 4 y 5, la modificación del tope de acceso al impuesto unificado bajo el régimen simple de tributación</w:t>
      </w:r>
      <w:r w:rsidRPr="00C050D9">
        <w:rPr>
          <w:rFonts w:ascii="Times New Roman" w:hAnsi="Times New Roman" w:cs="Times New Roman"/>
          <w:sz w:val="28"/>
          <w:szCs w:val="28"/>
        </w:rPr>
        <w:t xml:space="preserve"> y al cambio de tarifas, la entidad puso de presente dos hallazgos que justificaron las medidas. </w:t>
      </w:r>
    </w:p>
    <w:p w:rsidR="004F7C6A" w:rsidRPr="00C050D9" w:rsidRDefault="00C050D9" w:rsidP="008C1C7D">
      <w:pPr>
        <w:spacing w:after="0" w:line="240" w:lineRule="auto"/>
        <w:jc w:val="both"/>
        <w:rPr>
          <w:rFonts w:ascii="Times New Roman" w:hAnsi="Times New Roman" w:cs="Times New Roman"/>
          <w:sz w:val="28"/>
          <w:szCs w:val="28"/>
        </w:rPr>
      </w:pPr>
    </w:p>
    <w:p w:rsidR="008F5DEF"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En primer lugar, </w:t>
      </w:r>
      <w:r w:rsidRPr="00C050D9">
        <w:rPr>
          <w:rFonts w:ascii="Times New Roman" w:hAnsi="Times New Roman" w:cs="Times New Roman"/>
          <w:sz w:val="28"/>
          <w:szCs w:val="28"/>
        </w:rPr>
        <w:t>afirmó que los grupos objeto de comparación presentan ingresos notoriamente disímiles. Los del grupo 5, es decir, profesiones liberales en g</w:t>
      </w:r>
      <w:r w:rsidRPr="00C050D9">
        <w:rPr>
          <w:rFonts w:ascii="Times New Roman" w:hAnsi="Times New Roman" w:cs="Times New Roman"/>
          <w:sz w:val="28"/>
          <w:szCs w:val="28"/>
        </w:rPr>
        <w:t>eneral, son significativamente inferiores a los de otros sectores económicos de la misma naturaleza. Así, la entidad adujo que «</w:t>
      </w:r>
      <w:r w:rsidRPr="00C050D9">
        <w:rPr>
          <w:rFonts w:ascii="Times New Roman" w:hAnsi="Times New Roman" w:cs="Times New Roman"/>
          <w:sz w:val="28"/>
          <w:szCs w:val="28"/>
        </w:rPr>
        <w:t>Omitir ajustes para atender esta observación hubiese equiparado el acceso al RST de contribuyentes con un promedio considerablem</w:t>
      </w:r>
      <w:r w:rsidRPr="00C050D9">
        <w:rPr>
          <w:rFonts w:ascii="Times New Roman" w:hAnsi="Times New Roman" w:cs="Times New Roman"/>
          <w:sz w:val="28"/>
          <w:szCs w:val="28"/>
        </w:rPr>
        <w:t>ente menor de ingresos brutos, que ahora se encuentran en el numeral 5, y de contribuyentes con ingresos promedios más altos, que actualmente se agrupan en los otros numerales del artículo 908 del ET. En consecuencia, era menester cambiar los umbrales de p</w:t>
      </w:r>
      <w:r w:rsidRPr="00C050D9">
        <w:rPr>
          <w:rFonts w:ascii="Times New Roman" w:hAnsi="Times New Roman" w:cs="Times New Roman"/>
          <w:sz w:val="28"/>
          <w:szCs w:val="28"/>
        </w:rPr>
        <w:t>ermanencia y acceso al RST</w:t>
      </w:r>
      <w:r w:rsidRPr="00C050D9">
        <w:rPr>
          <w:rFonts w:ascii="Times New Roman" w:hAnsi="Times New Roman" w:cs="Times New Roman"/>
          <w:sz w:val="28"/>
          <w:szCs w:val="28"/>
        </w:rPr>
        <w:t>». Con una gráfica demostró que l</w:t>
      </w:r>
      <w:r w:rsidRPr="00C050D9">
        <w:rPr>
          <w:rFonts w:ascii="Times New Roman" w:hAnsi="Times New Roman" w:cs="Times New Roman"/>
          <w:sz w:val="28"/>
          <w:szCs w:val="28"/>
        </w:rPr>
        <w:t>os ingresos brutos del grupo 4 (salud y educación) ascienden a 4,2</w:t>
      </w:r>
      <w:r w:rsidRPr="00C050D9">
        <w:rPr>
          <w:rFonts w:ascii="Times New Roman" w:hAnsi="Times New Roman" w:cs="Times New Roman"/>
          <w:sz w:val="28"/>
          <w:szCs w:val="28"/>
        </w:rPr>
        <w:t xml:space="preserve"> (equivalen a 116.656 UVT)</w:t>
      </w:r>
      <w:r w:rsidRPr="00C050D9">
        <w:rPr>
          <w:rFonts w:ascii="Times New Roman" w:hAnsi="Times New Roman" w:cs="Times New Roman"/>
          <w:sz w:val="28"/>
          <w:szCs w:val="28"/>
        </w:rPr>
        <w:t xml:space="preserve"> y los ingresos brutos del grupo 5 (profesiones liberales) ascienden a 1,2 </w:t>
      </w:r>
      <w:r w:rsidRPr="00C050D9">
        <w:rPr>
          <w:rFonts w:ascii="Times New Roman" w:hAnsi="Times New Roman" w:cs="Times New Roman"/>
          <w:sz w:val="28"/>
          <w:szCs w:val="28"/>
        </w:rPr>
        <w:t>(equivalen a 34.031 UVT)</w:t>
      </w:r>
      <w:r w:rsidRPr="00C050D9">
        <w:rPr>
          <w:rFonts w:ascii="Times New Roman" w:hAnsi="Times New Roman" w:cs="Times New Roman"/>
          <w:sz w:val="28"/>
          <w:szCs w:val="28"/>
        </w:rPr>
        <w:t xml:space="preserve">. </w:t>
      </w:r>
    </w:p>
    <w:p w:rsidR="00613464"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De </w:t>
      </w:r>
      <w:r w:rsidRPr="00C050D9">
        <w:rPr>
          <w:rFonts w:ascii="Times New Roman" w:hAnsi="Times New Roman" w:cs="Times New Roman"/>
          <w:sz w:val="28"/>
          <w:szCs w:val="28"/>
        </w:rPr>
        <w:t>esa manera, «e</w:t>
      </w:r>
      <w:r w:rsidRPr="00C050D9">
        <w:rPr>
          <w:rFonts w:ascii="Times New Roman" w:hAnsi="Times New Roman" w:cs="Times New Roman"/>
          <w:sz w:val="28"/>
          <w:szCs w:val="28"/>
        </w:rPr>
        <w:t>levar hasta 100.000 UVT el límite máximo para los contribuyentes del numeral 5 permitiría que al RST se acojan aquellos que devengan ingresos muy por encima del promedio de los ingresos de las actividades descritas en el referido numeral, con</w:t>
      </w:r>
      <w:r w:rsidRPr="00C050D9">
        <w:rPr>
          <w:rFonts w:ascii="Times New Roman" w:hAnsi="Times New Roman" w:cs="Times New Roman"/>
          <w:sz w:val="28"/>
          <w:szCs w:val="28"/>
        </w:rPr>
        <w:t>trario a lo que ocurre en el resto de grupo o actividades que comprenden el RST</w:t>
      </w:r>
      <w:r w:rsidRPr="00C050D9">
        <w:rPr>
          <w:rFonts w:ascii="Times New Roman" w:hAnsi="Times New Roman" w:cs="Times New Roman"/>
          <w:sz w:val="28"/>
          <w:szCs w:val="28"/>
        </w:rPr>
        <w:t xml:space="preserve">». </w:t>
      </w:r>
    </w:p>
    <w:p w:rsidR="00613464" w:rsidRPr="00C050D9" w:rsidRDefault="00C050D9" w:rsidP="008C1C7D">
      <w:pPr>
        <w:spacing w:after="0" w:line="240" w:lineRule="auto"/>
        <w:jc w:val="both"/>
        <w:rPr>
          <w:rFonts w:ascii="Times New Roman" w:hAnsi="Times New Roman" w:cs="Times New Roman"/>
          <w:sz w:val="28"/>
          <w:szCs w:val="28"/>
        </w:rPr>
      </w:pPr>
    </w:p>
    <w:p w:rsidR="00605A37"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En segundo lugar, </w:t>
      </w:r>
      <w:r w:rsidRPr="00C050D9">
        <w:rPr>
          <w:rFonts w:ascii="Times New Roman" w:hAnsi="Times New Roman" w:cs="Times New Roman"/>
          <w:sz w:val="28"/>
          <w:szCs w:val="28"/>
        </w:rPr>
        <w:t>la entidad resaltó que «</w:t>
      </w:r>
      <w:r w:rsidRPr="00C050D9">
        <w:rPr>
          <w:rFonts w:ascii="Times New Roman" w:hAnsi="Times New Roman" w:cs="Times New Roman"/>
          <w:sz w:val="28"/>
          <w:szCs w:val="28"/>
        </w:rPr>
        <w:t>las actividades del numeral 5 cuentan con una estructura de costos que difiere de los contribuyentes de los demás grupos</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 xml:space="preserve">En </w:t>
      </w:r>
      <w:r w:rsidRPr="00C050D9">
        <w:rPr>
          <w:rFonts w:ascii="Times New Roman" w:hAnsi="Times New Roman" w:cs="Times New Roman"/>
          <w:sz w:val="28"/>
          <w:szCs w:val="28"/>
        </w:rPr>
        <w:t>particular, los contribuyentes del numeral 5 cuentan con costos promedio manifiestamente inferiores a los otros grupos (Gráfico 2, panel A). Por su parte, el panel B del Gráfico 2 indica que el grupo 5 del RST tiene menores costos como proporción de sus in</w:t>
      </w:r>
      <w:r w:rsidRPr="00C050D9">
        <w:rPr>
          <w:rFonts w:ascii="Times New Roman" w:hAnsi="Times New Roman" w:cs="Times New Roman"/>
          <w:sz w:val="28"/>
          <w:szCs w:val="28"/>
        </w:rPr>
        <w:t>gresos brutos. Por tanto, se advirtieron más motivos para que la tarifa sobre ingresos brutos sea diferente a la de los otros grupos, como se indicará a continuación</w:t>
      </w:r>
      <w:r w:rsidRPr="00C050D9">
        <w:rPr>
          <w:rFonts w:ascii="Times New Roman" w:hAnsi="Times New Roman" w:cs="Times New Roman"/>
          <w:sz w:val="28"/>
          <w:szCs w:val="28"/>
        </w:rPr>
        <w:t xml:space="preserve">». </w:t>
      </w:r>
    </w:p>
    <w:p w:rsidR="00F9073F" w:rsidRPr="00C050D9" w:rsidRDefault="00C050D9" w:rsidP="008C1C7D">
      <w:pPr>
        <w:spacing w:after="0" w:line="240" w:lineRule="auto"/>
        <w:jc w:val="both"/>
        <w:rPr>
          <w:rFonts w:ascii="Times New Roman" w:hAnsi="Times New Roman" w:cs="Times New Roman"/>
          <w:sz w:val="28"/>
          <w:szCs w:val="28"/>
        </w:rPr>
      </w:pPr>
    </w:p>
    <w:p w:rsidR="00F9073F"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Con base en estos hallazgos, la entidad afirmó que era necesario focalizar el régimen </w:t>
      </w:r>
      <w:r w:rsidRPr="00C050D9">
        <w:rPr>
          <w:rFonts w:ascii="Times New Roman" w:hAnsi="Times New Roman" w:cs="Times New Roman"/>
          <w:sz w:val="28"/>
          <w:szCs w:val="28"/>
        </w:rPr>
        <w:t>simple, y para el efecto, se disminuyó el umbral de acceso y se ajustaron las tarifas de acuerdo con la estructura de costos de las actividades económicas: «</w:t>
      </w:r>
      <w:r w:rsidRPr="00C050D9">
        <w:rPr>
          <w:rFonts w:ascii="Times New Roman" w:hAnsi="Times New Roman" w:cs="Times New Roman"/>
          <w:sz w:val="28"/>
          <w:szCs w:val="28"/>
        </w:rPr>
        <w:t>Lo anterior, pues un contribuyente con menor utilidad, por su carga elevada de costos y gastos, con</w:t>
      </w:r>
      <w:r w:rsidRPr="00C050D9">
        <w:rPr>
          <w:rFonts w:ascii="Times New Roman" w:hAnsi="Times New Roman" w:cs="Times New Roman"/>
          <w:sz w:val="28"/>
          <w:szCs w:val="28"/>
        </w:rPr>
        <w:t xml:space="preserve"> una tarifa igual o superior a la de otro contribuyente con menos carga de costos y gastos, puede generar al primero un impacto tributario desproporcionado. En suma, por ser una tarifa sobre los ingresos brutos, ignorar los costos y gastos al momento de de</w:t>
      </w:r>
      <w:r w:rsidRPr="00C050D9">
        <w:rPr>
          <w:rFonts w:ascii="Times New Roman" w:hAnsi="Times New Roman" w:cs="Times New Roman"/>
          <w:sz w:val="28"/>
          <w:szCs w:val="28"/>
        </w:rPr>
        <w:t>finir la tarifa podría llevar a que actividades con ingresos brutos similares, pero con costos diferentes, asuman una carga tributaria desproporcionada</w:t>
      </w:r>
      <w:r w:rsidRPr="00C050D9">
        <w:rPr>
          <w:rFonts w:ascii="Times New Roman" w:hAnsi="Times New Roman" w:cs="Times New Roman"/>
          <w:sz w:val="28"/>
          <w:szCs w:val="28"/>
        </w:rPr>
        <w:t xml:space="preserve">». </w:t>
      </w:r>
    </w:p>
    <w:p w:rsidR="0024735D" w:rsidRPr="00C050D9" w:rsidRDefault="00C050D9" w:rsidP="008C1C7D">
      <w:pPr>
        <w:spacing w:after="0" w:line="240" w:lineRule="auto"/>
        <w:jc w:val="both"/>
        <w:rPr>
          <w:rFonts w:ascii="Times New Roman" w:hAnsi="Times New Roman" w:cs="Times New Roman"/>
          <w:sz w:val="28"/>
          <w:szCs w:val="28"/>
        </w:rPr>
      </w:pPr>
    </w:p>
    <w:p w:rsidR="007F5F1F"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El Ministerio precisó que las finalidades de estas reformas del régimen simple pretenden entonces: «</w:t>
      </w:r>
      <w:r w:rsidRPr="00C050D9">
        <w:rPr>
          <w:rFonts w:ascii="Times New Roman" w:hAnsi="Times New Roman" w:cs="Times New Roman"/>
          <w:sz w:val="28"/>
          <w:szCs w:val="28"/>
        </w:rPr>
        <w:t>(i) disminuir inequidades en el sistema, (ii) promover ciertas actividades que lograran un acercamiento a la formalización de estos contribuyentes con el RST y, progresivamente, (iii) evitar la evasión de tributos y aportes al Sistema Integral de la Seguri</w:t>
      </w:r>
      <w:r w:rsidRPr="00C050D9">
        <w:rPr>
          <w:rFonts w:ascii="Times New Roman" w:hAnsi="Times New Roman" w:cs="Times New Roman"/>
          <w:sz w:val="28"/>
          <w:szCs w:val="28"/>
        </w:rPr>
        <w:t>dad Social de los sujetos que al encontrarse todavía en la informalidad empresarial no liquidan y pagan estos tributos</w:t>
      </w:r>
      <w:r w:rsidRPr="00C050D9">
        <w:rPr>
          <w:rFonts w:ascii="Times New Roman" w:hAnsi="Times New Roman" w:cs="Times New Roman"/>
          <w:sz w:val="28"/>
          <w:szCs w:val="28"/>
        </w:rPr>
        <w:t xml:space="preserve">». </w:t>
      </w:r>
    </w:p>
    <w:p w:rsidR="007F5F1F" w:rsidRPr="00C050D9" w:rsidRDefault="00C050D9" w:rsidP="008C1C7D">
      <w:pPr>
        <w:spacing w:after="0" w:line="240" w:lineRule="auto"/>
        <w:jc w:val="both"/>
        <w:rPr>
          <w:rFonts w:ascii="Times New Roman" w:hAnsi="Times New Roman" w:cs="Times New Roman"/>
          <w:sz w:val="28"/>
          <w:szCs w:val="28"/>
        </w:rPr>
      </w:pPr>
    </w:p>
    <w:p w:rsidR="00681617"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La cartera</w:t>
      </w:r>
      <w:r w:rsidRPr="00C050D9">
        <w:rPr>
          <w:rFonts w:ascii="Times New Roman" w:hAnsi="Times New Roman" w:cs="Times New Roman"/>
          <w:sz w:val="28"/>
          <w:szCs w:val="28"/>
        </w:rPr>
        <w:t xml:space="preserve"> argumentó que a </w:t>
      </w:r>
      <w:r w:rsidRPr="00C050D9">
        <w:rPr>
          <w:rFonts w:ascii="Times New Roman" w:hAnsi="Times New Roman" w:cs="Times New Roman"/>
          <w:sz w:val="28"/>
          <w:szCs w:val="28"/>
        </w:rPr>
        <w:t xml:space="preserve">partir de datos del DANE, la rama de actividades profesionales, científicas, técnicas y servicios administrativos genera menos empleo que la rama de actividad de </w:t>
      </w:r>
      <w:r w:rsidRPr="00C050D9">
        <w:rPr>
          <w:rFonts w:ascii="Times New Roman" w:hAnsi="Times New Roman" w:cs="Times New Roman"/>
          <w:sz w:val="28"/>
          <w:szCs w:val="28"/>
        </w:rPr>
        <w:t>a</w:t>
      </w:r>
      <w:r w:rsidRPr="00C050D9">
        <w:rPr>
          <w:rFonts w:ascii="Times New Roman" w:hAnsi="Times New Roman" w:cs="Times New Roman"/>
          <w:sz w:val="28"/>
          <w:szCs w:val="28"/>
        </w:rPr>
        <w:t>dministración pública y defensa, educación y atención de la salud humana</w:t>
      </w:r>
      <w:r w:rsidRPr="00C050D9">
        <w:rPr>
          <w:rFonts w:ascii="Times New Roman" w:hAnsi="Times New Roman" w:cs="Times New Roman"/>
          <w:sz w:val="28"/>
          <w:szCs w:val="28"/>
        </w:rPr>
        <w:t>:</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w:t>
      </w:r>
      <w:r w:rsidRPr="00C050D9">
        <w:rPr>
          <w:rFonts w:ascii="Times New Roman" w:hAnsi="Times New Roman" w:cs="Times New Roman"/>
          <w:sz w:val="28"/>
          <w:szCs w:val="28"/>
        </w:rPr>
        <w:t>En promedio, entre</w:t>
      </w:r>
      <w:r w:rsidRPr="00C050D9">
        <w:rPr>
          <w:rFonts w:ascii="Times New Roman" w:hAnsi="Times New Roman" w:cs="Times New Roman"/>
          <w:sz w:val="28"/>
          <w:szCs w:val="28"/>
        </w:rPr>
        <w:t xml:space="preserve"> 2015 y 2021, las actividades profesionales mantuvieron ocupadas a 1.3 millones de personas, mientras que las actividades de educación y salud representan 2.4 millones de empleos (Gráfico 2, Panel A). Lo anterior significa una participación porcentual de o</w:t>
      </w:r>
      <w:r w:rsidRPr="00C050D9">
        <w:rPr>
          <w:rFonts w:ascii="Times New Roman" w:hAnsi="Times New Roman" w:cs="Times New Roman"/>
          <w:sz w:val="28"/>
          <w:szCs w:val="28"/>
        </w:rPr>
        <w:t>cupados promedio del 6% para las actividades profesionales y 11% para las ramas de educación y salud, situándose en el noveno y cuarto puesto, respectivamente, dentro de las 13 ramas que analiza el DANE (Gráfico 3, Panel B)</w:t>
      </w:r>
      <w:r w:rsidRPr="00C050D9">
        <w:rPr>
          <w:rFonts w:ascii="Times New Roman" w:hAnsi="Times New Roman" w:cs="Times New Roman"/>
          <w:sz w:val="28"/>
          <w:szCs w:val="28"/>
        </w:rPr>
        <w:t xml:space="preserve">». </w:t>
      </w:r>
    </w:p>
    <w:p w:rsidR="007F5F1F" w:rsidRPr="00C050D9" w:rsidRDefault="00C050D9" w:rsidP="008C1C7D">
      <w:pPr>
        <w:spacing w:after="0" w:line="240" w:lineRule="auto"/>
        <w:jc w:val="both"/>
        <w:rPr>
          <w:rFonts w:ascii="Times New Roman" w:hAnsi="Times New Roman" w:cs="Times New Roman"/>
          <w:sz w:val="28"/>
          <w:szCs w:val="28"/>
        </w:rPr>
      </w:pPr>
    </w:p>
    <w:p w:rsidR="007F5F1F"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De ese modo, era necesario d</w:t>
      </w:r>
      <w:r w:rsidRPr="00C050D9">
        <w:rPr>
          <w:rFonts w:ascii="Times New Roman" w:hAnsi="Times New Roman" w:cs="Times New Roman"/>
          <w:sz w:val="28"/>
          <w:szCs w:val="28"/>
        </w:rPr>
        <w:t>istinguir los sectores de salud y educación de las demás profesiones liberales, pues «</w:t>
      </w:r>
      <w:r w:rsidRPr="00C050D9">
        <w:rPr>
          <w:rFonts w:ascii="Times New Roman" w:hAnsi="Times New Roman" w:cs="Times New Roman"/>
          <w:sz w:val="28"/>
          <w:szCs w:val="28"/>
        </w:rPr>
        <w:t>permite focalizar de forma más adecuada el mecanismo de tributación a través del RST</w:t>
      </w:r>
      <w:r w:rsidRPr="00C050D9">
        <w:rPr>
          <w:rFonts w:ascii="Times New Roman" w:hAnsi="Times New Roman" w:cs="Times New Roman"/>
          <w:sz w:val="28"/>
          <w:szCs w:val="28"/>
        </w:rPr>
        <w:t xml:space="preserve">». </w:t>
      </w:r>
    </w:p>
    <w:p w:rsidR="0070566A" w:rsidRPr="00C050D9" w:rsidRDefault="00C050D9" w:rsidP="008C1C7D">
      <w:pPr>
        <w:spacing w:after="0" w:line="240" w:lineRule="auto"/>
        <w:jc w:val="both"/>
        <w:rPr>
          <w:rFonts w:ascii="Times New Roman" w:hAnsi="Times New Roman" w:cs="Times New Roman"/>
          <w:sz w:val="28"/>
          <w:szCs w:val="28"/>
        </w:rPr>
      </w:pPr>
    </w:p>
    <w:p w:rsidR="0070566A"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Ahora bien, en lo relacionado con </w:t>
      </w:r>
      <w:r w:rsidRPr="00C050D9">
        <w:rPr>
          <w:rFonts w:ascii="Times New Roman" w:hAnsi="Times New Roman" w:cs="Times New Roman"/>
          <w:sz w:val="28"/>
          <w:szCs w:val="28"/>
        </w:rPr>
        <w:t>la retención en la fuente del 15% sobre los div</w:t>
      </w:r>
      <w:r w:rsidRPr="00C050D9">
        <w:rPr>
          <w:rFonts w:ascii="Times New Roman" w:hAnsi="Times New Roman" w:cs="Times New Roman"/>
          <w:sz w:val="28"/>
          <w:szCs w:val="28"/>
        </w:rPr>
        <w:t xml:space="preserve">idendos, </w:t>
      </w:r>
      <w:r w:rsidRPr="00C050D9">
        <w:rPr>
          <w:rFonts w:ascii="Times New Roman" w:hAnsi="Times New Roman" w:cs="Times New Roman"/>
          <w:sz w:val="28"/>
          <w:szCs w:val="28"/>
        </w:rPr>
        <w:t xml:space="preserve">el ministerio se refirió a </w:t>
      </w:r>
      <w:r w:rsidRPr="00C050D9">
        <w:rPr>
          <w:rFonts w:ascii="Times New Roman" w:hAnsi="Times New Roman" w:cs="Times New Roman"/>
          <w:sz w:val="28"/>
          <w:szCs w:val="28"/>
        </w:rPr>
        <w:t>las razones de la reforma tributaria y a la necesidad de reparar el tejido social y disminuir la desigualdad. De esa forma, advirtió que el propósito principal de la reforma «es ampliar las responsabilidades estatales, incrementando el gasto público social</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para avanzar</w:t>
      </w:r>
      <w:r w:rsidRPr="00C050D9">
        <w:rPr>
          <w:rFonts w:ascii="Times New Roman" w:hAnsi="Times New Roman" w:cs="Times New Roman"/>
          <w:sz w:val="28"/>
          <w:szCs w:val="28"/>
        </w:rPr>
        <w:t xml:space="preserve"> en la igualdad y la justicia social, para lo cual es indispensable aumentar las cargas en el impuesto sobre la renta de personas naturales y jurídicas, el impuesto al patrimonio, los impuestos ambientales, los impuestos saludables, así como m</w:t>
      </w:r>
      <w:r w:rsidRPr="00C050D9">
        <w:rPr>
          <w:rFonts w:ascii="Times New Roman" w:hAnsi="Times New Roman" w:cs="Times New Roman"/>
          <w:sz w:val="28"/>
          <w:szCs w:val="28"/>
        </w:rPr>
        <w:t xml:space="preserve">ecanismos de lucha contra la evasión y la elusión fiscal». </w:t>
      </w:r>
    </w:p>
    <w:p w:rsidR="00853656" w:rsidRPr="00C050D9" w:rsidRDefault="00C050D9" w:rsidP="008C1C7D">
      <w:pPr>
        <w:spacing w:after="0" w:line="240" w:lineRule="auto"/>
        <w:jc w:val="both"/>
        <w:rPr>
          <w:rFonts w:ascii="Times New Roman" w:hAnsi="Times New Roman" w:cs="Times New Roman"/>
          <w:sz w:val="28"/>
          <w:szCs w:val="28"/>
        </w:rPr>
      </w:pPr>
    </w:p>
    <w:p w:rsidR="00853656"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Particularmente, el gobierno nacional se concentró en el recaudo por concepto del impuesto de renta de personas naturales y evidenció que Colombia tiene el más bajo entre 36 países de economías a</w:t>
      </w:r>
      <w:r w:rsidRPr="00C050D9">
        <w:rPr>
          <w:rFonts w:ascii="Times New Roman" w:hAnsi="Times New Roman" w:cs="Times New Roman"/>
          <w:sz w:val="28"/>
          <w:szCs w:val="28"/>
        </w:rPr>
        <w:t xml:space="preserve">vanzadas. </w:t>
      </w:r>
      <w:r w:rsidRPr="00C050D9">
        <w:rPr>
          <w:rFonts w:ascii="Times New Roman" w:hAnsi="Times New Roman" w:cs="Times New Roman"/>
          <w:sz w:val="28"/>
          <w:szCs w:val="28"/>
        </w:rPr>
        <w:t>Por tanto, el gobierno nacional se dispuso a revisar (i) el tratamiento disímil en las tarifas que componen los diferentes tipos de ingresos y (ii) las disminuciones de la renta líquida gravable a través de las detracciones de costos, así como de</w:t>
      </w:r>
      <w:r w:rsidRPr="00C050D9">
        <w:rPr>
          <w:rFonts w:ascii="Times New Roman" w:hAnsi="Times New Roman" w:cs="Times New Roman"/>
          <w:sz w:val="28"/>
          <w:szCs w:val="28"/>
        </w:rPr>
        <w:t xml:space="preserve"> rentas exentas y deducciones, las cuales reducen en mayor proporción el impuesto a cargo de las personas naturales de mayores ingresos. Con lo anterior, la reforma estatutaria se concentró en el mejoramiento de la progresividad del sistema tributario a pa</w:t>
      </w:r>
      <w:r w:rsidRPr="00C050D9">
        <w:rPr>
          <w:rFonts w:ascii="Times New Roman" w:hAnsi="Times New Roman" w:cs="Times New Roman"/>
          <w:sz w:val="28"/>
          <w:szCs w:val="28"/>
        </w:rPr>
        <w:t xml:space="preserve">rtir de un incremento de la equidad vertical en el impuesto de renta de personas naturales con mayores ingresos. </w:t>
      </w:r>
    </w:p>
    <w:p w:rsidR="00762B34" w:rsidRPr="00C050D9" w:rsidRDefault="00C050D9" w:rsidP="008C1C7D">
      <w:pPr>
        <w:spacing w:after="0" w:line="240" w:lineRule="auto"/>
        <w:jc w:val="both"/>
        <w:rPr>
          <w:rFonts w:ascii="Times New Roman" w:hAnsi="Times New Roman" w:cs="Times New Roman"/>
          <w:sz w:val="28"/>
          <w:szCs w:val="28"/>
        </w:rPr>
      </w:pPr>
    </w:p>
    <w:p w:rsidR="009F67B8"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Con base en ello, </w:t>
      </w:r>
      <w:r w:rsidRPr="00C050D9">
        <w:rPr>
          <w:rFonts w:ascii="Times New Roman" w:hAnsi="Times New Roman" w:cs="Times New Roman"/>
          <w:sz w:val="28"/>
          <w:szCs w:val="28"/>
        </w:rPr>
        <w:t>la entidad informó que «</w:t>
      </w:r>
      <w:r w:rsidRPr="00C050D9">
        <w:rPr>
          <w:rFonts w:ascii="Times New Roman" w:hAnsi="Times New Roman" w:cs="Times New Roman"/>
          <w:sz w:val="28"/>
          <w:szCs w:val="28"/>
        </w:rPr>
        <w:t xml:space="preserve">una de las medidas adoptadas en la Ley 2277 de 2022 que pretende aumentar la </w:t>
      </w:r>
      <w:r w:rsidRPr="00C050D9">
        <w:rPr>
          <w:rFonts w:ascii="Times New Roman" w:hAnsi="Times New Roman" w:cs="Times New Roman"/>
          <w:sz w:val="28"/>
          <w:szCs w:val="28"/>
        </w:rPr>
        <w:t>tarifa Efectiva de Tri</w:t>
      </w:r>
      <w:r w:rsidRPr="00C050D9">
        <w:rPr>
          <w:rFonts w:ascii="Times New Roman" w:hAnsi="Times New Roman" w:cs="Times New Roman"/>
          <w:sz w:val="28"/>
          <w:szCs w:val="28"/>
        </w:rPr>
        <w:t>butación (</w:t>
      </w:r>
      <w:r w:rsidRPr="00C050D9">
        <w:rPr>
          <w:rFonts w:ascii="Times New Roman" w:hAnsi="Times New Roman" w:cs="Times New Roman"/>
          <w:sz w:val="28"/>
          <w:szCs w:val="28"/>
        </w:rPr>
        <w:t>TET</w:t>
      </w:r>
      <w:r w:rsidRPr="00C050D9">
        <w:rPr>
          <w:rFonts w:ascii="Times New Roman" w:hAnsi="Times New Roman" w:cs="Times New Roman"/>
          <w:sz w:val="28"/>
          <w:szCs w:val="28"/>
        </w:rPr>
        <w:t>)</w:t>
      </w:r>
      <w:r w:rsidRPr="00C050D9">
        <w:rPr>
          <w:rFonts w:ascii="Times New Roman" w:hAnsi="Times New Roman" w:cs="Times New Roman"/>
          <w:sz w:val="28"/>
          <w:szCs w:val="28"/>
        </w:rPr>
        <w:t xml:space="preserve"> de los contribuyentes de mayores ingresos consistió en el incremento de la tributación de los dividendos, de manera que se incorporaron, junto con ingresos provenientes de la cédula general, dentro de una misma Renta Líquida Gravable (RLG), </w:t>
      </w:r>
      <w:r w:rsidRPr="00C050D9">
        <w:rPr>
          <w:rFonts w:ascii="Times New Roman" w:hAnsi="Times New Roman" w:cs="Times New Roman"/>
          <w:sz w:val="28"/>
          <w:szCs w:val="28"/>
        </w:rPr>
        <w:t>a la cual se le aplican las tarifas señaladas en el artículo 241 del Estatuto Tributario. Con esta medida se genera un aumento en la tributación agregada del contribuyente hasta 18,3% en el IRPN</w:t>
      </w:r>
      <w:r w:rsidRPr="00C050D9">
        <w:rPr>
          <w:rFonts w:ascii="Times New Roman" w:hAnsi="Times New Roman" w:cs="Times New Roman"/>
          <w:sz w:val="28"/>
          <w:szCs w:val="28"/>
        </w:rPr>
        <w:t xml:space="preserve"> [impuesto de Renta de personas naturales]».</w:t>
      </w:r>
    </w:p>
    <w:p w:rsidR="00CA6F9B" w:rsidRPr="00C050D9" w:rsidRDefault="00C050D9" w:rsidP="008C1C7D">
      <w:pPr>
        <w:spacing w:after="0" w:line="240" w:lineRule="auto"/>
        <w:jc w:val="both"/>
        <w:rPr>
          <w:rFonts w:ascii="Times New Roman" w:hAnsi="Times New Roman" w:cs="Times New Roman"/>
          <w:sz w:val="28"/>
          <w:szCs w:val="28"/>
        </w:rPr>
      </w:pPr>
    </w:p>
    <w:p w:rsidR="007F6059"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Además, era nece</w:t>
      </w:r>
      <w:r w:rsidRPr="00C050D9">
        <w:rPr>
          <w:rFonts w:ascii="Times New Roman" w:hAnsi="Times New Roman" w:cs="Times New Roman"/>
          <w:sz w:val="28"/>
          <w:szCs w:val="28"/>
        </w:rPr>
        <w:t xml:space="preserve">sario establecer un anticipo de retenciones asociadas a los dividendos con el fin de </w:t>
      </w:r>
      <w:r w:rsidRPr="00C050D9">
        <w:rPr>
          <w:rFonts w:ascii="Times New Roman" w:hAnsi="Times New Roman" w:cs="Times New Roman"/>
          <w:sz w:val="28"/>
          <w:szCs w:val="28"/>
        </w:rPr>
        <w:t>asegurar el recaudo en virtud del principio de eficiencia tributaria. En palabras del Ministerio de Hacienda: «</w:t>
      </w:r>
      <w:r w:rsidRPr="00C050D9">
        <w:rPr>
          <w:rFonts w:ascii="Times New Roman" w:hAnsi="Times New Roman" w:cs="Times New Roman"/>
          <w:sz w:val="28"/>
          <w:szCs w:val="28"/>
        </w:rPr>
        <w:t xml:space="preserve">como quiera que fue necesario realizar ajustes al IRPN para </w:t>
      </w:r>
      <w:r w:rsidRPr="00C050D9">
        <w:rPr>
          <w:rFonts w:ascii="Times New Roman" w:hAnsi="Times New Roman" w:cs="Times New Roman"/>
          <w:sz w:val="28"/>
          <w:szCs w:val="28"/>
        </w:rPr>
        <w:t>asegurar un sistema más progresivo y equitativo, se hicieron modificaciones al impuesto que recae sobre los dividendos o participaciones recibidas por personas naturales residentes. Aquellos cambios, a su vez, motivaron el ajuste de las retenciones en la f</w:t>
      </w:r>
      <w:r w:rsidRPr="00C050D9">
        <w:rPr>
          <w:rFonts w:ascii="Times New Roman" w:hAnsi="Times New Roman" w:cs="Times New Roman"/>
          <w:sz w:val="28"/>
          <w:szCs w:val="28"/>
        </w:rPr>
        <w:t xml:space="preserve">uente por este concepto. Esto resulto indispensable para cumplir del objetivo previsto en el artículo 367 del Estatuto Tributario y, adicionalmente, permite reducir las presiones de liquidez o caja que los contribuyentes requerirían al momento del pago de </w:t>
      </w:r>
      <w:r w:rsidRPr="00C050D9">
        <w:rPr>
          <w:rFonts w:ascii="Times New Roman" w:hAnsi="Times New Roman" w:cs="Times New Roman"/>
          <w:sz w:val="28"/>
          <w:szCs w:val="28"/>
        </w:rPr>
        <w:t>su impuesto de renta y complementarios, puesto que no sería necesario girar recursos directamente, en la medida que estos se sometan a retención en la fuente</w:t>
      </w:r>
      <w:r w:rsidRPr="00C050D9">
        <w:rPr>
          <w:rFonts w:ascii="Times New Roman" w:hAnsi="Times New Roman" w:cs="Times New Roman"/>
          <w:sz w:val="28"/>
          <w:szCs w:val="28"/>
        </w:rPr>
        <w:t xml:space="preserve">». </w:t>
      </w:r>
    </w:p>
    <w:p w:rsidR="00970392" w:rsidRPr="00C050D9" w:rsidRDefault="00C050D9" w:rsidP="008C1C7D">
      <w:pPr>
        <w:spacing w:after="0" w:line="240" w:lineRule="auto"/>
        <w:jc w:val="both"/>
        <w:rPr>
          <w:rFonts w:ascii="Times New Roman" w:hAnsi="Times New Roman" w:cs="Times New Roman"/>
          <w:sz w:val="28"/>
          <w:szCs w:val="28"/>
        </w:rPr>
      </w:pPr>
    </w:p>
    <w:p w:rsidR="00740097"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El Ministerio presentó una tabla que muestra el impuesto de renta sobre personas naturales </w:t>
      </w:r>
      <w:r w:rsidRPr="00C050D9">
        <w:rPr>
          <w:rFonts w:ascii="Times New Roman" w:hAnsi="Times New Roman" w:cs="Times New Roman"/>
          <w:sz w:val="28"/>
          <w:szCs w:val="28"/>
        </w:rPr>
        <w:t>(IRPN) de la cédula general y dividendos antes de la Ley 2277 de 2022: «</w:t>
      </w:r>
      <w:r w:rsidRPr="00C050D9">
        <w:rPr>
          <w:rFonts w:ascii="Times New Roman" w:hAnsi="Times New Roman" w:cs="Times New Roman"/>
          <w:sz w:val="28"/>
          <w:szCs w:val="28"/>
        </w:rPr>
        <w:t>En este caso, se evidencia que el 0.7% de los declarantes del IRPN con mayores ingresos por dividendos eran los sujetos a la retención (aproximadamente 28.333 personas). Bajo este esqu</w:t>
      </w:r>
      <w:r w:rsidRPr="00C050D9">
        <w:rPr>
          <w:rFonts w:ascii="Times New Roman" w:hAnsi="Times New Roman" w:cs="Times New Roman"/>
          <w:sz w:val="28"/>
          <w:szCs w:val="28"/>
        </w:rPr>
        <w:t>ema, en promedio el 0.1% de los contribuyentes del IRPN con mayores ingresos por dividendos tenía un impuesto a cargo de $174.2 millones (incluyendo dividendos y cédula general). Producto de la retención en la fuente a los dividendos, se lograba una dismin</w:t>
      </w:r>
      <w:r w:rsidRPr="00C050D9">
        <w:rPr>
          <w:rFonts w:ascii="Times New Roman" w:hAnsi="Times New Roman" w:cs="Times New Roman"/>
          <w:sz w:val="28"/>
          <w:szCs w:val="28"/>
        </w:rPr>
        <w:t>ución representada en un saldo a pagar de $81.7 millones</w:t>
      </w:r>
      <w:r w:rsidRPr="00C050D9">
        <w:rPr>
          <w:rFonts w:ascii="Times New Roman" w:hAnsi="Times New Roman" w:cs="Times New Roman"/>
          <w:sz w:val="28"/>
          <w:szCs w:val="28"/>
        </w:rPr>
        <w:t xml:space="preserve">». </w:t>
      </w:r>
    </w:p>
    <w:p w:rsidR="00740097" w:rsidRPr="00C050D9" w:rsidRDefault="00C050D9" w:rsidP="008C1C7D">
      <w:pPr>
        <w:spacing w:after="0" w:line="240" w:lineRule="auto"/>
        <w:jc w:val="both"/>
        <w:rPr>
          <w:rFonts w:ascii="Times New Roman" w:hAnsi="Times New Roman" w:cs="Times New Roman"/>
          <w:sz w:val="28"/>
          <w:szCs w:val="28"/>
        </w:rPr>
      </w:pPr>
    </w:p>
    <w:p w:rsidR="00740097"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Finalmente, la entidad adujo que </w:t>
      </w:r>
      <w:r w:rsidRPr="00C050D9">
        <w:rPr>
          <w:rFonts w:ascii="Times New Roman" w:hAnsi="Times New Roman" w:cs="Times New Roman"/>
          <w:sz w:val="28"/>
          <w:szCs w:val="28"/>
        </w:rPr>
        <w:t>la retención en la fuente era de vital importancia en este asunto en la medida en que permite mitigar la cuota del impuesto a la renta de las personas naturales y</w:t>
      </w:r>
      <w:r w:rsidRPr="00C050D9">
        <w:rPr>
          <w:rFonts w:ascii="Times New Roman" w:hAnsi="Times New Roman" w:cs="Times New Roman"/>
          <w:sz w:val="28"/>
          <w:szCs w:val="28"/>
        </w:rPr>
        <w:t xml:space="preserve"> permitirles una liquidez. Así, adicionó que «bajo </w:t>
      </w:r>
      <w:r w:rsidRPr="00C050D9">
        <w:rPr>
          <w:rFonts w:ascii="Times New Roman" w:hAnsi="Times New Roman" w:cs="Times New Roman"/>
          <w:sz w:val="28"/>
          <w:szCs w:val="28"/>
        </w:rPr>
        <w:t>los supuestos de este ejercicio, la retención en la fuente propuesta en la Ley 2277 de 2022 permite que el crecimiento en el saldo a pagar (la cuota del IRPN) para el 0,1% de contribuyentes de mayores ingr</w:t>
      </w:r>
      <w:r w:rsidRPr="00C050D9">
        <w:rPr>
          <w:rFonts w:ascii="Times New Roman" w:hAnsi="Times New Roman" w:cs="Times New Roman"/>
          <w:sz w:val="28"/>
          <w:szCs w:val="28"/>
        </w:rPr>
        <w:t>esos por dividendos sea simplemente de un 45%, a diferencia de la variación porcentual que se presentaría en el impuesto a cargo (210%) sin este ajuste de la retención en la fuente</w:t>
      </w:r>
      <w:r w:rsidRPr="00C050D9">
        <w:rPr>
          <w:rFonts w:ascii="Times New Roman" w:hAnsi="Times New Roman" w:cs="Times New Roman"/>
          <w:sz w:val="28"/>
          <w:szCs w:val="28"/>
        </w:rPr>
        <w:t xml:space="preserve">». </w:t>
      </w:r>
    </w:p>
    <w:p w:rsidR="00681617" w:rsidRPr="00C050D9" w:rsidRDefault="00C050D9" w:rsidP="008C1C7D">
      <w:pPr>
        <w:spacing w:after="0" w:line="240" w:lineRule="auto"/>
        <w:jc w:val="both"/>
        <w:rPr>
          <w:rFonts w:ascii="Times New Roman" w:hAnsi="Times New Roman" w:cs="Times New Roman"/>
          <w:sz w:val="28"/>
          <w:szCs w:val="28"/>
        </w:rPr>
      </w:pPr>
    </w:p>
    <w:p w:rsidR="0010659C"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Por las razones expuestas, solicitó a la Corte Constitucional declarar </w:t>
      </w:r>
      <w:r w:rsidRPr="00C050D9">
        <w:rPr>
          <w:rFonts w:ascii="Times New Roman" w:hAnsi="Times New Roman" w:cs="Times New Roman"/>
          <w:sz w:val="28"/>
          <w:szCs w:val="28"/>
        </w:rPr>
        <w:t xml:space="preserve">la exequibilidad de las normas atacadas por los demandantes. </w:t>
      </w:r>
    </w:p>
    <w:p w:rsidR="0010659C" w:rsidRPr="00C050D9" w:rsidRDefault="00C050D9" w:rsidP="008C1C7D">
      <w:pPr>
        <w:spacing w:after="0" w:line="240" w:lineRule="auto"/>
        <w:jc w:val="both"/>
        <w:rPr>
          <w:rFonts w:ascii="Times New Roman" w:hAnsi="Times New Roman" w:cs="Times New Roman"/>
          <w:sz w:val="28"/>
          <w:szCs w:val="28"/>
        </w:rPr>
      </w:pPr>
    </w:p>
    <w:p w:rsidR="008C1C7D" w:rsidRPr="00C050D9" w:rsidRDefault="00C050D9" w:rsidP="008C1C7D">
      <w:pPr>
        <w:spacing w:after="0" w:line="240" w:lineRule="auto"/>
        <w:jc w:val="both"/>
        <w:rPr>
          <w:rFonts w:ascii="Times New Roman" w:hAnsi="Times New Roman" w:cs="Times New Roman"/>
          <w:b/>
          <w:i/>
          <w:sz w:val="28"/>
          <w:szCs w:val="28"/>
        </w:rPr>
      </w:pPr>
      <w:r w:rsidRPr="00C050D9">
        <w:rPr>
          <w:rFonts w:ascii="Times New Roman" w:hAnsi="Times New Roman" w:cs="Times New Roman"/>
          <w:b/>
          <w:i/>
          <w:sz w:val="28"/>
          <w:szCs w:val="28"/>
        </w:rPr>
        <w:t>Instituto Colombiano de Derecho Tributario</w:t>
      </w:r>
    </w:p>
    <w:p w:rsidR="008F5DEF" w:rsidRPr="00C050D9" w:rsidRDefault="00C050D9" w:rsidP="008C1C7D">
      <w:pPr>
        <w:spacing w:after="0" w:line="240" w:lineRule="auto"/>
        <w:jc w:val="both"/>
        <w:rPr>
          <w:rFonts w:ascii="Times New Roman" w:hAnsi="Times New Roman" w:cs="Times New Roman"/>
          <w:sz w:val="28"/>
          <w:szCs w:val="28"/>
        </w:rPr>
      </w:pPr>
    </w:p>
    <w:p w:rsidR="00723738"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Sobre la inexequibilidad</w:t>
      </w:r>
      <w:r w:rsidRPr="00C050D9">
        <w:rPr>
          <w:rFonts w:ascii="Times New Roman" w:hAnsi="Times New Roman" w:cs="Times New Roman"/>
          <w:sz w:val="28"/>
          <w:szCs w:val="28"/>
        </w:rPr>
        <w:t xml:space="preserve"> del artículo 42 de la Ley 2277 de 2022 y del numeral 5 del artículo 908 del Estatuto Tributario, modificado por el artículo 44 de la Ley 2277 de 2022</w:t>
      </w:r>
      <w:r w:rsidRPr="00C050D9">
        <w:rPr>
          <w:rFonts w:ascii="Times New Roman" w:hAnsi="Times New Roman" w:cs="Times New Roman"/>
          <w:sz w:val="28"/>
          <w:szCs w:val="28"/>
        </w:rPr>
        <w:t>, este instituto ya se pronunció dentro de los expedientes D-15211 y D-15217 (acumulados) y D-15270 median</w:t>
      </w:r>
      <w:r w:rsidRPr="00C050D9">
        <w:rPr>
          <w:rFonts w:ascii="Times New Roman" w:hAnsi="Times New Roman" w:cs="Times New Roman"/>
          <w:sz w:val="28"/>
          <w:szCs w:val="28"/>
        </w:rPr>
        <w:t>te conceptos emitidos el 27 y 30 de junio del presente año, respectivamente</w:t>
      </w:r>
      <w:r w:rsidRPr="00C050D9">
        <w:rPr>
          <w:rFonts w:ascii="Times New Roman" w:hAnsi="Times New Roman" w:cs="Times New Roman"/>
          <w:sz w:val="28"/>
          <w:szCs w:val="28"/>
        </w:rPr>
        <w:t xml:space="preserve">. </w:t>
      </w:r>
    </w:p>
    <w:p w:rsidR="00FC28CF" w:rsidRPr="00C050D9" w:rsidRDefault="00C050D9" w:rsidP="008C1C7D">
      <w:pPr>
        <w:spacing w:after="0" w:line="240" w:lineRule="auto"/>
        <w:jc w:val="both"/>
        <w:rPr>
          <w:rFonts w:ascii="Times New Roman" w:hAnsi="Times New Roman" w:cs="Times New Roman"/>
          <w:sz w:val="28"/>
          <w:szCs w:val="28"/>
        </w:rPr>
      </w:pPr>
    </w:p>
    <w:p w:rsidR="00EB44AE" w:rsidRPr="00C050D9" w:rsidRDefault="00C050D9" w:rsidP="00FC28CF">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En aquellos conceptos, el Instituto propuso una </w:t>
      </w:r>
      <w:r w:rsidRPr="00C050D9">
        <w:rPr>
          <w:rFonts w:ascii="Times New Roman" w:hAnsi="Times New Roman" w:cs="Times New Roman"/>
          <w:sz w:val="28"/>
          <w:szCs w:val="28"/>
        </w:rPr>
        <w:t>inexequibilidad condicionada del numeral 4 del inciso 2° y del parágrafo 4° del artículo 44 de la Ley 2277 de 2022,</w:t>
      </w:r>
      <w:r w:rsidRPr="00C050D9">
        <w:rPr>
          <w:rFonts w:ascii="Times New Roman" w:hAnsi="Times New Roman" w:cs="Times New Roman"/>
          <w:sz w:val="28"/>
          <w:szCs w:val="28"/>
        </w:rPr>
        <w:t xml:space="preserve"> en los siguie</w:t>
      </w:r>
      <w:r w:rsidRPr="00C050D9">
        <w:rPr>
          <w:rFonts w:ascii="Times New Roman" w:hAnsi="Times New Roman" w:cs="Times New Roman"/>
          <w:sz w:val="28"/>
          <w:szCs w:val="28"/>
        </w:rPr>
        <w:t>ntes términos</w:t>
      </w:r>
      <w:r w:rsidRPr="00C050D9">
        <w:rPr>
          <w:rFonts w:ascii="Times New Roman" w:hAnsi="Times New Roman" w:cs="Times New Roman"/>
          <w:sz w:val="28"/>
          <w:szCs w:val="28"/>
        </w:rPr>
        <w:t>:</w:t>
      </w:r>
    </w:p>
    <w:p w:rsidR="00FC28CF" w:rsidRPr="00C050D9" w:rsidRDefault="00C050D9" w:rsidP="00FC28CF">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 </w:t>
      </w:r>
    </w:p>
    <w:p w:rsidR="00FC28CF" w:rsidRPr="00C050D9" w:rsidRDefault="00C050D9" w:rsidP="00FC28CF">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w:t>
      </w:r>
      <w:r w:rsidRPr="00C050D9">
        <w:rPr>
          <w:rFonts w:ascii="Times New Roman" w:hAnsi="Times New Roman" w:cs="Times New Roman"/>
          <w:iCs/>
          <w:sz w:val="28"/>
          <w:szCs w:val="28"/>
        </w:rPr>
        <w:t>En este sentido, en concepto del ICDT, la norma es contraria al orden constitucional, y la Corte debe disponer en su fallo que los límites y tarifas señalados en el artículo 44 de la Ley 2277 de 2022, que se aplican a quienes ejercen acti</w:t>
      </w:r>
      <w:r w:rsidRPr="00C050D9">
        <w:rPr>
          <w:rFonts w:ascii="Times New Roman" w:hAnsi="Times New Roman" w:cs="Times New Roman"/>
          <w:iCs/>
          <w:sz w:val="28"/>
          <w:szCs w:val="28"/>
        </w:rPr>
        <w:t>vidades relacionadas con la educación, la salud humana y la atención social, sean aplicadas a todas las profesiones liberales incluidas, naturalmente, las de consultoría o científicas en las que prima la labor intelectual sobre la</w:t>
      </w:r>
      <w:r w:rsidRPr="00C050D9">
        <w:rPr>
          <w:rFonts w:ascii="Times New Roman" w:hAnsi="Times New Roman" w:cs="Times New Roman"/>
          <w:iCs/>
          <w:sz w:val="28"/>
          <w:szCs w:val="28"/>
        </w:rPr>
        <w:t xml:space="preserve"> </w:t>
      </w:r>
      <w:r w:rsidRPr="00C050D9">
        <w:rPr>
          <w:rFonts w:ascii="Times New Roman" w:hAnsi="Times New Roman" w:cs="Times New Roman"/>
          <w:iCs/>
          <w:sz w:val="28"/>
          <w:szCs w:val="28"/>
        </w:rPr>
        <w:t>material. Así, tanto quie</w:t>
      </w:r>
      <w:r w:rsidRPr="00C050D9">
        <w:rPr>
          <w:rFonts w:ascii="Times New Roman" w:hAnsi="Times New Roman" w:cs="Times New Roman"/>
          <w:iCs/>
          <w:sz w:val="28"/>
          <w:szCs w:val="28"/>
        </w:rPr>
        <w:t>nes ejercen actividades relacionadas con la educación, la salud humana y la atención social como las personas que presten servicios profesionales, de consultoría y científicos en los que predomine el factor intelectual sobre el material, incluidos los serv</w:t>
      </w:r>
      <w:r w:rsidRPr="00C050D9">
        <w:rPr>
          <w:rFonts w:ascii="Times New Roman" w:hAnsi="Times New Roman" w:cs="Times New Roman"/>
          <w:iCs/>
          <w:sz w:val="28"/>
          <w:szCs w:val="28"/>
        </w:rPr>
        <w:t>icios de profesiones liberales, deberían tributar con base en la misma tarifa</w:t>
      </w:r>
      <w:r w:rsidRPr="00C050D9">
        <w:rPr>
          <w:rFonts w:ascii="Times New Roman" w:hAnsi="Times New Roman" w:cs="Times New Roman"/>
          <w:sz w:val="28"/>
          <w:szCs w:val="28"/>
        </w:rPr>
        <w:t>»</w:t>
      </w:r>
      <w:r w:rsidRPr="00C050D9">
        <w:rPr>
          <w:rFonts w:ascii="Times New Roman" w:hAnsi="Times New Roman" w:cs="Times New Roman"/>
          <w:sz w:val="28"/>
          <w:szCs w:val="28"/>
        </w:rPr>
        <w:t>.</w:t>
      </w:r>
    </w:p>
    <w:p w:rsidR="00FC28CF" w:rsidRPr="00C050D9" w:rsidRDefault="00C050D9" w:rsidP="00FC28CF">
      <w:pPr>
        <w:spacing w:after="0" w:line="240" w:lineRule="auto"/>
        <w:jc w:val="both"/>
        <w:rPr>
          <w:rFonts w:ascii="Times New Roman" w:hAnsi="Times New Roman" w:cs="Times New Roman"/>
          <w:sz w:val="28"/>
          <w:szCs w:val="28"/>
        </w:rPr>
      </w:pPr>
    </w:p>
    <w:p w:rsidR="00FC28CF" w:rsidRPr="00C050D9" w:rsidRDefault="00C050D9" w:rsidP="00FC28CF">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En cuanto a los cargos dirigidos contra el</w:t>
      </w:r>
      <w:r w:rsidRPr="00C050D9">
        <w:rPr>
          <w:rFonts w:ascii="Times New Roman" w:hAnsi="Times New Roman" w:cs="Times New Roman"/>
          <w:sz w:val="28"/>
          <w:szCs w:val="28"/>
        </w:rPr>
        <w:t xml:space="preserve"> parágrafo del artículo 3 de la Ley 2277 de 2022 consistente en la vulneración de los principios de capacidad contributiva, justicia y equidad establecidos en los artículos 95 numeral 9 y 363 de la Constitución Política de Colombia</w:t>
      </w:r>
      <w:r w:rsidRPr="00C050D9">
        <w:rPr>
          <w:rFonts w:ascii="Times New Roman" w:hAnsi="Times New Roman" w:cs="Times New Roman"/>
          <w:sz w:val="28"/>
          <w:szCs w:val="28"/>
        </w:rPr>
        <w:t>, el ICDT solicitó a la C</w:t>
      </w:r>
      <w:r w:rsidRPr="00C050D9">
        <w:rPr>
          <w:rFonts w:ascii="Times New Roman" w:hAnsi="Times New Roman" w:cs="Times New Roman"/>
          <w:sz w:val="28"/>
          <w:szCs w:val="28"/>
        </w:rPr>
        <w:t xml:space="preserve">orte </w:t>
      </w:r>
      <w:r w:rsidRPr="00C050D9">
        <w:rPr>
          <w:rFonts w:ascii="Times New Roman" w:hAnsi="Times New Roman" w:cs="Times New Roman"/>
          <w:sz w:val="28"/>
          <w:szCs w:val="28"/>
        </w:rPr>
        <w:t>declarar la constitucionalidad de la norma demandada por las siguientes razones.</w:t>
      </w:r>
    </w:p>
    <w:p w:rsidR="00A50554" w:rsidRPr="00C050D9" w:rsidRDefault="00C050D9" w:rsidP="00FC28CF">
      <w:pPr>
        <w:spacing w:after="0" w:line="240" w:lineRule="auto"/>
        <w:jc w:val="both"/>
        <w:rPr>
          <w:rFonts w:ascii="Times New Roman" w:hAnsi="Times New Roman" w:cs="Times New Roman"/>
          <w:sz w:val="28"/>
          <w:szCs w:val="28"/>
        </w:rPr>
      </w:pPr>
    </w:p>
    <w:p w:rsidR="00A50554" w:rsidRPr="00C050D9" w:rsidRDefault="00C050D9" w:rsidP="00FC28CF">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Advirtió que la retención en la fuente no es un impuesto en sí mismo sino un mecanismo anticipado de recaudo a título del impuesto que corresponda. Para el efecto, explicó que el Consejo de Estado ha señalado que se trata de una herramienta con la que cuen</w:t>
      </w:r>
      <w:r w:rsidRPr="00C050D9">
        <w:rPr>
          <w:rFonts w:ascii="Times New Roman" w:hAnsi="Times New Roman" w:cs="Times New Roman"/>
          <w:sz w:val="28"/>
          <w:szCs w:val="28"/>
        </w:rPr>
        <w:t>ta el Estado para el cumplimiento de las obligaciones tributarias de forma anticipada. Igualmente, resaltó que la jurisprudencia de la Corte Constitucional ha establecido que estos mecanismos de recaudo anticipado de tributos obedecen al principio de efici</w:t>
      </w:r>
      <w:r w:rsidRPr="00C050D9">
        <w:rPr>
          <w:rFonts w:ascii="Times New Roman" w:hAnsi="Times New Roman" w:cs="Times New Roman"/>
          <w:sz w:val="28"/>
          <w:szCs w:val="28"/>
        </w:rPr>
        <w:t xml:space="preserve">encia tributaria, pues facilitan y aceleran el pago de un impuesto (C-489 de 1995). </w:t>
      </w:r>
      <w:r w:rsidRPr="00C050D9">
        <w:rPr>
          <w:rFonts w:ascii="Times New Roman" w:hAnsi="Times New Roman" w:cs="Times New Roman"/>
          <w:sz w:val="28"/>
          <w:szCs w:val="28"/>
        </w:rPr>
        <w:t>Del mismo modo, subrayó que la Corte Constitucional ya ha establecido que «</w:t>
      </w:r>
      <w:r w:rsidRPr="00C050D9">
        <w:rPr>
          <w:rFonts w:ascii="Times New Roman" w:hAnsi="Times New Roman" w:cs="Times New Roman"/>
          <w:sz w:val="28"/>
          <w:szCs w:val="28"/>
        </w:rPr>
        <w:t>en el evento en el cual el monto recaudado por el mecanismo anticipado superase el monto impuesto</w:t>
      </w:r>
      <w:r w:rsidRPr="00C050D9">
        <w:rPr>
          <w:rFonts w:ascii="Times New Roman" w:hAnsi="Times New Roman" w:cs="Times New Roman"/>
          <w:sz w:val="28"/>
          <w:szCs w:val="28"/>
        </w:rPr>
        <w:t>, esa sola circunstancia no implica la inconstitucionalidad de la medida</w:t>
      </w:r>
      <w:r w:rsidRPr="00C050D9">
        <w:rPr>
          <w:rFonts w:ascii="Times New Roman" w:hAnsi="Times New Roman" w:cs="Times New Roman"/>
          <w:sz w:val="28"/>
          <w:szCs w:val="28"/>
        </w:rPr>
        <w:t xml:space="preserve">». Para el efecto, citó la sentencia C-445 de 1995. </w:t>
      </w:r>
    </w:p>
    <w:p w:rsidR="00AA51EC" w:rsidRPr="00C050D9" w:rsidRDefault="00C050D9" w:rsidP="00FC28CF">
      <w:pPr>
        <w:spacing w:after="0" w:line="240" w:lineRule="auto"/>
        <w:jc w:val="both"/>
        <w:rPr>
          <w:rFonts w:ascii="Times New Roman" w:hAnsi="Times New Roman" w:cs="Times New Roman"/>
          <w:sz w:val="28"/>
          <w:szCs w:val="28"/>
        </w:rPr>
      </w:pPr>
    </w:p>
    <w:p w:rsidR="00B91476" w:rsidRPr="00C050D9" w:rsidRDefault="00C050D9" w:rsidP="00B91476">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Acorde con lo anterior, el Instituto Colombiano de Derecho Tributario afirmó que la retención en la fuente de los dividendos respe</w:t>
      </w:r>
      <w:r w:rsidRPr="00C050D9">
        <w:rPr>
          <w:rFonts w:ascii="Times New Roman" w:hAnsi="Times New Roman" w:cs="Times New Roman"/>
          <w:sz w:val="28"/>
          <w:szCs w:val="28"/>
        </w:rPr>
        <w:t>ta los principios constitucionales de capacidad contributiva, equidad y justicia, toda vez que (i) la finalidad de la retención en la fuente es legítima, (ii) el mecanismo de retención en la fuente tiene un amplio sustento en el principio de eficiencia tri</w:t>
      </w:r>
      <w:r w:rsidRPr="00C050D9">
        <w:rPr>
          <w:rFonts w:ascii="Times New Roman" w:hAnsi="Times New Roman" w:cs="Times New Roman"/>
          <w:sz w:val="28"/>
          <w:szCs w:val="28"/>
        </w:rPr>
        <w:t xml:space="preserve">butaria y (iii) </w:t>
      </w:r>
      <w:r w:rsidRPr="00C050D9">
        <w:rPr>
          <w:rFonts w:ascii="Times New Roman" w:hAnsi="Times New Roman" w:cs="Times New Roman"/>
          <w:sz w:val="28"/>
          <w:szCs w:val="28"/>
        </w:rPr>
        <w:t>existe un mecanismo de compensación que garantiza el cumplimiento del principio de capacidad contributiva.</w:t>
      </w:r>
      <w:r w:rsidRPr="00C050D9">
        <w:rPr>
          <w:rFonts w:ascii="Times New Roman" w:hAnsi="Times New Roman" w:cs="Times New Roman"/>
          <w:sz w:val="28"/>
          <w:szCs w:val="28"/>
        </w:rPr>
        <w:t xml:space="preserve"> Sobre este último punto, la entidad resaltó que «[e]</w:t>
      </w:r>
      <w:r w:rsidRPr="00C050D9">
        <w:rPr>
          <w:rFonts w:ascii="Times New Roman" w:hAnsi="Times New Roman" w:cs="Times New Roman"/>
          <w:sz w:val="28"/>
          <w:szCs w:val="28"/>
        </w:rPr>
        <w:t xml:space="preserve">l argumento señalado por el accionante, en cuanto a que el proceso de devolución </w:t>
      </w:r>
      <w:r w:rsidRPr="00C050D9">
        <w:rPr>
          <w:rFonts w:ascii="Times New Roman" w:hAnsi="Times New Roman" w:cs="Times New Roman"/>
          <w:sz w:val="28"/>
          <w:szCs w:val="28"/>
        </w:rPr>
        <w:t>implica mayores costos y trámites no es un argumento constitucionalmente válido, por cuanto las actuaciones ante la administración implican de manera general el cumplimiento de los requisitos y procedimientos propios de toda interacción con entidades estat</w:t>
      </w:r>
      <w:r w:rsidRPr="00C050D9">
        <w:rPr>
          <w:rFonts w:ascii="Times New Roman" w:hAnsi="Times New Roman" w:cs="Times New Roman"/>
          <w:sz w:val="28"/>
          <w:szCs w:val="28"/>
        </w:rPr>
        <w:t>ales</w:t>
      </w:r>
      <w:r w:rsidRPr="00C050D9">
        <w:rPr>
          <w:rFonts w:ascii="Times New Roman" w:hAnsi="Times New Roman" w:cs="Times New Roman"/>
          <w:sz w:val="28"/>
          <w:szCs w:val="28"/>
        </w:rPr>
        <w:t xml:space="preserve">». </w:t>
      </w:r>
    </w:p>
    <w:p w:rsidR="00D20CB1" w:rsidRPr="00C050D9" w:rsidRDefault="00C050D9" w:rsidP="00B91476">
      <w:pPr>
        <w:spacing w:after="0" w:line="240" w:lineRule="auto"/>
        <w:jc w:val="both"/>
        <w:rPr>
          <w:rFonts w:ascii="Times New Roman" w:hAnsi="Times New Roman" w:cs="Times New Roman"/>
          <w:sz w:val="28"/>
          <w:szCs w:val="28"/>
        </w:rPr>
      </w:pPr>
    </w:p>
    <w:p w:rsidR="00D20CB1" w:rsidRPr="00C050D9" w:rsidRDefault="00C050D9" w:rsidP="00D20CB1">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Finalmente</w:t>
      </w:r>
      <w:r w:rsidRPr="00C050D9">
        <w:rPr>
          <w:rFonts w:ascii="Times New Roman" w:hAnsi="Times New Roman" w:cs="Times New Roman"/>
          <w:sz w:val="28"/>
          <w:szCs w:val="28"/>
        </w:rPr>
        <w:t>,</w:t>
      </w:r>
      <w:r w:rsidRPr="00C050D9">
        <w:rPr>
          <w:rFonts w:ascii="Times New Roman" w:hAnsi="Times New Roman" w:cs="Times New Roman"/>
          <w:sz w:val="28"/>
          <w:szCs w:val="28"/>
        </w:rPr>
        <w:t xml:space="preserve"> advirtió a la Corte que «l</w:t>
      </w:r>
      <w:r w:rsidRPr="00C050D9">
        <w:rPr>
          <w:rFonts w:ascii="Times New Roman" w:hAnsi="Times New Roman" w:cs="Times New Roman"/>
          <w:sz w:val="28"/>
          <w:szCs w:val="28"/>
        </w:rPr>
        <w:t>a tarifa escalonada del 15% no es desproporcionada ni excesiva. Aunque la tarifa de retención en la fuente sea mayor al impuesto, está sola circunstancia no implica que la norma sea contraria a la Constitución</w:t>
      </w:r>
      <w:r w:rsidRPr="00C050D9">
        <w:rPr>
          <w:rFonts w:ascii="Times New Roman" w:hAnsi="Times New Roman" w:cs="Times New Roman"/>
          <w:sz w:val="28"/>
          <w:szCs w:val="28"/>
        </w:rPr>
        <w:t xml:space="preserve">, en la medida en que (i) existe la posibilidad de el recaudo se produce como consecuencia de un hecho cierto (el pago o decreto de los dividendos), y (iii) el monto de la retención no implica una desproporción tal en relación con el monto del ingreso por </w:t>
      </w:r>
      <w:r w:rsidRPr="00C050D9">
        <w:rPr>
          <w:rFonts w:ascii="Times New Roman" w:hAnsi="Times New Roman" w:cs="Times New Roman"/>
          <w:sz w:val="28"/>
          <w:szCs w:val="28"/>
        </w:rPr>
        <w:t>concepto de dividendos, que permita afirmar que el sujeto pasivo del impuesto no esté en capacidad de asumir un menor flujo de recursos que, en todo caso, sí está en capacidad de recuperar</w:t>
      </w:r>
      <w:r w:rsidRPr="00C050D9">
        <w:rPr>
          <w:rFonts w:ascii="Times New Roman" w:hAnsi="Times New Roman" w:cs="Times New Roman"/>
          <w:sz w:val="28"/>
          <w:szCs w:val="28"/>
        </w:rPr>
        <w:t xml:space="preserve">». </w:t>
      </w:r>
      <w:r w:rsidRPr="00C050D9">
        <w:rPr>
          <w:rFonts w:ascii="Times New Roman" w:hAnsi="Times New Roman" w:cs="Times New Roman"/>
          <w:sz w:val="28"/>
          <w:szCs w:val="28"/>
        </w:rPr>
        <w:t xml:space="preserve"> </w:t>
      </w:r>
    </w:p>
    <w:p w:rsidR="00723738" w:rsidRPr="00C050D9" w:rsidRDefault="00C050D9" w:rsidP="008C1C7D">
      <w:pPr>
        <w:spacing w:after="0" w:line="240" w:lineRule="auto"/>
        <w:jc w:val="both"/>
        <w:rPr>
          <w:rFonts w:ascii="Times New Roman" w:hAnsi="Times New Roman" w:cs="Times New Roman"/>
          <w:sz w:val="28"/>
          <w:szCs w:val="28"/>
        </w:rPr>
      </w:pPr>
    </w:p>
    <w:p w:rsidR="008F5DEF" w:rsidRPr="00C050D9" w:rsidRDefault="00C050D9" w:rsidP="008F5DEF">
      <w:pPr>
        <w:spacing w:after="0" w:line="240" w:lineRule="auto"/>
        <w:jc w:val="both"/>
        <w:rPr>
          <w:rFonts w:ascii="Times New Roman" w:hAnsi="Times New Roman" w:cs="Times New Roman"/>
          <w:b/>
          <w:i/>
          <w:sz w:val="28"/>
          <w:szCs w:val="28"/>
        </w:rPr>
      </w:pPr>
      <w:r w:rsidRPr="00C050D9">
        <w:rPr>
          <w:rFonts w:ascii="Times New Roman" w:hAnsi="Times New Roman" w:cs="Times New Roman"/>
          <w:b/>
          <w:i/>
          <w:sz w:val="28"/>
          <w:szCs w:val="28"/>
        </w:rPr>
        <w:t>Asociación Nacional de Empresario de Colombia – ANDI</w:t>
      </w:r>
    </w:p>
    <w:p w:rsidR="008F5DEF" w:rsidRPr="00C050D9" w:rsidRDefault="00C050D9" w:rsidP="008C1C7D">
      <w:pPr>
        <w:spacing w:after="0" w:line="240" w:lineRule="auto"/>
        <w:jc w:val="both"/>
        <w:rPr>
          <w:rFonts w:ascii="Times New Roman" w:hAnsi="Times New Roman" w:cs="Times New Roman"/>
          <w:sz w:val="28"/>
          <w:szCs w:val="28"/>
        </w:rPr>
      </w:pPr>
    </w:p>
    <w:p w:rsidR="009C4497" w:rsidRPr="00C050D9" w:rsidRDefault="00C050D9" w:rsidP="009C4497">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lang w:val="es-ES"/>
        </w:rPr>
        <w:t>Solicitó</w:t>
      </w:r>
      <w:r w:rsidRPr="00C050D9">
        <w:rPr>
          <w:rFonts w:ascii="Times New Roman" w:hAnsi="Times New Roman" w:cs="Times New Roman"/>
          <w:sz w:val="28"/>
          <w:szCs w:val="28"/>
          <w:lang w:val="es-ES"/>
        </w:rPr>
        <w:t xml:space="preserve"> la constitucionalidad condicionada de los apartes demandados de los artículos 42 y 44 de la Ley 2277 de 2022. Al respecto, afirmó que las normas desconocen el principio de equidad tributaria en su dimensión horizontal, puesto que los dos grupos que distin</w:t>
      </w:r>
      <w:r w:rsidRPr="00C050D9">
        <w:rPr>
          <w:rFonts w:ascii="Times New Roman" w:hAnsi="Times New Roman" w:cs="Times New Roman"/>
          <w:sz w:val="28"/>
          <w:szCs w:val="28"/>
          <w:lang w:val="es-ES"/>
        </w:rPr>
        <w:t>guió el legislador para ser beneficiarios del régimen simple de tributación, cuentan con la misma capacidad contributiva y son actividades de igual naturaleza, es decir, profesiones liberales. Para el efecto, explicó con un ejemplo: «</w:t>
      </w:r>
      <w:r w:rsidRPr="00C050D9">
        <w:rPr>
          <w:rFonts w:ascii="Times New Roman" w:hAnsi="Times New Roman" w:cs="Times New Roman"/>
          <w:sz w:val="28"/>
          <w:szCs w:val="28"/>
        </w:rPr>
        <w:t>Tal es el caso de un a</w:t>
      </w:r>
      <w:r w:rsidRPr="00C050D9">
        <w:rPr>
          <w:rFonts w:ascii="Times New Roman" w:hAnsi="Times New Roman" w:cs="Times New Roman"/>
          <w:sz w:val="28"/>
          <w:szCs w:val="28"/>
        </w:rPr>
        <w:t>rquitecto independiente en ejercicio con ingresos de 15.000 UVT que, a diferencia de otro que es profesor de cátedra (sin tener una vinculación laboral), tendría una carga tributaria superior por no poder acceder al régimen SIMPLE. De hecho, en el supuesto</w:t>
      </w:r>
      <w:r w:rsidRPr="00C050D9">
        <w:rPr>
          <w:rFonts w:ascii="Times New Roman" w:hAnsi="Times New Roman" w:cs="Times New Roman"/>
          <w:sz w:val="28"/>
          <w:szCs w:val="28"/>
        </w:rPr>
        <w:t xml:space="preserve"> de que ambos arquitectos pertenecieran a este régimen y obtuvieran ingresos anuales de 3.000 UVT, el profesor estaría sujeto a la tarifa del 3.7% (grupo 4) y el independiente en ejercicio a la del 7.3% (grupo 5)». </w:t>
      </w:r>
    </w:p>
    <w:p w:rsidR="009C4497" w:rsidRPr="00C050D9" w:rsidRDefault="00C050D9" w:rsidP="009C4497">
      <w:pPr>
        <w:spacing w:after="0" w:line="240" w:lineRule="auto"/>
        <w:jc w:val="both"/>
        <w:rPr>
          <w:rFonts w:ascii="Times New Roman" w:hAnsi="Times New Roman" w:cs="Times New Roman"/>
          <w:sz w:val="28"/>
          <w:szCs w:val="28"/>
          <w:lang w:val="es-ES"/>
        </w:rPr>
      </w:pPr>
    </w:p>
    <w:p w:rsidR="009C4497" w:rsidRPr="00C050D9" w:rsidRDefault="00C050D9" w:rsidP="009C4497">
      <w:pPr>
        <w:spacing w:after="0" w:line="240" w:lineRule="auto"/>
        <w:jc w:val="both"/>
        <w:rPr>
          <w:rFonts w:ascii="Times New Roman" w:hAnsi="Times New Roman" w:cs="Times New Roman"/>
          <w:sz w:val="28"/>
          <w:szCs w:val="28"/>
          <w:lang w:val="es-ES"/>
        </w:rPr>
      </w:pPr>
      <w:r w:rsidRPr="00C050D9">
        <w:rPr>
          <w:rFonts w:ascii="Times New Roman" w:hAnsi="Times New Roman" w:cs="Times New Roman"/>
          <w:sz w:val="28"/>
          <w:szCs w:val="28"/>
          <w:lang w:val="es-ES"/>
        </w:rPr>
        <w:t>Afirmó que lo anterior genera un desequ</w:t>
      </w:r>
      <w:r w:rsidRPr="00C050D9">
        <w:rPr>
          <w:rFonts w:ascii="Times New Roman" w:hAnsi="Times New Roman" w:cs="Times New Roman"/>
          <w:sz w:val="28"/>
          <w:szCs w:val="28"/>
          <w:lang w:val="es-ES"/>
        </w:rPr>
        <w:t>ilibrio dentro del sector de las profesiones liberales, toda vez que, a pesar de tener una misma capacidad contributiva, al final del ejercicio sus condiciones pueden verse afectadas, ya que algunos podrán acceder al régimen especial y otros no. Además, ex</w:t>
      </w:r>
      <w:r w:rsidRPr="00C050D9">
        <w:rPr>
          <w:rFonts w:ascii="Times New Roman" w:hAnsi="Times New Roman" w:cs="Times New Roman"/>
          <w:sz w:val="28"/>
          <w:szCs w:val="28"/>
          <w:lang w:val="es-ES"/>
        </w:rPr>
        <w:t>presó que «</w:t>
      </w:r>
      <w:r w:rsidRPr="00C050D9">
        <w:rPr>
          <w:rFonts w:ascii="Times New Roman" w:hAnsi="Times New Roman" w:cs="Times New Roman"/>
          <w:sz w:val="28"/>
          <w:szCs w:val="28"/>
        </w:rPr>
        <w:t>la imposición de una tarifa del régimen SIMPLE arbitraria para muchas de las profesiones liberales, consultoría y aquellas donde predomine el factor intelectual (distintas a las de educación, salud y asistencia social) se realizó sin que mediara</w:t>
      </w:r>
      <w:r w:rsidRPr="00C050D9">
        <w:rPr>
          <w:rFonts w:ascii="Times New Roman" w:hAnsi="Times New Roman" w:cs="Times New Roman"/>
          <w:sz w:val="28"/>
          <w:szCs w:val="28"/>
        </w:rPr>
        <w:t xml:space="preserve"> un análisis juicioso y/o justificación técnica, lo cual descarta, de plano, que esta medida pueda considerarse como idónea para lograr el fin propuesto». Según la ANDI, el legislador impuso un trato discriminatorio que debe ser corregido por el juez const</w:t>
      </w:r>
      <w:r w:rsidRPr="00C050D9">
        <w:rPr>
          <w:rFonts w:ascii="Times New Roman" w:hAnsi="Times New Roman" w:cs="Times New Roman"/>
          <w:sz w:val="28"/>
          <w:szCs w:val="28"/>
        </w:rPr>
        <w:t>itucional, pues se imponen cargas tributarias diferentes entre sujetos de igual naturaleza económica.</w:t>
      </w:r>
    </w:p>
    <w:p w:rsidR="009C4497" w:rsidRPr="00C050D9" w:rsidRDefault="00C050D9" w:rsidP="009C4497">
      <w:pPr>
        <w:spacing w:after="0" w:line="240" w:lineRule="auto"/>
        <w:jc w:val="both"/>
        <w:rPr>
          <w:rFonts w:ascii="Times New Roman" w:hAnsi="Times New Roman" w:cs="Times New Roman"/>
          <w:sz w:val="28"/>
          <w:szCs w:val="28"/>
          <w:lang w:val="es-ES"/>
        </w:rPr>
      </w:pPr>
    </w:p>
    <w:p w:rsidR="009C4497" w:rsidRPr="00C050D9" w:rsidRDefault="00C050D9" w:rsidP="009C4497">
      <w:pPr>
        <w:spacing w:after="0" w:line="240" w:lineRule="auto"/>
        <w:jc w:val="both"/>
        <w:rPr>
          <w:rFonts w:ascii="Times New Roman" w:hAnsi="Times New Roman" w:cs="Times New Roman"/>
          <w:sz w:val="28"/>
          <w:szCs w:val="28"/>
          <w:lang w:val="es-ES"/>
        </w:rPr>
      </w:pPr>
      <w:r w:rsidRPr="00C050D9">
        <w:rPr>
          <w:rFonts w:ascii="Times New Roman" w:hAnsi="Times New Roman" w:cs="Times New Roman"/>
          <w:sz w:val="28"/>
          <w:szCs w:val="28"/>
          <w:lang w:val="es-ES"/>
        </w:rPr>
        <w:t>Por todo lo anterior, solicitó a la Corte «</w:t>
      </w:r>
      <w:r w:rsidRPr="00C050D9">
        <w:rPr>
          <w:rFonts w:ascii="Times New Roman" w:hAnsi="Times New Roman" w:cs="Times New Roman"/>
          <w:sz w:val="28"/>
          <w:szCs w:val="28"/>
        </w:rPr>
        <w:t xml:space="preserve">que los artículos impugnados sean declarados exequibles de manera condicionada, esto es, en el sentido de que </w:t>
      </w:r>
      <w:r w:rsidRPr="00C050D9">
        <w:rPr>
          <w:rFonts w:ascii="Times New Roman" w:hAnsi="Times New Roman" w:cs="Times New Roman"/>
          <w:sz w:val="28"/>
          <w:szCs w:val="28"/>
        </w:rPr>
        <w:t>el tope y tarifa del régimen SIMPLE previstos para quienes realizan actividades de educación, atención de la salud humana y de asistencia social (grupo 4) también sean aplicables a las personas que prestan servicios profesionales de consultoría y científic</w:t>
      </w:r>
      <w:r w:rsidRPr="00C050D9">
        <w:rPr>
          <w:rFonts w:ascii="Times New Roman" w:hAnsi="Times New Roman" w:cs="Times New Roman"/>
          <w:sz w:val="28"/>
          <w:szCs w:val="28"/>
        </w:rPr>
        <w:t xml:space="preserve">os en los que predomine el factor intelectual sobre el material, incluidos los servicios de profesiones liberales (grupo 5)». </w:t>
      </w:r>
    </w:p>
    <w:p w:rsidR="009C4497" w:rsidRPr="00C050D9" w:rsidRDefault="00C050D9" w:rsidP="009C4497">
      <w:pPr>
        <w:spacing w:after="0" w:line="240" w:lineRule="auto"/>
        <w:jc w:val="both"/>
        <w:rPr>
          <w:rFonts w:ascii="Times New Roman" w:hAnsi="Times New Roman" w:cs="Times New Roman"/>
          <w:sz w:val="28"/>
          <w:szCs w:val="28"/>
          <w:lang w:val="es-ES"/>
        </w:rPr>
      </w:pPr>
    </w:p>
    <w:p w:rsidR="009C4497" w:rsidRPr="00C050D9" w:rsidRDefault="00C050D9" w:rsidP="009C4497">
      <w:pPr>
        <w:spacing w:after="0" w:line="240" w:lineRule="auto"/>
        <w:jc w:val="both"/>
        <w:rPr>
          <w:rFonts w:ascii="Times New Roman" w:hAnsi="Times New Roman" w:cs="Times New Roman"/>
          <w:sz w:val="28"/>
          <w:szCs w:val="28"/>
          <w:lang w:val="es-ES"/>
        </w:rPr>
      </w:pPr>
      <w:r w:rsidRPr="00C050D9">
        <w:rPr>
          <w:rFonts w:ascii="Times New Roman" w:hAnsi="Times New Roman" w:cs="Times New Roman"/>
          <w:sz w:val="28"/>
          <w:szCs w:val="28"/>
          <w:lang w:val="es-ES"/>
        </w:rPr>
        <w:t xml:space="preserve">La entidad no se pronunció sobre el cargo contra el parágrafo del artículo 3 de la Ley 2277 de 2022. </w:t>
      </w:r>
    </w:p>
    <w:p w:rsidR="0010659C" w:rsidRPr="00C050D9" w:rsidRDefault="00C050D9" w:rsidP="008C1C7D">
      <w:pPr>
        <w:spacing w:after="0" w:line="240" w:lineRule="auto"/>
        <w:jc w:val="both"/>
        <w:rPr>
          <w:rFonts w:ascii="Times New Roman" w:hAnsi="Times New Roman" w:cs="Times New Roman"/>
          <w:sz w:val="28"/>
          <w:szCs w:val="28"/>
        </w:rPr>
      </w:pPr>
    </w:p>
    <w:p w:rsidR="008C1C7D" w:rsidRPr="00C050D9" w:rsidRDefault="00C050D9" w:rsidP="008C1C7D">
      <w:pPr>
        <w:spacing w:after="0" w:line="240" w:lineRule="auto"/>
        <w:jc w:val="both"/>
        <w:rPr>
          <w:rFonts w:ascii="Times New Roman" w:hAnsi="Times New Roman" w:cs="Times New Roman"/>
          <w:b/>
          <w:i/>
          <w:sz w:val="28"/>
          <w:szCs w:val="28"/>
        </w:rPr>
      </w:pPr>
      <w:r w:rsidRPr="00C050D9">
        <w:rPr>
          <w:rFonts w:ascii="Times New Roman" w:hAnsi="Times New Roman" w:cs="Times New Roman"/>
          <w:b/>
          <w:i/>
          <w:sz w:val="28"/>
          <w:szCs w:val="28"/>
        </w:rPr>
        <w:t>Centro de Estudios Tribut</w:t>
      </w:r>
      <w:r w:rsidRPr="00C050D9">
        <w:rPr>
          <w:rFonts w:ascii="Times New Roman" w:hAnsi="Times New Roman" w:cs="Times New Roman"/>
          <w:b/>
          <w:i/>
          <w:sz w:val="28"/>
          <w:szCs w:val="28"/>
        </w:rPr>
        <w:t>arios – CETA</w:t>
      </w:r>
    </w:p>
    <w:p w:rsidR="008F5DEF" w:rsidRPr="00C050D9" w:rsidRDefault="00C050D9" w:rsidP="008C1C7D">
      <w:pPr>
        <w:spacing w:after="0" w:line="240" w:lineRule="auto"/>
        <w:jc w:val="both"/>
        <w:rPr>
          <w:rFonts w:ascii="Times New Roman" w:hAnsi="Times New Roman" w:cs="Times New Roman"/>
          <w:sz w:val="28"/>
          <w:szCs w:val="28"/>
        </w:rPr>
      </w:pPr>
    </w:p>
    <w:p w:rsidR="00211B08"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En relación con los cargos admitidos, el interviniente señaló lo siguiente. Afirmó que el cargo contra </w:t>
      </w:r>
      <w:r w:rsidRPr="00C050D9">
        <w:rPr>
          <w:rFonts w:ascii="Times New Roman" w:hAnsi="Times New Roman" w:cs="Times New Roman"/>
          <w:sz w:val="28"/>
          <w:szCs w:val="28"/>
        </w:rPr>
        <w:t>el parágrafo del artículo 3 de la Ley 2277 del 2022, por medio del cual se modificó el artículo 242 del Estatuto Tributario Nacional</w:t>
      </w:r>
      <w:r w:rsidRPr="00C050D9">
        <w:rPr>
          <w:rFonts w:ascii="Times New Roman" w:hAnsi="Times New Roman" w:cs="Times New Roman"/>
          <w:sz w:val="28"/>
          <w:szCs w:val="28"/>
        </w:rPr>
        <w:t xml:space="preserve">, es </w:t>
      </w:r>
      <w:r w:rsidRPr="00C050D9">
        <w:rPr>
          <w:rFonts w:ascii="Times New Roman" w:hAnsi="Times New Roman" w:cs="Times New Roman"/>
          <w:sz w:val="28"/>
          <w:szCs w:val="28"/>
        </w:rPr>
        <w:t>razonable, en la medida en que «</w:t>
      </w:r>
      <w:r w:rsidRPr="00C050D9">
        <w:rPr>
          <w:rFonts w:ascii="Times New Roman" w:hAnsi="Times New Roman" w:cs="Times New Roman"/>
          <w:sz w:val="28"/>
          <w:szCs w:val="28"/>
        </w:rPr>
        <w:t xml:space="preserve">la tabla mediante la cual se ejemplifica en cifras el cálculo de la retención en la fuente por dividendos para las personas naturales residentes, se denota una clara tendencia o inclinación generalizada a la determinación o </w:t>
      </w:r>
      <w:r w:rsidRPr="00C050D9">
        <w:rPr>
          <w:rFonts w:ascii="Times New Roman" w:hAnsi="Times New Roman" w:cs="Times New Roman"/>
          <w:sz w:val="28"/>
          <w:szCs w:val="28"/>
        </w:rPr>
        <w:t>generación de saldos a favor, los cuales no podrían calificarse como aproximados, sino evidentemente distanciados de lo que sería la determinación final del tributo, con lo cual se estaría atribuyendo al contribuyente, por este concepto una carga desmedida</w:t>
      </w:r>
      <w:r w:rsidRPr="00C050D9">
        <w:rPr>
          <w:rFonts w:ascii="Times New Roman" w:hAnsi="Times New Roman" w:cs="Times New Roman"/>
          <w:sz w:val="28"/>
          <w:szCs w:val="28"/>
        </w:rPr>
        <w:t>, que por ser tal, iría en desmedro de la misma naturaleza jurídica y razón de ser de la retención en la fuente</w:t>
      </w:r>
      <w:r w:rsidRPr="00C050D9">
        <w:rPr>
          <w:rFonts w:ascii="Times New Roman" w:hAnsi="Times New Roman" w:cs="Times New Roman"/>
          <w:sz w:val="28"/>
          <w:szCs w:val="28"/>
        </w:rPr>
        <w:t xml:space="preserve">». Con base en lo anterior, el centro de estudios apoyó la declaratoria de inconstitucionalidad de la norma por la violación de los artículos 95 </w:t>
      </w:r>
      <w:r w:rsidRPr="00C050D9">
        <w:rPr>
          <w:rFonts w:ascii="Times New Roman" w:hAnsi="Times New Roman" w:cs="Times New Roman"/>
          <w:sz w:val="28"/>
          <w:szCs w:val="28"/>
        </w:rPr>
        <w:t xml:space="preserve">y 363 de la Constitución Política. </w:t>
      </w:r>
    </w:p>
    <w:p w:rsidR="00211B08" w:rsidRPr="00C050D9" w:rsidRDefault="00C050D9" w:rsidP="008C1C7D">
      <w:pPr>
        <w:spacing w:after="0" w:line="240" w:lineRule="auto"/>
        <w:jc w:val="both"/>
        <w:rPr>
          <w:rFonts w:ascii="Times New Roman" w:hAnsi="Times New Roman" w:cs="Times New Roman"/>
          <w:sz w:val="28"/>
          <w:szCs w:val="28"/>
        </w:rPr>
      </w:pPr>
    </w:p>
    <w:p w:rsidR="00F905A3" w:rsidRPr="00C050D9" w:rsidRDefault="00C050D9" w:rsidP="008C1C7D">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En cuanto al segundo cargo admitido</w:t>
      </w:r>
      <w:r w:rsidRPr="00C050D9">
        <w:rPr>
          <w:rFonts w:ascii="Times New Roman" w:hAnsi="Times New Roman" w:cs="Times New Roman"/>
          <w:sz w:val="28"/>
          <w:szCs w:val="28"/>
        </w:rPr>
        <w:t xml:space="preserve"> respecto del régimen simple de tributación, el Centro de Estudios se remitió a sus mismos argumentos dentro del expediente D-15.270.</w:t>
      </w:r>
      <w:r w:rsidRPr="00C050D9">
        <w:rPr>
          <w:rStyle w:val="Refdenotaalpie"/>
          <w:rFonts w:ascii="Times New Roman" w:hAnsi="Times New Roman" w:cs="Times New Roman"/>
          <w:sz w:val="28"/>
          <w:szCs w:val="28"/>
        </w:rPr>
        <w:footnoteReference w:id="50"/>
      </w:r>
      <w:r w:rsidRPr="00C050D9">
        <w:rPr>
          <w:rFonts w:ascii="Times New Roman" w:hAnsi="Times New Roman" w:cs="Times New Roman"/>
          <w:sz w:val="28"/>
          <w:szCs w:val="28"/>
        </w:rPr>
        <w:t xml:space="preserve"> En palabras de los intervinientes: «</w:t>
      </w:r>
      <w:r w:rsidRPr="00C050D9">
        <w:rPr>
          <w:rFonts w:ascii="Times New Roman" w:hAnsi="Times New Roman" w:cs="Times New Roman"/>
          <w:sz w:val="28"/>
          <w:szCs w:val="28"/>
        </w:rPr>
        <w:t xml:space="preserve">Al no </w:t>
      </w:r>
      <w:r w:rsidRPr="00C050D9">
        <w:rPr>
          <w:rFonts w:ascii="Times New Roman" w:hAnsi="Times New Roman" w:cs="Times New Roman"/>
          <w:sz w:val="28"/>
          <w:szCs w:val="28"/>
        </w:rPr>
        <w:t>existir, pues, ninguna justificación para el trato diferenciado de que son objeto, desde las normas objeto de este proceso, los sujetos que prestan servicios profesionales de consultoría y científicos en los que predomine el factor intelectual sobre el mat</w:t>
      </w:r>
      <w:r w:rsidRPr="00C050D9">
        <w:rPr>
          <w:rFonts w:ascii="Times New Roman" w:hAnsi="Times New Roman" w:cs="Times New Roman"/>
          <w:sz w:val="28"/>
          <w:szCs w:val="28"/>
        </w:rPr>
        <w:t>erial, incluidos los servicios de profesiones liberales en su ejercicio personal o a través de vehículos asociativos, lo cual les irroga sin duda una mayor carga impositiva, tal trato diferenciado deviene sin duda en trato DISCRIMINATORIO, al no poder ampa</w:t>
      </w:r>
      <w:r w:rsidRPr="00C050D9">
        <w:rPr>
          <w:rFonts w:ascii="Times New Roman" w:hAnsi="Times New Roman" w:cs="Times New Roman"/>
          <w:sz w:val="28"/>
          <w:szCs w:val="28"/>
        </w:rPr>
        <w:t>rarse en el amplio margen de configuración del Legislador en materia tributaria, razón por la cual, las disposiciones legales acusadas resultan violatorias del derecho fundamental a la igualdad y de los principios de equidad, justicia y progresividad en ma</w:t>
      </w:r>
      <w:r w:rsidRPr="00C050D9">
        <w:rPr>
          <w:rFonts w:ascii="Times New Roman" w:hAnsi="Times New Roman" w:cs="Times New Roman"/>
          <w:sz w:val="28"/>
          <w:szCs w:val="28"/>
        </w:rPr>
        <w:t>teria tributaria</w:t>
      </w:r>
      <w:r w:rsidRPr="00C050D9">
        <w:rPr>
          <w:rFonts w:ascii="Times New Roman" w:hAnsi="Times New Roman" w:cs="Times New Roman"/>
          <w:sz w:val="28"/>
          <w:szCs w:val="28"/>
        </w:rPr>
        <w:t xml:space="preserve"> (…)». </w:t>
      </w:r>
    </w:p>
    <w:p w:rsidR="0010659C" w:rsidRPr="00C050D9" w:rsidRDefault="00C050D9" w:rsidP="008C1C7D">
      <w:pPr>
        <w:spacing w:after="0" w:line="240" w:lineRule="auto"/>
        <w:jc w:val="both"/>
        <w:rPr>
          <w:rFonts w:ascii="Times New Roman" w:hAnsi="Times New Roman" w:cs="Times New Roman"/>
          <w:sz w:val="28"/>
          <w:szCs w:val="28"/>
        </w:rPr>
      </w:pPr>
    </w:p>
    <w:p w:rsidR="00F5099F" w:rsidRPr="00C050D9" w:rsidRDefault="00C050D9" w:rsidP="00F5099F">
      <w:pPr>
        <w:spacing w:after="0" w:line="240" w:lineRule="auto"/>
        <w:jc w:val="both"/>
        <w:rPr>
          <w:rFonts w:ascii="Times New Roman" w:hAnsi="Times New Roman" w:cs="Times New Roman"/>
          <w:b/>
          <w:i/>
          <w:sz w:val="28"/>
          <w:szCs w:val="28"/>
        </w:rPr>
      </w:pPr>
      <w:r w:rsidRPr="00C050D9">
        <w:rPr>
          <w:rFonts w:ascii="Times New Roman" w:hAnsi="Times New Roman" w:cs="Times New Roman"/>
          <w:b/>
          <w:i/>
          <w:sz w:val="28"/>
          <w:szCs w:val="28"/>
        </w:rPr>
        <w:t>Secretaría Jurídica del Departamento Administrativo de la Presidencia de la República</w:t>
      </w:r>
    </w:p>
    <w:p w:rsidR="00F5099F" w:rsidRPr="00C050D9" w:rsidRDefault="00C050D9" w:rsidP="00B806F7">
      <w:pPr>
        <w:spacing w:after="0" w:line="240" w:lineRule="auto"/>
        <w:jc w:val="both"/>
        <w:rPr>
          <w:rFonts w:ascii="Times New Roman" w:hAnsi="Times New Roman" w:cs="Times New Roman"/>
          <w:sz w:val="28"/>
          <w:szCs w:val="28"/>
        </w:rPr>
      </w:pPr>
    </w:p>
    <w:p w:rsidR="00BA4B26" w:rsidRPr="00C050D9" w:rsidRDefault="00C050D9" w:rsidP="00B806F7">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En lo relacionado con la retención en la fuente de los dividendos, la Presidencia solicitó</w:t>
      </w:r>
      <w:r w:rsidRPr="00C050D9">
        <w:rPr>
          <w:rFonts w:ascii="Times New Roman" w:hAnsi="Times New Roman" w:cs="Times New Roman"/>
          <w:sz w:val="28"/>
          <w:szCs w:val="28"/>
        </w:rPr>
        <w:t xml:space="preserve">, (i) </w:t>
      </w:r>
      <w:r w:rsidRPr="00C050D9">
        <w:rPr>
          <w:rFonts w:ascii="Times New Roman" w:hAnsi="Times New Roman" w:cs="Times New Roman"/>
          <w:sz w:val="28"/>
          <w:szCs w:val="28"/>
        </w:rPr>
        <w:t xml:space="preserve">declarar que la </w:t>
      </w:r>
      <w:r w:rsidRPr="00C050D9">
        <w:rPr>
          <w:rFonts w:ascii="Times New Roman" w:hAnsi="Times New Roman" w:cs="Times New Roman"/>
          <w:sz w:val="28"/>
          <w:szCs w:val="28"/>
        </w:rPr>
        <w:t>demanda es inepta respecto del c</w:t>
      </w:r>
      <w:r w:rsidRPr="00C050D9">
        <w:rPr>
          <w:rFonts w:ascii="Times New Roman" w:hAnsi="Times New Roman" w:cs="Times New Roman"/>
          <w:sz w:val="28"/>
          <w:szCs w:val="28"/>
        </w:rPr>
        <w:t>argo formulado en contra del parágrafo del artículo 3 de la Ley 2277 de 2022, en tanto no cumple con los requisitos de especificidad, suficiencia y certeza</w:t>
      </w:r>
      <w:r w:rsidRPr="00C050D9">
        <w:rPr>
          <w:rFonts w:ascii="Times New Roman" w:hAnsi="Times New Roman" w:cs="Times New Roman"/>
          <w:sz w:val="28"/>
          <w:szCs w:val="28"/>
        </w:rPr>
        <w:t>; que e</w:t>
      </w:r>
      <w:r w:rsidRPr="00C050D9">
        <w:rPr>
          <w:rFonts w:ascii="Times New Roman" w:hAnsi="Times New Roman" w:cs="Times New Roman"/>
          <w:sz w:val="28"/>
          <w:szCs w:val="28"/>
        </w:rPr>
        <w:t>l parágrafo 3 del artículo 3 citado, no vulnera el principio de equidad tributaria, dado que n</w:t>
      </w:r>
      <w:r w:rsidRPr="00C050D9">
        <w:rPr>
          <w:rFonts w:ascii="Times New Roman" w:hAnsi="Times New Roman" w:cs="Times New Roman"/>
          <w:sz w:val="28"/>
          <w:szCs w:val="28"/>
        </w:rPr>
        <w:t>o siempre el impuesto de renta va a ser inferior a la tarifa de retención en la fuente por dividendos</w:t>
      </w:r>
      <w:r w:rsidRPr="00C050D9">
        <w:rPr>
          <w:rFonts w:ascii="Times New Roman" w:hAnsi="Times New Roman" w:cs="Times New Roman"/>
          <w:sz w:val="28"/>
          <w:szCs w:val="28"/>
        </w:rPr>
        <w:t>; y (iii) que l</w:t>
      </w:r>
      <w:r w:rsidRPr="00C050D9">
        <w:rPr>
          <w:rFonts w:ascii="Times New Roman" w:hAnsi="Times New Roman" w:cs="Times New Roman"/>
          <w:sz w:val="28"/>
          <w:szCs w:val="28"/>
        </w:rPr>
        <w:t>a retención en la fuente del impuesto de renta por ingresos de dividendos o participaciones pueden ser solicitados como devolución de saldos</w:t>
      </w:r>
      <w:r w:rsidRPr="00C050D9">
        <w:rPr>
          <w:rFonts w:ascii="Times New Roman" w:hAnsi="Times New Roman" w:cs="Times New Roman"/>
          <w:sz w:val="28"/>
          <w:szCs w:val="28"/>
        </w:rPr>
        <w:t xml:space="preserve"> a favor o compensados a obligaciones pendientes de pago, sin que ello represente una carga tributaria para el beneficiario.</w:t>
      </w:r>
    </w:p>
    <w:p w:rsidR="006D53FE" w:rsidRPr="00C050D9" w:rsidRDefault="00C050D9" w:rsidP="00B806F7">
      <w:pPr>
        <w:spacing w:after="0" w:line="240" w:lineRule="auto"/>
        <w:jc w:val="both"/>
        <w:rPr>
          <w:rFonts w:ascii="Times New Roman" w:hAnsi="Times New Roman" w:cs="Times New Roman"/>
          <w:sz w:val="28"/>
          <w:szCs w:val="28"/>
        </w:rPr>
      </w:pPr>
    </w:p>
    <w:p w:rsidR="00726EE5" w:rsidRPr="00C050D9" w:rsidRDefault="00C050D9" w:rsidP="00B806F7">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 xml:space="preserve">La entidad llamó la atención, que a pesar de ser el cargo inepto por carecer de razones ciertas, pertinentes, suficientes y específicas, la norma no desconoce los principios constitucionales en materia fiscal, toda vez que </w:t>
      </w:r>
      <w:r w:rsidRPr="00C050D9">
        <w:rPr>
          <w:rFonts w:ascii="Times New Roman" w:hAnsi="Times New Roman" w:cs="Times New Roman"/>
          <w:sz w:val="28"/>
          <w:szCs w:val="28"/>
        </w:rPr>
        <w:t>«El escrito de demanda no proporc</w:t>
      </w:r>
      <w:r w:rsidRPr="00C050D9">
        <w:rPr>
          <w:rFonts w:ascii="Times New Roman" w:hAnsi="Times New Roman" w:cs="Times New Roman"/>
          <w:sz w:val="28"/>
          <w:szCs w:val="28"/>
        </w:rPr>
        <w:t>iona los elementos que permitan realizar un estudio de la norma frente al principio de equidad horizontal, en el entendido que, no indica cuáles personas que, antes de tributar, tienen la misma capacidad económica, para que queden situadas en el mismo nive</w:t>
      </w:r>
      <w:r w:rsidRPr="00C050D9">
        <w:rPr>
          <w:rFonts w:ascii="Times New Roman" w:hAnsi="Times New Roman" w:cs="Times New Roman"/>
          <w:sz w:val="28"/>
          <w:szCs w:val="28"/>
        </w:rPr>
        <w:t xml:space="preserve">l después de pagar el impuesto de renta. A continuación, se inserta un ejercicio que desvirtúa el fundamento de la trasgresión de los principios de equidad y justicia tributaria, porque no siempre la retención en la fuente efectuada a una persona que solo </w:t>
      </w:r>
      <w:r w:rsidRPr="00C050D9">
        <w:rPr>
          <w:rFonts w:ascii="Times New Roman" w:hAnsi="Times New Roman" w:cs="Times New Roman"/>
          <w:sz w:val="28"/>
          <w:szCs w:val="28"/>
        </w:rPr>
        <w:t xml:space="preserve">recibe ingresos por dividendos y/o participaciones será superior al impuesto de renta a pagar como lo pretenden hacer ver los accionantes». </w:t>
      </w:r>
    </w:p>
    <w:p w:rsidR="00726EE5" w:rsidRPr="00C050D9" w:rsidRDefault="00C050D9" w:rsidP="00B806F7">
      <w:pPr>
        <w:spacing w:after="0" w:line="240" w:lineRule="auto"/>
        <w:jc w:val="both"/>
        <w:rPr>
          <w:rFonts w:ascii="Times New Roman" w:hAnsi="Times New Roman" w:cs="Times New Roman"/>
          <w:sz w:val="28"/>
          <w:szCs w:val="28"/>
        </w:rPr>
      </w:pPr>
    </w:p>
    <w:p w:rsidR="00A81362" w:rsidRPr="00C050D9" w:rsidRDefault="00C050D9" w:rsidP="00B806F7">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La entidad expresó que la tarifa de retención en la fuente es progresiva y atiende a la capacidad del contribuyent</w:t>
      </w:r>
      <w:r w:rsidRPr="00C050D9">
        <w:rPr>
          <w:rFonts w:ascii="Times New Roman" w:hAnsi="Times New Roman" w:cs="Times New Roman"/>
          <w:sz w:val="28"/>
          <w:szCs w:val="28"/>
        </w:rPr>
        <w:t xml:space="preserve">e porque depende del valor de los dividendos que tiene. En esa medida, no se vulnera el principio de equidad vertical, puesto que </w:t>
      </w:r>
      <w:r w:rsidRPr="00C050D9">
        <w:rPr>
          <w:rFonts w:ascii="Times New Roman" w:hAnsi="Times New Roman" w:cs="Times New Roman"/>
          <w:sz w:val="28"/>
          <w:szCs w:val="28"/>
        </w:rPr>
        <w:t>las personas naturales no obstante tener la misma tarifa del 15% de retención en la fuente, al recibir mayores ingresos, por c</w:t>
      </w:r>
      <w:r w:rsidRPr="00C050D9">
        <w:rPr>
          <w:rFonts w:ascii="Times New Roman" w:hAnsi="Times New Roman" w:cs="Times New Roman"/>
          <w:sz w:val="28"/>
          <w:szCs w:val="28"/>
        </w:rPr>
        <w:t>oncepto de dividendos y/o participaciones, la suma por retención en la fuente es mayor</w:t>
      </w:r>
      <w:r w:rsidRPr="00C050D9">
        <w:rPr>
          <w:rFonts w:ascii="Times New Roman" w:hAnsi="Times New Roman" w:cs="Times New Roman"/>
          <w:sz w:val="28"/>
          <w:szCs w:val="28"/>
        </w:rPr>
        <w:t>. Para el efecto, ilustró con un ejercicio contable, cómo, a diferencia de lo que presentan los demandantes en el escrito de la demanda, el valor de la retención es menor</w:t>
      </w:r>
      <w:r w:rsidRPr="00C050D9">
        <w:rPr>
          <w:rFonts w:ascii="Times New Roman" w:hAnsi="Times New Roman" w:cs="Times New Roman"/>
          <w:sz w:val="28"/>
          <w:szCs w:val="28"/>
        </w:rPr>
        <w:t xml:space="preserve"> al valor total a título del impuesto. </w:t>
      </w:r>
      <w:r w:rsidRPr="00C050D9">
        <w:rPr>
          <w:rFonts w:ascii="Times New Roman" w:hAnsi="Times New Roman" w:cs="Times New Roman"/>
          <w:sz w:val="28"/>
          <w:szCs w:val="28"/>
        </w:rPr>
        <w:t xml:space="preserve">En todo caso, explicó que existen herramientas idóneas y céleres para solicitar </w:t>
      </w:r>
      <w:r w:rsidRPr="00C050D9">
        <w:rPr>
          <w:rFonts w:ascii="Times New Roman" w:hAnsi="Times New Roman" w:cs="Times New Roman"/>
          <w:sz w:val="28"/>
          <w:szCs w:val="28"/>
        </w:rPr>
        <w:t>la compensación o devolución</w:t>
      </w:r>
      <w:r w:rsidRPr="00C050D9">
        <w:rPr>
          <w:rFonts w:ascii="Times New Roman" w:hAnsi="Times New Roman" w:cs="Times New Roman"/>
          <w:sz w:val="28"/>
          <w:szCs w:val="28"/>
        </w:rPr>
        <w:t xml:space="preserve"> ante la DIAN.</w:t>
      </w:r>
    </w:p>
    <w:p w:rsidR="008D4999" w:rsidRPr="00C050D9" w:rsidRDefault="00C050D9" w:rsidP="00B806F7">
      <w:pPr>
        <w:spacing w:after="0" w:line="240" w:lineRule="auto"/>
        <w:jc w:val="both"/>
        <w:rPr>
          <w:rFonts w:ascii="Times New Roman" w:hAnsi="Times New Roman" w:cs="Times New Roman"/>
          <w:sz w:val="28"/>
          <w:szCs w:val="28"/>
        </w:rPr>
      </w:pPr>
    </w:p>
    <w:p w:rsidR="00567391" w:rsidRPr="00C050D9" w:rsidRDefault="00C050D9" w:rsidP="00567391">
      <w:pPr>
        <w:spacing w:after="0" w:line="240" w:lineRule="auto"/>
        <w:jc w:val="both"/>
        <w:rPr>
          <w:rFonts w:ascii="Times New Roman" w:hAnsi="Times New Roman" w:cs="Times New Roman"/>
          <w:sz w:val="28"/>
          <w:szCs w:val="28"/>
        </w:rPr>
      </w:pPr>
      <w:r w:rsidRPr="00C050D9">
        <w:rPr>
          <w:rFonts w:ascii="Times New Roman" w:hAnsi="Times New Roman" w:cs="Times New Roman"/>
          <w:sz w:val="28"/>
          <w:szCs w:val="28"/>
        </w:rPr>
        <w:t>En cuanto al cargo relacionado con el impuesto unificado bajo el régimen simple de tributació</w:t>
      </w:r>
      <w:r w:rsidRPr="00C050D9">
        <w:rPr>
          <w:rFonts w:ascii="Times New Roman" w:hAnsi="Times New Roman" w:cs="Times New Roman"/>
          <w:sz w:val="28"/>
          <w:szCs w:val="28"/>
        </w:rPr>
        <w:t xml:space="preserve">n, la entidad reiteró sus argumentos expuestos bajo el expediente D-15.270. </w:t>
      </w:r>
      <w:r w:rsidRPr="00C050D9">
        <w:rPr>
          <w:rFonts w:ascii="Times New Roman" w:hAnsi="Times New Roman" w:cs="Times New Roman"/>
          <w:bCs/>
          <w:sz w:val="28"/>
          <w:szCs w:val="28"/>
        </w:rPr>
        <w:t>Solicitó a la Corte declarar la exequibilidad de los artículos 42 y 44 (parciales) de la Ley 2277 de 2022 por las siguientes razones.</w:t>
      </w:r>
      <w:r w:rsidRPr="00C050D9">
        <w:rPr>
          <w:rFonts w:ascii="Times New Roman" w:hAnsi="Times New Roman" w:cs="Times New Roman"/>
          <w:bCs/>
          <w:sz w:val="28"/>
          <w:szCs w:val="28"/>
        </w:rPr>
        <w:t xml:space="preserve"> </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jc w:val="both"/>
        <w:rPr>
          <w:rFonts w:ascii="Times New Roman" w:hAnsi="Times New Roman" w:cs="Times New Roman"/>
          <w:bCs/>
          <w:sz w:val="28"/>
          <w:szCs w:val="28"/>
        </w:rPr>
      </w:pPr>
      <w:r w:rsidRPr="00C050D9">
        <w:rPr>
          <w:rFonts w:ascii="Times New Roman" w:hAnsi="Times New Roman" w:cs="Times New Roman"/>
          <w:bCs/>
          <w:sz w:val="28"/>
          <w:szCs w:val="28"/>
        </w:rPr>
        <w:t xml:space="preserve">En primer lugar, afirmó que era necesario </w:t>
      </w:r>
      <w:r w:rsidRPr="00C050D9">
        <w:rPr>
          <w:rFonts w:ascii="Times New Roman" w:hAnsi="Times New Roman" w:cs="Times New Roman"/>
          <w:bCs/>
          <w:sz w:val="28"/>
          <w:szCs w:val="28"/>
        </w:rPr>
        <w:t>fijar tarifas diferenciales para algunos sujetos pasivos del impuesto unificado del régimen simple de tributación, dadas sus especiales condiciones, como lo son los sectores de salud y educación. Al respecto, señaló que en la exposición de motivos de la re</w:t>
      </w:r>
      <w:r w:rsidRPr="00C050D9">
        <w:rPr>
          <w:rFonts w:ascii="Times New Roman" w:hAnsi="Times New Roman" w:cs="Times New Roman"/>
          <w:bCs/>
          <w:sz w:val="28"/>
          <w:szCs w:val="28"/>
        </w:rPr>
        <w:t>forma tributaria se expresó la necesidad de «</w:t>
      </w:r>
      <w:r w:rsidRPr="00C050D9">
        <w:rPr>
          <w:rFonts w:ascii="Times New Roman" w:hAnsi="Times New Roman" w:cs="Times New Roman"/>
          <w:bCs/>
          <w:sz w:val="28"/>
          <w:szCs w:val="28"/>
        </w:rPr>
        <w:t>incluir una tarifa de equilibrio y límite respecto de los ingresos en el impuesto unificado bajo el régimen simple de tributación para las actividades de educación y salud y demás prestadas en ejercicio de profe</w:t>
      </w:r>
      <w:r w:rsidRPr="00C050D9">
        <w:rPr>
          <w:rFonts w:ascii="Times New Roman" w:hAnsi="Times New Roman" w:cs="Times New Roman"/>
          <w:bCs/>
          <w:sz w:val="28"/>
          <w:szCs w:val="28"/>
        </w:rPr>
        <w:t>siones liberales</w:t>
      </w:r>
      <w:r w:rsidRPr="00C050D9">
        <w:rPr>
          <w:rFonts w:ascii="Times New Roman" w:hAnsi="Times New Roman" w:cs="Times New Roman"/>
          <w:bCs/>
          <w:sz w:val="28"/>
          <w:szCs w:val="28"/>
        </w:rPr>
        <w:t xml:space="preserve">». Se refirió al diagnóstico realizado en el proyecto de ley sobre la situación de pobreza extrema en Colombia. Sobre este punto refirió que los ingresos tributarios en Colombia son relativamente bajos en comparación con otros países y que </w:t>
      </w:r>
      <w:r w:rsidRPr="00C050D9">
        <w:rPr>
          <w:rFonts w:ascii="Times New Roman" w:hAnsi="Times New Roman" w:cs="Times New Roman"/>
          <w:bCs/>
          <w:sz w:val="28"/>
          <w:szCs w:val="28"/>
        </w:rPr>
        <w:t xml:space="preserve">la carga tributaria de las compañías no se distribuía equitativamente entre los sectores económicos. </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jc w:val="both"/>
        <w:rPr>
          <w:rFonts w:ascii="Times New Roman" w:hAnsi="Times New Roman" w:cs="Times New Roman"/>
          <w:bCs/>
          <w:sz w:val="28"/>
          <w:szCs w:val="28"/>
        </w:rPr>
      </w:pPr>
      <w:r w:rsidRPr="00C050D9">
        <w:rPr>
          <w:rFonts w:ascii="Times New Roman" w:hAnsi="Times New Roman" w:cs="Times New Roman"/>
          <w:bCs/>
          <w:sz w:val="28"/>
          <w:szCs w:val="28"/>
        </w:rPr>
        <w:t xml:space="preserve">Con base en ello, la Ley 2277 de 2022 pretende garantizar un sistema más eficiente y con mayor equidad horizontal. En el caso del impuesto unificado del </w:t>
      </w:r>
      <w:r w:rsidRPr="00C050D9">
        <w:rPr>
          <w:rFonts w:ascii="Times New Roman" w:hAnsi="Times New Roman" w:cs="Times New Roman"/>
          <w:bCs/>
          <w:sz w:val="28"/>
          <w:szCs w:val="28"/>
        </w:rPr>
        <w:t>régimen simple de tributación, la reforma pretende acelerar los avances en la cobertura de salud y educación con la finalidad de sanar el tejido social deteriorado. Ilustró con una gráfica que «las tarifas de equilibrio del régimen actual buscan una mejora</w:t>
      </w:r>
      <w:r w:rsidRPr="00C050D9">
        <w:rPr>
          <w:rFonts w:ascii="Times New Roman" w:hAnsi="Times New Roman" w:cs="Times New Roman"/>
          <w:bCs/>
          <w:sz w:val="28"/>
          <w:szCs w:val="28"/>
        </w:rPr>
        <w:t xml:space="preserve"> con la creación de un nuevo grupo independiente para las actividades de educación y salud, que tienen una tarifa de equilibrio inferior a las actividades profesionales y administrativas que se ubican actualmente en una misma agrupación». Lo anterior, advi</w:t>
      </w:r>
      <w:r w:rsidRPr="00C050D9">
        <w:rPr>
          <w:rFonts w:ascii="Times New Roman" w:hAnsi="Times New Roman" w:cs="Times New Roman"/>
          <w:bCs/>
          <w:sz w:val="28"/>
          <w:szCs w:val="28"/>
        </w:rPr>
        <w:t>rtió que se trata de medidas encaminadas a priorizar el gasto público social para sectores estratégicos.</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jc w:val="both"/>
        <w:rPr>
          <w:rFonts w:ascii="Times New Roman" w:hAnsi="Times New Roman" w:cs="Times New Roman"/>
          <w:bCs/>
          <w:sz w:val="28"/>
          <w:szCs w:val="28"/>
        </w:rPr>
      </w:pPr>
      <w:r w:rsidRPr="00C050D9">
        <w:rPr>
          <w:rFonts w:ascii="Times New Roman" w:hAnsi="Times New Roman" w:cs="Times New Roman"/>
          <w:bCs/>
          <w:sz w:val="28"/>
          <w:szCs w:val="28"/>
        </w:rPr>
        <w:t>Resaltó que en las Gacetas No. 1358 y 1359 se indicó que se debía adicionar al régimen simple de tributación un grupo de personas que ejercieran activ</w:t>
      </w:r>
      <w:r w:rsidRPr="00C050D9">
        <w:rPr>
          <w:rFonts w:ascii="Times New Roman" w:hAnsi="Times New Roman" w:cs="Times New Roman"/>
          <w:bCs/>
          <w:sz w:val="28"/>
          <w:szCs w:val="28"/>
        </w:rPr>
        <w:t>idades en las que predominara el factor intelectual sobre el material, incluidas las profesiones liberales con unos umbrales y tarifas específicas. Esto, con el objeto de impulsar la formalización y la simplificación en el cumplimiento de obligaciones trib</w:t>
      </w:r>
      <w:r w:rsidRPr="00C050D9">
        <w:rPr>
          <w:rFonts w:ascii="Times New Roman" w:hAnsi="Times New Roman" w:cs="Times New Roman"/>
          <w:bCs/>
          <w:sz w:val="28"/>
          <w:szCs w:val="28"/>
        </w:rPr>
        <w:t xml:space="preserve">utarias. </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jc w:val="both"/>
        <w:rPr>
          <w:rFonts w:ascii="Times New Roman" w:hAnsi="Times New Roman" w:cs="Times New Roman"/>
          <w:bCs/>
          <w:sz w:val="28"/>
          <w:szCs w:val="28"/>
        </w:rPr>
      </w:pPr>
      <w:r w:rsidRPr="00C050D9">
        <w:rPr>
          <w:rFonts w:ascii="Times New Roman" w:hAnsi="Times New Roman" w:cs="Times New Roman"/>
          <w:bCs/>
          <w:sz w:val="28"/>
          <w:szCs w:val="28"/>
        </w:rPr>
        <w:t>Ahora bien. Expresó que una de las modificaciones al régimen simple de tributación fue establecer una limitación en los ingresos de uno de los grupos de sujetos pasivos (aquellos que prestan servicios profesionales de consultoría y científicos).</w:t>
      </w:r>
      <w:r w:rsidRPr="00C050D9">
        <w:rPr>
          <w:rFonts w:ascii="Times New Roman" w:hAnsi="Times New Roman" w:cs="Times New Roman"/>
          <w:bCs/>
          <w:sz w:val="28"/>
          <w:szCs w:val="28"/>
        </w:rPr>
        <w:t xml:space="preserve"> La limitación se fij</w:t>
      </w:r>
      <w:r w:rsidRPr="00C050D9">
        <w:rPr>
          <w:rFonts w:ascii="Times New Roman" w:hAnsi="Times New Roman" w:cs="Times New Roman"/>
          <w:bCs/>
          <w:sz w:val="28"/>
          <w:szCs w:val="28"/>
        </w:rPr>
        <w:t>ó</w:t>
      </w:r>
      <w:r w:rsidRPr="00C050D9">
        <w:rPr>
          <w:rFonts w:ascii="Times New Roman" w:hAnsi="Times New Roman" w:cs="Times New Roman"/>
          <w:bCs/>
          <w:sz w:val="28"/>
          <w:szCs w:val="28"/>
        </w:rPr>
        <w:t xml:space="preserve"> en 12.000 UVT en el año gravable anterior. Otra medida introducida fue la modificación de tarifas y su ajuste al nuevo grupo en los sectores de salud y educación. </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jc w:val="both"/>
        <w:rPr>
          <w:rFonts w:ascii="Times New Roman" w:hAnsi="Times New Roman" w:cs="Times New Roman"/>
          <w:bCs/>
          <w:sz w:val="28"/>
          <w:szCs w:val="28"/>
        </w:rPr>
      </w:pPr>
      <w:r w:rsidRPr="00C050D9">
        <w:rPr>
          <w:rFonts w:ascii="Times New Roman" w:hAnsi="Times New Roman" w:cs="Times New Roman"/>
          <w:bCs/>
          <w:sz w:val="28"/>
          <w:szCs w:val="28"/>
        </w:rPr>
        <w:t xml:space="preserve">En segundo lugar, el legislador cuenta con un amplio margen de </w:t>
      </w:r>
      <w:r w:rsidRPr="00C050D9">
        <w:rPr>
          <w:rFonts w:ascii="Times New Roman" w:hAnsi="Times New Roman" w:cs="Times New Roman"/>
          <w:bCs/>
          <w:sz w:val="28"/>
          <w:szCs w:val="28"/>
        </w:rPr>
        <w:t>configuración legislativa en materia tributaria que le permite fijar tarifas diferentes para “sanar un tejido social quebrantado”. Sobre este asunto, afirmó que el legislador dentro de su amplia facultad «</w:t>
      </w:r>
      <w:r w:rsidRPr="00C050D9">
        <w:rPr>
          <w:rFonts w:ascii="Times New Roman" w:hAnsi="Times New Roman" w:cs="Times New Roman"/>
          <w:bCs/>
          <w:sz w:val="28"/>
          <w:szCs w:val="28"/>
        </w:rPr>
        <w:t>puede distribuir las cargas tributarias como en est</w:t>
      </w:r>
      <w:r w:rsidRPr="00C050D9">
        <w:rPr>
          <w:rFonts w:ascii="Times New Roman" w:hAnsi="Times New Roman" w:cs="Times New Roman"/>
          <w:bCs/>
          <w:sz w:val="28"/>
          <w:szCs w:val="28"/>
        </w:rPr>
        <w:t>e caso, en el Régimen Simple de Tributación con tarifas diferenciales buscando gravar con unas tarifas más altas a quienes prestan servicios en ciertas profesiones liberales y beneficiando más a otras que socialmente le aportan un mayor beneficio al país</w:t>
      </w:r>
      <w:r w:rsidRPr="00C050D9">
        <w:rPr>
          <w:rFonts w:ascii="Times New Roman" w:hAnsi="Times New Roman" w:cs="Times New Roman"/>
          <w:bCs/>
          <w:sz w:val="28"/>
          <w:szCs w:val="28"/>
        </w:rPr>
        <w:t>».</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jc w:val="both"/>
        <w:rPr>
          <w:rFonts w:ascii="Times New Roman" w:hAnsi="Times New Roman" w:cs="Times New Roman"/>
          <w:bCs/>
          <w:sz w:val="28"/>
          <w:szCs w:val="28"/>
        </w:rPr>
      </w:pPr>
      <w:r w:rsidRPr="00C050D9">
        <w:rPr>
          <w:rFonts w:ascii="Times New Roman" w:hAnsi="Times New Roman" w:cs="Times New Roman"/>
          <w:bCs/>
          <w:sz w:val="28"/>
          <w:szCs w:val="28"/>
        </w:rPr>
        <w:t>En tercer lugar, los apartes demandados no vulneran los principios de igualdad, equidad y justicia tributaria, toda vez que cuentan con una justificación constitucional. Para el efecto, el interviniente realizó un juicio de igualdad leve. Sobre el mismo,</w:t>
      </w:r>
      <w:r w:rsidRPr="00C050D9">
        <w:rPr>
          <w:rFonts w:ascii="Times New Roman" w:hAnsi="Times New Roman" w:cs="Times New Roman"/>
          <w:bCs/>
          <w:sz w:val="28"/>
          <w:szCs w:val="28"/>
        </w:rPr>
        <w:t xml:space="preserve"> explicó que existen dos grupos que son asimilables, a saber: </w:t>
      </w:r>
      <w:r w:rsidRPr="00C050D9">
        <w:rPr>
          <w:rFonts w:ascii="Times New Roman" w:hAnsi="Times New Roman" w:cs="Times New Roman"/>
          <w:bCs/>
          <w:sz w:val="28"/>
          <w:szCs w:val="28"/>
        </w:rPr>
        <w:t xml:space="preserve">i) </w:t>
      </w:r>
      <w:r w:rsidRPr="00C050D9">
        <w:rPr>
          <w:rFonts w:ascii="Times New Roman" w:hAnsi="Times New Roman" w:cs="Times New Roman"/>
          <w:bCs/>
          <w:sz w:val="28"/>
          <w:szCs w:val="28"/>
        </w:rPr>
        <w:t>l</w:t>
      </w:r>
      <w:r w:rsidRPr="00C050D9">
        <w:rPr>
          <w:rFonts w:ascii="Times New Roman" w:hAnsi="Times New Roman" w:cs="Times New Roman"/>
          <w:bCs/>
          <w:sz w:val="28"/>
          <w:szCs w:val="28"/>
        </w:rPr>
        <w:t>os que prestan servicios relacionados con la salud humana, educación y asistencia social; y ii) los profesionales de consultoría y científicos en los que predomine el factor intelectual sobr</w:t>
      </w:r>
      <w:r w:rsidRPr="00C050D9">
        <w:rPr>
          <w:rFonts w:ascii="Times New Roman" w:hAnsi="Times New Roman" w:cs="Times New Roman"/>
          <w:bCs/>
          <w:sz w:val="28"/>
          <w:szCs w:val="28"/>
        </w:rPr>
        <w:t>e el material incluidos los servicios de profesiones liberales.</w:t>
      </w:r>
      <w:r w:rsidRPr="00C050D9">
        <w:rPr>
          <w:rFonts w:ascii="Times New Roman" w:hAnsi="Times New Roman" w:cs="Times New Roman"/>
          <w:bCs/>
          <w:sz w:val="28"/>
          <w:szCs w:val="28"/>
        </w:rPr>
        <w:t xml:space="preserve"> Adujo que s</w:t>
      </w:r>
      <w:r w:rsidRPr="00C050D9">
        <w:rPr>
          <w:rFonts w:ascii="Times New Roman" w:hAnsi="Times New Roman" w:cs="Times New Roman"/>
          <w:bCs/>
          <w:sz w:val="28"/>
          <w:szCs w:val="28"/>
        </w:rPr>
        <w:t xml:space="preserve">on sujetos comparables </w:t>
      </w:r>
      <w:r w:rsidRPr="00C050D9">
        <w:rPr>
          <w:rFonts w:ascii="Times New Roman" w:hAnsi="Times New Roman" w:cs="Times New Roman"/>
          <w:bCs/>
          <w:sz w:val="28"/>
          <w:szCs w:val="28"/>
        </w:rPr>
        <w:t>«</w:t>
      </w:r>
      <w:r w:rsidRPr="00C050D9">
        <w:rPr>
          <w:rFonts w:ascii="Times New Roman" w:hAnsi="Times New Roman" w:cs="Times New Roman"/>
          <w:bCs/>
          <w:sz w:val="28"/>
          <w:szCs w:val="28"/>
        </w:rPr>
        <w:t>porque ambos prestan servicios en ejercicio de una profesión liberal donde prima el factor intelectual sobre el material, y eligen voluntariamente acogerse a</w:t>
      </w:r>
      <w:r w:rsidRPr="00C050D9">
        <w:rPr>
          <w:rFonts w:ascii="Times New Roman" w:hAnsi="Times New Roman" w:cs="Times New Roman"/>
          <w:bCs/>
          <w:sz w:val="28"/>
          <w:szCs w:val="28"/>
        </w:rPr>
        <w:t>l régimen simple de tributación</w:t>
      </w:r>
      <w:r w:rsidRPr="00C050D9">
        <w:rPr>
          <w:rFonts w:ascii="Times New Roman" w:hAnsi="Times New Roman" w:cs="Times New Roman"/>
          <w:bCs/>
          <w:sz w:val="28"/>
          <w:szCs w:val="28"/>
        </w:rPr>
        <w:t>».</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jc w:val="both"/>
        <w:rPr>
          <w:rFonts w:ascii="Times New Roman" w:hAnsi="Times New Roman" w:cs="Times New Roman"/>
          <w:bCs/>
          <w:sz w:val="28"/>
          <w:szCs w:val="28"/>
        </w:rPr>
      </w:pPr>
      <w:r w:rsidRPr="00C050D9">
        <w:rPr>
          <w:rFonts w:ascii="Times New Roman" w:hAnsi="Times New Roman" w:cs="Times New Roman"/>
          <w:bCs/>
          <w:sz w:val="28"/>
          <w:szCs w:val="28"/>
        </w:rPr>
        <w:t>Luego, explicó que tanto el monto para acceder al régimen simple de tributación, como las tarifas para cada grupo, son diferentes. En esto radica el trato diferenciado que alegó el demandante. Para la Presidencia de la Re</w:t>
      </w:r>
      <w:r w:rsidRPr="00C050D9">
        <w:rPr>
          <w:rFonts w:ascii="Times New Roman" w:hAnsi="Times New Roman" w:cs="Times New Roman"/>
          <w:bCs/>
          <w:sz w:val="28"/>
          <w:szCs w:val="28"/>
        </w:rPr>
        <w:t xml:space="preserve">pública el trato diferente no es discriminatorio; y en cambio, se encuentra justificado, toda vez que pretende proteger especialmente a los sectores de educación y salud en un régimen tributario voluntario. Lo anterior va de la mano de los fines generales </w:t>
      </w:r>
      <w:r w:rsidRPr="00C050D9">
        <w:rPr>
          <w:rFonts w:ascii="Times New Roman" w:hAnsi="Times New Roman" w:cs="Times New Roman"/>
          <w:bCs/>
          <w:sz w:val="28"/>
          <w:szCs w:val="28"/>
        </w:rPr>
        <w:t xml:space="preserve">de este impuesto unificado y de la necesidad de tomar medidas para sanar el tejido social. En palabras del interviniente: </w:t>
      </w:r>
    </w:p>
    <w:p w:rsidR="00567391" w:rsidRPr="00C050D9" w:rsidRDefault="00C050D9" w:rsidP="00567391">
      <w:pPr>
        <w:spacing w:after="0" w:line="240" w:lineRule="auto"/>
        <w:jc w:val="both"/>
        <w:rPr>
          <w:rFonts w:ascii="Times New Roman" w:hAnsi="Times New Roman" w:cs="Times New Roman"/>
          <w:bCs/>
          <w:sz w:val="28"/>
          <w:szCs w:val="28"/>
        </w:rPr>
      </w:pPr>
    </w:p>
    <w:p w:rsidR="00567391" w:rsidRPr="00C050D9" w:rsidRDefault="00C050D9" w:rsidP="00567391">
      <w:pPr>
        <w:spacing w:after="0" w:line="240" w:lineRule="auto"/>
        <w:ind w:left="851" w:right="618"/>
        <w:jc w:val="both"/>
        <w:rPr>
          <w:rFonts w:ascii="Times New Roman" w:hAnsi="Times New Roman" w:cs="Times New Roman"/>
          <w:bCs/>
          <w:sz w:val="28"/>
          <w:szCs w:val="26"/>
        </w:rPr>
      </w:pPr>
      <w:r w:rsidRPr="00C050D9">
        <w:rPr>
          <w:rFonts w:ascii="Times New Roman" w:hAnsi="Times New Roman" w:cs="Times New Roman"/>
          <w:bCs/>
          <w:sz w:val="28"/>
          <w:szCs w:val="26"/>
        </w:rPr>
        <w:t xml:space="preserve">«En relación con el régimen simple de tributación existen tres finalidades generales: 1) reducir las cargas formales y sustanciales </w:t>
      </w:r>
      <w:r w:rsidRPr="00C050D9">
        <w:rPr>
          <w:rFonts w:ascii="Times New Roman" w:hAnsi="Times New Roman" w:cs="Times New Roman"/>
          <w:bCs/>
          <w:sz w:val="28"/>
          <w:szCs w:val="26"/>
        </w:rPr>
        <w:t>a cargo de los contribuyentes, 2) impulsar la formalidad y evitar la evasión de los tributos; y 3) simplificar y facilitar el cumplimiento de las obligaciones tributarias.</w:t>
      </w:r>
    </w:p>
    <w:p w:rsidR="00567391" w:rsidRPr="00C050D9" w:rsidRDefault="00C050D9" w:rsidP="00567391">
      <w:pPr>
        <w:spacing w:after="0" w:line="240" w:lineRule="auto"/>
        <w:ind w:left="851" w:right="618"/>
        <w:jc w:val="both"/>
        <w:rPr>
          <w:rFonts w:ascii="Times New Roman" w:hAnsi="Times New Roman" w:cs="Times New Roman"/>
          <w:bCs/>
          <w:sz w:val="28"/>
          <w:szCs w:val="26"/>
        </w:rPr>
      </w:pPr>
    </w:p>
    <w:p w:rsidR="00567391" w:rsidRPr="00C050D9" w:rsidRDefault="00C050D9" w:rsidP="00567391">
      <w:pPr>
        <w:spacing w:after="0" w:line="240" w:lineRule="auto"/>
        <w:ind w:left="851" w:right="618"/>
        <w:jc w:val="both"/>
        <w:rPr>
          <w:rFonts w:ascii="Times New Roman" w:hAnsi="Times New Roman" w:cs="Times New Roman"/>
          <w:bCs/>
          <w:sz w:val="28"/>
          <w:szCs w:val="26"/>
        </w:rPr>
      </w:pPr>
      <w:r w:rsidRPr="00C050D9">
        <w:rPr>
          <w:rFonts w:ascii="Times New Roman" w:hAnsi="Times New Roman" w:cs="Times New Roman"/>
          <w:bCs/>
          <w:sz w:val="28"/>
          <w:szCs w:val="26"/>
        </w:rPr>
        <w:t>Los ingresos y las tarifas del impuesto bajo examen no pueden ser iguales porque un</w:t>
      </w:r>
      <w:r w:rsidRPr="00C050D9">
        <w:rPr>
          <w:rFonts w:ascii="Times New Roman" w:hAnsi="Times New Roman" w:cs="Times New Roman"/>
          <w:bCs/>
          <w:sz w:val="28"/>
          <w:szCs w:val="26"/>
        </w:rPr>
        <w:t>o de los sujetos relevantes para la imposición cumple funciones sociales y de acuerdo con la exposición de motivos generales de la ley se busca sanar un tejido social deteriorado, manteniendo y fortaleciendo la educación, la salud y asistencia social, sien</w:t>
      </w:r>
      <w:r w:rsidRPr="00C050D9">
        <w:rPr>
          <w:rFonts w:ascii="Times New Roman" w:hAnsi="Times New Roman" w:cs="Times New Roman"/>
          <w:bCs/>
          <w:sz w:val="28"/>
          <w:szCs w:val="26"/>
        </w:rPr>
        <w:t>do uno de los sujetos comparables quienes contribuyen a dicho fortalecimiento.</w:t>
      </w:r>
    </w:p>
    <w:p w:rsidR="00567391" w:rsidRPr="00C050D9" w:rsidRDefault="00C050D9" w:rsidP="00567391">
      <w:pPr>
        <w:spacing w:after="0" w:line="240" w:lineRule="auto"/>
        <w:ind w:left="851" w:right="618"/>
        <w:jc w:val="both"/>
        <w:rPr>
          <w:rFonts w:ascii="Times New Roman" w:hAnsi="Times New Roman" w:cs="Times New Roman"/>
          <w:bCs/>
          <w:sz w:val="28"/>
          <w:szCs w:val="26"/>
        </w:rPr>
      </w:pPr>
    </w:p>
    <w:p w:rsidR="00567391" w:rsidRPr="00C050D9" w:rsidRDefault="00C050D9" w:rsidP="00567391">
      <w:pPr>
        <w:spacing w:after="0" w:line="240" w:lineRule="auto"/>
        <w:ind w:left="851" w:right="618"/>
        <w:jc w:val="both"/>
        <w:rPr>
          <w:rFonts w:ascii="Times New Roman" w:hAnsi="Times New Roman" w:cs="Times New Roman"/>
          <w:bCs/>
          <w:sz w:val="28"/>
          <w:szCs w:val="26"/>
        </w:rPr>
      </w:pPr>
      <w:r w:rsidRPr="00C050D9">
        <w:rPr>
          <w:rFonts w:ascii="Times New Roman" w:hAnsi="Times New Roman" w:cs="Times New Roman"/>
          <w:bCs/>
          <w:sz w:val="28"/>
          <w:szCs w:val="26"/>
        </w:rPr>
        <w:t>En este orden de ideas, las finalidades de los apartes demandados son constitucionalmente legítimos porque no solo buscan garantizar que todos tributen, sino que, incentiva a l</w:t>
      </w:r>
      <w:r w:rsidRPr="00C050D9">
        <w:rPr>
          <w:rFonts w:ascii="Times New Roman" w:hAnsi="Times New Roman" w:cs="Times New Roman"/>
          <w:bCs/>
          <w:sz w:val="28"/>
          <w:szCs w:val="26"/>
        </w:rPr>
        <w:t xml:space="preserve">as personas que prestan actividades de atención a la salud humana, asistencia social y educación que son independientes y que se encuentran bajo la informalidad a acogerse al modelo de tributación opcional de determinación integral, de declaración anual y </w:t>
      </w:r>
      <w:r w:rsidRPr="00C050D9">
        <w:rPr>
          <w:rFonts w:ascii="Times New Roman" w:hAnsi="Times New Roman" w:cs="Times New Roman"/>
          <w:bCs/>
          <w:sz w:val="28"/>
          <w:szCs w:val="26"/>
        </w:rPr>
        <w:t>anticipo bimestral, que sustituye el impuesto sobre la renta, e integra el impuesto nacional al consumo e impuesto de industria y comercio consolidado. Asimismo, las medidas se orientan a contribuir con el Estado para alcanzar cobertura en aquellos lugares</w:t>
      </w:r>
      <w:r w:rsidRPr="00C050D9">
        <w:rPr>
          <w:rFonts w:ascii="Times New Roman" w:hAnsi="Times New Roman" w:cs="Times New Roman"/>
          <w:bCs/>
          <w:sz w:val="28"/>
          <w:szCs w:val="26"/>
        </w:rPr>
        <w:t xml:space="preserve"> de nuestro país en los que el acceso a la atención en salud, asistencia social y educación es precaria, es decir, a los fines de un Estado Social como propugna nuestra Constitución Política».</w:t>
      </w:r>
    </w:p>
    <w:p w:rsidR="00567391" w:rsidRPr="00C050D9" w:rsidRDefault="00C050D9" w:rsidP="00567391">
      <w:pPr>
        <w:spacing w:after="0" w:line="240" w:lineRule="auto"/>
        <w:ind w:right="618"/>
        <w:jc w:val="both"/>
        <w:rPr>
          <w:rFonts w:ascii="Times New Roman" w:hAnsi="Times New Roman" w:cs="Times New Roman"/>
          <w:bCs/>
          <w:sz w:val="28"/>
          <w:szCs w:val="28"/>
        </w:rPr>
      </w:pPr>
    </w:p>
    <w:p w:rsidR="00567391" w:rsidRPr="00C050D9" w:rsidRDefault="00C050D9" w:rsidP="00567391">
      <w:pPr>
        <w:tabs>
          <w:tab w:val="left" w:pos="7938"/>
          <w:tab w:val="left" w:pos="8222"/>
        </w:tabs>
        <w:spacing w:after="0" w:line="240" w:lineRule="auto"/>
        <w:ind w:right="-142"/>
        <w:jc w:val="both"/>
        <w:rPr>
          <w:rFonts w:ascii="Times New Roman" w:hAnsi="Times New Roman" w:cs="Times New Roman"/>
          <w:bCs/>
          <w:sz w:val="28"/>
          <w:szCs w:val="28"/>
        </w:rPr>
      </w:pPr>
      <w:r w:rsidRPr="00C050D9">
        <w:rPr>
          <w:rFonts w:ascii="Times New Roman" w:hAnsi="Times New Roman" w:cs="Times New Roman"/>
          <w:bCs/>
          <w:sz w:val="28"/>
          <w:szCs w:val="28"/>
        </w:rPr>
        <w:t xml:space="preserve">Del mismo modo, </w:t>
      </w:r>
      <w:r w:rsidRPr="00C050D9">
        <w:rPr>
          <w:rFonts w:ascii="Times New Roman" w:hAnsi="Times New Roman" w:cs="Times New Roman"/>
          <w:bCs/>
          <w:sz w:val="28"/>
          <w:szCs w:val="28"/>
        </w:rPr>
        <w:t>el interviniente explicó que la medida es idónea para alcanzar el fin propuesto, porque las personas independientes que se dedican a los sectores de la salud y educación pueden acogerse a este régimen especial de tributación y formalizarse, así como ser be</w:t>
      </w:r>
      <w:r w:rsidRPr="00C050D9">
        <w:rPr>
          <w:rFonts w:ascii="Times New Roman" w:hAnsi="Times New Roman" w:cs="Times New Roman"/>
          <w:bCs/>
          <w:sz w:val="28"/>
          <w:szCs w:val="28"/>
        </w:rPr>
        <w:t xml:space="preserve">neficiarios de tarifas más favorables que el impuesto sobre la renta, el impuesto al consumo e industria y comercio. Para finalizar, la presidencia de la República advirtió lo siguiente: </w:t>
      </w:r>
    </w:p>
    <w:p w:rsidR="00567391" w:rsidRPr="00C050D9" w:rsidRDefault="00C050D9" w:rsidP="00567391">
      <w:pPr>
        <w:spacing w:after="0" w:line="240" w:lineRule="auto"/>
        <w:ind w:right="618"/>
        <w:jc w:val="both"/>
        <w:rPr>
          <w:rFonts w:ascii="Times New Roman" w:hAnsi="Times New Roman" w:cs="Times New Roman"/>
          <w:bCs/>
          <w:sz w:val="28"/>
          <w:szCs w:val="28"/>
        </w:rPr>
      </w:pPr>
    </w:p>
    <w:p w:rsidR="00567391" w:rsidRPr="00C050D9" w:rsidRDefault="00C050D9" w:rsidP="00567391">
      <w:pPr>
        <w:spacing w:after="0" w:line="240" w:lineRule="auto"/>
        <w:ind w:left="851" w:right="618"/>
        <w:jc w:val="both"/>
        <w:rPr>
          <w:rFonts w:ascii="Times New Roman" w:hAnsi="Times New Roman" w:cs="Times New Roman"/>
          <w:bCs/>
          <w:sz w:val="28"/>
          <w:szCs w:val="26"/>
        </w:rPr>
      </w:pPr>
      <w:r w:rsidRPr="00C050D9">
        <w:rPr>
          <w:rFonts w:ascii="Times New Roman" w:hAnsi="Times New Roman" w:cs="Times New Roman"/>
          <w:bCs/>
          <w:sz w:val="28"/>
          <w:szCs w:val="26"/>
        </w:rPr>
        <w:t>«Por encima del principio de equidad horizontal, hay un principio d</w:t>
      </w:r>
      <w:r w:rsidRPr="00C050D9">
        <w:rPr>
          <w:rFonts w:ascii="Times New Roman" w:hAnsi="Times New Roman" w:cs="Times New Roman"/>
          <w:bCs/>
          <w:sz w:val="28"/>
          <w:szCs w:val="26"/>
        </w:rPr>
        <w:t>e justicia tributaria para el tratamiento de profesionales de la salud humana que así obtengan unos ingresos superiores a los de otras profesiones, estos primeros profesionales no deben ser tratados con la misma carga tributaria como lo determinó el espíri</w:t>
      </w:r>
      <w:r w:rsidRPr="00C050D9">
        <w:rPr>
          <w:rFonts w:ascii="Times New Roman" w:hAnsi="Times New Roman" w:cs="Times New Roman"/>
          <w:bCs/>
          <w:sz w:val="28"/>
          <w:szCs w:val="26"/>
        </w:rPr>
        <w:t>tu del legislador, pues se trata de proteger el derecho fundamental a la salud de los colombianos, promoviendo con estos beneficios el desarrollo en el campo de la salud y a quienes le prestan servicios.</w:t>
      </w:r>
    </w:p>
    <w:p w:rsidR="00567391" w:rsidRPr="00C050D9" w:rsidRDefault="00C050D9" w:rsidP="00567391">
      <w:pPr>
        <w:spacing w:after="0" w:line="240" w:lineRule="auto"/>
        <w:ind w:left="851" w:right="618"/>
        <w:jc w:val="both"/>
        <w:rPr>
          <w:rFonts w:ascii="Times New Roman" w:hAnsi="Times New Roman" w:cs="Times New Roman"/>
          <w:bCs/>
          <w:sz w:val="28"/>
          <w:szCs w:val="26"/>
        </w:rPr>
      </w:pPr>
    </w:p>
    <w:p w:rsidR="00567391" w:rsidRPr="00C050D9" w:rsidRDefault="00C050D9" w:rsidP="00567391">
      <w:pPr>
        <w:spacing w:after="0" w:line="240" w:lineRule="auto"/>
        <w:ind w:left="851" w:right="618"/>
        <w:jc w:val="both"/>
        <w:rPr>
          <w:rFonts w:ascii="Times New Roman" w:hAnsi="Times New Roman" w:cs="Times New Roman"/>
          <w:bCs/>
          <w:sz w:val="28"/>
          <w:szCs w:val="26"/>
        </w:rPr>
      </w:pPr>
      <w:r w:rsidRPr="00C050D9">
        <w:rPr>
          <w:rFonts w:ascii="Times New Roman" w:hAnsi="Times New Roman" w:cs="Times New Roman"/>
          <w:bCs/>
          <w:sz w:val="28"/>
          <w:szCs w:val="26"/>
        </w:rPr>
        <w:t>(…) no hay duda de que el efecto concreto de la med</w:t>
      </w:r>
      <w:r w:rsidRPr="00C050D9">
        <w:rPr>
          <w:rFonts w:ascii="Times New Roman" w:hAnsi="Times New Roman" w:cs="Times New Roman"/>
          <w:bCs/>
          <w:sz w:val="28"/>
          <w:szCs w:val="26"/>
        </w:rPr>
        <w:t>ida, esto es, diferenciar la tarifa y los ingresos para un grupo de profesionales para optar al Régimen Simple de Tributación, busca incentivar la prestación de servicios en desarrollo de actividades para la atención en salud, asistencia social y educación</w:t>
      </w:r>
      <w:r w:rsidRPr="00C050D9">
        <w:rPr>
          <w:rFonts w:ascii="Times New Roman" w:hAnsi="Times New Roman" w:cs="Times New Roman"/>
          <w:bCs/>
          <w:sz w:val="28"/>
          <w:szCs w:val="26"/>
        </w:rPr>
        <w:t>. Además, pretende incrementar la tributación, lo que al final se traduce en mayores ingresos para aumentar el gasto social, promover la justicia tributaria y garantizar el respeto por el Estado Social de Derecho».</w:t>
      </w:r>
    </w:p>
    <w:p w:rsidR="00567391" w:rsidRPr="00C050D9" w:rsidRDefault="00C050D9" w:rsidP="00B806F7">
      <w:pPr>
        <w:spacing w:after="0" w:line="240" w:lineRule="auto"/>
        <w:jc w:val="both"/>
        <w:rPr>
          <w:rFonts w:ascii="Times New Roman" w:hAnsi="Times New Roman" w:cs="Times New Roman"/>
          <w:sz w:val="28"/>
          <w:szCs w:val="28"/>
        </w:rPr>
      </w:pPr>
    </w:p>
    <w:sectPr w:rsidR="00567391" w:rsidRPr="00C050D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050D9">
      <w:pPr>
        <w:spacing w:after="0" w:line="240" w:lineRule="auto"/>
      </w:pPr>
      <w:r>
        <w:separator/>
      </w:r>
    </w:p>
  </w:endnote>
  <w:endnote w:type="continuationSeparator" w:id="0">
    <w:p w:rsidR="00000000" w:rsidRDefault="00C05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050D9">
      <w:pPr>
        <w:spacing w:after="0" w:line="240" w:lineRule="auto"/>
      </w:pPr>
      <w:r>
        <w:separator/>
      </w:r>
    </w:p>
  </w:footnote>
  <w:footnote w:type="continuationSeparator" w:id="0">
    <w:p w:rsidR="00000000" w:rsidRDefault="00C050D9">
      <w:pPr>
        <w:spacing w:after="0" w:line="240" w:lineRule="auto"/>
      </w:pPr>
      <w:r>
        <w:continuationSeparator/>
      </w:r>
    </w:p>
  </w:footnote>
  <w:footnote w:id="1">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Fue remitido al despacho por la Secretaría General el 27 de marzo de 2023. </w:t>
      </w:r>
    </w:p>
  </w:footnote>
  <w:footnote w:id="2">
    <w:p w:rsidR="0024742E" w:rsidRPr="009A2B3C" w:rsidRDefault="00C050D9" w:rsidP="009A2B3C">
      <w:pPr>
        <w:pStyle w:val="Textonotapie"/>
        <w:jc w:val="both"/>
        <w:rPr>
          <w:rFonts w:ascii="Times New Roman" w:hAnsi="Times New Roman" w:cs="Times New Roman"/>
          <w:sz w:val="22"/>
          <w:szCs w:val="22"/>
          <w:lang w:val="es-E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w:t>
      </w:r>
      <w:hyperlink r:id="rId1" w:history="1">
        <w:r w:rsidRPr="009A2B3C">
          <w:rPr>
            <w:rStyle w:val="Hipervnculo"/>
            <w:rFonts w:ascii="Times New Roman" w:hAnsi="Times New Roman" w:cs="Times New Roman"/>
            <w:sz w:val="22"/>
            <w:szCs w:val="22"/>
          </w:rPr>
          <w:t>https://www.corteconstitucional.gov.co/secretaria/archivo.php?id=55457</w:t>
        </w:r>
      </w:hyperlink>
      <w:r w:rsidRPr="009A2B3C">
        <w:rPr>
          <w:rFonts w:ascii="Times New Roman" w:hAnsi="Times New Roman" w:cs="Times New Roman"/>
          <w:sz w:val="22"/>
          <w:szCs w:val="22"/>
        </w:rPr>
        <w:t xml:space="preserve"> </w:t>
      </w:r>
    </w:p>
  </w:footnote>
  <w:footnote w:id="3">
    <w:p w:rsidR="0024742E" w:rsidRPr="009A2B3C" w:rsidRDefault="00C050D9" w:rsidP="009A2B3C">
      <w:pPr>
        <w:pStyle w:val="Textonotapie"/>
        <w:jc w:val="both"/>
        <w:rPr>
          <w:rFonts w:ascii="Times New Roman" w:hAnsi="Times New Roman" w:cs="Times New Roman"/>
          <w:sz w:val="22"/>
          <w:szCs w:val="22"/>
          <w:lang w:val="es-E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w:t>
      </w:r>
      <w:hyperlink r:id="rId2" w:history="1">
        <w:r w:rsidRPr="009A2B3C">
          <w:rPr>
            <w:rStyle w:val="Hipervnculo"/>
            <w:rFonts w:ascii="Times New Roman" w:hAnsi="Times New Roman" w:cs="Times New Roman"/>
            <w:sz w:val="22"/>
            <w:szCs w:val="22"/>
          </w:rPr>
          <w:t>https://www.corteconstitucional.gov.co/secretaria/archivo.php?id=55458</w:t>
        </w:r>
      </w:hyperlink>
      <w:r w:rsidRPr="009A2B3C">
        <w:rPr>
          <w:rFonts w:ascii="Times New Roman" w:hAnsi="Times New Roman" w:cs="Times New Roman"/>
          <w:sz w:val="22"/>
          <w:szCs w:val="22"/>
        </w:rPr>
        <w:t xml:space="preserve"> </w:t>
      </w:r>
    </w:p>
  </w:footnote>
  <w:footnote w:id="4">
    <w:p w:rsidR="0024742E" w:rsidRPr="009A2B3C" w:rsidRDefault="00C050D9" w:rsidP="009A2B3C">
      <w:pPr>
        <w:pStyle w:val="Textonotapie"/>
        <w:jc w:val="both"/>
        <w:rPr>
          <w:rFonts w:ascii="Times New Roman" w:hAnsi="Times New Roman" w:cs="Times New Roman"/>
          <w:sz w:val="22"/>
          <w:szCs w:val="22"/>
          <w:lang w:val="es-E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w:t>
      </w:r>
      <w:r w:rsidRPr="009A2B3C">
        <w:rPr>
          <w:rFonts w:ascii="Times New Roman" w:hAnsi="Times New Roman" w:cs="Times New Roman"/>
          <w:sz w:val="22"/>
          <w:szCs w:val="22"/>
          <w:lang w:val="es-ES"/>
        </w:rPr>
        <w:t xml:space="preserve">Expediente digital. Escrito de la demanda, folio 12. </w:t>
      </w:r>
    </w:p>
  </w:footnote>
  <w:footnote w:id="5">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Expediente digital. Corrección de la dema</w:t>
      </w:r>
      <w:r w:rsidRPr="009A2B3C">
        <w:rPr>
          <w:rFonts w:ascii="Times New Roman" w:hAnsi="Times New Roman" w:cs="Times New Roman"/>
          <w:sz w:val="22"/>
          <w:szCs w:val="22"/>
        </w:rPr>
        <w:t xml:space="preserve">nda, folio 7. </w:t>
      </w:r>
    </w:p>
  </w:footnote>
  <w:footnote w:id="6">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Expediente digital. Corrección de la demanda, folio 9. </w:t>
      </w:r>
    </w:p>
  </w:footnote>
  <w:footnote w:id="7">
    <w:p w:rsidR="0024742E" w:rsidRPr="009A2B3C" w:rsidRDefault="00C050D9" w:rsidP="009A2B3C">
      <w:pPr>
        <w:pStyle w:val="Textonotapie"/>
        <w:jc w:val="both"/>
        <w:rPr>
          <w:rFonts w:ascii="Times New Roman" w:hAnsi="Times New Roman" w:cs="Times New Roman"/>
          <w:sz w:val="22"/>
          <w:szCs w:val="22"/>
          <w:lang w:val="es-E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w:t>
      </w:r>
      <w:r w:rsidRPr="009A2B3C">
        <w:rPr>
          <w:rFonts w:ascii="Times New Roman" w:hAnsi="Times New Roman" w:cs="Times New Roman"/>
          <w:sz w:val="22"/>
          <w:szCs w:val="22"/>
          <w:lang w:val="es-ES"/>
        </w:rPr>
        <w:t>Expediente digital. Escrito de la demanda, folio 19.</w:t>
      </w:r>
    </w:p>
  </w:footnote>
  <w:footnote w:id="8">
    <w:p w:rsidR="0024742E" w:rsidRPr="009A2B3C" w:rsidRDefault="00C050D9" w:rsidP="009A2B3C">
      <w:pPr>
        <w:pStyle w:val="Textonotapie"/>
        <w:jc w:val="both"/>
        <w:rPr>
          <w:rFonts w:ascii="Times New Roman" w:hAnsi="Times New Roman" w:cs="Times New Roman"/>
          <w:sz w:val="22"/>
          <w:szCs w:val="22"/>
          <w:lang w:val="es-E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w:t>
      </w:r>
      <w:r w:rsidRPr="009A2B3C">
        <w:rPr>
          <w:rFonts w:ascii="Times New Roman" w:hAnsi="Times New Roman" w:cs="Times New Roman"/>
          <w:sz w:val="22"/>
          <w:szCs w:val="22"/>
          <w:lang w:val="es-ES"/>
        </w:rPr>
        <w:t>(i) tiendas pequeñas, minimercados, micromercados y peluquería; (ii) actividades comerciales al por mayor y detal, servicios t</w:t>
      </w:r>
      <w:r w:rsidRPr="009A2B3C">
        <w:rPr>
          <w:rFonts w:ascii="Times New Roman" w:hAnsi="Times New Roman" w:cs="Times New Roman"/>
          <w:sz w:val="22"/>
          <w:szCs w:val="22"/>
          <w:lang w:val="es-ES"/>
        </w:rPr>
        <w:t>écnicos y mecánicos en los que predomina el factor material sobre el intelectual, los electricistas, los albañiles, los servicios de construcción y los talleres mecánicos de vehículos y electrodomésticos, actividades industriales, incluidas las de agroindu</w:t>
      </w:r>
      <w:r w:rsidRPr="009A2B3C">
        <w:rPr>
          <w:rFonts w:ascii="Times New Roman" w:hAnsi="Times New Roman" w:cs="Times New Roman"/>
          <w:sz w:val="22"/>
          <w:szCs w:val="22"/>
          <w:lang w:val="es-ES"/>
        </w:rPr>
        <w:t>stria, mini industria y micro industria, actividades de telecomunicaciones y las demás actividades no incluidas en los siguientes numerales; (iii) actividades de expendio de comidas y bebidas, y actividades de transporte; (iv) servicios profesionales de co</w:t>
      </w:r>
      <w:r w:rsidRPr="009A2B3C">
        <w:rPr>
          <w:rFonts w:ascii="Times New Roman" w:hAnsi="Times New Roman" w:cs="Times New Roman"/>
          <w:sz w:val="22"/>
          <w:szCs w:val="22"/>
          <w:lang w:val="es-ES"/>
        </w:rPr>
        <w:t xml:space="preserve">nsultoría y científicos en los que predomine el factor intelectual sobre el material, incluidos los servicios profesionales liberales. (Ley 2010 de 2019).  </w:t>
      </w:r>
    </w:p>
  </w:footnote>
  <w:footnote w:id="9">
    <w:p w:rsidR="0024742E" w:rsidRPr="009A2B3C" w:rsidRDefault="00C050D9" w:rsidP="009A2B3C">
      <w:pPr>
        <w:pStyle w:val="Textonotapie"/>
        <w:jc w:val="both"/>
        <w:rPr>
          <w:rFonts w:ascii="Times New Roman" w:hAnsi="Times New Roman" w:cs="Times New Roman"/>
          <w:sz w:val="22"/>
          <w:szCs w:val="22"/>
          <w:lang w:val="es-E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w:t>
      </w:r>
      <w:r w:rsidRPr="009A2B3C">
        <w:rPr>
          <w:rFonts w:ascii="Times New Roman" w:hAnsi="Times New Roman" w:cs="Times New Roman"/>
          <w:sz w:val="22"/>
          <w:szCs w:val="22"/>
          <w:lang w:val="es-ES"/>
        </w:rPr>
        <w:t xml:space="preserve">Expediente digital. Escrito de la demanda, folio 20. </w:t>
      </w:r>
    </w:p>
  </w:footnote>
  <w:footnote w:id="10">
    <w:p w:rsidR="0024742E" w:rsidRPr="009A2B3C" w:rsidRDefault="00C050D9" w:rsidP="009A2B3C">
      <w:pPr>
        <w:pStyle w:val="Textonotapie"/>
        <w:jc w:val="both"/>
        <w:rPr>
          <w:rFonts w:ascii="Times New Roman" w:hAnsi="Times New Roman" w:cs="Times New Roman"/>
          <w:sz w:val="22"/>
          <w:szCs w:val="22"/>
          <w:lang w:val="es-E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w:t>
      </w:r>
      <w:r w:rsidRPr="009A2B3C">
        <w:rPr>
          <w:rFonts w:ascii="Times New Roman" w:hAnsi="Times New Roman" w:cs="Times New Roman"/>
          <w:sz w:val="22"/>
          <w:szCs w:val="22"/>
          <w:lang w:val="es-ES"/>
        </w:rPr>
        <w:t>Expediente digital. Escrito de la demanda</w:t>
      </w:r>
      <w:r w:rsidRPr="009A2B3C">
        <w:rPr>
          <w:rFonts w:ascii="Times New Roman" w:hAnsi="Times New Roman" w:cs="Times New Roman"/>
          <w:sz w:val="22"/>
          <w:szCs w:val="22"/>
          <w:lang w:val="es-ES"/>
        </w:rPr>
        <w:t xml:space="preserve">, folio 21. “Concepto General sobre el Régimen Simple de Tributación – SIMPLE”. </w:t>
      </w:r>
    </w:p>
  </w:footnote>
  <w:footnote w:id="11">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Expediente digital. Escrito de la demanda, folio 24. </w:t>
      </w:r>
    </w:p>
  </w:footnote>
  <w:footnote w:id="12">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Expediente digital. Escrito de la demanda, folio 25. </w:t>
      </w:r>
    </w:p>
  </w:footnote>
  <w:footnote w:id="13">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Expediente digital. Escrito de la demanda, folio 27. </w:t>
      </w:r>
    </w:p>
  </w:footnote>
  <w:footnote w:id="14">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w:t>
      </w:r>
      <w:r w:rsidRPr="009A2B3C">
        <w:rPr>
          <w:rFonts w:ascii="Times New Roman" w:hAnsi="Times New Roman" w:cs="Times New Roman"/>
          <w:sz w:val="22"/>
          <w:szCs w:val="22"/>
        </w:rPr>
        <w:t>ncia C-774 de 2001, reiterada, entre otras, en las Sentencias C-871 de 2003, C-1122 de 2004, C-647 de 2006, C-181 de 2010, C-979 de 2010, C-818 de 2012, C-259 de 2015, C-182 de 2016, C-312 de 2017, C-028 de 2018, C-473 de 2020 y C-147 de 2022.</w:t>
      </w:r>
    </w:p>
  </w:footnote>
  <w:footnote w:id="15">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w:t>
      </w:r>
      <w:r w:rsidRPr="009A2B3C">
        <w:rPr>
          <w:rFonts w:ascii="Times New Roman" w:hAnsi="Times New Roman" w:cs="Times New Roman"/>
          <w:sz w:val="22"/>
          <w:szCs w:val="22"/>
        </w:rPr>
        <w:t>C-587 de 2014.</w:t>
      </w:r>
    </w:p>
  </w:footnote>
  <w:footnote w:id="16">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C-312 de 2017.</w:t>
      </w:r>
    </w:p>
  </w:footnote>
  <w:footnote w:id="17">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C-720 de 2007.</w:t>
      </w:r>
    </w:p>
  </w:footnote>
  <w:footnote w:id="18">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C-689 de 2017, reiterada en las Sentencias C-095 de 2019 y C-023 de 2020.</w:t>
      </w:r>
    </w:p>
  </w:footnote>
  <w:footnote w:id="19">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C-744 de 2015, reiterada en la Sentencia </w:t>
      </w:r>
      <w:r w:rsidRPr="009A2B3C">
        <w:rPr>
          <w:rFonts w:ascii="Times New Roman" w:hAnsi="Times New Roman" w:cs="Times New Roman"/>
          <w:sz w:val="22"/>
          <w:szCs w:val="22"/>
          <w:shd w:val="clear" w:color="auto" w:fill="FFFFFF"/>
        </w:rPr>
        <w:t>C-008 de 2017.</w:t>
      </w:r>
    </w:p>
  </w:footnote>
  <w:footnote w:id="20">
    <w:p w:rsidR="0024742E" w:rsidRPr="009A2B3C" w:rsidRDefault="00C050D9" w:rsidP="009A2B3C">
      <w:pPr>
        <w:pStyle w:val="Textonotapie"/>
        <w:jc w:val="both"/>
        <w:rPr>
          <w:rFonts w:ascii="Times New Roman" w:hAnsi="Times New Roman" w:cs="Times New Roman"/>
          <w:sz w:val="22"/>
          <w:szCs w:val="22"/>
          <w14:cntxtAlts/>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sentencias </w:t>
      </w:r>
      <w:r w:rsidRPr="009A2B3C">
        <w:rPr>
          <w:rFonts w:ascii="Times New Roman" w:hAnsi="Times New Roman" w:cs="Times New Roman"/>
          <w:sz w:val="22"/>
          <w:szCs w:val="22"/>
          <w14:cntxtAlts/>
        </w:rPr>
        <w:t xml:space="preserve">C-337 de 2021 (MP Jorge Enrique Ibáñez Najar; AV Antonio José Lizarazo Ocampo) y C-112 de 2022 (MP Jorge Enrique Ibáñez Najar; SV Antonio José Lizarazo Ocampo; SV José Fernando Reyes Cuartas). </w:t>
      </w:r>
    </w:p>
  </w:footnote>
  <w:footnote w:id="21">
    <w:p w:rsidR="0024742E" w:rsidRPr="009A2B3C" w:rsidRDefault="00C050D9" w:rsidP="009A2B3C">
      <w:pPr>
        <w:pStyle w:val="Textonotapie"/>
        <w:jc w:val="both"/>
        <w:rPr>
          <w:rFonts w:ascii="Times New Roman" w:hAnsi="Times New Roman" w:cs="Times New Roman"/>
          <w:sz w:val="22"/>
          <w:szCs w:val="22"/>
        </w:rPr>
      </w:pPr>
      <w:r w:rsidRPr="009A2B3C">
        <w:rPr>
          <w:rFonts w:ascii="Times New Roman" w:hAnsi="Times New Roman" w:cs="Times New Roman"/>
          <w:sz w:val="22"/>
          <w:szCs w:val="22"/>
          <w:vertAlign w:val="superscript"/>
        </w:rPr>
        <w:footnoteRef/>
      </w:r>
      <w:r w:rsidRPr="009A2B3C">
        <w:rPr>
          <w:rFonts w:ascii="Times New Roman" w:hAnsi="Times New Roman" w:cs="Times New Roman"/>
          <w:sz w:val="22"/>
          <w:szCs w:val="22"/>
        </w:rPr>
        <w:t xml:space="preserve"> Corte Constitucional, sent</w:t>
      </w:r>
      <w:r w:rsidRPr="009A2B3C">
        <w:rPr>
          <w:rFonts w:ascii="Times New Roman" w:hAnsi="Times New Roman" w:cs="Times New Roman"/>
          <w:sz w:val="22"/>
          <w:szCs w:val="22"/>
        </w:rPr>
        <w:t xml:space="preserve">encia C-007 de 2016. Citada en sentencia C-008 de 2023 (MP Jorge Enrique Ibáñez Najar). </w:t>
      </w:r>
    </w:p>
  </w:footnote>
  <w:footnote w:id="22">
    <w:p w:rsidR="0024742E" w:rsidRPr="009A2B3C" w:rsidRDefault="00C050D9" w:rsidP="009A2B3C">
      <w:pPr>
        <w:pStyle w:val="Textonotapie"/>
        <w:jc w:val="both"/>
        <w:rPr>
          <w:rFonts w:ascii="Times New Roman" w:hAnsi="Times New Roman" w:cs="Times New Roman"/>
          <w:sz w:val="22"/>
          <w:szCs w:val="22"/>
        </w:rPr>
      </w:pPr>
      <w:r w:rsidRPr="009A2B3C">
        <w:rPr>
          <w:rFonts w:ascii="Times New Roman" w:hAnsi="Times New Roman" w:cs="Times New Roman"/>
          <w:sz w:val="22"/>
          <w:szCs w:val="22"/>
          <w:vertAlign w:val="superscript"/>
        </w:rPr>
        <w:footnoteRef/>
      </w:r>
      <w:r w:rsidRPr="009A2B3C">
        <w:rPr>
          <w:rFonts w:ascii="Times New Roman" w:hAnsi="Times New Roman" w:cs="Times New Roman"/>
          <w:sz w:val="22"/>
          <w:szCs w:val="22"/>
        </w:rPr>
        <w:t xml:space="preserve"> “</w:t>
      </w:r>
      <w:r w:rsidRPr="009A2B3C">
        <w:rPr>
          <w:rFonts w:ascii="Times New Roman" w:hAnsi="Times New Roman" w:cs="Times New Roman"/>
          <w:i/>
          <w:iCs/>
          <w:sz w:val="22"/>
          <w:szCs w:val="22"/>
          <w:lang w:val="es-ES"/>
        </w:rPr>
        <w:t>Cfr.</w:t>
      </w:r>
      <w:r w:rsidRPr="009A2B3C">
        <w:rPr>
          <w:rFonts w:ascii="Times New Roman" w:hAnsi="Times New Roman" w:cs="Times New Roman"/>
          <w:sz w:val="22"/>
          <w:szCs w:val="22"/>
          <w:lang w:val="es-ES"/>
        </w:rPr>
        <w:t xml:space="preserve"> </w:t>
      </w:r>
      <w:r w:rsidRPr="009A2B3C">
        <w:rPr>
          <w:rFonts w:ascii="Times New Roman" w:hAnsi="Times New Roman" w:cs="Times New Roman"/>
          <w:sz w:val="22"/>
          <w:szCs w:val="22"/>
        </w:rPr>
        <w:t>Corte Constitucional, Sentencias</w:t>
      </w:r>
      <w:r w:rsidRPr="009A2B3C">
        <w:rPr>
          <w:rFonts w:ascii="Times New Roman" w:hAnsi="Times New Roman" w:cs="Times New Roman"/>
          <w:sz w:val="22"/>
          <w:szCs w:val="22"/>
          <w:lang w:val="es-ES_tradnl"/>
        </w:rPr>
        <w:t xml:space="preserve"> C-397 de 1995, C-700 de 1999, C-925 de 2000 y C-157 de 2002”. </w:t>
      </w:r>
    </w:p>
  </w:footnote>
  <w:footnote w:id="23">
    <w:p w:rsidR="0024742E" w:rsidRPr="009A2B3C" w:rsidRDefault="00C050D9" w:rsidP="009A2B3C">
      <w:pPr>
        <w:pStyle w:val="Textonotapie"/>
        <w:jc w:val="both"/>
        <w:rPr>
          <w:rFonts w:ascii="Times New Roman" w:hAnsi="Times New Roman" w:cs="Times New Roman"/>
          <w:sz w:val="22"/>
          <w:szCs w:val="22"/>
        </w:rPr>
      </w:pPr>
      <w:r w:rsidRPr="009A2B3C">
        <w:rPr>
          <w:rFonts w:ascii="Times New Roman" w:hAnsi="Times New Roman" w:cs="Times New Roman"/>
          <w:sz w:val="22"/>
          <w:szCs w:val="22"/>
          <w:vertAlign w:val="superscript"/>
        </w:rPr>
        <w:footnoteRef/>
      </w:r>
      <w:r w:rsidRPr="009A2B3C">
        <w:rPr>
          <w:rFonts w:ascii="Times New Roman" w:hAnsi="Times New Roman" w:cs="Times New Roman"/>
          <w:sz w:val="22"/>
          <w:szCs w:val="22"/>
        </w:rPr>
        <w:t xml:space="preserve"> Corte Constitucional, sentencia C-008 de 2023 (MP Jorge Enriq</w:t>
      </w:r>
      <w:r w:rsidRPr="009A2B3C">
        <w:rPr>
          <w:rFonts w:ascii="Times New Roman" w:hAnsi="Times New Roman" w:cs="Times New Roman"/>
          <w:sz w:val="22"/>
          <w:szCs w:val="22"/>
        </w:rPr>
        <w:t xml:space="preserve">ue Ibáñez Najar). </w:t>
      </w:r>
    </w:p>
  </w:footnote>
  <w:footnote w:id="24">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C-064 de 2018.</w:t>
      </w:r>
    </w:p>
  </w:footnote>
  <w:footnote w:id="25">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C-039 de 2021.</w:t>
      </w:r>
    </w:p>
  </w:footnote>
  <w:footnote w:id="26">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C-192 de 2021.</w:t>
      </w:r>
    </w:p>
  </w:footnote>
  <w:footnote w:id="27">
    <w:p w:rsidR="0024742E" w:rsidRPr="009A2B3C" w:rsidRDefault="00C050D9" w:rsidP="009A2B3C">
      <w:pPr>
        <w:pStyle w:val="Textonotapie"/>
        <w:jc w:val="both"/>
        <w:rPr>
          <w:rFonts w:ascii="Times New Roman" w:hAnsi="Times New Roman" w:cs="Times New Roman"/>
          <w:sz w:val="22"/>
          <w:szCs w:val="22"/>
          <w:lang w:val="es-ES_tradnl"/>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C-516 de 2016. Al respecto, en la Sentencia C-245 de 2009, la Sala Plena argumentó: «El principio de cosa juzgada constitucional absoluta cobra </w:t>
      </w:r>
      <w:r w:rsidRPr="009A2B3C">
        <w:rPr>
          <w:rFonts w:ascii="Times New Roman" w:hAnsi="Times New Roman" w:cs="Times New Roman"/>
          <w:sz w:val="22"/>
          <w:szCs w:val="22"/>
        </w:rPr>
        <w:t>mayor relevancia cuando se trata de decisiones de inexequibilidad, por cuanto en estos casos las normas analizadas y encontradas contrarias a la Carta […] son expulsadas del ordenamiento jurídico, no pudiendo sobre ellas volver a presentarse demanda de inc</w:t>
      </w:r>
      <w:r w:rsidRPr="009A2B3C">
        <w:rPr>
          <w:rFonts w:ascii="Times New Roman" w:hAnsi="Times New Roman" w:cs="Times New Roman"/>
          <w:sz w:val="22"/>
          <w:szCs w:val="22"/>
        </w:rPr>
        <w:t>onstitucionalidad o ser objeto de nueva discusión o debate. Lo anterior, máxime si se trata de una declaración de inexequibilidad de la totalidad del precepto demandado o de la totalidad de los preceptos contenidos en una ley. En tales casos, independiente</w:t>
      </w:r>
      <w:r w:rsidRPr="009A2B3C">
        <w:rPr>
          <w:rFonts w:ascii="Times New Roman" w:hAnsi="Times New Roman" w:cs="Times New Roman"/>
          <w:sz w:val="22"/>
          <w:szCs w:val="22"/>
        </w:rPr>
        <w:t>mente de los cargos, razones y motivos que hayan llevado a su declaración de inconstitucionalidad, no es posible emprender un nuevo análisis por cuanto tales normas han dejado de existir en el mundo jurídico». Esta misma postura ha sido acogida en las Sent</w:t>
      </w:r>
      <w:r w:rsidRPr="009A2B3C">
        <w:rPr>
          <w:rFonts w:ascii="Times New Roman" w:hAnsi="Times New Roman" w:cs="Times New Roman"/>
          <w:sz w:val="22"/>
          <w:szCs w:val="22"/>
        </w:rPr>
        <w:t>encias C-007 de 2016 y C-255 de 2014, entre otras.</w:t>
      </w:r>
    </w:p>
  </w:footnote>
  <w:footnote w:id="28">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C-147 de 2022.</w:t>
      </w:r>
    </w:p>
  </w:footnote>
  <w:footnote w:id="29">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C-287 de 2014.</w:t>
      </w:r>
    </w:p>
  </w:footnote>
  <w:footnote w:id="30">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C-191 de 2017.</w:t>
      </w:r>
    </w:p>
  </w:footnote>
  <w:footnote w:id="31">
    <w:p w:rsidR="0024742E" w:rsidRPr="009A2B3C" w:rsidRDefault="00C050D9" w:rsidP="009A2B3C">
      <w:pPr>
        <w:pStyle w:val="Textonotapie"/>
        <w:jc w:val="both"/>
        <w:rPr>
          <w:rFonts w:ascii="Times New Roman" w:hAnsi="Times New Roman" w:cs="Times New Roman"/>
          <w:sz w:val="22"/>
          <w:szCs w:val="22"/>
        </w:rPr>
      </w:pPr>
      <w:r w:rsidRPr="009A2B3C">
        <w:rPr>
          <w:rFonts w:ascii="Times New Roman" w:hAnsi="Times New Roman" w:cs="Times New Roman"/>
          <w:color w:val="000000" w:themeColor="text1"/>
          <w:sz w:val="22"/>
          <w:szCs w:val="22"/>
          <w:vertAlign w:val="superscript"/>
        </w:rPr>
        <w:footnoteRef/>
      </w:r>
      <w:r w:rsidRPr="009A2B3C">
        <w:rPr>
          <w:rFonts w:ascii="Times New Roman" w:hAnsi="Times New Roman" w:cs="Times New Roman"/>
          <w:color w:val="000000" w:themeColor="text1"/>
          <w:sz w:val="22"/>
          <w:szCs w:val="22"/>
        </w:rPr>
        <w:t xml:space="preserve"> Sentencia C-460 de 2008.</w:t>
      </w:r>
    </w:p>
  </w:footnote>
  <w:footnote w:id="32">
    <w:p w:rsidR="0024742E" w:rsidRPr="009A2B3C" w:rsidRDefault="00C050D9" w:rsidP="009A2B3C">
      <w:pPr>
        <w:pStyle w:val="Textonotapie"/>
        <w:jc w:val="both"/>
        <w:rPr>
          <w:rFonts w:ascii="Times New Roman" w:hAnsi="Times New Roman" w:cs="Times New Roman"/>
          <w:sz w:val="22"/>
          <w:szCs w:val="22"/>
        </w:rPr>
      </w:pPr>
      <w:r w:rsidRPr="009A2B3C">
        <w:rPr>
          <w:rFonts w:ascii="Times New Roman" w:hAnsi="Times New Roman" w:cs="Times New Roman"/>
          <w:sz w:val="22"/>
          <w:szCs w:val="22"/>
          <w:vertAlign w:val="superscript"/>
        </w:rPr>
        <w:footnoteRef/>
      </w:r>
      <w:r w:rsidRPr="009A2B3C">
        <w:rPr>
          <w:rFonts w:ascii="Times New Roman" w:hAnsi="Times New Roman" w:cs="Times New Roman"/>
          <w:sz w:val="22"/>
          <w:szCs w:val="22"/>
        </w:rPr>
        <w:t xml:space="preserve"> En la Sentencia C-774 de 2001. «El concepto de ‘Constitución viviente’ puede significar que en un momento dado, a la luz de los cambios económicos, sociales, políticos, e incluso ideológicos y culturales de una comunidad, no resulte sostenible, a la luz d</w:t>
      </w:r>
      <w:r w:rsidRPr="009A2B3C">
        <w:rPr>
          <w:rFonts w:ascii="Times New Roman" w:hAnsi="Times New Roman" w:cs="Times New Roman"/>
          <w:sz w:val="22"/>
          <w:szCs w:val="22"/>
        </w:rPr>
        <w:t>e la Constitución, -que es expresión, precisamente, en sus contenidos normativos y valorativos, de esas realidades- un pronunciamiento que la Corte haya hecho en el pasado, con fundamento en significaciones constitucionales materialmente diferentes a aquel</w:t>
      </w:r>
      <w:r w:rsidRPr="009A2B3C">
        <w:rPr>
          <w:rFonts w:ascii="Times New Roman" w:hAnsi="Times New Roman" w:cs="Times New Roman"/>
          <w:sz w:val="22"/>
          <w:szCs w:val="22"/>
        </w:rPr>
        <w:t>las que ahora deben regir el juicio de Constitucionalidad de una determinada norma».</w:t>
      </w:r>
    </w:p>
  </w:footnote>
  <w:footnote w:id="33">
    <w:p w:rsidR="0024742E" w:rsidRPr="009A2B3C" w:rsidRDefault="00C050D9" w:rsidP="009A2B3C">
      <w:pPr>
        <w:pStyle w:val="Textonotapie"/>
        <w:jc w:val="both"/>
        <w:rPr>
          <w:rFonts w:ascii="Times New Roman" w:hAnsi="Times New Roman" w:cs="Times New Roman"/>
          <w:sz w:val="22"/>
          <w:szCs w:val="22"/>
        </w:rPr>
      </w:pPr>
      <w:r w:rsidRPr="009A2B3C">
        <w:rPr>
          <w:rFonts w:ascii="Times New Roman" w:hAnsi="Times New Roman" w:cs="Times New Roman"/>
          <w:sz w:val="22"/>
          <w:szCs w:val="22"/>
          <w:vertAlign w:val="superscript"/>
        </w:rPr>
        <w:footnoteRef/>
      </w:r>
      <w:r w:rsidRPr="009A2B3C">
        <w:rPr>
          <w:rFonts w:ascii="Times New Roman" w:hAnsi="Times New Roman" w:cs="Times New Roman"/>
          <w:sz w:val="22"/>
          <w:szCs w:val="22"/>
        </w:rPr>
        <w:t xml:space="preserve"> Sentencia C-228 de 2002. Cfr. Sentencia C-533 de 2019. «</w:t>
      </w:r>
      <w:r w:rsidRPr="009A2B3C">
        <w:rPr>
          <w:rFonts w:ascii="Times New Roman" w:hAnsi="Times New Roman" w:cs="Times New Roman"/>
          <w:sz w:val="22"/>
          <w:szCs w:val="22"/>
          <w:bdr w:val="none" w:sz="0" w:space="0" w:color="auto" w:frame="1"/>
          <w:lang w:eastAsia="es-CO"/>
        </w:rPr>
        <w:t>Dado que la producción normativa se inscribe en contextos específicos, puede suceder que las situaciones, las cau</w:t>
      </w:r>
      <w:r w:rsidRPr="009A2B3C">
        <w:rPr>
          <w:rFonts w:ascii="Times New Roman" w:hAnsi="Times New Roman" w:cs="Times New Roman"/>
          <w:sz w:val="22"/>
          <w:szCs w:val="22"/>
          <w:bdr w:val="none" w:sz="0" w:space="0" w:color="auto" w:frame="1"/>
          <w:lang w:eastAsia="es-CO"/>
        </w:rPr>
        <w:t>sas y los fundamentos que dieron origen a una disposición varíen, con lo cual se afecta su propósito, aceptación o asimilación. Estas situaciones suelen afectar el peso específico de los principios que sirvieron de base para efectuar un estudio sobre la co</w:t>
      </w:r>
      <w:r w:rsidRPr="009A2B3C">
        <w:rPr>
          <w:rFonts w:ascii="Times New Roman" w:hAnsi="Times New Roman" w:cs="Times New Roman"/>
          <w:sz w:val="22"/>
          <w:szCs w:val="22"/>
          <w:bdr w:val="none" w:sz="0" w:space="0" w:color="auto" w:frame="1"/>
          <w:lang w:eastAsia="es-CO"/>
        </w:rPr>
        <w:t>nstitucionalidad de la norma, razón que habilita al juez constitucional para que practique una nueva ponderación</w:t>
      </w:r>
      <w:r w:rsidRPr="009A2B3C">
        <w:rPr>
          <w:rFonts w:ascii="Times New Roman" w:hAnsi="Times New Roman" w:cs="Times New Roman"/>
          <w:sz w:val="22"/>
          <w:szCs w:val="22"/>
        </w:rPr>
        <w:t>».</w:t>
      </w:r>
      <w:r w:rsidRPr="009A2B3C">
        <w:rPr>
          <w:rFonts w:ascii="Times New Roman" w:hAnsi="Times New Roman" w:cs="Times New Roman"/>
          <w:sz w:val="22"/>
          <w:szCs w:val="22"/>
          <w:bdr w:val="none" w:sz="0" w:space="0" w:color="auto" w:frame="1"/>
          <w:lang w:eastAsia="es-CO"/>
        </w:rPr>
        <w:t xml:space="preserve"> </w:t>
      </w:r>
    </w:p>
  </w:footnote>
  <w:footnote w:id="34">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Sentencia C-147 de 2022.</w:t>
      </w:r>
    </w:p>
  </w:footnote>
  <w:footnote w:id="35">
    <w:p w:rsidR="0024742E" w:rsidRPr="009A2B3C" w:rsidRDefault="00C050D9" w:rsidP="009A2B3C">
      <w:pPr>
        <w:pStyle w:val="Textonotapie"/>
        <w:tabs>
          <w:tab w:val="left" w:pos="142"/>
          <w:tab w:val="left" w:pos="284"/>
          <w:tab w:val="left" w:pos="8364"/>
        </w:tabs>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C-1052 de 2001 (MP Manuel José Cepeda Espinosa). Los criterios recogidos y fija</w:t>
      </w:r>
      <w:r w:rsidRPr="009A2B3C">
        <w:rPr>
          <w:rFonts w:ascii="Times New Roman" w:hAnsi="Times New Roman" w:cs="Times New Roman"/>
          <w:sz w:val="22"/>
          <w:szCs w:val="22"/>
        </w:rPr>
        <w:t>dos en esta sentencia han sido reiterados en muchas decisiones posteriores de la Sala Plena. Entre otras, ver por ejemplo: Sentencia C-874 de 2002 (MP Rodrigo Escobar Gil), Sentencia C-371 de 2004 (MP Jaime Córdoba Triviño), Auto 033 de 2005 (MP Álvaro Taf</w:t>
      </w:r>
      <w:r w:rsidRPr="009A2B3C">
        <w:rPr>
          <w:rFonts w:ascii="Times New Roman" w:hAnsi="Times New Roman" w:cs="Times New Roman"/>
          <w:sz w:val="22"/>
          <w:szCs w:val="22"/>
        </w:rPr>
        <w:t>ur Galvis), Auto 031 de 2006 (MP Clara Inés Vargas Gutiérrez), Auto 267 de 2007 (MP Marco Gerardo Monroy Cabra), Auto 091 de 2008 (MP Humberto Antonio Sierra Porto), Auto 112 de 2009 (MP Clara Elena Reales Gutiérrez), Sentencia C-942 de 2010 (MP Juan Carlo</w:t>
      </w:r>
      <w:r w:rsidRPr="009A2B3C">
        <w:rPr>
          <w:rFonts w:ascii="Times New Roman" w:hAnsi="Times New Roman" w:cs="Times New Roman"/>
          <w:sz w:val="22"/>
          <w:szCs w:val="22"/>
        </w:rPr>
        <w:t>s Henao Pérez), Auto 070 de 2011 (MP Gabriel Eduardo Mendoza Martelo), Sentencia C-243 de 2012 (MP Luis Ernesto Vargas Silva; AV Nilson Elías Pinilla Pinilla y Humberto Antonio Sierra Porto), Auto 105 de 2013 (MP Jorge Ignacio Pretelt Chaljub), Auto 243 de</w:t>
      </w:r>
      <w:r w:rsidRPr="009A2B3C">
        <w:rPr>
          <w:rFonts w:ascii="Times New Roman" w:hAnsi="Times New Roman" w:cs="Times New Roman"/>
          <w:sz w:val="22"/>
          <w:szCs w:val="22"/>
        </w:rPr>
        <w:t xml:space="preserve"> 2014 (MP Mauricio González Cuervo), Auto 145 de 2014 (MP Alberto Rojas Ríos), Auto 324 de 2014 (MP Gloria Stella Ortiz Delgado), Auto 367 de 2015 (MP Jorge Iván Palacio Palacio), Auto 527 de 2015 (MP María Victoria Calle Correa), Sentencia C-088 de 2016 (</w:t>
      </w:r>
      <w:r w:rsidRPr="009A2B3C">
        <w:rPr>
          <w:rFonts w:ascii="Times New Roman" w:hAnsi="Times New Roman" w:cs="Times New Roman"/>
          <w:sz w:val="22"/>
          <w:szCs w:val="22"/>
        </w:rPr>
        <w:t xml:space="preserve">MP Jorge Iván Palacio Palacio), Sentencia C-539 de 2019 (MP José Fernando Reyes Cuartas), Sentencia C-025 de 2021 (MP Cristina Pardo Schlesinger) y Sentencia C-427 de 2023 (MP Cristina Pardo Schlesinger). En todas estas providencias se citan y emplean los </w:t>
      </w:r>
      <w:r w:rsidRPr="009A2B3C">
        <w:rPr>
          <w:rFonts w:ascii="Times New Roman" w:hAnsi="Times New Roman" w:cs="Times New Roman"/>
          <w:sz w:val="22"/>
          <w:szCs w:val="22"/>
        </w:rPr>
        <w:t xml:space="preserve">criterios establecidos en la sentencia C-1052 de 2001 para resolver los asuntos tratados en cada uno de aquellos procesos. </w:t>
      </w:r>
    </w:p>
  </w:footnote>
  <w:footnote w:id="36">
    <w:p w:rsidR="0024742E" w:rsidRPr="009A2B3C" w:rsidRDefault="00C050D9" w:rsidP="009A2B3C">
      <w:pPr>
        <w:pStyle w:val="Textonotapie"/>
        <w:tabs>
          <w:tab w:val="left" w:pos="142"/>
          <w:tab w:val="left" w:pos="284"/>
          <w:tab w:val="left" w:pos="8364"/>
        </w:tabs>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C-1052 de 2001 (MP Manuel José Cepeda Espinosa).</w:t>
      </w:r>
    </w:p>
  </w:footnote>
  <w:footnote w:id="37">
    <w:p w:rsidR="0024742E" w:rsidRPr="009A2B3C" w:rsidRDefault="00C050D9" w:rsidP="009A2B3C">
      <w:pPr>
        <w:pStyle w:val="Textonotapie"/>
        <w:tabs>
          <w:tab w:val="left" w:pos="142"/>
          <w:tab w:val="left" w:pos="284"/>
          <w:tab w:val="left" w:pos="8364"/>
        </w:tabs>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C-1052 de 2001 </w:t>
      </w:r>
      <w:r w:rsidRPr="009A2B3C">
        <w:rPr>
          <w:rFonts w:ascii="Times New Roman" w:hAnsi="Times New Roman" w:cs="Times New Roman"/>
          <w:sz w:val="22"/>
          <w:szCs w:val="22"/>
        </w:rPr>
        <w:t>(MP Manuel José Cepeda Espinosa).</w:t>
      </w:r>
    </w:p>
  </w:footnote>
  <w:footnote w:id="38">
    <w:p w:rsidR="0024742E" w:rsidRPr="009A2B3C" w:rsidRDefault="00C050D9" w:rsidP="009A2B3C">
      <w:pPr>
        <w:pStyle w:val="Textonotapie"/>
        <w:tabs>
          <w:tab w:val="left" w:pos="142"/>
          <w:tab w:val="left" w:pos="284"/>
          <w:tab w:val="left" w:pos="8364"/>
        </w:tabs>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C-1052 de 2001 (MP Manuel José Cepeda Espinosa). Al respecto, ver el apartado (3.4.2) de las consideraciones de la sentencia. </w:t>
      </w:r>
    </w:p>
  </w:footnote>
  <w:footnote w:id="39">
    <w:p w:rsidR="0024742E" w:rsidRPr="009A2B3C" w:rsidRDefault="00C050D9" w:rsidP="009A2B3C">
      <w:pPr>
        <w:pStyle w:val="Textonotapie"/>
        <w:tabs>
          <w:tab w:val="left" w:pos="142"/>
          <w:tab w:val="left" w:pos="284"/>
          <w:tab w:val="left" w:pos="8364"/>
        </w:tabs>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C-382 de 2012 (MP Gabriel E</w:t>
      </w:r>
      <w:r w:rsidRPr="009A2B3C">
        <w:rPr>
          <w:rFonts w:ascii="Times New Roman" w:hAnsi="Times New Roman" w:cs="Times New Roman"/>
          <w:sz w:val="22"/>
          <w:szCs w:val="22"/>
        </w:rPr>
        <w:t xml:space="preserve">duardo Mendoza Martelo), en la cual la Corte puntualizó que no se cumple con el requisito de claridad al no explicarse por qué el precepto acusado infringe la norma superior, y Sentencia C- 227 de 2015 (MP Jorge Ignacio Pretelt Chaljub), providencia en la </w:t>
      </w:r>
      <w:r w:rsidRPr="009A2B3C">
        <w:rPr>
          <w:rFonts w:ascii="Times New Roman" w:hAnsi="Times New Roman" w:cs="Times New Roman"/>
          <w:sz w:val="22"/>
          <w:szCs w:val="22"/>
        </w:rPr>
        <w:t>cual se explicó que se presenta falta de claridad al existir en la demanda consideraciones que pueden ser contradictorias.</w:t>
      </w:r>
    </w:p>
  </w:footnote>
  <w:footnote w:id="40">
    <w:p w:rsidR="0024742E" w:rsidRPr="009A2B3C" w:rsidRDefault="00C050D9" w:rsidP="009A2B3C">
      <w:pPr>
        <w:tabs>
          <w:tab w:val="left" w:pos="142"/>
          <w:tab w:val="left" w:pos="284"/>
          <w:tab w:val="left" w:pos="8364"/>
        </w:tabs>
        <w:spacing w:after="0" w:line="240" w:lineRule="auto"/>
        <w:rPr>
          <w:rFonts w:eastAsia="Arial Unicode MS"/>
          <w:bCs/>
          <w:bdr w:val="none" w:sz="0" w:space="0" w:color="auto" w:frame="1"/>
        </w:rPr>
      </w:pPr>
      <w:r w:rsidRPr="009A2B3C">
        <w:rPr>
          <w:rStyle w:val="Refdenotaalpie"/>
        </w:rPr>
        <w:footnoteRef/>
      </w:r>
      <w:r w:rsidRPr="009A2B3C">
        <w:t xml:space="preserve"> Corte Constitucional, </w:t>
      </w:r>
      <w:r w:rsidRPr="009A2B3C">
        <w:rPr>
          <w:rFonts w:eastAsia="Arial Unicode MS"/>
          <w:bCs/>
          <w:bdr w:val="none" w:sz="0" w:space="0" w:color="auto" w:frame="1"/>
        </w:rPr>
        <w:t xml:space="preserve">Sentencia C-913 de 2004 (MP Manuel José Cepeda Espinosa), en la que se aclaró que no se observó el requisito </w:t>
      </w:r>
      <w:r w:rsidRPr="009A2B3C">
        <w:rPr>
          <w:rFonts w:eastAsia="Arial Unicode MS"/>
          <w:bCs/>
          <w:bdr w:val="none" w:sz="0" w:space="0" w:color="auto" w:frame="1"/>
        </w:rPr>
        <w:t>de certeza, por cuanto la demanda no recae sobre una proposición jurídica real y existente, sino en una deducida por quien plantea la demanda, o que está contenida en una norma jurídica que no fue demandada</w:t>
      </w:r>
      <w:r w:rsidRPr="009A2B3C">
        <w:t xml:space="preserve"> </w:t>
      </w:r>
      <w:r w:rsidRPr="009A2B3C">
        <w:rPr>
          <w:rFonts w:eastAsia="Arial Unicode MS"/>
          <w:bCs/>
          <w:bdr w:val="none" w:sz="0" w:space="0" w:color="auto" w:frame="1"/>
        </w:rPr>
        <w:t>Sentencia C-1154 de 2005, (MP Manuel José Cepeda Espinosa), en la cual se señala que se presenta falta de certeza cuando el cargo no se predica del texto acusado,  y Sentencia C-619 de 2015 (MP Gloria Stella Ortiz Delgado), en la que se indica que la deman</w:t>
      </w:r>
      <w:r w:rsidRPr="009A2B3C">
        <w:rPr>
          <w:rFonts w:eastAsia="Arial Unicode MS"/>
          <w:bCs/>
          <w:bdr w:val="none" w:sz="0" w:space="0" w:color="auto" w:frame="1"/>
        </w:rPr>
        <w:t xml:space="preserve">da carece de tal requisito </w:t>
      </w:r>
      <w:r w:rsidRPr="009A2B3C">
        <w:rPr>
          <w:shd w:val="clear" w:color="auto" w:fill="FFFFFF"/>
        </w:rPr>
        <w:t>al fundarse en una proposición normativa que no está contenida en la expresión demandada</w:t>
      </w:r>
      <w:r w:rsidRPr="009A2B3C">
        <w:rPr>
          <w:rFonts w:eastAsia="Arial Unicode MS"/>
          <w:bCs/>
          <w:bdr w:val="none" w:sz="0" w:space="0" w:color="auto" w:frame="1"/>
        </w:rPr>
        <w:t xml:space="preserve">. </w:t>
      </w:r>
    </w:p>
  </w:footnote>
  <w:footnote w:id="41">
    <w:p w:rsidR="0024742E" w:rsidRPr="009A2B3C" w:rsidRDefault="00C050D9" w:rsidP="009A2B3C">
      <w:pPr>
        <w:tabs>
          <w:tab w:val="left" w:pos="142"/>
          <w:tab w:val="left" w:pos="284"/>
          <w:tab w:val="left" w:pos="8364"/>
        </w:tabs>
        <w:spacing w:after="0" w:line="240" w:lineRule="auto"/>
        <w:rPr>
          <w:shd w:val="clear" w:color="auto" w:fill="FFFFFF"/>
        </w:rPr>
      </w:pPr>
      <w:r w:rsidRPr="009A2B3C">
        <w:rPr>
          <w:rStyle w:val="Refdenotaalpie"/>
        </w:rPr>
        <w:footnoteRef/>
      </w:r>
      <w:r w:rsidRPr="009A2B3C">
        <w:t xml:space="preserve"> Corte Constitucional, Sentencia C-555 de 2005 (MP Clara Inés Vargas Hernández), en la cual se afirmó que no se cumplió con el requisito </w:t>
      </w:r>
      <w:r w:rsidRPr="009A2B3C">
        <w:t xml:space="preserve">de especificidad porque los </w:t>
      </w:r>
      <w:r w:rsidRPr="009A2B3C">
        <w:rPr>
          <w:shd w:val="clear" w:color="auto" w:fill="FFFFFF"/>
        </w:rPr>
        <w:t>fundamentos fueron formulados a partir de apreciaciones subjetivas o propias del pensamiento e ideología que el actor tiene sobre el alcance de la manipulación genética y su incidencia en la humanidad y Sentencia C-614 de 2013 (</w:t>
      </w:r>
      <w:r w:rsidRPr="009A2B3C">
        <w:rPr>
          <w:shd w:val="clear" w:color="auto" w:fill="FFFFFF"/>
        </w:rPr>
        <w:t xml:space="preserve">MP Mauricio González Cuervo), en la que se concluyó que no se trataba de razones específicas porque la argumentación se limitó a citar algunas sentencias de la Corte acompañadas de motivos de orden legal y de mera conveniencia. </w:t>
      </w:r>
    </w:p>
  </w:footnote>
  <w:footnote w:id="42">
    <w:p w:rsidR="0024742E" w:rsidRPr="009A2B3C" w:rsidRDefault="00C050D9" w:rsidP="009A2B3C">
      <w:pPr>
        <w:shd w:val="clear" w:color="auto" w:fill="FFFFFF"/>
        <w:tabs>
          <w:tab w:val="left" w:pos="142"/>
          <w:tab w:val="left" w:pos="284"/>
          <w:tab w:val="left" w:pos="8364"/>
        </w:tabs>
        <w:spacing w:after="0" w:line="240" w:lineRule="auto"/>
        <w:rPr>
          <w:bdr w:val="none" w:sz="0" w:space="0" w:color="auto" w:frame="1"/>
        </w:rPr>
      </w:pPr>
      <w:r w:rsidRPr="009A2B3C">
        <w:rPr>
          <w:rStyle w:val="Refdenotaalpie"/>
        </w:rPr>
        <w:footnoteRef/>
      </w:r>
      <w:r w:rsidRPr="009A2B3C">
        <w:t xml:space="preserve"> Corte Constitucional, Sen</w:t>
      </w:r>
      <w:r w:rsidRPr="009A2B3C">
        <w:t xml:space="preserve">tencia C-259 de 2008 (MP Jaime Araújo Rentería), en la cual se </w:t>
      </w:r>
      <w:r w:rsidRPr="009A2B3C">
        <w:rPr>
          <w:bCs/>
          <w:bdr w:val="none" w:sz="0" w:space="0" w:color="auto" w:frame="1"/>
        </w:rPr>
        <w:t xml:space="preserve">señala que la demanda carece de pertinencia por cuanto se funda simplemente en </w:t>
      </w:r>
      <w:r w:rsidRPr="009A2B3C">
        <w:rPr>
          <w:bdr w:val="none" w:sz="0" w:space="0" w:color="auto" w:frame="1"/>
        </w:rPr>
        <w:t>conjeturas relacionadas con los provechos o las ventajas de la norma en cuestión y Sentencia C-229 de 2015, (MP Ga</w:t>
      </w:r>
      <w:r w:rsidRPr="009A2B3C">
        <w:rPr>
          <w:bdr w:val="none" w:sz="0" w:space="0" w:color="auto" w:frame="1"/>
        </w:rPr>
        <w:t>briel Eduardo Mendoza Martelo), en la que se consideró que la acción pública de inconstitucionalidad en razón de su objeto, no es un mecanismo encaminado a resolver situaciones particulares, ni a revivir disposiciones que resulten deseables para quien form</w:t>
      </w:r>
      <w:r w:rsidRPr="009A2B3C">
        <w:rPr>
          <w:bdr w:val="none" w:sz="0" w:space="0" w:color="auto" w:frame="1"/>
        </w:rPr>
        <w:t>ula una demanda.</w:t>
      </w:r>
    </w:p>
  </w:footnote>
  <w:footnote w:id="43">
    <w:p w:rsidR="0024742E" w:rsidRPr="009A2B3C" w:rsidRDefault="00C050D9" w:rsidP="009A2B3C">
      <w:pPr>
        <w:pStyle w:val="Textonotapie"/>
        <w:tabs>
          <w:tab w:val="left" w:pos="142"/>
          <w:tab w:val="left" w:pos="284"/>
          <w:tab w:val="left" w:pos="8364"/>
        </w:tabs>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C-048 de 2006 (MP Marco Gerardo Monroy Cabra), en la que esta Corporación señaló que las razones expuestas en la demanda no eran suficientes al no haberse estructurado una argumentación completa que expli</w:t>
      </w:r>
      <w:r w:rsidRPr="009A2B3C">
        <w:rPr>
          <w:rFonts w:ascii="Times New Roman" w:hAnsi="Times New Roman" w:cs="Times New Roman"/>
          <w:sz w:val="22"/>
          <w:szCs w:val="22"/>
        </w:rPr>
        <w:t>cara con todos los elementos necesarios, por qué la norma acusada es contraria al precepto constitucional supuestamente vulnerado, y  Sentencia C-819 de 2011 (MP Gabriel Eduardo Mendoza Martelo), en la cual se afirmó que la acusación carecía de suficiencia</w:t>
      </w:r>
      <w:r w:rsidRPr="009A2B3C">
        <w:rPr>
          <w:rFonts w:ascii="Times New Roman" w:hAnsi="Times New Roman" w:cs="Times New Roman"/>
          <w:sz w:val="22"/>
          <w:szCs w:val="22"/>
        </w:rPr>
        <w:t xml:space="preserve"> al no contener los elementos fácticos necesarios para generar una sospecha o duda mínima sobre la constitucionalidad del precepto impugnado.</w:t>
      </w:r>
    </w:p>
  </w:footnote>
  <w:footnote w:id="44">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Confrontar, sentencias C-445 de 1995 y C-102 de 2015.</w:t>
      </w:r>
    </w:p>
  </w:footnote>
  <w:footnote w:id="45">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Expediente digital. Corrección de la demanda, folio 8. </w:t>
      </w:r>
    </w:p>
  </w:footnote>
  <w:footnote w:id="46">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C-056 de 2019. </w:t>
      </w:r>
    </w:p>
  </w:footnote>
  <w:footnote w:id="47">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Expediente digital. Esta misma posición es sugerida por la intervención del Departamento Administrativo de la Presidencia de la República.</w:t>
      </w:r>
    </w:p>
  </w:footnote>
  <w:footnote w:id="48">
    <w:p w:rsidR="0024742E" w:rsidRPr="009A2B3C" w:rsidRDefault="00C050D9" w:rsidP="009A2B3C">
      <w:pPr>
        <w:pStyle w:val="Textonotapie"/>
        <w:jc w:val="both"/>
        <w:rPr>
          <w:rFonts w:ascii="Times New Roman" w:hAnsi="Times New Roman" w:cs="Times New Roman"/>
          <w:sz w:val="22"/>
          <w:szCs w:val="22"/>
        </w:rPr>
      </w:pPr>
      <w:r w:rsidRPr="009A2B3C">
        <w:rPr>
          <w:rStyle w:val="Refdenotaalpie"/>
          <w:rFonts w:ascii="Times New Roman" w:hAnsi="Times New Roman" w:cs="Times New Roman"/>
          <w:sz w:val="22"/>
          <w:szCs w:val="22"/>
        </w:rPr>
        <w:footnoteRef/>
      </w:r>
      <w:r w:rsidRPr="009A2B3C">
        <w:rPr>
          <w:rFonts w:ascii="Times New Roman" w:hAnsi="Times New Roman" w:cs="Times New Roman"/>
          <w:sz w:val="22"/>
          <w:szCs w:val="22"/>
        </w:rPr>
        <w:t xml:space="preserve"> Corte Constitucional, sentencia C-521 de 2019. En esta providen</w:t>
      </w:r>
      <w:r w:rsidRPr="009A2B3C">
        <w:rPr>
          <w:rFonts w:ascii="Times New Roman" w:hAnsi="Times New Roman" w:cs="Times New Roman"/>
          <w:sz w:val="22"/>
          <w:szCs w:val="22"/>
        </w:rPr>
        <w:t>cia, la Corte Constitucional analizó si aumentar al 15% la tarifa de renta sobre los dividendos desconocía el principio de progresividad del sistema tributarios. Al analizar los motivos del legislador para aumentar la tarifa, afirmó: «el inicial gravamen s</w:t>
      </w:r>
      <w:r w:rsidRPr="009A2B3C">
        <w:rPr>
          <w:rFonts w:ascii="Times New Roman" w:hAnsi="Times New Roman" w:cs="Times New Roman"/>
          <w:sz w:val="22"/>
          <w:szCs w:val="22"/>
        </w:rPr>
        <w:t xml:space="preserve">obre los ingresos de dividendos y participaciones, y su actual aumento en la tarifa contribuyen a la progresividad del Impuesto a la Renta, pues permiten que la población más rica de Colombia contribuya con sus impuestos a redistribuir la riqueza a partir </w:t>
      </w:r>
      <w:r w:rsidRPr="009A2B3C">
        <w:rPr>
          <w:rFonts w:ascii="Times New Roman" w:hAnsi="Times New Roman" w:cs="Times New Roman"/>
          <w:sz w:val="22"/>
          <w:szCs w:val="22"/>
        </w:rPr>
        <w:t xml:space="preserve">de los ingresos que el Estado percibe por la recaudación tributaria e invierte en materia social». </w:t>
      </w:r>
    </w:p>
  </w:footnote>
  <w:footnote w:id="49">
    <w:p w:rsidR="00051231" w:rsidRDefault="00C050D9">
      <w:pPr>
        <w:pStyle w:val="Textonotapie"/>
      </w:pPr>
      <w:r>
        <w:rPr>
          <w:rStyle w:val="Refdenotaalpie"/>
        </w:rPr>
        <w:footnoteRef/>
      </w:r>
      <w:r>
        <w:t xml:space="preserve"> Dirección de Impuestos y Aduanas Nacionales DIAN, 6 </w:t>
      </w:r>
      <w:r>
        <w:t xml:space="preserve">de </w:t>
      </w:r>
      <w:r>
        <w:t xml:space="preserve">junio y </w:t>
      </w:r>
      <w:r>
        <w:t>octubre</w:t>
      </w:r>
      <w:r>
        <w:t xml:space="preserve"> de 2023. Disponible en: </w:t>
      </w:r>
      <w:hyperlink r:id="rId3" w:history="1">
        <w:r w:rsidRPr="00A074C6">
          <w:rPr>
            <w:rStyle w:val="Hipervnculo"/>
          </w:rPr>
          <w:t>https://www.corteconstitucional.gov.co/secretaria/archivo.php?id=57992</w:t>
        </w:r>
      </w:hyperlink>
      <w:r>
        <w:t xml:space="preserve"> </w:t>
      </w:r>
    </w:p>
  </w:footnote>
  <w:footnote w:id="50">
    <w:p w:rsidR="00710057" w:rsidRDefault="00C050D9">
      <w:pPr>
        <w:pStyle w:val="Textonotapie"/>
      </w:pPr>
      <w:r>
        <w:rPr>
          <w:rStyle w:val="Refdenotaalpie"/>
        </w:rPr>
        <w:footnoteRef/>
      </w:r>
      <w:r>
        <w:t xml:space="preserve"> Sentencia C-541 de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104A4"/>
    <w:multiLevelType w:val="multilevel"/>
    <w:tmpl w:val="9D926418"/>
    <w:lvl w:ilvl="0">
      <w:start w:val="1"/>
      <w:numFmt w:val="decimal"/>
      <w:lvlText w:val="%1."/>
      <w:lvlJc w:val="left"/>
      <w:pPr>
        <w:tabs>
          <w:tab w:val="num" w:pos="750"/>
        </w:tabs>
        <w:ind w:left="750" w:hanging="390"/>
      </w:pPr>
      <w:rPr>
        <w:rFonts w:hint="default"/>
        <w:b w:val="0"/>
      </w:rPr>
    </w:lvl>
    <w:lvl w:ilvl="1">
      <w:start w:val="1"/>
      <w:numFmt w:val="decimal"/>
      <w:isLgl/>
      <w:lvlText w:val="%1.%2."/>
      <w:lvlJc w:val="left"/>
      <w:pPr>
        <w:tabs>
          <w:tab w:val="num" w:pos="720"/>
        </w:tabs>
        <w:ind w:left="720" w:hanging="720"/>
      </w:pPr>
      <w:rPr>
        <w:rFonts w:hint="default"/>
        <w:b w:val="0"/>
        <w:i w:val="0"/>
      </w:rPr>
    </w:lvl>
    <w:lvl w:ilvl="2">
      <w:start w:val="1"/>
      <w:numFmt w:val="decimal"/>
      <w:isLgl/>
      <w:lvlText w:val="%1.%2.%3."/>
      <w:lvlJc w:val="left"/>
      <w:pPr>
        <w:tabs>
          <w:tab w:val="num" w:pos="720"/>
        </w:tabs>
        <w:ind w:left="720" w:hanging="720"/>
      </w:pPr>
      <w:rPr>
        <w:rFonts w:hint="default"/>
        <w:b w:val="0"/>
        <w:bCs/>
      </w:rPr>
    </w:lvl>
    <w:lvl w:ilvl="3">
      <w:start w:val="1"/>
      <w:numFmt w:val="decimal"/>
      <w:isLgl/>
      <w:lvlText w:val="%1.%2.%3.%4."/>
      <w:lvlJc w:val="left"/>
      <w:pPr>
        <w:tabs>
          <w:tab w:val="num" w:pos="1440"/>
        </w:tabs>
        <w:ind w:left="1440" w:hanging="1080"/>
      </w:pPr>
      <w:rPr>
        <w:rFonts w:hint="default"/>
        <w:b/>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15:restartNumberingAfterBreak="0">
    <w:nsid w:val="67893D37"/>
    <w:multiLevelType w:val="hybridMultilevel"/>
    <w:tmpl w:val="0C1E310C"/>
    <w:lvl w:ilvl="0" w:tplc="57B2B7C2">
      <w:start w:val="1"/>
      <w:numFmt w:val="upperRoman"/>
      <w:lvlText w:val="%1."/>
      <w:lvlJc w:val="left"/>
      <w:pPr>
        <w:ind w:left="754" w:hanging="720"/>
      </w:pPr>
      <w:rPr>
        <w:rFonts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2" w15:restartNumberingAfterBreak="0">
    <w:nsid w:val="77C80619"/>
    <w:multiLevelType w:val="hybridMultilevel"/>
    <w:tmpl w:val="A1887E0C"/>
    <w:lvl w:ilvl="0" w:tplc="2E3E7806">
      <w:start w:val="1"/>
      <w:numFmt w:val="decimal"/>
      <w:lvlText w:val="%1."/>
      <w:lvlJc w:val="left"/>
      <w:pPr>
        <w:ind w:left="720" w:hanging="360"/>
      </w:pPr>
      <w:rPr>
        <w:rFonts w:hint="default"/>
        <w:b w:val="0"/>
        <w:bCs w:val="0"/>
        <w:i w:val="0"/>
        <w:iCs w:val="0"/>
        <w:color w:val="auto"/>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66B"/>
    <w:rsid w:val="0048466B"/>
    <w:rsid w:val="00C050D9"/>
    <w:rsid w:val="00F137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C43D5F62-6805-4F92-A5CA-3BACD513C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2406"/>
    <w:pPr>
      <w:ind w:left="720"/>
      <w:contextualSpacing/>
    </w:pPr>
  </w:style>
  <w:style w:type="character" w:styleId="Hipervnculo">
    <w:name w:val="Hyperlink"/>
    <w:basedOn w:val="Fuentedeprrafopredeter"/>
    <w:uiPriority w:val="99"/>
    <w:unhideWhenUsed/>
    <w:rsid w:val="00BD6904"/>
    <w:rPr>
      <w:color w:val="0563C1" w:themeColor="hyperlink"/>
      <w:u w:val="single"/>
    </w:rPr>
  </w:style>
  <w:style w:type="character" w:customStyle="1" w:styleId="Mencinsinresolver1">
    <w:name w:val="Mención sin resolver1"/>
    <w:basedOn w:val="Fuentedeprrafopredeter"/>
    <w:uiPriority w:val="99"/>
    <w:semiHidden/>
    <w:unhideWhenUsed/>
    <w:rsid w:val="00BD6904"/>
    <w:rPr>
      <w:color w:val="605E5C"/>
      <w:shd w:val="clear" w:color="auto" w:fill="E1DFDD"/>
    </w:rPr>
  </w:style>
  <w:style w:type="paragraph" w:styleId="Encabezado">
    <w:name w:val="header"/>
    <w:basedOn w:val="Normal"/>
    <w:link w:val="EncabezadoCar"/>
    <w:uiPriority w:val="99"/>
    <w:unhideWhenUsed/>
    <w:rsid w:val="004B67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B6780"/>
    <w:rPr>
      <w:rFonts w:ascii="Times New Roman" w:eastAsia="Times New Roman" w:hAnsi="Times New Roman" w:cs="Times New Roman"/>
      <w:color w:val="000000"/>
      <w:sz w:val="24"/>
      <w:lang w:eastAsia="es-CO"/>
    </w:rPr>
  </w:style>
  <w:style w:type="paragraph" w:styleId="Piedepgina">
    <w:name w:val="footer"/>
    <w:basedOn w:val="Normal"/>
    <w:link w:val="PiedepginaCar"/>
    <w:uiPriority w:val="99"/>
    <w:unhideWhenUsed/>
    <w:rsid w:val="004B67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6780"/>
    <w:rPr>
      <w:rFonts w:ascii="Times New Roman" w:eastAsia="Times New Roman" w:hAnsi="Times New Roman" w:cs="Times New Roman"/>
      <w:color w:val="000000"/>
      <w:sz w:val="24"/>
      <w:lang w:eastAsia="es-CO"/>
    </w:rPr>
  </w:style>
  <w:style w:type="paragraph" w:styleId="Textodeglobo">
    <w:name w:val="Balloon Text"/>
    <w:basedOn w:val="Normal"/>
    <w:link w:val="TextodegloboCar"/>
    <w:uiPriority w:val="99"/>
    <w:semiHidden/>
    <w:unhideWhenUsed/>
    <w:rsid w:val="003910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10E4"/>
    <w:rPr>
      <w:rFonts w:ascii="Segoe UI" w:eastAsia="Times New Roman" w:hAnsi="Segoe UI" w:cs="Segoe UI"/>
      <w:color w:val="000000"/>
      <w:sz w:val="18"/>
      <w:szCs w:val="18"/>
      <w:lang w:eastAsia="es-CO"/>
    </w:rPr>
  </w:style>
  <w:style w:type="paragraph" w:styleId="Textonotapie">
    <w:name w:val="footnote text"/>
    <w:aliases w:val="Footnote Text Char Char Char Char Char,Footnote Text Char Char Char Char,Ref. de nota al pie1,FA Fu,texto de nota al pie"/>
    <w:basedOn w:val="Normal"/>
    <w:link w:val="TextonotapieCar"/>
    <w:uiPriority w:val="99"/>
    <w:unhideWhenUsed/>
    <w:rsid w:val="00856DC9"/>
    <w:pPr>
      <w:spacing w:after="0" w:line="240" w:lineRule="auto"/>
    </w:pPr>
    <w:rPr>
      <w:rFonts w:eastAsiaTheme="minorHAnsi"/>
      <w:sz w:val="20"/>
      <w:szCs w:val="20"/>
      <w:lang w:eastAsia="en-US"/>
    </w:rPr>
  </w:style>
  <w:style w:type="character" w:customStyle="1" w:styleId="TextonotapieCar">
    <w:name w:val="Texto nota pie Car"/>
    <w:aliases w:val="Footnote Text Char Char Char Char Char Car,Footnote Text Char Char Char Char Car,Ref. de nota al pie1 Car,FA Fu Car,texto de nota al pie Car"/>
    <w:basedOn w:val="Fuentedeprrafopredeter"/>
    <w:link w:val="Textonotapie"/>
    <w:uiPriority w:val="99"/>
    <w:rsid w:val="00856DC9"/>
    <w:rPr>
      <w:sz w:val="20"/>
      <w:szCs w:val="20"/>
    </w:rPr>
  </w:style>
  <w:style w:type="character" w:styleId="Refdenotaalpie">
    <w:name w:val="footnote reference"/>
    <w:aliases w:val="Texto de nota al pie,Footnotes refss,Appel note de bas de page,Footnote number,referencia nota al pie,BVI fnr,f,4_G,16 Point,Superscript 6 Point,Footnote Reference Char3,Footnote Reference Char1 Char,Footnote Reference Char Char Char"/>
    <w:link w:val="4GChar"/>
    <w:uiPriority w:val="99"/>
    <w:qFormat/>
    <w:rsid w:val="00856DC9"/>
    <w:rPr>
      <w:vertAlign w:val="superscript"/>
    </w:rPr>
  </w:style>
  <w:style w:type="table" w:styleId="Tablaconcuadrcula">
    <w:name w:val="Table Grid"/>
    <w:basedOn w:val="Tablanormal"/>
    <w:uiPriority w:val="39"/>
    <w:rsid w:val="00A94FD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31F5"/>
    <w:rPr>
      <w:sz w:val="16"/>
      <w:szCs w:val="16"/>
    </w:rPr>
  </w:style>
  <w:style w:type="paragraph" w:styleId="Textocomentario">
    <w:name w:val="annotation text"/>
    <w:basedOn w:val="Normal"/>
    <w:link w:val="TextocomentarioCar"/>
    <w:uiPriority w:val="99"/>
    <w:unhideWhenUsed/>
    <w:rsid w:val="009431F5"/>
    <w:pPr>
      <w:spacing w:line="240" w:lineRule="auto"/>
    </w:pPr>
    <w:rPr>
      <w:sz w:val="20"/>
      <w:szCs w:val="20"/>
    </w:rPr>
  </w:style>
  <w:style w:type="character" w:customStyle="1" w:styleId="TextocomentarioCar">
    <w:name w:val="Texto comentario Car"/>
    <w:basedOn w:val="Fuentedeprrafopredeter"/>
    <w:link w:val="Textocomentario"/>
    <w:uiPriority w:val="99"/>
    <w:rsid w:val="009431F5"/>
    <w:rPr>
      <w:rFonts w:ascii="Times New Roman" w:eastAsia="Times New Roman" w:hAnsi="Times New Roman" w:cs="Times New Roman"/>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9431F5"/>
    <w:rPr>
      <w:b/>
      <w:bCs/>
    </w:rPr>
  </w:style>
  <w:style w:type="character" w:customStyle="1" w:styleId="AsuntodelcomentarioCar">
    <w:name w:val="Asunto del comentario Car"/>
    <w:basedOn w:val="TextocomentarioCar"/>
    <w:link w:val="Asuntodelcomentario"/>
    <w:uiPriority w:val="99"/>
    <w:semiHidden/>
    <w:rsid w:val="009431F5"/>
    <w:rPr>
      <w:rFonts w:ascii="Times New Roman" w:eastAsia="Times New Roman" w:hAnsi="Times New Roman" w:cs="Times New Roman"/>
      <w:b/>
      <w:bCs/>
      <w:color w:val="000000"/>
      <w:sz w:val="20"/>
      <w:szCs w:val="20"/>
      <w:lang w:eastAsia="es-CO"/>
    </w:rPr>
  </w:style>
  <w:style w:type="paragraph" w:styleId="NormalWeb">
    <w:name w:val="Normal (Web)"/>
    <w:basedOn w:val="Normal"/>
    <w:uiPriority w:val="99"/>
    <w:semiHidden/>
    <w:unhideWhenUsed/>
    <w:rsid w:val="00137656"/>
    <w:rPr>
      <w:szCs w:val="24"/>
    </w:rPr>
  </w:style>
  <w:style w:type="table" w:customStyle="1" w:styleId="Tablaconcuadrcula1">
    <w:name w:val="Tabla con cuadrícula1"/>
    <w:basedOn w:val="Tablanormal"/>
    <w:next w:val="Tablaconcuadrcula"/>
    <w:uiPriority w:val="39"/>
    <w:rsid w:val="00135E30"/>
    <w:pPr>
      <w:spacing w:after="0" w:line="240" w:lineRule="auto"/>
    </w:pPr>
    <w:rPr>
      <w:rFonts w:ascii="Times New Roman" w:eastAsia="Times New Roman" w:hAnsi="Times New Roman" w:cs="Times New Roman"/>
      <w:position w:val="6"/>
      <w:sz w:val="20"/>
      <w:szCs w:val="16"/>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3171C7"/>
    <w:rPr>
      <w:b/>
      <w:bCs/>
    </w:rPr>
  </w:style>
  <w:style w:type="paragraph" w:styleId="Textonotaalfinal">
    <w:name w:val="endnote text"/>
    <w:basedOn w:val="Normal"/>
    <w:link w:val="TextonotaalfinalCar"/>
    <w:uiPriority w:val="99"/>
    <w:semiHidden/>
    <w:unhideWhenUsed/>
    <w:rsid w:val="00A8732F"/>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A8732F"/>
    <w:rPr>
      <w:rFonts w:ascii="Times New Roman" w:eastAsia="Times New Roman" w:hAnsi="Times New Roman" w:cs="Times New Roman"/>
      <w:color w:val="000000"/>
      <w:sz w:val="20"/>
      <w:szCs w:val="20"/>
      <w:lang w:eastAsia="es-CO"/>
    </w:rPr>
  </w:style>
  <w:style w:type="character" w:styleId="Refdenotaalfinal">
    <w:name w:val="endnote reference"/>
    <w:basedOn w:val="Fuentedeprrafopredeter"/>
    <w:uiPriority w:val="99"/>
    <w:semiHidden/>
    <w:unhideWhenUsed/>
    <w:rsid w:val="00A8732F"/>
    <w:rPr>
      <w:vertAlign w:val="superscript"/>
    </w:rPr>
  </w:style>
  <w:style w:type="character" w:customStyle="1" w:styleId="Mencinsinresolver2">
    <w:name w:val="Mención sin resolver2"/>
    <w:basedOn w:val="Fuentedeprrafopredeter"/>
    <w:uiPriority w:val="99"/>
    <w:semiHidden/>
    <w:unhideWhenUsed/>
    <w:rsid w:val="00C77C5B"/>
    <w:rPr>
      <w:color w:val="605E5C"/>
      <w:shd w:val="clear" w:color="auto" w:fill="E1DFDD"/>
    </w:rPr>
  </w:style>
  <w:style w:type="paragraph" w:styleId="Textoindependiente">
    <w:name w:val="Body Text"/>
    <w:basedOn w:val="Normal"/>
    <w:link w:val="TextoindependienteCar"/>
    <w:uiPriority w:val="99"/>
    <w:semiHidden/>
    <w:unhideWhenUsed/>
    <w:rsid w:val="006B06B5"/>
    <w:pPr>
      <w:spacing w:after="120"/>
    </w:pPr>
  </w:style>
  <w:style w:type="character" w:customStyle="1" w:styleId="TextoindependienteCar">
    <w:name w:val="Texto independiente Car"/>
    <w:basedOn w:val="Fuentedeprrafopredeter"/>
    <w:link w:val="Textoindependiente"/>
    <w:uiPriority w:val="99"/>
    <w:semiHidden/>
    <w:rsid w:val="006B06B5"/>
    <w:rPr>
      <w:rFonts w:ascii="Times New Roman" w:eastAsia="Times New Roman" w:hAnsi="Times New Roman" w:cs="Times New Roman"/>
      <w:color w:val="000000"/>
      <w:sz w:val="24"/>
      <w:lang w:eastAsia="es-CO"/>
    </w:rPr>
  </w:style>
  <w:style w:type="paragraph" w:styleId="Revisin">
    <w:name w:val="Revision"/>
    <w:hidden/>
    <w:uiPriority w:val="99"/>
    <w:semiHidden/>
    <w:rsid w:val="003906C9"/>
    <w:pPr>
      <w:spacing w:after="0" w:line="240" w:lineRule="auto"/>
    </w:pPr>
    <w:rPr>
      <w:rFonts w:ascii="Times New Roman" w:eastAsia="Times New Roman" w:hAnsi="Times New Roman" w:cs="Times New Roman"/>
      <w:color w:val="000000"/>
      <w:sz w:val="24"/>
    </w:rPr>
  </w:style>
  <w:style w:type="table" w:customStyle="1" w:styleId="Tablaconcuadrcula2">
    <w:name w:val="Tabla con cuadrícula2"/>
    <w:basedOn w:val="Tablanormal"/>
    <w:next w:val="Tablaconcuadrcula"/>
    <w:uiPriority w:val="39"/>
    <w:rsid w:val="00BF483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F80F62"/>
    <w:pPr>
      <w:spacing w:after="0" w:line="240" w:lineRule="auto"/>
    </w:pPr>
    <w:rPr>
      <w:rFonts w:eastAsiaTheme="minorHAnsi"/>
      <w:vertAlign w:val="superscript"/>
      <w:lang w:eastAsia="en-US"/>
    </w:rPr>
  </w:style>
  <w:style w:type="paragraph" w:styleId="Sinespaciado">
    <w:name w:val="No Spacing"/>
    <w:link w:val="SinespaciadoCar"/>
    <w:uiPriority w:val="1"/>
    <w:qFormat/>
    <w:rsid w:val="005E3FAB"/>
    <w:pPr>
      <w:spacing w:after="0" w:line="240" w:lineRule="auto"/>
    </w:pPr>
    <w:rPr>
      <w:rFonts w:ascii="Times New Roman" w:hAnsi="Times New Roman"/>
    </w:rPr>
  </w:style>
  <w:style w:type="character" w:customStyle="1" w:styleId="SinespaciadoCar">
    <w:name w:val="Sin espaciado Car"/>
    <w:link w:val="Sinespaciado"/>
    <w:uiPriority w:val="1"/>
    <w:locked/>
    <w:rsid w:val="005E3FAB"/>
    <w:rPr>
      <w:rFonts w:ascii="Times New Roman" w:hAnsi="Times New Roman"/>
    </w:rPr>
  </w:style>
  <w:style w:type="character" w:customStyle="1" w:styleId="UnresolvedMention">
    <w:name w:val="Unresolved Mention"/>
    <w:basedOn w:val="Fuentedeprrafopredeter"/>
    <w:uiPriority w:val="99"/>
    <w:semiHidden/>
    <w:unhideWhenUsed/>
    <w:rsid w:val="00051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estatuto_tributario.html" TargetMode="External"/><Relationship Id="rId13" Type="http://schemas.openxmlformats.org/officeDocument/2006/relationships/hyperlink" Target="http://www.secretariasenado.gov.co/senado/basedoc/estatuto_tributario.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yperlink" Target="http://www.secretariasenado.gov.co/senado/basedoc/estatuto_tributario_pr002.html" TargetMode="External"/><Relationship Id="rId17" Type="http://schemas.openxmlformats.org/officeDocument/2006/relationships/hyperlink" Target="http://www.secretariasenado.gov.co/senado/basedoc/estatuto_tributario.html" TargetMode="External"/><Relationship Id="rId2" Type="http://schemas.openxmlformats.org/officeDocument/2006/relationships/styles" Target="styles.xml"/><Relationship Id="rId16" Type="http://schemas.openxmlformats.org/officeDocument/2006/relationships/hyperlink" Target="http://www.secretariasenado.gov.co/senado/basedoc/estatuto_tributario.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estatuto_tributario_pr010.html" TargetMode="External"/><Relationship Id="rId5" Type="http://schemas.openxmlformats.org/officeDocument/2006/relationships/footnotes" Target="footnotes.xml"/><Relationship Id="rId15" Type="http://schemas.openxmlformats.org/officeDocument/2006/relationships/hyperlink" Target="http://www.secretariasenado.gov.co/senado/basedoc/estatuto_tributario.html" TargetMode="External"/><Relationship Id="rId10" Type="http://schemas.openxmlformats.org/officeDocument/2006/relationships/hyperlink" Target="http://www.secretariasenado.gov.co/senado/basedoc/estatuto_tributario_pr002.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ecretariasenado.gov.co/senado/basedoc/estatuto_tributario.html" TargetMode="External"/><Relationship Id="rId14" Type="http://schemas.openxmlformats.org/officeDocument/2006/relationships/hyperlink" Target="http://www.secretariasenado.gov.co/senado/basedoc/ley_2277_2022.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orteconstitucional.gov.co/secretaria/archivo.php?id=57992" TargetMode="External"/><Relationship Id="rId2" Type="http://schemas.openxmlformats.org/officeDocument/2006/relationships/hyperlink" Target="https://www.corteconstitucional.gov.co/secretaria/archivo.php?id=55458" TargetMode="External"/><Relationship Id="rId1" Type="http://schemas.openxmlformats.org/officeDocument/2006/relationships/hyperlink" Target="https://www.corteconstitucional.gov.co/secretaria/archivo.php?id=5545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16996</Words>
  <Characters>93479</Characters>
  <Application>Microsoft Office Word</Application>
  <DocSecurity>0</DocSecurity>
  <Lines>778</Lines>
  <Paragraphs>220</Paragraphs>
  <ScaleCrop>false</ScaleCrop>
  <Company/>
  <LinksUpToDate>false</LinksUpToDate>
  <CharactersWithSpaces>110255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2024-06-14T15:46:00Z</dcterms:created>
  <dcterms:modified xsi:type="dcterms:W3CDTF">2024-06-14T15:46:00Z</dcterms:modified>
</cp:coreProperties>
</file>