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3B23" w:rsidRPr="005D36F1" w:rsidRDefault="0036156D">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5D36F1">
        <w:rPr>
          <w:rFonts w:ascii="Times New Roman" w:hAnsi="Times New Roman" w:cs="Times New Roman"/>
          <w:sz w:val="28"/>
          <w:szCs w:val="24"/>
        </w:rPr>
        <w:t xml:space="preserve"> </w:t>
      </w:r>
    </w:p>
    <w:p w:rsidR="00263B23" w:rsidRPr="005D36F1" w:rsidRDefault="00263B23">
      <w:pPr>
        <w:widowControl w:val="0"/>
        <w:autoSpaceDE w:val="0"/>
        <w:autoSpaceDN w:val="0"/>
        <w:adjustRightInd w:val="0"/>
        <w:spacing w:after="0" w:line="240" w:lineRule="auto"/>
        <w:rPr>
          <w:rFonts w:ascii="Times New Roman" w:hAnsi="Times New Roman" w:cs="Times New Roman"/>
          <w:sz w:val="28"/>
          <w:szCs w:val="28"/>
        </w:rPr>
      </w:pPr>
    </w:p>
    <w:p w:rsidR="00263B23" w:rsidRPr="005D36F1" w:rsidRDefault="0036156D">
      <w:pPr>
        <w:widowControl w:val="0"/>
        <w:autoSpaceDE w:val="0"/>
        <w:autoSpaceDN w:val="0"/>
        <w:adjustRightInd w:val="0"/>
        <w:spacing w:after="0" w:line="240" w:lineRule="auto"/>
        <w:jc w:val="center"/>
        <w:rPr>
          <w:rFonts w:ascii="Times New Roman" w:hAnsi="Times New Roman" w:cs="Times New Roman"/>
          <w:b/>
          <w:bCs/>
          <w:sz w:val="28"/>
          <w:szCs w:val="28"/>
        </w:rPr>
      </w:pPr>
      <w:r w:rsidRPr="005D36F1">
        <w:rPr>
          <w:rFonts w:ascii="Times New Roman" w:hAnsi="Times New Roman" w:cs="Times New Roman"/>
          <w:b/>
          <w:bCs/>
          <w:sz w:val="28"/>
          <w:szCs w:val="28"/>
        </w:rPr>
        <w:t xml:space="preserve">TEMAS-SUBTEMAS </w:t>
      </w:r>
    </w:p>
    <w:p w:rsidR="00263B23" w:rsidRPr="005D36F1" w:rsidRDefault="00263B23">
      <w:pPr>
        <w:widowControl w:val="0"/>
        <w:autoSpaceDE w:val="0"/>
        <w:autoSpaceDN w:val="0"/>
        <w:adjustRightInd w:val="0"/>
        <w:spacing w:after="0" w:line="240" w:lineRule="auto"/>
        <w:jc w:val="center"/>
        <w:rPr>
          <w:rFonts w:ascii="Times New Roman" w:hAnsi="Times New Roman" w:cs="Times New Roman"/>
          <w:b/>
          <w:bCs/>
          <w:sz w:val="28"/>
          <w:szCs w:val="28"/>
        </w:rPr>
      </w:pPr>
    </w:p>
    <w:p w:rsidR="00263B23" w:rsidRPr="005D36F1" w:rsidRDefault="0036156D">
      <w:pPr>
        <w:widowControl w:val="0"/>
        <w:autoSpaceDE w:val="0"/>
        <w:autoSpaceDN w:val="0"/>
        <w:adjustRightInd w:val="0"/>
        <w:spacing w:after="0" w:line="240" w:lineRule="auto"/>
        <w:jc w:val="center"/>
        <w:rPr>
          <w:rFonts w:ascii="Times New Roman" w:hAnsi="Times New Roman" w:cs="Times New Roman"/>
          <w:sz w:val="28"/>
          <w:szCs w:val="28"/>
        </w:rPr>
      </w:pPr>
      <w:r w:rsidRPr="005D36F1">
        <w:rPr>
          <w:rFonts w:ascii="Times New Roman" w:hAnsi="Times New Roman" w:cs="Times New Roman"/>
          <w:b/>
          <w:bCs/>
          <w:sz w:val="28"/>
          <w:szCs w:val="28"/>
        </w:rPr>
        <w:t xml:space="preserve">Sentencia C-096/24 </w:t>
      </w:r>
    </w:p>
    <w:p w:rsidR="00263B23" w:rsidRPr="005D36F1" w:rsidRDefault="00263B23">
      <w:pPr>
        <w:widowControl w:val="0"/>
        <w:autoSpaceDE w:val="0"/>
        <w:autoSpaceDN w:val="0"/>
        <w:adjustRightInd w:val="0"/>
        <w:spacing w:after="0" w:line="240" w:lineRule="auto"/>
        <w:jc w:val="both"/>
        <w:rPr>
          <w:rFonts w:ascii="Times New Roman" w:hAnsi="Times New Roman" w:cs="Times New Roman"/>
          <w:sz w:val="28"/>
          <w:szCs w:val="28"/>
        </w:rPr>
      </w:pPr>
    </w:p>
    <w:p w:rsidR="00263B23" w:rsidRPr="005D36F1" w:rsidRDefault="0036156D">
      <w:pPr>
        <w:widowControl w:val="0"/>
        <w:autoSpaceDE w:val="0"/>
        <w:autoSpaceDN w:val="0"/>
        <w:adjustRightInd w:val="0"/>
        <w:spacing w:after="0" w:line="240" w:lineRule="auto"/>
        <w:jc w:val="both"/>
        <w:rPr>
          <w:rFonts w:ascii="Times New Roman" w:hAnsi="Times New Roman" w:cs="Times New Roman"/>
          <w:sz w:val="28"/>
          <w:szCs w:val="28"/>
        </w:rPr>
      </w:pPr>
      <w:r w:rsidRPr="005D36F1">
        <w:rPr>
          <w:rFonts w:ascii="Times New Roman" w:hAnsi="Times New Roman" w:cs="Times New Roman"/>
          <w:b/>
          <w:bCs/>
          <w:sz w:val="28"/>
          <w:szCs w:val="28"/>
        </w:rPr>
        <w:t>CAUSALES DE DIVORCIO</w:t>
      </w:r>
      <w:r w:rsidRPr="005D36F1">
        <w:rPr>
          <w:rFonts w:ascii="Times New Roman" w:hAnsi="Times New Roman" w:cs="Times New Roman"/>
          <w:sz w:val="28"/>
          <w:szCs w:val="28"/>
        </w:rPr>
        <w:t>-Uso habitual de sustancias alucinógenas o estupefacientes no da lugar a la aplicación de consecuencias patrimoniales</w:t>
      </w:r>
    </w:p>
    <w:p w:rsidR="00263B23" w:rsidRPr="005D36F1" w:rsidRDefault="00263B23">
      <w:pPr>
        <w:widowControl w:val="0"/>
        <w:autoSpaceDE w:val="0"/>
        <w:autoSpaceDN w:val="0"/>
        <w:adjustRightInd w:val="0"/>
        <w:spacing w:after="0" w:line="240" w:lineRule="auto"/>
        <w:jc w:val="both"/>
        <w:rPr>
          <w:rFonts w:ascii="Times New Roman" w:hAnsi="Times New Roman" w:cs="Times New Roman"/>
          <w:sz w:val="28"/>
          <w:szCs w:val="28"/>
        </w:rPr>
      </w:pPr>
    </w:p>
    <w:p w:rsidR="00263B23" w:rsidRPr="005D36F1" w:rsidRDefault="0036156D">
      <w:pPr>
        <w:widowControl w:val="0"/>
        <w:autoSpaceDE w:val="0"/>
        <w:autoSpaceDN w:val="0"/>
        <w:adjustRightInd w:val="0"/>
        <w:spacing w:after="0" w:line="240" w:lineRule="auto"/>
        <w:jc w:val="both"/>
        <w:rPr>
          <w:rFonts w:ascii="Times New Roman" w:hAnsi="Times New Roman" w:cs="Times New Roman"/>
          <w:sz w:val="28"/>
          <w:szCs w:val="28"/>
        </w:rPr>
      </w:pPr>
      <w:r w:rsidRPr="005D36F1">
        <w:rPr>
          <w:rFonts w:ascii="Times New Roman" w:hAnsi="Times New Roman" w:cs="Times New Roman"/>
          <w:i/>
          <w:iCs/>
          <w:sz w:val="28"/>
          <w:szCs w:val="28"/>
        </w:rPr>
        <w:t>En criterio del plenario, la conciliación de las reivindicaciones contrapuestas se consigue manteniendo la causal en el ordenamiento, pero modificando las consecuencias jurídicas patrimoniales previstas por el Legislador. De esta manera, las legítimas expectativas de ejercer el mayor grado de libertad personal, por parte de cada uno de los contrayentes, resultan satisfechas.</w:t>
      </w:r>
    </w:p>
    <w:p w:rsidR="00263B23" w:rsidRPr="005D36F1" w:rsidRDefault="00263B23">
      <w:pPr>
        <w:widowControl w:val="0"/>
        <w:autoSpaceDE w:val="0"/>
        <w:autoSpaceDN w:val="0"/>
        <w:adjustRightInd w:val="0"/>
        <w:spacing w:after="0" w:line="240" w:lineRule="auto"/>
        <w:jc w:val="both"/>
        <w:rPr>
          <w:rFonts w:ascii="Times New Roman" w:hAnsi="Times New Roman" w:cs="Times New Roman"/>
          <w:sz w:val="28"/>
          <w:szCs w:val="28"/>
        </w:rPr>
      </w:pPr>
    </w:p>
    <w:p w:rsidR="00263B23" w:rsidRPr="005D36F1" w:rsidRDefault="0036156D">
      <w:pPr>
        <w:widowControl w:val="0"/>
        <w:autoSpaceDE w:val="0"/>
        <w:autoSpaceDN w:val="0"/>
        <w:adjustRightInd w:val="0"/>
        <w:spacing w:after="0" w:line="240" w:lineRule="auto"/>
        <w:jc w:val="both"/>
        <w:rPr>
          <w:rFonts w:ascii="Times New Roman" w:hAnsi="Times New Roman" w:cs="Times New Roman"/>
          <w:sz w:val="28"/>
          <w:szCs w:val="28"/>
        </w:rPr>
      </w:pPr>
      <w:r w:rsidRPr="005D36F1">
        <w:rPr>
          <w:rFonts w:ascii="Times New Roman" w:hAnsi="Times New Roman" w:cs="Times New Roman"/>
          <w:b/>
          <w:bCs/>
          <w:sz w:val="28"/>
          <w:szCs w:val="28"/>
        </w:rPr>
        <w:t>DERECHO AL LIBRE DESARROLLO DE LA PERSONALIDAD</w:t>
      </w:r>
      <w:r w:rsidRPr="005D36F1">
        <w:rPr>
          <w:rFonts w:ascii="Times New Roman" w:hAnsi="Times New Roman" w:cs="Times New Roman"/>
          <w:sz w:val="28"/>
          <w:szCs w:val="28"/>
        </w:rPr>
        <w:t>-Contenido y alcance</w:t>
      </w:r>
    </w:p>
    <w:p w:rsidR="00263B23" w:rsidRPr="005D36F1" w:rsidRDefault="00263B23">
      <w:pPr>
        <w:widowControl w:val="0"/>
        <w:autoSpaceDE w:val="0"/>
        <w:autoSpaceDN w:val="0"/>
        <w:adjustRightInd w:val="0"/>
        <w:spacing w:after="0" w:line="240" w:lineRule="auto"/>
        <w:jc w:val="both"/>
        <w:rPr>
          <w:rFonts w:ascii="Times New Roman" w:hAnsi="Times New Roman" w:cs="Times New Roman"/>
          <w:sz w:val="28"/>
          <w:szCs w:val="28"/>
        </w:rPr>
      </w:pPr>
    </w:p>
    <w:p w:rsidR="00263B23" w:rsidRPr="005D36F1" w:rsidRDefault="0036156D">
      <w:pPr>
        <w:widowControl w:val="0"/>
        <w:autoSpaceDE w:val="0"/>
        <w:autoSpaceDN w:val="0"/>
        <w:adjustRightInd w:val="0"/>
        <w:spacing w:after="0" w:line="240" w:lineRule="auto"/>
        <w:jc w:val="both"/>
        <w:rPr>
          <w:rFonts w:ascii="Times New Roman" w:hAnsi="Times New Roman" w:cs="Times New Roman"/>
          <w:sz w:val="28"/>
          <w:szCs w:val="28"/>
        </w:rPr>
      </w:pPr>
      <w:r w:rsidRPr="005D36F1">
        <w:rPr>
          <w:rFonts w:ascii="Times New Roman" w:hAnsi="Times New Roman" w:cs="Times New Roman"/>
          <w:i/>
          <w:iCs/>
          <w:sz w:val="28"/>
          <w:szCs w:val="28"/>
        </w:rPr>
        <w:t>(...) el derecho al libre desarrollo de la personalidad proclama que el poder regulador del Estado únicamente es legítimo en la medida en que recaiga sobre acciones que comprometan a personas distintas a la de quien las ejecuta. En aplicación de este imperativo, las conductas que únicamente conciernen al titular del derecho, que solo a él lo afectan, en modo alguno pueden ser regladas por el orden jurídico.</w:t>
      </w:r>
    </w:p>
    <w:p w:rsidR="00263B23" w:rsidRPr="005D36F1" w:rsidRDefault="00263B23">
      <w:pPr>
        <w:widowControl w:val="0"/>
        <w:autoSpaceDE w:val="0"/>
        <w:autoSpaceDN w:val="0"/>
        <w:adjustRightInd w:val="0"/>
        <w:spacing w:after="0" w:line="240" w:lineRule="auto"/>
        <w:jc w:val="both"/>
        <w:rPr>
          <w:rFonts w:ascii="Times New Roman" w:hAnsi="Times New Roman" w:cs="Times New Roman"/>
          <w:sz w:val="28"/>
          <w:szCs w:val="28"/>
        </w:rPr>
      </w:pPr>
    </w:p>
    <w:p w:rsidR="00263B23" w:rsidRPr="005D36F1" w:rsidRDefault="0036156D">
      <w:pPr>
        <w:widowControl w:val="0"/>
        <w:autoSpaceDE w:val="0"/>
        <w:autoSpaceDN w:val="0"/>
        <w:adjustRightInd w:val="0"/>
        <w:spacing w:after="0" w:line="240" w:lineRule="auto"/>
        <w:jc w:val="both"/>
        <w:rPr>
          <w:rFonts w:ascii="Times New Roman" w:hAnsi="Times New Roman" w:cs="Times New Roman"/>
          <w:sz w:val="28"/>
          <w:szCs w:val="28"/>
        </w:rPr>
      </w:pPr>
      <w:r w:rsidRPr="005D36F1">
        <w:rPr>
          <w:rFonts w:ascii="Times New Roman" w:hAnsi="Times New Roman" w:cs="Times New Roman"/>
          <w:b/>
          <w:bCs/>
          <w:sz w:val="28"/>
          <w:szCs w:val="28"/>
        </w:rPr>
        <w:t>DERECHO AL LIBRE DESARROLLO DE LA PERSONALIDAD</w:t>
      </w:r>
      <w:r w:rsidRPr="005D36F1">
        <w:rPr>
          <w:rFonts w:ascii="Times New Roman" w:hAnsi="Times New Roman" w:cs="Times New Roman"/>
          <w:sz w:val="28"/>
          <w:szCs w:val="28"/>
        </w:rPr>
        <w:t xml:space="preserve">-Jurisprudencia constitucional </w:t>
      </w:r>
    </w:p>
    <w:p w:rsidR="00263B23" w:rsidRPr="005D36F1" w:rsidRDefault="00263B23">
      <w:pPr>
        <w:widowControl w:val="0"/>
        <w:autoSpaceDE w:val="0"/>
        <w:autoSpaceDN w:val="0"/>
        <w:adjustRightInd w:val="0"/>
        <w:spacing w:after="0" w:line="240" w:lineRule="auto"/>
        <w:jc w:val="both"/>
        <w:rPr>
          <w:rFonts w:ascii="Times New Roman" w:hAnsi="Times New Roman" w:cs="Times New Roman"/>
          <w:sz w:val="28"/>
          <w:szCs w:val="28"/>
        </w:rPr>
      </w:pPr>
    </w:p>
    <w:p w:rsidR="00263B23" w:rsidRPr="005D36F1" w:rsidRDefault="0036156D">
      <w:pPr>
        <w:widowControl w:val="0"/>
        <w:autoSpaceDE w:val="0"/>
        <w:autoSpaceDN w:val="0"/>
        <w:adjustRightInd w:val="0"/>
        <w:spacing w:after="0" w:line="240" w:lineRule="auto"/>
        <w:jc w:val="both"/>
        <w:rPr>
          <w:rFonts w:ascii="Times New Roman" w:hAnsi="Times New Roman" w:cs="Times New Roman"/>
          <w:sz w:val="28"/>
          <w:szCs w:val="28"/>
        </w:rPr>
      </w:pPr>
      <w:r w:rsidRPr="005D36F1">
        <w:rPr>
          <w:rFonts w:ascii="Times New Roman" w:hAnsi="Times New Roman" w:cs="Times New Roman"/>
          <w:b/>
          <w:bCs/>
          <w:sz w:val="28"/>
          <w:szCs w:val="28"/>
        </w:rPr>
        <w:t>DERECHO AL LIBRE DESARROLLO DE LA PERSONALIDAD</w:t>
      </w:r>
      <w:r w:rsidRPr="005D36F1">
        <w:rPr>
          <w:rFonts w:ascii="Times New Roman" w:hAnsi="Times New Roman" w:cs="Times New Roman"/>
          <w:sz w:val="28"/>
          <w:szCs w:val="28"/>
        </w:rPr>
        <w:t xml:space="preserve">-Límites </w:t>
      </w:r>
    </w:p>
    <w:p w:rsidR="00263B23" w:rsidRPr="005D36F1" w:rsidRDefault="00263B23">
      <w:pPr>
        <w:widowControl w:val="0"/>
        <w:autoSpaceDE w:val="0"/>
        <w:autoSpaceDN w:val="0"/>
        <w:adjustRightInd w:val="0"/>
        <w:spacing w:after="0" w:line="240" w:lineRule="auto"/>
        <w:jc w:val="both"/>
        <w:rPr>
          <w:rFonts w:ascii="Times New Roman" w:hAnsi="Times New Roman" w:cs="Times New Roman"/>
          <w:sz w:val="28"/>
          <w:szCs w:val="28"/>
        </w:rPr>
      </w:pPr>
    </w:p>
    <w:p w:rsidR="00263B23" w:rsidRPr="005D36F1" w:rsidRDefault="0036156D">
      <w:pPr>
        <w:widowControl w:val="0"/>
        <w:autoSpaceDE w:val="0"/>
        <w:autoSpaceDN w:val="0"/>
        <w:adjustRightInd w:val="0"/>
        <w:spacing w:after="0" w:line="240" w:lineRule="auto"/>
        <w:jc w:val="both"/>
        <w:rPr>
          <w:rFonts w:ascii="Times New Roman" w:hAnsi="Times New Roman" w:cs="Times New Roman"/>
          <w:sz w:val="28"/>
          <w:szCs w:val="28"/>
        </w:rPr>
      </w:pPr>
      <w:r w:rsidRPr="005D36F1">
        <w:rPr>
          <w:rFonts w:ascii="Times New Roman" w:hAnsi="Times New Roman" w:cs="Times New Roman"/>
          <w:b/>
          <w:bCs/>
          <w:sz w:val="28"/>
          <w:szCs w:val="28"/>
        </w:rPr>
        <w:t>DERECHO AL LIBRE DESARROLLO DE LA PERSONALIDAD Y EL MATRIMONIO</w:t>
      </w:r>
      <w:r w:rsidRPr="005D36F1">
        <w:rPr>
          <w:rFonts w:ascii="Times New Roman" w:hAnsi="Times New Roman" w:cs="Times New Roman"/>
          <w:sz w:val="28"/>
          <w:szCs w:val="28"/>
        </w:rPr>
        <w:t xml:space="preserve">-Relación </w:t>
      </w:r>
    </w:p>
    <w:p w:rsidR="00263B23" w:rsidRPr="005D36F1" w:rsidRDefault="00263B23">
      <w:pPr>
        <w:widowControl w:val="0"/>
        <w:autoSpaceDE w:val="0"/>
        <w:autoSpaceDN w:val="0"/>
        <w:adjustRightInd w:val="0"/>
        <w:spacing w:after="0" w:line="240" w:lineRule="auto"/>
        <w:jc w:val="both"/>
        <w:rPr>
          <w:rFonts w:ascii="Times New Roman" w:hAnsi="Times New Roman" w:cs="Times New Roman"/>
          <w:sz w:val="28"/>
          <w:szCs w:val="28"/>
        </w:rPr>
      </w:pPr>
    </w:p>
    <w:p w:rsidR="00263B23" w:rsidRPr="005D36F1" w:rsidRDefault="0036156D">
      <w:pPr>
        <w:widowControl w:val="0"/>
        <w:autoSpaceDE w:val="0"/>
        <w:autoSpaceDN w:val="0"/>
        <w:adjustRightInd w:val="0"/>
        <w:spacing w:after="0" w:line="240" w:lineRule="auto"/>
        <w:jc w:val="both"/>
        <w:rPr>
          <w:rFonts w:ascii="Times New Roman" w:hAnsi="Times New Roman" w:cs="Times New Roman"/>
          <w:sz w:val="28"/>
          <w:szCs w:val="28"/>
        </w:rPr>
      </w:pPr>
      <w:r w:rsidRPr="005D36F1">
        <w:rPr>
          <w:rFonts w:ascii="Times New Roman" w:hAnsi="Times New Roman" w:cs="Times New Roman"/>
          <w:b/>
          <w:bCs/>
          <w:sz w:val="28"/>
          <w:szCs w:val="28"/>
        </w:rPr>
        <w:t>DERECHO AL LIBRE DESARROLLO DE LA PERSONALIDAD DE LOS CÓNYUGES</w:t>
      </w:r>
      <w:r w:rsidRPr="005D36F1">
        <w:rPr>
          <w:rFonts w:ascii="Times New Roman" w:hAnsi="Times New Roman" w:cs="Times New Roman"/>
          <w:sz w:val="28"/>
          <w:szCs w:val="28"/>
        </w:rPr>
        <w:t>-Tensión frente al consumo habitual de sustancias psicoactivas por uno de los cónyuges</w:t>
      </w:r>
      <w:r w:rsidRPr="005D36F1">
        <w:rPr>
          <w:rFonts w:ascii="Times New Roman" w:hAnsi="Times New Roman" w:cs="Times New Roman"/>
          <w:b/>
          <w:bCs/>
          <w:sz w:val="28"/>
          <w:szCs w:val="28"/>
        </w:rPr>
        <w:t>/PRINCIPIO DE ARMONIZACION CONCRETA</w:t>
      </w:r>
      <w:r w:rsidRPr="005D36F1">
        <w:rPr>
          <w:rFonts w:ascii="Times New Roman" w:hAnsi="Times New Roman" w:cs="Times New Roman"/>
          <w:sz w:val="28"/>
          <w:szCs w:val="28"/>
        </w:rPr>
        <w:t xml:space="preserve">-Aplicación </w:t>
      </w:r>
    </w:p>
    <w:p w:rsidR="00263B23" w:rsidRPr="005D36F1" w:rsidRDefault="00263B23">
      <w:pPr>
        <w:widowControl w:val="0"/>
        <w:autoSpaceDE w:val="0"/>
        <w:autoSpaceDN w:val="0"/>
        <w:adjustRightInd w:val="0"/>
        <w:spacing w:after="0" w:line="240" w:lineRule="auto"/>
        <w:jc w:val="both"/>
        <w:rPr>
          <w:rFonts w:ascii="Times New Roman" w:hAnsi="Times New Roman" w:cs="Times New Roman"/>
          <w:sz w:val="28"/>
          <w:szCs w:val="28"/>
        </w:rPr>
      </w:pPr>
    </w:p>
    <w:p w:rsidR="00263B23" w:rsidRPr="005D36F1" w:rsidRDefault="0036156D">
      <w:pPr>
        <w:widowControl w:val="0"/>
        <w:autoSpaceDE w:val="0"/>
        <w:autoSpaceDN w:val="0"/>
        <w:adjustRightInd w:val="0"/>
        <w:spacing w:after="0" w:line="240" w:lineRule="auto"/>
        <w:jc w:val="both"/>
        <w:rPr>
          <w:rFonts w:ascii="Times New Roman" w:hAnsi="Times New Roman" w:cs="Times New Roman"/>
          <w:sz w:val="28"/>
          <w:szCs w:val="28"/>
        </w:rPr>
      </w:pPr>
      <w:r w:rsidRPr="005D36F1">
        <w:rPr>
          <w:rFonts w:ascii="Times New Roman" w:hAnsi="Times New Roman" w:cs="Times New Roman"/>
          <w:b/>
          <w:bCs/>
          <w:sz w:val="28"/>
          <w:szCs w:val="28"/>
        </w:rPr>
        <w:t>DERECHO A CONSTITUIR UNA FAMILIA</w:t>
      </w:r>
      <w:r w:rsidRPr="005D36F1">
        <w:rPr>
          <w:rFonts w:ascii="Times New Roman" w:hAnsi="Times New Roman" w:cs="Times New Roman"/>
          <w:sz w:val="28"/>
          <w:szCs w:val="28"/>
        </w:rPr>
        <w:t>-Manifestación del libre desarrollo de la personalidad y de los derechos reproductivos</w:t>
      </w:r>
    </w:p>
    <w:p w:rsidR="00263B23" w:rsidRPr="005D36F1" w:rsidRDefault="00263B23">
      <w:pPr>
        <w:widowControl w:val="0"/>
        <w:autoSpaceDE w:val="0"/>
        <w:autoSpaceDN w:val="0"/>
        <w:adjustRightInd w:val="0"/>
        <w:spacing w:after="0" w:line="240" w:lineRule="auto"/>
        <w:jc w:val="both"/>
        <w:rPr>
          <w:rFonts w:ascii="Times New Roman" w:hAnsi="Times New Roman" w:cs="Times New Roman"/>
          <w:sz w:val="28"/>
          <w:szCs w:val="28"/>
        </w:rPr>
      </w:pPr>
    </w:p>
    <w:p w:rsidR="00263B23" w:rsidRPr="005D36F1" w:rsidRDefault="0036156D">
      <w:pPr>
        <w:widowControl w:val="0"/>
        <w:autoSpaceDE w:val="0"/>
        <w:autoSpaceDN w:val="0"/>
        <w:adjustRightInd w:val="0"/>
        <w:spacing w:after="0" w:line="240" w:lineRule="auto"/>
        <w:jc w:val="both"/>
        <w:rPr>
          <w:rFonts w:ascii="Times New Roman" w:hAnsi="Times New Roman" w:cs="Times New Roman"/>
          <w:sz w:val="28"/>
          <w:szCs w:val="28"/>
        </w:rPr>
      </w:pPr>
      <w:r w:rsidRPr="005D36F1">
        <w:rPr>
          <w:rFonts w:ascii="Times New Roman" w:hAnsi="Times New Roman" w:cs="Times New Roman"/>
          <w:i/>
          <w:iCs/>
          <w:sz w:val="28"/>
          <w:szCs w:val="28"/>
        </w:rPr>
        <w:t xml:space="preserve">La Sala Plena ha declarado que “el derecho a fundar una familia también es una manifestación del libre desarrollo de la personalidad y de los derechos reproductivos. Por este motivo, la jurisprudencia no ha dudado en considerar el derecho a conformar una familia como fundamental”. La decisión de constituir una familia es, entonces, “una manifestación del libre desarrollo de la personalidad y, en concreto, de la libre expresión de afectos y emociones, ya que su origen se encuentra en el derecho de la persona de elegir libremente entre las distintas opciones y proyectos de vida, que según sus propios anhelos, valores, expectativas y esperanzas, puedan construir y desarrollar durante su existencia”. </w:t>
      </w:r>
    </w:p>
    <w:p w:rsidR="00263B23" w:rsidRPr="005D36F1" w:rsidRDefault="00263B23">
      <w:pPr>
        <w:widowControl w:val="0"/>
        <w:autoSpaceDE w:val="0"/>
        <w:autoSpaceDN w:val="0"/>
        <w:adjustRightInd w:val="0"/>
        <w:spacing w:after="0" w:line="240" w:lineRule="auto"/>
        <w:jc w:val="both"/>
        <w:rPr>
          <w:rFonts w:ascii="Times New Roman" w:hAnsi="Times New Roman" w:cs="Times New Roman"/>
          <w:sz w:val="28"/>
          <w:szCs w:val="28"/>
        </w:rPr>
      </w:pPr>
    </w:p>
    <w:p w:rsidR="00263B23" w:rsidRPr="005D36F1" w:rsidRDefault="0036156D">
      <w:pPr>
        <w:widowControl w:val="0"/>
        <w:autoSpaceDE w:val="0"/>
        <w:autoSpaceDN w:val="0"/>
        <w:adjustRightInd w:val="0"/>
        <w:spacing w:after="0" w:line="240" w:lineRule="auto"/>
        <w:jc w:val="both"/>
        <w:rPr>
          <w:rFonts w:ascii="Times New Roman" w:hAnsi="Times New Roman" w:cs="Times New Roman"/>
          <w:sz w:val="28"/>
          <w:szCs w:val="28"/>
        </w:rPr>
      </w:pPr>
      <w:r w:rsidRPr="005D36F1">
        <w:rPr>
          <w:rFonts w:ascii="Times New Roman" w:hAnsi="Times New Roman" w:cs="Times New Roman"/>
          <w:b/>
          <w:bCs/>
          <w:sz w:val="28"/>
          <w:szCs w:val="28"/>
        </w:rPr>
        <w:t>PORTE Y CONSUMO DE DOSIS MINIMA DE ESTUPEFACIENTES</w:t>
      </w:r>
      <w:r w:rsidRPr="005D36F1">
        <w:rPr>
          <w:rFonts w:ascii="Times New Roman" w:hAnsi="Times New Roman" w:cs="Times New Roman"/>
          <w:sz w:val="28"/>
          <w:szCs w:val="28"/>
        </w:rPr>
        <w:t xml:space="preserve">-Jurisprudencia de la Corte Constitucional </w:t>
      </w:r>
    </w:p>
    <w:p w:rsidR="00263B23" w:rsidRPr="005D36F1" w:rsidRDefault="00263B23">
      <w:pPr>
        <w:widowControl w:val="0"/>
        <w:autoSpaceDE w:val="0"/>
        <w:autoSpaceDN w:val="0"/>
        <w:adjustRightInd w:val="0"/>
        <w:spacing w:after="0" w:line="240" w:lineRule="auto"/>
        <w:jc w:val="both"/>
        <w:rPr>
          <w:rFonts w:ascii="Times New Roman" w:hAnsi="Times New Roman" w:cs="Times New Roman"/>
          <w:sz w:val="28"/>
          <w:szCs w:val="28"/>
        </w:rPr>
      </w:pPr>
    </w:p>
    <w:p w:rsidR="00263B23" w:rsidRPr="005D36F1" w:rsidRDefault="0036156D">
      <w:pPr>
        <w:widowControl w:val="0"/>
        <w:autoSpaceDE w:val="0"/>
        <w:autoSpaceDN w:val="0"/>
        <w:adjustRightInd w:val="0"/>
        <w:spacing w:after="0" w:line="240" w:lineRule="auto"/>
        <w:jc w:val="both"/>
        <w:rPr>
          <w:rFonts w:ascii="Times New Roman" w:hAnsi="Times New Roman" w:cs="Times New Roman"/>
          <w:sz w:val="28"/>
          <w:szCs w:val="28"/>
        </w:rPr>
      </w:pPr>
      <w:r w:rsidRPr="005D36F1">
        <w:rPr>
          <w:rFonts w:ascii="Times New Roman" w:hAnsi="Times New Roman" w:cs="Times New Roman"/>
          <w:b/>
          <w:bCs/>
          <w:sz w:val="28"/>
          <w:szCs w:val="28"/>
        </w:rPr>
        <w:t>CONSUMO DE SUSTANCIAS PSICOACTIVAS EN EL ÁMBITO LABORAL</w:t>
      </w:r>
      <w:r w:rsidRPr="005D36F1">
        <w:rPr>
          <w:rFonts w:ascii="Times New Roman" w:hAnsi="Times New Roman" w:cs="Times New Roman"/>
          <w:sz w:val="28"/>
          <w:szCs w:val="28"/>
        </w:rPr>
        <w:t xml:space="preserve">-Jurisprudencia constitucional </w:t>
      </w:r>
    </w:p>
    <w:p w:rsidR="00263B23" w:rsidRPr="005D36F1" w:rsidRDefault="00263B23">
      <w:pPr>
        <w:widowControl w:val="0"/>
        <w:autoSpaceDE w:val="0"/>
        <w:autoSpaceDN w:val="0"/>
        <w:adjustRightInd w:val="0"/>
        <w:spacing w:after="0" w:line="240" w:lineRule="auto"/>
        <w:jc w:val="both"/>
        <w:rPr>
          <w:rFonts w:ascii="Times New Roman" w:hAnsi="Times New Roman" w:cs="Times New Roman"/>
          <w:sz w:val="28"/>
          <w:szCs w:val="28"/>
        </w:rPr>
      </w:pPr>
    </w:p>
    <w:p w:rsidR="00263B23" w:rsidRPr="005D36F1" w:rsidRDefault="0036156D">
      <w:pPr>
        <w:widowControl w:val="0"/>
        <w:autoSpaceDE w:val="0"/>
        <w:autoSpaceDN w:val="0"/>
        <w:adjustRightInd w:val="0"/>
        <w:spacing w:after="0" w:line="240" w:lineRule="auto"/>
        <w:jc w:val="both"/>
        <w:rPr>
          <w:rFonts w:ascii="Times New Roman" w:hAnsi="Times New Roman" w:cs="Times New Roman"/>
          <w:sz w:val="28"/>
          <w:szCs w:val="28"/>
        </w:rPr>
      </w:pPr>
      <w:r w:rsidRPr="005D36F1">
        <w:rPr>
          <w:rFonts w:ascii="Times New Roman" w:hAnsi="Times New Roman" w:cs="Times New Roman"/>
          <w:b/>
          <w:bCs/>
          <w:sz w:val="28"/>
          <w:szCs w:val="28"/>
        </w:rPr>
        <w:t>CONSUMO DE SUSTANCIAS PSICOACTIVAS EN EL ESPACIO PÚBLICO</w:t>
      </w:r>
      <w:r w:rsidRPr="005D36F1">
        <w:rPr>
          <w:rFonts w:ascii="Times New Roman" w:hAnsi="Times New Roman" w:cs="Times New Roman"/>
          <w:sz w:val="28"/>
          <w:szCs w:val="28"/>
        </w:rPr>
        <w:t xml:space="preserve">-Jurisprudencia constitucional </w:t>
      </w:r>
    </w:p>
    <w:p w:rsidR="00263B23" w:rsidRPr="005D36F1" w:rsidRDefault="00263B23">
      <w:pPr>
        <w:widowControl w:val="0"/>
        <w:autoSpaceDE w:val="0"/>
        <w:autoSpaceDN w:val="0"/>
        <w:adjustRightInd w:val="0"/>
        <w:spacing w:after="0" w:line="240" w:lineRule="auto"/>
        <w:jc w:val="both"/>
        <w:rPr>
          <w:rFonts w:ascii="Times New Roman" w:hAnsi="Times New Roman" w:cs="Times New Roman"/>
          <w:sz w:val="28"/>
          <w:szCs w:val="28"/>
        </w:rPr>
      </w:pPr>
    </w:p>
    <w:p w:rsidR="00263B23" w:rsidRPr="005D36F1" w:rsidRDefault="0036156D">
      <w:pPr>
        <w:widowControl w:val="0"/>
        <w:autoSpaceDE w:val="0"/>
        <w:autoSpaceDN w:val="0"/>
        <w:adjustRightInd w:val="0"/>
        <w:spacing w:after="0" w:line="240" w:lineRule="auto"/>
        <w:jc w:val="both"/>
        <w:rPr>
          <w:rFonts w:ascii="Times New Roman" w:hAnsi="Times New Roman" w:cs="Times New Roman"/>
          <w:sz w:val="28"/>
          <w:szCs w:val="28"/>
        </w:rPr>
      </w:pPr>
      <w:r w:rsidRPr="005D36F1">
        <w:rPr>
          <w:rFonts w:ascii="Times New Roman" w:hAnsi="Times New Roman" w:cs="Times New Roman"/>
          <w:b/>
          <w:bCs/>
          <w:sz w:val="28"/>
          <w:szCs w:val="28"/>
        </w:rPr>
        <w:t>ACTO LEGISLATIVO 02 DE 2009</w:t>
      </w:r>
      <w:r w:rsidRPr="005D36F1">
        <w:rPr>
          <w:rFonts w:ascii="Times New Roman" w:hAnsi="Times New Roman" w:cs="Times New Roman"/>
          <w:sz w:val="28"/>
          <w:szCs w:val="28"/>
        </w:rPr>
        <w:t xml:space="preserve">-Desarrolla el deber del cuidado integral de la salud </w:t>
      </w:r>
    </w:p>
    <w:p w:rsidR="00263B23" w:rsidRPr="005D36F1" w:rsidRDefault="00263B23">
      <w:pPr>
        <w:widowControl w:val="0"/>
        <w:autoSpaceDE w:val="0"/>
        <w:autoSpaceDN w:val="0"/>
        <w:adjustRightInd w:val="0"/>
        <w:spacing w:after="0" w:line="240" w:lineRule="auto"/>
        <w:jc w:val="both"/>
        <w:rPr>
          <w:rFonts w:ascii="Times New Roman" w:hAnsi="Times New Roman" w:cs="Times New Roman"/>
          <w:sz w:val="28"/>
          <w:szCs w:val="28"/>
        </w:rPr>
      </w:pPr>
    </w:p>
    <w:p w:rsidR="00263B23" w:rsidRPr="005D36F1" w:rsidRDefault="0036156D">
      <w:pPr>
        <w:widowControl w:val="0"/>
        <w:autoSpaceDE w:val="0"/>
        <w:autoSpaceDN w:val="0"/>
        <w:adjustRightInd w:val="0"/>
        <w:spacing w:after="0" w:line="240" w:lineRule="auto"/>
        <w:jc w:val="both"/>
        <w:rPr>
          <w:rFonts w:ascii="Times New Roman" w:hAnsi="Times New Roman" w:cs="Times New Roman"/>
          <w:sz w:val="28"/>
          <w:szCs w:val="28"/>
        </w:rPr>
      </w:pPr>
      <w:r w:rsidRPr="005D36F1">
        <w:rPr>
          <w:rFonts w:ascii="Times New Roman" w:hAnsi="Times New Roman" w:cs="Times New Roman"/>
          <w:b/>
          <w:bCs/>
          <w:sz w:val="28"/>
          <w:szCs w:val="28"/>
        </w:rPr>
        <w:t>MARGEN DE CONFIGURACION LEGISLATIVA EN INSTITUCION JURIDICA DEL MATRIMONIO</w:t>
      </w:r>
      <w:r w:rsidRPr="005D36F1">
        <w:rPr>
          <w:rFonts w:ascii="Times New Roman" w:hAnsi="Times New Roman" w:cs="Times New Roman"/>
          <w:sz w:val="28"/>
          <w:szCs w:val="28"/>
        </w:rPr>
        <w:t>-Alcance</w:t>
      </w:r>
    </w:p>
    <w:p w:rsidR="00263B23" w:rsidRPr="005D36F1" w:rsidRDefault="00263B23">
      <w:pPr>
        <w:widowControl w:val="0"/>
        <w:autoSpaceDE w:val="0"/>
        <w:autoSpaceDN w:val="0"/>
        <w:adjustRightInd w:val="0"/>
        <w:spacing w:after="0" w:line="240" w:lineRule="auto"/>
        <w:jc w:val="both"/>
        <w:rPr>
          <w:rFonts w:ascii="Times New Roman" w:hAnsi="Times New Roman" w:cs="Times New Roman"/>
          <w:sz w:val="28"/>
          <w:szCs w:val="28"/>
        </w:rPr>
      </w:pPr>
    </w:p>
    <w:p w:rsidR="00263B23" w:rsidRPr="005D36F1" w:rsidRDefault="0036156D">
      <w:pPr>
        <w:widowControl w:val="0"/>
        <w:autoSpaceDE w:val="0"/>
        <w:autoSpaceDN w:val="0"/>
        <w:adjustRightInd w:val="0"/>
        <w:spacing w:after="0" w:line="240" w:lineRule="auto"/>
        <w:jc w:val="both"/>
        <w:rPr>
          <w:rFonts w:ascii="Times New Roman" w:hAnsi="Times New Roman" w:cs="Times New Roman"/>
          <w:sz w:val="28"/>
          <w:szCs w:val="28"/>
        </w:rPr>
      </w:pPr>
      <w:r w:rsidRPr="005D36F1">
        <w:rPr>
          <w:rFonts w:ascii="Times New Roman" w:hAnsi="Times New Roman" w:cs="Times New Roman"/>
          <w:i/>
          <w:iCs/>
          <w:sz w:val="28"/>
          <w:szCs w:val="28"/>
        </w:rPr>
        <w:t>(...) la Constitución ha encomendado al Legislador el desarrollo de las instituciones del matrimonio y del divorcio. Para tal efecto, dentro de los límites que establece el texto superior, el Legislador cuenta con un amplio margen de configuración. En razón de lo anterior, es preciso que las causales que aquel determine, al tiempo que promuevan la consecución de los fines que persigue el matrimonio, sean respetuosas de los derechos, principios y valores que proclama la Constitución</w:t>
      </w:r>
    </w:p>
    <w:p w:rsidR="00263B23" w:rsidRPr="005D36F1" w:rsidRDefault="00263B23">
      <w:pPr>
        <w:widowControl w:val="0"/>
        <w:autoSpaceDE w:val="0"/>
        <w:autoSpaceDN w:val="0"/>
        <w:adjustRightInd w:val="0"/>
        <w:spacing w:after="0" w:line="240" w:lineRule="auto"/>
        <w:jc w:val="both"/>
        <w:rPr>
          <w:rFonts w:ascii="Times New Roman" w:hAnsi="Times New Roman" w:cs="Times New Roman"/>
          <w:sz w:val="28"/>
          <w:szCs w:val="28"/>
        </w:rPr>
      </w:pPr>
    </w:p>
    <w:p w:rsidR="00263B23" w:rsidRPr="005D36F1" w:rsidRDefault="0036156D">
      <w:pPr>
        <w:widowControl w:val="0"/>
        <w:autoSpaceDE w:val="0"/>
        <w:autoSpaceDN w:val="0"/>
        <w:adjustRightInd w:val="0"/>
        <w:spacing w:after="0" w:line="240" w:lineRule="auto"/>
        <w:jc w:val="both"/>
        <w:rPr>
          <w:rFonts w:ascii="Times New Roman" w:hAnsi="Times New Roman" w:cs="Times New Roman"/>
          <w:sz w:val="28"/>
          <w:szCs w:val="28"/>
        </w:rPr>
      </w:pPr>
      <w:r w:rsidRPr="005D36F1">
        <w:rPr>
          <w:rFonts w:ascii="Times New Roman" w:hAnsi="Times New Roman" w:cs="Times New Roman"/>
          <w:b/>
          <w:bCs/>
          <w:sz w:val="28"/>
          <w:szCs w:val="28"/>
        </w:rPr>
        <w:t>CAUSALES DE DIVORCIO</w:t>
      </w:r>
      <w:r w:rsidRPr="005D36F1">
        <w:rPr>
          <w:rFonts w:ascii="Times New Roman" w:hAnsi="Times New Roman" w:cs="Times New Roman"/>
          <w:sz w:val="28"/>
          <w:szCs w:val="28"/>
        </w:rPr>
        <w:t xml:space="preserve">-Clasificación según la jurisprudencia constitucional </w:t>
      </w:r>
    </w:p>
    <w:p w:rsidR="00263B23" w:rsidRPr="005D36F1" w:rsidRDefault="00263B23">
      <w:pPr>
        <w:widowControl w:val="0"/>
        <w:autoSpaceDE w:val="0"/>
        <w:autoSpaceDN w:val="0"/>
        <w:adjustRightInd w:val="0"/>
        <w:spacing w:after="0" w:line="240" w:lineRule="auto"/>
        <w:jc w:val="both"/>
        <w:rPr>
          <w:rFonts w:ascii="Times New Roman" w:hAnsi="Times New Roman" w:cs="Times New Roman"/>
          <w:sz w:val="28"/>
          <w:szCs w:val="28"/>
        </w:rPr>
      </w:pPr>
    </w:p>
    <w:p w:rsidR="00263B23" w:rsidRPr="005D36F1" w:rsidRDefault="0036156D">
      <w:pPr>
        <w:widowControl w:val="0"/>
        <w:autoSpaceDE w:val="0"/>
        <w:autoSpaceDN w:val="0"/>
        <w:adjustRightInd w:val="0"/>
        <w:spacing w:after="0" w:line="240" w:lineRule="auto"/>
        <w:jc w:val="both"/>
        <w:rPr>
          <w:rFonts w:ascii="Times New Roman" w:hAnsi="Times New Roman" w:cs="Times New Roman"/>
          <w:sz w:val="28"/>
          <w:szCs w:val="28"/>
        </w:rPr>
      </w:pPr>
      <w:r w:rsidRPr="005D36F1">
        <w:rPr>
          <w:rFonts w:ascii="Times New Roman" w:hAnsi="Times New Roman" w:cs="Times New Roman"/>
          <w:b/>
          <w:bCs/>
          <w:sz w:val="28"/>
          <w:szCs w:val="28"/>
        </w:rPr>
        <w:t>DIVORCIO</w:t>
      </w:r>
      <w:r w:rsidRPr="005D36F1">
        <w:rPr>
          <w:rFonts w:ascii="Times New Roman" w:hAnsi="Times New Roman" w:cs="Times New Roman"/>
          <w:sz w:val="28"/>
          <w:szCs w:val="28"/>
        </w:rPr>
        <w:t>-Causales objetivas y subjetivas</w:t>
      </w:r>
    </w:p>
    <w:p w:rsidR="00263B23" w:rsidRPr="005D36F1" w:rsidRDefault="00263B23">
      <w:pPr>
        <w:widowControl w:val="0"/>
        <w:autoSpaceDE w:val="0"/>
        <w:autoSpaceDN w:val="0"/>
        <w:adjustRightInd w:val="0"/>
        <w:spacing w:after="0" w:line="240" w:lineRule="auto"/>
        <w:jc w:val="both"/>
        <w:rPr>
          <w:rFonts w:ascii="Times New Roman" w:hAnsi="Times New Roman" w:cs="Times New Roman"/>
          <w:sz w:val="28"/>
          <w:szCs w:val="28"/>
        </w:rPr>
      </w:pPr>
    </w:p>
    <w:p w:rsidR="00263B23" w:rsidRPr="005D36F1" w:rsidRDefault="0036156D">
      <w:pPr>
        <w:widowControl w:val="0"/>
        <w:autoSpaceDE w:val="0"/>
        <w:autoSpaceDN w:val="0"/>
        <w:adjustRightInd w:val="0"/>
        <w:spacing w:after="0" w:line="240" w:lineRule="auto"/>
        <w:jc w:val="both"/>
        <w:rPr>
          <w:rFonts w:ascii="Times New Roman" w:hAnsi="Times New Roman" w:cs="Times New Roman"/>
          <w:sz w:val="28"/>
          <w:szCs w:val="28"/>
        </w:rPr>
      </w:pPr>
      <w:r w:rsidRPr="005D36F1">
        <w:rPr>
          <w:rFonts w:ascii="Times New Roman" w:hAnsi="Times New Roman" w:cs="Times New Roman"/>
          <w:i/>
          <w:iCs/>
          <w:sz w:val="28"/>
          <w:szCs w:val="28"/>
        </w:rPr>
        <w:t>(...) la jurisprudencia y la doctrina han clasificado esas causales en dos grupos: objetivas y subjetivas. En el primero de ellos, el divorcio se produce como resultado de una ruptura de los lazos afectivos que motivan el matrimonio. En tal caso, la finalización del vínculo matrimonial aparece como mejor remedio para las situaciones vividas. Esta corporación ha añadido que [l]as causales [objetivas] pueden ser invocadas en cualquier tiempo por cualquiera de los cónyuges, y [que] el juez que conoce de la demanda no requiere valorar la conducta alegada; debe respetar el deseo de uno o los dos cónyuges de disolver el vínculo matrimonial. El segundo grupo reúne las causales divorcio de naturaleza subjetiva. En ellas, el divorcio se atribuye a la culpa de alguno de los cónyuges en el cumplimiento de sus obligaciones conyugales y dan lugar a lo que la doctrina ha denominado el divorcio sanción.</w:t>
      </w:r>
    </w:p>
    <w:p w:rsidR="00263B23" w:rsidRPr="005D36F1" w:rsidRDefault="00263B23">
      <w:pPr>
        <w:widowControl w:val="0"/>
        <w:autoSpaceDE w:val="0"/>
        <w:autoSpaceDN w:val="0"/>
        <w:adjustRightInd w:val="0"/>
        <w:spacing w:after="0" w:line="240" w:lineRule="auto"/>
        <w:jc w:val="both"/>
        <w:rPr>
          <w:rFonts w:ascii="Times New Roman" w:hAnsi="Times New Roman" w:cs="Times New Roman"/>
          <w:sz w:val="28"/>
          <w:szCs w:val="28"/>
        </w:rPr>
      </w:pPr>
    </w:p>
    <w:p w:rsidR="00263B23" w:rsidRPr="005D36F1" w:rsidRDefault="0036156D">
      <w:pPr>
        <w:widowControl w:val="0"/>
        <w:autoSpaceDE w:val="0"/>
        <w:autoSpaceDN w:val="0"/>
        <w:adjustRightInd w:val="0"/>
        <w:spacing w:after="0" w:line="240" w:lineRule="auto"/>
        <w:jc w:val="both"/>
        <w:rPr>
          <w:rFonts w:ascii="Times New Roman" w:hAnsi="Times New Roman" w:cs="Times New Roman"/>
          <w:sz w:val="28"/>
          <w:szCs w:val="28"/>
        </w:rPr>
      </w:pPr>
      <w:r w:rsidRPr="005D36F1">
        <w:rPr>
          <w:rFonts w:ascii="Times New Roman" w:hAnsi="Times New Roman" w:cs="Times New Roman"/>
          <w:b/>
          <w:bCs/>
          <w:sz w:val="28"/>
          <w:szCs w:val="28"/>
        </w:rPr>
        <w:t>PROTECCIÓN DE LOS MENORES DE EDAD FRENTE AL CONSUMO DE SUSTANCIAS PSICOACTIVAS</w:t>
      </w:r>
      <w:r w:rsidRPr="005D36F1">
        <w:rPr>
          <w:rFonts w:ascii="Times New Roman" w:hAnsi="Times New Roman" w:cs="Times New Roman"/>
          <w:sz w:val="28"/>
          <w:szCs w:val="28"/>
        </w:rPr>
        <w:t>-Instrumentos internacionales y nacionales</w:t>
      </w:r>
    </w:p>
    <w:p w:rsidR="00263B23" w:rsidRPr="005D36F1" w:rsidRDefault="00263B23">
      <w:pPr>
        <w:widowControl w:val="0"/>
        <w:autoSpaceDE w:val="0"/>
        <w:autoSpaceDN w:val="0"/>
        <w:adjustRightInd w:val="0"/>
        <w:spacing w:after="0" w:line="240" w:lineRule="auto"/>
        <w:jc w:val="both"/>
        <w:rPr>
          <w:rFonts w:ascii="Times New Roman" w:hAnsi="Times New Roman" w:cs="Times New Roman"/>
          <w:sz w:val="28"/>
          <w:szCs w:val="28"/>
        </w:rPr>
      </w:pPr>
    </w:p>
    <w:p w:rsidR="00263B23" w:rsidRPr="005D36F1" w:rsidRDefault="0036156D">
      <w:pPr>
        <w:widowControl w:val="0"/>
        <w:autoSpaceDE w:val="0"/>
        <w:autoSpaceDN w:val="0"/>
        <w:adjustRightInd w:val="0"/>
        <w:spacing w:after="0" w:line="240" w:lineRule="auto"/>
        <w:jc w:val="both"/>
        <w:rPr>
          <w:rFonts w:ascii="Times New Roman" w:hAnsi="Times New Roman" w:cs="Times New Roman"/>
          <w:sz w:val="28"/>
          <w:szCs w:val="28"/>
        </w:rPr>
      </w:pPr>
      <w:r w:rsidRPr="005D36F1">
        <w:rPr>
          <w:rFonts w:ascii="Times New Roman" w:hAnsi="Times New Roman" w:cs="Times New Roman"/>
          <w:i/>
          <w:iCs/>
          <w:sz w:val="28"/>
          <w:szCs w:val="28"/>
        </w:rPr>
        <w:t>El ordenamiento jurídico colombiano garantiza la protección de los derechos fundamentales de los niños, niñas y adolescentes frente al consumo de sustancias psicoactivas. En consonancia con lo anterior, los padres y madres de familia tienen dos obligaciones específicas: primero, amparar a los menores frente al acceso, exposición y consumo de estas sustancias; segundo, proporcionar una información correcta, adecuada y suficiente sobre los efectos nocivos que conlleva esta conducta. Por otra parte, el padre o madre de familia que infrinja estas obligaciones no solo viola los derechos fundamentales del menor; además incurre en la causal de divorcio descrita en el numeral segundo del artículo 154 del Código Civil. En atención a que la causal es de naturaleza subjetiva, el cónyuge inocente puede demandar la imposición de las consecuencias pecuniarias establecidas en el Código Civil.</w:t>
      </w:r>
    </w:p>
    <w:p w:rsidR="00263B23" w:rsidRPr="005D36F1" w:rsidRDefault="00263B23">
      <w:pPr>
        <w:widowControl w:val="0"/>
        <w:autoSpaceDE w:val="0"/>
        <w:autoSpaceDN w:val="0"/>
        <w:adjustRightInd w:val="0"/>
        <w:spacing w:after="0" w:line="240" w:lineRule="auto"/>
        <w:jc w:val="both"/>
        <w:rPr>
          <w:rFonts w:ascii="Times New Roman" w:hAnsi="Times New Roman" w:cs="Times New Roman"/>
          <w:sz w:val="28"/>
          <w:szCs w:val="28"/>
        </w:rPr>
      </w:pPr>
    </w:p>
    <w:p w:rsidR="00263B23" w:rsidRPr="005D36F1" w:rsidRDefault="0036156D">
      <w:pPr>
        <w:widowControl w:val="0"/>
        <w:autoSpaceDE w:val="0"/>
        <w:autoSpaceDN w:val="0"/>
        <w:adjustRightInd w:val="0"/>
        <w:spacing w:after="0" w:line="240" w:lineRule="auto"/>
        <w:jc w:val="both"/>
        <w:rPr>
          <w:rFonts w:ascii="Times New Roman" w:hAnsi="Times New Roman" w:cs="Times New Roman"/>
          <w:sz w:val="28"/>
          <w:szCs w:val="28"/>
        </w:rPr>
      </w:pPr>
      <w:r w:rsidRPr="005D36F1">
        <w:rPr>
          <w:rFonts w:ascii="Times New Roman" w:hAnsi="Times New Roman" w:cs="Times New Roman"/>
          <w:b/>
          <w:bCs/>
          <w:sz w:val="28"/>
          <w:szCs w:val="28"/>
        </w:rPr>
        <w:t>JUICIO DE PROPORCIONALIDAD ESTRICTO</w:t>
      </w:r>
      <w:r w:rsidRPr="005D36F1">
        <w:rPr>
          <w:rFonts w:ascii="Times New Roman" w:hAnsi="Times New Roman" w:cs="Times New Roman"/>
          <w:sz w:val="28"/>
          <w:szCs w:val="28"/>
        </w:rPr>
        <w:t xml:space="preserve">-Aplicación </w:t>
      </w:r>
    </w:p>
    <w:p w:rsidR="00263B23" w:rsidRPr="005D36F1" w:rsidRDefault="00263B23">
      <w:pPr>
        <w:widowControl w:val="0"/>
        <w:autoSpaceDE w:val="0"/>
        <w:autoSpaceDN w:val="0"/>
        <w:adjustRightInd w:val="0"/>
        <w:spacing w:after="0" w:line="240" w:lineRule="auto"/>
        <w:jc w:val="both"/>
        <w:rPr>
          <w:rFonts w:ascii="Times New Roman" w:hAnsi="Times New Roman" w:cs="Times New Roman"/>
          <w:sz w:val="28"/>
          <w:szCs w:val="28"/>
        </w:rPr>
      </w:pPr>
    </w:p>
    <w:p w:rsidR="00263B23" w:rsidRPr="005D36F1" w:rsidRDefault="005D36F1">
      <w:pPr>
        <w:widowControl w:val="0"/>
        <w:autoSpaceDE w:val="0"/>
        <w:autoSpaceDN w:val="0"/>
        <w:adjustRightInd w:val="0"/>
        <w:spacing w:after="0" w:line="240" w:lineRule="auto"/>
        <w:jc w:val="both"/>
        <w:rPr>
          <w:rFonts w:ascii="Times New Roman" w:hAnsi="Times New Roman" w:cs="Times New Roman"/>
          <w:sz w:val="28"/>
        </w:rPr>
      </w:pPr>
      <w:r w:rsidRPr="005D36F1">
        <w:rPr>
          <w:rFonts w:ascii="Times New Roman" w:hAnsi="Times New Roman" w:cs="Times New Roman"/>
          <w:sz w:val="28"/>
          <w:szCs w:val="28"/>
        </w:rPr>
        <w:pict>
          <v:rect id="_x0000_i1025" style="width:0;height:1.5pt" o:hralign="center" o:hrstd="t" o:hr="t" fillcolor="#a0a0a0" stroked="f"/>
        </w:pict>
      </w:r>
    </w:p>
    <w:p w:rsidR="00894FB7" w:rsidRPr="005D36F1" w:rsidRDefault="005D36F1" w:rsidP="00FE4C6B">
      <w:pPr>
        <w:pStyle w:val="Encabezado"/>
        <w:jc w:val="center"/>
        <w:rPr>
          <w:rFonts w:ascii="Times New Roman" w:hAnsi="Times New Roman" w:cs="Times New Roman"/>
          <w:b/>
          <w:bCs/>
          <w:color w:val="000000" w:themeColor="text1"/>
          <w:sz w:val="28"/>
          <w:szCs w:val="28"/>
          <w:lang w:val="es-ES"/>
        </w:rPr>
      </w:pPr>
      <w:r w:rsidRPr="005D36F1">
        <w:rPr>
          <w:rFonts w:ascii="Times New Roman" w:hAnsi="Times New Roman" w:cs="Times New Roman"/>
          <w:b/>
          <w:bCs/>
          <w:color w:val="000000" w:themeColor="text1"/>
          <w:sz w:val="28"/>
          <w:szCs w:val="28"/>
          <w:lang w:val="es-ES"/>
        </w:rPr>
        <w:t>REPÚBLICA DE COLOMBIA</w:t>
      </w:r>
    </w:p>
    <w:p w:rsidR="00894FB7" w:rsidRPr="005D36F1" w:rsidRDefault="005D36F1" w:rsidP="00FE4C6B">
      <w:pPr>
        <w:pStyle w:val="Encabezado"/>
        <w:jc w:val="center"/>
        <w:rPr>
          <w:rFonts w:ascii="Times New Roman" w:hAnsi="Times New Roman" w:cs="Times New Roman"/>
          <w:b/>
          <w:bCs/>
          <w:color w:val="000000" w:themeColor="text1"/>
          <w:sz w:val="28"/>
          <w:szCs w:val="28"/>
          <w:lang w:val="es-ES"/>
        </w:rPr>
      </w:pPr>
      <w:r w:rsidRPr="005D36F1">
        <w:rPr>
          <w:rFonts w:ascii="Times New Roman" w:hAnsi="Times New Roman" w:cs="Times New Roman"/>
          <w:b/>
          <w:bCs/>
          <w:noProof/>
          <w:color w:val="000000" w:themeColor="text1"/>
          <w:sz w:val="28"/>
          <w:szCs w:val="28"/>
        </w:rPr>
        <w:drawing>
          <wp:inline distT="0" distB="0" distL="0" distR="0" wp14:anchorId="13F2215E" wp14:editId="1ADDB6A0">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rsidR="00894FB7" w:rsidRPr="005D36F1" w:rsidRDefault="005D36F1" w:rsidP="00FE4C6B">
      <w:pPr>
        <w:jc w:val="center"/>
        <w:rPr>
          <w:rFonts w:ascii="Times New Roman" w:hAnsi="Times New Roman" w:cs="Times New Roman"/>
          <w:b/>
          <w:color w:val="000000" w:themeColor="text1"/>
          <w:sz w:val="28"/>
          <w:szCs w:val="28"/>
        </w:rPr>
      </w:pPr>
      <w:r w:rsidRPr="005D36F1">
        <w:rPr>
          <w:rFonts w:ascii="Times New Roman" w:hAnsi="Times New Roman" w:cs="Times New Roman"/>
          <w:b/>
          <w:color w:val="000000" w:themeColor="text1"/>
          <w:sz w:val="28"/>
          <w:szCs w:val="28"/>
        </w:rPr>
        <w:t>CORTE CONSTITUCIONAL</w:t>
      </w:r>
    </w:p>
    <w:p w:rsidR="00894FB7" w:rsidRPr="005D36F1" w:rsidRDefault="005D36F1" w:rsidP="00FE4C6B">
      <w:pPr>
        <w:jc w:val="center"/>
        <w:rPr>
          <w:rFonts w:ascii="Times New Roman" w:hAnsi="Times New Roman" w:cs="Times New Roman"/>
          <w:color w:val="000000" w:themeColor="text1"/>
          <w:sz w:val="28"/>
          <w:szCs w:val="28"/>
        </w:rPr>
      </w:pPr>
      <w:r w:rsidRPr="005D36F1">
        <w:rPr>
          <w:rFonts w:ascii="Times New Roman" w:hAnsi="Times New Roman" w:cs="Times New Roman"/>
          <w:b/>
          <w:color w:val="000000" w:themeColor="text1"/>
          <w:sz w:val="28"/>
          <w:szCs w:val="28"/>
        </w:rPr>
        <w:t>SALA PLENA</w:t>
      </w:r>
    </w:p>
    <w:p w:rsidR="00894FB7" w:rsidRPr="005D36F1" w:rsidRDefault="005D36F1" w:rsidP="00894FB7">
      <w:pPr>
        <w:jc w:val="center"/>
        <w:rPr>
          <w:rFonts w:ascii="Times New Roman" w:hAnsi="Times New Roman" w:cs="Times New Roman"/>
          <w:color w:val="000000" w:themeColor="text1"/>
          <w:sz w:val="28"/>
          <w:szCs w:val="28"/>
        </w:rPr>
      </w:pPr>
    </w:p>
    <w:p w:rsidR="00894FB7" w:rsidRPr="005D36F1" w:rsidRDefault="005D36F1" w:rsidP="00894FB7">
      <w:pPr>
        <w:jc w:val="center"/>
        <w:outlineLvl w:val="0"/>
        <w:rPr>
          <w:rFonts w:ascii="Times New Roman" w:hAnsi="Times New Roman" w:cs="Times New Roman"/>
          <w:b/>
          <w:color w:val="000000" w:themeColor="text1"/>
          <w:sz w:val="28"/>
          <w:szCs w:val="28"/>
        </w:rPr>
      </w:pPr>
      <w:r w:rsidRPr="005D36F1">
        <w:rPr>
          <w:rFonts w:ascii="Times New Roman" w:hAnsi="Times New Roman" w:cs="Times New Roman"/>
          <w:b/>
          <w:color w:val="000000" w:themeColor="text1"/>
          <w:sz w:val="28"/>
          <w:szCs w:val="28"/>
        </w:rPr>
        <w:t xml:space="preserve">SENTENCIA C-096 de </w:t>
      </w:r>
      <w:r w:rsidRPr="005D36F1">
        <w:rPr>
          <w:rFonts w:ascii="Times New Roman" w:hAnsi="Times New Roman" w:cs="Times New Roman"/>
          <w:b/>
          <w:color w:val="000000" w:themeColor="text1"/>
          <w:sz w:val="28"/>
          <w:szCs w:val="28"/>
        </w:rPr>
        <w:t>2024</w:t>
      </w:r>
    </w:p>
    <w:p w:rsidR="00894FB7" w:rsidRPr="005D36F1" w:rsidRDefault="005D36F1" w:rsidP="00894FB7">
      <w:pPr>
        <w:rPr>
          <w:rFonts w:ascii="Times New Roman" w:hAnsi="Times New Roman" w:cs="Times New Roman"/>
          <w:color w:val="000000" w:themeColor="text1"/>
          <w:sz w:val="28"/>
          <w:szCs w:val="28"/>
        </w:rPr>
      </w:pP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ind w:left="3544"/>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Ref.: Expediente D-15</w:t>
      </w:r>
      <w:r w:rsidRPr="005D36F1">
        <w:rPr>
          <w:rFonts w:ascii="Times New Roman" w:hAnsi="Times New Roman" w:cs="Times New Roman"/>
          <w:color w:val="000000" w:themeColor="text1"/>
          <w:sz w:val="28"/>
          <w:szCs w:val="28"/>
        </w:rPr>
        <w:t>.</w:t>
      </w:r>
      <w:r w:rsidRPr="005D36F1">
        <w:rPr>
          <w:rFonts w:ascii="Times New Roman" w:hAnsi="Times New Roman" w:cs="Times New Roman"/>
          <w:color w:val="000000" w:themeColor="text1"/>
          <w:sz w:val="28"/>
          <w:szCs w:val="28"/>
        </w:rPr>
        <w:t>432</w:t>
      </w:r>
    </w:p>
    <w:p w:rsidR="00894FB7" w:rsidRPr="005D36F1" w:rsidRDefault="005D36F1" w:rsidP="00894FB7">
      <w:pPr>
        <w:ind w:left="3544"/>
        <w:jc w:val="both"/>
        <w:rPr>
          <w:rFonts w:ascii="Times New Roman" w:hAnsi="Times New Roman" w:cs="Times New Roman"/>
          <w:color w:val="000000" w:themeColor="text1"/>
          <w:sz w:val="28"/>
          <w:szCs w:val="28"/>
        </w:rPr>
      </w:pPr>
    </w:p>
    <w:p w:rsidR="00894FB7" w:rsidRPr="005D36F1" w:rsidRDefault="005D36F1" w:rsidP="00894FB7">
      <w:pPr>
        <w:ind w:left="3544"/>
        <w:jc w:val="both"/>
        <w:rPr>
          <w:rFonts w:ascii="Times New Roman" w:hAnsi="Times New Roman" w:cs="Times New Roman"/>
          <w:color w:val="000000" w:themeColor="text1"/>
          <w:sz w:val="28"/>
          <w:szCs w:val="28"/>
          <w:lang w:val="es-MX"/>
        </w:rPr>
      </w:pPr>
      <w:r w:rsidRPr="005D36F1">
        <w:rPr>
          <w:rFonts w:ascii="Times New Roman" w:hAnsi="Times New Roman" w:cs="Times New Roman"/>
          <w:color w:val="000000" w:themeColor="text1"/>
          <w:sz w:val="28"/>
          <w:szCs w:val="28"/>
        </w:rPr>
        <w:t xml:space="preserve">Demanda de inconstitucionalidad contra el </w:t>
      </w:r>
      <w:r w:rsidRPr="005D36F1">
        <w:rPr>
          <w:rFonts w:ascii="Times New Roman" w:hAnsi="Times New Roman" w:cs="Times New Roman"/>
          <w:color w:val="000000" w:themeColor="text1"/>
          <w:sz w:val="28"/>
          <w:szCs w:val="28"/>
          <w:lang w:val="es-MX"/>
        </w:rPr>
        <w:t>numeral quinto del artículo 154 del Código Civil</w:t>
      </w:r>
    </w:p>
    <w:p w:rsidR="00894FB7" w:rsidRPr="005D36F1" w:rsidRDefault="005D36F1" w:rsidP="00894FB7">
      <w:pPr>
        <w:ind w:left="3544"/>
        <w:jc w:val="both"/>
        <w:rPr>
          <w:rFonts w:ascii="Times New Roman" w:hAnsi="Times New Roman" w:cs="Times New Roman"/>
          <w:color w:val="000000" w:themeColor="text1"/>
          <w:sz w:val="28"/>
          <w:szCs w:val="28"/>
        </w:rPr>
      </w:pPr>
    </w:p>
    <w:p w:rsidR="00894FB7" w:rsidRPr="005D36F1" w:rsidRDefault="005D36F1" w:rsidP="00894FB7">
      <w:pPr>
        <w:ind w:left="3544"/>
        <w:jc w:val="both"/>
        <w:rPr>
          <w:rFonts w:ascii="Times New Roman" w:hAnsi="Times New Roman" w:cs="Times New Roman"/>
          <w:b/>
          <w:bCs/>
          <w:color w:val="000000" w:themeColor="text1"/>
          <w:sz w:val="28"/>
          <w:szCs w:val="28"/>
        </w:rPr>
      </w:pPr>
      <w:r w:rsidRPr="005D36F1">
        <w:rPr>
          <w:rFonts w:ascii="Times New Roman" w:hAnsi="Times New Roman" w:cs="Times New Roman"/>
          <w:b/>
          <w:bCs/>
          <w:color w:val="000000" w:themeColor="text1"/>
          <w:sz w:val="28"/>
          <w:szCs w:val="28"/>
        </w:rPr>
        <w:t xml:space="preserve">Demandante: </w:t>
      </w:r>
    </w:p>
    <w:p w:rsidR="00894FB7" w:rsidRPr="005D36F1" w:rsidRDefault="005D36F1" w:rsidP="00894FB7">
      <w:pPr>
        <w:ind w:left="3544"/>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Camilo Andrés Montero Jiménez</w:t>
      </w:r>
    </w:p>
    <w:p w:rsidR="00894FB7" w:rsidRPr="005D36F1" w:rsidRDefault="005D36F1" w:rsidP="00894FB7">
      <w:pPr>
        <w:ind w:left="3544"/>
        <w:jc w:val="both"/>
        <w:rPr>
          <w:rFonts w:ascii="Times New Roman" w:hAnsi="Times New Roman" w:cs="Times New Roman"/>
          <w:color w:val="000000" w:themeColor="text1"/>
          <w:sz w:val="28"/>
          <w:szCs w:val="28"/>
        </w:rPr>
      </w:pPr>
    </w:p>
    <w:p w:rsidR="00894FB7" w:rsidRPr="005D36F1" w:rsidRDefault="005D36F1" w:rsidP="00894FB7">
      <w:pPr>
        <w:ind w:left="3544"/>
        <w:jc w:val="both"/>
        <w:rPr>
          <w:rFonts w:ascii="Times New Roman" w:hAnsi="Times New Roman" w:cs="Times New Roman"/>
          <w:b/>
          <w:bCs/>
          <w:color w:val="000000" w:themeColor="text1"/>
          <w:sz w:val="28"/>
          <w:szCs w:val="28"/>
        </w:rPr>
      </w:pPr>
      <w:r w:rsidRPr="005D36F1">
        <w:rPr>
          <w:rFonts w:ascii="Times New Roman" w:hAnsi="Times New Roman" w:cs="Times New Roman"/>
          <w:b/>
          <w:bCs/>
          <w:color w:val="000000" w:themeColor="text1"/>
          <w:sz w:val="28"/>
          <w:szCs w:val="28"/>
        </w:rPr>
        <w:t xml:space="preserve">Magistrada ponente: </w:t>
      </w:r>
    </w:p>
    <w:p w:rsidR="00894FB7" w:rsidRPr="005D36F1" w:rsidRDefault="005D36F1" w:rsidP="00894FB7">
      <w:pPr>
        <w:ind w:left="3544"/>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PAOLA ANDREA MENESES MOSQUERA</w:t>
      </w:r>
    </w:p>
    <w:p w:rsidR="00894FB7" w:rsidRPr="005D36F1" w:rsidRDefault="005D36F1" w:rsidP="00894FB7">
      <w:pPr>
        <w:ind w:left="3544"/>
        <w:jc w:val="both"/>
        <w:rPr>
          <w:rFonts w:ascii="Times New Roman" w:hAnsi="Times New Roman" w:cs="Times New Roman"/>
          <w:color w:val="000000" w:themeColor="text1"/>
          <w:sz w:val="28"/>
          <w:szCs w:val="28"/>
        </w:rPr>
      </w:pPr>
    </w:p>
    <w:p w:rsidR="00894FB7" w:rsidRPr="005D36F1" w:rsidRDefault="005D36F1" w:rsidP="00894FB7">
      <w:pPr>
        <w:rPr>
          <w:rFonts w:ascii="Times New Roman" w:hAnsi="Times New Roman" w:cs="Times New Roman"/>
          <w:color w:val="000000" w:themeColor="text1"/>
          <w:sz w:val="28"/>
          <w:szCs w:val="28"/>
        </w:rPr>
      </w:pPr>
    </w:p>
    <w:p w:rsidR="00894FB7" w:rsidRPr="005D36F1" w:rsidRDefault="005D36F1" w:rsidP="00894FB7">
      <w:pPr>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 xml:space="preserve">Bogotá, D. C., tres (3) de abril de dos mil veinticuatro (2024) </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 xml:space="preserve">La Sala Plena de la Corte Constitucional, en cumplimiento de sus atribuciones constitucionales y de los requisitos y trámites establecidos en el Decreto 2067 de 1991, dicta la siguiente </w:t>
      </w:r>
    </w:p>
    <w:p w:rsidR="00894FB7" w:rsidRPr="005D36F1" w:rsidRDefault="005D36F1" w:rsidP="00894FB7">
      <w:pPr>
        <w:ind w:right="56"/>
        <w:jc w:val="both"/>
        <w:rPr>
          <w:rFonts w:ascii="Times New Roman" w:hAnsi="Times New Roman" w:cs="Times New Roman"/>
          <w:color w:val="000000" w:themeColor="text1"/>
          <w:sz w:val="28"/>
          <w:szCs w:val="28"/>
        </w:rPr>
      </w:pPr>
    </w:p>
    <w:p w:rsidR="00894FB7" w:rsidRPr="005D36F1" w:rsidRDefault="005D36F1" w:rsidP="00894FB7">
      <w:pPr>
        <w:jc w:val="center"/>
        <w:rPr>
          <w:rFonts w:ascii="Times New Roman" w:hAnsi="Times New Roman" w:cs="Times New Roman"/>
          <w:b/>
          <w:color w:val="000000" w:themeColor="text1"/>
          <w:sz w:val="28"/>
          <w:szCs w:val="28"/>
        </w:rPr>
      </w:pPr>
      <w:r w:rsidRPr="005D36F1">
        <w:rPr>
          <w:rFonts w:ascii="Times New Roman" w:hAnsi="Times New Roman" w:cs="Times New Roman"/>
          <w:b/>
          <w:color w:val="000000" w:themeColor="text1"/>
          <w:sz w:val="28"/>
          <w:szCs w:val="28"/>
        </w:rPr>
        <w:t>SENTENCIA</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jc w:val="both"/>
        <w:rPr>
          <w:rFonts w:ascii="Times New Roman" w:hAnsi="Times New Roman" w:cs="Times New Roman"/>
          <w:b/>
          <w:bCs/>
          <w:color w:val="000000" w:themeColor="text1"/>
          <w:sz w:val="28"/>
          <w:szCs w:val="28"/>
        </w:rPr>
      </w:pPr>
      <w:r w:rsidRPr="005D36F1">
        <w:rPr>
          <w:rFonts w:ascii="Times New Roman" w:hAnsi="Times New Roman" w:cs="Times New Roman"/>
          <w:b/>
          <w:bCs/>
          <w:color w:val="000000" w:themeColor="text1"/>
          <w:sz w:val="28"/>
          <w:szCs w:val="28"/>
        </w:rPr>
        <w:t>Síntesis de la decisión</w:t>
      </w:r>
      <w:r w:rsidRPr="005D36F1">
        <w:rPr>
          <w:rStyle w:val="Refdenotaalpie"/>
          <w:rFonts w:ascii="Times New Roman" w:hAnsi="Times New Roman" w:cs="Times New Roman"/>
          <w:b/>
          <w:bCs/>
          <w:color w:val="000000" w:themeColor="text1"/>
          <w:sz w:val="28"/>
          <w:szCs w:val="28"/>
        </w:rPr>
        <w:footnoteReference w:id="1"/>
      </w:r>
    </w:p>
    <w:p w:rsidR="00894FB7" w:rsidRPr="005D36F1" w:rsidRDefault="005D36F1" w:rsidP="00894FB7">
      <w:pPr>
        <w:tabs>
          <w:tab w:val="left" w:pos="567"/>
        </w:tabs>
        <w:jc w:val="both"/>
        <w:rPr>
          <w:rFonts w:ascii="Times New Roman" w:hAnsi="Times New Roman" w:cs="Times New Roman"/>
          <w:color w:val="000000" w:themeColor="text1"/>
          <w:sz w:val="28"/>
          <w:szCs w:val="28"/>
        </w:rPr>
      </w:pPr>
    </w:p>
    <w:p w:rsidR="00894FB7" w:rsidRPr="005D36F1" w:rsidRDefault="005D36F1" w:rsidP="00894FB7">
      <w:pPr>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shd w:val="clear" w:color="auto" w:fill="FFFFFF"/>
        </w:rPr>
        <w:t>El ciudadano Camilo Andrés Montero Jiménez interpuso demanda de acción pública de inconstitucionalidad contra el numeral quinto del artículo 154 del Código Civil. En su criterio, el Legislador violó el derecho fundament</w:t>
      </w:r>
      <w:r w:rsidRPr="005D36F1">
        <w:rPr>
          <w:rFonts w:ascii="Times New Roman" w:hAnsi="Times New Roman" w:cs="Times New Roman"/>
          <w:color w:val="000000" w:themeColor="text1"/>
          <w:sz w:val="28"/>
          <w:szCs w:val="28"/>
          <w:shd w:val="clear" w:color="auto" w:fill="FFFFFF"/>
        </w:rPr>
        <w:t>al al libre desarrollo de la personalidad y el principio constitucional de la dignidad humana al instaurar como causal de divorcio el «uso habitual de sustancias alucinógenas o estupefacientes, salvo prescripción médica»</w:t>
      </w:r>
      <w:r w:rsidRPr="005D36F1">
        <w:rPr>
          <w:rFonts w:ascii="Times New Roman" w:hAnsi="Times New Roman" w:cs="Times New Roman"/>
          <w:color w:val="000000" w:themeColor="text1"/>
          <w:sz w:val="28"/>
          <w:szCs w:val="28"/>
          <w:shd w:val="clear" w:color="auto" w:fill="FFFFFF"/>
          <w:vertAlign w:val="superscript"/>
        </w:rPr>
        <w:footnoteReference w:id="2"/>
      </w:r>
      <w:r w:rsidRPr="005D36F1">
        <w:rPr>
          <w:rFonts w:ascii="Times New Roman" w:hAnsi="Times New Roman" w:cs="Times New Roman"/>
          <w:color w:val="000000" w:themeColor="text1"/>
          <w:sz w:val="28"/>
          <w:szCs w:val="28"/>
          <w:shd w:val="clear" w:color="auto" w:fill="FFFFFF"/>
        </w:rPr>
        <w:t>. El consumo de las sustancias referidas estaría amparado por los principios constitucionales indicados, por lo que su inclusión en el supuesto de hecho conllevaría la infracción de los límites consignados en el texto superior</w:t>
      </w:r>
      <w:r w:rsidRPr="005D36F1">
        <w:rPr>
          <w:rFonts w:ascii="Times New Roman" w:hAnsi="Times New Roman" w:cs="Times New Roman"/>
          <w:color w:val="000000" w:themeColor="text1"/>
          <w:sz w:val="28"/>
          <w:szCs w:val="28"/>
        </w:rPr>
        <w:t xml:space="preserve">. </w:t>
      </w:r>
    </w:p>
    <w:p w:rsidR="00894FB7" w:rsidRPr="005D36F1" w:rsidRDefault="005D36F1" w:rsidP="00894FB7">
      <w:pPr>
        <w:tabs>
          <w:tab w:val="left" w:pos="567"/>
        </w:tabs>
        <w:jc w:val="both"/>
        <w:rPr>
          <w:rFonts w:ascii="Times New Roman" w:hAnsi="Times New Roman" w:cs="Times New Roman"/>
          <w:color w:val="000000" w:themeColor="text1"/>
          <w:sz w:val="28"/>
          <w:szCs w:val="28"/>
        </w:rPr>
      </w:pPr>
    </w:p>
    <w:p w:rsidR="00894FB7" w:rsidRPr="005D36F1" w:rsidRDefault="005D36F1" w:rsidP="00894FB7">
      <w:pPr>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shd w:val="clear" w:color="auto" w:fill="FFFFFF"/>
        </w:rPr>
        <w:t>Con el objetivo de resolve</w:t>
      </w:r>
      <w:r w:rsidRPr="005D36F1">
        <w:rPr>
          <w:rFonts w:ascii="Times New Roman" w:hAnsi="Times New Roman" w:cs="Times New Roman"/>
          <w:color w:val="000000" w:themeColor="text1"/>
          <w:sz w:val="28"/>
          <w:szCs w:val="28"/>
          <w:shd w:val="clear" w:color="auto" w:fill="FFFFFF"/>
        </w:rPr>
        <w:t>r el problema jurídico propuesto, la Sala Plena encontró necesario abordar los siguientes asuntos: primero, la</w:t>
      </w:r>
      <w:r w:rsidRPr="005D36F1">
        <w:rPr>
          <w:rFonts w:ascii="Times New Roman" w:hAnsi="Times New Roman" w:cs="Times New Roman"/>
          <w:i/>
          <w:iCs/>
          <w:color w:val="000000" w:themeColor="text1"/>
          <w:sz w:val="28"/>
          <w:szCs w:val="28"/>
          <w:shd w:val="clear" w:color="auto" w:fill="FFFFFF"/>
        </w:rPr>
        <w:t xml:space="preserve"> </w:t>
      </w:r>
      <w:r w:rsidRPr="005D36F1">
        <w:rPr>
          <w:rFonts w:ascii="Times New Roman" w:hAnsi="Times New Roman" w:cs="Times New Roman"/>
          <w:color w:val="000000" w:themeColor="text1"/>
          <w:sz w:val="28"/>
          <w:szCs w:val="28"/>
          <w:shd w:val="clear" w:color="auto" w:fill="FFFFFF"/>
        </w:rPr>
        <w:t xml:space="preserve">evolución de la jurisprudencia constitucional en torno al derecho al libre desarrollo de la personalidad y el consumo de sustancias psicoactivas </w:t>
      </w:r>
      <w:r w:rsidRPr="005D36F1">
        <w:rPr>
          <w:rFonts w:ascii="Times New Roman" w:hAnsi="Times New Roman" w:cs="Times New Roman"/>
          <w:color w:val="000000" w:themeColor="text1"/>
          <w:sz w:val="28"/>
          <w:szCs w:val="28"/>
          <w:shd w:val="clear" w:color="auto" w:fill="FFFFFF"/>
        </w:rPr>
        <w:t>y, segundo, la</w:t>
      </w:r>
      <w:r w:rsidRPr="005D36F1">
        <w:rPr>
          <w:rFonts w:ascii="Times New Roman" w:hAnsi="Times New Roman" w:cs="Times New Roman"/>
          <w:i/>
          <w:iCs/>
          <w:color w:val="000000" w:themeColor="text1"/>
          <w:sz w:val="28"/>
          <w:szCs w:val="28"/>
          <w:shd w:val="clear" w:color="auto" w:fill="FFFFFF"/>
        </w:rPr>
        <w:t xml:space="preserve"> </w:t>
      </w:r>
      <w:r w:rsidRPr="005D36F1">
        <w:rPr>
          <w:rFonts w:ascii="Times New Roman" w:hAnsi="Times New Roman" w:cs="Times New Roman"/>
          <w:color w:val="000000" w:themeColor="text1"/>
          <w:sz w:val="28"/>
          <w:szCs w:val="28"/>
          <w:shd w:val="clear" w:color="auto" w:fill="FFFFFF"/>
        </w:rPr>
        <w:t>relevancia del derecho fundamental al libre desarrollo de la personalidad en el matrimonio. Antes de efectuar el análisis de estas consideraciones, el plenario evaluó la aptitud sustancial de la demanda, teniendo en cuenta las objeciones que</w:t>
      </w:r>
      <w:r w:rsidRPr="005D36F1">
        <w:rPr>
          <w:rFonts w:ascii="Times New Roman" w:hAnsi="Times New Roman" w:cs="Times New Roman"/>
          <w:color w:val="000000" w:themeColor="text1"/>
          <w:sz w:val="28"/>
          <w:szCs w:val="28"/>
          <w:shd w:val="clear" w:color="auto" w:fill="FFFFFF"/>
        </w:rPr>
        <w:t xml:space="preserve"> planteó el Ministerio de Justicia y del Derecho. Dicho estudio le permitió concluir que la demanda era apta, lo que habilitó la continuación del juicio de constitucionalidad.</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shd w:val="clear" w:color="auto" w:fill="FFFFFF"/>
        </w:rPr>
        <w:t>En el primer apartado de las consideraciones generales, la Sala Plena reiteró q</w:t>
      </w:r>
      <w:r w:rsidRPr="005D36F1">
        <w:rPr>
          <w:rFonts w:ascii="Times New Roman" w:hAnsi="Times New Roman" w:cs="Times New Roman"/>
          <w:color w:val="000000" w:themeColor="text1"/>
          <w:sz w:val="28"/>
          <w:szCs w:val="28"/>
          <w:shd w:val="clear" w:color="auto" w:fill="FFFFFF"/>
        </w:rPr>
        <w:t xml:space="preserve">ue </w:t>
      </w:r>
      <w:r w:rsidRPr="005D36F1">
        <w:rPr>
          <w:rFonts w:ascii="Times New Roman" w:hAnsi="Times New Roman" w:cs="Times New Roman"/>
          <w:color w:val="000000" w:themeColor="text1"/>
          <w:sz w:val="28"/>
          <w:szCs w:val="28"/>
          <w:shd w:val="clear" w:color="auto" w:fill="FFFFFF"/>
          <w:lang w:val="es-ES_tradnl"/>
        </w:rPr>
        <w:t xml:space="preserve">el derecho al libre desarrollo de la personalidad reconoce el incomparable valor ético que tiene cada individuo, y funda en él la facultad de obrar con </w:t>
      </w:r>
      <w:r w:rsidRPr="005D36F1">
        <w:rPr>
          <w:rFonts w:ascii="Times New Roman" w:hAnsi="Times New Roman" w:cs="Times New Roman"/>
          <w:color w:val="000000" w:themeColor="text1"/>
          <w:sz w:val="28"/>
          <w:szCs w:val="28"/>
          <w:shd w:val="clear" w:color="auto" w:fill="FFFFFF"/>
        </w:rPr>
        <w:t>autonomía plena</w:t>
      </w:r>
      <w:r w:rsidRPr="005D36F1">
        <w:rPr>
          <w:rFonts w:ascii="Times New Roman" w:hAnsi="Times New Roman" w:cs="Times New Roman"/>
          <w:color w:val="000000" w:themeColor="text1"/>
          <w:sz w:val="28"/>
          <w:szCs w:val="28"/>
          <w:shd w:val="clear" w:color="auto" w:fill="FFFFFF"/>
          <w:lang w:val="es-ES_tradnl"/>
        </w:rPr>
        <w:t xml:space="preserve">. Recordó que </w:t>
      </w:r>
      <w:r w:rsidRPr="005D36F1">
        <w:rPr>
          <w:rFonts w:ascii="Times New Roman" w:hAnsi="Times New Roman" w:cs="Times New Roman"/>
          <w:color w:val="000000" w:themeColor="text1"/>
          <w:sz w:val="28"/>
          <w:szCs w:val="28"/>
          <w:shd w:val="clear" w:color="auto" w:fill="FFFFFF"/>
        </w:rPr>
        <w:t>el derecho en cuestión es incompatible con las políticas perfeccionistas</w:t>
      </w:r>
      <w:r w:rsidRPr="005D36F1">
        <w:rPr>
          <w:rFonts w:ascii="Times New Roman" w:hAnsi="Times New Roman" w:cs="Times New Roman"/>
          <w:color w:val="000000" w:themeColor="text1"/>
          <w:sz w:val="28"/>
          <w:szCs w:val="28"/>
          <w:shd w:val="clear" w:color="auto" w:fill="FFFFFF"/>
        </w:rPr>
        <w:t xml:space="preserve"> de la libertad, pues rechaza que el Estado pueda regular o injerir en el proceder del individuo que no afecta a otros sujetos. En dicho campo, en el que sus acciones únicamente tienen efectos sobre él y su plan de vida, el Estado tiene vedado intervenir. </w:t>
      </w:r>
      <w:r w:rsidRPr="005D36F1">
        <w:rPr>
          <w:rFonts w:ascii="Times New Roman" w:hAnsi="Times New Roman" w:cs="Times New Roman"/>
          <w:color w:val="000000" w:themeColor="text1"/>
          <w:sz w:val="28"/>
          <w:szCs w:val="28"/>
          <w:shd w:val="clear" w:color="auto" w:fill="FFFFFF"/>
        </w:rPr>
        <w:t>Dicho ámbito es el núcleo irreductible de la libertad individual. Por tanto, cualquier injerencia que aquel realice en este campo conlleva una violación del núcleo esencial del derecho al libre desarrollo de la personalidad.</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shd w:val="clear" w:color="auto" w:fill="FFFFFF"/>
        </w:rPr>
        <w:t>Los argumentos analizados en e</w:t>
      </w:r>
      <w:r w:rsidRPr="005D36F1">
        <w:rPr>
          <w:rFonts w:ascii="Times New Roman" w:hAnsi="Times New Roman" w:cs="Times New Roman"/>
          <w:color w:val="000000" w:themeColor="text1"/>
          <w:sz w:val="28"/>
          <w:szCs w:val="28"/>
          <w:shd w:val="clear" w:color="auto" w:fill="FFFFFF"/>
        </w:rPr>
        <w:t>l segundo apartado resaltaron el estrecho vínculo que existe entre el derecho al libre desarrollo de la personalidad y la decisión de conformar una familia a través del matrimonio. La Sala Plena reiteró que la Constitución ha encomendado al Legislador el d</w:t>
      </w:r>
      <w:r w:rsidRPr="005D36F1">
        <w:rPr>
          <w:rFonts w:ascii="Times New Roman" w:hAnsi="Times New Roman" w:cs="Times New Roman"/>
          <w:color w:val="000000" w:themeColor="text1"/>
          <w:sz w:val="28"/>
          <w:szCs w:val="28"/>
          <w:shd w:val="clear" w:color="auto" w:fill="FFFFFF"/>
        </w:rPr>
        <w:t>esarrollo de las instituciones del matrimonio y del divorcio. Para tal efecto, dentro de los límites que establece el texto superior, el Legislador cuenta con un amplio margen de configuración. En razón de lo anterior, es preciso que las causales que aquel</w:t>
      </w:r>
      <w:r w:rsidRPr="005D36F1">
        <w:rPr>
          <w:rFonts w:ascii="Times New Roman" w:hAnsi="Times New Roman" w:cs="Times New Roman"/>
          <w:color w:val="000000" w:themeColor="text1"/>
          <w:sz w:val="28"/>
          <w:szCs w:val="28"/>
          <w:shd w:val="clear" w:color="auto" w:fill="FFFFFF"/>
        </w:rPr>
        <w:t xml:space="preserve"> determine, al tiempo que promuevan la consecución de los fines que persigue el matrimonio, sean respetuosas de los derechos, principios y valores que proclama la Constitución. Con base en estas razones, el plenario procedió a resolver el cargo de inconsti</w:t>
      </w:r>
      <w:r w:rsidRPr="005D36F1">
        <w:rPr>
          <w:rFonts w:ascii="Times New Roman" w:hAnsi="Times New Roman" w:cs="Times New Roman"/>
          <w:color w:val="000000" w:themeColor="text1"/>
          <w:sz w:val="28"/>
          <w:szCs w:val="28"/>
          <w:shd w:val="clear" w:color="auto" w:fill="FFFFFF"/>
        </w:rPr>
        <w:t>tucionalidad formulado contra el numeral quinto del artículo 154 del Código Civil.</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shd w:val="clear" w:color="auto" w:fill="FFFFFF"/>
        </w:rPr>
        <w:t>Para dar comienzo el análisis de constitucionalidad, la Sala Plena estableció el alcance del supuesto de hecho descrito en la norma demandada. Para tal fin, esclareció el s</w:t>
      </w:r>
      <w:r w:rsidRPr="005D36F1">
        <w:rPr>
          <w:rFonts w:ascii="Times New Roman" w:hAnsi="Times New Roman" w:cs="Times New Roman"/>
          <w:color w:val="000000" w:themeColor="text1"/>
          <w:sz w:val="28"/>
          <w:szCs w:val="28"/>
          <w:shd w:val="clear" w:color="auto" w:fill="FFFFFF"/>
        </w:rPr>
        <w:t>entido de dos conceptos jurídicos indeterminados que se engastan en la disposición. Se refirió, concretamente, a los términos «sustancias alucinógenas o estupefacientes» y «consumo habitual de sustancias psicoactivas».</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shd w:val="clear" w:color="auto" w:fill="FFFFFF"/>
        </w:rPr>
        <w:t>Con base en el análisis de los conce</w:t>
      </w:r>
      <w:r w:rsidRPr="005D36F1">
        <w:rPr>
          <w:rFonts w:ascii="Times New Roman" w:hAnsi="Times New Roman" w:cs="Times New Roman"/>
          <w:color w:val="000000" w:themeColor="text1"/>
          <w:sz w:val="28"/>
          <w:szCs w:val="28"/>
          <w:shd w:val="clear" w:color="auto" w:fill="FFFFFF"/>
        </w:rPr>
        <w:t xml:space="preserve">ptos técnicos remitidos durante el proceso, la Sala Plena concluyó que el consumo habitual presenta las siguientes características: </w:t>
      </w:r>
      <w:r w:rsidRPr="005D36F1">
        <w:rPr>
          <w:rFonts w:ascii="Times New Roman" w:hAnsi="Times New Roman" w:cs="Times New Roman"/>
          <w:i/>
          <w:iCs/>
          <w:color w:val="000000" w:themeColor="text1"/>
          <w:sz w:val="28"/>
          <w:szCs w:val="28"/>
          <w:shd w:val="clear" w:color="auto" w:fill="FFFFFF"/>
        </w:rPr>
        <w:t xml:space="preserve">i) </w:t>
      </w:r>
      <w:r w:rsidRPr="005D36F1">
        <w:rPr>
          <w:rFonts w:ascii="Times New Roman" w:hAnsi="Times New Roman" w:cs="Times New Roman"/>
          <w:color w:val="000000" w:themeColor="text1"/>
          <w:sz w:val="28"/>
          <w:szCs w:val="28"/>
          <w:shd w:val="clear" w:color="auto" w:fill="FFFFFF"/>
        </w:rPr>
        <w:t>implica un aumento en la frecuencia y cantidad del consumo de sustancias psicoactivas, en comparación con el uso esporádi</w:t>
      </w:r>
      <w:r w:rsidRPr="005D36F1">
        <w:rPr>
          <w:rFonts w:ascii="Times New Roman" w:hAnsi="Times New Roman" w:cs="Times New Roman"/>
          <w:color w:val="000000" w:themeColor="text1"/>
          <w:sz w:val="28"/>
          <w:szCs w:val="28"/>
          <w:shd w:val="clear" w:color="auto" w:fill="FFFFFF"/>
        </w:rPr>
        <w:t xml:space="preserve">co; </w:t>
      </w:r>
      <w:r w:rsidRPr="005D36F1">
        <w:rPr>
          <w:rFonts w:ascii="Times New Roman" w:hAnsi="Times New Roman" w:cs="Times New Roman"/>
          <w:i/>
          <w:iCs/>
          <w:color w:val="000000" w:themeColor="text1"/>
          <w:sz w:val="28"/>
          <w:szCs w:val="28"/>
          <w:shd w:val="clear" w:color="auto" w:fill="FFFFFF"/>
        </w:rPr>
        <w:t xml:space="preserve">ii) </w:t>
      </w:r>
      <w:r w:rsidRPr="005D36F1">
        <w:rPr>
          <w:rFonts w:ascii="Times New Roman" w:hAnsi="Times New Roman" w:cs="Times New Roman"/>
          <w:color w:val="000000" w:themeColor="text1"/>
          <w:sz w:val="28"/>
          <w:szCs w:val="28"/>
          <w:shd w:val="clear" w:color="auto" w:fill="FFFFFF"/>
        </w:rPr>
        <w:t xml:space="preserve">conlleva para el usuario una modificación de la relevancia del consumo, en virtud del cual las sustancias psicoactivas cobran un «papel importante en [su] vida»; </w:t>
      </w:r>
      <w:r w:rsidRPr="005D36F1">
        <w:rPr>
          <w:rFonts w:ascii="Times New Roman" w:hAnsi="Times New Roman" w:cs="Times New Roman"/>
          <w:i/>
          <w:iCs/>
          <w:color w:val="000000" w:themeColor="text1"/>
          <w:sz w:val="28"/>
          <w:szCs w:val="28"/>
          <w:shd w:val="clear" w:color="auto" w:fill="FFFFFF"/>
        </w:rPr>
        <w:t xml:space="preserve">iii) </w:t>
      </w:r>
      <w:r w:rsidRPr="005D36F1">
        <w:rPr>
          <w:rFonts w:ascii="Times New Roman" w:hAnsi="Times New Roman" w:cs="Times New Roman"/>
          <w:color w:val="000000" w:themeColor="text1"/>
          <w:sz w:val="28"/>
          <w:szCs w:val="28"/>
          <w:shd w:val="clear" w:color="auto" w:fill="FFFFFF"/>
        </w:rPr>
        <w:t>no existe compulsión para el consumo y la tendencia a aumentar la «dosis del cons</w:t>
      </w:r>
      <w:r w:rsidRPr="005D36F1">
        <w:rPr>
          <w:rFonts w:ascii="Times New Roman" w:hAnsi="Times New Roman" w:cs="Times New Roman"/>
          <w:color w:val="000000" w:themeColor="text1"/>
          <w:sz w:val="28"/>
          <w:szCs w:val="28"/>
          <w:shd w:val="clear" w:color="auto" w:fill="FFFFFF"/>
        </w:rPr>
        <w:t xml:space="preserve">umo es escasa o nula»; </w:t>
      </w:r>
      <w:r w:rsidRPr="005D36F1">
        <w:rPr>
          <w:rFonts w:ascii="Times New Roman" w:hAnsi="Times New Roman" w:cs="Times New Roman"/>
          <w:i/>
          <w:iCs/>
          <w:color w:val="000000" w:themeColor="text1"/>
          <w:sz w:val="28"/>
          <w:szCs w:val="28"/>
          <w:shd w:val="clear" w:color="auto" w:fill="FFFFFF"/>
        </w:rPr>
        <w:t xml:space="preserve">iv) </w:t>
      </w:r>
      <w:r w:rsidRPr="005D36F1">
        <w:rPr>
          <w:rFonts w:ascii="Times New Roman" w:hAnsi="Times New Roman" w:cs="Times New Roman"/>
          <w:color w:val="000000" w:themeColor="text1"/>
          <w:sz w:val="28"/>
          <w:szCs w:val="28"/>
          <w:shd w:val="clear" w:color="auto" w:fill="FFFFFF"/>
        </w:rPr>
        <w:t xml:space="preserve">no supone la existencia de una psicopatología para el consumidor; y </w:t>
      </w:r>
      <w:r w:rsidRPr="005D36F1">
        <w:rPr>
          <w:rFonts w:ascii="Times New Roman" w:hAnsi="Times New Roman" w:cs="Times New Roman"/>
          <w:i/>
          <w:iCs/>
          <w:color w:val="000000" w:themeColor="text1"/>
          <w:sz w:val="28"/>
          <w:szCs w:val="28"/>
          <w:shd w:val="clear" w:color="auto" w:fill="FFFFFF"/>
        </w:rPr>
        <w:t>v)</w:t>
      </w:r>
      <w:r w:rsidRPr="005D36F1">
        <w:rPr>
          <w:rFonts w:ascii="Times New Roman" w:hAnsi="Times New Roman" w:cs="Times New Roman"/>
          <w:color w:val="000000" w:themeColor="text1"/>
          <w:sz w:val="28"/>
          <w:szCs w:val="28"/>
          <w:shd w:val="clear" w:color="auto" w:fill="FFFFFF"/>
        </w:rPr>
        <w:t xml:space="preserve"> no conlleva para el consumidor riesgos o daños que, indefectiblemente, habrán de presentarse, pues las consecuencias nocivas dependen de factores como el tipo</w:t>
      </w:r>
      <w:r w:rsidRPr="005D36F1">
        <w:rPr>
          <w:rFonts w:ascii="Times New Roman" w:hAnsi="Times New Roman" w:cs="Times New Roman"/>
          <w:color w:val="000000" w:themeColor="text1"/>
          <w:sz w:val="28"/>
          <w:szCs w:val="28"/>
          <w:shd w:val="clear" w:color="auto" w:fill="FFFFFF"/>
        </w:rPr>
        <w:t xml:space="preserve"> de sustancia que se consume, las características del usuario y las condiciones del entorno que rodea a este último.</w:t>
      </w:r>
    </w:p>
    <w:p w:rsidR="00894FB7" w:rsidRPr="005D36F1" w:rsidRDefault="005D36F1" w:rsidP="00894FB7">
      <w:pPr>
        <w:pStyle w:val="Prrafodelista"/>
        <w:rPr>
          <w:rFonts w:ascii="Times New Roman" w:hAnsi="Times New Roman" w:cs="Times New Roman"/>
          <w:color w:val="000000" w:themeColor="text1"/>
          <w:sz w:val="28"/>
          <w:szCs w:val="28"/>
        </w:rPr>
      </w:pPr>
    </w:p>
    <w:p w:rsidR="00F6028B" w:rsidRPr="005D36F1" w:rsidRDefault="005D36F1" w:rsidP="00861814">
      <w:pPr>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shd w:val="clear" w:color="auto" w:fill="FFFFFF"/>
        </w:rPr>
        <w:t>A continuación, el plenario identificó el propósito que persigue la norma bajo estudio. Estableció que dicho cometido no es otro que el de</w:t>
      </w:r>
      <w:r w:rsidRPr="005D36F1">
        <w:rPr>
          <w:rFonts w:ascii="Times New Roman" w:hAnsi="Times New Roman" w:cs="Times New Roman"/>
          <w:color w:val="000000" w:themeColor="text1"/>
          <w:sz w:val="28"/>
          <w:szCs w:val="28"/>
          <w:shd w:val="clear" w:color="auto" w:fill="FFFFFF"/>
        </w:rPr>
        <w:t xml:space="preserve"> permitir al cónyuge no consumidor finiquitar el vínculo matrimonial, cuando este juzga que la conducta del cónyuge consumidor es incompatible con su plan de vida. En dicho apartado, la Sala Plena </w:t>
      </w:r>
      <w:r w:rsidRPr="005D36F1">
        <w:rPr>
          <w:rFonts w:ascii="Times New Roman" w:hAnsi="Times New Roman" w:cs="Times New Roman"/>
          <w:color w:val="000000" w:themeColor="text1"/>
          <w:sz w:val="28"/>
          <w:szCs w:val="28"/>
          <w:shd w:val="clear" w:color="auto" w:fill="FFFFFF"/>
        </w:rPr>
        <w:t>realizó un estudio de los elementos normativos que contiene</w:t>
      </w:r>
      <w:r w:rsidRPr="005D36F1">
        <w:rPr>
          <w:rFonts w:ascii="Times New Roman" w:hAnsi="Times New Roman" w:cs="Times New Roman"/>
          <w:color w:val="000000" w:themeColor="text1"/>
          <w:sz w:val="28"/>
          <w:szCs w:val="28"/>
          <w:shd w:val="clear" w:color="auto" w:fill="FFFFFF"/>
        </w:rPr>
        <w:t xml:space="preserve"> la disposición</w:t>
      </w:r>
      <w:r w:rsidRPr="005D36F1">
        <w:rPr>
          <w:rFonts w:ascii="Times New Roman" w:hAnsi="Times New Roman" w:cs="Times New Roman"/>
          <w:color w:val="000000" w:themeColor="text1"/>
          <w:sz w:val="28"/>
          <w:szCs w:val="28"/>
          <w:shd w:val="clear" w:color="auto" w:fill="FFFFFF"/>
        </w:rPr>
        <w:t>.</w:t>
      </w:r>
      <w:r w:rsidRPr="005D36F1">
        <w:rPr>
          <w:rFonts w:ascii="Times New Roman" w:hAnsi="Times New Roman" w:cs="Times New Roman"/>
          <w:color w:val="000000" w:themeColor="text1"/>
          <w:sz w:val="28"/>
          <w:szCs w:val="28"/>
        </w:rPr>
        <w:t xml:space="preserve"> </w:t>
      </w:r>
    </w:p>
    <w:p w:rsidR="00F6028B" w:rsidRPr="005D36F1" w:rsidRDefault="005D36F1" w:rsidP="00F6028B">
      <w:pPr>
        <w:tabs>
          <w:tab w:val="left" w:pos="567"/>
        </w:tabs>
        <w:jc w:val="both"/>
        <w:rPr>
          <w:rFonts w:ascii="Times New Roman" w:hAnsi="Times New Roman" w:cs="Times New Roman"/>
          <w:color w:val="000000" w:themeColor="text1"/>
          <w:sz w:val="28"/>
          <w:szCs w:val="28"/>
        </w:rPr>
      </w:pPr>
    </w:p>
    <w:p w:rsidR="00894FB7" w:rsidRPr="005D36F1" w:rsidRDefault="005D36F1" w:rsidP="00861814">
      <w:pPr>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 xml:space="preserve">Dicho </w:t>
      </w:r>
      <w:r w:rsidRPr="005D36F1">
        <w:rPr>
          <w:rFonts w:ascii="Times New Roman" w:hAnsi="Times New Roman" w:cs="Times New Roman"/>
          <w:color w:val="000000" w:themeColor="text1"/>
          <w:sz w:val="28"/>
          <w:szCs w:val="28"/>
          <w:shd w:val="clear" w:color="auto" w:fill="FFFFFF"/>
        </w:rPr>
        <w:t xml:space="preserve">análisis permitió a la Corte concluir que el numeral quinto del artículo 154 del Código Civil no busca prevenir o remediar la violencia doméstica; tampoco pretende proteger a los menores frente a las sustancias psicoactivas. Tales </w:t>
      </w:r>
      <w:r w:rsidRPr="005D36F1">
        <w:rPr>
          <w:rFonts w:ascii="Times New Roman" w:hAnsi="Times New Roman" w:cs="Times New Roman"/>
          <w:color w:val="000000" w:themeColor="text1"/>
          <w:sz w:val="28"/>
          <w:szCs w:val="28"/>
          <w:shd w:val="clear" w:color="auto" w:fill="FFFFFF"/>
        </w:rPr>
        <w:t>propósitos son satisfechos por otras disposiciones del derecho civil; además, la Sala Plena constató que dichos comportamientos se encuentran tipificados por otras causales de divorcio, cuya índole es de carácter subjetivo. Por tal motivo, el cónyuge que i</w:t>
      </w:r>
      <w:r w:rsidRPr="005D36F1">
        <w:rPr>
          <w:rFonts w:ascii="Times New Roman" w:hAnsi="Times New Roman" w:cs="Times New Roman"/>
          <w:color w:val="000000" w:themeColor="text1"/>
          <w:sz w:val="28"/>
          <w:szCs w:val="28"/>
          <w:shd w:val="clear" w:color="auto" w:fill="FFFFFF"/>
        </w:rPr>
        <w:t>ncurre en estos comportamientos no solo da lugar a la posible disolución del vínculo matrimonial; adicionalmente, puede ser condenado al pago de alimentos y a la devolución de las donaciones que hubiera recibido por causa del matrimonio.</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shd w:val="clear" w:color="auto" w:fill="FFFFFF"/>
        </w:rPr>
        <w:t xml:space="preserve">Concluidas estas </w:t>
      </w:r>
      <w:r w:rsidRPr="005D36F1">
        <w:rPr>
          <w:rFonts w:ascii="Times New Roman" w:hAnsi="Times New Roman" w:cs="Times New Roman"/>
          <w:color w:val="000000" w:themeColor="text1"/>
          <w:sz w:val="28"/>
          <w:szCs w:val="28"/>
          <w:shd w:val="clear" w:color="auto" w:fill="FFFFFF"/>
        </w:rPr>
        <w:t>digresiones, la Sala Plena procedió a enjuiciar la constitucionalidad de la norma demandada. Al hacerlo, constató que en ella se producía una colisión entre dos derechos fundamentales: los derechos al libre desarrollo de la personalidad y a la dignidad hum</w:t>
      </w:r>
      <w:r w:rsidRPr="005D36F1">
        <w:rPr>
          <w:rFonts w:ascii="Times New Roman" w:hAnsi="Times New Roman" w:cs="Times New Roman"/>
          <w:color w:val="000000" w:themeColor="text1"/>
          <w:sz w:val="28"/>
          <w:szCs w:val="28"/>
          <w:shd w:val="clear" w:color="auto" w:fill="FFFFFF"/>
        </w:rPr>
        <w:t>ana del cónyuge que desea finiquitar el lazo matrimonial que mantiene con una persona que consume habitualmente sustancias psicoactivas; y los mismos derechos, pero del cónyuge consumidor, quien desea efectuar esta conducta, sin que ello implique la disolu</w:t>
      </w:r>
      <w:r w:rsidRPr="005D36F1">
        <w:rPr>
          <w:rFonts w:ascii="Times New Roman" w:hAnsi="Times New Roman" w:cs="Times New Roman"/>
          <w:color w:val="000000" w:themeColor="text1"/>
          <w:sz w:val="28"/>
          <w:szCs w:val="28"/>
          <w:shd w:val="clear" w:color="auto" w:fill="FFFFFF"/>
        </w:rPr>
        <w:t>ción del vínculo matrimonial o la imposición de consecuencias perjudiciales.</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shd w:val="clear" w:color="auto" w:fill="FFFFFF"/>
        </w:rPr>
        <w:t>La Corte observó que ambas pretensiones se fundan en razones constitucionales atendibles: el cónyuge no consumidor ve comprometida su libertad individual, pues —en el supuesto de</w:t>
      </w:r>
      <w:r w:rsidRPr="005D36F1">
        <w:rPr>
          <w:rFonts w:ascii="Times New Roman" w:hAnsi="Times New Roman" w:cs="Times New Roman"/>
          <w:color w:val="000000" w:themeColor="text1"/>
          <w:sz w:val="28"/>
          <w:szCs w:val="28"/>
          <w:shd w:val="clear" w:color="auto" w:fill="FFFFFF"/>
        </w:rPr>
        <w:t xml:space="preserve"> hecho previsto por el Legislador— considera que el consumo, aunque no sea nocivo para él, es contrario a sus principios y a su plan de vida como pareja. El cónyuge consumidor, por su parte, ve frustrada su aspiración de llevar a cabo una conducta que, de </w:t>
      </w:r>
      <w:r w:rsidRPr="005D36F1">
        <w:rPr>
          <w:rFonts w:ascii="Times New Roman" w:hAnsi="Times New Roman" w:cs="Times New Roman"/>
          <w:color w:val="000000" w:themeColor="text1"/>
          <w:sz w:val="28"/>
          <w:szCs w:val="28"/>
          <w:shd w:val="clear" w:color="auto" w:fill="FFFFFF"/>
        </w:rPr>
        <w:t>acuerdo con la terminología empleada por la jurisprudencia constitucional, constituye un «comportamiento no interferido». Esta expresión designa aquellas conductas que, por el hecho de no inferir daño a ninguna persona distinta a la de quien la ejecuta, no</w:t>
      </w:r>
      <w:r w:rsidRPr="005D36F1">
        <w:rPr>
          <w:rFonts w:ascii="Times New Roman" w:hAnsi="Times New Roman" w:cs="Times New Roman"/>
          <w:color w:val="000000" w:themeColor="text1"/>
          <w:sz w:val="28"/>
          <w:szCs w:val="28"/>
          <w:shd w:val="clear" w:color="auto" w:fill="FFFFFF"/>
        </w:rPr>
        <w:t xml:space="preserve"> pueden ser prohibidas sin incurrir en una violación del núcleo esencial del derecho al libre desarrollo de la personalidad.</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shd w:val="clear" w:color="auto" w:fill="FFFFFF"/>
        </w:rPr>
        <w:t>En razón de lo anterior, la Sala Plena juzgó procedente la realización de un ejercicio de armonización concreta entre los derechos</w:t>
      </w:r>
      <w:r w:rsidRPr="005D36F1">
        <w:rPr>
          <w:rFonts w:ascii="Times New Roman" w:hAnsi="Times New Roman" w:cs="Times New Roman"/>
          <w:color w:val="000000" w:themeColor="text1"/>
          <w:sz w:val="28"/>
          <w:szCs w:val="28"/>
          <w:shd w:val="clear" w:color="auto" w:fill="FFFFFF"/>
        </w:rPr>
        <w:t xml:space="preserve"> fundamentales en pugna. Este ejercicio tuvo como propósito discernir el arreglo jurídico que produjera el mayor grado de satisfacción posible de los derechos al libre desarrollo de la personalidad y la dignidad humana de los integrantes de la pareja.</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shd w:val="clear" w:color="auto" w:fill="FFFFFF"/>
        </w:rPr>
        <w:t xml:space="preserve">El </w:t>
      </w:r>
      <w:r w:rsidRPr="005D36F1">
        <w:rPr>
          <w:rFonts w:ascii="Times New Roman" w:hAnsi="Times New Roman" w:cs="Times New Roman"/>
          <w:color w:val="000000" w:themeColor="text1"/>
          <w:sz w:val="28"/>
          <w:szCs w:val="28"/>
          <w:shd w:val="clear" w:color="auto" w:fill="FFFFFF"/>
        </w:rPr>
        <w:t>tribunal concluyó que dicha situación se obtiene mediante la modificación de la índole jurídica de la causal de divorcio; más concretamente, a través de la eliminación de la posibilidad de que el cónyuge consumidor sea condenado al pago de alimentos o a la</w:t>
      </w:r>
      <w:r w:rsidRPr="005D36F1">
        <w:rPr>
          <w:rFonts w:ascii="Times New Roman" w:hAnsi="Times New Roman" w:cs="Times New Roman"/>
          <w:color w:val="000000" w:themeColor="text1"/>
          <w:sz w:val="28"/>
          <w:szCs w:val="28"/>
          <w:shd w:val="clear" w:color="auto" w:fill="FFFFFF"/>
        </w:rPr>
        <w:t xml:space="preserve"> devolución de las donaciones que hubiera recibido. De este modo, los derechos al libre desarrollo de la personalidad y a la dignidad humana de ambos cónyuges consiguen el máximo grado de realización posible: en primer lugar, el cónyuge no consumidor logra</w:t>
      </w:r>
      <w:r w:rsidRPr="005D36F1">
        <w:rPr>
          <w:rFonts w:ascii="Times New Roman" w:hAnsi="Times New Roman" w:cs="Times New Roman"/>
          <w:color w:val="000000" w:themeColor="text1"/>
          <w:sz w:val="28"/>
          <w:szCs w:val="28"/>
          <w:shd w:val="clear" w:color="auto" w:fill="FFFFFF"/>
        </w:rPr>
        <w:t xml:space="preserve"> liquidar el contrato matrimonial, lo que satisface plenamente su deseo de poner fin a una relación de pareja que no es congruente con su proyecto de vida; en segundo término, el cónyuge consumidor puede perseverar en la conducta prevista en la norma sin q</w:t>
      </w:r>
      <w:r w:rsidRPr="005D36F1">
        <w:rPr>
          <w:rFonts w:ascii="Times New Roman" w:hAnsi="Times New Roman" w:cs="Times New Roman"/>
          <w:color w:val="000000" w:themeColor="text1"/>
          <w:sz w:val="28"/>
          <w:szCs w:val="28"/>
          <w:shd w:val="clear" w:color="auto" w:fill="FFFFFF"/>
        </w:rPr>
        <w:t>ue, por este hecho, deba soportar la imposición de consecuencias jurídicas de carácter patrimonial. A juicio del plenario, esta solución ofrece una realización sustancial de su libertad personal, pues elimina las sanciones que la ley civil imponía por la r</w:t>
      </w:r>
      <w:r w:rsidRPr="005D36F1">
        <w:rPr>
          <w:rFonts w:ascii="Times New Roman" w:hAnsi="Times New Roman" w:cs="Times New Roman"/>
          <w:color w:val="000000" w:themeColor="text1"/>
          <w:sz w:val="28"/>
          <w:szCs w:val="28"/>
          <w:shd w:val="clear" w:color="auto" w:fill="FFFFFF"/>
        </w:rPr>
        <w:t xml:space="preserve">ealización de un </w:t>
      </w:r>
      <w:r w:rsidRPr="005D36F1">
        <w:rPr>
          <w:rFonts w:ascii="Times New Roman" w:hAnsi="Times New Roman" w:cs="Times New Roman"/>
          <w:i/>
          <w:iCs/>
          <w:color w:val="000000" w:themeColor="text1"/>
          <w:sz w:val="28"/>
          <w:szCs w:val="28"/>
          <w:shd w:val="clear" w:color="auto" w:fill="FFFFFF"/>
        </w:rPr>
        <w:t>comportamiento no interferido</w:t>
      </w:r>
      <w:r w:rsidRPr="005D36F1">
        <w:rPr>
          <w:rFonts w:ascii="Times New Roman" w:hAnsi="Times New Roman" w:cs="Times New Roman"/>
          <w:color w:val="000000" w:themeColor="text1"/>
          <w:sz w:val="28"/>
          <w:szCs w:val="28"/>
          <w:shd w:val="clear" w:color="auto" w:fill="FFFFFF"/>
        </w:rPr>
        <w:t>. Por tanto, la expectativa de obrar según los dictados de la libertad y la autonomía es restablecida de manera completa.</w:t>
      </w:r>
    </w:p>
    <w:p w:rsidR="00894FB7" w:rsidRPr="005D36F1" w:rsidRDefault="005D36F1" w:rsidP="00894FB7">
      <w:pPr>
        <w:tabs>
          <w:tab w:val="left" w:pos="567"/>
        </w:tabs>
        <w:jc w:val="both"/>
        <w:rPr>
          <w:rFonts w:ascii="Times New Roman" w:hAnsi="Times New Roman" w:cs="Times New Roman"/>
          <w:color w:val="000000" w:themeColor="text1"/>
          <w:sz w:val="28"/>
          <w:szCs w:val="28"/>
        </w:rPr>
      </w:pPr>
    </w:p>
    <w:p w:rsidR="00894FB7" w:rsidRPr="005D36F1" w:rsidRDefault="005D36F1" w:rsidP="00894FB7">
      <w:pPr>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shd w:val="clear" w:color="auto" w:fill="FFFFFF"/>
        </w:rPr>
        <w:t>Con base en los argumentos expuestos, la Sala Plena declaró la exequibilidad condiciona</w:t>
      </w:r>
      <w:r w:rsidRPr="005D36F1">
        <w:rPr>
          <w:rFonts w:ascii="Times New Roman" w:hAnsi="Times New Roman" w:cs="Times New Roman"/>
          <w:color w:val="000000" w:themeColor="text1"/>
          <w:sz w:val="28"/>
          <w:szCs w:val="28"/>
          <w:shd w:val="clear" w:color="auto" w:fill="FFFFFF"/>
        </w:rPr>
        <w:t>da de la disposición, en el entendido de que no da lugar a la imposición de las consecuencias patrimoniales propias de las causales de divorcio de orden subjetivo.</w:t>
      </w:r>
    </w:p>
    <w:p w:rsidR="00894FB7" w:rsidRPr="005D36F1" w:rsidRDefault="005D36F1" w:rsidP="00894FB7">
      <w:pPr>
        <w:tabs>
          <w:tab w:val="left" w:pos="567"/>
        </w:tabs>
        <w:jc w:val="both"/>
        <w:rPr>
          <w:rFonts w:ascii="Times New Roman" w:hAnsi="Times New Roman" w:cs="Times New Roman"/>
          <w:color w:val="000000" w:themeColor="text1"/>
          <w:sz w:val="28"/>
          <w:szCs w:val="28"/>
        </w:rPr>
      </w:pPr>
    </w:p>
    <w:p w:rsidR="00894FB7" w:rsidRPr="005D36F1" w:rsidRDefault="005D36F1" w:rsidP="00894FB7">
      <w:pPr>
        <w:numPr>
          <w:ilvl w:val="0"/>
          <w:numId w:val="3"/>
        </w:numPr>
        <w:rPr>
          <w:rFonts w:ascii="Times New Roman" w:hAnsi="Times New Roman" w:cs="Times New Roman"/>
          <w:color w:val="000000" w:themeColor="text1"/>
          <w:sz w:val="28"/>
          <w:szCs w:val="28"/>
        </w:rPr>
      </w:pPr>
      <w:r w:rsidRPr="005D36F1">
        <w:rPr>
          <w:rFonts w:ascii="Times New Roman" w:hAnsi="Times New Roman" w:cs="Times New Roman"/>
          <w:b/>
          <w:color w:val="000000" w:themeColor="text1"/>
          <w:sz w:val="28"/>
          <w:szCs w:val="28"/>
        </w:rPr>
        <w:t>Antecedentes</w:t>
      </w:r>
    </w:p>
    <w:p w:rsidR="00894FB7" w:rsidRPr="005D36F1" w:rsidRDefault="005D36F1" w:rsidP="00894FB7">
      <w:pPr>
        <w:tabs>
          <w:tab w:val="left" w:pos="567"/>
        </w:tabs>
        <w:jc w:val="both"/>
        <w:rPr>
          <w:rFonts w:ascii="Times New Roman" w:hAnsi="Times New Roman" w:cs="Times New Roman"/>
          <w:color w:val="000000" w:themeColor="text1"/>
          <w:sz w:val="28"/>
          <w:szCs w:val="28"/>
        </w:rPr>
      </w:pPr>
    </w:p>
    <w:p w:rsidR="00894FB7" w:rsidRPr="005D36F1" w:rsidRDefault="005D36F1" w:rsidP="00894FB7">
      <w:pPr>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El 10 de julio de 2023, el ciudadano Camilo Andrés Montero Jiménez formuló de</w:t>
      </w:r>
      <w:r w:rsidRPr="005D36F1">
        <w:rPr>
          <w:rFonts w:ascii="Times New Roman" w:hAnsi="Times New Roman" w:cs="Times New Roman"/>
          <w:color w:val="000000" w:themeColor="text1"/>
          <w:sz w:val="28"/>
          <w:szCs w:val="28"/>
        </w:rPr>
        <w:t xml:space="preserve">manda de acción pública de inconstitucionalidad contra el numeral quinto del artículo 154 del Código Civil. El numeral establece como causal de divorcio «[e]l uso habitual de sustancias alucinógenas o estupefacientes, salvo prescripción médica». </w:t>
      </w:r>
    </w:p>
    <w:p w:rsidR="00894FB7" w:rsidRPr="005D36F1" w:rsidRDefault="005D36F1" w:rsidP="00894FB7">
      <w:pPr>
        <w:tabs>
          <w:tab w:val="left" w:pos="567"/>
        </w:tabs>
        <w:jc w:val="both"/>
        <w:rPr>
          <w:rFonts w:ascii="Times New Roman" w:hAnsi="Times New Roman" w:cs="Times New Roman"/>
          <w:color w:val="000000" w:themeColor="text1"/>
          <w:sz w:val="28"/>
          <w:szCs w:val="28"/>
        </w:rPr>
      </w:pPr>
    </w:p>
    <w:p w:rsidR="00894FB7" w:rsidRPr="005D36F1" w:rsidRDefault="005D36F1" w:rsidP="00894FB7">
      <w:pPr>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La deman</w:t>
      </w:r>
      <w:r w:rsidRPr="005D36F1">
        <w:rPr>
          <w:rFonts w:ascii="Times New Roman" w:hAnsi="Times New Roman" w:cs="Times New Roman"/>
          <w:color w:val="000000" w:themeColor="text1"/>
          <w:sz w:val="28"/>
          <w:szCs w:val="28"/>
        </w:rPr>
        <w:t>da planteó originalmente dos cargos de inconstitucionalidad, uno principal y otro accesorio. El primero de ellos acusa a la disposición de infringir el principio de la dignidad humana, proclamado en el artículo primero de la Constitución, y el derecho fund</w:t>
      </w:r>
      <w:r w:rsidRPr="005D36F1">
        <w:rPr>
          <w:rFonts w:ascii="Times New Roman" w:hAnsi="Times New Roman" w:cs="Times New Roman"/>
          <w:color w:val="000000" w:themeColor="text1"/>
          <w:sz w:val="28"/>
          <w:szCs w:val="28"/>
        </w:rPr>
        <w:t>amental al libre desarrollo de la personalidad, reconocido en el artículo dieciséis. En síntesis, el demandante argumentó que la causal sanciona una conducta que se encuentra protegida por el derecho fundamental en cuestión. Ello se debe a que la causal co</w:t>
      </w:r>
      <w:r w:rsidRPr="005D36F1">
        <w:rPr>
          <w:rFonts w:ascii="Times New Roman" w:hAnsi="Times New Roman" w:cs="Times New Roman"/>
          <w:color w:val="000000" w:themeColor="text1"/>
          <w:sz w:val="28"/>
          <w:szCs w:val="28"/>
        </w:rPr>
        <w:t xml:space="preserve">nsignada en el numeral quinto es de </w:t>
      </w:r>
      <w:r w:rsidRPr="005D36F1">
        <w:rPr>
          <w:rFonts w:ascii="Times New Roman" w:hAnsi="Times New Roman" w:cs="Times New Roman"/>
          <w:i/>
          <w:iCs/>
          <w:color w:val="000000" w:themeColor="text1"/>
          <w:sz w:val="28"/>
          <w:szCs w:val="28"/>
        </w:rPr>
        <w:t>naturaleza subjetiva</w:t>
      </w:r>
      <w:r w:rsidRPr="005D36F1">
        <w:rPr>
          <w:rFonts w:ascii="Times New Roman" w:hAnsi="Times New Roman" w:cs="Times New Roman"/>
          <w:color w:val="000000" w:themeColor="text1"/>
          <w:sz w:val="28"/>
          <w:szCs w:val="28"/>
        </w:rPr>
        <w:t xml:space="preserve">. Por tal motivo, el </w:t>
      </w:r>
      <w:r w:rsidRPr="005D36F1">
        <w:rPr>
          <w:rFonts w:ascii="Times New Roman" w:hAnsi="Times New Roman" w:cs="Times New Roman"/>
          <w:i/>
          <w:iCs/>
          <w:color w:val="000000" w:themeColor="text1"/>
          <w:sz w:val="28"/>
          <w:szCs w:val="28"/>
        </w:rPr>
        <w:t>cónyuge culpable</w:t>
      </w:r>
      <w:r w:rsidRPr="005D36F1">
        <w:rPr>
          <w:rFonts w:ascii="Times New Roman" w:hAnsi="Times New Roman" w:cs="Times New Roman"/>
          <w:color w:val="000000" w:themeColor="text1"/>
          <w:sz w:val="28"/>
          <w:szCs w:val="28"/>
        </w:rPr>
        <w:t xml:space="preserve"> puede ser condenado al pago de alimentos al cónyuge inocente, y es posible que este último pueda revocar las donaciones que le hubiere hecho a aquel con ocasión d</w:t>
      </w:r>
      <w:r w:rsidRPr="005D36F1">
        <w:rPr>
          <w:rFonts w:ascii="Times New Roman" w:hAnsi="Times New Roman" w:cs="Times New Roman"/>
          <w:color w:val="000000" w:themeColor="text1"/>
          <w:sz w:val="28"/>
          <w:szCs w:val="28"/>
        </w:rPr>
        <w:t>el matrimonio. Según este planteamiento, la norma demandada instauraría consecuencias perjudiciales —que no serían otra cosa que sanciones— contra el cónyuge que realiza una conducta que se encuentra amparada por el derecho al libre desarrollo de la person</w:t>
      </w:r>
      <w:r w:rsidRPr="005D36F1">
        <w:rPr>
          <w:rFonts w:ascii="Times New Roman" w:hAnsi="Times New Roman" w:cs="Times New Roman"/>
          <w:color w:val="000000" w:themeColor="text1"/>
          <w:sz w:val="28"/>
          <w:szCs w:val="28"/>
        </w:rPr>
        <w:t xml:space="preserve">alidad. Además, tal arreglo normativo implicaría la vulneración del principio de la dignidad humana. </w:t>
      </w:r>
    </w:p>
    <w:p w:rsidR="00894FB7" w:rsidRPr="005D36F1" w:rsidRDefault="005D36F1" w:rsidP="00894FB7">
      <w:pPr>
        <w:tabs>
          <w:tab w:val="left" w:pos="567"/>
        </w:tabs>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 xml:space="preserve"> </w:t>
      </w:r>
    </w:p>
    <w:p w:rsidR="00894FB7" w:rsidRPr="005D36F1" w:rsidRDefault="005D36F1" w:rsidP="00894FB7">
      <w:pPr>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El segundo cargo denuncia la violación del artículo trece de la Constitución. En opinión del accionante, la disposición ignora que quien consume las sus</w:t>
      </w:r>
      <w:r w:rsidRPr="005D36F1">
        <w:rPr>
          <w:rFonts w:ascii="Times New Roman" w:hAnsi="Times New Roman" w:cs="Times New Roman"/>
          <w:color w:val="000000" w:themeColor="text1"/>
          <w:sz w:val="28"/>
          <w:szCs w:val="28"/>
        </w:rPr>
        <w:t>tancias que se refieren en la norma demandada es un «sujeto enfermo y[, por lo tanto, un sujeto] de especial protección constitucional»</w:t>
      </w:r>
      <w:r w:rsidRPr="005D36F1">
        <w:rPr>
          <w:rStyle w:val="Refdenotaalpie"/>
          <w:rFonts w:ascii="Times New Roman" w:hAnsi="Times New Roman" w:cs="Times New Roman"/>
          <w:color w:val="000000" w:themeColor="text1"/>
          <w:sz w:val="28"/>
          <w:szCs w:val="28"/>
        </w:rPr>
        <w:footnoteReference w:id="3"/>
      </w:r>
      <w:r w:rsidRPr="005D36F1">
        <w:rPr>
          <w:rFonts w:ascii="Times New Roman" w:hAnsi="Times New Roman" w:cs="Times New Roman"/>
          <w:color w:val="000000" w:themeColor="text1"/>
          <w:sz w:val="28"/>
          <w:szCs w:val="28"/>
        </w:rPr>
        <w:t>. Así, en vez de asegurar el cumplimiento de las obligaciones que impone el principio de solidaridad, la disposición aut</w:t>
      </w:r>
      <w:r w:rsidRPr="005D36F1">
        <w:rPr>
          <w:rFonts w:ascii="Times New Roman" w:hAnsi="Times New Roman" w:cs="Times New Roman"/>
          <w:color w:val="000000" w:themeColor="text1"/>
          <w:sz w:val="28"/>
          <w:szCs w:val="28"/>
        </w:rPr>
        <w:t>oriza al «cónyuge sano para que incumpla sus deberes de socorro y ayuda mutua con respecto a su consorte enfermo por el hecho de estar enfermo, [lo que] es un atropello al principio de solidaridad constitucional»</w:t>
      </w:r>
      <w:r w:rsidRPr="005D36F1">
        <w:rPr>
          <w:rStyle w:val="Refdenotaalpie"/>
          <w:rFonts w:ascii="Times New Roman" w:hAnsi="Times New Roman" w:cs="Times New Roman"/>
          <w:color w:val="000000" w:themeColor="text1"/>
          <w:sz w:val="28"/>
          <w:szCs w:val="28"/>
        </w:rPr>
        <w:footnoteReference w:id="4"/>
      </w:r>
      <w:r w:rsidRPr="005D36F1">
        <w:rPr>
          <w:rFonts w:ascii="Times New Roman" w:hAnsi="Times New Roman" w:cs="Times New Roman"/>
          <w:color w:val="000000" w:themeColor="text1"/>
          <w:sz w:val="28"/>
          <w:szCs w:val="28"/>
        </w:rPr>
        <w:t xml:space="preserve">. En definitiva, según esta argumentación, </w:t>
      </w:r>
      <w:r w:rsidRPr="005D36F1">
        <w:rPr>
          <w:rFonts w:ascii="Times New Roman" w:hAnsi="Times New Roman" w:cs="Times New Roman"/>
          <w:color w:val="000000" w:themeColor="text1"/>
          <w:sz w:val="28"/>
          <w:szCs w:val="28"/>
        </w:rPr>
        <w:t>el numeral demandado es inconstitucional por cuanto desconoce la obligación de proveer la protección constitucional que requieren los consumidores habituales de estas sustancias. Lo anterior conlleva, en criterio del demandante, la violación del artículo 1</w:t>
      </w:r>
      <w:r w:rsidRPr="005D36F1">
        <w:rPr>
          <w:rFonts w:ascii="Times New Roman" w:hAnsi="Times New Roman" w:cs="Times New Roman"/>
          <w:color w:val="000000" w:themeColor="text1"/>
          <w:sz w:val="28"/>
          <w:szCs w:val="28"/>
        </w:rPr>
        <w:t xml:space="preserve">3 de la Constitución.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bCs/>
          <w:iCs/>
          <w:color w:val="000000" w:themeColor="text1"/>
          <w:sz w:val="28"/>
          <w:szCs w:val="28"/>
          <w:lang w:val="es-ES_tradnl"/>
        </w:rPr>
        <w:t xml:space="preserve">Mediante auto del 15 de agosto de 2023, el despacho de la magistrada sustanciadora inadmitió la demanda en atención a que, en su criterio, incumplía los requisitos de </w:t>
      </w:r>
      <w:r w:rsidRPr="005D36F1">
        <w:rPr>
          <w:rFonts w:ascii="Times New Roman" w:hAnsi="Times New Roman" w:cs="Times New Roman"/>
          <w:bCs/>
          <w:i/>
          <w:iCs/>
          <w:color w:val="000000" w:themeColor="text1"/>
          <w:sz w:val="28"/>
          <w:szCs w:val="28"/>
          <w:lang w:val="es-ES_tradnl"/>
        </w:rPr>
        <w:t>claridad, certeza, especificidad</w:t>
      </w:r>
      <w:r w:rsidRPr="005D36F1">
        <w:rPr>
          <w:rFonts w:ascii="Times New Roman" w:hAnsi="Times New Roman" w:cs="Times New Roman"/>
          <w:bCs/>
          <w:i/>
          <w:iCs/>
          <w:color w:val="000000" w:themeColor="text1"/>
          <w:sz w:val="28"/>
          <w:szCs w:val="28"/>
          <w:lang w:val="es-ES_tradnl"/>
        </w:rPr>
        <w:t>,</w:t>
      </w:r>
      <w:r w:rsidRPr="005D36F1">
        <w:rPr>
          <w:rFonts w:ascii="Times New Roman" w:hAnsi="Times New Roman" w:cs="Times New Roman"/>
          <w:bCs/>
          <w:i/>
          <w:iCs/>
          <w:color w:val="000000" w:themeColor="text1"/>
          <w:sz w:val="28"/>
          <w:szCs w:val="28"/>
          <w:lang w:val="es-ES_tradnl"/>
        </w:rPr>
        <w:t xml:space="preserve"> pertinencia </w:t>
      </w:r>
      <w:r w:rsidRPr="005D36F1">
        <w:rPr>
          <w:rFonts w:ascii="Times New Roman" w:hAnsi="Times New Roman" w:cs="Times New Roman"/>
          <w:bCs/>
          <w:iCs/>
          <w:color w:val="000000" w:themeColor="text1"/>
          <w:sz w:val="28"/>
          <w:szCs w:val="28"/>
          <w:lang w:val="es-ES_tradnl"/>
        </w:rPr>
        <w:t>y</w:t>
      </w:r>
      <w:r w:rsidRPr="005D36F1">
        <w:rPr>
          <w:rFonts w:ascii="Times New Roman" w:hAnsi="Times New Roman" w:cs="Times New Roman"/>
          <w:bCs/>
          <w:i/>
          <w:iCs/>
          <w:color w:val="000000" w:themeColor="text1"/>
          <w:sz w:val="28"/>
          <w:szCs w:val="28"/>
          <w:lang w:val="es-ES_tradnl"/>
        </w:rPr>
        <w:t xml:space="preserve"> suficiencia</w:t>
      </w:r>
      <w:r w:rsidRPr="005D36F1">
        <w:rPr>
          <w:rFonts w:ascii="Times New Roman" w:hAnsi="Times New Roman" w:cs="Times New Roman"/>
          <w:bCs/>
          <w:iCs/>
          <w:color w:val="000000" w:themeColor="text1"/>
          <w:sz w:val="28"/>
          <w:szCs w:val="28"/>
          <w:lang w:val="es-ES_tradnl"/>
        </w:rPr>
        <w:t>.</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tabs>
          <w:tab w:val="left" w:pos="567"/>
        </w:tabs>
        <w:ind w:left="0" w:firstLine="0"/>
        <w:jc w:val="both"/>
        <w:rPr>
          <w:rFonts w:ascii="Times New Roman" w:hAnsi="Times New Roman" w:cs="Times New Roman"/>
          <w:bCs/>
          <w:iCs/>
          <w:color w:val="000000" w:themeColor="text1"/>
          <w:sz w:val="28"/>
          <w:szCs w:val="28"/>
          <w:lang w:val="es-ES_tradnl"/>
        </w:rPr>
      </w:pPr>
      <w:r w:rsidRPr="005D36F1">
        <w:rPr>
          <w:rFonts w:ascii="Times New Roman" w:hAnsi="Times New Roman" w:cs="Times New Roman"/>
          <w:bCs/>
          <w:iCs/>
          <w:color w:val="000000" w:themeColor="text1"/>
          <w:sz w:val="28"/>
          <w:szCs w:val="28"/>
          <w:lang w:val="es-ES_tradnl"/>
        </w:rPr>
        <w:t>El 18 de agosto de 2023, el accionante presentó un escrito de corrección de la demanda. Con el objetivo de enmendar las deficiencias argumentativas señaladas en el auto inadmisorio, rectificó su argumentación, planteando un único cargo de inconstitucionali</w:t>
      </w:r>
      <w:r w:rsidRPr="005D36F1">
        <w:rPr>
          <w:rFonts w:ascii="Times New Roman" w:hAnsi="Times New Roman" w:cs="Times New Roman"/>
          <w:bCs/>
          <w:iCs/>
          <w:color w:val="000000" w:themeColor="text1"/>
          <w:sz w:val="28"/>
          <w:szCs w:val="28"/>
          <w:lang w:val="es-ES_tradnl"/>
        </w:rPr>
        <w:t>dad. En él adujo que la norma demandada desconoce la dignidad humana y el libre desarrollo de la personalidad. Desistió, de tal suerte, del cargo de infracción del principio constitucional de la igualdad, que se fundaba en el supuesto desconocimiento de lo</w:t>
      </w:r>
      <w:r w:rsidRPr="005D36F1">
        <w:rPr>
          <w:rFonts w:ascii="Times New Roman" w:hAnsi="Times New Roman" w:cs="Times New Roman"/>
          <w:bCs/>
          <w:iCs/>
          <w:color w:val="000000" w:themeColor="text1"/>
          <w:sz w:val="28"/>
          <w:szCs w:val="28"/>
          <w:lang w:val="es-ES_tradnl"/>
        </w:rPr>
        <w:t xml:space="preserve">s deberes que tendría el cónyuge cuando su pareja fuese adicta al consumo de sustancias alucinógenas o estupefacientes. </w:t>
      </w:r>
    </w:p>
    <w:p w:rsidR="00894FB7" w:rsidRPr="005D36F1" w:rsidRDefault="005D36F1" w:rsidP="00894FB7">
      <w:pPr>
        <w:tabs>
          <w:tab w:val="left" w:pos="567"/>
        </w:tabs>
        <w:jc w:val="both"/>
        <w:rPr>
          <w:rFonts w:ascii="Times New Roman" w:hAnsi="Times New Roman" w:cs="Times New Roman"/>
          <w:color w:val="000000" w:themeColor="text1"/>
          <w:sz w:val="28"/>
          <w:szCs w:val="28"/>
        </w:rPr>
      </w:pPr>
    </w:p>
    <w:p w:rsidR="00894FB7" w:rsidRPr="005D36F1" w:rsidRDefault="005D36F1" w:rsidP="00894FB7">
      <w:pPr>
        <w:numPr>
          <w:ilvl w:val="0"/>
          <w:numId w:val="2"/>
        </w:numPr>
        <w:tabs>
          <w:tab w:val="left" w:pos="567"/>
        </w:tabs>
        <w:ind w:left="0" w:firstLine="0"/>
        <w:jc w:val="both"/>
        <w:rPr>
          <w:rFonts w:ascii="Times New Roman" w:hAnsi="Times New Roman" w:cs="Times New Roman"/>
          <w:bCs/>
          <w:iCs/>
          <w:color w:val="000000" w:themeColor="text1"/>
          <w:sz w:val="28"/>
          <w:szCs w:val="28"/>
        </w:rPr>
      </w:pPr>
      <w:r w:rsidRPr="005D36F1">
        <w:rPr>
          <w:rFonts w:ascii="Times New Roman" w:hAnsi="Times New Roman" w:cs="Times New Roman"/>
          <w:color w:val="000000" w:themeColor="text1"/>
          <w:sz w:val="28"/>
          <w:szCs w:val="28"/>
        </w:rPr>
        <w:t xml:space="preserve">Mediante auto del 6 de septiembre de 2023, </w:t>
      </w:r>
      <w:r w:rsidRPr="005D36F1">
        <w:rPr>
          <w:rFonts w:ascii="Times New Roman" w:hAnsi="Times New Roman" w:cs="Times New Roman"/>
          <w:bCs/>
          <w:iCs/>
          <w:color w:val="000000" w:themeColor="text1"/>
          <w:sz w:val="28"/>
          <w:szCs w:val="28"/>
          <w:lang w:val="es-ES_tradnl"/>
        </w:rPr>
        <w:t>el despacho de la magistrada sustanciadora admitió la demanda «</w:t>
      </w:r>
      <w:r w:rsidRPr="005D36F1">
        <w:rPr>
          <w:rFonts w:ascii="Times New Roman" w:hAnsi="Times New Roman" w:cs="Times New Roman"/>
          <w:bCs/>
          <w:iCs/>
          <w:color w:val="000000" w:themeColor="text1"/>
          <w:sz w:val="28"/>
          <w:szCs w:val="28"/>
        </w:rPr>
        <w:t>por el cargo de desconocimie</w:t>
      </w:r>
      <w:r w:rsidRPr="005D36F1">
        <w:rPr>
          <w:rFonts w:ascii="Times New Roman" w:hAnsi="Times New Roman" w:cs="Times New Roman"/>
          <w:bCs/>
          <w:iCs/>
          <w:color w:val="000000" w:themeColor="text1"/>
          <w:sz w:val="28"/>
          <w:szCs w:val="28"/>
        </w:rPr>
        <w:t>nto de la autonomía y el libre desarrollo de la personalidad»</w:t>
      </w:r>
      <w:r w:rsidRPr="005D36F1">
        <w:rPr>
          <w:rStyle w:val="Refdenotaalpie"/>
          <w:rFonts w:ascii="Times New Roman" w:hAnsi="Times New Roman" w:cs="Times New Roman"/>
          <w:bCs/>
          <w:iCs/>
          <w:color w:val="000000" w:themeColor="text1"/>
          <w:sz w:val="28"/>
          <w:szCs w:val="28"/>
        </w:rPr>
        <w:footnoteReference w:id="5"/>
      </w:r>
      <w:r w:rsidRPr="005D36F1">
        <w:rPr>
          <w:rFonts w:ascii="Times New Roman" w:hAnsi="Times New Roman" w:cs="Times New Roman"/>
          <w:bCs/>
          <w:iCs/>
          <w:color w:val="000000" w:themeColor="text1"/>
          <w:sz w:val="28"/>
          <w:szCs w:val="28"/>
        </w:rPr>
        <w:t xml:space="preserve">. En consecuencia, </w:t>
      </w:r>
      <w:r w:rsidRPr="005D36F1">
        <w:rPr>
          <w:rFonts w:ascii="Times New Roman" w:hAnsi="Times New Roman" w:cs="Times New Roman"/>
          <w:color w:val="000000" w:themeColor="text1"/>
          <w:sz w:val="28"/>
          <w:szCs w:val="28"/>
        </w:rPr>
        <w:t>ordenó correr traslado de la demanda a la Procuraduría General de la Nación; dispuso la fijación en lista del proceso para que los ciudadanos interesados intervinieran en esta</w:t>
      </w:r>
      <w:r w:rsidRPr="005D36F1">
        <w:rPr>
          <w:rFonts w:ascii="Times New Roman" w:hAnsi="Times New Roman" w:cs="Times New Roman"/>
          <w:color w:val="000000" w:themeColor="text1"/>
          <w:sz w:val="28"/>
          <w:szCs w:val="28"/>
        </w:rPr>
        <w:t xml:space="preserve"> causa judicial; ordenó comunicar el inicio del proceso a la Presidencia de la República, al Ministerio de Justicia y del Derecho, a las Secretarías Generales del Senado de la República y la Cámara de Representantes</w:t>
      </w:r>
      <w:r w:rsidRPr="005D36F1">
        <w:rPr>
          <w:rFonts w:ascii="Times New Roman" w:hAnsi="Times New Roman" w:cs="Times New Roman"/>
          <w:bCs/>
          <w:iCs/>
          <w:color w:val="000000" w:themeColor="text1"/>
          <w:sz w:val="28"/>
          <w:szCs w:val="28"/>
        </w:rPr>
        <w:t xml:space="preserve"> </w:t>
      </w:r>
      <w:r w:rsidRPr="005D36F1">
        <w:rPr>
          <w:rFonts w:ascii="Times New Roman" w:hAnsi="Times New Roman" w:cs="Times New Roman"/>
          <w:color w:val="000000" w:themeColor="text1"/>
          <w:sz w:val="28"/>
          <w:szCs w:val="28"/>
        </w:rPr>
        <w:t>y, por último, invitó a participar a var</w:t>
      </w:r>
      <w:r w:rsidRPr="005D36F1">
        <w:rPr>
          <w:rFonts w:ascii="Times New Roman" w:hAnsi="Times New Roman" w:cs="Times New Roman"/>
          <w:color w:val="000000" w:themeColor="text1"/>
          <w:sz w:val="28"/>
          <w:szCs w:val="28"/>
        </w:rPr>
        <w:t>ias entidades y organizaciones.</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Cumplidos los trámites constitucionales y legales pertinentes, la Sala Plena de la Corte Constitucional procede a decidir la demanda de la referencia.</w:t>
      </w:r>
    </w:p>
    <w:p w:rsidR="00894FB7" w:rsidRPr="005D36F1" w:rsidRDefault="005D36F1" w:rsidP="00894FB7">
      <w:pPr>
        <w:rPr>
          <w:rFonts w:ascii="Times New Roman" w:hAnsi="Times New Roman" w:cs="Times New Roman"/>
          <w:color w:val="000000" w:themeColor="text1"/>
          <w:sz w:val="28"/>
          <w:szCs w:val="28"/>
        </w:rPr>
      </w:pPr>
    </w:p>
    <w:p w:rsidR="00894FB7" w:rsidRPr="005D36F1" w:rsidRDefault="005D36F1" w:rsidP="00894FB7">
      <w:pPr>
        <w:numPr>
          <w:ilvl w:val="0"/>
          <w:numId w:val="3"/>
        </w:numPr>
        <w:rPr>
          <w:rFonts w:ascii="Times New Roman" w:hAnsi="Times New Roman" w:cs="Times New Roman"/>
          <w:color w:val="000000" w:themeColor="text1"/>
          <w:sz w:val="28"/>
          <w:szCs w:val="28"/>
        </w:rPr>
      </w:pPr>
      <w:r w:rsidRPr="005D36F1">
        <w:rPr>
          <w:rFonts w:ascii="Times New Roman" w:hAnsi="Times New Roman" w:cs="Times New Roman"/>
          <w:b/>
          <w:color w:val="000000" w:themeColor="text1"/>
          <w:sz w:val="28"/>
          <w:szCs w:val="28"/>
        </w:rPr>
        <w:t>Norma demandada</w:t>
      </w:r>
    </w:p>
    <w:p w:rsidR="00894FB7" w:rsidRPr="005D36F1" w:rsidRDefault="005D36F1" w:rsidP="00894FB7">
      <w:pPr>
        <w:rPr>
          <w:rFonts w:ascii="Times New Roman" w:hAnsi="Times New Roman" w:cs="Times New Roman"/>
          <w:color w:val="000000" w:themeColor="text1"/>
          <w:sz w:val="28"/>
          <w:szCs w:val="28"/>
        </w:rPr>
      </w:pPr>
    </w:p>
    <w:p w:rsidR="00894FB7" w:rsidRPr="005D36F1" w:rsidRDefault="005D36F1" w:rsidP="00894FB7">
      <w:pPr>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A continuación, se transcribe el artículo 154 del Códi</w:t>
      </w:r>
      <w:r w:rsidRPr="005D36F1">
        <w:rPr>
          <w:rFonts w:ascii="Times New Roman" w:hAnsi="Times New Roman" w:cs="Times New Roman"/>
          <w:color w:val="000000" w:themeColor="text1"/>
          <w:sz w:val="28"/>
          <w:szCs w:val="28"/>
        </w:rPr>
        <w:t>go Civil, y se destaca el numeral demandado:</w:t>
      </w:r>
    </w:p>
    <w:p w:rsidR="00894FB7" w:rsidRPr="005D36F1" w:rsidRDefault="005D36F1" w:rsidP="00894FB7">
      <w:pPr>
        <w:tabs>
          <w:tab w:val="left" w:pos="567"/>
        </w:tabs>
        <w:jc w:val="both"/>
        <w:rPr>
          <w:rFonts w:ascii="Times New Roman" w:hAnsi="Times New Roman" w:cs="Times New Roman"/>
          <w:color w:val="000000" w:themeColor="text1"/>
          <w:sz w:val="28"/>
          <w:szCs w:val="28"/>
        </w:rPr>
      </w:pPr>
    </w:p>
    <w:p w:rsidR="00894FB7" w:rsidRPr="005D36F1" w:rsidRDefault="005D36F1" w:rsidP="00894FB7">
      <w:pPr>
        <w:spacing w:before="120" w:after="120"/>
        <w:jc w:val="center"/>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LEY 84 DE 1873</w:t>
      </w:r>
    </w:p>
    <w:p w:rsidR="00894FB7" w:rsidRPr="005D36F1" w:rsidRDefault="005D36F1" w:rsidP="00894FB7">
      <w:pPr>
        <w:spacing w:before="120" w:after="120"/>
        <w:jc w:val="center"/>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(26 de mayo)</w:t>
      </w:r>
    </w:p>
    <w:p w:rsidR="00894FB7" w:rsidRPr="005D36F1" w:rsidRDefault="005D36F1" w:rsidP="00894FB7">
      <w:pPr>
        <w:spacing w:before="120" w:after="120"/>
        <w:jc w:val="center"/>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Diario Oficial No. 2.867 de 31 de mayo de 1873</w:t>
      </w:r>
    </w:p>
    <w:p w:rsidR="00894FB7" w:rsidRPr="005D36F1" w:rsidRDefault="005D36F1" w:rsidP="00894FB7">
      <w:pPr>
        <w:spacing w:before="120" w:after="120"/>
        <w:jc w:val="center"/>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CÓDIGO CIVIL DE LOS ESTADOS UNIDOS DE COLOMBIA</w:t>
      </w:r>
    </w:p>
    <w:p w:rsidR="00894FB7" w:rsidRPr="005D36F1" w:rsidRDefault="005D36F1" w:rsidP="00894FB7">
      <w:pPr>
        <w:spacing w:before="120" w:after="120"/>
        <w:jc w:val="center"/>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EL CONGRESO DE LOS ESTADOS UNIDOS DE COLOMBIA</w:t>
      </w:r>
    </w:p>
    <w:p w:rsidR="00894FB7" w:rsidRPr="005D36F1" w:rsidRDefault="005D36F1" w:rsidP="00894FB7">
      <w:pPr>
        <w:spacing w:before="120" w:after="120"/>
        <w:jc w:val="center"/>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DECRETA:</w:t>
      </w:r>
    </w:p>
    <w:p w:rsidR="00894FB7" w:rsidRPr="005D36F1" w:rsidRDefault="005D36F1" w:rsidP="00894FB7">
      <w:pPr>
        <w:spacing w:before="120" w:after="120"/>
        <w:jc w:val="center"/>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w:t>
      </w:r>
    </w:p>
    <w:p w:rsidR="00894FB7" w:rsidRPr="005D36F1" w:rsidRDefault="005D36F1" w:rsidP="00894FB7">
      <w:pPr>
        <w:spacing w:before="120" w:after="120"/>
        <w:ind w:left="708"/>
        <w:jc w:val="both"/>
        <w:rPr>
          <w:rFonts w:ascii="Times New Roman" w:hAnsi="Times New Roman" w:cs="Times New Roman"/>
          <w:color w:val="000000" w:themeColor="text1"/>
          <w:sz w:val="28"/>
        </w:rPr>
      </w:pPr>
      <w:bookmarkStart w:id="1" w:name="154"/>
      <w:r w:rsidRPr="005D36F1">
        <w:rPr>
          <w:rFonts w:ascii="Times New Roman" w:hAnsi="Times New Roman" w:cs="Times New Roman"/>
          <w:b/>
          <w:bCs/>
          <w:color w:val="000000" w:themeColor="text1"/>
          <w:sz w:val="28"/>
        </w:rPr>
        <w:t xml:space="preserve">ARTICULO 154. </w:t>
      </w:r>
      <w:r w:rsidRPr="005D36F1">
        <w:rPr>
          <w:rFonts w:ascii="Times New Roman" w:hAnsi="Times New Roman" w:cs="Times New Roman"/>
          <w:color w:val="000000" w:themeColor="text1"/>
          <w:sz w:val="28"/>
        </w:rPr>
        <w:t>Son causales de</w:t>
      </w:r>
      <w:r w:rsidRPr="005D36F1">
        <w:rPr>
          <w:rFonts w:ascii="Times New Roman" w:hAnsi="Times New Roman" w:cs="Times New Roman"/>
          <w:color w:val="000000" w:themeColor="text1"/>
          <w:sz w:val="28"/>
        </w:rPr>
        <w:t xml:space="preserve"> divorcio:</w:t>
      </w:r>
    </w:p>
    <w:p w:rsidR="00894FB7" w:rsidRPr="005D36F1" w:rsidRDefault="005D36F1" w:rsidP="00894FB7">
      <w:pPr>
        <w:spacing w:before="120" w:after="120"/>
        <w:ind w:left="708"/>
        <w:jc w:val="both"/>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1. Las relaciones sexuales extramatrimoniales de uno de los cónyuges.</w:t>
      </w:r>
    </w:p>
    <w:p w:rsidR="00894FB7" w:rsidRPr="005D36F1" w:rsidRDefault="005D36F1" w:rsidP="00894FB7">
      <w:pPr>
        <w:spacing w:before="120" w:after="120"/>
        <w:ind w:left="708"/>
        <w:jc w:val="both"/>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2. El grave e injustificado incumplimiento por parte de alguno de los cónyuges de los deberes que la ley les impone como tales y como padres.</w:t>
      </w:r>
    </w:p>
    <w:p w:rsidR="00894FB7" w:rsidRPr="005D36F1" w:rsidRDefault="005D36F1" w:rsidP="00894FB7">
      <w:pPr>
        <w:spacing w:before="120" w:after="120"/>
        <w:ind w:left="708"/>
        <w:jc w:val="both"/>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3. Los ultrajes, el trato cruel y</w:t>
      </w:r>
      <w:r w:rsidRPr="005D36F1">
        <w:rPr>
          <w:rFonts w:ascii="Times New Roman" w:hAnsi="Times New Roman" w:cs="Times New Roman"/>
          <w:color w:val="000000" w:themeColor="text1"/>
          <w:sz w:val="28"/>
        </w:rPr>
        <w:t xml:space="preserve"> los maltratamientos de obra.</w:t>
      </w:r>
    </w:p>
    <w:p w:rsidR="00894FB7" w:rsidRPr="005D36F1" w:rsidRDefault="005D36F1" w:rsidP="00894FB7">
      <w:pPr>
        <w:spacing w:before="120" w:after="120"/>
        <w:ind w:left="708"/>
        <w:jc w:val="both"/>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4. La embriaguez habitual de uno de los cónyuges.</w:t>
      </w:r>
    </w:p>
    <w:p w:rsidR="00894FB7" w:rsidRPr="005D36F1" w:rsidRDefault="005D36F1" w:rsidP="00894FB7">
      <w:pPr>
        <w:spacing w:before="120" w:after="120"/>
        <w:ind w:left="708"/>
        <w:jc w:val="both"/>
        <w:rPr>
          <w:rFonts w:ascii="Times New Roman" w:hAnsi="Times New Roman" w:cs="Times New Roman"/>
          <w:b/>
          <w:bCs/>
          <w:color w:val="000000" w:themeColor="text1"/>
          <w:sz w:val="28"/>
        </w:rPr>
      </w:pPr>
      <w:r w:rsidRPr="005D36F1">
        <w:rPr>
          <w:rFonts w:ascii="Times New Roman" w:hAnsi="Times New Roman" w:cs="Times New Roman"/>
          <w:b/>
          <w:bCs/>
          <w:color w:val="000000" w:themeColor="text1"/>
          <w:sz w:val="28"/>
        </w:rPr>
        <w:t>5. El uso habitual de sustancias alucinógenas o estupefacientes, salvo prescripción médica.</w:t>
      </w:r>
    </w:p>
    <w:p w:rsidR="00894FB7" w:rsidRPr="005D36F1" w:rsidRDefault="005D36F1" w:rsidP="00894FB7">
      <w:pPr>
        <w:spacing w:before="120" w:after="120"/>
        <w:ind w:left="708"/>
        <w:jc w:val="both"/>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 xml:space="preserve">6. Toda enfermedad o anormalidad grave e incurable, física o síquica, de uno de los </w:t>
      </w:r>
      <w:r w:rsidRPr="005D36F1">
        <w:rPr>
          <w:rFonts w:ascii="Times New Roman" w:hAnsi="Times New Roman" w:cs="Times New Roman"/>
          <w:color w:val="000000" w:themeColor="text1"/>
          <w:sz w:val="28"/>
        </w:rPr>
        <w:t>cónyuges, que ponga en peligro la salud mental o física del otro cónyuge e imposibilite la comunidad matrimonial.</w:t>
      </w:r>
    </w:p>
    <w:p w:rsidR="00894FB7" w:rsidRPr="005D36F1" w:rsidRDefault="005D36F1" w:rsidP="00894FB7">
      <w:pPr>
        <w:spacing w:before="120" w:after="120"/>
        <w:ind w:left="708"/>
        <w:jc w:val="both"/>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7. Toda conducta de uno de los cónyuges tendientes a corromper o pervertir al otro, a un descendiente, o a personas que estén a su cuidado y c</w:t>
      </w:r>
      <w:r w:rsidRPr="005D36F1">
        <w:rPr>
          <w:rFonts w:ascii="Times New Roman" w:hAnsi="Times New Roman" w:cs="Times New Roman"/>
          <w:color w:val="000000" w:themeColor="text1"/>
          <w:sz w:val="28"/>
        </w:rPr>
        <w:t>onvivan bajo el mismo techo.</w:t>
      </w:r>
    </w:p>
    <w:p w:rsidR="00894FB7" w:rsidRPr="005D36F1" w:rsidRDefault="005D36F1" w:rsidP="00894FB7">
      <w:pPr>
        <w:spacing w:before="120" w:after="120"/>
        <w:ind w:left="708"/>
        <w:jc w:val="both"/>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8. La separación de cuerpos, judicial </w:t>
      </w:r>
      <w:r w:rsidRPr="005D36F1">
        <w:rPr>
          <w:rFonts w:ascii="Times New Roman" w:hAnsi="Times New Roman" w:cs="Times New Roman"/>
          <w:i/>
          <w:iCs/>
          <w:color w:val="000000" w:themeColor="text1"/>
          <w:sz w:val="28"/>
        </w:rPr>
        <w:t>o de hecho</w:t>
      </w:r>
      <w:r w:rsidRPr="005D36F1">
        <w:rPr>
          <w:rFonts w:ascii="Times New Roman" w:hAnsi="Times New Roman" w:cs="Times New Roman"/>
          <w:color w:val="000000" w:themeColor="text1"/>
          <w:sz w:val="28"/>
        </w:rPr>
        <w:t>, que haya perdurado por más de dos años.</w:t>
      </w:r>
    </w:p>
    <w:p w:rsidR="00894FB7" w:rsidRPr="005D36F1" w:rsidRDefault="005D36F1" w:rsidP="00894FB7">
      <w:pPr>
        <w:spacing w:before="120" w:after="120"/>
        <w:ind w:left="708"/>
        <w:jc w:val="both"/>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9. El consentimiento de ambos cónyuges manifestado ante juez competente y reconocido por éste mediante sentencia.</w:t>
      </w:r>
    </w:p>
    <w:bookmarkEnd w:id="1"/>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pStyle w:val="Prrafodelista"/>
        <w:numPr>
          <w:ilvl w:val="0"/>
          <w:numId w:val="3"/>
        </w:numPr>
        <w:tabs>
          <w:tab w:val="left" w:pos="567"/>
        </w:tabs>
        <w:jc w:val="both"/>
        <w:rPr>
          <w:rFonts w:ascii="Times New Roman" w:hAnsi="Times New Roman" w:cs="Times New Roman"/>
          <w:color w:val="000000" w:themeColor="text1"/>
          <w:sz w:val="28"/>
          <w:szCs w:val="28"/>
        </w:rPr>
      </w:pPr>
      <w:r w:rsidRPr="005D36F1">
        <w:rPr>
          <w:rFonts w:ascii="Times New Roman" w:hAnsi="Times New Roman" w:cs="Times New Roman"/>
          <w:b/>
          <w:bCs/>
          <w:color w:val="000000" w:themeColor="text1"/>
          <w:sz w:val="28"/>
          <w:szCs w:val="28"/>
        </w:rPr>
        <w:t>El cargo de inconstitu</w:t>
      </w:r>
      <w:r w:rsidRPr="005D36F1">
        <w:rPr>
          <w:rFonts w:ascii="Times New Roman" w:hAnsi="Times New Roman" w:cs="Times New Roman"/>
          <w:b/>
          <w:bCs/>
          <w:color w:val="000000" w:themeColor="text1"/>
          <w:sz w:val="28"/>
          <w:szCs w:val="28"/>
        </w:rPr>
        <w:t xml:space="preserve">cionalidad </w:t>
      </w:r>
    </w:p>
    <w:p w:rsidR="00894FB7" w:rsidRPr="005D36F1" w:rsidRDefault="005D36F1" w:rsidP="00894FB7">
      <w:pPr>
        <w:pStyle w:val="Prrafodelista"/>
        <w:tabs>
          <w:tab w:val="left" w:pos="567"/>
        </w:tabs>
        <w:jc w:val="both"/>
        <w:rPr>
          <w:rFonts w:ascii="Times New Roman" w:hAnsi="Times New Roman" w:cs="Times New Roman"/>
          <w:color w:val="000000" w:themeColor="text1"/>
          <w:sz w:val="28"/>
          <w:szCs w:val="28"/>
        </w:rPr>
      </w:pPr>
    </w:p>
    <w:p w:rsidR="00894FB7" w:rsidRPr="005D36F1" w:rsidRDefault="005D36F1" w:rsidP="00894FB7">
      <w:pPr>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A juicio del accionante, la norma demandada infringe el derecho fundamental al libre desarrollo de la personalidad y el principio de la dignidad humana. En su criterio, la disposición desconoce las facultades que tales preceptos otorgan a la p</w:t>
      </w:r>
      <w:r w:rsidRPr="005D36F1">
        <w:rPr>
          <w:rFonts w:ascii="Times New Roman" w:hAnsi="Times New Roman" w:cs="Times New Roman"/>
          <w:color w:val="000000" w:themeColor="text1"/>
          <w:sz w:val="28"/>
          <w:szCs w:val="28"/>
        </w:rPr>
        <w:t>ersona para que disfrute de un ámbito de libertad, libre de injerencias. Más concretamente, viola la expectativa de «vivir como [se] quiera»</w:t>
      </w:r>
      <w:r w:rsidRPr="005D36F1">
        <w:rPr>
          <w:rFonts w:ascii="Times New Roman" w:hAnsi="Times New Roman" w:cs="Times New Roman"/>
          <w:color w:val="000000" w:themeColor="text1"/>
          <w:sz w:val="28"/>
          <w:vertAlign w:val="superscript"/>
        </w:rPr>
        <w:footnoteReference w:id="6"/>
      </w:r>
      <w:r w:rsidRPr="005D36F1">
        <w:rPr>
          <w:rFonts w:ascii="Times New Roman" w:hAnsi="Times New Roman" w:cs="Times New Roman"/>
          <w:color w:val="000000" w:themeColor="text1"/>
          <w:sz w:val="28"/>
          <w:szCs w:val="28"/>
        </w:rPr>
        <w:t xml:space="preserve"> y la facultad de efectuar «toda clase de conductas que le conciernen únicamente a [la persona] sin que el Estado p</w:t>
      </w:r>
      <w:r w:rsidRPr="005D36F1">
        <w:rPr>
          <w:rFonts w:ascii="Times New Roman" w:hAnsi="Times New Roman" w:cs="Times New Roman"/>
          <w:color w:val="000000" w:themeColor="text1"/>
          <w:sz w:val="28"/>
          <w:szCs w:val="28"/>
        </w:rPr>
        <w:t>ueda ejercer una intromisión o presión sobre […] [sus] decisiones».</w:t>
      </w:r>
    </w:p>
    <w:p w:rsidR="00894FB7" w:rsidRPr="005D36F1" w:rsidRDefault="005D36F1" w:rsidP="00894FB7">
      <w:pPr>
        <w:tabs>
          <w:tab w:val="left" w:pos="567"/>
        </w:tabs>
        <w:jc w:val="both"/>
        <w:rPr>
          <w:rFonts w:ascii="Times New Roman" w:hAnsi="Times New Roman" w:cs="Times New Roman"/>
          <w:color w:val="000000" w:themeColor="text1"/>
          <w:sz w:val="28"/>
          <w:szCs w:val="28"/>
        </w:rPr>
      </w:pPr>
    </w:p>
    <w:p w:rsidR="00894FB7" w:rsidRPr="005D36F1" w:rsidRDefault="005D36F1" w:rsidP="00894FB7">
      <w:pPr>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Con fundamento en un apartado de la Sentencia C-253 de 2019, el accionante sostiene que el «consumo habitual de sustancias alucinógenas o estupefacientes que la norma da por causal de div</w:t>
      </w:r>
      <w:r w:rsidRPr="005D36F1">
        <w:rPr>
          <w:rFonts w:ascii="Times New Roman" w:hAnsi="Times New Roman" w:cs="Times New Roman"/>
          <w:color w:val="000000" w:themeColor="text1"/>
          <w:sz w:val="28"/>
          <w:szCs w:val="28"/>
        </w:rPr>
        <w:t>orcio encaja en el ejercicio de un derecho fundamental reconocido por la jurisprudencia constitucional»</w:t>
      </w:r>
      <w:r w:rsidRPr="005D36F1">
        <w:rPr>
          <w:rStyle w:val="Refdenotaalpie"/>
          <w:rFonts w:ascii="Times New Roman" w:hAnsi="Times New Roman" w:cs="Times New Roman"/>
          <w:color w:val="000000" w:themeColor="text1"/>
          <w:sz w:val="28"/>
          <w:szCs w:val="28"/>
        </w:rPr>
        <w:footnoteReference w:id="7"/>
      </w:r>
      <w:r w:rsidRPr="005D36F1">
        <w:rPr>
          <w:rFonts w:ascii="Times New Roman" w:hAnsi="Times New Roman" w:cs="Times New Roman"/>
          <w:color w:val="000000" w:themeColor="text1"/>
          <w:sz w:val="28"/>
          <w:szCs w:val="28"/>
        </w:rPr>
        <w:t>. En la providencia en cuestión, que se transcribe ampliamente en el escrito de corrección de la demanda, la Sala Plena declaró que «</w:t>
      </w:r>
      <w:r w:rsidRPr="005D36F1">
        <w:rPr>
          <w:rFonts w:ascii="Times New Roman" w:hAnsi="Times New Roman" w:cs="Times New Roman"/>
          <w:color w:val="000000" w:themeColor="text1"/>
          <w:sz w:val="28"/>
          <w:szCs w:val="28"/>
          <w:shd w:val="clear" w:color="auto" w:fill="FFFFFF"/>
        </w:rPr>
        <w:t xml:space="preserve">el </w:t>
      </w:r>
      <w:r w:rsidRPr="005D36F1">
        <w:rPr>
          <w:rFonts w:ascii="Times New Roman" w:hAnsi="Times New Roman" w:cs="Times New Roman"/>
          <w:color w:val="000000" w:themeColor="text1"/>
          <w:sz w:val="28"/>
          <w:szCs w:val="28"/>
        </w:rPr>
        <w:t>derecho al libre</w:t>
      </w:r>
      <w:r w:rsidRPr="005D36F1">
        <w:rPr>
          <w:rFonts w:ascii="Times New Roman" w:hAnsi="Times New Roman" w:cs="Times New Roman"/>
          <w:color w:val="000000" w:themeColor="text1"/>
          <w:sz w:val="28"/>
          <w:szCs w:val="28"/>
        </w:rPr>
        <w:t xml:space="preserve"> desarrollo de la personalidad incluye la protección del porte y consumo de la dosis personal». La sentencia ahonda en esta cuestión, señalando que, en ejercicio del derecho, «[t]al decisión del sujeto, que puede no compartirse y el Estado legítimamente de</w:t>
      </w:r>
      <w:r w:rsidRPr="005D36F1">
        <w:rPr>
          <w:rFonts w:ascii="Times New Roman" w:hAnsi="Times New Roman" w:cs="Times New Roman"/>
          <w:color w:val="000000" w:themeColor="text1"/>
          <w:sz w:val="28"/>
          <w:szCs w:val="28"/>
        </w:rPr>
        <w:t>sestimularla, ha de respetarse profundamente, cuando no impacte los derechos de los demás, en tanto es una de las dimensiones de la dignidad de la persona en una de sus dimensiones más fundamentales: ser autónomo y libre». Con base en este apartado jurispr</w:t>
      </w:r>
      <w:r w:rsidRPr="005D36F1">
        <w:rPr>
          <w:rFonts w:ascii="Times New Roman" w:hAnsi="Times New Roman" w:cs="Times New Roman"/>
          <w:color w:val="000000" w:themeColor="text1"/>
          <w:sz w:val="28"/>
          <w:szCs w:val="28"/>
        </w:rPr>
        <w:t xml:space="preserve">udencial, el accionante concluye que el consumo habitual de estas sustancias forma parte del derecho al libre desarrollo de la personalidad.  </w:t>
      </w:r>
    </w:p>
    <w:p w:rsidR="00894FB7" w:rsidRPr="005D36F1" w:rsidRDefault="005D36F1" w:rsidP="00894FB7">
      <w:pPr>
        <w:tabs>
          <w:tab w:val="left" w:pos="567"/>
        </w:tabs>
        <w:jc w:val="both"/>
        <w:rPr>
          <w:rFonts w:ascii="Times New Roman" w:hAnsi="Times New Roman" w:cs="Times New Roman"/>
          <w:color w:val="000000" w:themeColor="text1"/>
          <w:sz w:val="28"/>
          <w:szCs w:val="28"/>
        </w:rPr>
      </w:pPr>
    </w:p>
    <w:p w:rsidR="00894FB7" w:rsidRPr="005D36F1" w:rsidRDefault="005D36F1" w:rsidP="00894FB7">
      <w:pPr>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Establecido lo anterior, el demandante afirma que la norma demandada es inconstitucional, por cuanto imposibilit</w:t>
      </w:r>
      <w:r w:rsidRPr="005D36F1">
        <w:rPr>
          <w:rFonts w:ascii="Times New Roman" w:hAnsi="Times New Roman" w:cs="Times New Roman"/>
          <w:color w:val="000000" w:themeColor="text1"/>
          <w:sz w:val="28"/>
          <w:szCs w:val="28"/>
        </w:rPr>
        <w:t>a el ejercicio de una libertad que ampara la Constitución. Al respecto, explica que si bien cuenta con un amplio margen de discrecionalidad para regular el divorcio, el Legislador «debe respetar principios como la dignidad humana, el libre desarrollo de la</w:t>
      </w:r>
      <w:r w:rsidRPr="005D36F1">
        <w:rPr>
          <w:rFonts w:ascii="Times New Roman" w:hAnsi="Times New Roman" w:cs="Times New Roman"/>
          <w:color w:val="000000" w:themeColor="text1"/>
          <w:sz w:val="28"/>
          <w:szCs w:val="28"/>
        </w:rPr>
        <w:t xml:space="preserve"> personalidad, entre otros»</w:t>
      </w:r>
      <w:r w:rsidRPr="005D36F1">
        <w:rPr>
          <w:rStyle w:val="Refdenotaalpie"/>
          <w:rFonts w:ascii="Times New Roman" w:hAnsi="Times New Roman" w:cs="Times New Roman"/>
          <w:color w:val="000000" w:themeColor="text1"/>
          <w:sz w:val="28"/>
          <w:szCs w:val="28"/>
        </w:rPr>
        <w:footnoteReference w:id="8"/>
      </w:r>
      <w:r w:rsidRPr="005D36F1">
        <w:rPr>
          <w:rFonts w:ascii="Times New Roman" w:hAnsi="Times New Roman" w:cs="Times New Roman"/>
          <w:color w:val="000000" w:themeColor="text1"/>
          <w:sz w:val="28"/>
          <w:szCs w:val="28"/>
        </w:rPr>
        <w:t>. Esta aseveración fue sustentada en la Sentencia C-394 de 2007, en la cual este tribunal afirmó que «los principios de dignidad humana, libre desarrollo de la personalidad y la inalienabilidad de los derechos de los cónyuges se</w:t>
      </w:r>
      <w:r w:rsidRPr="005D36F1">
        <w:rPr>
          <w:rFonts w:ascii="Times New Roman" w:hAnsi="Times New Roman" w:cs="Times New Roman"/>
          <w:color w:val="000000" w:themeColor="text1"/>
          <w:sz w:val="28"/>
          <w:szCs w:val="28"/>
        </w:rPr>
        <w:t xml:space="preserve"> constituyen en criterios orientadores para diseñar el modelo legal en donde aquel no se torne inamovible».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Para terminar, el accionante señaló que la causal en cuestión no alude a las acciones que perjudiquen a los integrantes de la familia del consumid</w:t>
      </w:r>
      <w:r w:rsidRPr="005D36F1">
        <w:rPr>
          <w:rFonts w:ascii="Times New Roman" w:hAnsi="Times New Roman" w:cs="Times New Roman"/>
          <w:color w:val="000000" w:themeColor="text1"/>
          <w:sz w:val="28"/>
          <w:szCs w:val="28"/>
        </w:rPr>
        <w:t>or habitual o a los actos violentos que aquel acometa en su contra. Tales conductas estarían sancionadas en otras causales de divorcio, estipuladas en el artículo 154 del Código Civil. Así ocurre, en criterio del accionante, con «el grave e injustificado i</w:t>
      </w:r>
      <w:r w:rsidRPr="005D36F1">
        <w:rPr>
          <w:rFonts w:ascii="Times New Roman" w:hAnsi="Times New Roman" w:cs="Times New Roman"/>
          <w:color w:val="000000" w:themeColor="text1"/>
          <w:sz w:val="28"/>
          <w:szCs w:val="28"/>
        </w:rPr>
        <w:t xml:space="preserve">ncumplimiento por parte de alguno de los cónyuges de los deberes que la ley les impone como tales y como padres» (nal. 2) y con «[l]os ultrajes, el trato cruel y los maltratamientos de obra» (nal. 3). Lo anterior demuestra, en criterio del demandante, que </w:t>
      </w:r>
      <w:r w:rsidRPr="005D36F1">
        <w:rPr>
          <w:rFonts w:ascii="Times New Roman" w:hAnsi="Times New Roman" w:cs="Times New Roman"/>
          <w:color w:val="000000" w:themeColor="text1"/>
          <w:sz w:val="28"/>
          <w:szCs w:val="28"/>
        </w:rPr>
        <w:t xml:space="preserve">la norma demandada alude únicamente el </w:t>
      </w:r>
      <w:r w:rsidRPr="005D36F1">
        <w:rPr>
          <w:rFonts w:ascii="Times New Roman" w:hAnsi="Times New Roman" w:cs="Times New Roman"/>
          <w:i/>
          <w:iCs/>
          <w:color w:val="000000" w:themeColor="text1"/>
          <w:sz w:val="28"/>
          <w:szCs w:val="28"/>
        </w:rPr>
        <w:t xml:space="preserve">uso habitual </w:t>
      </w:r>
      <w:r w:rsidRPr="005D36F1">
        <w:rPr>
          <w:rFonts w:ascii="Times New Roman" w:hAnsi="Times New Roman" w:cs="Times New Roman"/>
          <w:color w:val="000000" w:themeColor="text1"/>
          <w:sz w:val="28"/>
          <w:szCs w:val="28"/>
        </w:rPr>
        <w:t xml:space="preserve">de sustancias, y no a las posibles consecuencias nocivas que pudiera ocasionar a los demás integrantes del núcleo familiar. Esta sería la prueba de que el objeto de la disposición no es otro que prohibir </w:t>
      </w:r>
      <w:r w:rsidRPr="005D36F1">
        <w:rPr>
          <w:rFonts w:ascii="Times New Roman" w:hAnsi="Times New Roman" w:cs="Times New Roman"/>
          <w:color w:val="000000" w:themeColor="text1"/>
          <w:sz w:val="28"/>
          <w:szCs w:val="28"/>
        </w:rPr>
        <w:t xml:space="preserve">el ejercicio de una libertad individual que es inocua frente a terceros. Con fundamento en esta argumentación, el demandante solicita a la Sala Plena declarar la inexequibilidad del numeral demandado. </w:t>
      </w:r>
    </w:p>
    <w:p w:rsidR="00894FB7" w:rsidRPr="005D36F1" w:rsidRDefault="005D36F1" w:rsidP="00894FB7">
      <w:pPr>
        <w:tabs>
          <w:tab w:val="left" w:pos="567"/>
        </w:tabs>
        <w:jc w:val="both"/>
        <w:rPr>
          <w:rFonts w:ascii="Times New Roman" w:hAnsi="Times New Roman" w:cs="Times New Roman"/>
          <w:color w:val="000000" w:themeColor="text1"/>
          <w:sz w:val="28"/>
          <w:szCs w:val="28"/>
        </w:rPr>
      </w:pPr>
    </w:p>
    <w:p w:rsidR="00B5075E" w:rsidRPr="005D36F1" w:rsidRDefault="005D36F1" w:rsidP="00894FB7">
      <w:pPr>
        <w:tabs>
          <w:tab w:val="left" w:pos="567"/>
        </w:tabs>
        <w:jc w:val="both"/>
        <w:rPr>
          <w:rFonts w:ascii="Times New Roman" w:hAnsi="Times New Roman" w:cs="Times New Roman"/>
          <w:color w:val="000000" w:themeColor="text1"/>
          <w:sz w:val="28"/>
          <w:szCs w:val="28"/>
        </w:rPr>
      </w:pPr>
    </w:p>
    <w:p w:rsidR="00B5075E" w:rsidRPr="005D36F1" w:rsidRDefault="005D36F1" w:rsidP="00894FB7">
      <w:pPr>
        <w:tabs>
          <w:tab w:val="left" w:pos="567"/>
        </w:tabs>
        <w:jc w:val="both"/>
        <w:rPr>
          <w:rFonts w:ascii="Times New Roman" w:hAnsi="Times New Roman" w:cs="Times New Roman"/>
          <w:color w:val="000000" w:themeColor="text1"/>
          <w:sz w:val="28"/>
          <w:szCs w:val="28"/>
        </w:rPr>
      </w:pPr>
    </w:p>
    <w:p w:rsidR="00B5075E" w:rsidRPr="005D36F1" w:rsidRDefault="005D36F1" w:rsidP="00894FB7">
      <w:pPr>
        <w:tabs>
          <w:tab w:val="left" w:pos="567"/>
        </w:tabs>
        <w:jc w:val="both"/>
        <w:rPr>
          <w:rFonts w:ascii="Times New Roman" w:hAnsi="Times New Roman" w:cs="Times New Roman"/>
          <w:color w:val="000000" w:themeColor="text1"/>
          <w:sz w:val="28"/>
          <w:szCs w:val="28"/>
        </w:rPr>
      </w:pPr>
    </w:p>
    <w:p w:rsidR="00894FB7" w:rsidRPr="005D36F1" w:rsidRDefault="005D36F1" w:rsidP="00894FB7">
      <w:pPr>
        <w:pStyle w:val="Prrafodelista"/>
        <w:numPr>
          <w:ilvl w:val="0"/>
          <w:numId w:val="3"/>
        </w:numPr>
        <w:tabs>
          <w:tab w:val="left" w:pos="567"/>
        </w:tabs>
        <w:jc w:val="both"/>
        <w:rPr>
          <w:rFonts w:ascii="Times New Roman" w:eastAsiaTheme="minorHAnsi" w:hAnsi="Times New Roman" w:cs="Times New Roman"/>
          <w:b/>
          <w:bCs/>
          <w:color w:val="000000" w:themeColor="text1"/>
          <w:sz w:val="28"/>
          <w:szCs w:val="28"/>
          <w:lang w:val="es-MX" w:eastAsia="en-US"/>
        </w:rPr>
      </w:pPr>
      <w:r w:rsidRPr="005D36F1">
        <w:rPr>
          <w:rFonts w:ascii="Times New Roman" w:eastAsiaTheme="minorHAnsi" w:hAnsi="Times New Roman" w:cs="Times New Roman"/>
          <w:b/>
          <w:bCs/>
          <w:color w:val="000000" w:themeColor="text1"/>
          <w:sz w:val="28"/>
          <w:szCs w:val="28"/>
          <w:lang w:val="es-MX" w:eastAsia="en-US"/>
        </w:rPr>
        <w:t>Intervenciones</w:t>
      </w:r>
    </w:p>
    <w:p w:rsidR="00894FB7" w:rsidRPr="005D36F1" w:rsidRDefault="005D36F1" w:rsidP="00894FB7">
      <w:pPr>
        <w:rPr>
          <w:rFonts w:ascii="Times New Roman" w:hAnsi="Times New Roman" w:cs="Times New Roman"/>
          <w:color w:val="000000" w:themeColor="text1"/>
          <w:sz w:val="28"/>
          <w:szCs w:val="28"/>
        </w:rPr>
      </w:pPr>
    </w:p>
    <w:p w:rsidR="00894FB7" w:rsidRPr="005D36F1" w:rsidRDefault="005D36F1" w:rsidP="00894FB7">
      <w:pPr>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 xml:space="preserve">Dentro del término previsto en el </w:t>
      </w:r>
      <w:r w:rsidRPr="005D36F1">
        <w:rPr>
          <w:rFonts w:ascii="Times New Roman" w:hAnsi="Times New Roman" w:cs="Times New Roman"/>
          <w:color w:val="000000" w:themeColor="text1"/>
          <w:sz w:val="28"/>
          <w:szCs w:val="28"/>
        </w:rPr>
        <w:t>Decreto 2067 de 1991, se recibieron once intervenciones: una de ellas solicitó la emisión de un fallo inhibitorio; seis defendieron la constitucionalidad de la norma demandada; y cuatro solicitaron la declaratoria de inexequibilidad</w:t>
      </w:r>
      <w:r w:rsidRPr="005D36F1">
        <w:rPr>
          <w:rStyle w:val="Refdenotaalpie"/>
          <w:rFonts w:ascii="Times New Roman" w:hAnsi="Times New Roman" w:cs="Times New Roman"/>
          <w:color w:val="000000" w:themeColor="text1"/>
          <w:sz w:val="28"/>
          <w:szCs w:val="28"/>
        </w:rPr>
        <w:footnoteReference w:id="9"/>
      </w:r>
      <w:r w:rsidRPr="005D36F1">
        <w:rPr>
          <w:rFonts w:ascii="Times New Roman" w:hAnsi="Times New Roman" w:cs="Times New Roman"/>
          <w:color w:val="000000" w:themeColor="text1"/>
          <w:sz w:val="28"/>
          <w:szCs w:val="28"/>
        </w:rPr>
        <w:t>. A continuación se sin</w:t>
      </w:r>
      <w:r w:rsidRPr="005D36F1">
        <w:rPr>
          <w:rFonts w:ascii="Times New Roman" w:hAnsi="Times New Roman" w:cs="Times New Roman"/>
          <w:color w:val="000000" w:themeColor="text1"/>
          <w:sz w:val="28"/>
          <w:szCs w:val="28"/>
        </w:rPr>
        <w:t xml:space="preserve">tetizan los argumentos propuestos en los escritos remitidos a este tribunal.  </w:t>
      </w:r>
    </w:p>
    <w:p w:rsidR="00894FB7" w:rsidRPr="005D36F1" w:rsidRDefault="005D36F1" w:rsidP="00894FB7">
      <w:pPr>
        <w:tabs>
          <w:tab w:val="left" w:pos="567"/>
        </w:tabs>
        <w:jc w:val="both"/>
        <w:rPr>
          <w:rFonts w:ascii="Times New Roman" w:hAnsi="Times New Roman" w:cs="Times New Roman"/>
          <w:color w:val="000000" w:themeColor="text1"/>
          <w:sz w:val="28"/>
          <w:szCs w:val="28"/>
        </w:rPr>
      </w:pPr>
    </w:p>
    <w:p w:rsidR="00894FB7" w:rsidRPr="005D36F1" w:rsidRDefault="005D36F1" w:rsidP="00894FB7">
      <w:pPr>
        <w:tabs>
          <w:tab w:val="left" w:pos="567"/>
        </w:tabs>
        <w:jc w:val="both"/>
        <w:rPr>
          <w:rFonts w:ascii="Times New Roman" w:hAnsi="Times New Roman" w:cs="Times New Roman"/>
          <w:i/>
          <w:iCs/>
          <w:color w:val="000000" w:themeColor="text1"/>
          <w:sz w:val="28"/>
          <w:szCs w:val="28"/>
        </w:rPr>
      </w:pPr>
      <w:r w:rsidRPr="005D36F1">
        <w:rPr>
          <w:rFonts w:ascii="Times New Roman" w:hAnsi="Times New Roman" w:cs="Times New Roman"/>
          <w:i/>
          <w:iCs/>
          <w:color w:val="000000" w:themeColor="text1"/>
          <w:sz w:val="28"/>
          <w:szCs w:val="28"/>
        </w:rPr>
        <w:t>Intervención que solicitó la emisión de un fallo inhibitorio</w:t>
      </w:r>
    </w:p>
    <w:p w:rsidR="00894FB7" w:rsidRPr="005D36F1" w:rsidRDefault="005D36F1" w:rsidP="00894FB7">
      <w:pPr>
        <w:tabs>
          <w:tab w:val="left" w:pos="567"/>
        </w:tabs>
        <w:jc w:val="both"/>
        <w:rPr>
          <w:rFonts w:ascii="Times New Roman" w:hAnsi="Times New Roman" w:cs="Times New Roman"/>
          <w:color w:val="000000" w:themeColor="text1"/>
          <w:sz w:val="28"/>
          <w:szCs w:val="28"/>
        </w:rPr>
      </w:pPr>
    </w:p>
    <w:tbl>
      <w:tblPr>
        <w:tblStyle w:val="Tablanormal1"/>
        <w:tblW w:w="0" w:type="auto"/>
        <w:tblLook w:val="04A0" w:firstRow="1" w:lastRow="0" w:firstColumn="1" w:lastColumn="0" w:noHBand="0" w:noVBand="1"/>
      </w:tblPr>
      <w:tblGrid>
        <w:gridCol w:w="2263"/>
        <w:gridCol w:w="6565"/>
      </w:tblGrid>
      <w:tr w:rsidR="00894FB7" w:rsidRPr="005D36F1" w:rsidTr="00B507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894FB7" w:rsidRPr="005D36F1" w:rsidRDefault="005D36F1" w:rsidP="00B5075E">
            <w:pPr>
              <w:tabs>
                <w:tab w:val="left" w:pos="567"/>
              </w:tabs>
              <w:jc w:val="both"/>
              <w:rPr>
                <w:rFonts w:ascii="Times New Roman" w:hAnsi="Times New Roman" w:cs="Times New Roman"/>
                <w:b w:val="0"/>
                <w:bCs w:val="0"/>
                <w:i/>
                <w:iCs/>
                <w:color w:val="000000" w:themeColor="text1"/>
                <w:sz w:val="28"/>
              </w:rPr>
            </w:pPr>
            <w:r w:rsidRPr="005D36F1">
              <w:rPr>
                <w:rFonts w:ascii="Times New Roman" w:hAnsi="Times New Roman" w:cs="Times New Roman"/>
                <w:b w:val="0"/>
                <w:bCs w:val="0"/>
                <w:i/>
                <w:iCs/>
                <w:color w:val="000000" w:themeColor="text1"/>
                <w:sz w:val="28"/>
              </w:rPr>
              <w:t>Entidad</w:t>
            </w:r>
          </w:p>
        </w:tc>
        <w:tc>
          <w:tcPr>
            <w:tcW w:w="6565" w:type="dxa"/>
          </w:tcPr>
          <w:p w:rsidR="00894FB7" w:rsidRPr="005D36F1" w:rsidRDefault="005D36F1" w:rsidP="00B5075E">
            <w:pPr>
              <w:tabs>
                <w:tab w:val="left" w:pos="567"/>
              </w:tabs>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iCs/>
                <w:color w:val="000000" w:themeColor="text1"/>
                <w:sz w:val="28"/>
              </w:rPr>
            </w:pPr>
            <w:r w:rsidRPr="005D36F1">
              <w:rPr>
                <w:rFonts w:ascii="Times New Roman" w:hAnsi="Times New Roman" w:cs="Times New Roman"/>
                <w:b w:val="0"/>
                <w:bCs w:val="0"/>
                <w:i/>
                <w:iCs/>
                <w:color w:val="000000" w:themeColor="text1"/>
                <w:sz w:val="28"/>
              </w:rPr>
              <w:t>Argumentos propuestos</w:t>
            </w:r>
          </w:p>
        </w:tc>
      </w:tr>
      <w:tr w:rsidR="00894FB7" w:rsidRPr="005D36F1" w:rsidTr="00B507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894FB7" w:rsidRPr="005D36F1" w:rsidRDefault="005D36F1" w:rsidP="00B5075E">
            <w:pPr>
              <w:tabs>
                <w:tab w:val="left" w:pos="567"/>
              </w:tabs>
              <w:jc w:val="both"/>
              <w:rPr>
                <w:rFonts w:ascii="Times New Roman" w:hAnsi="Times New Roman" w:cs="Times New Roman"/>
                <w:b w:val="0"/>
                <w:bCs w:val="0"/>
                <w:color w:val="000000" w:themeColor="text1"/>
                <w:sz w:val="28"/>
              </w:rPr>
            </w:pPr>
            <w:r w:rsidRPr="005D36F1">
              <w:rPr>
                <w:rFonts w:ascii="Times New Roman" w:hAnsi="Times New Roman" w:cs="Times New Roman"/>
                <w:b w:val="0"/>
                <w:bCs w:val="0"/>
                <w:color w:val="000000" w:themeColor="text1"/>
                <w:sz w:val="28"/>
              </w:rPr>
              <w:t>Ministerio de Justicia y del Derecho</w:t>
            </w:r>
            <w:r w:rsidRPr="005D36F1">
              <w:rPr>
                <w:rStyle w:val="Refdenotaalpie"/>
                <w:rFonts w:ascii="Times New Roman" w:hAnsi="Times New Roman" w:cs="Times New Roman"/>
                <w:b w:val="0"/>
                <w:bCs w:val="0"/>
                <w:color w:val="000000" w:themeColor="text1"/>
                <w:sz w:val="28"/>
              </w:rPr>
              <w:footnoteReference w:id="10"/>
            </w:r>
          </w:p>
        </w:tc>
        <w:tc>
          <w:tcPr>
            <w:tcW w:w="6565" w:type="dxa"/>
          </w:tcPr>
          <w:p w:rsidR="00894FB7" w:rsidRPr="005D36F1" w:rsidRDefault="005D36F1" w:rsidP="00B5075E">
            <w:pPr>
              <w:tabs>
                <w:tab w:val="left" w:pos="567"/>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 xml:space="preserve">La cartera solicitó a esta corporación emitir un fallo inhibitorio, con fundamento en la ineptitud sustancial de la demanda. En criterio de la entidad, el cargo planteado incumple los siguientes requisitos: </w:t>
            </w:r>
            <w:r w:rsidRPr="005D36F1">
              <w:rPr>
                <w:rFonts w:ascii="Times New Roman" w:hAnsi="Times New Roman" w:cs="Times New Roman"/>
                <w:i/>
                <w:iCs/>
                <w:color w:val="000000" w:themeColor="text1"/>
                <w:sz w:val="28"/>
              </w:rPr>
              <w:t>certeza</w:t>
            </w:r>
            <w:r w:rsidRPr="005D36F1">
              <w:rPr>
                <w:rFonts w:ascii="Times New Roman" w:hAnsi="Times New Roman" w:cs="Times New Roman"/>
                <w:color w:val="000000" w:themeColor="text1"/>
                <w:sz w:val="28"/>
              </w:rPr>
              <w:t xml:space="preserve">, en tanto atribuye al artículo dieciséis </w:t>
            </w:r>
            <w:r w:rsidRPr="005D36F1">
              <w:rPr>
                <w:rFonts w:ascii="Times New Roman" w:hAnsi="Times New Roman" w:cs="Times New Roman"/>
                <w:color w:val="000000" w:themeColor="text1"/>
                <w:sz w:val="28"/>
              </w:rPr>
              <w:t xml:space="preserve">superior un alcance subjetivo, que no corresponde a su sentido genuino; </w:t>
            </w:r>
            <w:r w:rsidRPr="005D36F1">
              <w:rPr>
                <w:rFonts w:ascii="Times New Roman" w:hAnsi="Times New Roman" w:cs="Times New Roman"/>
                <w:i/>
                <w:iCs/>
                <w:color w:val="000000" w:themeColor="text1"/>
                <w:sz w:val="28"/>
              </w:rPr>
              <w:t>especificidad</w:t>
            </w:r>
            <w:r w:rsidRPr="005D36F1">
              <w:rPr>
                <w:rFonts w:ascii="Times New Roman" w:hAnsi="Times New Roman" w:cs="Times New Roman"/>
                <w:color w:val="000000" w:themeColor="text1"/>
                <w:sz w:val="28"/>
              </w:rPr>
              <w:t>, pues se funda en «una interpretación restringida de la norma constitucional, dejando de lado un análisis sistémico y completo»</w:t>
            </w:r>
            <w:r w:rsidRPr="005D36F1">
              <w:rPr>
                <w:rStyle w:val="Refdenotaalpie"/>
                <w:rFonts w:ascii="Times New Roman" w:hAnsi="Times New Roman" w:cs="Times New Roman"/>
                <w:color w:val="000000" w:themeColor="text1"/>
                <w:sz w:val="28"/>
              </w:rPr>
              <w:footnoteReference w:id="11"/>
            </w:r>
            <w:r w:rsidRPr="005D36F1">
              <w:rPr>
                <w:rFonts w:ascii="Times New Roman" w:hAnsi="Times New Roman" w:cs="Times New Roman"/>
                <w:color w:val="000000" w:themeColor="text1"/>
                <w:sz w:val="28"/>
              </w:rPr>
              <w:t xml:space="preserve">; y </w:t>
            </w:r>
            <w:r w:rsidRPr="005D36F1">
              <w:rPr>
                <w:rFonts w:ascii="Times New Roman" w:hAnsi="Times New Roman" w:cs="Times New Roman"/>
                <w:i/>
                <w:iCs/>
                <w:color w:val="000000" w:themeColor="text1"/>
                <w:sz w:val="28"/>
              </w:rPr>
              <w:t>suficiencia</w:t>
            </w:r>
            <w:r w:rsidRPr="005D36F1">
              <w:rPr>
                <w:rFonts w:ascii="Times New Roman" w:hAnsi="Times New Roman" w:cs="Times New Roman"/>
                <w:color w:val="000000" w:themeColor="text1"/>
                <w:sz w:val="28"/>
              </w:rPr>
              <w:t>, en atención a que las def</w:t>
            </w:r>
            <w:r w:rsidRPr="005D36F1">
              <w:rPr>
                <w:rFonts w:ascii="Times New Roman" w:hAnsi="Times New Roman" w:cs="Times New Roman"/>
                <w:color w:val="000000" w:themeColor="text1"/>
                <w:sz w:val="28"/>
              </w:rPr>
              <w:t xml:space="preserve">iciencias anteriores anulan cualquier duda razonable sobre la constitucionalidad de la norma demandada. </w:t>
            </w:r>
          </w:p>
        </w:tc>
      </w:tr>
    </w:tbl>
    <w:p w:rsidR="00894FB7" w:rsidRPr="005D36F1" w:rsidRDefault="005D36F1" w:rsidP="00894FB7">
      <w:pPr>
        <w:tabs>
          <w:tab w:val="left" w:pos="567"/>
        </w:tabs>
        <w:jc w:val="both"/>
        <w:rPr>
          <w:rFonts w:ascii="Times New Roman" w:hAnsi="Times New Roman" w:cs="Times New Roman"/>
          <w:color w:val="000000" w:themeColor="text1"/>
          <w:sz w:val="28"/>
          <w:szCs w:val="28"/>
        </w:rPr>
      </w:pPr>
    </w:p>
    <w:p w:rsidR="00894FB7" w:rsidRPr="005D36F1" w:rsidRDefault="005D36F1" w:rsidP="00894FB7">
      <w:pPr>
        <w:tabs>
          <w:tab w:val="left" w:pos="567"/>
        </w:tabs>
        <w:jc w:val="both"/>
        <w:rPr>
          <w:rFonts w:ascii="Times New Roman" w:hAnsi="Times New Roman" w:cs="Times New Roman"/>
          <w:i/>
          <w:iCs/>
          <w:color w:val="000000" w:themeColor="text1"/>
          <w:sz w:val="28"/>
          <w:szCs w:val="28"/>
        </w:rPr>
      </w:pPr>
      <w:r w:rsidRPr="005D36F1">
        <w:rPr>
          <w:rFonts w:ascii="Times New Roman" w:hAnsi="Times New Roman" w:cs="Times New Roman"/>
          <w:i/>
          <w:iCs/>
          <w:color w:val="000000" w:themeColor="text1"/>
          <w:sz w:val="28"/>
          <w:szCs w:val="28"/>
        </w:rPr>
        <w:t>Intervenciones que solicitaron la declaración de exequibilidad de la norma demandada</w:t>
      </w:r>
    </w:p>
    <w:p w:rsidR="00894FB7" w:rsidRPr="005D36F1" w:rsidRDefault="005D36F1" w:rsidP="00894FB7">
      <w:pPr>
        <w:tabs>
          <w:tab w:val="left" w:pos="567"/>
        </w:tabs>
        <w:jc w:val="both"/>
        <w:rPr>
          <w:rFonts w:ascii="Times New Roman" w:hAnsi="Times New Roman" w:cs="Times New Roman"/>
          <w:color w:val="000000" w:themeColor="text1"/>
          <w:sz w:val="28"/>
          <w:szCs w:val="28"/>
        </w:rPr>
      </w:pPr>
    </w:p>
    <w:tbl>
      <w:tblPr>
        <w:tblStyle w:val="Tablanormal1"/>
        <w:tblW w:w="0" w:type="auto"/>
        <w:tblLook w:val="04A0" w:firstRow="1" w:lastRow="0" w:firstColumn="1" w:lastColumn="0" w:noHBand="0" w:noVBand="1"/>
      </w:tblPr>
      <w:tblGrid>
        <w:gridCol w:w="2263"/>
        <w:gridCol w:w="6565"/>
      </w:tblGrid>
      <w:tr w:rsidR="00894FB7" w:rsidRPr="005D36F1" w:rsidTr="00B507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894FB7" w:rsidRPr="005D36F1" w:rsidRDefault="005D36F1" w:rsidP="00B5075E">
            <w:pPr>
              <w:tabs>
                <w:tab w:val="left" w:pos="567"/>
              </w:tabs>
              <w:jc w:val="both"/>
              <w:rPr>
                <w:rFonts w:ascii="Times New Roman" w:hAnsi="Times New Roman" w:cs="Times New Roman"/>
                <w:b w:val="0"/>
                <w:bCs w:val="0"/>
                <w:i/>
                <w:iCs/>
                <w:color w:val="000000" w:themeColor="text1"/>
                <w:sz w:val="28"/>
              </w:rPr>
            </w:pPr>
            <w:r w:rsidRPr="005D36F1">
              <w:rPr>
                <w:rFonts w:ascii="Times New Roman" w:hAnsi="Times New Roman" w:cs="Times New Roman"/>
                <w:b w:val="0"/>
                <w:bCs w:val="0"/>
                <w:i/>
                <w:iCs/>
                <w:color w:val="000000" w:themeColor="text1"/>
                <w:sz w:val="28"/>
              </w:rPr>
              <w:t>Interviniente</w:t>
            </w:r>
          </w:p>
        </w:tc>
        <w:tc>
          <w:tcPr>
            <w:tcW w:w="6565" w:type="dxa"/>
          </w:tcPr>
          <w:p w:rsidR="00894FB7" w:rsidRPr="005D36F1" w:rsidRDefault="005D36F1" w:rsidP="00B5075E">
            <w:pPr>
              <w:tabs>
                <w:tab w:val="left" w:pos="567"/>
              </w:tabs>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iCs/>
                <w:color w:val="000000" w:themeColor="text1"/>
                <w:sz w:val="28"/>
              </w:rPr>
            </w:pPr>
            <w:r w:rsidRPr="005D36F1">
              <w:rPr>
                <w:rFonts w:ascii="Times New Roman" w:hAnsi="Times New Roman" w:cs="Times New Roman"/>
                <w:b w:val="0"/>
                <w:bCs w:val="0"/>
                <w:i/>
                <w:iCs/>
                <w:color w:val="000000" w:themeColor="text1"/>
                <w:sz w:val="28"/>
              </w:rPr>
              <w:t>Argumentos propuestos</w:t>
            </w:r>
          </w:p>
        </w:tc>
      </w:tr>
      <w:tr w:rsidR="00894FB7" w:rsidRPr="005D36F1" w:rsidTr="00B507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894FB7" w:rsidRPr="005D36F1" w:rsidRDefault="005D36F1" w:rsidP="00B5075E">
            <w:pPr>
              <w:tabs>
                <w:tab w:val="left" w:pos="567"/>
              </w:tabs>
              <w:jc w:val="both"/>
              <w:rPr>
                <w:rFonts w:ascii="Times New Roman" w:hAnsi="Times New Roman" w:cs="Times New Roman"/>
                <w:b w:val="0"/>
                <w:bCs w:val="0"/>
                <w:color w:val="000000" w:themeColor="text1"/>
                <w:sz w:val="28"/>
              </w:rPr>
            </w:pPr>
            <w:r w:rsidRPr="005D36F1">
              <w:rPr>
                <w:rFonts w:ascii="Times New Roman" w:hAnsi="Times New Roman" w:cs="Times New Roman"/>
                <w:b w:val="0"/>
                <w:bCs w:val="0"/>
                <w:color w:val="000000" w:themeColor="text1"/>
                <w:sz w:val="28"/>
              </w:rPr>
              <w:t>Nicolás Mateus Polanco</w:t>
            </w:r>
          </w:p>
        </w:tc>
        <w:tc>
          <w:tcPr>
            <w:tcW w:w="6565" w:type="dxa"/>
          </w:tcPr>
          <w:p w:rsidR="00894FB7" w:rsidRPr="005D36F1" w:rsidRDefault="005D36F1" w:rsidP="00B5075E">
            <w:pPr>
              <w:tabs>
                <w:tab w:val="left" w:pos="567"/>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 xml:space="preserve">En </w:t>
            </w:r>
            <w:r w:rsidRPr="005D36F1">
              <w:rPr>
                <w:rFonts w:ascii="Times New Roman" w:hAnsi="Times New Roman" w:cs="Times New Roman"/>
                <w:color w:val="000000" w:themeColor="text1"/>
                <w:sz w:val="28"/>
              </w:rPr>
              <w:t>criterio del ciudadano, la conducta descrita en la causal demandada lesiona «otros valores constitucionales, como la protección de la familia, el bienestar de los hijos y la seguridad de los cónyuges»</w:t>
            </w:r>
            <w:r w:rsidRPr="005D36F1">
              <w:rPr>
                <w:rStyle w:val="Refdenotaalpie"/>
                <w:rFonts w:ascii="Times New Roman" w:hAnsi="Times New Roman" w:cs="Times New Roman"/>
                <w:color w:val="000000" w:themeColor="text1"/>
                <w:sz w:val="28"/>
              </w:rPr>
              <w:footnoteReference w:id="12"/>
            </w:r>
            <w:r w:rsidRPr="005D36F1">
              <w:rPr>
                <w:rFonts w:ascii="Times New Roman" w:hAnsi="Times New Roman" w:cs="Times New Roman"/>
                <w:color w:val="000000" w:themeColor="text1"/>
                <w:sz w:val="28"/>
              </w:rPr>
              <w:t>. El ciudadano sostuvo que el uso de las sustancias ref</w:t>
            </w:r>
            <w:r w:rsidRPr="005D36F1">
              <w:rPr>
                <w:rFonts w:ascii="Times New Roman" w:hAnsi="Times New Roman" w:cs="Times New Roman"/>
                <w:color w:val="000000" w:themeColor="text1"/>
                <w:sz w:val="28"/>
              </w:rPr>
              <w:t xml:space="preserve">eridas en la norma provoca una </w:t>
            </w:r>
            <w:r w:rsidRPr="005D36F1">
              <w:rPr>
                <w:rFonts w:ascii="Times New Roman" w:hAnsi="Times New Roman" w:cs="Times New Roman"/>
                <w:i/>
                <w:iCs/>
                <w:color w:val="000000" w:themeColor="text1"/>
                <w:sz w:val="28"/>
              </w:rPr>
              <w:t xml:space="preserve">decadencia </w:t>
            </w:r>
            <w:r w:rsidRPr="005D36F1">
              <w:rPr>
                <w:rFonts w:ascii="Times New Roman" w:hAnsi="Times New Roman" w:cs="Times New Roman"/>
                <w:color w:val="000000" w:themeColor="text1"/>
                <w:sz w:val="28"/>
              </w:rPr>
              <w:t>del consumidor, lo que acarrea «una clara violación de su dignidad humana»</w:t>
            </w:r>
            <w:r w:rsidRPr="005D36F1">
              <w:rPr>
                <w:rStyle w:val="Refdenotaalpie"/>
                <w:rFonts w:ascii="Times New Roman" w:hAnsi="Times New Roman" w:cs="Times New Roman"/>
                <w:color w:val="000000" w:themeColor="text1"/>
                <w:sz w:val="28"/>
              </w:rPr>
              <w:footnoteReference w:id="13"/>
            </w:r>
            <w:r w:rsidRPr="005D36F1">
              <w:rPr>
                <w:rFonts w:ascii="Times New Roman" w:hAnsi="Times New Roman" w:cs="Times New Roman"/>
                <w:color w:val="000000" w:themeColor="text1"/>
                <w:sz w:val="28"/>
              </w:rPr>
              <w:t>. Además, conlleva el desconocimiento de la prevalencia del interés general y la violación de los derechos de los niños que integran la fam</w:t>
            </w:r>
            <w:r w:rsidRPr="005D36F1">
              <w:rPr>
                <w:rFonts w:ascii="Times New Roman" w:hAnsi="Times New Roman" w:cs="Times New Roman"/>
                <w:color w:val="000000" w:themeColor="text1"/>
                <w:sz w:val="28"/>
              </w:rPr>
              <w:t xml:space="preserve">ilia del consumidor. Como consecuencia de lo anterior, la regulación contenida en la norma demandada sería plenamente congruente con tratados internacionales como la Convención sobre los Derechos del Niño, la Convención de </w:t>
            </w:r>
            <w:r w:rsidRPr="005D36F1">
              <w:rPr>
                <w:rFonts w:ascii="Times New Roman" w:hAnsi="Times New Roman" w:cs="Times New Roman"/>
                <w:i/>
                <w:iCs/>
                <w:color w:val="000000" w:themeColor="text1"/>
                <w:sz w:val="28"/>
              </w:rPr>
              <w:t>Belem do Pará</w:t>
            </w:r>
            <w:r w:rsidRPr="005D36F1">
              <w:rPr>
                <w:rFonts w:ascii="Times New Roman" w:hAnsi="Times New Roman" w:cs="Times New Roman"/>
                <w:color w:val="000000" w:themeColor="text1"/>
                <w:sz w:val="28"/>
              </w:rPr>
              <w:t xml:space="preserve"> y los Pactos de Nue</w:t>
            </w:r>
            <w:r w:rsidRPr="005D36F1">
              <w:rPr>
                <w:rFonts w:ascii="Times New Roman" w:hAnsi="Times New Roman" w:cs="Times New Roman"/>
                <w:color w:val="000000" w:themeColor="text1"/>
                <w:sz w:val="28"/>
              </w:rPr>
              <w:t>va York</w:t>
            </w:r>
            <w:r w:rsidRPr="005D36F1">
              <w:rPr>
                <w:rStyle w:val="Refdenotaalpie"/>
                <w:rFonts w:ascii="Times New Roman" w:hAnsi="Times New Roman" w:cs="Times New Roman"/>
                <w:color w:val="000000" w:themeColor="text1"/>
                <w:sz w:val="28"/>
              </w:rPr>
              <w:footnoteReference w:id="14"/>
            </w:r>
            <w:r w:rsidRPr="005D36F1">
              <w:rPr>
                <w:rFonts w:ascii="Times New Roman" w:hAnsi="Times New Roman" w:cs="Times New Roman"/>
                <w:color w:val="000000" w:themeColor="text1"/>
                <w:sz w:val="28"/>
              </w:rPr>
              <w:t xml:space="preserve">. </w:t>
            </w:r>
          </w:p>
          <w:p w:rsidR="00894FB7" w:rsidRPr="005D36F1" w:rsidRDefault="005D36F1" w:rsidP="00B5075E">
            <w:pPr>
              <w:tabs>
                <w:tab w:val="left" w:pos="567"/>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8"/>
              </w:rPr>
            </w:pPr>
          </w:p>
        </w:tc>
      </w:tr>
      <w:tr w:rsidR="00894FB7" w:rsidRPr="005D36F1" w:rsidTr="00B5075E">
        <w:tc>
          <w:tcPr>
            <w:cnfStyle w:val="001000000000" w:firstRow="0" w:lastRow="0" w:firstColumn="1" w:lastColumn="0" w:oddVBand="0" w:evenVBand="0" w:oddHBand="0" w:evenHBand="0" w:firstRowFirstColumn="0" w:firstRowLastColumn="0" w:lastRowFirstColumn="0" w:lastRowLastColumn="0"/>
            <w:tcW w:w="2263" w:type="dxa"/>
          </w:tcPr>
          <w:p w:rsidR="00894FB7" w:rsidRPr="005D36F1" w:rsidRDefault="005D36F1" w:rsidP="00B5075E">
            <w:pPr>
              <w:tabs>
                <w:tab w:val="left" w:pos="567"/>
              </w:tabs>
              <w:jc w:val="both"/>
              <w:rPr>
                <w:rFonts w:ascii="Times New Roman" w:hAnsi="Times New Roman" w:cs="Times New Roman"/>
                <w:b w:val="0"/>
                <w:bCs w:val="0"/>
                <w:color w:val="000000" w:themeColor="text1"/>
                <w:sz w:val="28"/>
              </w:rPr>
            </w:pPr>
            <w:r w:rsidRPr="005D36F1">
              <w:rPr>
                <w:rFonts w:ascii="Times New Roman" w:hAnsi="Times New Roman" w:cs="Times New Roman"/>
                <w:b w:val="0"/>
                <w:bCs w:val="0"/>
                <w:color w:val="000000" w:themeColor="text1"/>
                <w:sz w:val="28"/>
              </w:rPr>
              <w:t>Pablo Andrés Chacón Luna</w:t>
            </w:r>
          </w:p>
        </w:tc>
        <w:tc>
          <w:tcPr>
            <w:tcW w:w="6565" w:type="dxa"/>
          </w:tcPr>
          <w:p w:rsidR="00894FB7" w:rsidRPr="005D36F1" w:rsidRDefault="005D36F1" w:rsidP="00B5075E">
            <w:pPr>
              <w:tabs>
                <w:tab w:val="left" w:pos="567"/>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El interviniente manifestó que la argumentación del accionante desconoce que «las obligaciones derivadas [d]el acto nupcial no tienen carácter prestacional, [pues] son deberes éticos»</w:t>
            </w:r>
            <w:r w:rsidRPr="005D36F1">
              <w:rPr>
                <w:rFonts w:ascii="Times New Roman" w:hAnsi="Times New Roman" w:cs="Times New Roman"/>
                <w:color w:val="000000" w:themeColor="text1"/>
                <w:sz w:val="28"/>
                <w:vertAlign w:val="superscript"/>
              </w:rPr>
              <w:footnoteReference w:id="15"/>
            </w:r>
            <w:r w:rsidRPr="005D36F1">
              <w:rPr>
                <w:rFonts w:ascii="Times New Roman" w:hAnsi="Times New Roman" w:cs="Times New Roman"/>
                <w:color w:val="000000" w:themeColor="text1"/>
                <w:sz w:val="28"/>
              </w:rPr>
              <w:t xml:space="preserve">. Esta afirmación se sustenta en </w:t>
            </w:r>
            <w:r w:rsidRPr="005D36F1">
              <w:rPr>
                <w:rFonts w:ascii="Times New Roman" w:hAnsi="Times New Roman" w:cs="Times New Roman"/>
                <w:color w:val="000000" w:themeColor="text1"/>
                <w:sz w:val="28"/>
              </w:rPr>
              <w:t>el hecho de que, en opinión del ciudadano, el matrimonio no es, en realidad, un contrato. De ahí que no sea razonable sostener que dicha unión se encuentre limitada por los derechos fundamentales a la dignidad humana y al libre desarrollo de la personalida</w:t>
            </w:r>
            <w:r w:rsidRPr="005D36F1">
              <w:rPr>
                <w:rFonts w:ascii="Times New Roman" w:hAnsi="Times New Roman" w:cs="Times New Roman"/>
                <w:color w:val="000000" w:themeColor="text1"/>
                <w:sz w:val="28"/>
              </w:rPr>
              <w:t>d. Para dar sustento a lo anterior, hizo referencia a la Sentencia C-821 de 2005, providencia en que la Corte declaró la constitucionalidad de la causal de divorcio que hace referencia a las relaciones sexuales extramatrimoniales. De manera análoga al caso</w:t>
            </w:r>
            <w:r w:rsidRPr="005D36F1">
              <w:rPr>
                <w:rFonts w:ascii="Times New Roman" w:hAnsi="Times New Roman" w:cs="Times New Roman"/>
                <w:color w:val="000000" w:themeColor="text1"/>
                <w:sz w:val="28"/>
              </w:rPr>
              <w:t xml:space="preserve"> decidido entonces, la Corte se encontraría ante una causal que exige a los cónyuges «guardarse fe, la cual puede ser entendida en sentido amplio sobre la conducta ética que se espera de una persona [que contrae nupcias]»</w:t>
            </w:r>
            <w:r w:rsidRPr="005D36F1">
              <w:rPr>
                <w:rFonts w:ascii="Times New Roman" w:hAnsi="Times New Roman" w:cs="Times New Roman"/>
                <w:color w:val="000000" w:themeColor="text1"/>
                <w:sz w:val="28"/>
                <w:vertAlign w:val="superscript"/>
              </w:rPr>
              <w:footnoteReference w:id="16"/>
            </w:r>
            <w:r w:rsidRPr="005D36F1">
              <w:rPr>
                <w:rFonts w:ascii="Times New Roman" w:hAnsi="Times New Roman" w:cs="Times New Roman"/>
                <w:color w:val="000000" w:themeColor="text1"/>
                <w:sz w:val="28"/>
              </w:rPr>
              <w:t>.</w:t>
            </w:r>
          </w:p>
        </w:tc>
      </w:tr>
      <w:tr w:rsidR="00894FB7" w:rsidRPr="005D36F1" w:rsidTr="00B507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894FB7" w:rsidRPr="005D36F1" w:rsidRDefault="005D36F1" w:rsidP="00B5075E">
            <w:pPr>
              <w:tabs>
                <w:tab w:val="left" w:pos="567"/>
              </w:tabs>
              <w:jc w:val="both"/>
              <w:rPr>
                <w:rFonts w:ascii="Times New Roman" w:hAnsi="Times New Roman" w:cs="Times New Roman"/>
                <w:b w:val="0"/>
                <w:bCs w:val="0"/>
                <w:color w:val="000000" w:themeColor="text1"/>
                <w:sz w:val="28"/>
              </w:rPr>
            </w:pPr>
            <w:r w:rsidRPr="005D36F1">
              <w:rPr>
                <w:rFonts w:ascii="Times New Roman" w:hAnsi="Times New Roman" w:cs="Times New Roman"/>
                <w:b w:val="0"/>
                <w:bCs w:val="0"/>
                <w:color w:val="000000" w:themeColor="text1"/>
                <w:sz w:val="28"/>
              </w:rPr>
              <w:t>Ricardo Isaac Noriega Hernández</w:t>
            </w:r>
          </w:p>
        </w:tc>
        <w:tc>
          <w:tcPr>
            <w:tcW w:w="6565" w:type="dxa"/>
          </w:tcPr>
          <w:p w:rsidR="00894FB7" w:rsidRPr="005D36F1" w:rsidRDefault="005D36F1" w:rsidP="00B5075E">
            <w:pPr>
              <w:tabs>
                <w:tab w:val="left" w:pos="567"/>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El ciudadano argumentó que ningún derecho es absoluto, y que, en el caso concreto, la limitación impuesta por el Legislador se encuentra justificada por valiosos principios constitucionales. Entre ellos se encuentra la protección de la familia y de los me</w:t>
            </w:r>
            <w:r w:rsidRPr="005D36F1">
              <w:rPr>
                <w:rFonts w:ascii="Times New Roman" w:hAnsi="Times New Roman" w:cs="Times New Roman"/>
                <w:color w:val="000000" w:themeColor="text1"/>
                <w:sz w:val="28"/>
              </w:rPr>
              <w:t>nores que forman parte de ella. Adicionalmente, indicó que la Sala Plena debe asumir una perspectiva de género para la solución de la demanda interpuesta. Esta obligación se funda en que «en la práctica, las más afectadas [por estas conductas] son las muje</w:t>
            </w:r>
            <w:r w:rsidRPr="005D36F1">
              <w:rPr>
                <w:rFonts w:ascii="Times New Roman" w:hAnsi="Times New Roman" w:cs="Times New Roman"/>
                <w:color w:val="000000" w:themeColor="text1"/>
                <w:sz w:val="28"/>
              </w:rPr>
              <w:t>res, y que en ese contexto [la actuación del cónyuge culpable] se constituiría [en] una violencia de género que a todas luces se debe evitar»</w:t>
            </w:r>
            <w:r w:rsidRPr="005D36F1">
              <w:rPr>
                <w:rStyle w:val="Refdenotaalpie"/>
                <w:rFonts w:ascii="Times New Roman" w:hAnsi="Times New Roman" w:cs="Times New Roman"/>
                <w:color w:val="000000" w:themeColor="text1"/>
                <w:sz w:val="28"/>
              </w:rPr>
              <w:footnoteReference w:id="17"/>
            </w:r>
            <w:r w:rsidRPr="005D36F1">
              <w:rPr>
                <w:rFonts w:ascii="Times New Roman" w:hAnsi="Times New Roman" w:cs="Times New Roman"/>
                <w:color w:val="000000" w:themeColor="text1"/>
                <w:sz w:val="28"/>
              </w:rPr>
              <w:t>. Por último, el interviniente solicitó a la Corte recordar a los operadores jurídicos que la aplicación de la nor</w:t>
            </w:r>
            <w:r w:rsidRPr="005D36F1">
              <w:rPr>
                <w:rFonts w:ascii="Times New Roman" w:hAnsi="Times New Roman" w:cs="Times New Roman"/>
                <w:color w:val="000000" w:themeColor="text1"/>
                <w:sz w:val="28"/>
              </w:rPr>
              <w:t xml:space="preserve">ma demandada debe hacerse a la luz de los tratados del bloque de constitucionalidad que protegen a los niños y a la mujer. </w:t>
            </w:r>
          </w:p>
          <w:p w:rsidR="00894FB7" w:rsidRPr="005D36F1" w:rsidRDefault="005D36F1" w:rsidP="00B5075E">
            <w:pPr>
              <w:tabs>
                <w:tab w:val="left" w:pos="567"/>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8"/>
              </w:rPr>
            </w:pPr>
          </w:p>
        </w:tc>
      </w:tr>
      <w:tr w:rsidR="00894FB7" w:rsidRPr="005D36F1" w:rsidTr="00B5075E">
        <w:tc>
          <w:tcPr>
            <w:cnfStyle w:val="001000000000" w:firstRow="0" w:lastRow="0" w:firstColumn="1" w:lastColumn="0" w:oddVBand="0" w:evenVBand="0" w:oddHBand="0" w:evenHBand="0" w:firstRowFirstColumn="0" w:firstRowLastColumn="0" w:lastRowFirstColumn="0" w:lastRowLastColumn="0"/>
            <w:tcW w:w="2263" w:type="dxa"/>
          </w:tcPr>
          <w:p w:rsidR="00894FB7" w:rsidRPr="005D36F1" w:rsidRDefault="005D36F1" w:rsidP="00B5075E">
            <w:pPr>
              <w:tabs>
                <w:tab w:val="left" w:pos="567"/>
              </w:tabs>
              <w:jc w:val="both"/>
              <w:rPr>
                <w:rFonts w:ascii="Times New Roman" w:hAnsi="Times New Roman" w:cs="Times New Roman"/>
                <w:b w:val="0"/>
                <w:bCs w:val="0"/>
                <w:color w:val="000000" w:themeColor="text1"/>
                <w:sz w:val="28"/>
              </w:rPr>
            </w:pPr>
            <w:r w:rsidRPr="005D36F1">
              <w:rPr>
                <w:rFonts w:ascii="Times New Roman" w:hAnsi="Times New Roman" w:cs="Times New Roman"/>
                <w:b w:val="0"/>
                <w:bCs w:val="0"/>
                <w:color w:val="000000" w:themeColor="text1"/>
                <w:sz w:val="28"/>
              </w:rPr>
              <w:t>Santiago Palacio Núñez</w:t>
            </w:r>
          </w:p>
        </w:tc>
        <w:tc>
          <w:tcPr>
            <w:tcW w:w="6565" w:type="dxa"/>
          </w:tcPr>
          <w:p w:rsidR="00894FB7" w:rsidRPr="005D36F1" w:rsidRDefault="005D36F1" w:rsidP="00B5075E">
            <w:pPr>
              <w:tabs>
                <w:tab w:val="left" w:pos="567"/>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El interviniente adujo que la citación de las sentencias mencionadas en la demanda incurre en una imprecisi</w:t>
            </w:r>
            <w:r w:rsidRPr="005D36F1">
              <w:rPr>
                <w:rFonts w:ascii="Times New Roman" w:hAnsi="Times New Roman" w:cs="Times New Roman"/>
                <w:color w:val="000000" w:themeColor="text1"/>
                <w:sz w:val="28"/>
              </w:rPr>
              <w:t xml:space="preserve">ón conceptual. En su opinión, el accionante distorsionó el alcance de la jurisprudencia, confundiendo los términos de </w:t>
            </w:r>
            <w:r w:rsidRPr="005D36F1">
              <w:rPr>
                <w:rFonts w:ascii="Times New Roman" w:hAnsi="Times New Roman" w:cs="Times New Roman"/>
                <w:i/>
                <w:iCs/>
                <w:color w:val="000000" w:themeColor="text1"/>
                <w:sz w:val="28"/>
              </w:rPr>
              <w:t xml:space="preserve">dosis personal </w:t>
            </w:r>
            <w:r w:rsidRPr="005D36F1">
              <w:rPr>
                <w:rFonts w:ascii="Times New Roman" w:hAnsi="Times New Roman" w:cs="Times New Roman"/>
                <w:color w:val="000000" w:themeColor="text1"/>
                <w:sz w:val="28"/>
              </w:rPr>
              <w:t xml:space="preserve">y </w:t>
            </w:r>
            <w:r w:rsidRPr="005D36F1">
              <w:rPr>
                <w:rFonts w:ascii="Times New Roman" w:hAnsi="Times New Roman" w:cs="Times New Roman"/>
                <w:i/>
                <w:iCs/>
                <w:color w:val="000000" w:themeColor="text1"/>
                <w:sz w:val="28"/>
              </w:rPr>
              <w:t xml:space="preserve">uso habitual </w:t>
            </w:r>
            <w:r w:rsidRPr="005D36F1">
              <w:rPr>
                <w:rFonts w:ascii="Times New Roman" w:hAnsi="Times New Roman" w:cs="Times New Roman"/>
                <w:color w:val="000000" w:themeColor="text1"/>
                <w:sz w:val="28"/>
              </w:rPr>
              <w:t>de sustancias alucinógenas y estupefacientes. Tal desfiguración de la jurisprudencia habría llevado al deman</w:t>
            </w:r>
            <w:r w:rsidRPr="005D36F1">
              <w:rPr>
                <w:rFonts w:ascii="Times New Roman" w:hAnsi="Times New Roman" w:cs="Times New Roman"/>
                <w:color w:val="000000" w:themeColor="text1"/>
                <w:sz w:val="28"/>
              </w:rPr>
              <w:t>dante a conducir argumentos que fueron concebidos en un contexto particular al ámbito de la familia, que es distinto y cuenta con una robusta protección constitucional. En tal sentido, la norma demandada es «una herramienta de protección de la familia»</w:t>
            </w:r>
            <w:r w:rsidRPr="005D36F1">
              <w:rPr>
                <w:rStyle w:val="Refdenotaalpie"/>
                <w:rFonts w:ascii="Times New Roman" w:hAnsi="Times New Roman" w:cs="Times New Roman"/>
                <w:color w:val="000000" w:themeColor="text1"/>
                <w:sz w:val="28"/>
              </w:rPr>
              <w:footnoteReference w:id="18"/>
            </w:r>
            <w:r w:rsidRPr="005D36F1">
              <w:rPr>
                <w:rFonts w:ascii="Times New Roman" w:hAnsi="Times New Roman" w:cs="Times New Roman"/>
                <w:color w:val="000000" w:themeColor="text1"/>
                <w:sz w:val="28"/>
              </w:rPr>
              <w:t>, p</w:t>
            </w:r>
            <w:r w:rsidRPr="005D36F1">
              <w:rPr>
                <w:rFonts w:ascii="Times New Roman" w:hAnsi="Times New Roman" w:cs="Times New Roman"/>
                <w:color w:val="000000" w:themeColor="text1"/>
                <w:sz w:val="28"/>
              </w:rPr>
              <w:t>ues el consumo de sustancias alucinógenas y estupefacientes siempre le ocasionaría daño.</w:t>
            </w:r>
          </w:p>
          <w:p w:rsidR="00894FB7" w:rsidRPr="005D36F1" w:rsidRDefault="005D36F1" w:rsidP="00B5075E">
            <w:pPr>
              <w:tabs>
                <w:tab w:val="left" w:pos="567"/>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8"/>
              </w:rPr>
            </w:pPr>
          </w:p>
        </w:tc>
      </w:tr>
      <w:tr w:rsidR="00894FB7" w:rsidRPr="005D36F1" w:rsidTr="00B507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894FB7" w:rsidRPr="005D36F1" w:rsidRDefault="005D36F1" w:rsidP="00B5075E">
            <w:pPr>
              <w:tabs>
                <w:tab w:val="left" w:pos="567"/>
              </w:tabs>
              <w:jc w:val="both"/>
              <w:rPr>
                <w:rFonts w:ascii="Times New Roman" w:hAnsi="Times New Roman" w:cs="Times New Roman"/>
                <w:b w:val="0"/>
                <w:bCs w:val="0"/>
                <w:color w:val="000000" w:themeColor="text1"/>
                <w:sz w:val="28"/>
              </w:rPr>
            </w:pPr>
            <w:r w:rsidRPr="005D36F1">
              <w:rPr>
                <w:rFonts w:ascii="Times New Roman" w:hAnsi="Times New Roman" w:cs="Times New Roman"/>
                <w:b w:val="0"/>
                <w:bCs w:val="0"/>
                <w:color w:val="000000" w:themeColor="text1"/>
                <w:sz w:val="28"/>
              </w:rPr>
              <w:t>Harold Eduardo Sua Montaña</w:t>
            </w:r>
          </w:p>
        </w:tc>
        <w:tc>
          <w:tcPr>
            <w:tcW w:w="6565" w:type="dxa"/>
          </w:tcPr>
          <w:p w:rsidR="00894FB7" w:rsidRPr="005D36F1" w:rsidRDefault="005D36F1" w:rsidP="00B5075E">
            <w:pPr>
              <w:tabs>
                <w:tab w:val="left" w:pos="567"/>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El ciudadano presentó un escrito en el que parece defender la constitucionalidad de la disposición y sugerir la existencia de un impedimen</w:t>
            </w:r>
            <w:r w:rsidRPr="005D36F1">
              <w:rPr>
                <w:rFonts w:ascii="Times New Roman" w:hAnsi="Times New Roman" w:cs="Times New Roman"/>
                <w:color w:val="000000" w:themeColor="text1"/>
                <w:sz w:val="28"/>
              </w:rPr>
              <w:t>to sobre los magistrados católicos. En cuanto a lo primero, manifestó que «el [m]atrimonio no fue instituido ni restaurado por obra de los hombres, sino por obra divina»</w:t>
            </w:r>
            <w:r w:rsidRPr="005D36F1">
              <w:rPr>
                <w:rStyle w:val="Refdenotaalpie"/>
                <w:rFonts w:ascii="Times New Roman" w:hAnsi="Times New Roman" w:cs="Times New Roman"/>
                <w:color w:val="000000" w:themeColor="text1"/>
                <w:sz w:val="28"/>
              </w:rPr>
              <w:footnoteReference w:id="19"/>
            </w:r>
            <w:r w:rsidRPr="005D36F1">
              <w:rPr>
                <w:rFonts w:ascii="Times New Roman" w:hAnsi="Times New Roman" w:cs="Times New Roman"/>
                <w:color w:val="000000" w:themeColor="text1"/>
                <w:sz w:val="28"/>
              </w:rPr>
              <w:t>, y que tal institución resulta seriamente afectada por el consumo de sustancias aluci</w:t>
            </w:r>
            <w:r w:rsidRPr="005D36F1">
              <w:rPr>
                <w:rFonts w:ascii="Times New Roman" w:hAnsi="Times New Roman" w:cs="Times New Roman"/>
                <w:color w:val="000000" w:themeColor="text1"/>
                <w:sz w:val="28"/>
              </w:rPr>
              <w:t xml:space="preserve">nógenas o estupefacientes, pues «desencadena </w:t>
            </w:r>
            <w:r w:rsidRPr="005D36F1">
              <w:rPr>
                <w:rFonts w:ascii="Times New Roman" w:hAnsi="Times New Roman" w:cs="Times New Roman"/>
                <w:i/>
                <w:iCs/>
                <w:color w:val="000000" w:themeColor="text1"/>
                <w:sz w:val="28"/>
              </w:rPr>
              <w:t>per se</w:t>
            </w:r>
            <w:r w:rsidRPr="005D36F1">
              <w:rPr>
                <w:rFonts w:ascii="Times New Roman" w:hAnsi="Times New Roman" w:cs="Times New Roman"/>
                <w:color w:val="000000" w:themeColor="text1"/>
                <w:sz w:val="28"/>
              </w:rPr>
              <w:t xml:space="preserve"> una ofensa grave a la ley natural permitida por el artículo 42 del régimen constitucional»</w:t>
            </w:r>
            <w:r w:rsidRPr="005D36F1">
              <w:rPr>
                <w:rStyle w:val="Refdenotaalpie"/>
                <w:rFonts w:ascii="Times New Roman" w:hAnsi="Times New Roman" w:cs="Times New Roman"/>
                <w:color w:val="000000" w:themeColor="text1"/>
                <w:sz w:val="28"/>
              </w:rPr>
              <w:footnoteReference w:id="20"/>
            </w:r>
            <w:r w:rsidRPr="005D36F1">
              <w:rPr>
                <w:rFonts w:ascii="Times New Roman" w:hAnsi="Times New Roman" w:cs="Times New Roman"/>
                <w:color w:val="000000" w:themeColor="text1"/>
                <w:sz w:val="28"/>
              </w:rPr>
              <w:t xml:space="preserve">. </w:t>
            </w:r>
          </w:p>
          <w:p w:rsidR="00894FB7" w:rsidRPr="005D36F1" w:rsidRDefault="005D36F1" w:rsidP="00B5075E">
            <w:pPr>
              <w:tabs>
                <w:tab w:val="left" w:pos="567"/>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En lo que se refiere al aparente impedimento, manifestó que los magistrados que acogen creencias católicas tie</w:t>
            </w:r>
            <w:r w:rsidRPr="005D36F1">
              <w:rPr>
                <w:rFonts w:ascii="Times New Roman" w:hAnsi="Times New Roman" w:cs="Times New Roman"/>
                <w:color w:val="000000" w:themeColor="text1"/>
                <w:sz w:val="28"/>
              </w:rPr>
              <w:t>nen un interés directo en la decisión. Dicho interés consiste en que la aludida religión exige a sus fieles «contribu[ir] a la santificación del mundo como desde dentro, a modo de fermento (extracto de la Constitución Dogmática Lumen Gentium)»</w:t>
            </w:r>
            <w:r w:rsidRPr="005D36F1">
              <w:rPr>
                <w:rStyle w:val="Refdenotaalpie"/>
                <w:rFonts w:ascii="Times New Roman" w:hAnsi="Times New Roman" w:cs="Times New Roman"/>
                <w:color w:val="000000" w:themeColor="text1"/>
                <w:sz w:val="28"/>
              </w:rPr>
              <w:footnoteReference w:id="21"/>
            </w:r>
            <w:r w:rsidRPr="005D36F1">
              <w:rPr>
                <w:rFonts w:ascii="Times New Roman" w:hAnsi="Times New Roman" w:cs="Times New Roman"/>
                <w:color w:val="000000" w:themeColor="text1"/>
                <w:sz w:val="28"/>
              </w:rPr>
              <w:t>. Por tal mo</w:t>
            </w:r>
            <w:r w:rsidRPr="005D36F1">
              <w:rPr>
                <w:rFonts w:ascii="Times New Roman" w:hAnsi="Times New Roman" w:cs="Times New Roman"/>
                <w:color w:val="000000" w:themeColor="text1"/>
                <w:sz w:val="28"/>
              </w:rPr>
              <w:t>tivo, la eventual anulación de la norma constituye una «cooperación al divorcio susceptible de llevar [a quien fomente tal conducta] a juicio canónico»</w:t>
            </w:r>
            <w:r w:rsidRPr="005D36F1">
              <w:rPr>
                <w:rStyle w:val="Refdenotaalpie"/>
                <w:rFonts w:ascii="Times New Roman" w:hAnsi="Times New Roman" w:cs="Times New Roman"/>
                <w:color w:val="000000" w:themeColor="text1"/>
                <w:sz w:val="28"/>
              </w:rPr>
              <w:footnoteReference w:id="22"/>
            </w:r>
            <w:r w:rsidRPr="005D36F1">
              <w:rPr>
                <w:rFonts w:ascii="Times New Roman" w:hAnsi="Times New Roman" w:cs="Times New Roman"/>
                <w:color w:val="000000" w:themeColor="text1"/>
                <w:sz w:val="28"/>
              </w:rPr>
              <w:t>.</w:t>
            </w:r>
          </w:p>
          <w:p w:rsidR="00894FB7" w:rsidRPr="005D36F1" w:rsidRDefault="005D36F1" w:rsidP="00B5075E">
            <w:pPr>
              <w:tabs>
                <w:tab w:val="left" w:pos="567"/>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8"/>
              </w:rPr>
            </w:pPr>
          </w:p>
        </w:tc>
      </w:tr>
      <w:tr w:rsidR="00894FB7" w:rsidRPr="005D36F1" w:rsidTr="00B5075E">
        <w:tc>
          <w:tcPr>
            <w:cnfStyle w:val="001000000000" w:firstRow="0" w:lastRow="0" w:firstColumn="1" w:lastColumn="0" w:oddVBand="0" w:evenVBand="0" w:oddHBand="0" w:evenHBand="0" w:firstRowFirstColumn="0" w:firstRowLastColumn="0" w:lastRowFirstColumn="0" w:lastRowLastColumn="0"/>
            <w:tcW w:w="2263" w:type="dxa"/>
          </w:tcPr>
          <w:p w:rsidR="00894FB7" w:rsidRPr="005D36F1" w:rsidRDefault="005D36F1" w:rsidP="00B5075E">
            <w:pPr>
              <w:tabs>
                <w:tab w:val="left" w:pos="567"/>
              </w:tabs>
              <w:jc w:val="both"/>
              <w:rPr>
                <w:rFonts w:ascii="Times New Roman" w:hAnsi="Times New Roman" w:cs="Times New Roman"/>
                <w:b w:val="0"/>
                <w:bCs w:val="0"/>
                <w:color w:val="000000" w:themeColor="text1"/>
                <w:sz w:val="28"/>
              </w:rPr>
            </w:pPr>
            <w:r w:rsidRPr="005D36F1">
              <w:rPr>
                <w:rFonts w:ascii="Times New Roman" w:hAnsi="Times New Roman" w:cs="Times New Roman"/>
                <w:b w:val="0"/>
                <w:bCs w:val="0"/>
                <w:color w:val="000000" w:themeColor="text1"/>
                <w:sz w:val="28"/>
              </w:rPr>
              <w:t>Jairo Alberto Delgado Beltrán</w:t>
            </w:r>
            <w:r w:rsidRPr="005D36F1">
              <w:rPr>
                <w:rStyle w:val="Refdenotaalpie"/>
                <w:rFonts w:ascii="Times New Roman" w:hAnsi="Times New Roman" w:cs="Times New Roman"/>
                <w:b w:val="0"/>
                <w:bCs w:val="0"/>
                <w:color w:val="000000" w:themeColor="text1"/>
                <w:sz w:val="28"/>
              </w:rPr>
              <w:footnoteReference w:id="23"/>
            </w:r>
          </w:p>
        </w:tc>
        <w:tc>
          <w:tcPr>
            <w:tcW w:w="6565" w:type="dxa"/>
          </w:tcPr>
          <w:p w:rsidR="00894FB7" w:rsidRPr="005D36F1" w:rsidRDefault="005D36F1" w:rsidP="00B5075E">
            <w:pPr>
              <w:tabs>
                <w:tab w:val="left" w:pos="567"/>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 xml:space="preserve">El interviniente recordó que el derecho al libre desarrollo no es </w:t>
            </w:r>
            <w:r w:rsidRPr="005D36F1">
              <w:rPr>
                <w:rFonts w:ascii="Times New Roman" w:hAnsi="Times New Roman" w:cs="Times New Roman"/>
                <w:color w:val="000000" w:themeColor="text1"/>
                <w:sz w:val="28"/>
              </w:rPr>
              <w:t>absoluto. Tal afirmación fue sustentada en la Sentencia T-435 de 2002, fallo en el que este tribunal manifestó que «la escogencia de la opción de vida no puede ser entendida como un mecanismo para eludir las obligaciones o de solidaridad colectiva, pues es</w:t>
            </w:r>
            <w:r w:rsidRPr="005D36F1">
              <w:rPr>
                <w:rFonts w:ascii="Times New Roman" w:hAnsi="Times New Roman" w:cs="Times New Roman"/>
                <w:color w:val="000000" w:themeColor="text1"/>
                <w:sz w:val="28"/>
              </w:rPr>
              <w:t xml:space="preserve">to constituiría un abuso de los derechos propios». En opinión del ciudadano, la causal objeto de control instaura una restricción legítima de la libertad individual, que busca garantizar la protección del «derecho al libre desarrollo de la personalidad de </w:t>
            </w:r>
            <w:r w:rsidRPr="005D36F1">
              <w:rPr>
                <w:rFonts w:ascii="Times New Roman" w:hAnsi="Times New Roman" w:cs="Times New Roman"/>
                <w:color w:val="000000" w:themeColor="text1"/>
                <w:sz w:val="28"/>
              </w:rPr>
              <w:t>quien no consume, para [que] decid[a] si acepta la infracción de la misma o prefiere invocarla para decretar el divorcio»</w:t>
            </w:r>
            <w:r w:rsidRPr="005D36F1">
              <w:rPr>
                <w:rStyle w:val="Refdenotaalpie"/>
                <w:rFonts w:ascii="Times New Roman" w:hAnsi="Times New Roman" w:cs="Times New Roman"/>
                <w:color w:val="000000" w:themeColor="text1"/>
                <w:sz w:val="28"/>
              </w:rPr>
              <w:footnoteReference w:id="24"/>
            </w:r>
            <w:r w:rsidRPr="005D36F1">
              <w:rPr>
                <w:rFonts w:ascii="Times New Roman" w:hAnsi="Times New Roman" w:cs="Times New Roman"/>
                <w:color w:val="000000" w:themeColor="text1"/>
                <w:sz w:val="28"/>
              </w:rPr>
              <w:t xml:space="preserve">. </w:t>
            </w:r>
          </w:p>
          <w:p w:rsidR="00894FB7" w:rsidRPr="005D36F1" w:rsidRDefault="005D36F1" w:rsidP="00B5075E">
            <w:pPr>
              <w:tabs>
                <w:tab w:val="left" w:pos="567"/>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8"/>
              </w:rPr>
            </w:pPr>
          </w:p>
        </w:tc>
      </w:tr>
    </w:tbl>
    <w:p w:rsidR="00894FB7" w:rsidRPr="005D36F1" w:rsidRDefault="005D36F1" w:rsidP="00894FB7">
      <w:pPr>
        <w:rPr>
          <w:rFonts w:ascii="Times New Roman" w:hAnsi="Times New Roman" w:cs="Times New Roman"/>
          <w:color w:val="000000" w:themeColor="text1"/>
          <w:sz w:val="28"/>
          <w:szCs w:val="28"/>
        </w:rPr>
      </w:pPr>
    </w:p>
    <w:p w:rsidR="00894FB7" w:rsidRPr="005D36F1" w:rsidRDefault="005D36F1" w:rsidP="00894FB7">
      <w:pPr>
        <w:tabs>
          <w:tab w:val="left" w:pos="567"/>
        </w:tabs>
        <w:jc w:val="both"/>
        <w:rPr>
          <w:rFonts w:ascii="Times New Roman" w:hAnsi="Times New Roman" w:cs="Times New Roman"/>
          <w:i/>
          <w:iCs/>
          <w:color w:val="000000" w:themeColor="text1"/>
          <w:sz w:val="28"/>
          <w:szCs w:val="28"/>
        </w:rPr>
      </w:pPr>
      <w:r w:rsidRPr="005D36F1">
        <w:rPr>
          <w:rFonts w:ascii="Times New Roman" w:hAnsi="Times New Roman" w:cs="Times New Roman"/>
          <w:i/>
          <w:iCs/>
          <w:color w:val="000000" w:themeColor="text1"/>
          <w:sz w:val="28"/>
          <w:szCs w:val="28"/>
        </w:rPr>
        <w:t>Intervenciones que solicitaron la declaración de inexequibilidad de la norma demandada</w:t>
      </w:r>
    </w:p>
    <w:p w:rsidR="00894FB7" w:rsidRPr="005D36F1" w:rsidRDefault="005D36F1" w:rsidP="00894FB7">
      <w:pPr>
        <w:rPr>
          <w:rFonts w:ascii="Times New Roman" w:hAnsi="Times New Roman" w:cs="Times New Roman"/>
          <w:color w:val="000000" w:themeColor="text1"/>
          <w:sz w:val="28"/>
          <w:szCs w:val="28"/>
        </w:rPr>
      </w:pPr>
    </w:p>
    <w:tbl>
      <w:tblPr>
        <w:tblStyle w:val="Tablanormal1"/>
        <w:tblW w:w="0" w:type="auto"/>
        <w:tblLook w:val="04A0" w:firstRow="1" w:lastRow="0" w:firstColumn="1" w:lastColumn="0" w:noHBand="0" w:noVBand="1"/>
      </w:tblPr>
      <w:tblGrid>
        <w:gridCol w:w="2263"/>
        <w:gridCol w:w="6565"/>
      </w:tblGrid>
      <w:tr w:rsidR="00894FB7" w:rsidRPr="005D36F1" w:rsidTr="00B507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894FB7" w:rsidRPr="005D36F1" w:rsidRDefault="005D36F1" w:rsidP="00B5075E">
            <w:pPr>
              <w:tabs>
                <w:tab w:val="left" w:pos="567"/>
              </w:tabs>
              <w:jc w:val="both"/>
              <w:rPr>
                <w:rFonts w:ascii="Times New Roman" w:hAnsi="Times New Roman" w:cs="Times New Roman"/>
                <w:b w:val="0"/>
                <w:bCs w:val="0"/>
                <w:i/>
                <w:iCs/>
                <w:color w:val="000000" w:themeColor="text1"/>
                <w:sz w:val="28"/>
              </w:rPr>
            </w:pPr>
            <w:r w:rsidRPr="005D36F1">
              <w:rPr>
                <w:rFonts w:ascii="Times New Roman" w:hAnsi="Times New Roman" w:cs="Times New Roman"/>
                <w:b w:val="0"/>
                <w:bCs w:val="0"/>
                <w:i/>
                <w:iCs/>
                <w:color w:val="000000" w:themeColor="text1"/>
                <w:sz w:val="28"/>
              </w:rPr>
              <w:t>Interviniente</w:t>
            </w:r>
          </w:p>
        </w:tc>
        <w:tc>
          <w:tcPr>
            <w:tcW w:w="6565" w:type="dxa"/>
          </w:tcPr>
          <w:p w:rsidR="00894FB7" w:rsidRPr="005D36F1" w:rsidRDefault="005D36F1" w:rsidP="00B5075E">
            <w:pPr>
              <w:tabs>
                <w:tab w:val="left" w:pos="567"/>
              </w:tabs>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iCs/>
                <w:color w:val="000000" w:themeColor="text1"/>
                <w:sz w:val="28"/>
              </w:rPr>
            </w:pPr>
            <w:r w:rsidRPr="005D36F1">
              <w:rPr>
                <w:rFonts w:ascii="Times New Roman" w:hAnsi="Times New Roman" w:cs="Times New Roman"/>
                <w:b w:val="0"/>
                <w:bCs w:val="0"/>
                <w:i/>
                <w:iCs/>
                <w:color w:val="000000" w:themeColor="text1"/>
                <w:sz w:val="28"/>
              </w:rPr>
              <w:t>Argumentos propuestos</w:t>
            </w:r>
          </w:p>
        </w:tc>
      </w:tr>
      <w:tr w:rsidR="00894FB7" w:rsidRPr="005D36F1" w:rsidTr="00B507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894FB7" w:rsidRPr="005D36F1" w:rsidRDefault="005D36F1" w:rsidP="00B5075E">
            <w:pPr>
              <w:tabs>
                <w:tab w:val="left" w:pos="567"/>
              </w:tabs>
              <w:jc w:val="both"/>
              <w:rPr>
                <w:rFonts w:ascii="Times New Roman" w:hAnsi="Times New Roman" w:cs="Times New Roman"/>
                <w:b w:val="0"/>
                <w:bCs w:val="0"/>
                <w:color w:val="000000" w:themeColor="text1"/>
                <w:sz w:val="28"/>
              </w:rPr>
            </w:pPr>
            <w:r w:rsidRPr="005D36F1">
              <w:rPr>
                <w:rFonts w:ascii="Times New Roman" w:hAnsi="Times New Roman" w:cs="Times New Roman"/>
                <w:b w:val="0"/>
                <w:bCs w:val="0"/>
                <w:color w:val="000000" w:themeColor="text1"/>
                <w:sz w:val="28"/>
              </w:rPr>
              <w:t>Dirección de Política de Drogas y Actividades Relacionadas del Ministerio de Justicia</w:t>
            </w:r>
            <w:r w:rsidRPr="005D36F1">
              <w:rPr>
                <w:rStyle w:val="Refdenotaalpie"/>
                <w:rFonts w:ascii="Times New Roman" w:hAnsi="Times New Roman" w:cs="Times New Roman"/>
                <w:b w:val="0"/>
                <w:bCs w:val="0"/>
                <w:color w:val="000000" w:themeColor="text1"/>
                <w:sz w:val="28"/>
              </w:rPr>
              <w:footnoteReference w:id="25"/>
            </w:r>
          </w:p>
        </w:tc>
        <w:tc>
          <w:tcPr>
            <w:tcW w:w="6565" w:type="dxa"/>
          </w:tcPr>
          <w:p w:rsidR="00894FB7" w:rsidRPr="005D36F1" w:rsidRDefault="005D36F1" w:rsidP="00B5075E">
            <w:pPr>
              <w:tabs>
                <w:tab w:val="left" w:pos="567"/>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La entidad adhirió a la demanda interpuesta por el accionante, y presentó varios argumentos que amplían el fundamento de la solicitud de inexequibilidad. Como preámbulo,</w:t>
            </w:r>
            <w:r w:rsidRPr="005D36F1">
              <w:rPr>
                <w:rFonts w:ascii="Times New Roman" w:hAnsi="Times New Roman" w:cs="Times New Roman"/>
                <w:color w:val="000000" w:themeColor="text1"/>
                <w:sz w:val="28"/>
              </w:rPr>
              <w:t xml:space="preserve"> informó que el Gobierno nacional ha diseñado una nueva política de drogas, llamada </w:t>
            </w:r>
            <w:r w:rsidRPr="005D36F1">
              <w:rPr>
                <w:rFonts w:ascii="Times New Roman" w:hAnsi="Times New Roman" w:cs="Times New Roman"/>
                <w:i/>
                <w:iCs/>
                <w:color w:val="000000" w:themeColor="text1"/>
                <w:sz w:val="28"/>
              </w:rPr>
              <w:t>Sembrando vida desterramos el narcotráfico</w:t>
            </w:r>
            <w:r w:rsidRPr="005D36F1">
              <w:rPr>
                <w:rFonts w:ascii="Times New Roman" w:hAnsi="Times New Roman" w:cs="Times New Roman"/>
                <w:color w:val="000000" w:themeColor="text1"/>
                <w:sz w:val="28"/>
              </w:rPr>
              <w:t>. Su objetivo es brindar un «nuevo enfoque y tratamiento a todas las personas que tengan una relación con las sustancias psicoacti</w:t>
            </w:r>
            <w:r w:rsidRPr="005D36F1">
              <w:rPr>
                <w:rFonts w:ascii="Times New Roman" w:hAnsi="Times New Roman" w:cs="Times New Roman"/>
                <w:color w:val="000000" w:themeColor="text1"/>
                <w:sz w:val="28"/>
              </w:rPr>
              <w:t>vas, sea de uso ocasional, ritual, recreativo, lúdico, funcional, habitual, problemático o dependiente»</w:t>
            </w:r>
            <w:r w:rsidRPr="005D36F1">
              <w:rPr>
                <w:rStyle w:val="Refdenotaalpie"/>
                <w:rFonts w:ascii="Times New Roman" w:hAnsi="Times New Roman" w:cs="Times New Roman"/>
                <w:color w:val="000000" w:themeColor="text1"/>
                <w:sz w:val="28"/>
              </w:rPr>
              <w:footnoteReference w:id="26"/>
            </w:r>
            <w:r w:rsidRPr="005D36F1">
              <w:rPr>
                <w:rFonts w:ascii="Times New Roman" w:hAnsi="Times New Roman" w:cs="Times New Roman"/>
                <w:color w:val="000000" w:themeColor="text1"/>
                <w:sz w:val="28"/>
              </w:rPr>
              <w:t xml:space="preserve">. De este modo, el Gobierno pretende dar solución a los problemas asociados a este fenómeno de una manera integral e integrada, adoptando un enfoque de </w:t>
            </w:r>
            <w:r w:rsidRPr="005D36F1">
              <w:rPr>
                <w:rFonts w:ascii="Times New Roman" w:hAnsi="Times New Roman" w:cs="Times New Roman"/>
                <w:color w:val="000000" w:themeColor="text1"/>
                <w:sz w:val="28"/>
              </w:rPr>
              <w:t xml:space="preserve">derechos humanos y procurando la igualdad de género, la salud y la seguridad de las personas. </w:t>
            </w:r>
          </w:p>
          <w:p w:rsidR="00894FB7" w:rsidRPr="005D36F1" w:rsidRDefault="005D36F1" w:rsidP="00B5075E">
            <w:pPr>
              <w:pStyle w:val="Prrafodelista"/>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8"/>
              </w:rPr>
            </w:pPr>
          </w:p>
          <w:p w:rsidR="00894FB7" w:rsidRPr="005D36F1" w:rsidRDefault="005D36F1" w:rsidP="00B5075E">
            <w:pPr>
              <w:tabs>
                <w:tab w:val="left" w:pos="567"/>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Al referirse a la norma demandada, la entidad declaró que es «evidente que la causal de divorcio demandada no tiene una cohesión con el orden constitucional y c</w:t>
            </w:r>
            <w:r w:rsidRPr="005D36F1">
              <w:rPr>
                <w:rFonts w:ascii="Times New Roman" w:hAnsi="Times New Roman" w:cs="Times New Roman"/>
                <w:color w:val="000000" w:themeColor="text1"/>
                <w:sz w:val="28"/>
              </w:rPr>
              <w:t>on el enfoque de derechos humanos y salud pública que debe darse al consumo de sustancias psicoactivas. Por el contrario, la misma realiza una contribución a la narrativa estigmatizante sobre los consumidores de SPA [sustancias psicoactivas], incluso cuand</w:t>
            </w:r>
            <w:r w:rsidRPr="005D36F1">
              <w:rPr>
                <w:rFonts w:ascii="Times New Roman" w:hAnsi="Times New Roman" w:cs="Times New Roman"/>
                <w:color w:val="000000" w:themeColor="text1"/>
                <w:sz w:val="28"/>
              </w:rPr>
              <w:t>o el mismo no sea problemático»</w:t>
            </w:r>
            <w:r w:rsidRPr="005D36F1">
              <w:rPr>
                <w:rStyle w:val="Refdenotaalpie"/>
                <w:rFonts w:ascii="Times New Roman" w:hAnsi="Times New Roman" w:cs="Times New Roman"/>
                <w:color w:val="000000" w:themeColor="text1"/>
                <w:sz w:val="28"/>
              </w:rPr>
              <w:footnoteReference w:id="27"/>
            </w:r>
            <w:r w:rsidRPr="005D36F1">
              <w:rPr>
                <w:rFonts w:ascii="Times New Roman" w:hAnsi="Times New Roman" w:cs="Times New Roman"/>
                <w:color w:val="000000" w:themeColor="text1"/>
                <w:sz w:val="28"/>
              </w:rPr>
              <w:t xml:space="preserve">. </w:t>
            </w:r>
          </w:p>
          <w:p w:rsidR="00894FB7" w:rsidRPr="005D36F1" w:rsidRDefault="005D36F1" w:rsidP="00B5075E">
            <w:pPr>
              <w:pStyle w:val="Prrafodelista"/>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8"/>
              </w:rPr>
            </w:pPr>
          </w:p>
          <w:p w:rsidR="00894FB7" w:rsidRPr="005D36F1" w:rsidRDefault="005D36F1" w:rsidP="00B5075E">
            <w:pPr>
              <w:tabs>
                <w:tab w:val="left" w:pos="567"/>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Según la entidad, el rechazo de la sociedad a las personas que consumen sustancias psicoactivas trae como resultado «la exclusión y autoexclusión de los consumidores de sus derechos a tener una familia, educación, trabaj</w:t>
            </w:r>
            <w:r w:rsidRPr="005D36F1">
              <w:rPr>
                <w:rFonts w:ascii="Times New Roman" w:hAnsi="Times New Roman" w:cs="Times New Roman"/>
                <w:color w:val="000000" w:themeColor="text1"/>
                <w:sz w:val="28"/>
              </w:rPr>
              <w:t>o y salud»</w:t>
            </w:r>
            <w:r w:rsidRPr="005D36F1">
              <w:rPr>
                <w:rStyle w:val="Refdenotaalpie"/>
                <w:rFonts w:ascii="Times New Roman" w:hAnsi="Times New Roman" w:cs="Times New Roman"/>
                <w:color w:val="000000" w:themeColor="text1"/>
                <w:sz w:val="28"/>
              </w:rPr>
              <w:footnoteReference w:id="28"/>
            </w:r>
            <w:r w:rsidRPr="005D36F1">
              <w:rPr>
                <w:rFonts w:ascii="Times New Roman" w:hAnsi="Times New Roman" w:cs="Times New Roman"/>
                <w:color w:val="000000" w:themeColor="text1"/>
                <w:sz w:val="28"/>
              </w:rPr>
              <w:t>. Se encuentra demostrado que un número significativo de ellos rehúsa «servicios de atención y tratamiento para no ser discriminados, lo cual exacerba el daño asociado al uso de drogas»</w:t>
            </w:r>
            <w:r w:rsidRPr="005D36F1">
              <w:rPr>
                <w:rStyle w:val="Refdenotaalpie"/>
                <w:rFonts w:ascii="Times New Roman" w:hAnsi="Times New Roman" w:cs="Times New Roman"/>
                <w:color w:val="000000" w:themeColor="text1"/>
                <w:sz w:val="28"/>
              </w:rPr>
              <w:footnoteReference w:id="29"/>
            </w:r>
            <w:r w:rsidRPr="005D36F1">
              <w:rPr>
                <w:rFonts w:ascii="Times New Roman" w:hAnsi="Times New Roman" w:cs="Times New Roman"/>
                <w:color w:val="000000" w:themeColor="text1"/>
                <w:sz w:val="28"/>
              </w:rPr>
              <w:t>. Según este razonamiento, la norma refuerza, infundadament</w:t>
            </w:r>
            <w:r w:rsidRPr="005D36F1">
              <w:rPr>
                <w:rFonts w:ascii="Times New Roman" w:hAnsi="Times New Roman" w:cs="Times New Roman"/>
                <w:color w:val="000000" w:themeColor="text1"/>
                <w:sz w:val="28"/>
              </w:rPr>
              <w:t>e, el prejuicio que existe contra las drogas y las personas que las consumen. Es una norma «represiva, que da cuenta de una clara marca negativa al consumidor de SPA, sin dejar lugar a analizar la finalidad del consumo, esto es, si el mismo se desarrolla d</w:t>
            </w:r>
            <w:r w:rsidRPr="005D36F1">
              <w:rPr>
                <w:rFonts w:ascii="Times New Roman" w:hAnsi="Times New Roman" w:cs="Times New Roman"/>
                <w:color w:val="000000" w:themeColor="text1"/>
                <w:sz w:val="28"/>
              </w:rPr>
              <w:t>entro de un ámbito recreativo o adictivo»</w:t>
            </w:r>
            <w:r w:rsidRPr="005D36F1">
              <w:rPr>
                <w:rStyle w:val="Refdenotaalpie"/>
                <w:rFonts w:ascii="Times New Roman" w:hAnsi="Times New Roman" w:cs="Times New Roman"/>
                <w:color w:val="000000" w:themeColor="text1"/>
                <w:sz w:val="28"/>
              </w:rPr>
              <w:footnoteReference w:id="30"/>
            </w:r>
            <w:r w:rsidRPr="005D36F1">
              <w:rPr>
                <w:rFonts w:ascii="Times New Roman" w:hAnsi="Times New Roman" w:cs="Times New Roman"/>
                <w:color w:val="000000" w:themeColor="text1"/>
                <w:sz w:val="28"/>
              </w:rPr>
              <w:t xml:space="preserve">.  </w:t>
            </w:r>
          </w:p>
          <w:p w:rsidR="00894FB7" w:rsidRPr="005D36F1" w:rsidRDefault="005D36F1" w:rsidP="00B5075E">
            <w:pPr>
              <w:pStyle w:val="Prrafodelista"/>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8"/>
              </w:rPr>
            </w:pPr>
          </w:p>
          <w:p w:rsidR="00894FB7" w:rsidRPr="005D36F1" w:rsidRDefault="005D36F1" w:rsidP="00B5075E">
            <w:pPr>
              <w:tabs>
                <w:tab w:val="left" w:pos="567"/>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La entidad finaliza cuestionando que el Legislador hubiera resuelto el conflicto entre los dos cónyuges, el consumidor habitual y el que no lo es, de manera «desequilibrada y excesiva»</w:t>
            </w:r>
            <w:r w:rsidRPr="005D36F1">
              <w:rPr>
                <w:rStyle w:val="Refdenotaalpie"/>
                <w:rFonts w:ascii="Times New Roman" w:hAnsi="Times New Roman" w:cs="Times New Roman"/>
                <w:color w:val="000000" w:themeColor="text1"/>
                <w:sz w:val="28"/>
              </w:rPr>
              <w:footnoteReference w:id="31"/>
            </w:r>
            <w:r w:rsidRPr="005D36F1">
              <w:rPr>
                <w:rFonts w:ascii="Times New Roman" w:hAnsi="Times New Roman" w:cs="Times New Roman"/>
                <w:color w:val="000000" w:themeColor="text1"/>
                <w:sz w:val="28"/>
              </w:rPr>
              <w:t>, «sin ningún tipo de po</w:t>
            </w:r>
            <w:r w:rsidRPr="005D36F1">
              <w:rPr>
                <w:rFonts w:ascii="Times New Roman" w:hAnsi="Times New Roman" w:cs="Times New Roman"/>
                <w:color w:val="000000" w:themeColor="text1"/>
                <w:sz w:val="28"/>
              </w:rPr>
              <w:t>nderación o análisis»</w:t>
            </w:r>
            <w:r w:rsidRPr="005D36F1">
              <w:rPr>
                <w:rStyle w:val="Refdenotaalpie"/>
                <w:rFonts w:ascii="Times New Roman" w:hAnsi="Times New Roman" w:cs="Times New Roman"/>
                <w:color w:val="000000" w:themeColor="text1"/>
                <w:sz w:val="28"/>
              </w:rPr>
              <w:footnoteReference w:id="32"/>
            </w:r>
            <w:r w:rsidRPr="005D36F1">
              <w:rPr>
                <w:rFonts w:ascii="Times New Roman" w:hAnsi="Times New Roman" w:cs="Times New Roman"/>
                <w:color w:val="000000" w:themeColor="text1"/>
                <w:sz w:val="28"/>
              </w:rPr>
              <w:t>. Estas afirmaciones se basan en el hecho de que este último, el que no es consumidor habitual, puede demandar el divorcio, reclamar el pago de alimentos y revocar las donaciones que hubiere realizado en favor del otro. Con fundamento</w:t>
            </w:r>
            <w:r w:rsidRPr="005D36F1">
              <w:rPr>
                <w:rFonts w:ascii="Times New Roman" w:hAnsi="Times New Roman" w:cs="Times New Roman"/>
                <w:color w:val="000000" w:themeColor="text1"/>
                <w:sz w:val="28"/>
              </w:rPr>
              <w:t xml:space="preserve"> en estas razones, la Dirección solicitó a esta corporación declarar la inexequibilidad de la norma demandada. </w:t>
            </w:r>
          </w:p>
          <w:p w:rsidR="00894FB7" w:rsidRPr="005D36F1" w:rsidRDefault="005D36F1" w:rsidP="00B5075E">
            <w:pPr>
              <w:tabs>
                <w:tab w:val="left" w:pos="567"/>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8"/>
              </w:rPr>
            </w:pPr>
          </w:p>
        </w:tc>
      </w:tr>
      <w:tr w:rsidR="00894FB7" w:rsidRPr="005D36F1" w:rsidTr="00B5075E">
        <w:tc>
          <w:tcPr>
            <w:cnfStyle w:val="001000000000" w:firstRow="0" w:lastRow="0" w:firstColumn="1" w:lastColumn="0" w:oddVBand="0" w:evenVBand="0" w:oddHBand="0" w:evenHBand="0" w:firstRowFirstColumn="0" w:firstRowLastColumn="0" w:lastRowFirstColumn="0" w:lastRowLastColumn="0"/>
            <w:tcW w:w="2263" w:type="dxa"/>
          </w:tcPr>
          <w:p w:rsidR="00894FB7" w:rsidRPr="005D36F1" w:rsidRDefault="005D36F1" w:rsidP="00B5075E">
            <w:pPr>
              <w:tabs>
                <w:tab w:val="left" w:pos="567"/>
              </w:tabs>
              <w:jc w:val="both"/>
              <w:rPr>
                <w:rFonts w:ascii="Times New Roman" w:hAnsi="Times New Roman" w:cs="Times New Roman"/>
                <w:b w:val="0"/>
                <w:bCs w:val="0"/>
                <w:color w:val="000000" w:themeColor="text1"/>
                <w:sz w:val="28"/>
              </w:rPr>
            </w:pPr>
            <w:r w:rsidRPr="005D36F1">
              <w:rPr>
                <w:rFonts w:ascii="Times New Roman" w:hAnsi="Times New Roman" w:cs="Times New Roman"/>
                <w:b w:val="0"/>
                <w:bCs w:val="0"/>
                <w:color w:val="000000" w:themeColor="text1"/>
                <w:sz w:val="28"/>
              </w:rPr>
              <w:t>Alejandra León Gómez</w:t>
            </w:r>
          </w:p>
        </w:tc>
        <w:tc>
          <w:tcPr>
            <w:tcW w:w="6565" w:type="dxa"/>
          </w:tcPr>
          <w:p w:rsidR="00894FB7" w:rsidRPr="005D36F1" w:rsidRDefault="005D36F1" w:rsidP="00B5075E">
            <w:pPr>
              <w:tabs>
                <w:tab w:val="left" w:pos="567"/>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 xml:space="preserve">En criterio de la interviniente, «las personas consumidoras deberían ser tratadas como un grupo discriminado y </w:t>
            </w:r>
            <w:r w:rsidRPr="005D36F1">
              <w:rPr>
                <w:rFonts w:ascii="Times New Roman" w:hAnsi="Times New Roman" w:cs="Times New Roman"/>
                <w:color w:val="000000" w:themeColor="text1"/>
                <w:sz w:val="28"/>
              </w:rPr>
              <w:t>minoritario»</w:t>
            </w:r>
            <w:r w:rsidRPr="005D36F1">
              <w:rPr>
                <w:rStyle w:val="Refdenotaalpie"/>
                <w:rFonts w:ascii="Times New Roman" w:hAnsi="Times New Roman" w:cs="Times New Roman"/>
                <w:color w:val="000000" w:themeColor="text1"/>
                <w:sz w:val="28"/>
              </w:rPr>
              <w:footnoteReference w:id="33"/>
            </w:r>
            <w:r w:rsidRPr="005D36F1">
              <w:rPr>
                <w:rFonts w:ascii="Times New Roman" w:hAnsi="Times New Roman" w:cs="Times New Roman"/>
                <w:color w:val="000000" w:themeColor="text1"/>
                <w:sz w:val="28"/>
              </w:rPr>
              <w:t>, en atención a que sufren una «patología que tiene cura»</w:t>
            </w:r>
            <w:r w:rsidRPr="005D36F1">
              <w:rPr>
                <w:rStyle w:val="Refdenotaalpie"/>
                <w:rFonts w:ascii="Times New Roman" w:hAnsi="Times New Roman" w:cs="Times New Roman"/>
                <w:color w:val="000000" w:themeColor="text1"/>
                <w:sz w:val="28"/>
              </w:rPr>
              <w:footnoteReference w:id="34"/>
            </w:r>
            <w:r w:rsidRPr="005D36F1">
              <w:rPr>
                <w:rFonts w:ascii="Times New Roman" w:hAnsi="Times New Roman" w:cs="Times New Roman"/>
                <w:color w:val="000000" w:themeColor="text1"/>
                <w:sz w:val="28"/>
              </w:rPr>
              <w:t>. Según este planteamiento, la norma es inconstitucional por cuanto permite a los integrantes de la familia «discriminar, dejar en situación de desamparo a toda aquella persona que es c</w:t>
            </w:r>
            <w:r w:rsidRPr="005D36F1">
              <w:rPr>
                <w:rFonts w:ascii="Times New Roman" w:hAnsi="Times New Roman" w:cs="Times New Roman"/>
                <w:color w:val="000000" w:themeColor="text1"/>
                <w:sz w:val="28"/>
              </w:rPr>
              <w:t>onsumidora de estupefacientes»</w:t>
            </w:r>
            <w:r w:rsidRPr="005D36F1">
              <w:rPr>
                <w:rStyle w:val="Refdenotaalpie"/>
                <w:rFonts w:ascii="Times New Roman" w:hAnsi="Times New Roman" w:cs="Times New Roman"/>
                <w:color w:val="000000" w:themeColor="text1"/>
                <w:sz w:val="28"/>
              </w:rPr>
              <w:footnoteReference w:id="35"/>
            </w:r>
            <w:r w:rsidRPr="005D36F1">
              <w:rPr>
                <w:rFonts w:ascii="Times New Roman" w:hAnsi="Times New Roman" w:cs="Times New Roman"/>
                <w:color w:val="000000" w:themeColor="text1"/>
                <w:sz w:val="28"/>
              </w:rPr>
              <w:t>.</w:t>
            </w:r>
          </w:p>
          <w:p w:rsidR="00894FB7" w:rsidRPr="005D36F1" w:rsidRDefault="005D36F1" w:rsidP="00B5075E">
            <w:pPr>
              <w:tabs>
                <w:tab w:val="left" w:pos="567"/>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8"/>
              </w:rPr>
            </w:pPr>
          </w:p>
        </w:tc>
      </w:tr>
      <w:tr w:rsidR="00894FB7" w:rsidRPr="005D36F1" w:rsidTr="00B507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894FB7" w:rsidRPr="005D36F1" w:rsidRDefault="005D36F1" w:rsidP="00B5075E">
            <w:pPr>
              <w:tabs>
                <w:tab w:val="left" w:pos="567"/>
              </w:tabs>
              <w:jc w:val="both"/>
              <w:rPr>
                <w:rFonts w:ascii="Times New Roman" w:hAnsi="Times New Roman" w:cs="Times New Roman"/>
                <w:b w:val="0"/>
                <w:bCs w:val="0"/>
                <w:color w:val="000000" w:themeColor="text1"/>
                <w:sz w:val="28"/>
              </w:rPr>
            </w:pPr>
            <w:r w:rsidRPr="005D36F1">
              <w:rPr>
                <w:rFonts w:ascii="Times New Roman" w:hAnsi="Times New Roman" w:cs="Times New Roman"/>
                <w:b w:val="0"/>
                <w:bCs w:val="0"/>
                <w:color w:val="000000" w:themeColor="text1"/>
                <w:sz w:val="28"/>
              </w:rPr>
              <w:t>Alejandro Mican Vanegas</w:t>
            </w:r>
          </w:p>
        </w:tc>
        <w:tc>
          <w:tcPr>
            <w:tcW w:w="6565" w:type="dxa"/>
          </w:tcPr>
          <w:p w:rsidR="00894FB7" w:rsidRPr="005D36F1" w:rsidRDefault="005D36F1" w:rsidP="00B5075E">
            <w:pPr>
              <w:tabs>
                <w:tab w:val="left" w:pos="567"/>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El ciudadano adujo que la causal demandada es inconstitucional porque promueve un trato «discriminatorio, ya que se está imponiendo un castigo a alguien por tomar una decisión diferente a lo que se</w:t>
            </w:r>
            <w:r w:rsidRPr="005D36F1">
              <w:rPr>
                <w:rFonts w:ascii="Times New Roman" w:hAnsi="Times New Roman" w:cs="Times New Roman"/>
                <w:color w:val="000000" w:themeColor="text1"/>
                <w:sz w:val="28"/>
              </w:rPr>
              <w:t xml:space="preserve"> considera “normal” pero que en ningún momento es ilegal»</w:t>
            </w:r>
            <w:r w:rsidRPr="005D36F1">
              <w:rPr>
                <w:rFonts w:ascii="Times New Roman" w:hAnsi="Times New Roman" w:cs="Times New Roman"/>
                <w:color w:val="000000" w:themeColor="text1"/>
                <w:sz w:val="28"/>
                <w:vertAlign w:val="superscript"/>
              </w:rPr>
              <w:footnoteReference w:id="36"/>
            </w:r>
            <w:r w:rsidRPr="005D36F1">
              <w:rPr>
                <w:rFonts w:ascii="Times New Roman" w:hAnsi="Times New Roman" w:cs="Times New Roman"/>
                <w:color w:val="000000" w:themeColor="text1"/>
                <w:sz w:val="28"/>
              </w:rPr>
              <w:t>. A juicio del ciudadano, existe una clara distinción entre el consumo de sustancias que causa daños en los derechos de los demás integrantes de la familia y aquel que resulta inocuo para ellos. Est</w:t>
            </w:r>
            <w:r w:rsidRPr="005D36F1">
              <w:rPr>
                <w:rFonts w:ascii="Times New Roman" w:hAnsi="Times New Roman" w:cs="Times New Roman"/>
                <w:color w:val="000000" w:themeColor="text1"/>
                <w:sz w:val="28"/>
              </w:rPr>
              <w:t>e último caso se presenta en el supuesto de hecho de la causal demandada. Esta circunstancia pone de presente la violación del derecho al libre desarrollo de la personalidad. Finalmente, el interviniente manifestó que la conducta en cuestión no necesariame</w:t>
            </w:r>
            <w:r w:rsidRPr="005D36F1">
              <w:rPr>
                <w:rFonts w:ascii="Times New Roman" w:hAnsi="Times New Roman" w:cs="Times New Roman"/>
                <w:color w:val="000000" w:themeColor="text1"/>
                <w:sz w:val="28"/>
              </w:rPr>
              <w:t xml:space="preserve">nte conlleva una afectación de la familia. Ello se debe a que las conductas que resultan perjudiciales ya se encuentran tipificadas en otras causales de divorcio. </w:t>
            </w:r>
          </w:p>
          <w:p w:rsidR="00894FB7" w:rsidRPr="005D36F1" w:rsidRDefault="005D36F1" w:rsidP="00B5075E">
            <w:pPr>
              <w:tabs>
                <w:tab w:val="left" w:pos="567"/>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8"/>
              </w:rPr>
            </w:pPr>
          </w:p>
        </w:tc>
      </w:tr>
      <w:tr w:rsidR="00894FB7" w:rsidRPr="005D36F1" w:rsidTr="00B5075E">
        <w:tc>
          <w:tcPr>
            <w:cnfStyle w:val="001000000000" w:firstRow="0" w:lastRow="0" w:firstColumn="1" w:lastColumn="0" w:oddVBand="0" w:evenVBand="0" w:oddHBand="0" w:evenHBand="0" w:firstRowFirstColumn="0" w:firstRowLastColumn="0" w:lastRowFirstColumn="0" w:lastRowLastColumn="0"/>
            <w:tcW w:w="2263" w:type="dxa"/>
          </w:tcPr>
          <w:p w:rsidR="00894FB7" w:rsidRPr="005D36F1" w:rsidRDefault="005D36F1" w:rsidP="00B5075E">
            <w:pPr>
              <w:tabs>
                <w:tab w:val="left" w:pos="567"/>
              </w:tabs>
              <w:jc w:val="both"/>
              <w:rPr>
                <w:rFonts w:ascii="Times New Roman" w:hAnsi="Times New Roman" w:cs="Times New Roman"/>
                <w:b w:val="0"/>
                <w:bCs w:val="0"/>
                <w:color w:val="000000" w:themeColor="text1"/>
                <w:sz w:val="28"/>
              </w:rPr>
            </w:pPr>
            <w:r w:rsidRPr="005D36F1">
              <w:rPr>
                <w:rFonts w:ascii="Times New Roman" w:hAnsi="Times New Roman" w:cs="Times New Roman"/>
                <w:b w:val="0"/>
                <w:bCs w:val="0"/>
                <w:color w:val="000000" w:themeColor="text1"/>
                <w:sz w:val="28"/>
              </w:rPr>
              <w:t>Ana María Caro Cabuyo</w:t>
            </w:r>
          </w:p>
        </w:tc>
        <w:tc>
          <w:tcPr>
            <w:tcW w:w="6565" w:type="dxa"/>
          </w:tcPr>
          <w:p w:rsidR="00894FB7" w:rsidRPr="005D36F1" w:rsidRDefault="005D36F1" w:rsidP="00B5075E">
            <w:pPr>
              <w:tabs>
                <w:tab w:val="left" w:pos="567"/>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La ciudadana argumentó que el Legislador incurre en un error al pres</w:t>
            </w:r>
            <w:r w:rsidRPr="005D36F1">
              <w:rPr>
                <w:rFonts w:ascii="Times New Roman" w:hAnsi="Times New Roman" w:cs="Times New Roman"/>
                <w:color w:val="000000" w:themeColor="text1"/>
                <w:sz w:val="28"/>
              </w:rPr>
              <w:t xml:space="preserve">umir que, en todos los casos, el consumo de estas sustancias implica el deterioro de las relaciones maritales. Asegura que bien puede presentarse un consumo habitual que resulte inofensivo para la pareja y los demás integrantes de la familia. Al respecto, </w:t>
            </w:r>
            <w:r w:rsidRPr="005D36F1">
              <w:rPr>
                <w:rFonts w:ascii="Times New Roman" w:hAnsi="Times New Roman" w:cs="Times New Roman"/>
                <w:color w:val="000000" w:themeColor="text1"/>
                <w:sz w:val="28"/>
              </w:rPr>
              <w:t>sostiene que «[l]a generalización y falta de delimitación en este fragmento del Código Civil lo único que hace es excluir a las personas que consumen sustancias estupefacientes del resto de la sociedad, generando discriminación y una limitación directa del</w:t>
            </w:r>
            <w:r w:rsidRPr="005D36F1">
              <w:rPr>
                <w:rFonts w:ascii="Times New Roman" w:hAnsi="Times New Roman" w:cs="Times New Roman"/>
                <w:color w:val="000000" w:themeColor="text1"/>
                <w:sz w:val="28"/>
              </w:rPr>
              <w:t xml:space="preserve"> desarrollo de la libre personalidad de los mismos»</w:t>
            </w:r>
            <w:r w:rsidRPr="005D36F1">
              <w:rPr>
                <w:rFonts w:ascii="Times New Roman" w:hAnsi="Times New Roman" w:cs="Times New Roman"/>
                <w:color w:val="000000" w:themeColor="text1"/>
                <w:sz w:val="28"/>
                <w:vertAlign w:val="superscript"/>
              </w:rPr>
              <w:footnoteReference w:id="37"/>
            </w:r>
            <w:r w:rsidRPr="005D36F1">
              <w:rPr>
                <w:rFonts w:ascii="Times New Roman" w:hAnsi="Times New Roman" w:cs="Times New Roman"/>
                <w:color w:val="000000" w:themeColor="text1"/>
                <w:sz w:val="28"/>
              </w:rPr>
              <w:t xml:space="preserve">. </w:t>
            </w:r>
          </w:p>
          <w:p w:rsidR="00894FB7" w:rsidRPr="005D36F1" w:rsidRDefault="005D36F1" w:rsidP="00B5075E">
            <w:pPr>
              <w:tabs>
                <w:tab w:val="left" w:pos="567"/>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8"/>
              </w:rPr>
            </w:pPr>
          </w:p>
        </w:tc>
      </w:tr>
    </w:tbl>
    <w:p w:rsidR="00894FB7" w:rsidRPr="005D36F1" w:rsidRDefault="005D36F1" w:rsidP="00894FB7">
      <w:pPr>
        <w:jc w:val="both"/>
        <w:rPr>
          <w:rFonts w:ascii="Times New Roman" w:hAnsi="Times New Roman" w:cs="Times New Roman"/>
          <w:b/>
          <w:bCs/>
          <w:color w:val="000000" w:themeColor="text1"/>
          <w:sz w:val="28"/>
          <w:szCs w:val="28"/>
        </w:rPr>
      </w:pPr>
    </w:p>
    <w:p w:rsidR="00894FB7" w:rsidRPr="005D36F1" w:rsidRDefault="005D36F1" w:rsidP="00894FB7">
      <w:pPr>
        <w:pStyle w:val="Prrafodelista"/>
        <w:numPr>
          <w:ilvl w:val="0"/>
          <w:numId w:val="3"/>
        </w:numPr>
        <w:jc w:val="both"/>
        <w:rPr>
          <w:rFonts w:ascii="Times New Roman" w:hAnsi="Times New Roman" w:cs="Times New Roman"/>
          <w:b/>
          <w:bCs/>
          <w:color w:val="000000" w:themeColor="text1"/>
          <w:sz w:val="28"/>
          <w:szCs w:val="28"/>
        </w:rPr>
      </w:pPr>
      <w:r w:rsidRPr="005D36F1">
        <w:rPr>
          <w:rFonts w:ascii="Times New Roman" w:hAnsi="Times New Roman" w:cs="Times New Roman"/>
          <w:b/>
          <w:bCs/>
          <w:color w:val="000000" w:themeColor="text1"/>
          <w:sz w:val="28"/>
          <w:szCs w:val="28"/>
        </w:rPr>
        <w:t>Concepto de la Procuraduría General de la Nación</w:t>
      </w:r>
    </w:p>
    <w:p w:rsidR="00894FB7" w:rsidRPr="005D36F1" w:rsidRDefault="005D36F1" w:rsidP="00894FB7">
      <w:pPr>
        <w:pBdr>
          <w:top w:val="nil"/>
          <w:left w:val="nil"/>
          <w:bottom w:val="nil"/>
          <w:right w:val="nil"/>
          <w:between w:val="nil"/>
        </w:pBdr>
        <w:rPr>
          <w:rFonts w:ascii="Times New Roman" w:hAnsi="Times New Roman" w:cs="Times New Roman"/>
          <w:color w:val="000000" w:themeColor="text1"/>
          <w:sz w:val="28"/>
          <w:szCs w:val="28"/>
        </w:rPr>
      </w:pPr>
    </w:p>
    <w:p w:rsidR="00894FB7" w:rsidRPr="005D36F1" w:rsidRDefault="005D36F1" w:rsidP="00894FB7">
      <w:pPr>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 xml:space="preserve">Mediante concepto remitido el 31 de octubre de 2023, la Procuraduría General de la Nación solicitó a esta corporación declarar la exequibilidad del numeral demandado. A juicio de la entidad, si bien contiene una restricción del derecho al libre desarrollo </w:t>
      </w:r>
      <w:r w:rsidRPr="005D36F1">
        <w:rPr>
          <w:rFonts w:ascii="Times New Roman" w:hAnsi="Times New Roman" w:cs="Times New Roman"/>
          <w:color w:val="000000" w:themeColor="text1"/>
          <w:sz w:val="28"/>
          <w:szCs w:val="28"/>
        </w:rPr>
        <w:t xml:space="preserve">de la personalidad, la norma supera el test de razonabilidad, lo que demuestra su concordancia con el texto superior. El cumplimiento del test fue justificado en los siguientes términos: </w:t>
      </w:r>
    </w:p>
    <w:p w:rsidR="00894FB7" w:rsidRPr="005D36F1" w:rsidRDefault="005D36F1" w:rsidP="00894FB7">
      <w:pPr>
        <w:tabs>
          <w:tab w:val="left" w:pos="567"/>
        </w:tabs>
        <w:jc w:val="both"/>
        <w:rPr>
          <w:rFonts w:ascii="Times New Roman" w:hAnsi="Times New Roman" w:cs="Times New Roman"/>
          <w:color w:val="000000" w:themeColor="text1"/>
          <w:sz w:val="28"/>
          <w:szCs w:val="28"/>
        </w:rPr>
      </w:pPr>
    </w:p>
    <w:p w:rsidR="00894FB7" w:rsidRPr="005D36F1" w:rsidRDefault="005D36F1" w:rsidP="00894FB7">
      <w:pPr>
        <w:pStyle w:val="Prrafodelista"/>
        <w:numPr>
          <w:ilvl w:val="0"/>
          <w:numId w:val="4"/>
        </w:numPr>
        <w:tabs>
          <w:tab w:val="left" w:pos="567"/>
        </w:tabs>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La disposición persigue una finalidad legítima, consistente en «ase</w:t>
      </w:r>
      <w:r w:rsidRPr="005D36F1">
        <w:rPr>
          <w:rFonts w:ascii="Times New Roman" w:hAnsi="Times New Roman" w:cs="Times New Roman"/>
          <w:color w:val="000000" w:themeColor="text1"/>
          <w:sz w:val="28"/>
          <w:szCs w:val="28"/>
        </w:rPr>
        <w:t>gurar la autonomía personal [del cónyuge que no realiza un consumo habitual de sustancias psicoactivas] que […] tiene para elegir el “proyecto de vida emocional y familiar” que […] desea, como una manifestación de la dignidad humana, el libre desarrollo de</w:t>
      </w:r>
      <w:r w:rsidRPr="005D36F1">
        <w:rPr>
          <w:rFonts w:ascii="Times New Roman" w:hAnsi="Times New Roman" w:cs="Times New Roman"/>
          <w:color w:val="000000" w:themeColor="text1"/>
          <w:sz w:val="28"/>
          <w:szCs w:val="28"/>
        </w:rPr>
        <w:t xml:space="preserve"> la personalidad, la integridad personal y la protección de los menores de edad»</w:t>
      </w:r>
      <w:r w:rsidRPr="005D36F1">
        <w:rPr>
          <w:rStyle w:val="Refdenotaalpie"/>
          <w:rFonts w:ascii="Times New Roman" w:hAnsi="Times New Roman" w:cs="Times New Roman"/>
          <w:color w:val="000000" w:themeColor="text1"/>
          <w:sz w:val="28"/>
          <w:szCs w:val="28"/>
        </w:rPr>
        <w:footnoteReference w:id="38"/>
      </w:r>
      <w:r w:rsidRPr="005D36F1">
        <w:rPr>
          <w:rFonts w:ascii="Times New Roman" w:hAnsi="Times New Roman" w:cs="Times New Roman"/>
          <w:color w:val="000000" w:themeColor="text1"/>
          <w:sz w:val="28"/>
          <w:szCs w:val="28"/>
        </w:rPr>
        <w:t>.</w:t>
      </w:r>
    </w:p>
    <w:p w:rsidR="00894FB7" w:rsidRPr="005D36F1" w:rsidRDefault="005D36F1" w:rsidP="00894FB7">
      <w:pPr>
        <w:pStyle w:val="Prrafodelista"/>
        <w:numPr>
          <w:ilvl w:val="0"/>
          <w:numId w:val="4"/>
        </w:numPr>
        <w:tabs>
          <w:tab w:val="left" w:pos="567"/>
        </w:tabs>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La medida es idónea para el cumplimiento de los fines constitucionales referidos. La afirmación se basa en que «las causales de divorcio buscan ofrecer a los esposos la posi</w:t>
      </w:r>
      <w:r w:rsidRPr="005D36F1">
        <w:rPr>
          <w:rFonts w:ascii="Times New Roman" w:hAnsi="Times New Roman" w:cs="Times New Roman"/>
          <w:color w:val="000000" w:themeColor="text1"/>
          <w:sz w:val="28"/>
          <w:szCs w:val="28"/>
        </w:rPr>
        <w:t xml:space="preserve">bilidad de disolver el vínculo matrimonial», resultado que conduce a la satisfacción de los propósitos que persigue la norma demandada. </w:t>
      </w:r>
    </w:p>
    <w:p w:rsidR="00894FB7" w:rsidRPr="005D36F1" w:rsidRDefault="005D36F1" w:rsidP="00894FB7">
      <w:pPr>
        <w:pStyle w:val="Prrafodelista"/>
        <w:numPr>
          <w:ilvl w:val="0"/>
          <w:numId w:val="4"/>
        </w:numPr>
        <w:tabs>
          <w:tab w:val="left" w:pos="567"/>
        </w:tabs>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La restricción es necesaria en la medida en que permite al cónyuge afectado por el consumo habitual de sustancias psico</w:t>
      </w:r>
      <w:r w:rsidRPr="005D36F1">
        <w:rPr>
          <w:rFonts w:ascii="Times New Roman" w:hAnsi="Times New Roman" w:cs="Times New Roman"/>
          <w:color w:val="000000" w:themeColor="text1"/>
          <w:sz w:val="28"/>
          <w:szCs w:val="28"/>
        </w:rPr>
        <w:t xml:space="preserve">activas reclamar, de manera individual, el divorcio. Tal facultad, según este planteamiento, le permite salvaguardar sus derechos fundamentales, cuando estos se pongan en peligro debido a la realización de la conducta en cuestión. </w:t>
      </w:r>
    </w:p>
    <w:p w:rsidR="00894FB7" w:rsidRPr="005D36F1" w:rsidRDefault="005D36F1" w:rsidP="00894FB7">
      <w:pPr>
        <w:pStyle w:val="Prrafodelista"/>
        <w:numPr>
          <w:ilvl w:val="0"/>
          <w:numId w:val="4"/>
        </w:numPr>
        <w:tabs>
          <w:tab w:val="left" w:pos="567"/>
        </w:tabs>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La medida es proporciona</w:t>
      </w:r>
      <w:r w:rsidRPr="005D36F1">
        <w:rPr>
          <w:rFonts w:ascii="Times New Roman" w:hAnsi="Times New Roman" w:cs="Times New Roman"/>
          <w:color w:val="000000" w:themeColor="text1"/>
          <w:sz w:val="28"/>
          <w:szCs w:val="28"/>
        </w:rPr>
        <w:t>da frente al derecho al libre desarrollo de la personalidad por dos motivos: primero, la norma no instaura una prohibición del consumo de estas sustancias; segundo, «la mera concurrencia del supuesto fáctico no origina el divorcio, pues la norma no opera a</w:t>
      </w:r>
      <w:r w:rsidRPr="005D36F1">
        <w:rPr>
          <w:rFonts w:ascii="Times New Roman" w:hAnsi="Times New Roman" w:cs="Times New Roman"/>
          <w:color w:val="000000" w:themeColor="text1"/>
          <w:sz w:val="28"/>
          <w:szCs w:val="28"/>
        </w:rPr>
        <w:t>utomáticamente por ministerio de la ley, sino que requiere que el cónyuge afectado demuestre la existencia de la situación y decida solicitar la disolución del vínculo familiar ante la autoridad competente»</w:t>
      </w:r>
      <w:r w:rsidRPr="005D36F1">
        <w:rPr>
          <w:rStyle w:val="Refdenotaalpie"/>
          <w:rFonts w:ascii="Times New Roman" w:hAnsi="Times New Roman" w:cs="Times New Roman"/>
          <w:color w:val="000000" w:themeColor="text1"/>
          <w:sz w:val="28"/>
          <w:szCs w:val="28"/>
        </w:rPr>
        <w:footnoteReference w:id="39"/>
      </w:r>
      <w:r w:rsidRPr="005D36F1">
        <w:rPr>
          <w:rFonts w:ascii="Times New Roman" w:hAnsi="Times New Roman" w:cs="Times New Roman"/>
          <w:color w:val="000000" w:themeColor="text1"/>
          <w:sz w:val="28"/>
          <w:szCs w:val="28"/>
        </w:rPr>
        <w:t>.</w:t>
      </w:r>
    </w:p>
    <w:p w:rsidR="00894FB7" w:rsidRPr="005D36F1" w:rsidRDefault="005D36F1" w:rsidP="00894FB7">
      <w:pPr>
        <w:tabs>
          <w:tab w:val="left" w:pos="567"/>
        </w:tabs>
        <w:jc w:val="both"/>
        <w:rPr>
          <w:rFonts w:ascii="Times New Roman" w:hAnsi="Times New Roman" w:cs="Times New Roman"/>
          <w:color w:val="000000" w:themeColor="text1"/>
          <w:sz w:val="28"/>
          <w:szCs w:val="28"/>
        </w:rPr>
      </w:pPr>
    </w:p>
    <w:p w:rsidR="00894FB7" w:rsidRPr="005D36F1" w:rsidRDefault="005D36F1" w:rsidP="00894FB7">
      <w:pPr>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Con fundamento en estas razones, la Procuradur</w:t>
      </w:r>
      <w:r w:rsidRPr="005D36F1">
        <w:rPr>
          <w:rFonts w:ascii="Times New Roman" w:hAnsi="Times New Roman" w:cs="Times New Roman"/>
          <w:color w:val="000000" w:themeColor="text1"/>
          <w:sz w:val="28"/>
          <w:szCs w:val="28"/>
        </w:rPr>
        <w:t xml:space="preserve">ía concluyó que la norma demandada conlleva una restricción razonable del derecho al libre desarrollo de la personalidad. Por tal motivo, solicitó a la Corte declarar la exequibilidad de la disposición.  </w:t>
      </w:r>
    </w:p>
    <w:p w:rsidR="00894FB7" w:rsidRPr="005D36F1" w:rsidRDefault="005D36F1" w:rsidP="00894FB7">
      <w:pPr>
        <w:rPr>
          <w:rFonts w:ascii="Times New Roman" w:hAnsi="Times New Roman" w:cs="Times New Roman"/>
          <w:color w:val="000000" w:themeColor="text1"/>
          <w:sz w:val="28"/>
        </w:rPr>
      </w:pPr>
    </w:p>
    <w:p w:rsidR="00894FB7" w:rsidRPr="005D36F1" w:rsidRDefault="005D36F1" w:rsidP="00894FB7">
      <w:pPr>
        <w:numPr>
          <w:ilvl w:val="0"/>
          <w:numId w:val="3"/>
        </w:numPr>
        <w:rPr>
          <w:rFonts w:ascii="Times New Roman" w:hAnsi="Times New Roman" w:cs="Times New Roman"/>
          <w:b/>
          <w:color w:val="000000" w:themeColor="text1"/>
          <w:sz w:val="28"/>
          <w:szCs w:val="28"/>
          <w:lang w:val="es-ES_tradnl"/>
        </w:rPr>
      </w:pPr>
      <w:r w:rsidRPr="005D36F1">
        <w:rPr>
          <w:rFonts w:ascii="Times New Roman" w:hAnsi="Times New Roman" w:cs="Times New Roman"/>
          <w:b/>
          <w:color w:val="000000" w:themeColor="text1"/>
          <w:sz w:val="28"/>
          <w:szCs w:val="28"/>
          <w:lang w:val="es-ES_tradnl"/>
        </w:rPr>
        <w:t xml:space="preserve">Pruebas decretadas </w:t>
      </w:r>
    </w:p>
    <w:p w:rsidR="00894FB7" w:rsidRPr="005D36F1" w:rsidRDefault="005D36F1" w:rsidP="00894FB7">
      <w:pPr>
        <w:rPr>
          <w:rFonts w:ascii="Times New Roman" w:hAnsi="Times New Roman" w:cs="Times New Roman"/>
          <w:b/>
          <w:color w:val="000000" w:themeColor="text1"/>
          <w:sz w:val="28"/>
          <w:szCs w:val="28"/>
          <w:lang w:val="es-ES_tradnl"/>
        </w:rPr>
      </w:pPr>
    </w:p>
    <w:p w:rsidR="00894FB7" w:rsidRPr="005D36F1" w:rsidRDefault="005D36F1" w:rsidP="00894FB7">
      <w:pPr>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El 6 de diciembre de 2023, la magistrada sustanciadora dictó un auto de pruebas. Con el propósito de contar con los elementos de juicio necesarios para resolver la controversia, solicitó a varias instituciones, públicas y privadas, que contestaran un cuest</w:t>
      </w:r>
      <w:r w:rsidRPr="005D36F1">
        <w:rPr>
          <w:rFonts w:ascii="Times New Roman" w:hAnsi="Times New Roman" w:cs="Times New Roman"/>
          <w:color w:val="000000" w:themeColor="text1"/>
          <w:sz w:val="28"/>
          <w:szCs w:val="28"/>
        </w:rPr>
        <w:t>ionario que tenía por objeto ahondar en el alcance de la norma demandada y en las consecuencias que, de acuerdo con la evidencia científica, conlleva el consumo habitual de sustancias alucinógenas o estupefacientes. En la medida de lo pertinente, algunas d</w:t>
      </w:r>
      <w:r w:rsidRPr="005D36F1">
        <w:rPr>
          <w:rFonts w:ascii="Times New Roman" w:hAnsi="Times New Roman" w:cs="Times New Roman"/>
          <w:color w:val="000000" w:themeColor="text1"/>
          <w:sz w:val="28"/>
          <w:szCs w:val="28"/>
        </w:rPr>
        <w:t xml:space="preserve">e las respuestas a las preguntas formuladas en los autos de prueba serán expuestas en el acápite dedicado a la solución del caso concreto.  </w:t>
      </w:r>
    </w:p>
    <w:p w:rsidR="00894FB7" w:rsidRPr="005D36F1" w:rsidRDefault="005D36F1" w:rsidP="00894FB7">
      <w:pPr>
        <w:rPr>
          <w:rFonts w:ascii="Times New Roman" w:hAnsi="Times New Roman" w:cs="Times New Roman"/>
          <w:b/>
          <w:color w:val="000000" w:themeColor="text1"/>
          <w:sz w:val="28"/>
          <w:szCs w:val="28"/>
          <w:lang w:val="es-ES_tradnl"/>
        </w:rPr>
      </w:pPr>
    </w:p>
    <w:p w:rsidR="00894FB7" w:rsidRPr="005D36F1" w:rsidRDefault="005D36F1" w:rsidP="00894FB7">
      <w:pPr>
        <w:numPr>
          <w:ilvl w:val="0"/>
          <w:numId w:val="3"/>
        </w:numPr>
        <w:rPr>
          <w:rFonts w:ascii="Times New Roman" w:hAnsi="Times New Roman" w:cs="Times New Roman"/>
          <w:b/>
          <w:color w:val="000000" w:themeColor="text1"/>
          <w:sz w:val="28"/>
          <w:szCs w:val="28"/>
          <w:lang w:val="es-ES_tradnl"/>
        </w:rPr>
      </w:pPr>
      <w:r w:rsidRPr="005D36F1">
        <w:rPr>
          <w:rFonts w:ascii="Times New Roman" w:hAnsi="Times New Roman" w:cs="Times New Roman"/>
          <w:b/>
          <w:color w:val="000000" w:themeColor="text1"/>
          <w:sz w:val="28"/>
          <w:szCs w:val="28"/>
          <w:lang w:val="es-ES_tradnl"/>
        </w:rPr>
        <w:t>Consideraciones</w:t>
      </w:r>
    </w:p>
    <w:p w:rsidR="00894FB7" w:rsidRPr="005D36F1" w:rsidRDefault="005D36F1" w:rsidP="00894FB7">
      <w:pPr>
        <w:rPr>
          <w:rFonts w:ascii="Times New Roman" w:hAnsi="Times New Roman" w:cs="Times New Roman"/>
          <w:b/>
          <w:color w:val="000000" w:themeColor="text1"/>
          <w:sz w:val="28"/>
          <w:szCs w:val="28"/>
          <w:lang w:val="es-ES_tradnl"/>
        </w:rPr>
      </w:pPr>
    </w:p>
    <w:p w:rsidR="00894FB7" w:rsidRPr="005D36F1" w:rsidRDefault="005D36F1" w:rsidP="00894FB7">
      <w:pPr>
        <w:numPr>
          <w:ilvl w:val="0"/>
          <w:numId w:val="5"/>
        </w:numPr>
        <w:tabs>
          <w:tab w:val="left" w:pos="283"/>
        </w:tabs>
        <w:rPr>
          <w:rFonts w:ascii="Times New Roman" w:hAnsi="Times New Roman" w:cs="Times New Roman"/>
          <w:b/>
          <w:color w:val="000000" w:themeColor="text1"/>
          <w:sz w:val="28"/>
          <w:szCs w:val="28"/>
          <w:lang w:val="es-ES_tradnl"/>
        </w:rPr>
      </w:pPr>
      <w:r w:rsidRPr="005D36F1">
        <w:rPr>
          <w:rFonts w:ascii="Times New Roman" w:hAnsi="Times New Roman" w:cs="Times New Roman"/>
          <w:b/>
          <w:color w:val="000000" w:themeColor="text1"/>
          <w:sz w:val="28"/>
          <w:szCs w:val="28"/>
          <w:lang w:val="es-ES_tradnl"/>
        </w:rPr>
        <w:t>Competencia</w:t>
      </w:r>
    </w:p>
    <w:p w:rsidR="00894FB7" w:rsidRPr="005D36F1" w:rsidRDefault="005D36F1" w:rsidP="00894FB7">
      <w:pPr>
        <w:rPr>
          <w:rFonts w:ascii="Times New Roman" w:hAnsi="Times New Roman" w:cs="Times New Roman"/>
          <w:b/>
          <w:color w:val="000000" w:themeColor="text1"/>
          <w:sz w:val="28"/>
          <w:szCs w:val="28"/>
          <w:lang w:val="es-ES_tradnl"/>
        </w:rPr>
      </w:pPr>
    </w:p>
    <w:p w:rsidR="00894FB7" w:rsidRPr="005D36F1" w:rsidRDefault="005D36F1" w:rsidP="00894FB7">
      <w:pPr>
        <w:pStyle w:val="Prrafodelista"/>
        <w:numPr>
          <w:ilvl w:val="0"/>
          <w:numId w:val="2"/>
        </w:numPr>
        <w:tabs>
          <w:tab w:val="left" w:pos="567"/>
        </w:tabs>
        <w:ind w:left="0" w:firstLine="0"/>
        <w:jc w:val="both"/>
        <w:rPr>
          <w:rFonts w:ascii="Times New Roman" w:hAnsi="Times New Roman" w:cs="Times New Roman"/>
          <w:color w:val="000000" w:themeColor="text1"/>
          <w:sz w:val="28"/>
        </w:rPr>
      </w:pPr>
      <w:r w:rsidRPr="005D36F1">
        <w:rPr>
          <w:rFonts w:ascii="Times New Roman" w:hAnsi="Times New Roman" w:cs="Times New Roman"/>
          <w:color w:val="000000" w:themeColor="text1"/>
          <w:sz w:val="28"/>
          <w:szCs w:val="28"/>
        </w:rPr>
        <w:t>La Corte Constitucional es competente para realizar el control de constitucionalidad</w:t>
      </w:r>
      <w:r w:rsidRPr="005D36F1">
        <w:rPr>
          <w:rFonts w:ascii="Times New Roman" w:hAnsi="Times New Roman" w:cs="Times New Roman"/>
          <w:color w:val="000000" w:themeColor="text1"/>
          <w:sz w:val="28"/>
          <w:szCs w:val="28"/>
        </w:rPr>
        <w:t xml:space="preserve"> solicitado en la demanda formulada por el accionante, de conformidad con lo dispuesto por el numeral 4 del artículo 241 del texto superior.</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pStyle w:val="Prrafodelista"/>
        <w:numPr>
          <w:ilvl w:val="0"/>
          <w:numId w:val="5"/>
        </w:numPr>
        <w:jc w:val="both"/>
        <w:rPr>
          <w:rFonts w:ascii="Times New Roman" w:hAnsi="Times New Roman" w:cs="Times New Roman"/>
          <w:b/>
          <w:bCs/>
          <w:color w:val="000000" w:themeColor="text1"/>
          <w:sz w:val="28"/>
          <w:szCs w:val="28"/>
        </w:rPr>
      </w:pPr>
      <w:r w:rsidRPr="005D36F1">
        <w:rPr>
          <w:rFonts w:ascii="Times New Roman" w:hAnsi="Times New Roman" w:cs="Times New Roman"/>
          <w:b/>
          <w:bCs/>
          <w:color w:val="000000" w:themeColor="text1"/>
          <w:sz w:val="28"/>
          <w:szCs w:val="28"/>
        </w:rPr>
        <w:t>Cuesti</w:t>
      </w:r>
      <w:r w:rsidRPr="005D36F1">
        <w:rPr>
          <w:rFonts w:ascii="Times New Roman" w:hAnsi="Times New Roman" w:cs="Times New Roman"/>
          <w:b/>
          <w:bCs/>
          <w:color w:val="000000" w:themeColor="text1"/>
          <w:sz w:val="28"/>
          <w:szCs w:val="28"/>
        </w:rPr>
        <w:t>ones</w:t>
      </w:r>
      <w:r w:rsidRPr="005D36F1">
        <w:rPr>
          <w:rFonts w:ascii="Times New Roman" w:hAnsi="Times New Roman" w:cs="Times New Roman"/>
          <w:b/>
          <w:bCs/>
          <w:color w:val="000000" w:themeColor="text1"/>
          <w:sz w:val="28"/>
          <w:szCs w:val="28"/>
        </w:rPr>
        <w:t xml:space="preserve"> preliminar</w:t>
      </w:r>
      <w:r w:rsidRPr="005D36F1">
        <w:rPr>
          <w:rFonts w:ascii="Times New Roman" w:hAnsi="Times New Roman" w:cs="Times New Roman"/>
          <w:b/>
          <w:bCs/>
          <w:color w:val="000000" w:themeColor="text1"/>
          <w:sz w:val="28"/>
          <w:szCs w:val="28"/>
        </w:rPr>
        <w:t>es</w:t>
      </w:r>
    </w:p>
    <w:p w:rsidR="00894FB7" w:rsidRPr="005D36F1" w:rsidRDefault="005D36F1" w:rsidP="00894FB7">
      <w:pPr>
        <w:jc w:val="both"/>
        <w:rPr>
          <w:rFonts w:ascii="Times New Roman" w:hAnsi="Times New Roman" w:cs="Times New Roman"/>
          <w:color w:val="000000" w:themeColor="text1"/>
          <w:sz w:val="28"/>
          <w:szCs w:val="28"/>
        </w:rPr>
      </w:pPr>
    </w:p>
    <w:p w:rsidR="00605EDD" w:rsidRPr="005D36F1" w:rsidRDefault="005D36F1" w:rsidP="00605EDD">
      <w:pPr>
        <w:pStyle w:val="Prrafodelista"/>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Asuntos que deben ser resueltos antes de emitir el pronunciamiento de fondo.</w:t>
      </w:r>
      <w:r w:rsidRPr="005D36F1">
        <w:rPr>
          <w:rFonts w:ascii="Times New Roman" w:hAnsi="Times New Roman" w:cs="Times New Roman"/>
          <w:color w:val="000000" w:themeColor="text1"/>
          <w:sz w:val="28"/>
          <w:szCs w:val="28"/>
        </w:rPr>
        <w:t xml:space="preserve"> Antes de dar</w:t>
      </w:r>
      <w:r w:rsidRPr="005D36F1">
        <w:rPr>
          <w:rFonts w:ascii="Times New Roman" w:hAnsi="Times New Roman" w:cs="Times New Roman"/>
          <w:color w:val="000000" w:themeColor="text1"/>
          <w:sz w:val="28"/>
          <w:szCs w:val="28"/>
        </w:rPr>
        <w:t xml:space="preserve"> comienzo al estudio de constitucionalidad, es preciso resolver dos cuestiones, que fueron planteadas por los intervinientes: la alegada configuración de una causal de impedimento y los reparos planteados sobre la aptitud de la demanda. En este apartado, l</w:t>
      </w:r>
      <w:r w:rsidRPr="005D36F1">
        <w:rPr>
          <w:rFonts w:ascii="Times New Roman" w:hAnsi="Times New Roman" w:cs="Times New Roman"/>
          <w:color w:val="000000" w:themeColor="text1"/>
          <w:sz w:val="28"/>
          <w:szCs w:val="28"/>
        </w:rPr>
        <w:t>a Sala Plena dar</w:t>
      </w:r>
      <w:r w:rsidRPr="005D36F1">
        <w:rPr>
          <w:rFonts w:ascii="Times New Roman" w:hAnsi="Times New Roman" w:cs="Times New Roman"/>
          <w:color w:val="000000" w:themeColor="text1"/>
          <w:sz w:val="28"/>
          <w:szCs w:val="28"/>
        </w:rPr>
        <w:t>á</w:t>
      </w:r>
      <w:r w:rsidRPr="005D36F1">
        <w:rPr>
          <w:rFonts w:ascii="Times New Roman" w:hAnsi="Times New Roman" w:cs="Times New Roman"/>
          <w:color w:val="000000" w:themeColor="text1"/>
          <w:sz w:val="28"/>
          <w:szCs w:val="28"/>
        </w:rPr>
        <w:t xml:space="preserve"> solución a estos asuntos.</w:t>
      </w:r>
    </w:p>
    <w:p w:rsidR="00605EDD" w:rsidRPr="005D36F1" w:rsidRDefault="005D36F1" w:rsidP="00605EDD">
      <w:pPr>
        <w:pStyle w:val="Prrafodelista"/>
        <w:tabs>
          <w:tab w:val="left" w:pos="567"/>
        </w:tabs>
        <w:ind w:left="0"/>
        <w:jc w:val="both"/>
        <w:rPr>
          <w:rFonts w:ascii="Times New Roman" w:hAnsi="Times New Roman" w:cs="Times New Roman"/>
          <w:color w:val="000000" w:themeColor="text1"/>
          <w:sz w:val="28"/>
          <w:szCs w:val="28"/>
        </w:rPr>
      </w:pPr>
    </w:p>
    <w:p w:rsidR="00605EDD" w:rsidRPr="005D36F1" w:rsidRDefault="005D36F1" w:rsidP="00605EDD">
      <w:pPr>
        <w:pStyle w:val="Prrafodelista"/>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 xml:space="preserve">El pretendido impedimento fundado en razones religiosas. </w:t>
      </w:r>
      <w:r w:rsidRPr="005D36F1">
        <w:rPr>
          <w:rFonts w:ascii="Times New Roman" w:hAnsi="Times New Roman" w:cs="Times New Roman"/>
          <w:color w:val="000000" w:themeColor="text1"/>
          <w:sz w:val="28"/>
          <w:szCs w:val="28"/>
        </w:rPr>
        <w:t xml:space="preserve">Uno de los intervinientes </w:t>
      </w:r>
      <w:r w:rsidRPr="005D36F1">
        <w:rPr>
          <w:rFonts w:ascii="Times New Roman" w:hAnsi="Times New Roman" w:cs="Times New Roman"/>
          <w:i/>
          <w:iCs/>
          <w:color w:val="000000" w:themeColor="text1"/>
          <w:sz w:val="28"/>
          <w:szCs w:val="28"/>
        </w:rPr>
        <w:t>sugirió</w:t>
      </w:r>
      <w:r w:rsidRPr="005D36F1">
        <w:rPr>
          <w:rFonts w:ascii="Times New Roman" w:hAnsi="Times New Roman" w:cs="Times New Roman"/>
          <w:color w:val="000000" w:themeColor="text1"/>
          <w:sz w:val="28"/>
          <w:szCs w:val="28"/>
        </w:rPr>
        <w:t xml:space="preserve"> que los magistrados católicos podrían estar impedidos para tomar parte en la decisión de este proceso debido a que, en s</w:t>
      </w:r>
      <w:r w:rsidRPr="005D36F1">
        <w:rPr>
          <w:rFonts w:ascii="Times New Roman" w:hAnsi="Times New Roman" w:cs="Times New Roman"/>
          <w:color w:val="000000" w:themeColor="text1"/>
          <w:sz w:val="28"/>
          <w:szCs w:val="28"/>
        </w:rPr>
        <w:t>u criterio, quienes profesan esta religión deben «opo[nerse de manera] decidida a todas las medidas legales y administrativas que introduzcan el divorcio»</w:t>
      </w:r>
      <w:r w:rsidRPr="005D36F1">
        <w:rPr>
          <w:rStyle w:val="Refdenotaalpie"/>
          <w:rFonts w:ascii="Times New Roman" w:hAnsi="Times New Roman" w:cs="Times New Roman"/>
          <w:color w:val="000000" w:themeColor="text1"/>
          <w:sz w:val="28"/>
          <w:szCs w:val="28"/>
        </w:rPr>
        <w:footnoteReference w:id="40"/>
      </w:r>
      <w:r w:rsidRPr="005D36F1">
        <w:rPr>
          <w:rFonts w:ascii="Times New Roman" w:hAnsi="Times New Roman" w:cs="Times New Roman"/>
          <w:color w:val="000000" w:themeColor="text1"/>
          <w:sz w:val="28"/>
          <w:szCs w:val="28"/>
        </w:rPr>
        <w:t>. La Sala Plena observa que existen dos razones por las cuales la solicitud no es procedente: primero</w:t>
      </w:r>
      <w:r w:rsidRPr="005D36F1">
        <w:rPr>
          <w:rFonts w:ascii="Times New Roman" w:hAnsi="Times New Roman" w:cs="Times New Roman"/>
          <w:color w:val="000000" w:themeColor="text1"/>
          <w:sz w:val="28"/>
          <w:szCs w:val="28"/>
        </w:rPr>
        <w:t>, el ciudadano no identificó cuáles serían los magistrados que se encuentran en la situación descrita; igualmente, se abstuvo de explicar los hechos o pruebas que darían sustento a la configuración del impedimento. Segundo, el interviniente manifestó, de m</w:t>
      </w:r>
      <w:r w:rsidRPr="005D36F1">
        <w:rPr>
          <w:rFonts w:ascii="Times New Roman" w:hAnsi="Times New Roman" w:cs="Times New Roman"/>
          <w:color w:val="000000" w:themeColor="text1"/>
          <w:sz w:val="28"/>
          <w:szCs w:val="28"/>
        </w:rPr>
        <w:t xml:space="preserve">anera expresa, que no pretendía formular acusaciones de esta índole contra los «miembros católicos de esta corporación </w:t>
      </w:r>
      <w:r w:rsidRPr="005D36F1">
        <w:rPr>
          <w:rFonts w:ascii="Times New Roman" w:hAnsi="Times New Roman" w:cs="Times New Roman"/>
          <w:i/>
          <w:iCs/>
          <w:color w:val="000000" w:themeColor="text1"/>
          <w:sz w:val="28"/>
          <w:szCs w:val="28"/>
        </w:rPr>
        <w:t>cuya increpación no hago</w:t>
      </w:r>
      <w:r w:rsidRPr="005D36F1">
        <w:rPr>
          <w:rFonts w:ascii="Times New Roman" w:hAnsi="Times New Roman" w:cs="Times New Roman"/>
          <w:color w:val="000000" w:themeColor="text1"/>
          <w:sz w:val="28"/>
          <w:szCs w:val="28"/>
        </w:rPr>
        <w:t>»</w:t>
      </w:r>
      <w:r w:rsidRPr="005D36F1">
        <w:rPr>
          <w:rStyle w:val="Refdenotaalpie"/>
          <w:rFonts w:ascii="Times New Roman" w:hAnsi="Times New Roman" w:cs="Times New Roman"/>
          <w:color w:val="000000" w:themeColor="text1"/>
          <w:sz w:val="28"/>
          <w:szCs w:val="28"/>
        </w:rPr>
        <w:footnoteReference w:id="41"/>
      </w:r>
      <w:r w:rsidRPr="005D36F1">
        <w:rPr>
          <w:rFonts w:ascii="Times New Roman" w:hAnsi="Times New Roman" w:cs="Times New Roman"/>
          <w:color w:val="000000" w:themeColor="text1"/>
          <w:sz w:val="28"/>
          <w:szCs w:val="28"/>
        </w:rPr>
        <w:t xml:space="preserve"> [énfasis fuera de texto]. Por las razones anotadas, la Sala Plena estima que no se encuentra llamada a adoptar ninguna actuación en la materia.</w:t>
      </w:r>
    </w:p>
    <w:p w:rsidR="00605EDD" w:rsidRPr="005D36F1" w:rsidRDefault="005D36F1" w:rsidP="00605EDD">
      <w:pPr>
        <w:tabs>
          <w:tab w:val="left" w:pos="567"/>
        </w:tabs>
        <w:jc w:val="both"/>
        <w:rPr>
          <w:rFonts w:ascii="Times New Roman" w:hAnsi="Times New Roman" w:cs="Times New Roman"/>
          <w:color w:val="000000" w:themeColor="text1"/>
          <w:sz w:val="28"/>
          <w:szCs w:val="28"/>
        </w:rPr>
      </w:pPr>
    </w:p>
    <w:p w:rsidR="00894FB7" w:rsidRPr="005D36F1" w:rsidRDefault="005D36F1" w:rsidP="00894FB7">
      <w:pPr>
        <w:pStyle w:val="Prrafodelista"/>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 xml:space="preserve">Cuestionamiento sobre la aptitud de la demanda. </w:t>
      </w:r>
      <w:r w:rsidRPr="005D36F1">
        <w:rPr>
          <w:rFonts w:ascii="Times New Roman" w:hAnsi="Times New Roman" w:cs="Times New Roman"/>
          <w:color w:val="000000" w:themeColor="text1"/>
          <w:sz w:val="28"/>
          <w:szCs w:val="28"/>
        </w:rPr>
        <w:t xml:space="preserve">En opinión del Ministerio de Justicia y del Derecho, el cargo </w:t>
      </w:r>
      <w:r w:rsidRPr="005D36F1">
        <w:rPr>
          <w:rFonts w:ascii="Times New Roman" w:hAnsi="Times New Roman" w:cs="Times New Roman"/>
          <w:color w:val="000000" w:themeColor="text1"/>
          <w:sz w:val="28"/>
          <w:szCs w:val="28"/>
        </w:rPr>
        <w:t xml:space="preserve">de inconstitucionalidad formulado no satisface los requisitos para acometer el control de constitucionalidad. Específicamente, la cartera considera que la acusación incumple las exigencias de </w:t>
      </w:r>
      <w:r w:rsidRPr="005D36F1">
        <w:rPr>
          <w:rFonts w:ascii="Times New Roman" w:hAnsi="Times New Roman" w:cs="Times New Roman"/>
          <w:i/>
          <w:iCs/>
          <w:color w:val="000000" w:themeColor="text1"/>
          <w:sz w:val="28"/>
          <w:szCs w:val="28"/>
        </w:rPr>
        <w:t>certeza</w:t>
      </w:r>
      <w:r w:rsidRPr="005D36F1">
        <w:rPr>
          <w:rFonts w:ascii="Times New Roman" w:hAnsi="Times New Roman" w:cs="Times New Roman"/>
          <w:color w:val="000000" w:themeColor="text1"/>
          <w:sz w:val="28"/>
          <w:szCs w:val="28"/>
        </w:rPr>
        <w:t xml:space="preserve">, </w:t>
      </w:r>
      <w:r w:rsidRPr="005D36F1">
        <w:rPr>
          <w:rFonts w:ascii="Times New Roman" w:hAnsi="Times New Roman" w:cs="Times New Roman"/>
          <w:i/>
          <w:iCs/>
          <w:color w:val="000000" w:themeColor="text1"/>
          <w:sz w:val="28"/>
          <w:szCs w:val="28"/>
        </w:rPr>
        <w:t>especificidad</w:t>
      </w:r>
      <w:r w:rsidRPr="005D36F1">
        <w:rPr>
          <w:rFonts w:ascii="Times New Roman" w:hAnsi="Times New Roman" w:cs="Times New Roman"/>
          <w:color w:val="000000" w:themeColor="text1"/>
          <w:sz w:val="28"/>
          <w:szCs w:val="28"/>
        </w:rPr>
        <w:t xml:space="preserve"> y </w:t>
      </w:r>
      <w:r w:rsidRPr="005D36F1">
        <w:rPr>
          <w:rFonts w:ascii="Times New Roman" w:hAnsi="Times New Roman" w:cs="Times New Roman"/>
          <w:i/>
          <w:iCs/>
          <w:color w:val="000000" w:themeColor="text1"/>
          <w:sz w:val="28"/>
          <w:szCs w:val="28"/>
        </w:rPr>
        <w:t>suficiencia</w:t>
      </w:r>
      <w:r w:rsidRPr="005D36F1">
        <w:rPr>
          <w:rFonts w:ascii="Times New Roman" w:hAnsi="Times New Roman" w:cs="Times New Roman"/>
          <w:color w:val="000000" w:themeColor="text1"/>
          <w:sz w:val="28"/>
          <w:szCs w:val="28"/>
        </w:rPr>
        <w:t>. Tales defectos impiden, se</w:t>
      </w:r>
      <w:r w:rsidRPr="005D36F1">
        <w:rPr>
          <w:rFonts w:ascii="Times New Roman" w:hAnsi="Times New Roman" w:cs="Times New Roman"/>
          <w:color w:val="000000" w:themeColor="text1"/>
          <w:sz w:val="28"/>
          <w:szCs w:val="28"/>
        </w:rPr>
        <w:t xml:space="preserve">gún este planteamiento, la emisión de un fallo de fondo. </w:t>
      </w:r>
    </w:p>
    <w:p w:rsidR="00894FB7" w:rsidRPr="005D36F1" w:rsidRDefault="005D36F1" w:rsidP="00894FB7">
      <w:pPr>
        <w:pStyle w:val="Prrafodelista"/>
        <w:tabs>
          <w:tab w:val="left" w:pos="567"/>
        </w:tabs>
        <w:ind w:left="0"/>
        <w:jc w:val="both"/>
        <w:rPr>
          <w:rFonts w:ascii="Times New Roman" w:hAnsi="Times New Roman" w:cs="Times New Roman"/>
          <w:color w:val="000000" w:themeColor="text1"/>
          <w:sz w:val="28"/>
          <w:szCs w:val="28"/>
        </w:rPr>
      </w:pPr>
    </w:p>
    <w:p w:rsidR="00894FB7" w:rsidRPr="005D36F1" w:rsidRDefault="005D36F1" w:rsidP="00894FB7">
      <w:pPr>
        <w:pStyle w:val="Prrafodelista"/>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Según se explica a continuación, las objeciones formuladas son infundadas. A juicio de la Sala Plena, el cargo planteado satisface todas las exigencias aplicables en la materia. Para dar sustento a</w:t>
      </w:r>
      <w:r w:rsidRPr="005D36F1">
        <w:rPr>
          <w:rFonts w:ascii="Times New Roman" w:hAnsi="Times New Roman" w:cs="Times New Roman"/>
          <w:color w:val="000000" w:themeColor="text1"/>
          <w:sz w:val="28"/>
          <w:szCs w:val="28"/>
        </w:rPr>
        <w:t xml:space="preserve"> esta afirmación, conviene recordar los requisitos que, de acuerdo con el precedente fijado en la Sentencia C-1052 de 2001, deben cumplir los cargos de inconstitucionalidad que se formulen contra la ley, para que sea posible la tramitación de un proceso de</w:t>
      </w:r>
      <w:r w:rsidRPr="005D36F1">
        <w:rPr>
          <w:rFonts w:ascii="Times New Roman" w:hAnsi="Times New Roman" w:cs="Times New Roman"/>
          <w:color w:val="000000" w:themeColor="text1"/>
          <w:sz w:val="28"/>
          <w:szCs w:val="28"/>
        </w:rPr>
        <w:t xml:space="preserve"> control constitucional. Sobre el contenido de cada una de estas exigencias, de manera reciente, en la Sentencia C-489 de 2023, la Sala Plena manifestó lo siguiente: </w:t>
      </w:r>
    </w:p>
    <w:p w:rsidR="00894FB7" w:rsidRPr="005D36F1" w:rsidRDefault="005D36F1" w:rsidP="00894FB7">
      <w:pPr>
        <w:rPr>
          <w:rFonts w:ascii="Times New Roman" w:hAnsi="Times New Roman" w:cs="Times New Roman"/>
          <w:color w:val="000000" w:themeColor="text1"/>
          <w:sz w:val="28"/>
          <w:szCs w:val="28"/>
        </w:rPr>
      </w:pPr>
    </w:p>
    <w:p w:rsidR="00894FB7" w:rsidRPr="005D36F1" w:rsidRDefault="005D36F1" w:rsidP="00894FB7">
      <w:pPr>
        <w:tabs>
          <w:tab w:val="left" w:pos="567"/>
        </w:tabs>
        <w:ind w:left="567"/>
        <w:jc w:val="both"/>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 xml:space="preserve">La </w:t>
      </w:r>
      <w:r w:rsidRPr="005D36F1">
        <w:rPr>
          <w:rFonts w:ascii="Times New Roman" w:hAnsi="Times New Roman" w:cs="Times New Roman"/>
          <w:i/>
          <w:iCs/>
          <w:color w:val="000000" w:themeColor="text1"/>
          <w:sz w:val="28"/>
        </w:rPr>
        <w:t>claridad</w:t>
      </w:r>
      <w:r w:rsidRPr="005D36F1">
        <w:rPr>
          <w:rFonts w:ascii="Times New Roman" w:hAnsi="Times New Roman" w:cs="Times New Roman"/>
          <w:color w:val="000000" w:themeColor="text1"/>
          <w:sz w:val="28"/>
        </w:rPr>
        <w:t xml:space="preserve"> exige la existencia de un hilo conductor que permita comprender el significado de los argumentos. La </w:t>
      </w:r>
      <w:r w:rsidRPr="005D36F1">
        <w:rPr>
          <w:rFonts w:ascii="Times New Roman" w:hAnsi="Times New Roman" w:cs="Times New Roman"/>
          <w:i/>
          <w:iCs/>
          <w:color w:val="000000" w:themeColor="text1"/>
          <w:sz w:val="28"/>
        </w:rPr>
        <w:t>certeza</w:t>
      </w:r>
      <w:r w:rsidRPr="005D36F1">
        <w:rPr>
          <w:rFonts w:ascii="Times New Roman" w:hAnsi="Times New Roman" w:cs="Times New Roman"/>
          <w:color w:val="000000" w:themeColor="text1"/>
          <w:sz w:val="28"/>
        </w:rPr>
        <w:t xml:space="preserve"> requiere que la demanda recaiga sobre una proposición existente, y no sobre deducciones o supuestos hechos por el demandante. La </w:t>
      </w:r>
      <w:r w:rsidRPr="005D36F1">
        <w:rPr>
          <w:rFonts w:ascii="Times New Roman" w:hAnsi="Times New Roman" w:cs="Times New Roman"/>
          <w:i/>
          <w:iCs/>
          <w:color w:val="000000" w:themeColor="text1"/>
          <w:sz w:val="28"/>
        </w:rPr>
        <w:t>especificidad</w:t>
      </w:r>
      <w:r w:rsidRPr="005D36F1">
        <w:rPr>
          <w:rFonts w:ascii="Times New Roman" w:hAnsi="Times New Roman" w:cs="Times New Roman"/>
          <w:color w:val="000000" w:themeColor="text1"/>
          <w:sz w:val="28"/>
        </w:rPr>
        <w:t xml:space="preserve"> imp</w:t>
      </w:r>
      <w:r w:rsidRPr="005D36F1">
        <w:rPr>
          <w:rFonts w:ascii="Times New Roman" w:hAnsi="Times New Roman" w:cs="Times New Roman"/>
          <w:color w:val="000000" w:themeColor="text1"/>
          <w:sz w:val="28"/>
        </w:rPr>
        <w:t xml:space="preserve">lica que la demanda debe contener, por lo menos, un cargo de inconstitucionalidad concreto, para que sea posible determinar si se presenta una confrontación objetiva y verificable entre esta y la Constitución. La </w:t>
      </w:r>
      <w:r w:rsidRPr="005D36F1">
        <w:rPr>
          <w:rFonts w:ascii="Times New Roman" w:hAnsi="Times New Roman" w:cs="Times New Roman"/>
          <w:i/>
          <w:iCs/>
          <w:color w:val="000000" w:themeColor="text1"/>
          <w:sz w:val="28"/>
        </w:rPr>
        <w:t>pertinencia</w:t>
      </w:r>
      <w:r w:rsidRPr="005D36F1">
        <w:rPr>
          <w:rFonts w:ascii="Times New Roman" w:hAnsi="Times New Roman" w:cs="Times New Roman"/>
          <w:color w:val="000000" w:themeColor="text1"/>
          <w:sz w:val="28"/>
        </w:rPr>
        <w:t xml:space="preserve"> indica que “el reproche formula</w:t>
      </w:r>
      <w:r w:rsidRPr="005D36F1">
        <w:rPr>
          <w:rFonts w:ascii="Times New Roman" w:hAnsi="Times New Roman" w:cs="Times New Roman"/>
          <w:color w:val="000000" w:themeColor="text1"/>
          <w:sz w:val="28"/>
        </w:rPr>
        <w:t xml:space="preserve">do por el peticionario debe ser de naturaleza constitucional”, esto es, basado en la evaluación de una norma superior frente a la disposición demandada. Finalmente, la </w:t>
      </w:r>
      <w:r w:rsidRPr="005D36F1">
        <w:rPr>
          <w:rFonts w:ascii="Times New Roman" w:hAnsi="Times New Roman" w:cs="Times New Roman"/>
          <w:i/>
          <w:iCs/>
          <w:color w:val="000000" w:themeColor="text1"/>
          <w:sz w:val="28"/>
        </w:rPr>
        <w:t>suficiencia</w:t>
      </w:r>
      <w:r w:rsidRPr="005D36F1">
        <w:rPr>
          <w:rFonts w:ascii="Times New Roman" w:hAnsi="Times New Roman" w:cs="Times New Roman"/>
          <w:color w:val="000000" w:themeColor="text1"/>
          <w:sz w:val="28"/>
        </w:rPr>
        <w:t xml:space="preserve"> se refiere, por una parte, a “la exposición de todos los elementos de juicio</w:t>
      </w:r>
      <w:r w:rsidRPr="005D36F1">
        <w:rPr>
          <w:rFonts w:ascii="Times New Roman" w:hAnsi="Times New Roman" w:cs="Times New Roman"/>
          <w:color w:val="000000" w:themeColor="text1"/>
          <w:sz w:val="28"/>
        </w:rPr>
        <w:t xml:space="preserve"> (argumentativos y probatorios) necesarios para iniciar el estudio de constitucionalidad” y, por otra, a la exposición de argumentos que logren despertar “una duda mínima sobre la constitucionalidad de la norma impugnada”.  </w:t>
      </w:r>
    </w:p>
    <w:p w:rsidR="00894FB7" w:rsidRPr="005D36F1" w:rsidRDefault="005D36F1" w:rsidP="00894FB7">
      <w:pPr>
        <w:jc w:val="both"/>
        <w:rPr>
          <w:rFonts w:ascii="Times New Roman" w:hAnsi="Times New Roman" w:cs="Times New Roman"/>
          <w:i/>
          <w:iCs/>
          <w:color w:val="000000" w:themeColor="text1"/>
          <w:sz w:val="28"/>
          <w:szCs w:val="28"/>
        </w:rPr>
      </w:pPr>
    </w:p>
    <w:p w:rsidR="00894FB7" w:rsidRPr="005D36F1" w:rsidRDefault="005D36F1" w:rsidP="00894FB7">
      <w:pPr>
        <w:pStyle w:val="Prrafodelista"/>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Cuestionamiento sobre el requi</w:t>
      </w:r>
      <w:r w:rsidRPr="005D36F1">
        <w:rPr>
          <w:rFonts w:ascii="Times New Roman" w:hAnsi="Times New Roman" w:cs="Times New Roman"/>
          <w:i/>
          <w:iCs/>
          <w:color w:val="000000" w:themeColor="text1"/>
          <w:sz w:val="28"/>
          <w:szCs w:val="28"/>
        </w:rPr>
        <w:t xml:space="preserve">sito de certeza. </w:t>
      </w:r>
      <w:r w:rsidRPr="005D36F1">
        <w:rPr>
          <w:rFonts w:ascii="Times New Roman" w:hAnsi="Times New Roman" w:cs="Times New Roman"/>
          <w:color w:val="000000" w:themeColor="text1"/>
          <w:sz w:val="28"/>
          <w:szCs w:val="28"/>
        </w:rPr>
        <w:t xml:space="preserve">Concluida la reiteración jurisprudencial, la Sala Plena procederá a analizar, de manera individualizada, los reparos propuestos por el Ministerio. El primero de ellos acusa al cargo de inconstitucionalidad de incumplir el requisito de </w:t>
      </w:r>
      <w:r w:rsidRPr="005D36F1">
        <w:rPr>
          <w:rFonts w:ascii="Times New Roman" w:hAnsi="Times New Roman" w:cs="Times New Roman"/>
          <w:i/>
          <w:iCs/>
          <w:color w:val="000000" w:themeColor="text1"/>
          <w:sz w:val="28"/>
          <w:szCs w:val="28"/>
        </w:rPr>
        <w:t>cert</w:t>
      </w:r>
      <w:r w:rsidRPr="005D36F1">
        <w:rPr>
          <w:rFonts w:ascii="Times New Roman" w:hAnsi="Times New Roman" w:cs="Times New Roman"/>
          <w:i/>
          <w:iCs/>
          <w:color w:val="000000" w:themeColor="text1"/>
          <w:sz w:val="28"/>
          <w:szCs w:val="28"/>
        </w:rPr>
        <w:t>eza</w:t>
      </w:r>
      <w:r w:rsidRPr="005D36F1">
        <w:rPr>
          <w:rFonts w:ascii="Times New Roman" w:hAnsi="Times New Roman" w:cs="Times New Roman"/>
          <w:color w:val="000000" w:themeColor="text1"/>
          <w:sz w:val="28"/>
          <w:szCs w:val="28"/>
        </w:rPr>
        <w:t>. A juicio de la cartera, la argumentación propuesta por el demandante traslada, de manera irreflexiva, una consideración jurídica que fue concebida por este tribunal en un contexto específico, para que sea empleada en un campo sustancialmente distinto.</w:t>
      </w:r>
      <w:r w:rsidRPr="005D36F1">
        <w:rPr>
          <w:rFonts w:ascii="Times New Roman" w:hAnsi="Times New Roman" w:cs="Times New Roman"/>
          <w:color w:val="000000" w:themeColor="text1"/>
          <w:sz w:val="28"/>
          <w:szCs w:val="28"/>
        </w:rPr>
        <w:t xml:space="preserve"> En concreto, el accionante habría desconocido el contexto particular en el que se enmarca la protección de los </w:t>
      </w:r>
      <w:r w:rsidRPr="005D36F1">
        <w:rPr>
          <w:rFonts w:ascii="Times New Roman" w:hAnsi="Times New Roman" w:cs="Times New Roman"/>
          <w:i/>
          <w:iCs/>
          <w:color w:val="000000" w:themeColor="text1"/>
          <w:sz w:val="28"/>
          <w:szCs w:val="28"/>
        </w:rPr>
        <w:t>comportamientos no interferidos</w:t>
      </w:r>
      <w:r w:rsidRPr="005D36F1">
        <w:rPr>
          <w:rFonts w:ascii="Times New Roman" w:hAnsi="Times New Roman" w:cs="Times New Roman"/>
          <w:color w:val="000000" w:themeColor="text1"/>
          <w:sz w:val="28"/>
          <w:szCs w:val="28"/>
        </w:rPr>
        <w:t>, al tratar de llevar dicha jurisprudencia a un ámbito, el de las relaciones maritales, en el que aquella no pued</w:t>
      </w:r>
      <w:r w:rsidRPr="005D36F1">
        <w:rPr>
          <w:rFonts w:ascii="Times New Roman" w:hAnsi="Times New Roman" w:cs="Times New Roman"/>
          <w:color w:val="000000" w:themeColor="text1"/>
          <w:sz w:val="28"/>
          <w:szCs w:val="28"/>
        </w:rPr>
        <w:t xml:space="preserve">e ser empleada por la propia naturaleza del contrato de matrimonio. </w:t>
      </w:r>
    </w:p>
    <w:p w:rsidR="00894FB7" w:rsidRPr="005D36F1" w:rsidRDefault="005D36F1" w:rsidP="00894FB7">
      <w:pPr>
        <w:pStyle w:val="Prrafodelista"/>
        <w:tabs>
          <w:tab w:val="left" w:pos="567"/>
        </w:tabs>
        <w:ind w:left="0"/>
        <w:jc w:val="both"/>
        <w:rPr>
          <w:rFonts w:ascii="Times New Roman" w:hAnsi="Times New Roman" w:cs="Times New Roman"/>
          <w:color w:val="000000" w:themeColor="text1"/>
          <w:sz w:val="28"/>
          <w:szCs w:val="28"/>
        </w:rPr>
      </w:pPr>
    </w:p>
    <w:p w:rsidR="00894FB7" w:rsidRPr="005D36F1" w:rsidRDefault="005D36F1" w:rsidP="00894FB7">
      <w:pPr>
        <w:pStyle w:val="Prrafodelista"/>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En criterio del Ministerio, la argumentación planteada por el demandante implica «por lo menos, una interpretación limitada que parte de la base de derechos subjetivos e individuales, de</w:t>
      </w:r>
      <w:r w:rsidRPr="005D36F1">
        <w:rPr>
          <w:rFonts w:ascii="Times New Roman" w:hAnsi="Times New Roman" w:cs="Times New Roman"/>
          <w:color w:val="000000" w:themeColor="text1"/>
          <w:sz w:val="28"/>
          <w:szCs w:val="28"/>
        </w:rPr>
        <w:t>sconociendo que la norma versa sobre el matrimonio, que a la luz del [C]ódigo [C]ivil “es un contrato solemne, de mutuo consentimiento y con obligaciones reciprocas”»</w:t>
      </w:r>
      <w:r w:rsidRPr="005D36F1">
        <w:rPr>
          <w:rStyle w:val="Refdenotaalpie"/>
          <w:rFonts w:ascii="Times New Roman" w:hAnsi="Times New Roman" w:cs="Times New Roman"/>
          <w:color w:val="000000" w:themeColor="text1"/>
          <w:sz w:val="28"/>
          <w:szCs w:val="28"/>
        </w:rPr>
        <w:footnoteReference w:id="42"/>
      </w:r>
      <w:r w:rsidRPr="005D36F1">
        <w:rPr>
          <w:rFonts w:ascii="Times New Roman" w:hAnsi="Times New Roman" w:cs="Times New Roman"/>
          <w:color w:val="000000" w:themeColor="text1"/>
          <w:sz w:val="28"/>
          <w:szCs w:val="28"/>
        </w:rPr>
        <w:t>. Agrega que el razonamiento de la demanda parte del supuesto de que el derecho en cuesti</w:t>
      </w:r>
      <w:r w:rsidRPr="005D36F1">
        <w:rPr>
          <w:rFonts w:ascii="Times New Roman" w:hAnsi="Times New Roman" w:cs="Times New Roman"/>
          <w:color w:val="000000" w:themeColor="text1"/>
          <w:sz w:val="28"/>
          <w:szCs w:val="28"/>
        </w:rPr>
        <w:t>ón es «un derecho absoluto del que no puede existir ninguna limitación»</w:t>
      </w:r>
      <w:r w:rsidRPr="005D36F1">
        <w:rPr>
          <w:rStyle w:val="Refdenotaalpie"/>
          <w:rFonts w:ascii="Times New Roman" w:hAnsi="Times New Roman" w:cs="Times New Roman"/>
          <w:color w:val="000000" w:themeColor="text1"/>
          <w:sz w:val="28"/>
          <w:szCs w:val="28"/>
        </w:rPr>
        <w:footnoteReference w:id="43"/>
      </w:r>
      <w:r w:rsidRPr="005D36F1">
        <w:rPr>
          <w:rFonts w:ascii="Times New Roman" w:hAnsi="Times New Roman" w:cs="Times New Roman"/>
          <w:color w:val="000000" w:themeColor="text1"/>
          <w:sz w:val="28"/>
          <w:szCs w:val="28"/>
        </w:rPr>
        <w:t>.</w:t>
      </w:r>
    </w:p>
    <w:p w:rsidR="00894FB7" w:rsidRPr="005D36F1" w:rsidRDefault="005D36F1" w:rsidP="00894FB7">
      <w:pPr>
        <w:pStyle w:val="Prrafodelista"/>
        <w:tabs>
          <w:tab w:val="left" w:pos="567"/>
        </w:tabs>
        <w:ind w:left="0"/>
        <w:jc w:val="both"/>
        <w:rPr>
          <w:rFonts w:ascii="Times New Roman" w:hAnsi="Times New Roman" w:cs="Times New Roman"/>
          <w:color w:val="000000" w:themeColor="text1"/>
          <w:sz w:val="28"/>
          <w:szCs w:val="28"/>
        </w:rPr>
      </w:pPr>
    </w:p>
    <w:p w:rsidR="00894FB7" w:rsidRPr="005D36F1" w:rsidRDefault="005D36F1" w:rsidP="00894FB7">
      <w:pPr>
        <w:pStyle w:val="Prrafodelista"/>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 xml:space="preserve">La demanda cumple el requisito de certeza. </w:t>
      </w:r>
      <w:r w:rsidRPr="005D36F1">
        <w:rPr>
          <w:rFonts w:ascii="Times New Roman" w:hAnsi="Times New Roman" w:cs="Times New Roman"/>
          <w:color w:val="000000" w:themeColor="text1"/>
          <w:sz w:val="28"/>
          <w:szCs w:val="28"/>
        </w:rPr>
        <w:t>La objeción propuesta por el Ministerio no está llamada a prosperar por cuanto no plantea, en realidad, un reproche sobre la aptitud de la</w:t>
      </w:r>
      <w:r w:rsidRPr="005D36F1">
        <w:rPr>
          <w:rFonts w:ascii="Times New Roman" w:hAnsi="Times New Roman" w:cs="Times New Roman"/>
          <w:color w:val="000000" w:themeColor="text1"/>
          <w:sz w:val="28"/>
          <w:szCs w:val="28"/>
        </w:rPr>
        <w:t xml:space="preserve"> demanda. La Sala Plena advierte que la cartera no demuestra que la demanda incumpla el deber de formular un cargo que «recaiga sobre una proposición jurídica real y existente»</w:t>
      </w:r>
      <w:r w:rsidRPr="005D36F1">
        <w:rPr>
          <w:rStyle w:val="Refdenotaalpie"/>
          <w:rFonts w:ascii="Times New Roman" w:hAnsi="Times New Roman" w:cs="Times New Roman"/>
          <w:color w:val="000000" w:themeColor="text1"/>
          <w:sz w:val="28"/>
          <w:szCs w:val="28"/>
        </w:rPr>
        <w:footnoteReference w:id="44"/>
      </w:r>
      <w:r w:rsidRPr="005D36F1">
        <w:rPr>
          <w:rFonts w:ascii="Times New Roman" w:hAnsi="Times New Roman" w:cs="Times New Roman"/>
          <w:color w:val="000000" w:themeColor="text1"/>
          <w:sz w:val="28"/>
          <w:szCs w:val="28"/>
        </w:rPr>
        <w:t xml:space="preserve">. Ello se debe a que el Ministerio no cuestiona las inferencias que realiza el </w:t>
      </w:r>
      <w:r w:rsidRPr="005D36F1">
        <w:rPr>
          <w:rFonts w:ascii="Times New Roman" w:hAnsi="Times New Roman" w:cs="Times New Roman"/>
          <w:color w:val="000000" w:themeColor="text1"/>
          <w:sz w:val="28"/>
          <w:szCs w:val="28"/>
        </w:rPr>
        <w:t xml:space="preserve">accionante sobre el significado o alcance de la disposición demandada. Por el contrario, reprocha que el cargo de constitucionalidad se hubiera estructurado con base en una subregla jurisprudencial —aquella que sostiene que los </w:t>
      </w:r>
      <w:r w:rsidRPr="005D36F1">
        <w:rPr>
          <w:rFonts w:ascii="Times New Roman" w:hAnsi="Times New Roman" w:cs="Times New Roman"/>
          <w:i/>
          <w:iCs/>
          <w:color w:val="000000" w:themeColor="text1"/>
          <w:sz w:val="28"/>
          <w:szCs w:val="28"/>
        </w:rPr>
        <w:t>comportamientos no interferi</w:t>
      </w:r>
      <w:r w:rsidRPr="005D36F1">
        <w:rPr>
          <w:rFonts w:ascii="Times New Roman" w:hAnsi="Times New Roman" w:cs="Times New Roman"/>
          <w:i/>
          <w:iCs/>
          <w:color w:val="000000" w:themeColor="text1"/>
          <w:sz w:val="28"/>
          <w:szCs w:val="28"/>
        </w:rPr>
        <w:t>dos</w:t>
      </w:r>
      <w:r w:rsidRPr="005D36F1">
        <w:rPr>
          <w:rFonts w:ascii="Times New Roman" w:hAnsi="Times New Roman" w:cs="Times New Roman"/>
          <w:color w:val="000000" w:themeColor="text1"/>
          <w:sz w:val="28"/>
          <w:szCs w:val="28"/>
        </w:rPr>
        <w:t xml:space="preserve"> forman parte del núcleo esencial del derecho al libre desarrollo de la personalidad— que, en su criterio, no sería aplicable en el contexto del matrimonio. Es evidente que este cuestionamiento de ninguna manera demuestra, como sería su deber, que el ac</w:t>
      </w:r>
      <w:r w:rsidRPr="005D36F1">
        <w:rPr>
          <w:rFonts w:ascii="Times New Roman" w:hAnsi="Times New Roman" w:cs="Times New Roman"/>
          <w:color w:val="000000" w:themeColor="text1"/>
          <w:sz w:val="28"/>
          <w:szCs w:val="28"/>
        </w:rPr>
        <w:t>cionante hubiera estructurado el cargo de inconstitucionalidad con base en una norma «deducida por el actor o [en una] implícita»</w:t>
      </w:r>
      <w:r w:rsidRPr="005D36F1">
        <w:rPr>
          <w:rStyle w:val="Refdenotaalpie"/>
          <w:rFonts w:ascii="Times New Roman" w:hAnsi="Times New Roman" w:cs="Times New Roman"/>
          <w:color w:val="000000" w:themeColor="text1"/>
          <w:sz w:val="28"/>
          <w:szCs w:val="28"/>
        </w:rPr>
        <w:footnoteReference w:id="45"/>
      </w:r>
      <w:r w:rsidRPr="005D36F1">
        <w:rPr>
          <w:rFonts w:ascii="Times New Roman" w:hAnsi="Times New Roman" w:cs="Times New Roman"/>
          <w:color w:val="000000" w:themeColor="text1"/>
          <w:sz w:val="28"/>
          <w:szCs w:val="28"/>
        </w:rPr>
        <w:t>.</w:t>
      </w:r>
    </w:p>
    <w:p w:rsidR="00894FB7" w:rsidRPr="005D36F1" w:rsidRDefault="005D36F1" w:rsidP="00894FB7">
      <w:pPr>
        <w:pStyle w:val="Prrafodelista"/>
        <w:tabs>
          <w:tab w:val="left" w:pos="567"/>
        </w:tabs>
        <w:ind w:left="0"/>
        <w:jc w:val="both"/>
        <w:rPr>
          <w:rFonts w:ascii="Times New Roman" w:hAnsi="Times New Roman" w:cs="Times New Roman"/>
          <w:color w:val="000000" w:themeColor="text1"/>
          <w:sz w:val="28"/>
          <w:szCs w:val="28"/>
        </w:rPr>
      </w:pPr>
    </w:p>
    <w:p w:rsidR="00894FB7" w:rsidRPr="005D36F1" w:rsidRDefault="005D36F1" w:rsidP="00894FB7">
      <w:pPr>
        <w:pStyle w:val="Prrafodelista"/>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En lugar de cuestionar la aptitud de la demanda, el Ministerio pretende demostrar que la causal constituye una limitación v</w:t>
      </w:r>
      <w:r w:rsidRPr="005D36F1">
        <w:rPr>
          <w:rFonts w:ascii="Times New Roman" w:hAnsi="Times New Roman" w:cs="Times New Roman"/>
          <w:color w:val="000000" w:themeColor="text1"/>
          <w:sz w:val="28"/>
          <w:szCs w:val="28"/>
        </w:rPr>
        <w:t>álida del derecho en cuestión. El contexto en el que se lleva a cabo el consumo habitual —el del matrimonio, valga decir— y el hecho de que aquel no sea un derecho absoluto justificarían, en criterio de la cartera, el establecimiento de la restricción cont</w:t>
      </w:r>
      <w:r w:rsidRPr="005D36F1">
        <w:rPr>
          <w:rFonts w:ascii="Times New Roman" w:hAnsi="Times New Roman" w:cs="Times New Roman"/>
          <w:color w:val="000000" w:themeColor="text1"/>
          <w:sz w:val="28"/>
          <w:szCs w:val="28"/>
        </w:rPr>
        <w:t xml:space="preserve">enida en la norma demandada. </w:t>
      </w:r>
    </w:p>
    <w:p w:rsidR="00894FB7" w:rsidRPr="005D36F1" w:rsidRDefault="005D36F1" w:rsidP="00894FB7">
      <w:pPr>
        <w:rPr>
          <w:rFonts w:ascii="Times New Roman" w:hAnsi="Times New Roman" w:cs="Times New Roman"/>
          <w:color w:val="000000" w:themeColor="text1"/>
          <w:sz w:val="28"/>
          <w:szCs w:val="28"/>
        </w:rPr>
      </w:pPr>
    </w:p>
    <w:p w:rsidR="00894FB7" w:rsidRPr="005D36F1" w:rsidRDefault="005D36F1" w:rsidP="00894FB7">
      <w:pPr>
        <w:pStyle w:val="Prrafodelista"/>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En cualquier caso, la Sala Plena estima necesario hacer un comentario sobre el cuestionamiento que plantea, en términos de fondo, el Ministerio de Justicia y del Derecho. A juicio de esta corporación, el defecto que le atribu</w:t>
      </w:r>
      <w:r w:rsidRPr="005D36F1">
        <w:rPr>
          <w:rFonts w:ascii="Times New Roman" w:hAnsi="Times New Roman" w:cs="Times New Roman"/>
          <w:color w:val="000000" w:themeColor="text1"/>
          <w:sz w:val="28"/>
          <w:szCs w:val="28"/>
        </w:rPr>
        <w:t>ye la entidad al cargo es infundado. Ello se debe a que el reproche no tiene en cuenta el sentido de la argumentación que se desarrolla en el escrito de demanda. Si bien el accionante hace alusión a la Sentencia C-253 de 2019, providencia en la que se anal</w:t>
      </w:r>
      <w:r w:rsidRPr="005D36F1">
        <w:rPr>
          <w:rFonts w:ascii="Times New Roman" w:hAnsi="Times New Roman" w:cs="Times New Roman"/>
          <w:color w:val="000000" w:themeColor="text1"/>
          <w:sz w:val="28"/>
          <w:szCs w:val="28"/>
        </w:rPr>
        <w:t>izó la constitucionalidad de una norma que regulaba el porte y consumo de sustancias psicoactivas en lugares abiertos al público, ello no quiere decir que hubiera pretendido trasladar, de manera irreflexiva, el precedente fijado en dicho fallo al caso de l</w:t>
      </w:r>
      <w:r w:rsidRPr="005D36F1">
        <w:rPr>
          <w:rFonts w:ascii="Times New Roman" w:hAnsi="Times New Roman" w:cs="Times New Roman"/>
          <w:color w:val="000000" w:themeColor="text1"/>
          <w:sz w:val="28"/>
          <w:szCs w:val="28"/>
        </w:rPr>
        <w:t xml:space="preserve">a norma demandada.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pStyle w:val="Prrafodelista"/>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Por el contrario, la referencia a la sentencia tenía por objeto demostrar que, con arreglo a la jurisprudencia constitucional, el consumo habitual de sustancias psicoactivas se encuentra amparado en el artículo dieciséis de la Constitu</w:t>
      </w:r>
      <w:r w:rsidRPr="005D36F1">
        <w:rPr>
          <w:rFonts w:ascii="Times New Roman" w:hAnsi="Times New Roman" w:cs="Times New Roman"/>
          <w:color w:val="000000" w:themeColor="text1"/>
          <w:sz w:val="28"/>
          <w:szCs w:val="28"/>
        </w:rPr>
        <w:t xml:space="preserve">ción. Así lo demuestra el siguiente apartado del escrito presentado por el accionante: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pStyle w:val="Prrafodelista"/>
        <w:tabs>
          <w:tab w:val="left" w:pos="567"/>
        </w:tabs>
        <w:ind w:left="567"/>
        <w:jc w:val="both"/>
        <w:rPr>
          <w:rFonts w:ascii="Times New Roman" w:hAnsi="Times New Roman" w:cs="Times New Roman"/>
          <w:color w:val="000000" w:themeColor="text1"/>
          <w:sz w:val="28"/>
        </w:rPr>
      </w:pPr>
      <w:r w:rsidRPr="005D36F1">
        <w:rPr>
          <w:rFonts w:ascii="Times New Roman" w:hAnsi="Times New Roman" w:cs="Times New Roman"/>
          <w:color w:val="000000" w:themeColor="text1"/>
          <w:sz w:val="28"/>
          <w:lang w:val="es-MX"/>
        </w:rPr>
        <w:t>La sentencia C-253 de 2019</w:t>
      </w:r>
      <w:r w:rsidRPr="005D36F1">
        <w:rPr>
          <w:rFonts w:ascii="Times New Roman" w:hAnsi="Times New Roman" w:cs="Times New Roman"/>
          <w:b/>
          <w:bCs/>
          <w:color w:val="000000" w:themeColor="text1"/>
          <w:sz w:val="28"/>
          <w:lang w:val="es-MX"/>
        </w:rPr>
        <w:t xml:space="preserve"> </w:t>
      </w:r>
      <w:r w:rsidRPr="005D36F1">
        <w:rPr>
          <w:rFonts w:ascii="Times New Roman" w:hAnsi="Times New Roman" w:cs="Times New Roman"/>
          <w:color w:val="000000" w:themeColor="text1"/>
          <w:sz w:val="28"/>
          <w:lang w:val="es-MX"/>
        </w:rPr>
        <w:t xml:space="preserve">parte del año 2012 para aseverar que </w:t>
      </w:r>
      <w:r w:rsidRPr="005D36F1">
        <w:rPr>
          <w:rFonts w:ascii="Times New Roman" w:hAnsi="Times New Roman" w:cs="Times New Roman"/>
          <w:i/>
          <w:iCs/>
          <w:color w:val="000000" w:themeColor="text1"/>
          <w:sz w:val="28"/>
          <w:lang w:val="es-MX"/>
        </w:rPr>
        <w:t xml:space="preserve">como componente del derecho fundamental al libre desarrollo de la personalidad se encuentra el consumo </w:t>
      </w:r>
      <w:r w:rsidRPr="005D36F1">
        <w:rPr>
          <w:rFonts w:ascii="Times New Roman" w:hAnsi="Times New Roman" w:cs="Times New Roman"/>
          <w:i/>
          <w:iCs/>
          <w:color w:val="000000" w:themeColor="text1"/>
          <w:sz w:val="28"/>
          <w:lang w:val="es-MX"/>
        </w:rPr>
        <w:t>personal de sustancias psicoactivos o estupefacientes en el espacio intimo de toda persona</w:t>
      </w:r>
      <w:r w:rsidRPr="005D36F1">
        <w:rPr>
          <w:rFonts w:ascii="Times New Roman" w:hAnsi="Times New Roman" w:cs="Times New Roman"/>
          <w:color w:val="000000" w:themeColor="text1"/>
          <w:sz w:val="28"/>
          <w:lang w:val="es-MX"/>
        </w:rPr>
        <w:t>, independientemente de que sea con prescripción médica o habitual</w:t>
      </w:r>
      <w:r w:rsidRPr="005D36F1">
        <w:rPr>
          <w:rStyle w:val="Refdenotaalpie"/>
          <w:rFonts w:ascii="Times New Roman" w:hAnsi="Times New Roman" w:cs="Times New Roman"/>
          <w:color w:val="000000" w:themeColor="text1"/>
          <w:sz w:val="28"/>
          <w:lang w:val="es-MX"/>
        </w:rPr>
        <w:footnoteReference w:id="46"/>
      </w:r>
      <w:r w:rsidRPr="005D36F1">
        <w:rPr>
          <w:rFonts w:ascii="Times New Roman" w:hAnsi="Times New Roman" w:cs="Times New Roman"/>
          <w:color w:val="000000" w:themeColor="text1"/>
          <w:sz w:val="28"/>
          <w:lang w:val="es-MX"/>
        </w:rPr>
        <w:t xml:space="preserve"> [énfasis fuera de texto].</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pStyle w:val="Prrafodelista"/>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La citación del fallo pretende demostrar que «</w:t>
      </w:r>
      <w:r w:rsidRPr="005D36F1">
        <w:rPr>
          <w:rFonts w:ascii="Times New Roman" w:hAnsi="Times New Roman" w:cs="Times New Roman"/>
          <w:color w:val="000000" w:themeColor="text1"/>
          <w:sz w:val="28"/>
          <w:szCs w:val="28"/>
          <w:lang w:val="es-MX"/>
        </w:rPr>
        <w:t>la Corte Constitucional [</w:t>
      </w:r>
      <w:r w:rsidRPr="005D36F1">
        <w:rPr>
          <w:rFonts w:ascii="Times New Roman" w:hAnsi="Times New Roman" w:cs="Times New Roman"/>
          <w:color w:val="000000" w:themeColor="text1"/>
          <w:sz w:val="28"/>
          <w:szCs w:val="28"/>
          <w:lang w:val="es-MX"/>
        </w:rPr>
        <w:t>ha] reiter[ado] que el libre desarrollo de la personalidad incluye la protección del porte y consumo de estupefacientes de la dosis personal»</w:t>
      </w:r>
      <w:r w:rsidRPr="005D36F1">
        <w:rPr>
          <w:rStyle w:val="Refdenotaalpie"/>
          <w:rFonts w:ascii="Times New Roman" w:hAnsi="Times New Roman" w:cs="Times New Roman"/>
          <w:color w:val="000000" w:themeColor="text1"/>
          <w:sz w:val="28"/>
          <w:szCs w:val="28"/>
          <w:lang w:val="es-MX"/>
        </w:rPr>
        <w:footnoteReference w:id="47"/>
      </w:r>
      <w:r w:rsidRPr="005D36F1">
        <w:rPr>
          <w:rFonts w:ascii="Times New Roman" w:hAnsi="Times New Roman" w:cs="Times New Roman"/>
          <w:color w:val="000000" w:themeColor="text1"/>
          <w:sz w:val="28"/>
          <w:szCs w:val="28"/>
          <w:lang w:val="es-MX"/>
        </w:rPr>
        <w:t xml:space="preserve"> y que «</w:t>
      </w:r>
      <w:r w:rsidRPr="005D36F1">
        <w:rPr>
          <w:rFonts w:ascii="Times New Roman" w:hAnsi="Times New Roman" w:cs="Times New Roman"/>
          <w:color w:val="000000" w:themeColor="text1"/>
          <w:sz w:val="28"/>
          <w:szCs w:val="28"/>
        </w:rPr>
        <w:t>[e]</w:t>
      </w:r>
      <w:r w:rsidRPr="005D36F1">
        <w:rPr>
          <w:rFonts w:ascii="Times New Roman" w:hAnsi="Times New Roman" w:cs="Times New Roman"/>
          <w:color w:val="000000" w:themeColor="text1"/>
          <w:sz w:val="28"/>
          <w:szCs w:val="28"/>
          <w:lang w:val="es-MX"/>
        </w:rPr>
        <w:t>xiste un derecho constitucional al libre desarrollo de la personalidad que contempla la tenencia, porte</w:t>
      </w:r>
      <w:r w:rsidRPr="005D36F1">
        <w:rPr>
          <w:rFonts w:ascii="Times New Roman" w:hAnsi="Times New Roman" w:cs="Times New Roman"/>
          <w:color w:val="000000" w:themeColor="text1"/>
          <w:sz w:val="28"/>
          <w:szCs w:val="28"/>
          <w:lang w:val="es-MX"/>
        </w:rPr>
        <w:t xml:space="preserve"> y consumo de dosis personales de sustancias psicoactivas en el espacio íntimo de la vida de toda persona»</w:t>
      </w:r>
      <w:r w:rsidRPr="005D36F1">
        <w:rPr>
          <w:rStyle w:val="Refdenotaalpie"/>
          <w:rFonts w:ascii="Times New Roman" w:hAnsi="Times New Roman" w:cs="Times New Roman"/>
          <w:color w:val="000000" w:themeColor="text1"/>
          <w:sz w:val="28"/>
          <w:szCs w:val="28"/>
          <w:lang w:val="es-MX"/>
        </w:rPr>
        <w:footnoteReference w:id="48"/>
      </w:r>
      <w:r w:rsidRPr="005D36F1">
        <w:rPr>
          <w:rFonts w:ascii="Times New Roman" w:hAnsi="Times New Roman" w:cs="Times New Roman"/>
          <w:color w:val="000000" w:themeColor="text1"/>
          <w:sz w:val="28"/>
          <w:szCs w:val="28"/>
          <w:lang w:val="es-MX"/>
        </w:rPr>
        <w:t xml:space="preserve">. </w:t>
      </w:r>
      <w:r w:rsidRPr="005D36F1">
        <w:rPr>
          <w:rFonts w:ascii="Times New Roman" w:hAnsi="Times New Roman" w:cs="Times New Roman"/>
          <w:color w:val="000000" w:themeColor="text1"/>
          <w:sz w:val="28"/>
          <w:szCs w:val="28"/>
        </w:rPr>
        <w:t xml:space="preserve">Por tanto, </w:t>
      </w:r>
      <w:r w:rsidRPr="005D36F1">
        <w:rPr>
          <w:rFonts w:ascii="Times New Roman" w:hAnsi="Times New Roman" w:cs="Times New Roman"/>
          <w:color w:val="000000" w:themeColor="text1"/>
          <w:sz w:val="28"/>
          <w:szCs w:val="28"/>
        </w:rPr>
        <w:t xml:space="preserve">una lectura integral de los argumentos propuestos por el demandante lleva a concluir </w:t>
      </w:r>
      <w:r w:rsidRPr="005D36F1">
        <w:rPr>
          <w:rFonts w:ascii="Times New Roman" w:hAnsi="Times New Roman" w:cs="Times New Roman"/>
          <w:color w:val="000000" w:themeColor="text1"/>
          <w:sz w:val="28"/>
          <w:szCs w:val="28"/>
        </w:rPr>
        <w:t xml:space="preserve">que el accionante </w:t>
      </w:r>
      <w:r w:rsidRPr="005D36F1">
        <w:rPr>
          <w:rFonts w:ascii="Times New Roman" w:hAnsi="Times New Roman" w:cs="Times New Roman"/>
          <w:color w:val="000000" w:themeColor="text1"/>
          <w:sz w:val="28"/>
          <w:szCs w:val="28"/>
        </w:rPr>
        <w:t xml:space="preserve">no </w:t>
      </w:r>
      <w:r w:rsidRPr="005D36F1">
        <w:rPr>
          <w:rFonts w:ascii="Times New Roman" w:hAnsi="Times New Roman" w:cs="Times New Roman"/>
          <w:color w:val="000000" w:themeColor="text1"/>
          <w:sz w:val="28"/>
          <w:szCs w:val="28"/>
        </w:rPr>
        <w:t>pretend</w:t>
      </w:r>
      <w:r w:rsidRPr="005D36F1">
        <w:rPr>
          <w:rFonts w:ascii="Times New Roman" w:hAnsi="Times New Roman" w:cs="Times New Roman"/>
          <w:color w:val="000000" w:themeColor="text1"/>
          <w:sz w:val="28"/>
          <w:szCs w:val="28"/>
        </w:rPr>
        <w:t>e</w:t>
      </w:r>
      <w:r w:rsidRPr="005D36F1">
        <w:rPr>
          <w:rFonts w:ascii="Times New Roman" w:hAnsi="Times New Roman" w:cs="Times New Roman"/>
          <w:color w:val="000000" w:themeColor="text1"/>
          <w:sz w:val="28"/>
          <w:szCs w:val="28"/>
        </w:rPr>
        <w:t xml:space="preserve"> demostrar la inconstitucionalidad de </w:t>
      </w:r>
      <w:r w:rsidRPr="005D36F1">
        <w:rPr>
          <w:rFonts w:ascii="Times New Roman" w:hAnsi="Times New Roman" w:cs="Times New Roman"/>
          <w:color w:val="000000" w:themeColor="text1"/>
          <w:sz w:val="28"/>
          <w:szCs w:val="28"/>
        </w:rPr>
        <w:t>la</w:t>
      </w:r>
      <w:r w:rsidRPr="005D36F1">
        <w:rPr>
          <w:rFonts w:ascii="Times New Roman" w:hAnsi="Times New Roman" w:cs="Times New Roman"/>
          <w:color w:val="000000" w:themeColor="text1"/>
          <w:sz w:val="28"/>
          <w:szCs w:val="28"/>
        </w:rPr>
        <w:t xml:space="preserve"> causal de divorcio </w:t>
      </w:r>
      <w:r w:rsidRPr="005D36F1">
        <w:rPr>
          <w:rFonts w:ascii="Times New Roman" w:hAnsi="Times New Roman" w:cs="Times New Roman"/>
          <w:color w:val="000000" w:themeColor="text1"/>
          <w:sz w:val="28"/>
          <w:szCs w:val="28"/>
        </w:rPr>
        <w:t xml:space="preserve">demandada </w:t>
      </w:r>
      <w:r w:rsidRPr="005D36F1">
        <w:rPr>
          <w:rFonts w:ascii="Times New Roman" w:hAnsi="Times New Roman" w:cs="Times New Roman"/>
          <w:color w:val="000000" w:themeColor="text1"/>
          <w:sz w:val="28"/>
          <w:szCs w:val="28"/>
        </w:rPr>
        <w:t>con fundamento en la regla de  decisión de un fallo que declaró la inconstitucionalidad de ciertas disposiciones que regulaban el porte y consumo de sustancias psicoactivas en lugares ab</w:t>
      </w:r>
      <w:r w:rsidRPr="005D36F1">
        <w:rPr>
          <w:rFonts w:ascii="Times New Roman" w:hAnsi="Times New Roman" w:cs="Times New Roman"/>
          <w:color w:val="000000" w:themeColor="text1"/>
          <w:sz w:val="28"/>
          <w:szCs w:val="28"/>
        </w:rPr>
        <w:t xml:space="preserve">iertos al público. Por el contrario, la cita jurisprudencial únicamente tenía por objeto demostrar la relación que existe entre el uso de dichas sustancias y el derecho al libre desarrollo de la personalidad. </w:t>
      </w:r>
    </w:p>
    <w:p w:rsidR="00894FB7" w:rsidRPr="005D36F1" w:rsidRDefault="005D36F1" w:rsidP="00894FB7">
      <w:pPr>
        <w:rPr>
          <w:rFonts w:ascii="Times New Roman" w:hAnsi="Times New Roman" w:cs="Times New Roman"/>
          <w:color w:val="000000" w:themeColor="text1"/>
          <w:sz w:val="28"/>
        </w:rPr>
      </w:pPr>
    </w:p>
    <w:p w:rsidR="00894FB7" w:rsidRPr="005D36F1" w:rsidRDefault="005D36F1" w:rsidP="00894FB7">
      <w:pPr>
        <w:pStyle w:val="Prrafodelista"/>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Cuestionamiento sobre el requisito de especif</w:t>
      </w:r>
      <w:r w:rsidRPr="005D36F1">
        <w:rPr>
          <w:rFonts w:ascii="Times New Roman" w:hAnsi="Times New Roman" w:cs="Times New Roman"/>
          <w:i/>
          <w:iCs/>
          <w:color w:val="000000" w:themeColor="text1"/>
          <w:sz w:val="28"/>
          <w:szCs w:val="28"/>
        </w:rPr>
        <w:t>icidad</w:t>
      </w:r>
      <w:r w:rsidRPr="005D36F1">
        <w:rPr>
          <w:rFonts w:ascii="Times New Roman" w:hAnsi="Times New Roman" w:cs="Times New Roman"/>
          <w:color w:val="000000" w:themeColor="text1"/>
          <w:sz w:val="28"/>
          <w:szCs w:val="28"/>
        </w:rPr>
        <w:t>. A juicio de la cartera, la argumentación planteada por el demandante es vaga y genérica, por lo que no demuestra la violación de los artículos primero y dieciséis de la Constitución. Concretamente, indica que las razones expuestas en el escrito «se</w:t>
      </w:r>
      <w:r w:rsidRPr="005D36F1">
        <w:rPr>
          <w:rFonts w:ascii="Times New Roman" w:hAnsi="Times New Roman" w:cs="Times New Roman"/>
          <w:color w:val="000000" w:themeColor="text1"/>
          <w:sz w:val="28"/>
          <w:szCs w:val="28"/>
        </w:rPr>
        <w:t xml:space="preserve"> encuentran alejadas de la realidad, porque </w:t>
      </w:r>
      <w:r w:rsidRPr="005D36F1">
        <w:rPr>
          <w:rFonts w:ascii="Times New Roman" w:hAnsi="Times New Roman" w:cs="Times New Roman"/>
          <w:color w:val="000000" w:themeColor="text1"/>
          <w:sz w:val="28"/>
          <w:szCs w:val="28"/>
          <w:lang w:val="es-MX"/>
        </w:rPr>
        <w:t>no se pueden confundir los fundamentos jurisprudenciales actuales sobre el porte y consumo de sustancias psicoactivas, concretamente, aquellos referidos en la sentencia C-253 de 2019 que se oponen a la limitación</w:t>
      </w:r>
      <w:r w:rsidRPr="005D36F1">
        <w:rPr>
          <w:rFonts w:ascii="Times New Roman" w:hAnsi="Times New Roman" w:cs="Times New Roman"/>
          <w:color w:val="000000" w:themeColor="text1"/>
          <w:sz w:val="28"/>
          <w:szCs w:val="28"/>
          <w:lang w:val="es-MX"/>
        </w:rPr>
        <w:t xml:space="preserve"> amplia y general del consumo debebidas alcohólicas y sustancias psicoactivas como una expresión del derecho al libre desarrollo de la personalidad; con las consecuencias jurídicas adversas dispuestas por el legislador en esta causal de divorcio»</w:t>
      </w:r>
      <w:r w:rsidRPr="005D36F1">
        <w:rPr>
          <w:rStyle w:val="Refdenotaalpie"/>
          <w:rFonts w:ascii="Times New Roman" w:hAnsi="Times New Roman" w:cs="Times New Roman"/>
          <w:color w:val="000000" w:themeColor="text1"/>
          <w:sz w:val="28"/>
          <w:szCs w:val="28"/>
          <w:lang w:val="es-MX"/>
        </w:rPr>
        <w:footnoteReference w:id="49"/>
      </w:r>
      <w:r w:rsidRPr="005D36F1">
        <w:rPr>
          <w:rFonts w:ascii="Times New Roman" w:hAnsi="Times New Roman" w:cs="Times New Roman"/>
          <w:color w:val="000000" w:themeColor="text1"/>
          <w:sz w:val="28"/>
          <w:szCs w:val="28"/>
          <w:lang w:val="es-MX"/>
        </w:rPr>
        <w:t xml:space="preserve">. </w:t>
      </w:r>
    </w:p>
    <w:p w:rsidR="00894FB7" w:rsidRPr="005D36F1" w:rsidRDefault="005D36F1" w:rsidP="00894FB7">
      <w:pPr>
        <w:pStyle w:val="Prrafodelista"/>
        <w:tabs>
          <w:tab w:val="left" w:pos="567"/>
        </w:tabs>
        <w:ind w:left="0"/>
        <w:jc w:val="both"/>
        <w:rPr>
          <w:rFonts w:ascii="Times New Roman" w:hAnsi="Times New Roman" w:cs="Times New Roman"/>
          <w:color w:val="000000" w:themeColor="text1"/>
          <w:sz w:val="28"/>
          <w:szCs w:val="28"/>
        </w:rPr>
      </w:pPr>
    </w:p>
    <w:p w:rsidR="00894FB7" w:rsidRPr="005D36F1" w:rsidRDefault="005D36F1" w:rsidP="00894FB7">
      <w:pPr>
        <w:pStyle w:val="Prrafodelista"/>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 xml:space="preserve">La </w:t>
      </w:r>
      <w:r w:rsidRPr="005D36F1">
        <w:rPr>
          <w:rFonts w:ascii="Times New Roman" w:hAnsi="Times New Roman" w:cs="Times New Roman"/>
          <w:i/>
          <w:iCs/>
          <w:color w:val="000000" w:themeColor="text1"/>
          <w:sz w:val="28"/>
          <w:szCs w:val="28"/>
        </w:rPr>
        <w:t>demanda cumple el requisito de especificidad</w:t>
      </w:r>
      <w:r w:rsidRPr="005D36F1">
        <w:rPr>
          <w:rFonts w:ascii="Times New Roman" w:hAnsi="Times New Roman" w:cs="Times New Roman"/>
          <w:color w:val="000000" w:themeColor="text1"/>
          <w:sz w:val="28"/>
          <w:szCs w:val="28"/>
        </w:rPr>
        <w:t>. De manera reciente, la Sala Plena de esta corporación ha manifestado que la «especificidad de los cargos supone concreción y puntualidad en la censura, es decir, la demostración de que el enunciado normativo ex</w:t>
      </w:r>
      <w:r w:rsidRPr="005D36F1">
        <w:rPr>
          <w:rFonts w:ascii="Times New Roman" w:hAnsi="Times New Roman" w:cs="Times New Roman"/>
          <w:color w:val="000000" w:themeColor="text1"/>
          <w:sz w:val="28"/>
          <w:szCs w:val="28"/>
        </w:rPr>
        <w:t>hibe un problema de validez constitucional y la explicación de la manera en que esa consecuencia le es atribuible»</w:t>
      </w:r>
      <w:r w:rsidRPr="005D36F1">
        <w:rPr>
          <w:rStyle w:val="Refdenotaalpie"/>
          <w:rFonts w:ascii="Times New Roman" w:hAnsi="Times New Roman" w:cs="Times New Roman"/>
          <w:color w:val="000000" w:themeColor="text1"/>
          <w:sz w:val="28"/>
          <w:szCs w:val="28"/>
        </w:rPr>
        <w:footnoteReference w:id="50"/>
      </w:r>
      <w:r w:rsidRPr="005D36F1">
        <w:rPr>
          <w:rFonts w:ascii="Times New Roman" w:hAnsi="Times New Roman" w:cs="Times New Roman"/>
          <w:color w:val="000000" w:themeColor="text1"/>
          <w:sz w:val="28"/>
          <w:szCs w:val="28"/>
        </w:rPr>
        <w:t>. De conformidad con lo anterior, el requisito en comento impone al demandante la obligación de formular «un problema de validez constitucion</w:t>
      </w:r>
      <w:r w:rsidRPr="005D36F1">
        <w:rPr>
          <w:rFonts w:ascii="Times New Roman" w:hAnsi="Times New Roman" w:cs="Times New Roman"/>
          <w:color w:val="000000" w:themeColor="text1"/>
          <w:sz w:val="28"/>
          <w:szCs w:val="28"/>
        </w:rPr>
        <w:t>al y […] explica[r] […] manera en que esa consecuencia le es atribuible»</w:t>
      </w:r>
      <w:r w:rsidRPr="005D36F1">
        <w:rPr>
          <w:rStyle w:val="Refdenotaalpie"/>
          <w:rFonts w:ascii="Times New Roman" w:hAnsi="Times New Roman" w:cs="Times New Roman"/>
          <w:color w:val="000000" w:themeColor="text1"/>
          <w:sz w:val="28"/>
          <w:szCs w:val="28"/>
        </w:rPr>
        <w:footnoteReference w:id="51"/>
      </w:r>
      <w:r w:rsidRPr="005D36F1">
        <w:rPr>
          <w:rFonts w:ascii="Times New Roman" w:hAnsi="Times New Roman" w:cs="Times New Roman"/>
          <w:color w:val="000000" w:themeColor="text1"/>
          <w:sz w:val="28"/>
          <w:szCs w:val="28"/>
        </w:rPr>
        <w:t xml:space="preserve"> a la norma demandada. En suma, en aplicación de este requisito, la demanda ha de proponer un enfrentamiento normativo </w:t>
      </w:r>
      <w:r w:rsidRPr="005D36F1">
        <w:rPr>
          <w:rFonts w:ascii="Times New Roman" w:hAnsi="Times New Roman" w:cs="Times New Roman"/>
          <w:i/>
          <w:iCs/>
          <w:color w:val="000000" w:themeColor="text1"/>
          <w:sz w:val="28"/>
          <w:szCs w:val="28"/>
        </w:rPr>
        <w:t>objetivo y verificable</w:t>
      </w:r>
      <w:r w:rsidRPr="005D36F1">
        <w:rPr>
          <w:rStyle w:val="Refdenotaalpie"/>
          <w:rFonts w:ascii="Times New Roman" w:hAnsi="Times New Roman" w:cs="Times New Roman"/>
          <w:color w:val="000000" w:themeColor="text1"/>
          <w:sz w:val="28"/>
          <w:szCs w:val="28"/>
        </w:rPr>
        <w:footnoteReference w:id="52"/>
      </w:r>
      <w:r w:rsidRPr="005D36F1">
        <w:rPr>
          <w:rFonts w:ascii="Times New Roman" w:hAnsi="Times New Roman" w:cs="Times New Roman"/>
          <w:color w:val="000000" w:themeColor="text1"/>
          <w:sz w:val="28"/>
          <w:szCs w:val="28"/>
        </w:rPr>
        <w:t xml:space="preserve"> entre el texto legal y la norma constitu</w:t>
      </w:r>
      <w:r w:rsidRPr="005D36F1">
        <w:rPr>
          <w:rFonts w:ascii="Times New Roman" w:hAnsi="Times New Roman" w:cs="Times New Roman"/>
          <w:color w:val="000000" w:themeColor="text1"/>
          <w:sz w:val="28"/>
          <w:szCs w:val="28"/>
        </w:rPr>
        <w:t xml:space="preserve">cional supuestamente infringida.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pStyle w:val="Prrafodelista"/>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 xml:space="preserve">A la luz de esta caracterización, se observa que la objeción propuesta por el Ministerio es infundada. La entidad cuestiona que, en su argumentación, el demandante hubiera aludido a la Sentencia C-253 de 2019, pese a que </w:t>
      </w:r>
      <w:r w:rsidRPr="005D36F1">
        <w:rPr>
          <w:rFonts w:ascii="Times New Roman" w:hAnsi="Times New Roman" w:cs="Times New Roman"/>
          <w:color w:val="000000" w:themeColor="text1"/>
          <w:sz w:val="28"/>
          <w:szCs w:val="28"/>
        </w:rPr>
        <w:t>dicha providencia resolvió un problema de constitucionalidad distinto al que debe resolver en esta oportunidad. Entonces, la Sala Plena conoció una demanda de inconstitucionalidad relacionada con la posibilidad de imponer restricciones al porte y consumo d</w:t>
      </w:r>
      <w:r w:rsidRPr="005D36F1">
        <w:rPr>
          <w:rFonts w:ascii="Times New Roman" w:hAnsi="Times New Roman" w:cs="Times New Roman"/>
          <w:color w:val="000000" w:themeColor="text1"/>
          <w:sz w:val="28"/>
          <w:szCs w:val="28"/>
        </w:rPr>
        <w:t xml:space="preserve">e sustancias psicoactivas en espacio público. Ello implicaría el desconocimiento del requisito en comento.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pStyle w:val="Prrafodelista"/>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 xml:space="preserve">La Sala Plena advierte que esta acusación parte de una errada comprensión del requisito de </w:t>
      </w:r>
      <w:r w:rsidRPr="005D36F1">
        <w:rPr>
          <w:rFonts w:ascii="Times New Roman" w:hAnsi="Times New Roman" w:cs="Times New Roman"/>
          <w:i/>
          <w:iCs/>
          <w:color w:val="000000" w:themeColor="text1"/>
          <w:sz w:val="28"/>
          <w:szCs w:val="28"/>
        </w:rPr>
        <w:t>especificidad</w:t>
      </w:r>
      <w:r w:rsidRPr="005D36F1">
        <w:rPr>
          <w:rFonts w:ascii="Times New Roman" w:hAnsi="Times New Roman" w:cs="Times New Roman"/>
          <w:color w:val="000000" w:themeColor="text1"/>
          <w:sz w:val="28"/>
          <w:szCs w:val="28"/>
        </w:rPr>
        <w:t>. La entidad parece entender que esta exige</w:t>
      </w:r>
      <w:r w:rsidRPr="005D36F1">
        <w:rPr>
          <w:rFonts w:ascii="Times New Roman" w:hAnsi="Times New Roman" w:cs="Times New Roman"/>
          <w:color w:val="000000" w:themeColor="text1"/>
          <w:sz w:val="28"/>
          <w:szCs w:val="28"/>
        </w:rPr>
        <w:t>ncia impone a los accionantes la obligación de argüir precedentes judiciales que coincidan plenamente con el supuesto de hecho de la norma demandada. La descripción que acaba de hacerse de este requisito evidencia la incorrección de dicha inferencia. Según</w:t>
      </w:r>
      <w:r w:rsidRPr="005D36F1">
        <w:rPr>
          <w:rFonts w:ascii="Times New Roman" w:hAnsi="Times New Roman" w:cs="Times New Roman"/>
          <w:color w:val="000000" w:themeColor="text1"/>
          <w:sz w:val="28"/>
          <w:szCs w:val="28"/>
        </w:rPr>
        <w:t xml:space="preserve"> quedó establecido, el requisito de </w:t>
      </w:r>
      <w:r w:rsidRPr="005D36F1">
        <w:rPr>
          <w:rFonts w:ascii="Times New Roman" w:hAnsi="Times New Roman" w:cs="Times New Roman"/>
          <w:i/>
          <w:iCs/>
          <w:color w:val="000000" w:themeColor="text1"/>
          <w:sz w:val="28"/>
          <w:szCs w:val="28"/>
        </w:rPr>
        <w:t>especificidad</w:t>
      </w:r>
      <w:r w:rsidRPr="005D36F1">
        <w:rPr>
          <w:rFonts w:ascii="Times New Roman" w:hAnsi="Times New Roman" w:cs="Times New Roman"/>
          <w:color w:val="000000" w:themeColor="text1"/>
          <w:sz w:val="28"/>
          <w:szCs w:val="28"/>
        </w:rPr>
        <w:t xml:space="preserve"> exige demostrar la existencia de una oposición normativa entre la norma legal y el texto superior. Y, tal como lo señaló la magistrada sustanciadora en el auto admisorio, dicho enfrentamiento se encuentra d</w:t>
      </w:r>
      <w:r w:rsidRPr="005D36F1">
        <w:rPr>
          <w:rFonts w:ascii="Times New Roman" w:hAnsi="Times New Roman" w:cs="Times New Roman"/>
          <w:color w:val="000000" w:themeColor="text1"/>
          <w:sz w:val="28"/>
          <w:szCs w:val="28"/>
        </w:rPr>
        <w:t xml:space="preserve">ebidamente demostrado.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pStyle w:val="Prrafodelista"/>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 xml:space="preserve">La oposición entre la causal quinta del artículo 154 del Código Civil y el artículo dieciséis de la carta estriba en que, según el cargo propuesto, el Legislador permite disolver el vínculo matrimonial por el hecho de efectuar una </w:t>
      </w:r>
      <w:r w:rsidRPr="005D36F1">
        <w:rPr>
          <w:rFonts w:ascii="Times New Roman" w:hAnsi="Times New Roman" w:cs="Times New Roman"/>
          <w:color w:val="000000" w:themeColor="text1"/>
          <w:sz w:val="28"/>
          <w:szCs w:val="28"/>
        </w:rPr>
        <w:t>conducta que está permitida por el derecho al libre desarrollo de la personalidad. La citación que realiza el accionante de la Sentencia C-253 de 2019 pretende demostrar que la jurisprudencia constitucional entiende que la ley tiene prohibido regular el «c</w:t>
      </w:r>
      <w:r w:rsidRPr="005D36F1">
        <w:rPr>
          <w:rFonts w:ascii="Times New Roman" w:hAnsi="Times New Roman" w:cs="Times New Roman"/>
          <w:color w:val="000000" w:themeColor="text1"/>
          <w:sz w:val="28"/>
          <w:szCs w:val="28"/>
        </w:rPr>
        <w:t>omportamiento no interferido», es decir, aquel no causa daño ni afecta a otros sujetos. En consecuencia, más allá de las reales diferencias que existen entre los dos casos, lo cierto es que la argumentación demuestran una oposición normativa entre las disp</w:t>
      </w:r>
      <w:r w:rsidRPr="005D36F1">
        <w:rPr>
          <w:rFonts w:ascii="Times New Roman" w:hAnsi="Times New Roman" w:cs="Times New Roman"/>
          <w:color w:val="000000" w:themeColor="text1"/>
          <w:sz w:val="28"/>
          <w:szCs w:val="28"/>
        </w:rPr>
        <w:t xml:space="preserve">osiciones, lo que justifica la realización del juicio de constitucionalidad.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pStyle w:val="Prrafodelista"/>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Cuestionamiento sobre el requisito de suficiencia</w:t>
      </w:r>
      <w:r w:rsidRPr="005D36F1">
        <w:rPr>
          <w:rFonts w:ascii="Times New Roman" w:hAnsi="Times New Roman" w:cs="Times New Roman"/>
          <w:color w:val="000000" w:themeColor="text1"/>
          <w:sz w:val="28"/>
          <w:szCs w:val="28"/>
        </w:rPr>
        <w:t>. Para terminar, el Ministerio argumenta que la demanda «</w:t>
      </w:r>
      <w:r w:rsidRPr="005D36F1">
        <w:rPr>
          <w:rFonts w:ascii="Times New Roman" w:hAnsi="Times New Roman" w:cs="Times New Roman"/>
          <w:color w:val="000000" w:themeColor="text1"/>
          <w:sz w:val="28"/>
          <w:szCs w:val="28"/>
          <w:lang w:val="es-MX"/>
        </w:rPr>
        <w:t>carece del alcance persuasivo suficiente para considerar que los artícu</w:t>
      </w:r>
      <w:r w:rsidRPr="005D36F1">
        <w:rPr>
          <w:rFonts w:ascii="Times New Roman" w:hAnsi="Times New Roman" w:cs="Times New Roman"/>
          <w:color w:val="000000" w:themeColor="text1"/>
          <w:sz w:val="28"/>
          <w:szCs w:val="28"/>
          <w:lang w:val="es-MX"/>
        </w:rPr>
        <w:t>los son inconstitucionales»</w:t>
      </w:r>
      <w:r w:rsidRPr="005D36F1">
        <w:rPr>
          <w:rStyle w:val="Refdenotaalpie"/>
          <w:rFonts w:ascii="Times New Roman" w:hAnsi="Times New Roman" w:cs="Times New Roman"/>
          <w:color w:val="000000" w:themeColor="text1"/>
          <w:sz w:val="28"/>
          <w:szCs w:val="28"/>
          <w:lang w:val="es-MX"/>
        </w:rPr>
        <w:footnoteReference w:id="53"/>
      </w:r>
      <w:r w:rsidRPr="005D36F1">
        <w:rPr>
          <w:rFonts w:ascii="Times New Roman" w:hAnsi="Times New Roman" w:cs="Times New Roman"/>
          <w:color w:val="000000" w:themeColor="text1"/>
          <w:sz w:val="28"/>
          <w:szCs w:val="28"/>
          <w:lang w:val="es-MX"/>
        </w:rPr>
        <w:t xml:space="preserve">. Este defecto es resultado de que el accionante hubiera propuesto un «análisis limitado, subjetivo y tergiversado de la norma, [lo que] trae como consecuencia la carencia de razones de peso para generar por lo menos la duda de </w:t>
      </w:r>
      <w:r w:rsidRPr="005D36F1">
        <w:rPr>
          <w:rFonts w:ascii="Times New Roman" w:hAnsi="Times New Roman" w:cs="Times New Roman"/>
          <w:color w:val="000000" w:themeColor="text1"/>
          <w:sz w:val="28"/>
          <w:szCs w:val="28"/>
          <w:lang w:val="es-MX"/>
        </w:rPr>
        <w:t>la inconstitucionalidad de las premisas normativas atacadas»</w:t>
      </w:r>
      <w:r w:rsidRPr="005D36F1">
        <w:rPr>
          <w:rStyle w:val="Refdenotaalpie"/>
          <w:rFonts w:ascii="Times New Roman" w:hAnsi="Times New Roman" w:cs="Times New Roman"/>
          <w:color w:val="000000" w:themeColor="text1"/>
          <w:sz w:val="28"/>
          <w:szCs w:val="28"/>
          <w:lang w:val="es-MX"/>
        </w:rPr>
        <w:footnoteReference w:id="54"/>
      </w:r>
      <w:r w:rsidRPr="005D36F1">
        <w:rPr>
          <w:rFonts w:ascii="Times New Roman" w:hAnsi="Times New Roman" w:cs="Times New Roman"/>
          <w:color w:val="000000" w:themeColor="text1"/>
          <w:sz w:val="28"/>
          <w:szCs w:val="28"/>
          <w:lang w:val="es-MX"/>
        </w:rPr>
        <w:t xml:space="preserve">. Con base en esta acusación se pretende fundamentar el incumplimiento del requisito de suficiencia.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pStyle w:val="Prrafodelista"/>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La Sala Plena arriba a una conclusión diametralmente opuesta a la planteada por el Ministeri</w:t>
      </w:r>
      <w:r w:rsidRPr="005D36F1">
        <w:rPr>
          <w:rFonts w:ascii="Times New Roman" w:hAnsi="Times New Roman" w:cs="Times New Roman"/>
          <w:color w:val="000000" w:themeColor="text1"/>
          <w:sz w:val="28"/>
          <w:szCs w:val="28"/>
        </w:rPr>
        <w:t xml:space="preserve">o de Justicia y del Derecho. A la luz de la caracterización que ha hecho este tribunal del requisito de </w:t>
      </w:r>
      <w:r w:rsidRPr="005D36F1">
        <w:rPr>
          <w:rFonts w:ascii="Times New Roman" w:hAnsi="Times New Roman" w:cs="Times New Roman"/>
          <w:i/>
          <w:iCs/>
          <w:color w:val="000000" w:themeColor="text1"/>
          <w:sz w:val="28"/>
          <w:szCs w:val="28"/>
        </w:rPr>
        <w:t>suficiencia</w:t>
      </w:r>
      <w:r w:rsidRPr="005D36F1">
        <w:rPr>
          <w:rFonts w:ascii="Times New Roman" w:hAnsi="Times New Roman" w:cs="Times New Roman"/>
          <w:color w:val="000000" w:themeColor="text1"/>
          <w:sz w:val="28"/>
          <w:szCs w:val="28"/>
        </w:rPr>
        <w:t>, la Sala concluye que la demanda cumple dicha exigencia. Ello se debe a que satisface el deber de «expo[ner] todos los elementos de juicio (</w:t>
      </w:r>
      <w:r w:rsidRPr="005D36F1">
        <w:rPr>
          <w:rFonts w:ascii="Times New Roman" w:hAnsi="Times New Roman" w:cs="Times New Roman"/>
          <w:color w:val="000000" w:themeColor="text1"/>
          <w:sz w:val="28"/>
          <w:szCs w:val="28"/>
        </w:rPr>
        <w:t>argumentativos y probatorios) necesarios para iniciar el estudio de constitucionalidad»</w:t>
      </w:r>
      <w:r w:rsidRPr="005D36F1">
        <w:rPr>
          <w:rStyle w:val="Refdenotaalpie"/>
          <w:rFonts w:ascii="Times New Roman" w:hAnsi="Times New Roman" w:cs="Times New Roman"/>
          <w:color w:val="000000" w:themeColor="text1"/>
          <w:sz w:val="28"/>
          <w:szCs w:val="28"/>
        </w:rPr>
        <w:footnoteReference w:id="55"/>
      </w:r>
      <w:r w:rsidRPr="005D36F1">
        <w:rPr>
          <w:rFonts w:ascii="Times New Roman" w:hAnsi="Times New Roman" w:cs="Times New Roman"/>
          <w:color w:val="000000" w:themeColor="text1"/>
          <w:sz w:val="28"/>
          <w:szCs w:val="28"/>
        </w:rPr>
        <w:t>. Lo anterior es consecuencia del minucioso análisis que realiza el demandante tanto sobre el alcance de la norma legal como del artículo dieciséis superior, estudio qu</w:t>
      </w:r>
      <w:r w:rsidRPr="005D36F1">
        <w:rPr>
          <w:rFonts w:ascii="Times New Roman" w:hAnsi="Times New Roman" w:cs="Times New Roman"/>
          <w:color w:val="000000" w:themeColor="text1"/>
          <w:sz w:val="28"/>
          <w:szCs w:val="28"/>
        </w:rPr>
        <w:t xml:space="preserve">e incluye una revisión adecuada de las principales conclusiones que ha planteado en este ámbito la jurisprudencia constitucional. Como consecuencia de lo anterior, el argumento propuesto consigue suscitar «una duda mínima sobre la constitucionalidad de la </w:t>
      </w:r>
      <w:r w:rsidRPr="005D36F1">
        <w:rPr>
          <w:rFonts w:ascii="Times New Roman" w:hAnsi="Times New Roman" w:cs="Times New Roman"/>
          <w:color w:val="000000" w:themeColor="text1"/>
          <w:sz w:val="28"/>
          <w:szCs w:val="28"/>
        </w:rPr>
        <w:t>norma impugnada»</w:t>
      </w:r>
      <w:r w:rsidRPr="005D36F1">
        <w:rPr>
          <w:rStyle w:val="Refdenotaalpie"/>
          <w:rFonts w:ascii="Times New Roman" w:hAnsi="Times New Roman" w:cs="Times New Roman"/>
          <w:color w:val="000000" w:themeColor="text1"/>
          <w:sz w:val="28"/>
          <w:szCs w:val="28"/>
        </w:rPr>
        <w:footnoteReference w:id="56"/>
      </w:r>
      <w:r w:rsidRPr="005D36F1">
        <w:rPr>
          <w:rFonts w:ascii="Times New Roman" w:hAnsi="Times New Roman" w:cs="Times New Roman"/>
          <w:color w:val="000000" w:themeColor="text1"/>
          <w:sz w:val="28"/>
          <w:szCs w:val="28"/>
        </w:rPr>
        <w:t xml:space="preserve">.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pStyle w:val="Prrafodelista"/>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Cumplimiento de los requisitos de claridad y pertinencia</w:t>
      </w:r>
      <w:r w:rsidRPr="005D36F1">
        <w:rPr>
          <w:rFonts w:ascii="Times New Roman" w:hAnsi="Times New Roman" w:cs="Times New Roman"/>
          <w:color w:val="000000" w:themeColor="text1"/>
          <w:sz w:val="28"/>
          <w:szCs w:val="28"/>
        </w:rPr>
        <w:t>. Con base en este análisis, la Sala Plena concluye que los reparos expresados por el Ministerio de Justicia y del Derecho son infundados. A fin de comprobar plenamente la aptitud</w:t>
      </w:r>
      <w:r w:rsidRPr="005D36F1">
        <w:rPr>
          <w:rFonts w:ascii="Times New Roman" w:hAnsi="Times New Roman" w:cs="Times New Roman"/>
          <w:color w:val="000000" w:themeColor="text1"/>
          <w:sz w:val="28"/>
          <w:szCs w:val="28"/>
        </w:rPr>
        <w:t xml:space="preserve"> de la demanda, únicamente haría falta examinar el cumplimiento de los requisitos de claridad. En opinión del plenario, la demanda satisface, igualmente, dichas exigencias. Ello se debe a que, en lo que se refiere a la condición de </w:t>
      </w:r>
      <w:r w:rsidRPr="005D36F1">
        <w:rPr>
          <w:rFonts w:ascii="Times New Roman" w:hAnsi="Times New Roman" w:cs="Times New Roman"/>
          <w:i/>
          <w:iCs/>
          <w:color w:val="000000" w:themeColor="text1"/>
          <w:sz w:val="28"/>
          <w:szCs w:val="28"/>
        </w:rPr>
        <w:t>claridad</w:t>
      </w:r>
      <w:r w:rsidRPr="005D36F1">
        <w:rPr>
          <w:rFonts w:ascii="Times New Roman" w:hAnsi="Times New Roman" w:cs="Times New Roman"/>
          <w:color w:val="000000" w:themeColor="text1"/>
          <w:sz w:val="28"/>
          <w:szCs w:val="28"/>
        </w:rPr>
        <w:t>, la argumentaci</w:t>
      </w:r>
      <w:r w:rsidRPr="005D36F1">
        <w:rPr>
          <w:rFonts w:ascii="Times New Roman" w:hAnsi="Times New Roman" w:cs="Times New Roman"/>
          <w:color w:val="000000" w:themeColor="text1"/>
          <w:sz w:val="28"/>
          <w:szCs w:val="28"/>
        </w:rPr>
        <w:t xml:space="preserve">ón propuesta por el demandante sigue un hilo conductor consistente, que permite comprender el sentido del problema constitucional que denuncia la demanda. En lo que atañe al requisito de </w:t>
      </w:r>
      <w:r w:rsidRPr="005D36F1">
        <w:rPr>
          <w:rFonts w:ascii="Times New Roman" w:hAnsi="Times New Roman" w:cs="Times New Roman"/>
          <w:i/>
          <w:iCs/>
          <w:color w:val="000000" w:themeColor="text1"/>
          <w:sz w:val="28"/>
          <w:szCs w:val="28"/>
        </w:rPr>
        <w:t>pertinencia</w:t>
      </w:r>
      <w:r w:rsidRPr="005D36F1">
        <w:rPr>
          <w:rFonts w:ascii="Times New Roman" w:hAnsi="Times New Roman" w:cs="Times New Roman"/>
          <w:color w:val="000000" w:themeColor="text1"/>
          <w:sz w:val="28"/>
          <w:szCs w:val="28"/>
        </w:rPr>
        <w:t>, la Sala Plena advierte que «el reproche formulado por el</w:t>
      </w:r>
      <w:r w:rsidRPr="005D36F1">
        <w:rPr>
          <w:rFonts w:ascii="Times New Roman" w:hAnsi="Times New Roman" w:cs="Times New Roman"/>
          <w:color w:val="000000" w:themeColor="text1"/>
          <w:sz w:val="28"/>
          <w:szCs w:val="28"/>
        </w:rPr>
        <w:t xml:space="preserve"> peticionario [es] de naturaleza constitucional, es decir, [está] fundado en la apreciación del contenido de una norma superior que se expone y se enfrenta al precepto demandado»</w:t>
      </w:r>
      <w:r w:rsidRPr="005D36F1">
        <w:rPr>
          <w:rStyle w:val="Refdenotaalpie"/>
          <w:rFonts w:ascii="Times New Roman" w:hAnsi="Times New Roman" w:cs="Times New Roman"/>
          <w:color w:val="000000" w:themeColor="text1"/>
          <w:sz w:val="28"/>
          <w:szCs w:val="28"/>
        </w:rPr>
        <w:footnoteReference w:id="57"/>
      </w:r>
      <w:r w:rsidRPr="005D36F1">
        <w:rPr>
          <w:rFonts w:ascii="Times New Roman" w:hAnsi="Times New Roman" w:cs="Times New Roman"/>
          <w:color w:val="000000" w:themeColor="text1"/>
          <w:sz w:val="28"/>
          <w:szCs w:val="28"/>
        </w:rPr>
        <w:t>. La demanda sustenta el cargo de inconstitucionalidad, únicamente, en el enf</w:t>
      </w:r>
      <w:r w:rsidRPr="005D36F1">
        <w:rPr>
          <w:rFonts w:ascii="Times New Roman" w:hAnsi="Times New Roman" w:cs="Times New Roman"/>
          <w:color w:val="000000" w:themeColor="text1"/>
          <w:sz w:val="28"/>
          <w:szCs w:val="28"/>
        </w:rPr>
        <w:t xml:space="preserve">rentamiento entre la norma demandada y el artículo dieciséis superior. Esta manera de discurrir demuestra que la acusación es pertinente, pues se basa en el alegado desconocimiento de una norma constitucional. </w:t>
      </w:r>
    </w:p>
    <w:p w:rsidR="00894FB7" w:rsidRPr="005D36F1" w:rsidRDefault="005D36F1" w:rsidP="00894FB7">
      <w:pPr>
        <w:pStyle w:val="Prrafodelista"/>
        <w:tabs>
          <w:tab w:val="left" w:pos="567"/>
        </w:tabs>
        <w:ind w:left="0"/>
        <w:jc w:val="both"/>
        <w:rPr>
          <w:rFonts w:ascii="Times New Roman" w:hAnsi="Times New Roman" w:cs="Times New Roman"/>
          <w:color w:val="000000" w:themeColor="text1"/>
          <w:sz w:val="28"/>
          <w:szCs w:val="28"/>
        </w:rPr>
      </w:pPr>
    </w:p>
    <w:p w:rsidR="00894FB7" w:rsidRPr="005D36F1" w:rsidRDefault="005D36F1" w:rsidP="00894FB7">
      <w:pPr>
        <w:pStyle w:val="Prrafodelista"/>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Comentario sobre la pertinencia de los conce</w:t>
      </w:r>
      <w:r w:rsidRPr="005D36F1">
        <w:rPr>
          <w:rFonts w:ascii="Times New Roman" w:hAnsi="Times New Roman" w:cs="Times New Roman"/>
          <w:i/>
          <w:iCs/>
          <w:color w:val="000000" w:themeColor="text1"/>
          <w:sz w:val="28"/>
          <w:szCs w:val="28"/>
        </w:rPr>
        <w:t xml:space="preserve">ptos empleados en el cargo de constitucionalidad. </w:t>
      </w:r>
      <w:r w:rsidRPr="005D36F1">
        <w:rPr>
          <w:rFonts w:ascii="Times New Roman" w:hAnsi="Times New Roman" w:cs="Times New Roman"/>
          <w:color w:val="000000" w:themeColor="text1"/>
          <w:sz w:val="28"/>
          <w:szCs w:val="28"/>
        </w:rPr>
        <w:t>Para terminar, conviene aludir a un cuestionamiento hecho por uno de los intervinientes, que guarda relación con uno de los reparos planteados por el Ministerio de Justicia y del Derecho. Aquel sostiene que</w:t>
      </w:r>
      <w:r w:rsidRPr="005D36F1">
        <w:rPr>
          <w:rFonts w:ascii="Times New Roman" w:hAnsi="Times New Roman" w:cs="Times New Roman"/>
          <w:color w:val="000000" w:themeColor="text1"/>
          <w:sz w:val="28"/>
          <w:szCs w:val="28"/>
        </w:rPr>
        <w:t xml:space="preserve"> el accionante habría distorsionado el alcance de la jurisprudencia, al confundir los términos de </w:t>
      </w:r>
      <w:r w:rsidRPr="005D36F1">
        <w:rPr>
          <w:rFonts w:ascii="Times New Roman" w:hAnsi="Times New Roman" w:cs="Times New Roman"/>
          <w:i/>
          <w:iCs/>
          <w:color w:val="000000" w:themeColor="text1"/>
          <w:sz w:val="28"/>
          <w:szCs w:val="28"/>
        </w:rPr>
        <w:t xml:space="preserve">dosis personal </w:t>
      </w:r>
      <w:r w:rsidRPr="005D36F1">
        <w:rPr>
          <w:rFonts w:ascii="Times New Roman" w:hAnsi="Times New Roman" w:cs="Times New Roman"/>
          <w:color w:val="000000" w:themeColor="text1"/>
          <w:sz w:val="28"/>
          <w:szCs w:val="28"/>
        </w:rPr>
        <w:t xml:space="preserve">y </w:t>
      </w:r>
      <w:r w:rsidRPr="005D36F1">
        <w:rPr>
          <w:rFonts w:ascii="Times New Roman" w:hAnsi="Times New Roman" w:cs="Times New Roman"/>
          <w:i/>
          <w:iCs/>
          <w:color w:val="000000" w:themeColor="text1"/>
          <w:sz w:val="28"/>
          <w:szCs w:val="28"/>
        </w:rPr>
        <w:t>consumo habitual de sustancias psicoactivas</w:t>
      </w:r>
      <w:r w:rsidRPr="005D36F1">
        <w:rPr>
          <w:rFonts w:ascii="Times New Roman" w:hAnsi="Times New Roman" w:cs="Times New Roman"/>
          <w:color w:val="000000" w:themeColor="text1"/>
          <w:sz w:val="28"/>
          <w:szCs w:val="28"/>
        </w:rPr>
        <w:t xml:space="preserve">. Este argumento debe ser descartado, por cuanto se basa en una distinción formal, que en modo </w:t>
      </w:r>
      <w:r w:rsidRPr="005D36F1">
        <w:rPr>
          <w:rFonts w:ascii="Times New Roman" w:hAnsi="Times New Roman" w:cs="Times New Roman"/>
          <w:color w:val="000000" w:themeColor="text1"/>
          <w:sz w:val="28"/>
          <w:szCs w:val="28"/>
        </w:rPr>
        <w:t>alguno afecta el cargo de inconstitucionalidad planteado. Si bien estos conceptos son distintos —pues el primero alude a «</w:t>
      </w:r>
      <w:r w:rsidRPr="005D36F1">
        <w:rPr>
          <w:rFonts w:ascii="Times New Roman" w:hAnsi="Times New Roman" w:cs="Times New Roman"/>
          <w:color w:val="000000" w:themeColor="text1"/>
          <w:sz w:val="28"/>
          <w:szCs w:val="28"/>
          <w:shd w:val="clear" w:color="auto" w:fill="FFFFFF"/>
        </w:rPr>
        <w:t>la cantidad de estupefaciente que una persona porta o conserva para su propio consumo»</w:t>
      </w:r>
      <w:r w:rsidRPr="005D36F1">
        <w:rPr>
          <w:rStyle w:val="Refdenotaalpie"/>
          <w:rFonts w:ascii="Times New Roman" w:hAnsi="Times New Roman" w:cs="Times New Roman"/>
          <w:color w:val="000000" w:themeColor="text1"/>
          <w:sz w:val="28"/>
          <w:szCs w:val="28"/>
          <w:shd w:val="clear" w:color="auto" w:fill="FFFFFF"/>
        </w:rPr>
        <w:footnoteReference w:id="58"/>
      </w:r>
      <w:r w:rsidRPr="005D36F1">
        <w:rPr>
          <w:rFonts w:ascii="Times New Roman" w:hAnsi="Times New Roman" w:cs="Times New Roman"/>
          <w:color w:val="000000" w:themeColor="text1"/>
          <w:sz w:val="28"/>
          <w:szCs w:val="28"/>
          <w:shd w:val="clear" w:color="auto" w:fill="FFFFFF"/>
        </w:rPr>
        <w:t>; y el segundo, a una conducta que da lugar a l</w:t>
      </w:r>
      <w:r w:rsidRPr="005D36F1">
        <w:rPr>
          <w:rFonts w:ascii="Times New Roman" w:hAnsi="Times New Roman" w:cs="Times New Roman"/>
          <w:color w:val="000000" w:themeColor="text1"/>
          <w:sz w:val="28"/>
          <w:szCs w:val="28"/>
          <w:shd w:val="clear" w:color="auto" w:fill="FFFFFF"/>
        </w:rPr>
        <w:t>a disolución del vínculo matrimonial de una pareja</w:t>
      </w:r>
      <w:r w:rsidRPr="005D36F1">
        <w:rPr>
          <w:rStyle w:val="Refdenotaalpie"/>
          <w:rFonts w:ascii="Times New Roman" w:hAnsi="Times New Roman" w:cs="Times New Roman"/>
          <w:color w:val="000000" w:themeColor="text1"/>
          <w:sz w:val="28"/>
          <w:szCs w:val="28"/>
          <w:shd w:val="clear" w:color="auto" w:fill="FFFFFF"/>
        </w:rPr>
        <w:footnoteReference w:id="59"/>
      </w:r>
      <w:r w:rsidRPr="005D36F1">
        <w:rPr>
          <w:rFonts w:ascii="Times New Roman" w:hAnsi="Times New Roman" w:cs="Times New Roman"/>
          <w:color w:val="000000" w:themeColor="text1"/>
          <w:sz w:val="28"/>
          <w:szCs w:val="28"/>
        </w:rPr>
        <w:t xml:space="preserve">—, ambos comparten la característica de implicar el porte y consumo de sustancias psicoactivas. Este atributo compartido explica que el accionante haya argumentado que este tribunal deba observar, para la </w:t>
      </w:r>
      <w:r w:rsidRPr="005D36F1">
        <w:rPr>
          <w:rFonts w:ascii="Times New Roman" w:hAnsi="Times New Roman" w:cs="Times New Roman"/>
          <w:color w:val="000000" w:themeColor="text1"/>
          <w:sz w:val="28"/>
          <w:szCs w:val="28"/>
        </w:rPr>
        <w:t xml:space="preserve">solución del presente caso, el precedente fijado en la Sentencia C-221 de 1994, en la que se despenalizó la dosis personal.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pStyle w:val="Prrafodelista"/>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Desde esta perspectiva, que se encuentra claramente expuesta en el escrito de demanda, queda en evidencia que, en criterio del acc</w:t>
      </w:r>
      <w:r w:rsidRPr="005D36F1">
        <w:rPr>
          <w:rFonts w:ascii="Times New Roman" w:hAnsi="Times New Roman" w:cs="Times New Roman"/>
          <w:color w:val="000000" w:themeColor="text1"/>
          <w:sz w:val="28"/>
          <w:szCs w:val="28"/>
        </w:rPr>
        <w:t>ionante, ambas actuaciones —tanto el porte y consumo de la dosis personal como el consumo habitual de sustancias psicoactivas en el matrimonio— se encontrarían amparadas por el derecho al libre desarrollo de la personalidad. Este planteamiento no es irrazo</w:t>
      </w:r>
      <w:r w:rsidRPr="005D36F1">
        <w:rPr>
          <w:rFonts w:ascii="Times New Roman" w:hAnsi="Times New Roman" w:cs="Times New Roman"/>
          <w:color w:val="000000" w:themeColor="text1"/>
          <w:sz w:val="28"/>
          <w:szCs w:val="28"/>
        </w:rPr>
        <w:t xml:space="preserve">nable, pues se basa en premisas coherentes y lógicas, que encuentran asidero en la jurisprudencia constitucional. Su validez habrá de ser analizada más adelante, cuando se resuelva el caso concreto.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pStyle w:val="Prrafodelista"/>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 xml:space="preserve">En cualquier caso, esta constatación pone en evidencia </w:t>
      </w:r>
      <w:r w:rsidRPr="005D36F1">
        <w:rPr>
          <w:rFonts w:ascii="Times New Roman" w:hAnsi="Times New Roman" w:cs="Times New Roman"/>
          <w:color w:val="000000" w:themeColor="text1"/>
          <w:sz w:val="28"/>
          <w:szCs w:val="28"/>
        </w:rPr>
        <w:t>que el reparo formulado por el interviniente no es un reproche sobre la aptitud de la demanda, sino un cuestionamiento sobre el argumento de fondo que plantea la acción pública. Por consiguiente, dicha objeción no está llamada a prosperar.</w:t>
      </w:r>
    </w:p>
    <w:p w:rsidR="00894FB7" w:rsidRPr="005D36F1" w:rsidRDefault="005D36F1" w:rsidP="00894FB7">
      <w:pPr>
        <w:rPr>
          <w:rFonts w:ascii="Times New Roman" w:hAnsi="Times New Roman" w:cs="Times New Roman"/>
          <w:color w:val="000000" w:themeColor="text1"/>
          <w:sz w:val="28"/>
        </w:rPr>
      </w:pPr>
    </w:p>
    <w:p w:rsidR="00894FB7" w:rsidRPr="005D36F1" w:rsidRDefault="005D36F1" w:rsidP="00894FB7">
      <w:pPr>
        <w:pStyle w:val="Prrafodelista"/>
        <w:numPr>
          <w:ilvl w:val="0"/>
          <w:numId w:val="2"/>
        </w:numPr>
        <w:tabs>
          <w:tab w:val="left" w:pos="567"/>
        </w:tabs>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Con base en est</w:t>
      </w:r>
      <w:r w:rsidRPr="005D36F1">
        <w:rPr>
          <w:rFonts w:ascii="Times New Roman" w:hAnsi="Times New Roman" w:cs="Times New Roman"/>
          <w:color w:val="000000" w:themeColor="text1"/>
          <w:sz w:val="28"/>
          <w:szCs w:val="28"/>
        </w:rPr>
        <w:t>as razones, la Sala Plena concluye que la demanda de inconstitucionalidad interpuesta por el ciudadano satisface los requisitos exigibles para la iniciación del proceso de constitucionalidad. Concluido este análisis preliminar, procede la Sala a efectuar e</w:t>
      </w:r>
      <w:r w:rsidRPr="005D36F1">
        <w:rPr>
          <w:rFonts w:ascii="Times New Roman" w:hAnsi="Times New Roman" w:cs="Times New Roman"/>
          <w:color w:val="000000" w:themeColor="text1"/>
          <w:sz w:val="28"/>
          <w:szCs w:val="28"/>
        </w:rPr>
        <w:t xml:space="preserve">l enjuiciamiento de la norma demandada. </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numPr>
          <w:ilvl w:val="0"/>
          <w:numId w:val="5"/>
        </w:numPr>
        <w:jc w:val="both"/>
        <w:rPr>
          <w:rFonts w:ascii="Times New Roman" w:hAnsi="Times New Roman" w:cs="Times New Roman"/>
          <w:color w:val="000000" w:themeColor="text1"/>
          <w:sz w:val="28"/>
          <w:szCs w:val="28"/>
        </w:rPr>
      </w:pPr>
      <w:r w:rsidRPr="005D36F1">
        <w:rPr>
          <w:rFonts w:ascii="Times New Roman" w:hAnsi="Times New Roman" w:cs="Times New Roman"/>
          <w:b/>
          <w:color w:val="000000" w:themeColor="text1"/>
          <w:sz w:val="28"/>
          <w:szCs w:val="28"/>
          <w:lang w:val="es-ES_tradnl"/>
        </w:rPr>
        <w:t>Problemas jurídicos planteados y metodología de la decisión</w:t>
      </w:r>
    </w:p>
    <w:p w:rsidR="00894FB7" w:rsidRPr="005D36F1" w:rsidRDefault="005D36F1" w:rsidP="00894FB7">
      <w:pPr>
        <w:pStyle w:val="Prrafodelista"/>
        <w:ind w:left="0"/>
        <w:jc w:val="both"/>
        <w:rPr>
          <w:rFonts w:ascii="Times New Roman" w:hAnsi="Times New Roman" w:cs="Times New Roman"/>
          <w:color w:val="000000" w:themeColor="text1"/>
          <w:sz w:val="28"/>
          <w:szCs w:val="28"/>
        </w:rPr>
      </w:pPr>
    </w:p>
    <w:p w:rsidR="00894FB7" w:rsidRPr="005D36F1" w:rsidRDefault="005D36F1" w:rsidP="00894FB7">
      <w:pPr>
        <w:numPr>
          <w:ilvl w:val="0"/>
          <w:numId w:val="2"/>
        </w:numPr>
        <w:tabs>
          <w:tab w:val="left" w:pos="567"/>
        </w:tabs>
        <w:ind w:left="0" w:firstLine="0"/>
        <w:jc w:val="both"/>
        <w:rPr>
          <w:rFonts w:ascii="Times New Roman" w:hAnsi="Times New Roman" w:cs="Times New Roman"/>
          <w:i/>
          <w:iCs/>
          <w:color w:val="000000" w:themeColor="text1"/>
          <w:sz w:val="28"/>
          <w:szCs w:val="28"/>
        </w:rPr>
      </w:pPr>
      <w:r w:rsidRPr="005D36F1">
        <w:rPr>
          <w:rFonts w:ascii="Times New Roman" w:hAnsi="Times New Roman" w:cs="Times New Roman"/>
          <w:i/>
          <w:iCs/>
          <w:color w:val="000000" w:themeColor="text1"/>
          <w:sz w:val="28"/>
          <w:szCs w:val="28"/>
        </w:rPr>
        <w:t xml:space="preserve">Problema jurídico. </w:t>
      </w:r>
      <w:r w:rsidRPr="005D36F1">
        <w:rPr>
          <w:rFonts w:ascii="Times New Roman" w:hAnsi="Times New Roman" w:cs="Times New Roman"/>
          <w:color w:val="000000" w:themeColor="text1"/>
          <w:sz w:val="28"/>
          <w:szCs w:val="28"/>
        </w:rPr>
        <w:t xml:space="preserve">A fin de resolver el cargo de inconstitucionalidad planteado, la Sala Plena encuentra necesario dar respuesta al siguiente problema jurídico: </w:t>
      </w:r>
    </w:p>
    <w:p w:rsidR="00894FB7" w:rsidRPr="005D36F1" w:rsidRDefault="005D36F1" w:rsidP="00894FB7">
      <w:pPr>
        <w:tabs>
          <w:tab w:val="left" w:pos="567"/>
        </w:tabs>
        <w:jc w:val="both"/>
        <w:rPr>
          <w:rFonts w:ascii="Times New Roman" w:hAnsi="Times New Roman" w:cs="Times New Roman"/>
          <w:i/>
          <w:iCs/>
          <w:color w:val="000000" w:themeColor="text1"/>
          <w:sz w:val="28"/>
          <w:szCs w:val="28"/>
        </w:rPr>
      </w:pPr>
    </w:p>
    <w:p w:rsidR="00894FB7" w:rsidRPr="005D36F1" w:rsidRDefault="005D36F1" w:rsidP="00894FB7">
      <w:pPr>
        <w:tabs>
          <w:tab w:val="left" w:pos="567"/>
        </w:tabs>
        <w:ind w:left="567"/>
        <w:jc w:val="both"/>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¿El numeral quinto del artículo 154 del Código Civil, que estipula como causal de divorcio «[e]l uso habitual de</w:t>
      </w:r>
      <w:r w:rsidRPr="005D36F1">
        <w:rPr>
          <w:rFonts w:ascii="Times New Roman" w:hAnsi="Times New Roman" w:cs="Times New Roman"/>
          <w:color w:val="000000" w:themeColor="text1"/>
          <w:sz w:val="28"/>
        </w:rPr>
        <w:t xml:space="preserve"> sustancias alucinógenas o estupefacientes, salvo prescripción médica», conlleva la violación de los derechos fundamentales al libre desarrollo de la personalidad y a la dignidad humana del cónyuge que desea efectuar esta conducta, teniendo en cuenta que, </w:t>
      </w:r>
      <w:r w:rsidRPr="005D36F1">
        <w:rPr>
          <w:rFonts w:ascii="Times New Roman" w:hAnsi="Times New Roman" w:cs="Times New Roman"/>
          <w:color w:val="000000" w:themeColor="text1"/>
          <w:sz w:val="28"/>
        </w:rPr>
        <w:t>dada su condición de causal subjetiva, el precepto autoriza la condena al pago de alimentos a favor del cónyuge no consumidor y la revocación de las donaciones que este último hubiera hecho por causa del matrimonio?</w:t>
      </w:r>
    </w:p>
    <w:p w:rsidR="00894FB7" w:rsidRPr="005D36F1" w:rsidRDefault="005D36F1" w:rsidP="00894FB7">
      <w:pPr>
        <w:tabs>
          <w:tab w:val="left" w:pos="567"/>
        </w:tabs>
        <w:jc w:val="both"/>
        <w:rPr>
          <w:rFonts w:ascii="Times New Roman" w:hAnsi="Times New Roman" w:cs="Times New Roman"/>
          <w:i/>
          <w:iCs/>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i/>
          <w:iCs/>
          <w:color w:val="000000" w:themeColor="text1"/>
          <w:sz w:val="28"/>
          <w:szCs w:val="28"/>
        </w:rPr>
      </w:pPr>
      <w:r w:rsidRPr="005D36F1">
        <w:rPr>
          <w:rFonts w:ascii="Times New Roman" w:hAnsi="Times New Roman" w:cs="Times New Roman"/>
          <w:i/>
          <w:iCs/>
          <w:color w:val="000000" w:themeColor="text1"/>
          <w:sz w:val="28"/>
          <w:szCs w:val="28"/>
        </w:rPr>
        <w:t>Metodología de la decisión</w:t>
      </w:r>
      <w:r w:rsidRPr="005D36F1">
        <w:rPr>
          <w:rFonts w:ascii="Times New Roman" w:hAnsi="Times New Roman" w:cs="Times New Roman"/>
          <w:color w:val="000000" w:themeColor="text1"/>
          <w:sz w:val="28"/>
          <w:szCs w:val="28"/>
        </w:rPr>
        <w:t>. Para resolv</w:t>
      </w:r>
      <w:r w:rsidRPr="005D36F1">
        <w:rPr>
          <w:rFonts w:ascii="Times New Roman" w:hAnsi="Times New Roman" w:cs="Times New Roman"/>
          <w:color w:val="000000" w:themeColor="text1"/>
          <w:sz w:val="28"/>
          <w:szCs w:val="28"/>
        </w:rPr>
        <w:t xml:space="preserve">er este problema jurídico, la Sala Plena abordará los siguientes temas: </w:t>
      </w:r>
      <w:r w:rsidRPr="005D36F1">
        <w:rPr>
          <w:rFonts w:ascii="Times New Roman" w:hAnsi="Times New Roman" w:cs="Times New Roman"/>
          <w:i/>
          <w:iCs/>
          <w:color w:val="000000" w:themeColor="text1"/>
          <w:sz w:val="28"/>
          <w:szCs w:val="28"/>
        </w:rPr>
        <w:t xml:space="preserve">i) </w:t>
      </w:r>
      <w:r w:rsidRPr="005D36F1">
        <w:rPr>
          <w:rFonts w:ascii="Times New Roman" w:hAnsi="Times New Roman" w:cs="Times New Roman"/>
          <w:color w:val="000000" w:themeColor="text1"/>
          <w:sz w:val="28"/>
          <w:szCs w:val="28"/>
        </w:rPr>
        <w:t xml:space="preserve">evolución de la jurisprudencia constitucional en torno al derecho al libre desarrollo de la personalidad y el consumo de sustancias psicoactivas y </w:t>
      </w:r>
      <w:r w:rsidRPr="005D36F1">
        <w:rPr>
          <w:rFonts w:ascii="Times New Roman" w:hAnsi="Times New Roman" w:cs="Times New Roman"/>
          <w:i/>
          <w:iCs/>
          <w:color w:val="000000" w:themeColor="text1"/>
          <w:sz w:val="28"/>
          <w:szCs w:val="28"/>
        </w:rPr>
        <w:t xml:space="preserve">ii) </w:t>
      </w:r>
      <w:r w:rsidRPr="005D36F1">
        <w:rPr>
          <w:rFonts w:ascii="Times New Roman" w:hAnsi="Times New Roman" w:cs="Times New Roman"/>
          <w:color w:val="000000" w:themeColor="text1"/>
          <w:sz w:val="28"/>
          <w:szCs w:val="28"/>
        </w:rPr>
        <w:t>relevancia del derecho fundame</w:t>
      </w:r>
      <w:r w:rsidRPr="005D36F1">
        <w:rPr>
          <w:rFonts w:ascii="Times New Roman" w:hAnsi="Times New Roman" w:cs="Times New Roman"/>
          <w:color w:val="000000" w:themeColor="text1"/>
          <w:sz w:val="28"/>
          <w:szCs w:val="28"/>
        </w:rPr>
        <w:t xml:space="preserve">ntal al libre desarrollo de la personalidad en el matrimonio. Con base en estas consideraciones, solucionará el cargo de inconstitucionalidad formulado por el demandante. </w:t>
      </w:r>
    </w:p>
    <w:p w:rsidR="00894FB7" w:rsidRPr="005D36F1" w:rsidRDefault="005D36F1" w:rsidP="00894FB7">
      <w:pPr>
        <w:rPr>
          <w:rFonts w:ascii="Times New Roman" w:hAnsi="Times New Roman" w:cs="Times New Roman"/>
          <w:color w:val="000000" w:themeColor="text1"/>
          <w:sz w:val="28"/>
          <w:szCs w:val="28"/>
        </w:rPr>
      </w:pPr>
    </w:p>
    <w:p w:rsidR="00894FB7" w:rsidRPr="005D36F1" w:rsidRDefault="005D36F1" w:rsidP="00894FB7">
      <w:pPr>
        <w:pStyle w:val="Prrafodelista"/>
        <w:numPr>
          <w:ilvl w:val="0"/>
          <w:numId w:val="5"/>
        </w:numPr>
        <w:tabs>
          <w:tab w:val="left" w:pos="567"/>
        </w:tabs>
        <w:jc w:val="both"/>
        <w:rPr>
          <w:rFonts w:ascii="Times New Roman" w:hAnsi="Times New Roman" w:cs="Times New Roman"/>
          <w:b/>
          <w:bCs/>
          <w:i/>
          <w:iCs/>
          <w:color w:val="000000" w:themeColor="text1"/>
          <w:sz w:val="28"/>
          <w:szCs w:val="28"/>
        </w:rPr>
      </w:pPr>
      <w:r w:rsidRPr="005D36F1">
        <w:rPr>
          <w:rFonts w:ascii="Times New Roman" w:hAnsi="Times New Roman" w:cs="Times New Roman"/>
          <w:b/>
          <w:bCs/>
          <w:color w:val="000000" w:themeColor="text1"/>
          <w:sz w:val="28"/>
          <w:szCs w:val="28"/>
        </w:rPr>
        <w:t>Evolución de la jurisprudencia constitucional en torno al derecho al libre desarrol</w:t>
      </w:r>
      <w:r w:rsidRPr="005D36F1">
        <w:rPr>
          <w:rFonts w:ascii="Times New Roman" w:hAnsi="Times New Roman" w:cs="Times New Roman"/>
          <w:b/>
          <w:bCs/>
          <w:color w:val="000000" w:themeColor="text1"/>
          <w:sz w:val="28"/>
          <w:szCs w:val="28"/>
        </w:rPr>
        <w:t>lo de la personalidad y el consumo de sustancias psicoactivas</w:t>
      </w:r>
    </w:p>
    <w:p w:rsidR="00894FB7" w:rsidRPr="005D36F1" w:rsidRDefault="005D36F1" w:rsidP="00894FB7">
      <w:pPr>
        <w:rPr>
          <w:rFonts w:ascii="Times New Roman" w:hAnsi="Times New Roman" w:cs="Times New Roman"/>
          <w:color w:val="000000" w:themeColor="text1"/>
          <w:sz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Fundamentación normativa y conceptual del derecho al libre desarrollo de la personalidad</w:t>
      </w:r>
      <w:r w:rsidRPr="005D36F1">
        <w:rPr>
          <w:rFonts w:ascii="Times New Roman" w:hAnsi="Times New Roman" w:cs="Times New Roman"/>
          <w:color w:val="000000" w:themeColor="text1"/>
          <w:sz w:val="28"/>
          <w:szCs w:val="28"/>
        </w:rPr>
        <w:t xml:space="preserve">. El artículo dieciséis de la Constitución proclama el derecho bajo análisis en los siguientes términos: </w:t>
      </w:r>
      <w:r w:rsidRPr="005D36F1">
        <w:rPr>
          <w:rFonts w:ascii="Times New Roman" w:hAnsi="Times New Roman" w:cs="Times New Roman"/>
          <w:color w:val="000000" w:themeColor="text1"/>
          <w:sz w:val="28"/>
          <w:szCs w:val="28"/>
        </w:rPr>
        <w:t>«Todas las personas tienen derecho al libre desarrollo de su personalidad sin más limitaciones que las que imponen los derechos de los demás y el orden jurídico». La jurisprudencia ha manifestado que el reconocimiento de este derecho es producto de la part</w:t>
      </w:r>
      <w:r w:rsidRPr="005D36F1">
        <w:rPr>
          <w:rFonts w:ascii="Times New Roman" w:hAnsi="Times New Roman" w:cs="Times New Roman"/>
          <w:color w:val="000000" w:themeColor="text1"/>
          <w:sz w:val="28"/>
          <w:szCs w:val="28"/>
        </w:rPr>
        <w:t>icular concepción que la Constitución ha acogido en torno al poder público y la libertad individual. En tal sentido, el derecho al libre desarrollo de la personalidad proclama que el poder regulador del Estado únicamente es legítimo en la medida en que rec</w:t>
      </w:r>
      <w:r w:rsidRPr="005D36F1">
        <w:rPr>
          <w:rFonts w:ascii="Times New Roman" w:hAnsi="Times New Roman" w:cs="Times New Roman"/>
          <w:color w:val="000000" w:themeColor="text1"/>
          <w:sz w:val="28"/>
          <w:szCs w:val="28"/>
        </w:rPr>
        <w:t xml:space="preserve">aiga sobre acciones que comprometan a personas distintas a la de quien las ejecuta. En aplicación de este imperativo, las conductas que únicamente conciernen al titular del derecho, que solo a él lo afectan, en modo alguno pueden ser regladas por el orden </w:t>
      </w:r>
      <w:r w:rsidRPr="005D36F1">
        <w:rPr>
          <w:rFonts w:ascii="Times New Roman" w:hAnsi="Times New Roman" w:cs="Times New Roman"/>
          <w:color w:val="000000" w:themeColor="text1"/>
          <w:sz w:val="28"/>
          <w:szCs w:val="28"/>
        </w:rPr>
        <w:t xml:space="preserve">jurídico. Así lo manifestó la Sala Plena en la Sentencia C-221 de 1994, providencia que ha fijado el derrotero de la jurisprudencia en este campo: </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ind w:left="708"/>
        <w:jc w:val="both"/>
        <w:rPr>
          <w:rFonts w:ascii="Times New Roman" w:hAnsi="Times New Roman" w:cs="Times New Roman"/>
          <w:color w:val="000000" w:themeColor="text1"/>
          <w:sz w:val="28"/>
        </w:rPr>
      </w:pPr>
      <w:r w:rsidRPr="005D36F1">
        <w:rPr>
          <w:rFonts w:ascii="Times New Roman" w:hAnsi="Times New Roman" w:cs="Times New Roman"/>
          <w:color w:val="000000" w:themeColor="text1"/>
          <w:sz w:val="28"/>
          <w:lang w:val="es-ES_tradnl"/>
        </w:rPr>
        <w:t>Más allá de las disputas de escuelas acerca de la naturaleza del derecho, puede afirmarse con certeza que l</w:t>
      </w:r>
      <w:r w:rsidRPr="005D36F1">
        <w:rPr>
          <w:rFonts w:ascii="Times New Roman" w:hAnsi="Times New Roman" w:cs="Times New Roman"/>
          <w:color w:val="000000" w:themeColor="text1"/>
          <w:sz w:val="28"/>
          <w:lang w:val="es-ES_tradnl"/>
        </w:rPr>
        <w:t>o que caracteriza a esa forma específica de control de la conducta humana es el tener como objeto de regulación el comportamiento interferido, esto es, las acciones de una persona en la medida en que injieren en la órbita de acción de otra u otras, se entr</w:t>
      </w:r>
      <w:r w:rsidRPr="005D36F1">
        <w:rPr>
          <w:rFonts w:ascii="Times New Roman" w:hAnsi="Times New Roman" w:cs="Times New Roman"/>
          <w:color w:val="000000" w:themeColor="text1"/>
          <w:sz w:val="28"/>
          <w:lang w:val="es-ES_tradnl"/>
        </w:rPr>
        <w:t>ecruzan con ella, la interfieren. Mientras esto no ocurra, es la norma moral la que evalúa la conducta del sujeto actuante (incluyendo la conducta omisiva dentro de la categoría genérica de la acción).</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 xml:space="preserve">Según lo manifestó la Sala Plena en aquella </w:t>
      </w:r>
      <w:r w:rsidRPr="005D36F1">
        <w:rPr>
          <w:rFonts w:ascii="Times New Roman" w:hAnsi="Times New Roman" w:cs="Times New Roman"/>
          <w:color w:val="000000" w:themeColor="text1"/>
          <w:sz w:val="28"/>
          <w:szCs w:val="28"/>
        </w:rPr>
        <w:t>oportunidad, el artículo dieciséis proclama «</w:t>
      </w:r>
      <w:r w:rsidRPr="005D36F1">
        <w:rPr>
          <w:rFonts w:ascii="Times New Roman" w:hAnsi="Times New Roman" w:cs="Times New Roman"/>
          <w:color w:val="000000" w:themeColor="text1"/>
          <w:sz w:val="28"/>
          <w:szCs w:val="28"/>
          <w:lang w:val="es-ES_tradnl"/>
        </w:rPr>
        <w:t>la libertad “in nuce”, porque cualquier tipo de libertad se reduce finalmente a ella»</w:t>
      </w:r>
      <w:r w:rsidRPr="005D36F1">
        <w:rPr>
          <w:rStyle w:val="Refdenotaalpie"/>
          <w:rFonts w:ascii="Times New Roman" w:hAnsi="Times New Roman" w:cs="Times New Roman"/>
          <w:color w:val="000000" w:themeColor="text1"/>
          <w:sz w:val="28"/>
          <w:szCs w:val="28"/>
          <w:lang w:val="es-ES_tradnl"/>
        </w:rPr>
        <w:footnoteReference w:id="60"/>
      </w:r>
      <w:r w:rsidRPr="005D36F1">
        <w:rPr>
          <w:rFonts w:ascii="Times New Roman" w:hAnsi="Times New Roman" w:cs="Times New Roman"/>
          <w:color w:val="000000" w:themeColor="text1"/>
          <w:sz w:val="28"/>
          <w:szCs w:val="28"/>
          <w:lang w:val="es-ES_tradnl"/>
        </w:rPr>
        <w:t>. Se trata de un derecho que le permite a su titular decidir con autonomía plena sobre «</w:t>
      </w:r>
      <w:r w:rsidRPr="005D36F1">
        <w:rPr>
          <w:rFonts w:ascii="Times New Roman" w:hAnsi="Times New Roman" w:cs="Times New Roman"/>
          <w:color w:val="000000" w:themeColor="text1"/>
          <w:sz w:val="28"/>
          <w:szCs w:val="28"/>
        </w:rPr>
        <w:t xml:space="preserve">lo más radicalmente humano, sobre lo </w:t>
      </w:r>
      <w:r w:rsidRPr="005D36F1">
        <w:rPr>
          <w:rFonts w:ascii="Times New Roman" w:hAnsi="Times New Roman" w:cs="Times New Roman"/>
          <w:color w:val="000000" w:themeColor="text1"/>
          <w:sz w:val="28"/>
          <w:szCs w:val="28"/>
        </w:rPr>
        <w:t>bueno y lo malo, sobre el sentido de su existencia»</w:t>
      </w:r>
      <w:r w:rsidRPr="005D36F1">
        <w:rPr>
          <w:rStyle w:val="Refdenotaalpie"/>
          <w:rFonts w:ascii="Times New Roman" w:hAnsi="Times New Roman" w:cs="Times New Roman"/>
          <w:color w:val="000000" w:themeColor="text1"/>
          <w:sz w:val="28"/>
          <w:szCs w:val="28"/>
        </w:rPr>
        <w:footnoteReference w:id="61"/>
      </w:r>
      <w:r w:rsidRPr="005D36F1">
        <w:rPr>
          <w:rFonts w:ascii="Times New Roman" w:hAnsi="Times New Roman" w:cs="Times New Roman"/>
          <w:color w:val="000000" w:themeColor="text1"/>
          <w:sz w:val="28"/>
          <w:szCs w:val="28"/>
        </w:rPr>
        <w:t>. Además, es un derecho que guarda un estrecho parentesco con la dignidad humana. Ello se debe a que su inclusión en el texto superior es consecuencia del «</w:t>
      </w:r>
      <w:r w:rsidRPr="005D36F1">
        <w:rPr>
          <w:rFonts w:ascii="Times New Roman" w:hAnsi="Times New Roman" w:cs="Times New Roman"/>
          <w:color w:val="000000" w:themeColor="text1"/>
          <w:sz w:val="28"/>
          <w:szCs w:val="28"/>
          <w:lang w:val="es-ES_tradnl"/>
        </w:rPr>
        <w:t>reconocimiento de la persona como autónoma en ta</w:t>
      </w:r>
      <w:r w:rsidRPr="005D36F1">
        <w:rPr>
          <w:rFonts w:ascii="Times New Roman" w:hAnsi="Times New Roman" w:cs="Times New Roman"/>
          <w:color w:val="000000" w:themeColor="text1"/>
          <w:sz w:val="28"/>
          <w:szCs w:val="28"/>
          <w:lang w:val="es-ES_tradnl"/>
        </w:rPr>
        <w:t>nto que digna (artículo 1o. de la C.P.), es decir, [como] un fin en sí misma y no un medio para un fin, con capacidad plena de decidir sobre sus propios actos y, ante todo, sobre su propio destino»</w:t>
      </w:r>
      <w:r w:rsidRPr="005D36F1">
        <w:rPr>
          <w:rStyle w:val="Refdenotaalpie"/>
          <w:rFonts w:ascii="Times New Roman" w:hAnsi="Times New Roman" w:cs="Times New Roman"/>
          <w:color w:val="000000" w:themeColor="text1"/>
          <w:sz w:val="28"/>
          <w:szCs w:val="28"/>
          <w:lang w:val="es-ES_tradnl"/>
        </w:rPr>
        <w:footnoteReference w:id="62"/>
      </w:r>
      <w:r w:rsidRPr="005D36F1">
        <w:rPr>
          <w:rFonts w:ascii="Times New Roman" w:hAnsi="Times New Roman" w:cs="Times New Roman"/>
          <w:color w:val="000000" w:themeColor="text1"/>
          <w:sz w:val="28"/>
          <w:szCs w:val="28"/>
          <w:lang w:val="es-ES_tradnl"/>
        </w:rPr>
        <w:t>. En definitiva, el derecho al libre desarrollo de la pers</w:t>
      </w:r>
      <w:r w:rsidRPr="005D36F1">
        <w:rPr>
          <w:rFonts w:ascii="Times New Roman" w:hAnsi="Times New Roman" w:cs="Times New Roman"/>
          <w:color w:val="000000" w:themeColor="text1"/>
          <w:sz w:val="28"/>
          <w:szCs w:val="28"/>
          <w:lang w:val="es-ES_tradnl"/>
        </w:rPr>
        <w:t xml:space="preserve">onalidad reconoce el incomparable valor ético que tiene cada individuo y funda en él la facultad de obrar con libertad. </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lang w:val="es-ES_tradnl"/>
        </w:rPr>
        <w:t xml:space="preserve">Fuerza expansiva del derecho al libre desarrollo de la personalidad. </w:t>
      </w:r>
      <w:r w:rsidRPr="005D36F1">
        <w:rPr>
          <w:rFonts w:ascii="Times New Roman" w:hAnsi="Times New Roman" w:cs="Times New Roman"/>
          <w:color w:val="000000" w:themeColor="text1"/>
          <w:sz w:val="28"/>
          <w:szCs w:val="28"/>
          <w:lang w:val="es-ES_tradnl"/>
        </w:rPr>
        <w:t>La jurisprudencia ha explicado que el derecho en cuestión «</w:t>
      </w:r>
      <w:r w:rsidRPr="005D36F1">
        <w:rPr>
          <w:rFonts w:ascii="Times New Roman" w:hAnsi="Times New Roman" w:cs="Times New Roman"/>
          <w:color w:val="000000" w:themeColor="text1"/>
          <w:sz w:val="28"/>
          <w:szCs w:val="28"/>
        </w:rPr>
        <w:t>no est</w:t>
      </w:r>
      <w:r w:rsidRPr="005D36F1">
        <w:rPr>
          <w:rFonts w:ascii="Times New Roman" w:hAnsi="Times New Roman" w:cs="Times New Roman"/>
          <w:color w:val="000000" w:themeColor="text1"/>
          <w:sz w:val="28"/>
          <w:szCs w:val="28"/>
        </w:rPr>
        <w:t>á restringido a una esfera de acción particular de la persona»</w:t>
      </w:r>
      <w:r w:rsidRPr="005D36F1">
        <w:rPr>
          <w:rStyle w:val="Refdenotaalpie"/>
          <w:rFonts w:ascii="Times New Roman" w:hAnsi="Times New Roman" w:cs="Times New Roman"/>
          <w:color w:val="000000" w:themeColor="text1"/>
          <w:sz w:val="28"/>
          <w:szCs w:val="28"/>
        </w:rPr>
        <w:footnoteReference w:id="63"/>
      </w:r>
      <w:r w:rsidRPr="005D36F1">
        <w:rPr>
          <w:rFonts w:ascii="Times New Roman" w:hAnsi="Times New Roman" w:cs="Times New Roman"/>
          <w:color w:val="000000" w:themeColor="text1"/>
          <w:sz w:val="28"/>
          <w:szCs w:val="28"/>
        </w:rPr>
        <w:t>. Ello implica que «no opera en un ámbito específico, ni ampara una conducta determinada —como lo hacen por ejemplo la libertad de expresión o la libertad de cultos— ya que establece una protec</w:t>
      </w:r>
      <w:r w:rsidRPr="005D36F1">
        <w:rPr>
          <w:rFonts w:ascii="Times New Roman" w:hAnsi="Times New Roman" w:cs="Times New Roman"/>
          <w:color w:val="000000" w:themeColor="text1"/>
          <w:sz w:val="28"/>
          <w:szCs w:val="28"/>
        </w:rPr>
        <w:t>ción genérica, por lo cual se aplica en principio a toda conducta»</w:t>
      </w:r>
      <w:r w:rsidRPr="005D36F1">
        <w:rPr>
          <w:rStyle w:val="Refdenotaalpie"/>
          <w:rFonts w:ascii="Times New Roman" w:hAnsi="Times New Roman" w:cs="Times New Roman"/>
          <w:color w:val="000000" w:themeColor="text1"/>
          <w:sz w:val="28"/>
          <w:szCs w:val="28"/>
        </w:rPr>
        <w:footnoteReference w:id="64"/>
      </w:r>
      <w:r w:rsidRPr="005D36F1">
        <w:rPr>
          <w:rFonts w:ascii="Times New Roman" w:hAnsi="Times New Roman" w:cs="Times New Roman"/>
          <w:color w:val="000000" w:themeColor="text1"/>
          <w:sz w:val="28"/>
          <w:szCs w:val="28"/>
        </w:rPr>
        <w:t>. Según este planteamiento, el derecho al libre desarrollo de la personalidad cuenta con una «gran fuerza expansiva, ya que opera en todos los campos»</w:t>
      </w:r>
      <w:r w:rsidRPr="005D36F1">
        <w:rPr>
          <w:rStyle w:val="Refdenotaalpie"/>
          <w:rFonts w:ascii="Times New Roman" w:hAnsi="Times New Roman" w:cs="Times New Roman"/>
          <w:color w:val="000000" w:themeColor="text1"/>
          <w:sz w:val="28"/>
          <w:szCs w:val="28"/>
        </w:rPr>
        <w:footnoteReference w:id="65"/>
      </w:r>
      <w:r w:rsidRPr="005D36F1">
        <w:rPr>
          <w:rFonts w:ascii="Times New Roman" w:hAnsi="Times New Roman" w:cs="Times New Roman"/>
          <w:color w:val="000000" w:themeColor="text1"/>
          <w:sz w:val="28"/>
          <w:szCs w:val="28"/>
        </w:rPr>
        <w:t>.</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Incompatibilidad con políticas perf</w:t>
      </w:r>
      <w:r w:rsidRPr="005D36F1">
        <w:rPr>
          <w:rFonts w:ascii="Times New Roman" w:hAnsi="Times New Roman" w:cs="Times New Roman"/>
          <w:i/>
          <w:iCs/>
          <w:color w:val="000000" w:themeColor="text1"/>
          <w:sz w:val="28"/>
          <w:szCs w:val="28"/>
        </w:rPr>
        <w:t xml:space="preserve">eccionistas. </w:t>
      </w:r>
      <w:r w:rsidRPr="005D36F1">
        <w:rPr>
          <w:rFonts w:ascii="Times New Roman" w:hAnsi="Times New Roman" w:cs="Times New Roman"/>
          <w:color w:val="000000" w:themeColor="text1"/>
          <w:sz w:val="28"/>
          <w:szCs w:val="28"/>
        </w:rPr>
        <w:t>En la medida en que el derecho en cuestión ampara la facultad de elegir con entera libertad el plan de vida que el individuo estime preferible, resulta manifiestamente incompatible con una comprensión perfeccionista de la libertad. La Sala Ple</w:t>
      </w:r>
      <w:r w:rsidRPr="005D36F1">
        <w:rPr>
          <w:rFonts w:ascii="Times New Roman" w:hAnsi="Times New Roman" w:cs="Times New Roman"/>
          <w:color w:val="000000" w:themeColor="text1"/>
          <w:sz w:val="28"/>
          <w:szCs w:val="28"/>
        </w:rPr>
        <w:t>na ha manifestado que «las políticas perfeccionistas no son de recibo, por cuanto no es admisible que en un Estado que reconoce la autonomía de la persona y el pluralismo en todos los campos, las autoridades impongan a través de sanciones un determinado mo</w:t>
      </w:r>
      <w:r w:rsidRPr="005D36F1">
        <w:rPr>
          <w:rFonts w:ascii="Times New Roman" w:hAnsi="Times New Roman" w:cs="Times New Roman"/>
          <w:color w:val="000000" w:themeColor="text1"/>
          <w:sz w:val="28"/>
          <w:szCs w:val="28"/>
        </w:rPr>
        <w:t>delo de virtud o de excelencia humana»</w:t>
      </w:r>
      <w:r w:rsidRPr="005D36F1">
        <w:rPr>
          <w:rStyle w:val="Refdenotaalpie"/>
          <w:rFonts w:ascii="Times New Roman" w:hAnsi="Times New Roman" w:cs="Times New Roman"/>
          <w:color w:val="000000" w:themeColor="text1"/>
          <w:sz w:val="28"/>
          <w:szCs w:val="28"/>
        </w:rPr>
        <w:footnoteReference w:id="66"/>
      </w:r>
      <w:r w:rsidRPr="005D36F1">
        <w:rPr>
          <w:rFonts w:ascii="Times New Roman" w:hAnsi="Times New Roman" w:cs="Times New Roman"/>
          <w:color w:val="000000" w:themeColor="text1"/>
          <w:sz w:val="28"/>
          <w:szCs w:val="28"/>
        </w:rPr>
        <w:t xml:space="preserve">. En razón de lo anterior, la libertad que fomenta y resguarda el derecho al libre desarrollo de la personalidad no es, necesariamente, aquella que se ajuste a la moral mayoritaria o la que implique un beneficio para </w:t>
      </w:r>
      <w:r w:rsidRPr="005D36F1">
        <w:rPr>
          <w:rFonts w:ascii="Times New Roman" w:hAnsi="Times New Roman" w:cs="Times New Roman"/>
          <w:color w:val="000000" w:themeColor="text1"/>
          <w:sz w:val="28"/>
          <w:szCs w:val="28"/>
        </w:rPr>
        <w:t xml:space="preserve">el sujeto.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 xml:space="preserve">Esto último —la procura espontánea del bienestar individual— es un fin que, legítimamente, puede promover el Estado. En consecuencia, puede instaurar incentivos para que, de manera libre, las personas lo persigan en sus acciones. Sin embargo, </w:t>
      </w:r>
      <w:r w:rsidRPr="005D36F1">
        <w:rPr>
          <w:rFonts w:ascii="Times New Roman" w:hAnsi="Times New Roman" w:cs="Times New Roman"/>
          <w:color w:val="000000" w:themeColor="text1"/>
          <w:sz w:val="28"/>
          <w:szCs w:val="28"/>
        </w:rPr>
        <w:t>la libertad que aquí se refiere es mucho más amplia, pues permite un recorrido en sentido contrario. De ahí que la libertad pueda definirse, en palabras de Helvecio, como «un misterio»</w:t>
      </w:r>
      <w:r w:rsidRPr="005D36F1">
        <w:rPr>
          <w:rStyle w:val="Refdenotaalpie"/>
          <w:rFonts w:ascii="Times New Roman" w:hAnsi="Times New Roman" w:cs="Times New Roman"/>
          <w:color w:val="000000" w:themeColor="text1"/>
          <w:sz w:val="28"/>
          <w:szCs w:val="28"/>
        </w:rPr>
        <w:footnoteReference w:id="67"/>
      </w:r>
      <w:r w:rsidRPr="005D36F1">
        <w:rPr>
          <w:rFonts w:ascii="Times New Roman" w:hAnsi="Times New Roman" w:cs="Times New Roman"/>
          <w:color w:val="000000" w:themeColor="text1"/>
          <w:sz w:val="28"/>
          <w:szCs w:val="28"/>
        </w:rPr>
        <w:t>, pues, para el poder público, es una incógnita la forma que habrá de t</w:t>
      </w:r>
      <w:r w:rsidRPr="005D36F1">
        <w:rPr>
          <w:rFonts w:ascii="Times New Roman" w:hAnsi="Times New Roman" w:cs="Times New Roman"/>
          <w:color w:val="000000" w:themeColor="text1"/>
          <w:sz w:val="28"/>
          <w:szCs w:val="28"/>
        </w:rPr>
        <w:t>omar el proceder del individuo. Este es un asunto que solo a él atañe, y que, por tanto, solo por él debe ser decidido. Por consiguiente, la única intervención que el Estado tiene permitida es aquella que se funde en «los derechos de los demás y el orden j</w:t>
      </w:r>
      <w:r w:rsidRPr="005D36F1">
        <w:rPr>
          <w:rFonts w:ascii="Times New Roman" w:hAnsi="Times New Roman" w:cs="Times New Roman"/>
          <w:color w:val="000000" w:themeColor="text1"/>
          <w:sz w:val="28"/>
          <w:szCs w:val="28"/>
        </w:rPr>
        <w:t>urídico»</w:t>
      </w:r>
      <w:r w:rsidRPr="005D36F1">
        <w:rPr>
          <w:rStyle w:val="Refdenotaalpie"/>
          <w:rFonts w:ascii="Times New Roman" w:hAnsi="Times New Roman" w:cs="Times New Roman"/>
          <w:color w:val="000000" w:themeColor="text1"/>
          <w:sz w:val="28"/>
          <w:szCs w:val="28"/>
        </w:rPr>
        <w:footnoteReference w:id="68"/>
      </w:r>
      <w:r w:rsidRPr="005D36F1">
        <w:rPr>
          <w:rFonts w:ascii="Times New Roman" w:hAnsi="Times New Roman" w:cs="Times New Roman"/>
          <w:color w:val="000000" w:themeColor="text1"/>
          <w:sz w:val="28"/>
          <w:szCs w:val="28"/>
        </w:rPr>
        <w:t>.</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 xml:space="preserve">Límites a la facultad de restricción del derecho. </w:t>
      </w:r>
      <w:r w:rsidRPr="005D36F1">
        <w:rPr>
          <w:rFonts w:ascii="Times New Roman" w:hAnsi="Times New Roman" w:cs="Times New Roman"/>
          <w:color w:val="000000" w:themeColor="text1"/>
          <w:sz w:val="28"/>
          <w:szCs w:val="28"/>
        </w:rPr>
        <w:t xml:space="preserve">De lo dicho hasta ahora se sigue que la fijación de límites a este derecho es el asunto verdaderamente definitivo para el ejercicio de la libertad individual. Pues, aduciendo la redacción de la </w:t>
      </w:r>
      <w:r w:rsidRPr="005D36F1">
        <w:rPr>
          <w:rFonts w:ascii="Times New Roman" w:hAnsi="Times New Roman" w:cs="Times New Roman"/>
          <w:color w:val="000000" w:themeColor="text1"/>
          <w:sz w:val="28"/>
          <w:szCs w:val="28"/>
        </w:rPr>
        <w:t>norma constitucional, bastaría al Estado instaurar restricciones de cualquier clase para obstaculizar el libre desarrollo de la personalidad. Al respecto, la Sala Plena ha observado que «</w:t>
      </w:r>
      <w:r w:rsidRPr="005D36F1">
        <w:rPr>
          <w:rFonts w:ascii="Times New Roman" w:eastAsiaTheme="minorHAnsi" w:hAnsi="Times New Roman" w:cs="Times New Roman"/>
          <w:color w:val="000000" w:themeColor="text1"/>
          <w:kern w:val="2"/>
          <w:sz w:val="28"/>
          <w:szCs w:val="28"/>
          <w:lang w:val="es-ES_tradnl" w:eastAsia="en-US"/>
          <w14:ligatures w14:val="standardContextual"/>
        </w:rPr>
        <w:t>[l]</w:t>
      </w:r>
      <w:r w:rsidRPr="005D36F1">
        <w:rPr>
          <w:rFonts w:ascii="Times New Roman" w:hAnsi="Times New Roman" w:cs="Times New Roman"/>
          <w:color w:val="000000" w:themeColor="text1"/>
          <w:sz w:val="28"/>
          <w:szCs w:val="28"/>
          <w:lang w:val="es-ES_tradnl"/>
        </w:rPr>
        <w:t xml:space="preserve">a frase “sin más limitaciones que las que imponen los derechos de </w:t>
      </w:r>
      <w:r w:rsidRPr="005D36F1">
        <w:rPr>
          <w:rFonts w:ascii="Times New Roman" w:hAnsi="Times New Roman" w:cs="Times New Roman"/>
          <w:color w:val="000000" w:themeColor="text1"/>
          <w:sz w:val="28"/>
          <w:szCs w:val="28"/>
          <w:lang w:val="es-ES_tradnl"/>
        </w:rPr>
        <w:t>los demás y el orden jurídico”, merece un examen reflexivo […] [p]orque si cualquier limitación está convalidada por el solo hecho de estar incluida en el orden jurídico, el derecho consagrado en el artículo 16 superior, se hace nugatorio»</w:t>
      </w:r>
      <w:r w:rsidRPr="005D36F1">
        <w:rPr>
          <w:rStyle w:val="Refdenotaalpie"/>
          <w:rFonts w:ascii="Times New Roman" w:hAnsi="Times New Roman" w:cs="Times New Roman"/>
          <w:color w:val="000000" w:themeColor="text1"/>
          <w:sz w:val="28"/>
          <w:szCs w:val="28"/>
          <w:lang w:val="es-ES_tradnl"/>
        </w:rPr>
        <w:footnoteReference w:id="69"/>
      </w:r>
      <w:r w:rsidRPr="005D36F1">
        <w:rPr>
          <w:rFonts w:ascii="Times New Roman" w:hAnsi="Times New Roman" w:cs="Times New Roman"/>
          <w:color w:val="000000" w:themeColor="text1"/>
          <w:sz w:val="28"/>
          <w:szCs w:val="28"/>
          <w:lang w:val="es-ES_tradnl"/>
        </w:rPr>
        <w:t xml:space="preserve">. </w:t>
      </w:r>
    </w:p>
    <w:p w:rsidR="00894FB7" w:rsidRPr="005D36F1" w:rsidRDefault="005D36F1" w:rsidP="00894FB7">
      <w:pPr>
        <w:pStyle w:val="Prrafodelista"/>
        <w:rPr>
          <w:rFonts w:ascii="Times New Roman" w:hAnsi="Times New Roman" w:cs="Times New Roman"/>
          <w:color w:val="000000" w:themeColor="text1"/>
          <w:sz w:val="28"/>
          <w:szCs w:val="28"/>
          <w:lang w:val="es-ES_tradnl"/>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lang w:val="es-ES_tradnl"/>
        </w:rPr>
        <w:t>Con base en lo anterior, la jurisprudencia constitucional ha expresado que únicamente son válidas las restricciones que sean compatibles con la Constitución y que no desnaturalicen el derecho. El sustento de este razonamiento ha sido expuesto en los siguie</w:t>
      </w:r>
      <w:r w:rsidRPr="005D36F1">
        <w:rPr>
          <w:rFonts w:ascii="Times New Roman" w:hAnsi="Times New Roman" w:cs="Times New Roman"/>
          <w:color w:val="000000" w:themeColor="text1"/>
          <w:sz w:val="28"/>
          <w:szCs w:val="28"/>
          <w:lang w:val="es-ES_tradnl"/>
        </w:rPr>
        <w:t xml:space="preserve">ntes términos:  </w:t>
      </w:r>
    </w:p>
    <w:p w:rsidR="00894FB7" w:rsidRPr="005D36F1" w:rsidRDefault="005D36F1" w:rsidP="00894FB7">
      <w:pPr>
        <w:rPr>
          <w:rFonts w:ascii="Times New Roman" w:hAnsi="Times New Roman" w:cs="Times New Roman"/>
          <w:color w:val="000000" w:themeColor="text1"/>
          <w:sz w:val="28"/>
          <w:szCs w:val="28"/>
        </w:rPr>
      </w:pPr>
    </w:p>
    <w:p w:rsidR="00894FB7" w:rsidRPr="005D36F1" w:rsidRDefault="005D36F1" w:rsidP="00894FB7">
      <w:pPr>
        <w:ind w:left="708"/>
        <w:jc w:val="both"/>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Si bien el libre desarrollo de la personalidad encuentra sus límites en los derechos de los demás y en el ordenamiento jurídico, también exige de la sociedad una manifestación clara de tolerancia y respeto hacia aquellas decisiones que no</w:t>
      </w:r>
      <w:r w:rsidRPr="005D36F1">
        <w:rPr>
          <w:rFonts w:ascii="Times New Roman" w:hAnsi="Times New Roman" w:cs="Times New Roman"/>
          <w:color w:val="000000" w:themeColor="text1"/>
          <w:sz w:val="28"/>
        </w:rPr>
        <w:t xml:space="preserve"> controvierten dichos límites y son intrínsecas al individuo. Por esta razón, la represión legítima de una opción personal debe tener lugar exclusivamente frente a circunstancias que generen violaciones reales a los derechos de los demás o al ordenamiento </w:t>
      </w:r>
      <w:r w:rsidRPr="005D36F1">
        <w:rPr>
          <w:rFonts w:ascii="Times New Roman" w:hAnsi="Times New Roman" w:cs="Times New Roman"/>
          <w:color w:val="000000" w:themeColor="text1"/>
          <w:sz w:val="28"/>
        </w:rPr>
        <w:t>jurídico, y no simplemente frente a vulneraciones hipotéticas o ficticias. […] En consecuencia simples invocaciones del interés general, de los deberes sociales, o de los derechos ajenos de rango legal, no son suficientes para limitar el alcance de este de</w:t>
      </w:r>
      <w:r w:rsidRPr="005D36F1">
        <w:rPr>
          <w:rFonts w:ascii="Times New Roman" w:hAnsi="Times New Roman" w:cs="Times New Roman"/>
          <w:color w:val="000000" w:themeColor="text1"/>
          <w:sz w:val="28"/>
        </w:rPr>
        <w:t>recho</w:t>
      </w:r>
      <w:r w:rsidRPr="005D36F1">
        <w:rPr>
          <w:rStyle w:val="Refdenotaalpie"/>
          <w:rFonts w:ascii="Times New Roman" w:hAnsi="Times New Roman" w:cs="Times New Roman"/>
          <w:color w:val="000000" w:themeColor="text1"/>
          <w:sz w:val="28"/>
        </w:rPr>
        <w:footnoteReference w:id="70"/>
      </w:r>
      <w:r w:rsidRPr="005D36F1">
        <w:rPr>
          <w:rFonts w:ascii="Times New Roman" w:hAnsi="Times New Roman" w:cs="Times New Roman"/>
          <w:color w:val="000000" w:themeColor="text1"/>
          <w:sz w:val="28"/>
        </w:rPr>
        <w:t>.</w:t>
      </w:r>
    </w:p>
    <w:p w:rsidR="00894FB7" w:rsidRPr="005D36F1" w:rsidRDefault="005D36F1" w:rsidP="00894FB7">
      <w:pPr>
        <w:ind w:left="708"/>
        <w:jc w:val="both"/>
        <w:rPr>
          <w:rFonts w:ascii="Times New Roman" w:hAnsi="Times New Roman" w:cs="Times New Roman"/>
          <w:color w:val="000000" w:themeColor="text1"/>
          <w:sz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Al evaluar la constitucionalidad de las restricciones a este derecho, la Corte ha establecido una clasificación que «distingu[e] dos tipos de actuaciones […] que son susceptibles de un escrutinio igualmente diferenciado.  En primer lugar, están aq</w:t>
      </w:r>
      <w:r w:rsidRPr="005D36F1">
        <w:rPr>
          <w:rFonts w:ascii="Times New Roman" w:hAnsi="Times New Roman" w:cs="Times New Roman"/>
          <w:color w:val="000000" w:themeColor="text1"/>
          <w:sz w:val="28"/>
          <w:szCs w:val="28"/>
        </w:rPr>
        <w:t>uellos comportamientos que solo conciernen a la persona y que, por ende, no interfieren en la eficacia de derechos de terceros.  Estos actos son expresiones propias del núcleo esencial del derecho al libre desarrollo de la personalidad y, de manera general</w:t>
      </w:r>
      <w:r w:rsidRPr="005D36F1">
        <w:rPr>
          <w:rFonts w:ascii="Times New Roman" w:hAnsi="Times New Roman" w:cs="Times New Roman"/>
          <w:color w:val="000000" w:themeColor="text1"/>
          <w:sz w:val="28"/>
          <w:szCs w:val="28"/>
        </w:rPr>
        <w:t>, no pueden ser válidamente orientadas o restringidas»</w:t>
      </w:r>
      <w:r w:rsidRPr="005D36F1">
        <w:rPr>
          <w:rStyle w:val="Refdenotaalpie"/>
          <w:rFonts w:ascii="Times New Roman" w:hAnsi="Times New Roman" w:cs="Times New Roman"/>
          <w:color w:val="000000" w:themeColor="text1"/>
          <w:sz w:val="28"/>
          <w:szCs w:val="28"/>
        </w:rPr>
        <w:footnoteReference w:id="71"/>
      </w:r>
      <w:r w:rsidRPr="005D36F1">
        <w:rPr>
          <w:rFonts w:ascii="Times New Roman" w:hAnsi="Times New Roman" w:cs="Times New Roman"/>
          <w:color w:val="000000" w:themeColor="text1"/>
          <w:sz w:val="28"/>
          <w:szCs w:val="28"/>
        </w:rPr>
        <w:t xml:space="preserve">. Las conductas referidas se conocen, en la jurisprudencia constitucional, como </w:t>
      </w:r>
      <w:r w:rsidRPr="005D36F1">
        <w:rPr>
          <w:rFonts w:ascii="Times New Roman" w:hAnsi="Times New Roman" w:cs="Times New Roman"/>
          <w:i/>
          <w:iCs/>
          <w:color w:val="000000" w:themeColor="text1"/>
          <w:sz w:val="28"/>
          <w:szCs w:val="28"/>
        </w:rPr>
        <w:t>comportamientos no interferidos.</w:t>
      </w:r>
      <w:r w:rsidRPr="005D36F1">
        <w:rPr>
          <w:rFonts w:ascii="Times New Roman" w:hAnsi="Times New Roman" w:cs="Times New Roman"/>
          <w:color w:val="000000" w:themeColor="text1"/>
          <w:sz w:val="28"/>
          <w:szCs w:val="28"/>
        </w:rPr>
        <w:t xml:space="preserve"> </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En segundo término, se encuentran las acciones que afectan a otros sujetos. En atenció</w:t>
      </w:r>
      <w:r w:rsidRPr="005D36F1">
        <w:rPr>
          <w:rFonts w:ascii="Times New Roman" w:hAnsi="Times New Roman" w:cs="Times New Roman"/>
          <w:color w:val="000000" w:themeColor="text1"/>
          <w:sz w:val="28"/>
          <w:szCs w:val="28"/>
        </w:rPr>
        <w:t>n a que aquí el proceder no es inocuo, pues compromete a otros individuos, el ordenamiento jurídico se encuentra autorizado para hacer uso de su facultad de regulación. En cualquier caso, tal injerencia se encuentra sometida a «criterios de razonabilidad y</w:t>
      </w:r>
      <w:r w:rsidRPr="005D36F1">
        <w:rPr>
          <w:rFonts w:ascii="Times New Roman" w:hAnsi="Times New Roman" w:cs="Times New Roman"/>
          <w:color w:val="000000" w:themeColor="text1"/>
          <w:sz w:val="28"/>
          <w:szCs w:val="28"/>
        </w:rPr>
        <w:t xml:space="preserve"> proporcionalidad»</w:t>
      </w:r>
      <w:r w:rsidRPr="005D36F1">
        <w:rPr>
          <w:rStyle w:val="Refdenotaalpie"/>
          <w:rFonts w:ascii="Times New Roman" w:hAnsi="Times New Roman" w:cs="Times New Roman"/>
          <w:color w:val="000000" w:themeColor="text1"/>
          <w:sz w:val="28"/>
          <w:szCs w:val="28"/>
        </w:rPr>
        <w:footnoteReference w:id="72"/>
      </w:r>
      <w:r w:rsidRPr="005D36F1">
        <w:rPr>
          <w:rFonts w:ascii="Times New Roman" w:hAnsi="Times New Roman" w:cs="Times New Roman"/>
          <w:color w:val="000000" w:themeColor="text1"/>
          <w:sz w:val="28"/>
          <w:szCs w:val="28"/>
        </w:rPr>
        <w:t>. En aplicación del precedente aplicable en la materia, en principio, por tratarse de una restricción a un derecho fundamental, la validez de las restricciones que se le impongan habrán de evaluarse con un juicio de proporcionalidad de i</w:t>
      </w:r>
      <w:r w:rsidRPr="005D36F1">
        <w:rPr>
          <w:rFonts w:ascii="Times New Roman" w:hAnsi="Times New Roman" w:cs="Times New Roman"/>
          <w:color w:val="000000" w:themeColor="text1"/>
          <w:sz w:val="28"/>
          <w:szCs w:val="28"/>
        </w:rPr>
        <w:t xml:space="preserve">ntensidad estricta.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 xml:space="preserve">Relación entre el derecho a la dignidad humana y los comportamientos no interferidos. </w:t>
      </w:r>
      <w:r w:rsidRPr="005D36F1">
        <w:rPr>
          <w:rFonts w:ascii="Times New Roman" w:hAnsi="Times New Roman" w:cs="Times New Roman"/>
          <w:color w:val="000000" w:themeColor="text1"/>
          <w:sz w:val="28"/>
          <w:szCs w:val="28"/>
        </w:rPr>
        <w:t xml:space="preserve">La facultad de obrar con entera libertad, sin soportar injerencias de terceros o del Estado, cuando se trata de </w:t>
      </w:r>
      <w:r w:rsidRPr="005D36F1">
        <w:rPr>
          <w:rFonts w:ascii="Times New Roman" w:hAnsi="Times New Roman" w:cs="Times New Roman"/>
          <w:i/>
          <w:iCs/>
          <w:color w:val="000000" w:themeColor="text1"/>
          <w:sz w:val="28"/>
          <w:szCs w:val="28"/>
        </w:rPr>
        <w:t>comportamientos no interferidos</w:t>
      </w:r>
      <w:r w:rsidRPr="005D36F1">
        <w:rPr>
          <w:rFonts w:ascii="Times New Roman" w:hAnsi="Times New Roman" w:cs="Times New Roman"/>
          <w:color w:val="000000" w:themeColor="text1"/>
          <w:sz w:val="28"/>
          <w:szCs w:val="28"/>
        </w:rPr>
        <w:t>,</w:t>
      </w:r>
      <w:r w:rsidRPr="005D36F1">
        <w:rPr>
          <w:rFonts w:ascii="Times New Roman" w:hAnsi="Times New Roman" w:cs="Times New Roman"/>
          <w:i/>
          <w:iCs/>
          <w:color w:val="000000" w:themeColor="text1"/>
          <w:sz w:val="28"/>
          <w:szCs w:val="28"/>
        </w:rPr>
        <w:t xml:space="preserve"> </w:t>
      </w:r>
      <w:r w:rsidRPr="005D36F1">
        <w:rPr>
          <w:rFonts w:ascii="Times New Roman" w:hAnsi="Times New Roman" w:cs="Times New Roman"/>
          <w:color w:val="000000" w:themeColor="text1"/>
          <w:sz w:val="28"/>
          <w:szCs w:val="28"/>
        </w:rPr>
        <w:t xml:space="preserve">no </w:t>
      </w:r>
      <w:r w:rsidRPr="005D36F1">
        <w:rPr>
          <w:rFonts w:ascii="Times New Roman" w:hAnsi="Times New Roman" w:cs="Times New Roman"/>
          <w:color w:val="000000" w:themeColor="text1"/>
          <w:sz w:val="28"/>
          <w:szCs w:val="28"/>
        </w:rPr>
        <w:t xml:space="preserve">guarda relación únicamente con el derecho al libre desarrollo de la personalidad. Aquella es una expectativa que incide, de manera directa, en el derecho fundamental a la dignidad humana.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Esta corporación ha establecido que el derecho a la dignidad human</w:t>
      </w:r>
      <w:r w:rsidRPr="005D36F1">
        <w:rPr>
          <w:rFonts w:ascii="Times New Roman" w:hAnsi="Times New Roman" w:cs="Times New Roman"/>
          <w:color w:val="000000" w:themeColor="text1"/>
          <w:sz w:val="28"/>
          <w:szCs w:val="28"/>
        </w:rPr>
        <w:t xml:space="preserve">a contiene tres pretensiones, que se expresan en las formulaciones </w:t>
      </w:r>
      <w:r w:rsidRPr="005D36F1">
        <w:rPr>
          <w:rFonts w:ascii="Times New Roman" w:hAnsi="Times New Roman" w:cs="Times New Roman"/>
          <w:i/>
          <w:iCs/>
          <w:color w:val="000000" w:themeColor="text1"/>
          <w:sz w:val="28"/>
          <w:szCs w:val="28"/>
        </w:rPr>
        <w:t>vivir bien, vivir como se quiere y vivir sin humillaciones</w:t>
      </w:r>
      <w:r w:rsidRPr="005D36F1">
        <w:rPr>
          <w:rStyle w:val="Refdenotaalpie"/>
          <w:rFonts w:ascii="Times New Roman" w:hAnsi="Times New Roman" w:cs="Times New Roman"/>
          <w:color w:val="000000" w:themeColor="text1"/>
          <w:sz w:val="28"/>
          <w:szCs w:val="28"/>
        </w:rPr>
        <w:footnoteReference w:id="73"/>
      </w:r>
      <w:r w:rsidRPr="005D36F1">
        <w:rPr>
          <w:rFonts w:ascii="Times New Roman" w:hAnsi="Times New Roman" w:cs="Times New Roman"/>
          <w:color w:val="000000" w:themeColor="text1"/>
          <w:sz w:val="28"/>
          <w:szCs w:val="28"/>
        </w:rPr>
        <w:t xml:space="preserve">. Respecto del asunto que aquí se trata, interesa destacar la segunda de ellas. La facultad de </w:t>
      </w:r>
      <w:r w:rsidRPr="005D36F1">
        <w:rPr>
          <w:rFonts w:ascii="Times New Roman" w:hAnsi="Times New Roman" w:cs="Times New Roman"/>
          <w:i/>
          <w:iCs/>
          <w:color w:val="000000" w:themeColor="text1"/>
          <w:sz w:val="28"/>
          <w:szCs w:val="28"/>
        </w:rPr>
        <w:t>vivir como se quiere</w:t>
      </w:r>
      <w:r w:rsidRPr="005D36F1">
        <w:rPr>
          <w:rFonts w:ascii="Times New Roman" w:hAnsi="Times New Roman" w:cs="Times New Roman"/>
          <w:color w:val="000000" w:themeColor="text1"/>
          <w:sz w:val="28"/>
          <w:szCs w:val="28"/>
        </w:rPr>
        <w:t xml:space="preserve"> implica el deb</w:t>
      </w:r>
      <w:r w:rsidRPr="005D36F1">
        <w:rPr>
          <w:rFonts w:ascii="Times New Roman" w:hAnsi="Times New Roman" w:cs="Times New Roman"/>
          <w:color w:val="000000" w:themeColor="text1"/>
          <w:sz w:val="28"/>
          <w:szCs w:val="28"/>
        </w:rPr>
        <w:t>er de «respeto a la autonomía de la persona y la posibilidad de desarrollar su propio plan de vida, acorde con las características de cada individuo»</w:t>
      </w:r>
      <w:r w:rsidRPr="005D36F1">
        <w:rPr>
          <w:rStyle w:val="Refdenotaalpie"/>
          <w:rFonts w:ascii="Times New Roman" w:hAnsi="Times New Roman" w:cs="Times New Roman"/>
          <w:color w:val="000000" w:themeColor="text1"/>
          <w:sz w:val="28"/>
          <w:szCs w:val="28"/>
        </w:rPr>
        <w:footnoteReference w:id="74"/>
      </w:r>
      <w:r w:rsidRPr="005D36F1">
        <w:rPr>
          <w:rFonts w:ascii="Times New Roman" w:hAnsi="Times New Roman" w:cs="Times New Roman"/>
          <w:color w:val="000000" w:themeColor="text1"/>
          <w:sz w:val="28"/>
          <w:szCs w:val="28"/>
        </w:rPr>
        <w:t>. De acuerdo con esta dimensión específica de la dignidad humana, el Estado y la sociedad se encuentran ll</w:t>
      </w:r>
      <w:r w:rsidRPr="005D36F1">
        <w:rPr>
          <w:rFonts w:ascii="Times New Roman" w:hAnsi="Times New Roman" w:cs="Times New Roman"/>
          <w:color w:val="000000" w:themeColor="text1"/>
          <w:sz w:val="28"/>
          <w:szCs w:val="28"/>
        </w:rPr>
        <w:t>amados a respetar las decisiones personales que tome el individuo, cuando no infieren daño a otras personas; injerir en este ámbito de libertad acarrea la vulneración del valor ético del sujeto e implica una intromisión injustificada en la esfera de autono</w:t>
      </w:r>
      <w:r w:rsidRPr="005D36F1">
        <w:rPr>
          <w:rFonts w:ascii="Times New Roman" w:hAnsi="Times New Roman" w:cs="Times New Roman"/>
          <w:color w:val="000000" w:themeColor="text1"/>
          <w:sz w:val="28"/>
          <w:szCs w:val="28"/>
        </w:rPr>
        <w:t>mía de las personas.</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Jurisprudencia constitucional relacionada con la dosis mínima</w:t>
      </w:r>
      <w:r w:rsidRPr="005D36F1">
        <w:rPr>
          <w:rFonts w:ascii="Times New Roman" w:hAnsi="Times New Roman" w:cs="Times New Roman"/>
          <w:color w:val="000000" w:themeColor="text1"/>
          <w:sz w:val="28"/>
          <w:szCs w:val="28"/>
        </w:rPr>
        <w:t>. Una vez expuesto el sentido que este tribunal ha atribuido al derecho reconocido en el artículo dieciséis superior, es necesario aludir al desarrollo específico que, en lo</w:t>
      </w:r>
      <w:r w:rsidRPr="005D36F1">
        <w:rPr>
          <w:rFonts w:ascii="Times New Roman" w:hAnsi="Times New Roman" w:cs="Times New Roman"/>
          <w:color w:val="000000" w:themeColor="text1"/>
          <w:sz w:val="28"/>
          <w:szCs w:val="28"/>
        </w:rPr>
        <w:t xml:space="preserve">s márgenes de este derecho, ha tenido el consumo de sustancias psicoactivas en la jurisprudencia constitucional. La Sentencia C-221 de 1994, fallo hito al que ya se hizo referencia, despenalizó el porte y consumo de la dosis personal. El argumento central </w:t>
      </w:r>
      <w:r w:rsidRPr="005D36F1">
        <w:rPr>
          <w:rFonts w:ascii="Times New Roman" w:hAnsi="Times New Roman" w:cs="Times New Roman"/>
          <w:color w:val="000000" w:themeColor="text1"/>
          <w:sz w:val="28"/>
          <w:szCs w:val="28"/>
        </w:rPr>
        <w:t>de la decisión consiste en que el delito en comento asignaba un reproche —severo, pues se trataba de un ilícito penal— a una conducta que no infería daño a ningún sujeto, bien individual o bien colectivo. Por tal motivo, constituía una injerencia no autori</w:t>
      </w:r>
      <w:r w:rsidRPr="005D36F1">
        <w:rPr>
          <w:rFonts w:ascii="Times New Roman" w:hAnsi="Times New Roman" w:cs="Times New Roman"/>
          <w:color w:val="000000" w:themeColor="text1"/>
          <w:sz w:val="28"/>
          <w:szCs w:val="28"/>
        </w:rPr>
        <w:t>zada en la libertad individual. La Sala Plena argumentó que el empleo de políticas educativas encaminadas a desincentivar el consumo de sustancias psicoactivas, y no el uso del poder punitivo del Estado, era el medio más adecuado para promover el cuidado d</w:t>
      </w:r>
      <w:r w:rsidRPr="005D36F1">
        <w:rPr>
          <w:rFonts w:ascii="Times New Roman" w:hAnsi="Times New Roman" w:cs="Times New Roman"/>
          <w:color w:val="000000" w:themeColor="text1"/>
          <w:sz w:val="28"/>
          <w:szCs w:val="28"/>
        </w:rPr>
        <w:t xml:space="preserve">e la salud. Con base en estos argumentos, el tribunal concluyó que «[s]i </w:t>
      </w:r>
      <w:r w:rsidRPr="005D36F1">
        <w:rPr>
          <w:rFonts w:ascii="Times New Roman" w:hAnsi="Times New Roman" w:cs="Times New Roman"/>
          <w:color w:val="000000" w:themeColor="text1"/>
          <w:sz w:val="28"/>
          <w:szCs w:val="28"/>
          <w:lang w:val="es-ES_tradnl"/>
        </w:rPr>
        <w:t>el derecho al libre desarrollo de la personalidad tiene algún sentido dentro de nuestro sistema, es preciso concluir que, por las razones anotadas, las normas que hacen del consumo de</w:t>
      </w:r>
      <w:r w:rsidRPr="005D36F1">
        <w:rPr>
          <w:rFonts w:ascii="Times New Roman" w:hAnsi="Times New Roman" w:cs="Times New Roman"/>
          <w:color w:val="000000" w:themeColor="text1"/>
          <w:sz w:val="28"/>
          <w:szCs w:val="28"/>
          <w:lang w:val="es-ES_tradnl"/>
        </w:rPr>
        <w:t xml:space="preserve"> droga un delito, son claramente inconstitucionales»</w:t>
      </w:r>
      <w:r w:rsidRPr="005D36F1">
        <w:rPr>
          <w:rStyle w:val="Refdenotaalpie"/>
          <w:rFonts w:ascii="Times New Roman" w:hAnsi="Times New Roman" w:cs="Times New Roman"/>
          <w:color w:val="000000" w:themeColor="text1"/>
          <w:sz w:val="28"/>
          <w:szCs w:val="28"/>
          <w:lang w:val="es-ES_tradnl"/>
        </w:rPr>
        <w:footnoteReference w:id="75"/>
      </w:r>
      <w:r w:rsidRPr="005D36F1">
        <w:rPr>
          <w:rFonts w:ascii="Times New Roman" w:hAnsi="Times New Roman" w:cs="Times New Roman"/>
          <w:color w:val="000000" w:themeColor="text1"/>
          <w:sz w:val="28"/>
          <w:szCs w:val="28"/>
          <w:lang w:val="es-ES_tradnl"/>
        </w:rPr>
        <w:t>.</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 xml:space="preserve">Acto Legislativo 02 de 2009. </w:t>
      </w:r>
      <w:r w:rsidRPr="005D36F1">
        <w:rPr>
          <w:rFonts w:ascii="Times New Roman" w:hAnsi="Times New Roman" w:cs="Times New Roman"/>
          <w:color w:val="000000" w:themeColor="text1"/>
          <w:sz w:val="28"/>
          <w:szCs w:val="28"/>
        </w:rPr>
        <w:t>Con posterioridad, el Congreso de la República aprobó el Acto Legislativo 02 de 2009, «[p]or el cual se reforma el artículo 49 de la Constitución Política». La reforma añadió dos incisos al citado artículo superior, que tiene por objeto fijar los lineamien</w:t>
      </w:r>
      <w:r w:rsidRPr="005D36F1">
        <w:rPr>
          <w:rFonts w:ascii="Times New Roman" w:hAnsi="Times New Roman" w:cs="Times New Roman"/>
          <w:color w:val="000000" w:themeColor="text1"/>
          <w:sz w:val="28"/>
          <w:szCs w:val="28"/>
        </w:rPr>
        <w:t xml:space="preserve">tos del servicio público de atención en salud. En ellos, la reforma se ocupó de los siguientes asuntos: </w:t>
      </w:r>
      <w:r w:rsidRPr="005D36F1">
        <w:rPr>
          <w:rFonts w:ascii="Times New Roman" w:hAnsi="Times New Roman" w:cs="Times New Roman"/>
          <w:i/>
          <w:iCs/>
          <w:color w:val="000000" w:themeColor="text1"/>
          <w:sz w:val="28"/>
          <w:szCs w:val="28"/>
        </w:rPr>
        <w:t xml:space="preserve">i) </w:t>
      </w:r>
      <w:r w:rsidRPr="005D36F1">
        <w:rPr>
          <w:rFonts w:ascii="Times New Roman" w:hAnsi="Times New Roman" w:cs="Times New Roman"/>
          <w:color w:val="000000" w:themeColor="text1"/>
          <w:sz w:val="28"/>
          <w:szCs w:val="28"/>
        </w:rPr>
        <w:t xml:space="preserve">porte y consumo de sustancias estupefacientes o sicotrópicas; </w:t>
      </w:r>
      <w:r w:rsidRPr="005D36F1">
        <w:rPr>
          <w:rFonts w:ascii="Times New Roman" w:hAnsi="Times New Roman" w:cs="Times New Roman"/>
          <w:i/>
          <w:iCs/>
          <w:color w:val="000000" w:themeColor="text1"/>
          <w:sz w:val="28"/>
          <w:szCs w:val="28"/>
        </w:rPr>
        <w:t>ii)</w:t>
      </w:r>
      <w:r w:rsidRPr="005D36F1">
        <w:rPr>
          <w:rFonts w:ascii="Times New Roman" w:hAnsi="Times New Roman" w:cs="Times New Roman"/>
          <w:color w:val="000000" w:themeColor="text1"/>
          <w:sz w:val="28"/>
          <w:szCs w:val="28"/>
        </w:rPr>
        <w:t xml:space="preserve"> ofrecimiento de «medidas y tratamientos administrativos de orden pedagógico, profil</w:t>
      </w:r>
      <w:r w:rsidRPr="005D36F1">
        <w:rPr>
          <w:rFonts w:ascii="Times New Roman" w:hAnsi="Times New Roman" w:cs="Times New Roman"/>
          <w:color w:val="000000" w:themeColor="text1"/>
          <w:sz w:val="28"/>
          <w:szCs w:val="28"/>
        </w:rPr>
        <w:t xml:space="preserve">áctico o terapéutico» para quien, voluntariamente, decida aceptarlos; </w:t>
      </w:r>
      <w:r w:rsidRPr="005D36F1">
        <w:rPr>
          <w:rFonts w:ascii="Times New Roman" w:hAnsi="Times New Roman" w:cs="Times New Roman"/>
          <w:i/>
          <w:iCs/>
          <w:color w:val="000000" w:themeColor="text1"/>
          <w:sz w:val="28"/>
          <w:szCs w:val="28"/>
        </w:rPr>
        <w:t xml:space="preserve">iii) </w:t>
      </w:r>
      <w:r w:rsidRPr="005D36F1">
        <w:rPr>
          <w:rFonts w:ascii="Times New Roman" w:hAnsi="Times New Roman" w:cs="Times New Roman"/>
          <w:color w:val="000000" w:themeColor="text1"/>
          <w:sz w:val="28"/>
          <w:szCs w:val="28"/>
        </w:rPr>
        <w:t xml:space="preserve">deber de brindar «especial atención al enfermo dependiente o adicto y a su familia»; y </w:t>
      </w:r>
      <w:r w:rsidRPr="005D36F1">
        <w:rPr>
          <w:rFonts w:ascii="Times New Roman" w:hAnsi="Times New Roman" w:cs="Times New Roman"/>
          <w:i/>
          <w:iCs/>
          <w:color w:val="000000" w:themeColor="text1"/>
          <w:sz w:val="28"/>
          <w:szCs w:val="28"/>
        </w:rPr>
        <w:t xml:space="preserve">iv) </w:t>
      </w:r>
      <w:r w:rsidRPr="005D36F1">
        <w:rPr>
          <w:rFonts w:ascii="Times New Roman" w:hAnsi="Times New Roman" w:cs="Times New Roman"/>
          <w:color w:val="000000" w:themeColor="text1"/>
          <w:sz w:val="28"/>
          <w:szCs w:val="28"/>
        </w:rPr>
        <w:t>desarrollo de campañas dirigidas a la prevención del consumo de sustancias estupefacientes</w:t>
      </w:r>
      <w:r w:rsidRPr="005D36F1">
        <w:rPr>
          <w:rFonts w:ascii="Times New Roman" w:hAnsi="Times New Roman" w:cs="Times New Roman"/>
          <w:color w:val="000000" w:themeColor="text1"/>
          <w:sz w:val="28"/>
          <w:szCs w:val="28"/>
        </w:rPr>
        <w:t xml:space="preserve">. </w:t>
      </w:r>
    </w:p>
    <w:p w:rsidR="00894FB7" w:rsidRPr="005D36F1" w:rsidRDefault="005D36F1" w:rsidP="00894FB7">
      <w:pPr>
        <w:pStyle w:val="Prrafodelista"/>
        <w:rPr>
          <w:rFonts w:ascii="Times New Roman" w:hAnsi="Times New Roman" w:cs="Times New Roman"/>
          <w:i/>
          <w:iCs/>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 xml:space="preserve">Hermenéutica jurisprudencial del acto legislativo. </w:t>
      </w:r>
      <w:r w:rsidRPr="005D36F1">
        <w:rPr>
          <w:rFonts w:ascii="Times New Roman" w:hAnsi="Times New Roman" w:cs="Times New Roman"/>
          <w:color w:val="000000" w:themeColor="text1"/>
          <w:sz w:val="28"/>
          <w:szCs w:val="28"/>
        </w:rPr>
        <w:t>Parte importante del alcance de esta reforma fue esclarecido en la Sentencia C-574 de 2011. En dicha oportunidad, la Sala Plena conoció una demanda de acción pública de inconstitucionalidad dirigida contra el primer enunciado normativo del acto legislativo</w:t>
      </w:r>
      <w:r w:rsidRPr="005D36F1">
        <w:rPr>
          <w:rFonts w:ascii="Times New Roman" w:hAnsi="Times New Roman" w:cs="Times New Roman"/>
          <w:color w:val="000000" w:themeColor="text1"/>
          <w:sz w:val="28"/>
          <w:szCs w:val="28"/>
        </w:rPr>
        <w:t xml:space="preserve">. Dicho apartado establece que «[e]l </w:t>
      </w:r>
      <w:r w:rsidRPr="005D36F1">
        <w:rPr>
          <w:rFonts w:ascii="Times New Roman" w:hAnsi="Times New Roman" w:cs="Times New Roman"/>
          <w:color w:val="000000" w:themeColor="text1"/>
          <w:sz w:val="28"/>
          <w:szCs w:val="28"/>
          <w:lang w:val="es-ES_tradnl"/>
        </w:rPr>
        <w:t xml:space="preserve">porte y el consumo de sustancias estupefacientes o sicotrópicas está prohibido, salvo prescripción médica». En opinión de quienes interpusieron la demanda, el enunciado implicaba una sustitución de la Constitución, por </w:t>
      </w:r>
      <w:r w:rsidRPr="005D36F1">
        <w:rPr>
          <w:rFonts w:ascii="Times New Roman" w:hAnsi="Times New Roman" w:cs="Times New Roman"/>
          <w:color w:val="000000" w:themeColor="text1"/>
          <w:sz w:val="28"/>
          <w:szCs w:val="28"/>
          <w:lang w:val="es-ES_tradnl"/>
        </w:rPr>
        <w:t xml:space="preserve">cuanto quebrantaba el principio identitario de la autonomía personal.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La Sala Plena dictó un fallo inhibitorio, tras concluir que el cargo de sustitución de la Constitución fue formulado con base en una errada comprensión de la reforma. Los demandantes a</w:t>
      </w:r>
      <w:r w:rsidRPr="005D36F1">
        <w:rPr>
          <w:rFonts w:ascii="Times New Roman" w:hAnsi="Times New Roman" w:cs="Times New Roman"/>
          <w:color w:val="000000" w:themeColor="text1"/>
          <w:sz w:val="28"/>
          <w:szCs w:val="28"/>
        </w:rPr>
        <w:t>rgumentaron que el enunciado implicaba una prohibición absoluta del consumo de sustancias psicoactivas. Según este razonamiento, el acto legislativo habría autorizado la intromisión del Estado en asuntos privados, que no causan daño ni atañen a terceros. D</w:t>
      </w:r>
      <w:r w:rsidRPr="005D36F1">
        <w:rPr>
          <w:rFonts w:ascii="Times New Roman" w:hAnsi="Times New Roman" w:cs="Times New Roman"/>
          <w:color w:val="000000" w:themeColor="text1"/>
          <w:sz w:val="28"/>
          <w:szCs w:val="28"/>
        </w:rPr>
        <w:t xml:space="preserve">e este modo, habría derruido los cimientos de la autonomía y la libertad personales que proclama la Constitución. Tal resultado habría implicado, según el cargo propuesto, el quebrantamiento de un pilar identitario del texto superior.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La Sala Plena aseve</w:t>
      </w:r>
      <w:r w:rsidRPr="005D36F1">
        <w:rPr>
          <w:rFonts w:ascii="Times New Roman" w:hAnsi="Times New Roman" w:cs="Times New Roman"/>
          <w:color w:val="000000" w:themeColor="text1"/>
          <w:sz w:val="28"/>
          <w:szCs w:val="28"/>
        </w:rPr>
        <w:t>ró que la aludida interpretación carecía de sustento normativo, lo que impedía la realización del juicio de sustitución. Empleando los métodos sistemático, teleológico y literal, concluyó que, en vez de proscribir de manera incondicional el porte y consumo</w:t>
      </w:r>
      <w:r w:rsidRPr="005D36F1">
        <w:rPr>
          <w:rFonts w:ascii="Times New Roman" w:hAnsi="Times New Roman" w:cs="Times New Roman"/>
          <w:color w:val="000000" w:themeColor="text1"/>
          <w:sz w:val="28"/>
          <w:szCs w:val="28"/>
        </w:rPr>
        <w:t xml:space="preserve"> de estas sustancias, el acto legislativo establece un conjunto de «medidas administrativas de carácter pedagógico, terapéutico y profiláctico [que] solo se podrían [ofrecer] con el consentimiento informado del adicto»</w:t>
      </w:r>
      <w:r w:rsidRPr="005D36F1">
        <w:rPr>
          <w:rStyle w:val="Refdenotaalpie"/>
          <w:rFonts w:ascii="Times New Roman" w:hAnsi="Times New Roman" w:cs="Times New Roman"/>
          <w:color w:val="000000" w:themeColor="text1"/>
          <w:sz w:val="28"/>
          <w:szCs w:val="28"/>
        </w:rPr>
        <w:footnoteReference w:id="76"/>
      </w:r>
      <w:r w:rsidRPr="005D36F1">
        <w:rPr>
          <w:rFonts w:ascii="Times New Roman" w:hAnsi="Times New Roman" w:cs="Times New Roman"/>
          <w:color w:val="000000" w:themeColor="text1"/>
          <w:sz w:val="28"/>
          <w:szCs w:val="28"/>
        </w:rPr>
        <w:t>. Por último, añadió que, por expreso</w:t>
      </w:r>
      <w:r w:rsidRPr="005D36F1">
        <w:rPr>
          <w:rFonts w:ascii="Times New Roman" w:hAnsi="Times New Roman" w:cs="Times New Roman"/>
          <w:color w:val="000000" w:themeColor="text1"/>
          <w:sz w:val="28"/>
          <w:szCs w:val="28"/>
        </w:rPr>
        <w:t xml:space="preserve"> mandato del Constituyente derivado, las aludidas medidas tienen únicamente «fines preventivos y rehabilitadores»</w:t>
      </w:r>
      <w:r w:rsidRPr="005D36F1">
        <w:rPr>
          <w:rStyle w:val="Refdenotaalpie"/>
          <w:rFonts w:ascii="Times New Roman" w:hAnsi="Times New Roman" w:cs="Times New Roman"/>
          <w:color w:val="000000" w:themeColor="text1"/>
          <w:sz w:val="28"/>
          <w:szCs w:val="28"/>
        </w:rPr>
        <w:footnoteReference w:id="77"/>
      </w:r>
      <w:r w:rsidRPr="005D36F1">
        <w:rPr>
          <w:rFonts w:ascii="Times New Roman" w:hAnsi="Times New Roman" w:cs="Times New Roman"/>
          <w:color w:val="000000" w:themeColor="text1"/>
          <w:sz w:val="28"/>
          <w:szCs w:val="28"/>
        </w:rPr>
        <w:t>. En razón de lo anterior, en la medida en que la reforma no instauró una prohibición como la que argüían los accionantes, la Sala Plena se ab</w:t>
      </w:r>
      <w:r w:rsidRPr="005D36F1">
        <w:rPr>
          <w:rFonts w:ascii="Times New Roman" w:hAnsi="Times New Roman" w:cs="Times New Roman"/>
          <w:color w:val="000000" w:themeColor="text1"/>
          <w:sz w:val="28"/>
          <w:szCs w:val="28"/>
        </w:rPr>
        <w:t xml:space="preserve">stuvo de evaluar el cargo propuesto.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Este criterio fue reiterado poco después, en la Sentencia C-491 de 2012. Entonces, la Sala Plena volvió sobre los efectos normativos del acto legislativo en comento. De manera específica, al analizar hasta qué punto l</w:t>
      </w:r>
      <w:r w:rsidRPr="005D36F1">
        <w:rPr>
          <w:rFonts w:ascii="Times New Roman" w:hAnsi="Times New Roman" w:cs="Times New Roman"/>
          <w:color w:val="000000" w:themeColor="text1"/>
          <w:sz w:val="28"/>
          <w:szCs w:val="28"/>
        </w:rPr>
        <w:t>a reforma habría conllevado el restablecimiento de una prohibición absoluta de las conductas de consumo y porte de estupefacientes, la Sala Plena declaró lo siguiente: «La aprobación del Acto Legislativo 02 de 2009, no modificó esta realidad jurídica comoq</w:t>
      </w:r>
      <w:r w:rsidRPr="005D36F1">
        <w:rPr>
          <w:rFonts w:ascii="Times New Roman" w:hAnsi="Times New Roman" w:cs="Times New Roman"/>
          <w:color w:val="000000" w:themeColor="text1"/>
          <w:sz w:val="28"/>
          <w:szCs w:val="28"/>
        </w:rPr>
        <w:t>uiera que, tal como quedó establecido en […] esta providencia, la prohibición del porte y consumo de estupefacientes establecida en los incisos 6º y 7º del artículo 49 de la Constitución, no conlleva su penalización»</w:t>
      </w:r>
      <w:r w:rsidRPr="005D36F1">
        <w:rPr>
          <w:rStyle w:val="Refdenotaalpie"/>
          <w:rFonts w:ascii="Times New Roman" w:hAnsi="Times New Roman" w:cs="Times New Roman"/>
          <w:color w:val="000000" w:themeColor="text1"/>
          <w:sz w:val="28"/>
          <w:szCs w:val="28"/>
        </w:rPr>
        <w:footnoteReference w:id="78"/>
      </w:r>
      <w:r w:rsidRPr="005D36F1">
        <w:rPr>
          <w:rFonts w:ascii="Times New Roman" w:hAnsi="Times New Roman" w:cs="Times New Roman"/>
          <w:color w:val="000000" w:themeColor="text1"/>
          <w:sz w:val="28"/>
          <w:szCs w:val="28"/>
        </w:rPr>
        <w:t>. El tribunal recalcó que las medidas a</w:t>
      </w:r>
      <w:r w:rsidRPr="005D36F1">
        <w:rPr>
          <w:rFonts w:ascii="Times New Roman" w:hAnsi="Times New Roman" w:cs="Times New Roman"/>
          <w:color w:val="000000" w:themeColor="text1"/>
          <w:sz w:val="28"/>
          <w:szCs w:val="28"/>
        </w:rPr>
        <w:t>dministrativas previstas en la reforma «lejos de ubicarse en el ámbito represor y punitivo del derecho penal, son desarrollo del deber de procurar el cuidado integral de la salud de la persona y de la comunidad»</w:t>
      </w:r>
      <w:r w:rsidRPr="005D36F1">
        <w:rPr>
          <w:rStyle w:val="Refdenotaalpie"/>
          <w:rFonts w:ascii="Times New Roman" w:hAnsi="Times New Roman" w:cs="Times New Roman"/>
          <w:color w:val="000000" w:themeColor="text1"/>
          <w:sz w:val="28"/>
          <w:szCs w:val="28"/>
        </w:rPr>
        <w:footnoteReference w:id="79"/>
      </w:r>
      <w:r w:rsidRPr="005D36F1">
        <w:rPr>
          <w:rFonts w:ascii="Times New Roman" w:hAnsi="Times New Roman" w:cs="Times New Roman"/>
          <w:color w:val="000000" w:themeColor="text1"/>
          <w:sz w:val="28"/>
          <w:szCs w:val="28"/>
        </w:rPr>
        <w:t>. Este argumento llevó a la Sala Plena a pre</w:t>
      </w:r>
      <w:r w:rsidRPr="005D36F1">
        <w:rPr>
          <w:rFonts w:ascii="Times New Roman" w:hAnsi="Times New Roman" w:cs="Times New Roman"/>
          <w:color w:val="000000" w:themeColor="text1"/>
          <w:sz w:val="28"/>
          <w:szCs w:val="28"/>
        </w:rPr>
        <w:t>cisar, a través de un fallo de exequibilidad condicionada, que «el porte de sustancia estupefaciente, sicotrópica o droga sintética en cantidad considerada como dosis para uso personal, no se encuentra comprendido dentro de la descripción del delito de “tr</w:t>
      </w:r>
      <w:r w:rsidRPr="005D36F1">
        <w:rPr>
          <w:rFonts w:ascii="Times New Roman" w:hAnsi="Times New Roman" w:cs="Times New Roman"/>
          <w:color w:val="000000" w:themeColor="text1"/>
          <w:sz w:val="28"/>
          <w:szCs w:val="28"/>
        </w:rPr>
        <w:t>áfico, fabricación y porte de estupefaciente”»</w:t>
      </w:r>
      <w:r w:rsidRPr="005D36F1">
        <w:rPr>
          <w:rStyle w:val="Refdenotaalpie"/>
          <w:rFonts w:ascii="Times New Roman" w:hAnsi="Times New Roman" w:cs="Times New Roman"/>
          <w:color w:val="000000" w:themeColor="text1"/>
          <w:sz w:val="28"/>
          <w:szCs w:val="28"/>
        </w:rPr>
        <w:footnoteReference w:id="80"/>
      </w:r>
      <w:r w:rsidRPr="005D36F1">
        <w:rPr>
          <w:rFonts w:ascii="Times New Roman" w:hAnsi="Times New Roman" w:cs="Times New Roman"/>
          <w:color w:val="000000" w:themeColor="text1"/>
          <w:sz w:val="28"/>
          <w:szCs w:val="28"/>
        </w:rPr>
        <w:t>. </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En definitiva, de conformidad con la jurisprudencia constitucional, el Acto Legislativo 02 de 2009 en modo alguno implicó una variación de las subreglas que esta corporación ha derivado del artículo diecis</w:t>
      </w:r>
      <w:r w:rsidRPr="005D36F1">
        <w:rPr>
          <w:rFonts w:ascii="Times New Roman" w:hAnsi="Times New Roman" w:cs="Times New Roman"/>
          <w:color w:val="000000" w:themeColor="text1"/>
          <w:sz w:val="28"/>
          <w:szCs w:val="28"/>
        </w:rPr>
        <w:t>éis superior, en lo atinente a la facultad de consumir sustancias psicoactivas. Por el contrario, los métodos de interpretación sistemático, teleológico y literal corroboran que el propósito esencial de la reforma no es otro que el de fomentar el autocuida</w:t>
      </w:r>
      <w:r w:rsidRPr="005D36F1">
        <w:rPr>
          <w:rFonts w:ascii="Times New Roman" w:hAnsi="Times New Roman" w:cs="Times New Roman"/>
          <w:color w:val="000000" w:themeColor="text1"/>
          <w:sz w:val="28"/>
          <w:szCs w:val="28"/>
        </w:rPr>
        <w:t>do de la salud. En tal sentido, el Constituyente dispuso un conjunto de medidas administrativas de carácter pedagógico, terapéutico y profiláctico, que tienen fines preventivos y rehabilitadores. Con fundamento en lo anterior, la Sala Plena ha concluido qu</w:t>
      </w:r>
      <w:r w:rsidRPr="005D36F1">
        <w:rPr>
          <w:rFonts w:ascii="Times New Roman" w:hAnsi="Times New Roman" w:cs="Times New Roman"/>
          <w:color w:val="000000" w:themeColor="text1"/>
          <w:sz w:val="28"/>
          <w:szCs w:val="28"/>
        </w:rPr>
        <w:t xml:space="preserve">e el acto legislativo no autoriza la imposición de sanciones ni ha eliminado el derecho al porte y consumo de la dosis personal de sustancias psicoactivas.  </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Consumo de sustancias psicoactivas en el ámbito laboral</w:t>
      </w:r>
      <w:r w:rsidRPr="005D36F1">
        <w:rPr>
          <w:rFonts w:ascii="Times New Roman" w:hAnsi="Times New Roman" w:cs="Times New Roman"/>
          <w:color w:val="000000" w:themeColor="text1"/>
          <w:sz w:val="28"/>
          <w:szCs w:val="28"/>
        </w:rPr>
        <w:t>. Las normas que prohíben y sancionan el c</w:t>
      </w:r>
      <w:r w:rsidRPr="005D36F1">
        <w:rPr>
          <w:rFonts w:ascii="Times New Roman" w:hAnsi="Times New Roman" w:cs="Times New Roman"/>
          <w:color w:val="000000" w:themeColor="text1"/>
          <w:sz w:val="28"/>
          <w:szCs w:val="28"/>
        </w:rPr>
        <w:t>onsumo de sustancias psicoactivas en el entorno laboral han dado lugar a un relevante capítulo en la evolución de la jurisprudencia en este campo. En la Sentencia C-252 de 2003, la Sala Plena resolvió una demanda contra dos artículos del Código Disciplinar</w:t>
      </w:r>
      <w:r w:rsidRPr="005D36F1">
        <w:rPr>
          <w:rFonts w:ascii="Times New Roman" w:hAnsi="Times New Roman" w:cs="Times New Roman"/>
          <w:color w:val="000000" w:themeColor="text1"/>
          <w:sz w:val="28"/>
          <w:szCs w:val="28"/>
        </w:rPr>
        <w:t xml:space="preserve">io Único que, en términos generales, tipificaban como faltas graves y gravísimas un grupo de conductas relacionadas con el consumo de sustancias psicoactivas «en el sitio de trabajo». La Corte encontró en el principio constitucional que ordena la adecuada </w:t>
      </w:r>
      <w:r w:rsidRPr="005D36F1">
        <w:rPr>
          <w:rFonts w:ascii="Times New Roman" w:hAnsi="Times New Roman" w:cs="Times New Roman"/>
          <w:color w:val="000000" w:themeColor="text1"/>
          <w:sz w:val="28"/>
          <w:szCs w:val="28"/>
        </w:rPr>
        <w:t xml:space="preserve">prestación del servicio público una razón suficiente para declarar la exequibilidad de las normas demandadas.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El plenario adujo que quien incurre en las conductas descritas en estos artículos «</w:t>
      </w:r>
      <w:r w:rsidRPr="005D36F1">
        <w:rPr>
          <w:rFonts w:ascii="Times New Roman" w:hAnsi="Times New Roman" w:cs="Times New Roman"/>
          <w:color w:val="000000" w:themeColor="text1"/>
          <w:sz w:val="28"/>
          <w:szCs w:val="28"/>
          <w:lang w:val="es-ES"/>
        </w:rPr>
        <w:t>no está en capacidad de dirigir su voluntad y su inteligencia</w:t>
      </w:r>
      <w:r w:rsidRPr="005D36F1">
        <w:rPr>
          <w:rFonts w:ascii="Times New Roman" w:hAnsi="Times New Roman" w:cs="Times New Roman"/>
          <w:color w:val="000000" w:themeColor="text1"/>
          <w:sz w:val="28"/>
          <w:szCs w:val="28"/>
          <w:lang w:val="es-ES"/>
        </w:rPr>
        <w:t xml:space="preserve"> al normal desenvolvimiento de su órbita funcional»</w:t>
      </w:r>
      <w:r w:rsidRPr="005D36F1">
        <w:rPr>
          <w:rStyle w:val="Refdenotaalpie"/>
          <w:rFonts w:ascii="Times New Roman" w:hAnsi="Times New Roman" w:cs="Times New Roman"/>
          <w:color w:val="000000" w:themeColor="text1"/>
          <w:sz w:val="28"/>
          <w:szCs w:val="28"/>
        </w:rPr>
        <w:footnoteReference w:id="81"/>
      </w:r>
      <w:r w:rsidRPr="005D36F1">
        <w:rPr>
          <w:rFonts w:ascii="Times New Roman" w:hAnsi="Times New Roman" w:cs="Times New Roman"/>
          <w:color w:val="000000" w:themeColor="text1"/>
          <w:sz w:val="28"/>
          <w:szCs w:val="28"/>
          <w:lang w:val="es-ES"/>
        </w:rPr>
        <w:t>. Añadió que las sustancias citadas «afectan [la]s capacidades motoras, racionales y psíquicas al punto que le impiden [al servidor público] su normal desenvolvimiento laboral.  Esta situación, desde lueg</w:t>
      </w:r>
      <w:r w:rsidRPr="005D36F1">
        <w:rPr>
          <w:rFonts w:ascii="Times New Roman" w:hAnsi="Times New Roman" w:cs="Times New Roman"/>
          <w:color w:val="000000" w:themeColor="text1"/>
          <w:sz w:val="28"/>
          <w:szCs w:val="28"/>
          <w:lang w:val="es-ES"/>
        </w:rPr>
        <w:t>o, constituye una clara infracción de sus deberes funcionales»</w:t>
      </w:r>
      <w:r w:rsidRPr="005D36F1">
        <w:rPr>
          <w:rStyle w:val="Refdenotaalpie"/>
          <w:rFonts w:ascii="Times New Roman" w:hAnsi="Times New Roman" w:cs="Times New Roman"/>
          <w:color w:val="000000" w:themeColor="text1"/>
          <w:sz w:val="28"/>
          <w:szCs w:val="28"/>
        </w:rPr>
        <w:footnoteReference w:id="82"/>
      </w:r>
      <w:r w:rsidRPr="005D36F1">
        <w:rPr>
          <w:rFonts w:ascii="Times New Roman" w:hAnsi="Times New Roman" w:cs="Times New Roman"/>
          <w:color w:val="000000" w:themeColor="text1"/>
          <w:sz w:val="28"/>
          <w:szCs w:val="28"/>
          <w:lang w:val="es-ES"/>
        </w:rPr>
        <w:t xml:space="preserve">. Tal argumentación demuestra que la validez de la tipificación de estas conductas estriba únicamente en el impacto que ellas tienen sobre la prestación del servicio público. Esto implica que, </w:t>
      </w:r>
      <w:r w:rsidRPr="005D36F1">
        <w:rPr>
          <w:rFonts w:ascii="Times New Roman" w:hAnsi="Times New Roman" w:cs="Times New Roman"/>
          <w:color w:val="000000" w:themeColor="text1"/>
          <w:sz w:val="28"/>
          <w:szCs w:val="28"/>
          <w:lang w:val="es-ES"/>
        </w:rPr>
        <w:t>cuando dicho bien no resulta comprometido, la conducta deviene inocua y, por tanto, no puede dar lugar a la imposición de sanciones disciplinarias. Al hilo de este planteamiento, la Sala Plena declaró la exequibilidad condicionada de una expresión incluida</w:t>
      </w:r>
      <w:r w:rsidRPr="005D36F1">
        <w:rPr>
          <w:rFonts w:ascii="Times New Roman" w:hAnsi="Times New Roman" w:cs="Times New Roman"/>
          <w:color w:val="000000" w:themeColor="text1"/>
          <w:sz w:val="28"/>
          <w:szCs w:val="28"/>
          <w:lang w:val="es-ES"/>
        </w:rPr>
        <w:t xml:space="preserve"> en una de las normas demandadas, que sancionaba la realización de estas conductas «en lugares públicos», en el entendido de que la conducta solo constituiría falta disciplinaria en la medida en que afectara, efectivamente, el ejercicio de la función públi</w:t>
      </w:r>
      <w:r w:rsidRPr="005D36F1">
        <w:rPr>
          <w:rFonts w:ascii="Times New Roman" w:hAnsi="Times New Roman" w:cs="Times New Roman"/>
          <w:color w:val="000000" w:themeColor="text1"/>
          <w:sz w:val="28"/>
          <w:szCs w:val="28"/>
          <w:lang w:val="es-ES"/>
        </w:rPr>
        <w:t xml:space="preserve">ca. </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Un año después, en la Sentencia C-431 de 2004, la Sala Plena resolvió una controversia similar, en el ámbito disciplinario de las Fuerzas Militares. La demanda que dio origen al proceso cuestionó la constitucionalidad de dos artículos que tipificaban</w:t>
      </w:r>
      <w:r w:rsidRPr="005D36F1">
        <w:rPr>
          <w:rFonts w:ascii="Times New Roman" w:hAnsi="Times New Roman" w:cs="Times New Roman"/>
          <w:color w:val="000000" w:themeColor="text1"/>
          <w:sz w:val="28"/>
          <w:szCs w:val="28"/>
        </w:rPr>
        <w:t xml:space="preserve"> como faltas disciplinarias el porte, la adquisición y la conservación de estupefacientes, y, por otra parte, el abuso de bebidas embriagantes y el consumo de estupefacientes en instalaciones militares u oficiales. Con arreglo al precedente fijado en la ma</w:t>
      </w:r>
      <w:r w:rsidRPr="005D36F1">
        <w:rPr>
          <w:rFonts w:ascii="Times New Roman" w:hAnsi="Times New Roman" w:cs="Times New Roman"/>
          <w:color w:val="000000" w:themeColor="text1"/>
          <w:sz w:val="28"/>
          <w:szCs w:val="28"/>
        </w:rPr>
        <w:t>teria, la Sala Plena manifestó que «el límite de la potestad sancionadora se encuentra en la afectación o amenaza de afectación del servicio. Si esta situación no se produce, no cabe la responsabilidad disciplinaria»</w:t>
      </w:r>
      <w:r w:rsidRPr="005D36F1">
        <w:rPr>
          <w:rStyle w:val="Refdenotaalpie"/>
          <w:rFonts w:ascii="Times New Roman" w:hAnsi="Times New Roman" w:cs="Times New Roman"/>
          <w:color w:val="000000" w:themeColor="text1"/>
          <w:sz w:val="28"/>
          <w:szCs w:val="28"/>
        </w:rPr>
        <w:footnoteReference w:id="83"/>
      </w:r>
      <w:r w:rsidRPr="005D36F1">
        <w:rPr>
          <w:rFonts w:ascii="Times New Roman" w:hAnsi="Times New Roman" w:cs="Times New Roman"/>
          <w:color w:val="000000" w:themeColor="text1"/>
          <w:sz w:val="28"/>
          <w:szCs w:val="28"/>
        </w:rPr>
        <w:t>. De este modo, enfatizó en que la ilic</w:t>
      </w:r>
      <w:r w:rsidRPr="005D36F1">
        <w:rPr>
          <w:rFonts w:ascii="Times New Roman" w:hAnsi="Times New Roman" w:cs="Times New Roman"/>
          <w:color w:val="000000" w:themeColor="text1"/>
          <w:sz w:val="28"/>
          <w:szCs w:val="28"/>
        </w:rPr>
        <w:t xml:space="preserve">itud de la conducta no radica en el proceder mismo —valga decir, en el consumo de bebidas embriagantes o en el uso de sustancias estupefacientes—, sino en el efecto que dicho consumo tiene sobre la persona que se encuentra prestando el servicio.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El juici</w:t>
      </w:r>
      <w:r w:rsidRPr="005D36F1">
        <w:rPr>
          <w:rFonts w:ascii="Times New Roman" w:hAnsi="Times New Roman" w:cs="Times New Roman"/>
          <w:color w:val="000000" w:themeColor="text1"/>
          <w:sz w:val="28"/>
          <w:szCs w:val="28"/>
        </w:rPr>
        <w:t xml:space="preserve">o que emitió la Sala Plena se fundó, particularmente, en la trascendental labor que asigna la Constitución a las Fuerzas Militares. El tribunal recordó que, de conformidad con el artículo 217 superior, aquellas tienen «como finalidad primordial la defensa </w:t>
      </w:r>
      <w:r w:rsidRPr="005D36F1">
        <w:rPr>
          <w:rFonts w:ascii="Times New Roman" w:hAnsi="Times New Roman" w:cs="Times New Roman"/>
          <w:color w:val="000000" w:themeColor="text1"/>
          <w:sz w:val="28"/>
          <w:szCs w:val="28"/>
        </w:rPr>
        <w:t>de la soberanía, la independencia, la integridad del territorio nacional y del orden constitucional». La envergadura de este encargo torna «particularmente inadecuado el consumo inmoderado de drogas estupefacientes o de bebidas alcohólicas por sus miembros</w:t>
      </w:r>
      <w:r w:rsidRPr="005D36F1">
        <w:rPr>
          <w:rFonts w:ascii="Times New Roman" w:hAnsi="Times New Roman" w:cs="Times New Roman"/>
          <w:color w:val="000000" w:themeColor="text1"/>
          <w:sz w:val="28"/>
          <w:szCs w:val="28"/>
        </w:rPr>
        <w:t>, no solamente cuando permanecen dentro de las instalaciones militares, sino más allá de este ámbito espacial cuando dicho consumo [ocurre durante la prestación del servicio]»</w:t>
      </w:r>
      <w:r w:rsidRPr="005D36F1">
        <w:rPr>
          <w:rStyle w:val="Refdenotaalpie"/>
          <w:rFonts w:ascii="Times New Roman" w:hAnsi="Times New Roman" w:cs="Times New Roman"/>
          <w:color w:val="000000" w:themeColor="text1"/>
          <w:sz w:val="28"/>
          <w:szCs w:val="28"/>
        </w:rPr>
        <w:footnoteReference w:id="84"/>
      </w:r>
      <w:r w:rsidRPr="005D36F1">
        <w:rPr>
          <w:rFonts w:ascii="Times New Roman" w:hAnsi="Times New Roman" w:cs="Times New Roman"/>
          <w:color w:val="000000" w:themeColor="text1"/>
          <w:sz w:val="28"/>
          <w:szCs w:val="28"/>
        </w:rPr>
        <w:t>. El grave menoscabo que sufre el interés general en tales casos es consecuencia</w:t>
      </w:r>
      <w:r w:rsidRPr="005D36F1">
        <w:rPr>
          <w:rFonts w:ascii="Times New Roman" w:hAnsi="Times New Roman" w:cs="Times New Roman"/>
          <w:color w:val="000000" w:themeColor="text1"/>
          <w:sz w:val="28"/>
          <w:szCs w:val="28"/>
        </w:rPr>
        <w:t xml:space="preserve"> de la «pérdida, disminución o perturbación transitoria de las facultades cognitivas y sensoriales [que producen estas sustancias] en el momento de prestar el servicio o de ejercer sus funciones»</w:t>
      </w:r>
      <w:r w:rsidRPr="005D36F1">
        <w:rPr>
          <w:rStyle w:val="Refdenotaalpie"/>
          <w:rFonts w:ascii="Times New Roman" w:hAnsi="Times New Roman" w:cs="Times New Roman"/>
          <w:color w:val="000000" w:themeColor="text1"/>
          <w:sz w:val="28"/>
          <w:szCs w:val="28"/>
        </w:rPr>
        <w:footnoteReference w:id="85"/>
      </w:r>
      <w:r w:rsidRPr="005D36F1">
        <w:rPr>
          <w:rFonts w:ascii="Times New Roman" w:hAnsi="Times New Roman" w:cs="Times New Roman"/>
          <w:color w:val="000000" w:themeColor="text1"/>
          <w:sz w:val="28"/>
          <w:szCs w:val="28"/>
        </w:rPr>
        <w:t xml:space="preserve">.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El tribunal subrayó que dicha alteración es particularme</w:t>
      </w:r>
      <w:r w:rsidRPr="005D36F1">
        <w:rPr>
          <w:rFonts w:ascii="Times New Roman" w:hAnsi="Times New Roman" w:cs="Times New Roman"/>
          <w:color w:val="000000" w:themeColor="text1"/>
          <w:sz w:val="28"/>
          <w:szCs w:val="28"/>
        </w:rPr>
        <w:t>nte grave en el caso bajo análisis por cuanto «los militares están no solo autorizados, sino también obligados a utilizar armas y equipos con gran potencialidad destructora y letal, a conducir naves y aeronaves, y en general a ejercer actividades altamente</w:t>
      </w:r>
      <w:r w:rsidRPr="005D36F1">
        <w:rPr>
          <w:rFonts w:ascii="Times New Roman" w:hAnsi="Times New Roman" w:cs="Times New Roman"/>
          <w:color w:val="000000" w:themeColor="text1"/>
          <w:sz w:val="28"/>
          <w:szCs w:val="28"/>
        </w:rPr>
        <w:t xml:space="preserve"> peligrosas que requieren de la plena capacidad cognoscitiva y sensorial de quienes las llevan a cabo»</w:t>
      </w:r>
      <w:r w:rsidRPr="005D36F1">
        <w:rPr>
          <w:rStyle w:val="Refdenotaalpie"/>
          <w:rFonts w:ascii="Times New Roman" w:hAnsi="Times New Roman" w:cs="Times New Roman"/>
          <w:color w:val="000000" w:themeColor="text1"/>
          <w:sz w:val="28"/>
          <w:szCs w:val="28"/>
        </w:rPr>
        <w:footnoteReference w:id="86"/>
      </w:r>
      <w:r w:rsidRPr="005D36F1">
        <w:rPr>
          <w:rFonts w:ascii="Times New Roman" w:hAnsi="Times New Roman" w:cs="Times New Roman"/>
          <w:color w:val="000000" w:themeColor="text1"/>
          <w:sz w:val="28"/>
          <w:szCs w:val="28"/>
        </w:rPr>
        <w:t>. Con fundamento en estas razones, la Sala Plena juzgó que la tipificación de estas conductas como faltas disciplinarias en el régimen castrense se ajust</w:t>
      </w:r>
      <w:r w:rsidRPr="005D36F1">
        <w:rPr>
          <w:rFonts w:ascii="Times New Roman" w:hAnsi="Times New Roman" w:cs="Times New Roman"/>
          <w:color w:val="000000" w:themeColor="text1"/>
          <w:sz w:val="28"/>
          <w:szCs w:val="28"/>
        </w:rPr>
        <w:t xml:space="preserve">a al texto superior. </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Más adelante, en la Sentencia C-636 de 2016, la Sala Plena retomó este mismo asunto, bajo una óptica particular. En aquella ocasión, resolvió una demanda de inconstitucionalidad contra el artículo 60 del Código Sustantivo del Trabajo</w:t>
      </w:r>
      <w:r w:rsidRPr="005D36F1">
        <w:rPr>
          <w:rFonts w:ascii="Times New Roman" w:hAnsi="Times New Roman" w:cs="Times New Roman"/>
          <w:color w:val="000000" w:themeColor="text1"/>
          <w:sz w:val="28"/>
          <w:szCs w:val="28"/>
        </w:rPr>
        <w:t>, que prohíbe a los empleados «</w:t>
      </w:r>
      <w:r w:rsidRPr="005D36F1">
        <w:rPr>
          <w:rFonts w:ascii="Times New Roman" w:hAnsi="Times New Roman" w:cs="Times New Roman"/>
          <w:color w:val="000000" w:themeColor="text1"/>
          <w:sz w:val="28"/>
          <w:szCs w:val="28"/>
          <w:lang w:val="es-ES"/>
        </w:rPr>
        <w:t>[p]resentarse al trabajo en estado de embriaguez o bajo la influencia de narcóticos o drogas enervantes</w:t>
      </w:r>
      <w:r w:rsidRPr="005D36F1">
        <w:rPr>
          <w:rFonts w:ascii="Times New Roman" w:hAnsi="Times New Roman" w:cs="Times New Roman"/>
          <w:color w:val="000000" w:themeColor="text1"/>
          <w:sz w:val="28"/>
          <w:szCs w:val="28"/>
        </w:rPr>
        <w:t>». La demanda no reprochaba a la norma la infracción del derecho al libre desarrollo de la personalidad; en su lugar, denu</w:t>
      </w:r>
      <w:r w:rsidRPr="005D36F1">
        <w:rPr>
          <w:rFonts w:ascii="Times New Roman" w:hAnsi="Times New Roman" w:cs="Times New Roman"/>
          <w:color w:val="000000" w:themeColor="text1"/>
          <w:sz w:val="28"/>
          <w:szCs w:val="28"/>
        </w:rPr>
        <w:t>nciaba la violación de los derechos fundamentales a la salud y a la igualdad. Según el cargo formulado, el Legislador habría instaurado un tratamiento discriminatorio contra quien incurre en la conducta descrita como consecuencia de una adicción patológica</w:t>
      </w:r>
      <w:r w:rsidRPr="005D36F1">
        <w:rPr>
          <w:rFonts w:ascii="Times New Roman" w:hAnsi="Times New Roman" w:cs="Times New Roman"/>
          <w:color w:val="000000" w:themeColor="text1"/>
          <w:sz w:val="28"/>
          <w:szCs w:val="28"/>
        </w:rPr>
        <w:t>. Dicha persona debería contar con la prestación del servicio médico que se ofrece a quien sufre cualquier otra dolencia médica, sin que ello pudiera conllevar la pérdida de su empleo. La ausencia de una justificación atendible para el establecimiento de e</w:t>
      </w:r>
      <w:r w:rsidRPr="005D36F1">
        <w:rPr>
          <w:rFonts w:ascii="Times New Roman" w:hAnsi="Times New Roman" w:cs="Times New Roman"/>
          <w:color w:val="000000" w:themeColor="text1"/>
          <w:sz w:val="28"/>
          <w:szCs w:val="28"/>
        </w:rPr>
        <w:t xml:space="preserve">ste trato desigual sería la causa de la violación de los principios constitucionales indicados. </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lang w:val="es-ES"/>
        </w:rPr>
        <w:t>Con fundamento en evidencia científica, extraída principalmente de informes elaborados por la Organización Mundial para la Salud (OMS), la Sala Plena encontró</w:t>
      </w:r>
      <w:r w:rsidRPr="005D36F1">
        <w:rPr>
          <w:rFonts w:ascii="Times New Roman" w:hAnsi="Times New Roman" w:cs="Times New Roman"/>
          <w:color w:val="000000" w:themeColor="text1"/>
          <w:sz w:val="28"/>
          <w:szCs w:val="28"/>
          <w:lang w:val="es-ES"/>
        </w:rPr>
        <w:t xml:space="preserve"> acreditado que, normalmente, el consumo de estas sustancias afecta las capacidades laborales del trabajador y provoca riesgos laborales. Empero, advirtió que los mismos estudios han concluido que «no necesariamente en todos los casos en los que un trabaja</w:t>
      </w:r>
      <w:r w:rsidRPr="005D36F1">
        <w:rPr>
          <w:rFonts w:ascii="Times New Roman" w:hAnsi="Times New Roman" w:cs="Times New Roman"/>
          <w:color w:val="000000" w:themeColor="text1"/>
          <w:sz w:val="28"/>
          <w:szCs w:val="28"/>
          <w:lang w:val="es-ES"/>
        </w:rPr>
        <w:t>dor consume sustancias psicoactivas se pone en riesgo a sí mismo y pone en riesgo a sus compañeros de trabajo, ni tampoco necesariamente afecta su rendimiento en el trabajo»</w:t>
      </w:r>
      <w:r w:rsidRPr="005D36F1">
        <w:rPr>
          <w:rStyle w:val="Refdenotaalpie"/>
          <w:rFonts w:ascii="Times New Roman" w:hAnsi="Times New Roman" w:cs="Times New Roman"/>
          <w:color w:val="000000" w:themeColor="text1"/>
          <w:sz w:val="28"/>
          <w:szCs w:val="28"/>
        </w:rPr>
        <w:footnoteReference w:id="87"/>
      </w:r>
      <w:r w:rsidRPr="005D36F1">
        <w:rPr>
          <w:rFonts w:ascii="Times New Roman" w:hAnsi="Times New Roman" w:cs="Times New Roman"/>
          <w:color w:val="000000" w:themeColor="text1"/>
          <w:sz w:val="28"/>
          <w:szCs w:val="28"/>
          <w:lang w:val="es-ES"/>
        </w:rPr>
        <w:t>. Con base en este hallazgo, concluyó que el artículo demandado resultaba «demasia</w:t>
      </w:r>
      <w:r w:rsidRPr="005D36F1">
        <w:rPr>
          <w:rFonts w:ascii="Times New Roman" w:hAnsi="Times New Roman" w:cs="Times New Roman"/>
          <w:color w:val="000000" w:themeColor="text1"/>
          <w:sz w:val="28"/>
          <w:szCs w:val="28"/>
          <w:lang w:val="es-ES"/>
        </w:rPr>
        <w:t>do amplio en la medida en que no realiza esta precisión, tratando de la misma forma a todos los trabajadores que consumen sustancias psicoactivas y perdiendo en algunos casos de vista la incidencia que este comportamiento pueda tener en la afectación de la</w:t>
      </w:r>
      <w:r w:rsidRPr="005D36F1">
        <w:rPr>
          <w:rFonts w:ascii="Times New Roman" w:hAnsi="Times New Roman" w:cs="Times New Roman"/>
          <w:color w:val="000000" w:themeColor="text1"/>
          <w:sz w:val="28"/>
          <w:szCs w:val="28"/>
          <w:lang w:val="es-ES"/>
        </w:rPr>
        <w:t xml:space="preserve"> labor u oficio prestado por ellos»</w:t>
      </w:r>
      <w:r w:rsidRPr="005D36F1">
        <w:rPr>
          <w:rStyle w:val="Refdenotaalpie"/>
          <w:rFonts w:ascii="Times New Roman" w:hAnsi="Times New Roman" w:cs="Times New Roman"/>
          <w:color w:val="000000" w:themeColor="text1"/>
          <w:sz w:val="28"/>
          <w:szCs w:val="28"/>
        </w:rPr>
        <w:footnoteReference w:id="88"/>
      </w:r>
      <w:r w:rsidRPr="005D36F1">
        <w:rPr>
          <w:rFonts w:ascii="Times New Roman" w:hAnsi="Times New Roman" w:cs="Times New Roman"/>
          <w:color w:val="000000" w:themeColor="text1"/>
          <w:sz w:val="28"/>
          <w:szCs w:val="28"/>
          <w:lang w:val="es-ES"/>
        </w:rPr>
        <w:t>. Atendiendo estas razones, la Sala Plena declaró la exequibilidad condicionada de la norma «en el entendido que la prohibición allí contemplada solo se configura cuando el consumo de alcohol, narcóticos o cualquier otra</w:t>
      </w:r>
      <w:r w:rsidRPr="005D36F1">
        <w:rPr>
          <w:rFonts w:ascii="Times New Roman" w:hAnsi="Times New Roman" w:cs="Times New Roman"/>
          <w:color w:val="000000" w:themeColor="text1"/>
          <w:sz w:val="28"/>
          <w:szCs w:val="28"/>
          <w:lang w:val="es-ES"/>
        </w:rPr>
        <w:t xml:space="preserve"> droga enervante afecte de manera directa el desempeño laboral del trabajador»</w:t>
      </w:r>
      <w:r w:rsidRPr="005D36F1">
        <w:rPr>
          <w:rStyle w:val="Refdenotaalpie"/>
          <w:rFonts w:ascii="Times New Roman" w:hAnsi="Times New Roman" w:cs="Times New Roman"/>
          <w:color w:val="000000" w:themeColor="text1"/>
          <w:sz w:val="28"/>
          <w:szCs w:val="28"/>
        </w:rPr>
        <w:footnoteReference w:id="89"/>
      </w:r>
      <w:r w:rsidRPr="005D36F1">
        <w:rPr>
          <w:rFonts w:ascii="Times New Roman" w:hAnsi="Times New Roman" w:cs="Times New Roman"/>
          <w:color w:val="000000" w:themeColor="text1"/>
          <w:sz w:val="28"/>
          <w:szCs w:val="28"/>
          <w:lang w:val="es-ES"/>
        </w:rPr>
        <w:t>.</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 xml:space="preserve">Jurisprudencia constitucional sobre consumo de sustancias psicoactivas en espacio público. </w:t>
      </w:r>
      <w:r w:rsidRPr="005D36F1">
        <w:rPr>
          <w:rFonts w:ascii="Times New Roman" w:hAnsi="Times New Roman" w:cs="Times New Roman"/>
          <w:color w:val="000000" w:themeColor="text1"/>
          <w:sz w:val="28"/>
          <w:szCs w:val="28"/>
        </w:rPr>
        <w:t xml:space="preserve">Para finiquitar este apartado, es necesario hacer alusión a las dos sentencias más </w:t>
      </w:r>
      <w:r w:rsidRPr="005D36F1">
        <w:rPr>
          <w:rFonts w:ascii="Times New Roman" w:hAnsi="Times New Roman" w:cs="Times New Roman"/>
          <w:color w:val="000000" w:themeColor="text1"/>
          <w:sz w:val="28"/>
          <w:szCs w:val="28"/>
        </w:rPr>
        <w:t>recientes que ha adoptado la Sala Plena a propósito de los límites constitucionales que debe observar el Legislador al regular el consumo de sustancias psicoactivas: los fallos C-253 de 2019 y C- 127 de 2023. En la primera providencia, se interpuso una acc</w:t>
      </w:r>
      <w:r w:rsidRPr="005D36F1">
        <w:rPr>
          <w:rFonts w:ascii="Times New Roman" w:hAnsi="Times New Roman" w:cs="Times New Roman"/>
          <w:color w:val="000000" w:themeColor="text1"/>
          <w:sz w:val="28"/>
          <w:szCs w:val="28"/>
        </w:rPr>
        <w:t>ión de inconstitucionalidad contra dos disposiciones del Código Nacional de Seguridad y Convivencia Ciudadana. En términos generales, las normas tipifican como conductas lesivas de «la tranquilidad y [las] relaciones respetuosas de las personas»</w:t>
      </w:r>
      <w:r w:rsidRPr="005D36F1">
        <w:rPr>
          <w:rStyle w:val="Refdenotaalpie"/>
          <w:rFonts w:ascii="Times New Roman" w:hAnsi="Times New Roman" w:cs="Times New Roman"/>
          <w:color w:val="000000" w:themeColor="text1"/>
          <w:sz w:val="28"/>
          <w:szCs w:val="28"/>
        </w:rPr>
        <w:footnoteReference w:id="90"/>
      </w:r>
      <w:r w:rsidRPr="005D36F1">
        <w:rPr>
          <w:rFonts w:ascii="Times New Roman" w:hAnsi="Times New Roman" w:cs="Times New Roman"/>
          <w:color w:val="000000" w:themeColor="text1"/>
          <w:sz w:val="28"/>
          <w:szCs w:val="28"/>
        </w:rPr>
        <w:t xml:space="preserve"> y como «c</w:t>
      </w:r>
      <w:r w:rsidRPr="005D36F1">
        <w:rPr>
          <w:rFonts w:ascii="Times New Roman" w:hAnsi="Times New Roman" w:cs="Times New Roman"/>
          <w:color w:val="000000" w:themeColor="text1"/>
          <w:sz w:val="28"/>
          <w:szCs w:val="28"/>
        </w:rPr>
        <w:t>omportamientos contrarios al cuidado e integridad del espacio público»</w:t>
      </w:r>
      <w:r w:rsidRPr="005D36F1">
        <w:rPr>
          <w:rStyle w:val="Refdenotaalpie"/>
          <w:rFonts w:ascii="Times New Roman" w:hAnsi="Times New Roman" w:cs="Times New Roman"/>
          <w:color w:val="000000" w:themeColor="text1"/>
          <w:sz w:val="28"/>
          <w:szCs w:val="28"/>
        </w:rPr>
        <w:footnoteReference w:id="91"/>
      </w:r>
      <w:r w:rsidRPr="005D36F1">
        <w:rPr>
          <w:rFonts w:ascii="Times New Roman" w:hAnsi="Times New Roman" w:cs="Times New Roman"/>
          <w:color w:val="000000" w:themeColor="text1"/>
          <w:sz w:val="28"/>
          <w:szCs w:val="28"/>
        </w:rPr>
        <w:t xml:space="preserve"> el consumo de bebidas embriagantes y el uso de sustancias psicoactivas en parques, espacio público y lugares abiertos al público. </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La sentencia hizo explícita una variación del preced</w:t>
      </w:r>
      <w:r w:rsidRPr="005D36F1">
        <w:rPr>
          <w:rFonts w:ascii="Times New Roman" w:hAnsi="Times New Roman" w:cs="Times New Roman"/>
          <w:color w:val="000000" w:themeColor="text1"/>
          <w:sz w:val="28"/>
          <w:szCs w:val="28"/>
        </w:rPr>
        <w:t>ente que ya venía tomando forma en la jurisprudencia constitucional. Desde la Sentencia C-221 de 1994, la Corte había destacado la relevancia de los informes elaborados por órganos técnicos para efectuar el juzgamiento objetivo y racional de las normas que</w:t>
      </w:r>
      <w:r w:rsidRPr="005D36F1">
        <w:rPr>
          <w:rFonts w:ascii="Times New Roman" w:hAnsi="Times New Roman" w:cs="Times New Roman"/>
          <w:color w:val="000000" w:themeColor="text1"/>
          <w:sz w:val="28"/>
          <w:szCs w:val="28"/>
        </w:rPr>
        <w:t xml:space="preserve"> restringen derechos fundamentales. Sin embargo, solo hasta esta providencia la Sala Plena declaró, de manera explícita, que es un deber de las autoridades contar con insumos de esta clase, siempre que adopten determinaciones que incidan sobre estos derech</w:t>
      </w:r>
      <w:r w:rsidRPr="005D36F1">
        <w:rPr>
          <w:rFonts w:ascii="Times New Roman" w:hAnsi="Times New Roman" w:cs="Times New Roman"/>
          <w:color w:val="000000" w:themeColor="text1"/>
          <w:sz w:val="28"/>
          <w:szCs w:val="28"/>
        </w:rPr>
        <w:t>os. Concretamente, manifestó que las «limitaciones a un derecho fundamental para desarrollar compromisos en materia de política de drogas deben sustentarse de forma racional, transparente y en democracia»</w:t>
      </w:r>
      <w:r w:rsidRPr="005D36F1">
        <w:rPr>
          <w:rStyle w:val="Refdenotaalpie"/>
          <w:rFonts w:ascii="Times New Roman" w:hAnsi="Times New Roman" w:cs="Times New Roman"/>
          <w:color w:val="000000" w:themeColor="text1"/>
          <w:sz w:val="28"/>
          <w:szCs w:val="28"/>
        </w:rPr>
        <w:footnoteReference w:id="92"/>
      </w:r>
      <w:r w:rsidRPr="005D36F1">
        <w:rPr>
          <w:rFonts w:ascii="Times New Roman" w:hAnsi="Times New Roman" w:cs="Times New Roman"/>
          <w:color w:val="000000" w:themeColor="text1"/>
          <w:sz w:val="28"/>
          <w:szCs w:val="28"/>
        </w:rPr>
        <w:t>. La exigencia pretende «asegurar que las ideología</w:t>
      </w:r>
      <w:r w:rsidRPr="005D36F1">
        <w:rPr>
          <w:rFonts w:ascii="Times New Roman" w:hAnsi="Times New Roman" w:cs="Times New Roman"/>
          <w:color w:val="000000" w:themeColor="text1"/>
          <w:sz w:val="28"/>
          <w:szCs w:val="28"/>
        </w:rPr>
        <w:t>s o prejuicios no dominen el debate acerca de las drogas, sino la evidencia y un debate libre, propio de una sociedad abierta»</w:t>
      </w:r>
      <w:r w:rsidRPr="005D36F1">
        <w:rPr>
          <w:rStyle w:val="Refdenotaalpie"/>
          <w:rFonts w:ascii="Times New Roman" w:hAnsi="Times New Roman" w:cs="Times New Roman"/>
          <w:color w:val="000000" w:themeColor="text1"/>
          <w:sz w:val="28"/>
          <w:szCs w:val="28"/>
        </w:rPr>
        <w:footnoteReference w:id="93"/>
      </w:r>
      <w:r w:rsidRPr="005D36F1">
        <w:rPr>
          <w:rFonts w:ascii="Times New Roman" w:hAnsi="Times New Roman" w:cs="Times New Roman"/>
          <w:color w:val="000000" w:themeColor="text1"/>
          <w:sz w:val="28"/>
          <w:szCs w:val="28"/>
        </w:rPr>
        <w:t>.</w:t>
      </w:r>
    </w:p>
    <w:p w:rsidR="00894FB7" w:rsidRPr="005D36F1" w:rsidRDefault="005D36F1" w:rsidP="0013356F">
      <w:pPr>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 xml:space="preserve">La Sala Plena declaró la inconstitucionalidad de las alusiones a las </w:t>
      </w:r>
      <w:r w:rsidRPr="005D36F1">
        <w:rPr>
          <w:rFonts w:ascii="Times New Roman" w:hAnsi="Times New Roman" w:cs="Times New Roman"/>
          <w:i/>
          <w:iCs/>
          <w:color w:val="000000" w:themeColor="text1"/>
          <w:sz w:val="28"/>
          <w:szCs w:val="28"/>
        </w:rPr>
        <w:t>bebidas alcohólicas</w:t>
      </w:r>
      <w:r w:rsidRPr="005D36F1">
        <w:rPr>
          <w:rFonts w:ascii="Times New Roman" w:hAnsi="Times New Roman" w:cs="Times New Roman"/>
          <w:color w:val="000000" w:themeColor="text1"/>
          <w:sz w:val="28"/>
          <w:szCs w:val="28"/>
        </w:rPr>
        <w:t xml:space="preserve"> y a las </w:t>
      </w:r>
      <w:r w:rsidRPr="005D36F1">
        <w:rPr>
          <w:rFonts w:ascii="Times New Roman" w:hAnsi="Times New Roman" w:cs="Times New Roman"/>
          <w:i/>
          <w:iCs/>
          <w:color w:val="000000" w:themeColor="text1"/>
          <w:sz w:val="28"/>
          <w:szCs w:val="28"/>
        </w:rPr>
        <w:t>sustancias sicoactivas</w:t>
      </w:r>
      <w:r w:rsidRPr="005D36F1">
        <w:rPr>
          <w:rFonts w:ascii="Times New Roman" w:hAnsi="Times New Roman" w:cs="Times New Roman"/>
          <w:color w:val="000000" w:themeColor="text1"/>
          <w:sz w:val="28"/>
          <w:szCs w:val="28"/>
        </w:rPr>
        <w:t xml:space="preserve"> que se</w:t>
      </w:r>
      <w:r w:rsidRPr="005D36F1">
        <w:rPr>
          <w:rFonts w:ascii="Times New Roman" w:hAnsi="Times New Roman" w:cs="Times New Roman"/>
          <w:color w:val="000000" w:themeColor="text1"/>
          <w:sz w:val="28"/>
          <w:szCs w:val="28"/>
        </w:rPr>
        <w:t xml:space="preserve"> encontraban en las normas demandadas, tras advertir que no se ajustaban a la Constitución. La Corte adoptó esta decisión luego de practicar un juicio de proporcionalidad de intensidad estricta, que tuvo como propósito evaluar la validez de la restricción </w:t>
      </w:r>
      <w:r w:rsidRPr="005D36F1">
        <w:rPr>
          <w:rFonts w:ascii="Times New Roman" w:hAnsi="Times New Roman" w:cs="Times New Roman"/>
          <w:color w:val="000000" w:themeColor="text1"/>
          <w:sz w:val="28"/>
          <w:szCs w:val="28"/>
        </w:rPr>
        <w:t>al derecho al libre desarrollo de la personalidad. Dicho escrutinio permitió establecer que las normas demandadas perseguían fines imperiosos, pero no cumplían los demás requerimientos que establece el juicio en cuestión. Específicamente, el plenario concl</w:t>
      </w:r>
      <w:r w:rsidRPr="005D36F1">
        <w:rPr>
          <w:rFonts w:ascii="Times New Roman" w:hAnsi="Times New Roman" w:cs="Times New Roman"/>
          <w:color w:val="000000" w:themeColor="text1"/>
          <w:sz w:val="28"/>
          <w:szCs w:val="28"/>
        </w:rPr>
        <w:t>uyó que la aludida restricción «no es necesari[a] en tanto existen otras herramientas de policía aplicables y, en ocasiones, ni siquiera es un medio idóneo para alcanzar tales fines». Esta última afirmación se fundó en el hecho de que las autoridades no ac</w:t>
      </w:r>
      <w:r w:rsidRPr="005D36F1">
        <w:rPr>
          <w:rFonts w:ascii="Times New Roman" w:hAnsi="Times New Roman" w:cs="Times New Roman"/>
          <w:color w:val="000000" w:themeColor="text1"/>
          <w:sz w:val="28"/>
          <w:szCs w:val="28"/>
        </w:rPr>
        <w:t>reditaron de manera cierta la existencia de una relación necesaria entre la comisión de las conductas prohibidas y el incremento de la conflictividad social en el espacio público. La ausencia de dicho nexo de causalidad impidió establecer que la medida fue</w:t>
      </w:r>
      <w:r w:rsidRPr="005D36F1">
        <w:rPr>
          <w:rFonts w:ascii="Times New Roman" w:hAnsi="Times New Roman" w:cs="Times New Roman"/>
          <w:color w:val="000000" w:themeColor="text1"/>
          <w:sz w:val="28"/>
          <w:szCs w:val="28"/>
        </w:rPr>
        <w:t xml:space="preserve">ra efectivamente conducente para la satisfacción del fin perseguido. </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Por último, el tribunal adujo que las autoridades territoriales y el Legislador se encuentran llamados a cumplir una importante labor en la solución de esta controversia. Dentro del ámb</w:t>
      </w:r>
      <w:r w:rsidRPr="005D36F1">
        <w:rPr>
          <w:rFonts w:ascii="Times New Roman" w:hAnsi="Times New Roman" w:cs="Times New Roman"/>
          <w:color w:val="000000" w:themeColor="text1"/>
          <w:sz w:val="28"/>
          <w:szCs w:val="28"/>
        </w:rPr>
        <w:t>ito de competencias que les asigna la Constitución, es su deber idear arreglos normativos que concilien los bienes constitucionales comprometidos. En concreto, han de «</w:t>
      </w:r>
      <w:r w:rsidRPr="005D36F1">
        <w:rPr>
          <w:rFonts w:ascii="Times New Roman" w:hAnsi="Times New Roman" w:cs="Times New Roman"/>
          <w:color w:val="000000" w:themeColor="text1"/>
          <w:sz w:val="28"/>
          <w:szCs w:val="28"/>
          <w:shd w:val="clear" w:color="auto" w:fill="FFFFFF"/>
        </w:rPr>
        <w:t>ejercer sus facultades de policía legislativas, subsidiarias y residuales, respectivamen</w:t>
      </w:r>
      <w:r w:rsidRPr="005D36F1">
        <w:rPr>
          <w:rFonts w:ascii="Times New Roman" w:hAnsi="Times New Roman" w:cs="Times New Roman"/>
          <w:color w:val="000000" w:themeColor="text1"/>
          <w:sz w:val="28"/>
          <w:szCs w:val="28"/>
          <w:shd w:val="clear" w:color="auto" w:fill="FFFFFF"/>
        </w:rPr>
        <w:t xml:space="preserve">te, con el fin de (a) garantizar el goce efectivo de los derechos que se encuentran en tensión y (b) facilitar el ejercicio de la actividad de policía, y así asegurar la tranquilidad, las relaciones respetuosas y la integridad del espacio público». De tal </w:t>
      </w:r>
      <w:r w:rsidRPr="005D36F1">
        <w:rPr>
          <w:rFonts w:ascii="Times New Roman" w:hAnsi="Times New Roman" w:cs="Times New Roman"/>
          <w:color w:val="000000" w:themeColor="text1"/>
          <w:sz w:val="28"/>
          <w:szCs w:val="28"/>
          <w:shd w:val="clear" w:color="auto" w:fill="FFFFFF"/>
        </w:rPr>
        <w:t xml:space="preserve">suerte, atañe a estas autoridades precisar el alcance de las citadas </w:t>
      </w:r>
      <w:r w:rsidRPr="005D36F1">
        <w:rPr>
          <w:rFonts w:ascii="Times New Roman" w:hAnsi="Times New Roman" w:cs="Times New Roman"/>
          <w:color w:val="000000" w:themeColor="text1"/>
          <w:sz w:val="28"/>
          <w:szCs w:val="28"/>
        </w:rPr>
        <w:t>«</w:t>
      </w:r>
      <w:r w:rsidRPr="005D36F1">
        <w:rPr>
          <w:rFonts w:ascii="Times New Roman" w:hAnsi="Times New Roman" w:cs="Times New Roman"/>
          <w:color w:val="000000" w:themeColor="text1"/>
          <w:sz w:val="28"/>
          <w:szCs w:val="28"/>
          <w:shd w:val="clear" w:color="auto" w:fill="FFFFFF"/>
        </w:rPr>
        <w:t>prohibiciones, de manera razonable y proporcionada, dentro de los límites que impone el orden constitucional vigente».</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 xml:space="preserve">En cumplimiento de dicho exhorto, el mismo año, el Legislador </w:t>
      </w:r>
      <w:r w:rsidRPr="005D36F1">
        <w:rPr>
          <w:rFonts w:ascii="Times New Roman" w:hAnsi="Times New Roman" w:cs="Times New Roman"/>
          <w:color w:val="000000" w:themeColor="text1"/>
          <w:sz w:val="28"/>
          <w:szCs w:val="28"/>
        </w:rPr>
        <w:t>aprobó la Ley 2000 de 2019, «[p]or medio de la cual se modifica el Código Nacional de Policía y Convivencia y el Código de la Infancia y la Adolescencia en materia de consumo, porte y distribución de sustancias psicoactivas en lugares con presencia de meno</w:t>
      </w:r>
      <w:r w:rsidRPr="005D36F1">
        <w:rPr>
          <w:rFonts w:ascii="Times New Roman" w:hAnsi="Times New Roman" w:cs="Times New Roman"/>
          <w:color w:val="000000" w:themeColor="text1"/>
          <w:sz w:val="28"/>
          <w:szCs w:val="28"/>
        </w:rPr>
        <w:t>res de edad y se dictan otras disposiciones». El texto normativo fue aprobado con el «objeto [de] establecer parámetros de vigilancia del consumo y porte de sustancias psicoactivas en lugares habitualmente concurridos por menores de edad como entornos esco</w:t>
      </w:r>
      <w:r w:rsidRPr="005D36F1">
        <w:rPr>
          <w:rFonts w:ascii="Times New Roman" w:hAnsi="Times New Roman" w:cs="Times New Roman"/>
          <w:color w:val="000000" w:themeColor="text1"/>
          <w:sz w:val="28"/>
          <w:szCs w:val="28"/>
        </w:rPr>
        <w:t>lares y espacio público»</w:t>
      </w:r>
      <w:r w:rsidRPr="005D36F1">
        <w:rPr>
          <w:rStyle w:val="Refdenotaalpie"/>
          <w:rFonts w:ascii="Times New Roman" w:hAnsi="Times New Roman" w:cs="Times New Roman"/>
          <w:color w:val="000000" w:themeColor="text1"/>
          <w:sz w:val="28"/>
          <w:szCs w:val="28"/>
        </w:rPr>
        <w:footnoteReference w:id="94"/>
      </w:r>
      <w:r w:rsidRPr="005D36F1">
        <w:rPr>
          <w:rFonts w:ascii="Times New Roman" w:hAnsi="Times New Roman" w:cs="Times New Roman"/>
          <w:color w:val="000000" w:themeColor="text1"/>
          <w:sz w:val="28"/>
          <w:szCs w:val="28"/>
        </w:rPr>
        <w:t>.</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Entre otras medidas, el Congreso tipificó como «comportamientos […] contrarios al cuidado e integridad del espacio público» las conductas de consumo, porte, distribución, ofrecimiento y comercialización de sustancias psicoactiva</w:t>
      </w:r>
      <w:r w:rsidRPr="005D36F1">
        <w:rPr>
          <w:rFonts w:ascii="Times New Roman" w:hAnsi="Times New Roman" w:cs="Times New Roman"/>
          <w:color w:val="000000" w:themeColor="text1"/>
          <w:sz w:val="28"/>
          <w:szCs w:val="28"/>
        </w:rPr>
        <w:t>s, cuando fuesen realizadas en espacios destinados al uso público. De manera expresa, indicó que la infracción se comete, igualmente, cuando tales conductas se ejecutan mediante la posesión de la dosis personal. Este arreglo normativo, junto al que imponía</w:t>
      </w:r>
      <w:r w:rsidRPr="005D36F1">
        <w:rPr>
          <w:rFonts w:ascii="Times New Roman" w:hAnsi="Times New Roman" w:cs="Times New Roman"/>
          <w:color w:val="000000" w:themeColor="text1"/>
          <w:sz w:val="28"/>
          <w:szCs w:val="28"/>
        </w:rPr>
        <w:t xml:space="preserve"> la aplicación de la medida correctiva de «destrucción del bien», fue objeto de revisión judicial en la Sentencia C-127 de 2023.</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 xml:space="preserve">La demanda que dio origen al proceso cuestionó la constitucionalidad de las disposiciones en comento con base en la violación </w:t>
      </w:r>
      <w:r w:rsidRPr="005D36F1">
        <w:rPr>
          <w:rFonts w:ascii="Times New Roman" w:hAnsi="Times New Roman" w:cs="Times New Roman"/>
          <w:color w:val="000000" w:themeColor="text1"/>
          <w:sz w:val="28"/>
          <w:szCs w:val="28"/>
        </w:rPr>
        <w:t>del principio constitucional de la dignidad humana y los derechos al libre desarrollo de la personalidad y a la salud. Luego de practicar un juicio de proporcionalidad de intensidad estricta, la Sala Plena concluyó que, en efecto, las normas incurrían en e</w:t>
      </w:r>
      <w:r w:rsidRPr="005D36F1">
        <w:rPr>
          <w:rFonts w:ascii="Times New Roman" w:hAnsi="Times New Roman" w:cs="Times New Roman"/>
          <w:color w:val="000000" w:themeColor="text1"/>
          <w:sz w:val="28"/>
          <w:szCs w:val="28"/>
        </w:rPr>
        <w:t>l cargo propuesto. Si bien persiguen un fin constitucional imperioso —consistente en la protección de los derechos de los niños, niñas y adolescentes—, tal regulación incumple los demás requisitos que establece el juicio en comento. Lo anterior es consecue</w:t>
      </w:r>
      <w:r w:rsidRPr="005D36F1">
        <w:rPr>
          <w:rFonts w:ascii="Times New Roman" w:hAnsi="Times New Roman" w:cs="Times New Roman"/>
          <w:color w:val="000000" w:themeColor="text1"/>
          <w:sz w:val="28"/>
          <w:szCs w:val="28"/>
        </w:rPr>
        <w:t>ncia, primordialmente, del hecho de que el Congreso hubiese instaurado una prohibición absoluta e incondicional, sin tener en cuenta los propósitos de la persona, la existencia de otras medidas menos lesivas de los derechos comprometidos y la efectividad d</w:t>
      </w:r>
      <w:r w:rsidRPr="005D36F1">
        <w:rPr>
          <w:rFonts w:ascii="Times New Roman" w:hAnsi="Times New Roman" w:cs="Times New Roman"/>
          <w:color w:val="000000" w:themeColor="text1"/>
          <w:sz w:val="28"/>
          <w:szCs w:val="28"/>
        </w:rPr>
        <w:t>e las medidas instauradas. Más concretamente, «</w:t>
      </w:r>
      <w:r w:rsidRPr="005D36F1">
        <w:rPr>
          <w:rFonts w:ascii="Times New Roman" w:hAnsi="Times New Roman" w:cs="Times New Roman"/>
          <w:color w:val="000000" w:themeColor="text1"/>
          <w:sz w:val="28"/>
          <w:szCs w:val="28"/>
          <w:shd w:val="clear" w:color="auto" w:fill="FFFFFF"/>
        </w:rPr>
        <w:t>[l]a Sala encontró que las dos medidas acusadas son inconstitucionales, porque las restricciones al porte y al consumo de sustancias psicoactivas en el espacio público, incluidos los parques, no acreditaron qu</w:t>
      </w:r>
      <w:r w:rsidRPr="005D36F1">
        <w:rPr>
          <w:rFonts w:ascii="Times New Roman" w:hAnsi="Times New Roman" w:cs="Times New Roman"/>
          <w:color w:val="000000" w:themeColor="text1"/>
          <w:sz w:val="28"/>
          <w:szCs w:val="28"/>
          <w:shd w:val="clear" w:color="auto" w:fill="FFFFFF"/>
        </w:rPr>
        <w:t>e fuera efectivamente conducente en el caso del porte, la necesidad ni la proporcionalidad en sentido estricto, respectivamente»</w:t>
      </w:r>
      <w:r w:rsidRPr="005D36F1">
        <w:rPr>
          <w:rStyle w:val="Refdenotaalpie"/>
          <w:rFonts w:ascii="Times New Roman" w:hAnsi="Times New Roman" w:cs="Times New Roman"/>
          <w:color w:val="000000" w:themeColor="text1"/>
          <w:sz w:val="28"/>
          <w:szCs w:val="28"/>
          <w:shd w:val="clear" w:color="auto" w:fill="FFFFFF"/>
        </w:rPr>
        <w:footnoteReference w:id="95"/>
      </w:r>
      <w:r w:rsidRPr="005D36F1">
        <w:rPr>
          <w:rFonts w:ascii="Times New Roman" w:hAnsi="Times New Roman" w:cs="Times New Roman"/>
          <w:color w:val="000000" w:themeColor="text1"/>
          <w:sz w:val="28"/>
          <w:szCs w:val="28"/>
          <w:shd w:val="clear" w:color="auto" w:fill="FFFFFF"/>
        </w:rPr>
        <w:t>. </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A pesar de este hallazgo, la Sala Plena se abstuvo de declarar la inexequibilidad de las disposiciones demandadas. En su cr</w:t>
      </w:r>
      <w:r w:rsidRPr="005D36F1">
        <w:rPr>
          <w:rFonts w:ascii="Times New Roman" w:hAnsi="Times New Roman" w:cs="Times New Roman"/>
          <w:color w:val="000000" w:themeColor="text1"/>
          <w:sz w:val="28"/>
          <w:szCs w:val="28"/>
        </w:rPr>
        <w:t>iterio, las circunstancias del caso concreto imponían al tribunal la expedición de una sentencia integradora. Dichas circunstancias guardaban relación con la necesidad de garantizar la protección de los derechos de los niños, niñas y adolescentes y con las</w:t>
      </w:r>
      <w:r w:rsidRPr="005D36F1">
        <w:rPr>
          <w:rFonts w:ascii="Times New Roman" w:hAnsi="Times New Roman" w:cs="Times New Roman"/>
          <w:color w:val="000000" w:themeColor="text1"/>
          <w:sz w:val="28"/>
          <w:szCs w:val="28"/>
        </w:rPr>
        <w:t xml:space="preserve"> dificultades que conllevaría, para la vigencia de los apartados de la ley que quedarían vigentes, la expedición de un fallo de inexequibilidad simple. De este modo, la Corte declaró la exequibilidad condicionada de algunas de las disposiciones demandadas,</w:t>
      </w:r>
      <w:r w:rsidRPr="005D36F1">
        <w:rPr>
          <w:rFonts w:ascii="Times New Roman" w:hAnsi="Times New Roman" w:cs="Times New Roman"/>
          <w:color w:val="000000" w:themeColor="text1"/>
          <w:sz w:val="28"/>
          <w:szCs w:val="28"/>
        </w:rPr>
        <w:t xml:space="preserve"> armonizando los dos principios en tensión, la protección del derecho al libre desarrollo de la personalidad y la tutela de los derechos e intereses de los niños, niñas y adolescentes.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Como resultado de los condicionamientos, debe entenderse que la proh</w:t>
      </w:r>
      <w:r w:rsidRPr="005D36F1">
        <w:rPr>
          <w:rFonts w:ascii="Times New Roman" w:hAnsi="Times New Roman" w:cs="Times New Roman"/>
          <w:color w:val="000000" w:themeColor="text1"/>
          <w:sz w:val="28"/>
          <w:szCs w:val="28"/>
        </w:rPr>
        <w:t xml:space="preserve">ibición de </w:t>
      </w:r>
      <w:r w:rsidRPr="005D36F1">
        <w:rPr>
          <w:rFonts w:ascii="Times New Roman" w:hAnsi="Times New Roman" w:cs="Times New Roman"/>
          <w:i/>
          <w:iCs/>
          <w:color w:val="000000" w:themeColor="text1"/>
          <w:sz w:val="28"/>
          <w:szCs w:val="28"/>
        </w:rPr>
        <w:t xml:space="preserve">porte </w:t>
      </w:r>
      <w:r w:rsidRPr="005D36F1">
        <w:rPr>
          <w:rFonts w:ascii="Times New Roman" w:hAnsi="Times New Roman" w:cs="Times New Roman"/>
          <w:color w:val="000000" w:themeColor="text1"/>
          <w:sz w:val="28"/>
          <w:szCs w:val="28"/>
        </w:rPr>
        <w:t>«</w:t>
      </w:r>
      <w:r w:rsidRPr="005D36F1">
        <w:rPr>
          <w:rFonts w:ascii="Times New Roman" w:hAnsi="Times New Roman" w:cs="Times New Roman"/>
          <w:color w:val="000000" w:themeColor="text1"/>
          <w:sz w:val="28"/>
          <w:szCs w:val="28"/>
          <w:shd w:val="clear" w:color="auto" w:fill="FFFFFF"/>
        </w:rPr>
        <w:t>no se aplica cuando se trata del porte con fines de consumo propio o de dosis medicada»</w:t>
      </w:r>
      <w:r w:rsidRPr="005D36F1">
        <w:rPr>
          <w:rStyle w:val="Refdenotaalpie"/>
          <w:rFonts w:ascii="Times New Roman" w:hAnsi="Times New Roman" w:cs="Times New Roman"/>
          <w:color w:val="000000" w:themeColor="text1"/>
          <w:sz w:val="28"/>
          <w:szCs w:val="28"/>
          <w:shd w:val="clear" w:color="auto" w:fill="FFFFFF"/>
        </w:rPr>
        <w:footnoteReference w:id="96"/>
      </w:r>
      <w:r w:rsidRPr="005D36F1">
        <w:rPr>
          <w:rFonts w:ascii="Times New Roman" w:hAnsi="Times New Roman" w:cs="Times New Roman"/>
          <w:color w:val="000000" w:themeColor="text1"/>
          <w:sz w:val="28"/>
          <w:szCs w:val="28"/>
          <w:shd w:val="clear" w:color="auto" w:fill="FFFFFF"/>
        </w:rPr>
        <w:t>. De igual manera, ha de inferirse de las disposiciones demandadas que «</w:t>
      </w:r>
      <w:r w:rsidRPr="005D36F1">
        <w:rPr>
          <w:rFonts w:ascii="Times New Roman" w:hAnsi="Times New Roman" w:cs="Times New Roman"/>
          <w:color w:val="000000" w:themeColor="text1"/>
          <w:sz w:val="28"/>
          <w:szCs w:val="28"/>
          <w:shd w:val="clear" w:color="auto" w:fill="FFFFFF"/>
          <w:lang w:val="es-ES_tradnl"/>
        </w:rPr>
        <w:t>la restricción [que en ellas se impone] aplica, además, </w:t>
      </w:r>
      <w:r w:rsidRPr="005D36F1">
        <w:rPr>
          <w:rFonts w:ascii="Times New Roman" w:hAnsi="Times New Roman" w:cs="Times New Roman"/>
          <w:color w:val="000000" w:themeColor="text1"/>
          <w:sz w:val="28"/>
          <w:szCs w:val="28"/>
          <w:shd w:val="clear" w:color="auto" w:fill="FFFFFF"/>
        </w:rPr>
        <w:t>en garantía de los der</w:t>
      </w:r>
      <w:r w:rsidRPr="005D36F1">
        <w:rPr>
          <w:rFonts w:ascii="Times New Roman" w:hAnsi="Times New Roman" w:cs="Times New Roman"/>
          <w:color w:val="000000" w:themeColor="text1"/>
          <w:sz w:val="28"/>
          <w:szCs w:val="28"/>
          <w:shd w:val="clear" w:color="auto" w:fill="FFFFFF"/>
        </w:rPr>
        <w:t>echos de los niños, niñas y adolescentes, y conforme a la regulación que expidan las autoridades que ejercen poder de policía en todos los niveles, en el ámbito de sus competencias, con base en los principios </w:t>
      </w:r>
      <w:r w:rsidRPr="005D36F1">
        <w:rPr>
          <w:rFonts w:ascii="Times New Roman" w:hAnsi="Times New Roman" w:cs="Times New Roman"/>
          <w:i/>
          <w:iCs/>
          <w:color w:val="000000" w:themeColor="text1"/>
          <w:sz w:val="28"/>
          <w:szCs w:val="28"/>
          <w:shd w:val="clear" w:color="auto" w:fill="FFFFFF"/>
        </w:rPr>
        <w:t>pro infans</w:t>
      </w:r>
      <w:r w:rsidRPr="005D36F1">
        <w:rPr>
          <w:rFonts w:ascii="Times New Roman" w:hAnsi="Times New Roman" w:cs="Times New Roman"/>
          <w:color w:val="000000" w:themeColor="text1"/>
          <w:sz w:val="28"/>
          <w:szCs w:val="28"/>
          <w:shd w:val="clear" w:color="auto" w:fill="FFFFFF"/>
        </w:rPr>
        <w:t xml:space="preserve">, de proporcionalidad, razonabilidad </w:t>
      </w:r>
      <w:r w:rsidRPr="005D36F1">
        <w:rPr>
          <w:rFonts w:ascii="Times New Roman" w:hAnsi="Times New Roman" w:cs="Times New Roman"/>
          <w:color w:val="000000" w:themeColor="text1"/>
          <w:sz w:val="28"/>
          <w:szCs w:val="28"/>
          <w:shd w:val="clear" w:color="auto" w:fill="FFFFFF"/>
        </w:rPr>
        <w:t>y autonomía territorial, en los términos de la presente providencia»</w:t>
      </w:r>
      <w:r w:rsidRPr="005D36F1">
        <w:rPr>
          <w:rStyle w:val="Refdenotaalpie"/>
          <w:rFonts w:ascii="Times New Roman" w:hAnsi="Times New Roman" w:cs="Times New Roman"/>
          <w:color w:val="000000" w:themeColor="text1"/>
          <w:sz w:val="28"/>
          <w:szCs w:val="28"/>
          <w:shd w:val="clear" w:color="auto" w:fill="FFFFFF"/>
        </w:rPr>
        <w:footnoteReference w:id="97"/>
      </w:r>
      <w:r w:rsidRPr="005D36F1">
        <w:rPr>
          <w:rFonts w:ascii="Times New Roman" w:hAnsi="Times New Roman" w:cs="Times New Roman"/>
          <w:color w:val="000000" w:themeColor="text1"/>
          <w:sz w:val="28"/>
          <w:szCs w:val="28"/>
          <w:shd w:val="clear" w:color="auto" w:fill="FFFFFF"/>
        </w:rPr>
        <w:t>.</w:t>
      </w:r>
    </w:p>
    <w:p w:rsidR="00894FB7" w:rsidRPr="005D36F1" w:rsidRDefault="005D36F1" w:rsidP="00894FB7">
      <w:pPr>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Por último, la Sala Plena ordenó al Gobierno nacional expedir un protocolo de aplicación de las normas demandadas. El mandato tenía como objetivo asegurar que, por esta vía, se estable</w:t>
      </w:r>
      <w:r w:rsidRPr="005D36F1">
        <w:rPr>
          <w:rFonts w:ascii="Times New Roman" w:hAnsi="Times New Roman" w:cs="Times New Roman"/>
          <w:color w:val="000000" w:themeColor="text1"/>
          <w:sz w:val="28"/>
          <w:szCs w:val="28"/>
        </w:rPr>
        <w:t>cieran acuerdos normativos que dieran solución a los diversos problemas constitucionales que implica el ejercicio de esta libertad en lugares públicos, que normalmente son concurridos por menores de edad. Por último, el plenario advirtió al Gobierno que la</w:t>
      </w:r>
      <w:r w:rsidRPr="005D36F1">
        <w:rPr>
          <w:rFonts w:ascii="Times New Roman" w:hAnsi="Times New Roman" w:cs="Times New Roman"/>
          <w:color w:val="000000" w:themeColor="text1"/>
          <w:sz w:val="28"/>
          <w:szCs w:val="28"/>
        </w:rPr>
        <w:t>s directrices expedidas en la materia debían observar, con escrupulosidad, el «principio de interdicción de la arbitrariedad»</w:t>
      </w:r>
      <w:r w:rsidRPr="005D36F1">
        <w:rPr>
          <w:rStyle w:val="Refdenotaalpie"/>
          <w:rFonts w:ascii="Times New Roman" w:hAnsi="Times New Roman" w:cs="Times New Roman"/>
          <w:color w:val="000000" w:themeColor="text1"/>
          <w:sz w:val="28"/>
          <w:szCs w:val="28"/>
        </w:rPr>
        <w:footnoteReference w:id="98"/>
      </w:r>
      <w:r w:rsidRPr="005D36F1">
        <w:rPr>
          <w:rFonts w:ascii="Times New Roman" w:hAnsi="Times New Roman" w:cs="Times New Roman"/>
          <w:color w:val="000000" w:themeColor="text1"/>
          <w:sz w:val="28"/>
          <w:szCs w:val="28"/>
        </w:rPr>
        <w:t>. Hasta aquí el análisis de la Sentencia C-127 de 2023.</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Conclusión</w:t>
      </w:r>
      <w:r w:rsidRPr="005D36F1">
        <w:rPr>
          <w:rFonts w:ascii="Times New Roman" w:hAnsi="Times New Roman" w:cs="Times New Roman"/>
          <w:color w:val="000000" w:themeColor="text1"/>
          <w:sz w:val="28"/>
          <w:szCs w:val="28"/>
        </w:rPr>
        <w:t xml:space="preserve">. Según las razones expuestas en este acápite, </w:t>
      </w:r>
      <w:r w:rsidRPr="005D36F1">
        <w:rPr>
          <w:rFonts w:ascii="Times New Roman" w:hAnsi="Times New Roman" w:cs="Times New Roman"/>
          <w:color w:val="000000" w:themeColor="text1"/>
          <w:sz w:val="28"/>
          <w:szCs w:val="28"/>
          <w:lang w:val="es-ES_tradnl"/>
        </w:rPr>
        <w:t>el derecho al li</w:t>
      </w:r>
      <w:r w:rsidRPr="005D36F1">
        <w:rPr>
          <w:rFonts w:ascii="Times New Roman" w:hAnsi="Times New Roman" w:cs="Times New Roman"/>
          <w:color w:val="000000" w:themeColor="text1"/>
          <w:sz w:val="28"/>
          <w:szCs w:val="28"/>
          <w:lang w:val="es-ES_tradnl"/>
        </w:rPr>
        <w:t xml:space="preserve">bre desarrollo de la personalidad reconoce el incomparable valor ético que tiene cada individuo y funda en él la facultad de obrar con </w:t>
      </w:r>
      <w:r w:rsidRPr="005D36F1">
        <w:rPr>
          <w:rFonts w:ascii="Times New Roman" w:hAnsi="Times New Roman" w:cs="Times New Roman"/>
          <w:color w:val="000000" w:themeColor="text1"/>
          <w:sz w:val="28"/>
          <w:szCs w:val="28"/>
        </w:rPr>
        <w:t>autonomía plena</w:t>
      </w:r>
      <w:r w:rsidRPr="005D36F1">
        <w:rPr>
          <w:rFonts w:ascii="Times New Roman" w:hAnsi="Times New Roman" w:cs="Times New Roman"/>
          <w:color w:val="000000" w:themeColor="text1"/>
          <w:sz w:val="28"/>
          <w:szCs w:val="28"/>
          <w:lang w:val="es-ES_tradnl"/>
        </w:rPr>
        <w:t xml:space="preserve">. </w:t>
      </w:r>
      <w:r w:rsidRPr="005D36F1">
        <w:rPr>
          <w:rFonts w:ascii="Times New Roman" w:hAnsi="Times New Roman" w:cs="Times New Roman"/>
          <w:color w:val="000000" w:themeColor="text1"/>
          <w:sz w:val="28"/>
          <w:szCs w:val="28"/>
        </w:rPr>
        <w:t xml:space="preserve">Es un derecho incompatible con las políticas perfeccionistas de la libertad, pues rechaza que el Estado </w:t>
      </w:r>
      <w:r w:rsidRPr="005D36F1">
        <w:rPr>
          <w:rFonts w:ascii="Times New Roman" w:hAnsi="Times New Roman" w:cs="Times New Roman"/>
          <w:color w:val="000000" w:themeColor="text1"/>
          <w:sz w:val="28"/>
          <w:szCs w:val="28"/>
        </w:rPr>
        <w:t>pueda regular o injerir en el proceder del individuo que no afecte a otros sujetos. En dicho campo, en el que sus acciones únicamente tienen efectos sobre él y su plan de vida, el Estado tiene vedado intervenir. Dicho ámbito es el núcleo irreductible de la</w:t>
      </w:r>
      <w:r w:rsidRPr="005D36F1">
        <w:rPr>
          <w:rFonts w:ascii="Times New Roman" w:hAnsi="Times New Roman" w:cs="Times New Roman"/>
          <w:color w:val="000000" w:themeColor="text1"/>
          <w:sz w:val="28"/>
          <w:szCs w:val="28"/>
        </w:rPr>
        <w:t xml:space="preserve"> libertad individual. Con base en estas razones, en la Sentencia C-221 de 1994, la Sala Plena despenalizó las conductas de porte y consumo de dosis personal de sustancias psicoactivas. </w:t>
      </w:r>
    </w:p>
    <w:p w:rsidR="00894FB7" w:rsidRPr="005D36F1" w:rsidRDefault="005D36F1" w:rsidP="00894FB7">
      <w:pPr>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La aprobación del Acto Legislativo 02 de 2009 no implicó una variació</w:t>
      </w:r>
      <w:r w:rsidRPr="005D36F1">
        <w:rPr>
          <w:rFonts w:ascii="Times New Roman" w:hAnsi="Times New Roman" w:cs="Times New Roman"/>
          <w:color w:val="000000" w:themeColor="text1"/>
          <w:sz w:val="28"/>
          <w:szCs w:val="28"/>
        </w:rPr>
        <w:t>n del anterior precedente. Por el contrario, con base en los métodos de interpretación sistemático, teleológico y literal, esta corporación ha establecido que la reforma entró en vigor con el propósito de fomentar el autocuidado de la salud. En tal sentido</w:t>
      </w:r>
      <w:r w:rsidRPr="005D36F1">
        <w:rPr>
          <w:rFonts w:ascii="Times New Roman" w:hAnsi="Times New Roman" w:cs="Times New Roman"/>
          <w:color w:val="000000" w:themeColor="text1"/>
          <w:sz w:val="28"/>
          <w:szCs w:val="28"/>
        </w:rPr>
        <w:t>, dispuso un conjunto de medidas administrativas de carácter pedagógico, terapéutico y profiláctico, que tienen fines preventivos y rehabilitadores. Por tal motivo, el acto legislativo no autoriza la imposición de sanciones ni ha eliminado el derecho al po</w:t>
      </w:r>
      <w:r w:rsidRPr="005D36F1">
        <w:rPr>
          <w:rFonts w:ascii="Times New Roman" w:hAnsi="Times New Roman" w:cs="Times New Roman"/>
          <w:color w:val="000000" w:themeColor="text1"/>
          <w:sz w:val="28"/>
          <w:szCs w:val="28"/>
        </w:rPr>
        <w:t xml:space="preserve">rte y consumo de la dosis personal de sustancias psicoactivas.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Finalmente, el carácter relativo del derecho al libre desarrollo de la personalidad, índole que es compartida por todos los derechos fundamentales, conlleva la posibilidad de restringirlo. Respecto de la facultad de consumir sustancias psicoactivas, esta c</w:t>
      </w:r>
      <w:r w:rsidRPr="005D36F1">
        <w:rPr>
          <w:rFonts w:ascii="Times New Roman" w:hAnsi="Times New Roman" w:cs="Times New Roman"/>
          <w:color w:val="000000" w:themeColor="text1"/>
          <w:sz w:val="28"/>
          <w:szCs w:val="28"/>
        </w:rPr>
        <w:t>orporación ha juzgado conformes a la Constitución las prohibiciones legales que restringen esta conducta en el ámbito laboral, cuando afectan el servicio o comprometen la seguridad de los trabajadores. Bajo este mismo razonamiento, ha declarado la inexequi</w:t>
      </w:r>
      <w:r w:rsidRPr="005D36F1">
        <w:rPr>
          <w:rFonts w:ascii="Times New Roman" w:hAnsi="Times New Roman" w:cs="Times New Roman"/>
          <w:color w:val="000000" w:themeColor="text1"/>
          <w:sz w:val="28"/>
          <w:szCs w:val="28"/>
        </w:rPr>
        <w:t xml:space="preserve">bilidad de normas que la prohíben o sancionan, cuando no ocasiona daño a ninguna persona distinta al consumidor. </w:t>
      </w:r>
    </w:p>
    <w:p w:rsidR="00894FB7" w:rsidRPr="005D36F1" w:rsidRDefault="005D36F1" w:rsidP="00894FB7">
      <w:pPr>
        <w:rPr>
          <w:rFonts w:ascii="Times New Roman" w:hAnsi="Times New Roman" w:cs="Times New Roman"/>
          <w:color w:val="000000" w:themeColor="text1"/>
          <w:sz w:val="28"/>
          <w:szCs w:val="28"/>
        </w:rPr>
      </w:pPr>
    </w:p>
    <w:p w:rsidR="00894FB7" w:rsidRPr="005D36F1" w:rsidRDefault="005D36F1" w:rsidP="00894FB7">
      <w:pPr>
        <w:pStyle w:val="Prrafodelista"/>
        <w:numPr>
          <w:ilvl w:val="0"/>
          <w:numId w:val="5"/>
        </w:numPr>
        <w:tabs>
          <w:tab w:val="left" w:pos="567"/>
        </w:tabs>
        <w:jc w:val="both"/>
        <w:rPr>
          <w:rFonts w:ascii="Times New Roman" w:hAnsi="Times New Roman" w:cs="Times New Roman"/>
          <w:b/>
          <w:bCs/>
          <w:i/>
          <w:iCs/>
          <w:color w:val="000000" w:themeColor="text1"/>
          <w:sz w:val="28"/>
          <w:szCs w:val="28"/>
        </w:rPr>
      </w:pPr>
      <w:r w:rsidRPr="005D36F1">
        <w:rPr>
          <w:rFonts w:ascii="Times New Roman" w:hAnsi="Times New Roman" w:cs="Times New Roman"/>
          <w:b/>
          <w:bCs/>
          <w:color w:val="000000" w:themeColor="text1"/>
          <w:sz w:val="28"/>
          <w:szCs w:val="28"/>
        </w:rPr>
        <w:t xml:space="preserve">Relevancia del derecho fundamental al libre desarrollo de la personalidad en el matrimonio </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 xml:space="preserve">Relación entre el derecho al libre desarrollo de la personalidad y el matrimonio. </w:t>
      </w:r>
      <w:r w:rsidRPr="005D36F1">
        <w:rPr>
          <w:rFonts w:ascii="Times New Roman" w:hAnsi="Times New Roman" w:cs="Times New Roman"/>
          <w:color w:val="000000" w:themeColor="text1"/>
          <w:sz w:val="28"/>
          <w:szCs w:val="28"/>
        </w:rPr>
        <w:t xml:space="preserve">La jurisprudencia constitucional ha destacado el estrecho vínculo que existe entre el derecho al libre desarrollo de la personalidad y la decisión de conformar una familia a </w:t>
      </w:r>
      <w:r w:rsidRPr="005D36F1">
        <w:rPr>
          <w:rFonts w:ascii="Times New Roman" w:hAnsi="Times New Roman" w:cs="Times New Roman"/>
          <w:color w:val="000000" w:themeColor="text1"/>
          <w:sz w:val="28"/>
          <w:szCs w:val="28"/>
        </w:rPr>
        <w:t>través del matrimonio</w:t>
      </w:r>
      <w:r w:rsidRPr="005D36F1">
        <w:rPr>
          <w:rStyle w:val="Refdenotaalpie"/>
          <w:rFonts w:ascii="Times New Roman" w:hAnsi="Times New Roman" w:cs="Times New Roman"/>
          <w:color w:val="000000" w:themeColor="text1"/>
          <w:sz w:val="28"/>
          <w:szCs w:val="28"/>
        </w:rPr>
        <w:footnoteReference w:id="99"/>
      </w:r>
      <w:r w:rsidRPr="005D36F1">
        <w:rPr>
          <w:rFonts w:ascii="Times New Roman" w:hAnsi="Times New Roman" w:cs="Times New Roman"/>
          <w:color w:val="000000" w:themeColor="text1"/>
          <w:sz w:val="28"/>
          <w:szCs w:val="28"/>
        </w:rPr>
        <w:t>. La Sala Plena ha acogido la definición propuesta por el Código Civil a propósito de este último</w:t>
      </w:r>
      <w:r w:rsidRPr="005D36F1">
        <w:rPr>
          <w:rStyle w:val="Refdenotaalpie"/>
          <w:rFonts w:ascii="Times New Roman" w:hAnsi="Times New Roman" w:cs="Times New Roman"/>
          <w:color w:val="000000" w:themeColor="text1"/>
          <w:sz w:val="28"/>
          <w:szCs w:val="28"/>
        </w:rPr>
        <w:footnoteReference w:id="100"/>
      </w:r>
      <w:r w:rsidRPr="005D36F1">
        <w:rPr>
          <w:rFonts w:ascii="Times New Roman" w:hAnsi="Times New Roman" w:cs="Times New Roman"/>
          <w:color w:val="000000" w:themeColor="text1"/>
          <w:sz w:val="28"/>
          <w:szCs w:val="28"/>
        </w:rPr>
        <w:t>, según la cual «</w:t>
      </w:r>
      <w:r w:rsidRPr="005D36F1">
        <w:rPr>
          <w:rFonts w:ascii="Times New Roman" w:hAnsi="Times New Roman" w:cs="Times New Roman"/>
          <w:color w:val="000000" w:themeColor="text1"/>
          <w:sz w:val="28"/>
          <w:szCs w:val="28"/>
          <w:lang w:val="es-ES"/>
        </w:rPr>
        <w:t>es un contrato solemne que genera derechos e impone deberes recíprocos a los cónyuges, es decir, es “es un acto constit</w:t>
      </w:r>
      <w:r w:rsidRPr="005D36F1">
        <w:rPr>
          <w:rFonts w:ascii="Times New Roman" w:hAnsi="Times New Roman" w:cs="Times New Roman"/>
          <w:color w:val="000000" w:themeColor="text1"/>
          <w:sz w:val="28"/>
          <w:szCs w:val="28"/>
          <w:lang w:val="es-ES"/>
        </w:rPr>
        <w:t>utivo de familia que genera deberes en cabeza de los cónyuges”»</w:t>
      </w:r>
      <w:r w:rsidRPr="005D36F1">
        <w:rPr>
          <w:rStyle w:val="Refdenotaalpie"/>
          <w:rFonts w:ascii="Times New Roman" w:hAnsi="Times New Roman" w:cs="Times New Roman"/>
          <w:color w:val="000000" w:themeColor="text1"/>
          <w:sz w:val="28"/>
          <w:szCs w:val="28"/>
        </w:rPr>
        <w:footnoteReference w:id="101"/>
      </w:r>
      <w:r w:rsidRPr="005D36F1">
        <w:rPr>
          <w:rFonts w:ascii="Times New Roman" w:hAnsi="Times New Roman" w:cs="Times New Roman"/>
          <w:color w:val="000000" w:themeColor="text1"/>
          <w:sz w:val="28"/>
          <w:szCs w:val="28"/>
        </w:rPr>
        <w:t>. Sin negar esta faceta, ha resaltado que la decisión de unirse en matrimonio con otra persona se adopta en ejercicio del derecho fundamental al derecho al libre desarrollo de la personalidad.</w:t>
      </w:r>
      <w:r w:rsidRPr="005D36F1">
        <w:rPr>
          <w:rFonts w:ascii="Times New Roman" w:hAnsi="Times New Roman" w:cs="Times New Roman"/>
          <w:color w:val="000000" w:themeColor="text1"/>
          <w:sz w:val="28"/>
          <w:szCs w:val="28"/>
        </w:rPr>
        <w:t xml:space="preserve"> Concretamente, ha manifestado que forma parte del contenido de este derecho «la libertad de toda persona de “optar sin coacción alguna al escoger su estado civil” así como al resolver si contrae o no matrimonio o si vive en unión libre o permanece en solt</w:t>
      </w:r>
      <w:r w:rsidRPr="005D36F1">
        <w:rPr>
          <w:rFonts w:ascii="Times New Roman" w:hAnsi="Times New Roman" w:cs="Times New Roman"/>
          <w:color w:val="000000" w:themeColor="text1"/>
          <w:sz w:val="28"/>
          <w:szCs w:val="28"/>
        </w:rPr>
        <w:t>ería»</w:t>
      </w:r>
      <w:r w:rsidRPr="005D36F1">
        <w:rPr>
          <w:rStyle w:val="Refdenotaalpie"/>
          <w:rFonts w:ascii="Times New Roman" w:hAnsi="Times New Roman" w:cs="Times New Roman"/>
          <w:color w:val="000000" w:themeColor="text1"/>
          <w:sz w:val="28"/>
          <w:szCs w:val="28"/>
        </w:rPr>
        <w:footnoteReference w:id="102"/>
      </w:r>
      <w:r w:rsidRPr="005D36F1">
        <w:rPr>
          <w:rFonts w:ascii="Times New Roman" w:hAnsi="Times New Roman" w:cs="Times New Roman"/>
          <w:color w:val="000000" w:themeColor="text1"/>
          <w:sz w:val="28"/>
          <w:szCs w:val="28"/>
        </w:rPr>
        <w:t>.</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Fundamento constitucional de la relación entre el derecho al libre desarrollo de la personalidad y el matrimonio</w:t>
      </w:r>
      <w:r w:rsidRPr="005D36F1">
        <w:rPr>
          <w:rFonts w:ascii="Times New Roman" w:hAnsi="Times New Roman" w:cs="Times New Roman"/>
          <w:color w:val="000000" w:themeColor="text1"/>
          <w:sz w:val="28"/>
          <w:szCs w:val="28"/>
        </w:rPr>
        <w:t xml:space="preserve">. El vínculo entre estas dos instituciones ha sido instaurado por la propia Constitución, en su artículo 42. El precepto establece que </w:t>
      </w:r>
      <w:r w:rsidRPr="005D36F1">
        <w:rPr>
          <w:rFonts w:ascii="Times New Roman" w:hAnsi="Times New Roman" w:cs="Times New Roman"/>
          <w:color w:val="000000" w:themeColor="text1"/>
          <w:sz w:val="28"/>
          <w:szCs w:val="28"/>
        </w:rPr>
        <w:t>«[l]a familia es el núcleo fundamental de la sociedad. Se constituye por vínculos naturales o jurídicos, por la decisión libre de un hombre y una mujer de contraer matrimonio o por la voluntad responsable de conformarla». Según esta caracterización, el obj</w:t>
      </w:r>
      <w:r w:rsidRPr="005D36F1">
        <w:rPr>
          <w:rFonts w:ascii="Times New Roman" w:hAnsi="Times New Roman" w:cs="Times New Roman"/>
          <w:color w:val="000000" w:themeColor="text1"/>
          <w:sz w:val="28"/>
          <w:szCs w:val="28"/>
        </w:rPr>
        <w:t xml:space="preserve">eto primordial del matrimonio es la conformación de una familia, a través de la </w:t>
      </w:r>
      <w:r w:rsidRPr="005D36F1">
        <w:rPr>
          <w:rFonts w:ascii="Times New Roman" w:hAnsi="Times New Roman" w:cs="Times New Roman"/>
          <w:i/>
          <w:iCs/>
          <w:color w:val="000000" w:themeColor="text1"/>
          <w:sz w:val="28"/>
          <w:szCs w:val="28"/>
        </w:rPr>
        <w:t xml:space="preserve">decisión libre </w:t>
      </w:r>
      <w:r w:rsidRPr="005D36F1">
        <w:rPr>
          <w:rFonts w:ascii="Times New Roman" w:hAnsi="Times New Roman" w:cs="Times New Roman"/>
          <w:color w:val="000000" w:themeColor="text1"/>
          <w:sz w:val="28"/>
          <w:szCs w:val="28"/>
        </w:rPr>
        <w:t>de personas que deciden crear entre ellas los referidos vínculos jurídicos</w:t>
      </w:r>
      <w:r w:rsidRPr="005D36F1">
        <w:rPr>
          <w:rStyle w:val="Refdenotaalpie"/>
          <w:rFonts w:ascii="Times New Roman" w:hAnsi="Times New Roman" w:cs="Times New Roman"/>
          <w:color w:val="000000" w:themeColor="text1"/>
          <w:sz w:val="28"/>
          <w:szCs w:val="28"/>
        </w:rPr>
        <w:footnoteReference w:id="103"/>
      </w:r>
      <w:r w:rsidRPr="005D36F1">
        <w:rPr>
          <w:rFonts w:ascii="Times New Roman" w:hAnsi="Times New Roman" w:cs="Times New Roman"/>
          <w:color w:val="000000" w:themeColor="text1"/>
          <w:sz w:val="28"/>
          <w:szCs w:val="28"/>
        </w:rPr>
        <w:t xml:space="preserve">.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 xml:space="preserve">La decisión de contraer matrimonio se adopta en ejercicio del derecho fundamental </w:t>
      </w:r>
      <w:r w:rsidRPr="005D36F1">
        <w:rPr>
          <w:rFonts w:ascii="Times New Roman" w:hAnsi="Times New Roman" w:cs="Times New Roman"/>
          <w:i/>
          <w:iCs/>
          <w:color w:val="000000" w:themeColor="text1"/>
          <w:sz w:val="28"/>
          <w:szCs w:val="28"/>
        </w:rPr>
        <w:t xml:space="preserve">al libre desarrollo de la personalidad. </w:t>
      </w:r>
      <w:r w:rsidRPr="005D36F1">
        <w:rPr>
          <w:rFonts w:ascii="Times New Roman" w:hAnsi="Times New Roman" w:cs="Times New Roman"/>
          <w:color w:val="000000" w:themeColor="text1"/>
          <w:sz w:val="28"/>
          <w:szCs w:val="28"/>
        </w:rPr>
        <w:t>Con fundamento en esta definición, la Sala Plena ha declarado que «</w:t>
      </w:r>
      <w:r w:rsidRPr="005D36F1">
        <w:rPr>
          <w:rFonts w:ascii="Times New Roman" w:hAnsi="Times New Roman" w:cs="Times New Roman"/>
          <w:color w:val="000000" w:themeColor="text1"/>
          <w:sz w:val="28"/>
          <w:szCs w:val="28"/>
          <w:lang w:val="es-ES_tradnl"/>
        </w:rPr>
        <w:t>el derecho a fundar una familia también es una manifestación del libre desarrollo de la personalidad y de los derechos reproductivos. Por este motivo</w:t>
      </w:r>
      <w:r w:rsidRPr="005D36F1">
        <w:rPr>
          <w:rFonts w:ascii="Times New Roman" w:hAnsi="Times New Roman" w:cs="Times New Roman"/>
          <w:color w:val="000000" w:themeColor="text1"/>
          <w:sz w:val="28"/>
          <w:szCs w:val="28"/>
          <w:lang w:val="es-ES_tradnl"/>
        </w:rPr>
        <w:t>, la jurisprudencia no ha dudado en considerar el derecho a conformar una familia como fundamental»</w:t>
      </w:r>
      <w:r w:rsidRPr="005D36F1">
        <w:rPr>
          <w:rStyle w:val="Refdenotaalpie"/>
          <w:rFonts w:ascii="Times New Roman" w:hAnsi="Times New Roman" w:cs="Times New Roman"/>
          <w:color w:val="000000" w:themeColor="text1"/>
          <w:sz w:val="28"/>
          <w:szCs w:val="28"/>
          <w:lang w:val="es-ES_tradnl"/>
        </w:rPr>
        <w:footnoteReference w:id="104"/>
      </w:r>
      <w:r w:rsidRPr="005D36F1">
        <w:rPr>
          <w:rFonts w:ascii="Times New Roman" w:hAnsi="Times New Roman" w:cs="Times New Roman"/>
          <w:color w:val="000000" w:themeColor="text1"/>
          <w:sz w:val="28"/>
          <w:szCs w:val="28"/>
          <w:lang w:val="es-ES_tradnl"/>
        </w:rPr>
        <w:t>.</w:t>
      </w:r>
      <w:r w:rsidRPr="005D36F1">
        <w:rPr>
          <w:rFonts w:ascii="Times New Roman" w:hAnsi="Times New Roman" w:cs="Times New Roman"/>
          <w:color w:val="000000" w:themeColor="text1"/>
          <w:sz w:val="28"/>
          <w:szCs w:val="28"/>
        </w:rPr>
        <w:t xml:space="preserve"> La decisión de constituir una familia es, entonces, «</w:t>
      </w:r>
      <w:r w:rsidRPr="005D36F1">
        <w:rPr>
          <w:rFonts w:ascii="Times New Roman" w:hAnsi="Times New Roman" w:cs="Times New Roman"/>
          <w:color w:val="000000" w:themeColor="text1"/>
          <w:sz w:val="28"/>
          <w:szCs w:val="28"/>
          <w:lang w:val="es-ES_tradnl"/>
        </w:rPr>
        <w:t>una manifestación del libre desarrollo de la personalidad y, en concreto, de la libre expresión de af</w:t>
      </w:r>
      <w:r w:rsidRPr="005D36F1">
        <w:rPr>
          <w:rFonts w:ascii="Times New Roman" w:hAnsi="Times New Roman" w:cs="Times New Roman"/>
          <w:color w:val="000000" w:themeColor="text1"/>
          <w:sz w:val="28"/>
          <w:szCs w:val="28"/>
          <w:lang w:val="es-ES_tradnl"/>
        </w:rPr>
        <w:t>ectos y emociones, ya que su origen se encuentra en el derecho de la persona de elegir libremente entre las distintas opciones y proyectos de vida, que según sus propios anhelos, valores, expectativas y esperanzas, puedan construir y desarrollar durante su</w:t>
      </w:r>
      <w:r w:rsidRPr="005D36F1">
        <w:rPr>
          <w:rFonts w:ascii="Times New Roman" w:hAnsi="Times New Roman" w:cs="Times New Roman"/>
          <w:color w:val="000000" w:themeColor="text1"/>
          <w:sz w:val="28"/>
          <w:szCs w:val="28"/>
          <w:lang w:val="es-ES_tradnl"/>
        </w:rPr>
        <w:t xml:space="preserve"> existencia»</w:t>
      </w:r>
      <w:r w:rsidRPr="005D36F1">
        <w:rPr>
          <w:rStyle w:val="Refdenotaalpie"/>
          <w:rFonts w:ascii="Times New Roman" w:hAnsi="Times New Roman" w:cs="Times New Roman"/>
          <w:color w:val="000000" w:themeColor="text1"/>
          <w:sz w:val="28"/>
          <w:szCs w:val="28"/>
          <w:lang w:val="es-ES_tradnl"/>
        </w:rPr>
        <w:footnoteReference w:id="105"/>
      </w:r>
      <w:r w:rsidRPr="005D36F1">
        <w:rPr>
          <w:rFonts w:ascii="Times New Roman" w:hAnsi="Times New Roman" w:cs="Times New Roman"/>
          <w:i/>
          <w:iCs/>
          <w:color w:val="000000" w:themeColor="text1"/>
          <w:sz w:val="28"/>
          <w:szCs w:val="28"/>
          <w:lang w:val="es-ES_tradnl"/>
        </w:rPr>
        <w:t>.</w:t>
      </w:r>
      <w:r w:rsidRPr="005D36F1">
        <w:rPr>
          <w:rFonts w:ascii="Times New Roman" w:hAnsi="Times New Roman" w:cs="Times New Roman"/>
          <w:color w:val="000000" w:themeColor="text1"/>
          <w:sz w:val="28"/>
          <w:szCs w:val="28"/>
        </w:rPr>
        <w:t xml:space="preserve">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Ámbito de autonomía que protege la Constitución en torno al matrimonio</w:t>
      </w:r>
      <w:r w:rsidRPr="005D36F1">
        <w:rPr>
          <w:rFonts w:ascii="Times New Roman" w:hAnsi="Times New Roman" w:cs="Times New Roman"/>
          <w:color w:val="000000" w:themeColor="text1"/>
          <w:sz w:val="28"/>
          <w:szCs w:val="28"/>
        </w:rPr>
        <w:t xml:space="preserve">. La íntima unión entre el derecho fundamental al libre desarrollo de la personalidad y el matrimonio acarrea la existencia de precisos límites, que se oponen al Estado </w:t>
      </w:r>
      <w:r w:rsidRPr="005D36F1">
        <w:rPr>
          <w:rFonts w:ascii="Times New Roman" w:hAnsi="Times New Roman" w:cs="Times New Roman"/>
          <w:color w:val="000000" w:themeColor="text1"/>
          <w:sz w:val="28"/>
          <w:szCs w:val="28"/>
        </w:rPr>
        <w:t xml:space="preserve">y a los particulares, a fin de garantizar el ejercicio pleno de la libertad de las personas. En tal sentido, esta corporación ha manifestado que no resulta admisible «[l]a intromisión de otros en aspectos tan esenciales como la escogencia del estado civil </w:t>
      </w:r>
      <w:r w:rsidRPr="005D36F1">
        <w:rPr>
          <w:rFonts w:ascii="Times New Roman" w:hAnsi="Times New Roman" w:cs="Times New Roman"/>
          <w:color w:val="000000" w:themeColor="text1"/>
          <w:sz w:val="28"/>
          <w:szCs w:val="28"/>
        </w:rPr>
        <w:t>(casado o soltero), la determinación acerca de si se constituye o no una familia —por vínculo matrimonial o de hecho—, la selección de la pareja, la decisión acerca de si esta quiere o no procrear, la planeación sobre el número de hijos y en torno a la épo</w:t>
      </w:r>
      <w:r w:rsidRPr="005D36F1">
        <w:rPr>
          <w:rFonts w:ascii="Times New Roman" w:hAnsi="Times New Roman" w:cs="Times New Roman"/>
          <w:color w:val="000000" w:themeColor="text1"/>
          <w:sz w:val="28"/>
          <w:szCs w:val="28"/>
        </w:rPr>
        <w:t>ca en que habrán de ser engendrados, la resolución de dar por terminado el matrimonio o de poner fin a la unión de hecho»</w:t>
      </w:r>
      <w:r w:rsidRPr="005D36F1">
        <w:rPr>
          <w:rStyle w:val="Refdenotaalpie"/>
          <w:rFonts w:ascii="Times New Roman" w:hAnsi="Times New Roman" w:cs="Times New Roman"/>
          <w:color w:val="000000" w:themeColor="text1"/>
          <w:sz w:val="28"/>
          <w:szCs w:val="28"/>
        </w:rPr>
        <w:footnoteReference w:id="106"/>
      </w:r>
      <w:r w:rsidRPr="005D36F1">
        <w:rPr>
          <w:rFonts w:ascii="Times New Roman" w:hAnsi="Times New Roman" w:cs="Times New Roman"/>
          <w:color w:val="000000" w:themeColor="text1"/>
          <w:sz w:val="28"/>
          <w:szCs w:val="28"/>
        </w:rPr>
        <w:t>. En definitiva, el ámbito de autonomía de las personas en torno al matrimonio se encuentra protegido con firmeza por la Constitución.</w:t>
      </w:r>
      <w:r w:rsidRPr="005D36F1">
        <w:rPr>
          <w:rFonts w:ascii="Times New Roman" w:hAnsi="Times New Roman" w:cs="Times New Roman"/>
          <w:color w:val="000000" w:themeColor="text1"/>
          <w:sz w:val="28"/>
          <w:szCs w:val="28"/>
        </w:rPr>
        <w:t xml:space="preserve"> Ello se debe, esencialmente, a que el matrimonio es un acto de libertad individual, que despliega sus efectos en un plano colectivo, el de la familia. </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La configuración normativa del matrimonio y del divorcio debe ser realizada por el Congreso</w:t>
      </w:r>
      <w:r w:rsidRPr="005D36F1">
        <w:rPr>
          <w:rFonts w:ascii="Times New Roman" w:hAnsi="Times New Roman" w:cs="Times New Roman"/>
          <w:color w:val="000000" w:themeColor="text1"/>
          <w:sz w:val="28"/>
          <w:szCs w:val="28"/>
        </w:rPr>
        <w:t xml:space="preserve">. Por </w:t>
      </w:r>
      <w:r w:rsidRPr="005D36F1">
        <w:rPr>
          <w:rFonts w:ascii="Times New Roman" w:hAnsi="Times New Roman" w:cs="Times New Roman"/>
          <w:color w:val="000000" w:themeColor="text1"/>
          <w:sz w:val="28"/>
          <w:szCs w:val="28"/>
        </w:rPr>
        <w:t>expreso mandato de la Constitución, corresponde al Legislador regular la institución del matrimonio</w:t>
      </w:r>
      <w:r w:rsidRPr="005D36F1">
        <w:rPr>
          <w:rStyle w:val="Refdenotaalpie"/>
          <w:rFonts w:ascii="Times New Roman" w:hAnsi="Times New Roman" w:cs="Times New Roman"/>
          <w:color w:val="000000" w:themeColor="text1"/>
          <w:sz w:val="28"/>
          <w:szCs w:val="28"/>
        </w:rPr>
        <w:footnoteReference w:id="107"/>
      </w:r>
      <w:r w:rsidRPr="005D36F1">
        <w:rPr>
          <w:rFonts w:ascii="Times New Roman" w:hAnsi="Times New Roman" w:cs="Times New Roman"/>
          <w:color w:val="000000" w:themeColor="text1"/>
          <w:sz w:val="28"/>
          <w:szCs w:val="28"/>
        </w:rPr>
        <w:t>. Esta corporación ha observado que, en cumplimiento del artículo 42 superior, la ley debe desarrollar «entre</w:t>
      </w:r>
      <w:r w:rsidRPr="005D36F1">
        <w:rPr>
          <w:rFonts w:ascii="Times New Roman" w:hAnsi="Times New Roman" w:cs="Times New Roman"/>
          <w:color w:val="000000" w:themeColor="text1"/>
          <w:sz w:val="28"/>
          <w:szCs w:val="20"/>
        </w:rPr>
        <w:t xml:space="preserve"> </w:t>
      </w:r>
      <w:r w:rsidRPr="005D36F1">
        <w:rPr>
          <w:rFonts w:ascii="Times New Roman" w:hAnsi="Times New Roman" w:cs="Times New Roman"/>
          <w:color w:val="000000" w:themeColor="text1"/>
          <w:sz w:val="28"/>
          <w:szCs w:val="28"/>
        </w:rPr>
        <w:t>otros aspectos [los siguientes]: “las formas d</w:t>
      </w:r>
      <w:r w:rsidRPr="005D36F1">
        <w:rPr>
          <w:rFonts w:ascii="Times New Roman" w:hAnsi="Times New Roman" w:cs="Times New Roman"/>
          <w:color w:val="000000" w:themeColor="text1"/>
          <w:sz w:val="28"/>
          <w:szCs w:val="28"/>
        </w:rPr>
        <w:t>el matrimonio”; “la edad y capacidad para contraerlo”; “los deberes y derechos de los cónyuges”; “su separación” y “la disolución del vínculo” matrimonial, y “lo relativo al estado civil de las personas”»</w:t>
      </w:r>
      <w:r w:rsidRPr="005D36F1">
        <w:rPr>
          <w:rStyle w:val="Refdenotaalpie"/>
          <w:rFonts w:ascii="Times New Roman" w:hAnsi="Times New Roman" w:cs="Times New Roman"/>
          <w:color w:val="000000" w:themeColor="text1"/>
          <w:sz w:val="28"/>
          <w:szCs w:val="28"/>
        </w:rPr>
        <w:footnoteReference w:id="108"/>
      </w:r>
      <w:r w:rsidRPr="005D36F1">
        <w:rPr>
          <w:rFonts w:ascii="Times New Roman" w:hAnsi="Times New Roman" w:cs="Times New Roman"/>
          <w:color w:val="000000" w:themeColor="text1"/>
          <w:sz w:val="28"/>
          <w:szCs w:val="28"/>
        </w:rPr>
        <w:t>. En atención a que el matrimonio no es un contrato</w:t>
      </w:r>
      <w:r w:rsidRPr="005D36F1">
        <w:rPr>
          <w:rFonts w:ascii="Times New Roman" w:hAnsi="Times New Roman" w:cs="Times New Roman"/>
          <w:color w:val="000000" w:themeColor="text1"/>
          <w:sz w:val="28"/>
          <w:szCs w:val="28"/>
        </w:rPr>
        <w:t xml:space="preserve"> ordinario, cuyos términos puedan ser objeto de variación por los contrayentes, la autorización concedida al Legislador por el artículo 42 de la carta «también lleva implícito para quien decide voluntariamente contraer matrimonio, el deber jurídico de some</w:t>
      </w:r>
      <w:r w:rsidRPr="005D36F1">
        <w:rPr>
          <w:rFonts w:ascii="Times New Roman" w:hAnsi="Times New Roman" w:cs="Times New Roman"/>
          <w:color w:val="000000" w:themeColor="text1"/>
          <w:sz w:val="28"/>
          <w:szCs w:val="28"/>
        </w:rPr>
        <w:t>terse al régimen legal estatuido y de asumir las consecuencias que de él se derivan</w:t>
      </w:r>
      <w:r w:rsidRPr="005D36F1" w:rsidDel="00703076">
        <w:rPr>
          <w:rFonts w:ascii="Times New Roman" w:hAnsi="Times New Roman" w:cs="Times New Roman"/>
          <w:color w:val="000000" w:themeColor="text1"/>
          <w:sz w:val="28"/>
          <w:szCs w:val="28"/>
        </w:rPr>
        <w:t xml:space="preserve"> </w:t>
      </w:r>
      <w:r w:rsidRPr="005D36F1">
        <w:rPr>
          <w:rFonts w:ascii="Times New Roman" w:hAnsi="Times New Roman" w:cs="Times New Roman"/>
          <w:color w:val="000000" w:themeColor="text1"/>
          <w:sz w:val="28"/>
          <w:szCs w:val="28"/>
        </w:rPr>
        <w:t>»</w:t>
      </w:r>
      <w:r w:rsidRPr="005D36F1">
        <w:rPr>
          <w:rStyle w:val="Refdenotaalpie"/>
          <w:rFonts w:ascii="Times New Roman" w:hAnsi="Times New Roman" w:cs="Times New Roman"/>
          <w:color w:val="000000" w:themeColor="text1"/>
          <w:sz w:val="28"/>
          <w:szCs w:val="28"/>
        </w:rPr>
        <w:footnoteReference w:id="109"/>
      </w:r>
      <w:r w:rsidRPr="005D36F1">
        <w:rPr>
          <w:rFonts w:ascii="Times New Roman" w:hAnsi="Times New Roman" w:cs="Times New Roman"/>
          <w:color w:val="000000" w:themeColor="text1"/>
          <w:sz w:val="28"/>
          <w:szCs w:val="28"/>
        </w:rPr>
        <w:t>. Sobre este último asunto, de gran relevancia para la solución de la presente controversia, la Corte ha manifestado que «</w:t>
      </w:r>
      <w:r w:rsidRPr="005D36F1">
        <w:rPr>
          <w:rFonts w:ascii="Times New Roman" w:hAnsi="Times New Roman" w:cs="Times New Roman"/>
          <w:color w:val="000000" w:themeColor="text1"/>
          <w:sz w:val="28"/>
          <w:szCs w:val="28"/>
          <w:lang w:val="es-ES_tradnl"/>
        </w:rPr>
        <w:t>entre las potestades que el ordenamiento superio</w:t>
      </w:r>
      <w:r w:rsidRPr="005D36F1">
        <w:rPr>
          <w:rFonts w:ascii="Times New Roman" w:hAnsi="Times New Roman" w:cs="Times New Roman"/>
          <w:color w:val="000000" w:themeColor="text1"/>
          <w:sz w:val="28"/>
          <w:szCs w:val="28"/>
          <w:lang w:val="es-ES_tradnl"/>
        </w:rPr>
        <w:t>r le asigna al Legislador está la de regular las formas de disolución del acuerdo matrimonial»</w:t>
      </w:r>
      <w:r w:rsidRPr="005D36F1">
        <w:rPr>
          <w:rStyle w:val="Refdenotaalpie"/>
          <w:rFonts w:ascii="Times New Roman" w:hAnsi="Times New Roman" w:cs="Times New Roman"/>
          <w:color w:val="000000" w:themeColor="text1"/>
          <w:sz w:val="28"/>
          <w:szCs w:val="28"/>
          <w:lang w:val="es-ES_tradnl"/>
        </w:rPr>
        <w:footnoteReference w:id="110"/>
      </w:r>
      <w:r w:rsidRPr="005D36F1">
        <w:rPr>
          <w:rFonts w:ascii="Times New Roman" w:hAnsi="Times New Roman" w:cs="Times New Roman"/>
          <w:color w:val="000000" w:themeColor="text1"/>
          <w:sz w:val="28"/>
          <w:szCs w:val="28"/>
        </w:rPr>
        <w:t xml:space="preserve">.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 xml:space="preserve">Margen razonable de configuración para la regulación del matrimonio y el divorcio. </w:t>
      </w:r>
      <w:r w:rsidRPr="005D36F1">
        <w:rPr>
          <w:rFonts w:ascii="Times New Roman" w:hAnsi="Times New Roman" w:cs="Times New Roman"/>
          <w:color w:val="000000" w:themeColor="text1"/>
          <w:sz w:val="28"/>
          <w:szCs w:val="28"/>
        </w:rPr>
        <w:t xml:space="preserve">Esta corporación ha entendido que la facultad en comento tiene por objeto </w:t>
      </w:r>
      <w:r w:rsidRPr="005D36F1">
        <w:rPr>
          <w:rFonts w:ascii="Times New Roman" w:hAnsi="Times New Roman" w:cs="Times New Roman"/>
          <w:color w:val="000000" w:themeColor="text1"/>
          <w:sz w:val="28"/>
          <w:szCs w:val="28"/>
        </w:rPr>
        <w:t>brindarle al Legislador «un margen razonable para fijar la política en materia de familia y de divorcio (artículo 42, inciso 9, C.P.)»</w:t>
      </w:r>
      <w:r w:rsidRPr="005D36F1">
        <w:rPr>
          <w:rStyle w:val="Refdenotaalpie"/>
          <w:rFonts w:ascii="Times New Roman" w:hAnsi="Times New Roman" w:cs="Times New Roman"/>
          <w:color w:val="000000" w:themeColor="text1"/>
          <w:sz w:val="28"/>
          <w:szCs w:val="28"/>
        </w:rPr>
        <w:footnoteReference w:id="111"/>
      </w:r>
      <w:r w:rsidRPr="005D36F1">
        <w:rPr>
          <w:rFonts w:ascii="Times New Roman" w:hAnsi="Times New Roman" w:cs="Times New Roman"/>
          <w:color w:val="000000" w:themeColor="text1"/>
          <w:sz w:val="28"/>
          <w:szCs w:val="28"/>
        </w:rPr>
        <w:t xml:space="preserve">. El ejercicio </w:t>
      </w:r>
      <w:r w:rsidRPr="005D36F1">
        <w:rPr>
          <w:rFonts w:ascii="Times New Roman" w:hAnsi="Times New Roman" w:cs="Times New Roman"/>
          <w:i/>
          <w:iCs/>
          <w:color w:val="000000" w:themeColor="text1"/>
          <w:sz w:val="28"/>
          <w:szCs w:val="28"/>
        </w:rPr>
        <w:t>razonable</w:t>
      </w:r>
      <w:r w:rsidRPr="005D36F1">
        <w:rPr>
          <w:rFonts w:ascii="Times New Roman" w:hAnsi="Times New Roman" w:cs="Times New Roman"/>
          <w:color w:val="000000" w:themeColor="text1"/>
          <w:sz w:val="28"/>
          <w:szCs w:val="28"/>
        </w:rPr>
        <w:t xml:space="preserve"> de esta competencia implica la observancia de los atributos sustanciales que la Constitución ha </w:t>
      </w:r>
      <w:r w:rsidRPr="005D36F1">
        <w:rPr>
          <w:rFonts w:ascii="Times New Roman" w:hAnsi="Times New Roman" w:cs="Times New Roman"/>
          <w:color w:val="000000" w:themeColor="text1"/>
          <w:sz w:val="28"/>
          <w:szCs w:val="28"/>
        </w:rPr>
        <w:t>conferido a esta institución y el respeto de los límites y prohibiciones que aquella ha fijado</w:t>
      </w:r>
      <w:r w:rsidRPr="005D36F1">
        <w:rPr>
          <w:rStyle w:val="Refdenotaalpie"/>
          <w:rFonts w:ascii="Times New Roman" w:hAnsi="Times New Roman" w:cs="Times New Roman"/>
          <w:color w:val="000000" w:themeColor="text1"/>
          <w:sz w:val="28"/>
          <w:szCs w:val="28"/>
        </w:rPr>
        <w:footnoteReference w:id="112"/>
      </w:r>
      <w:r w:rsidRPr="005D36F1">
        <w:rPr>
          <w:rFonts w:ascii="Times New Roman" w:hAnsi="Times New Roman" w:cs="Times New Roman"/>
          <w:color w:val="000000" w:themeColor="text1"/>
          <w:sz w:val="28"/>
          <w:szCs w:val="28"/>
        </w:rPr>
        <w:t>. Según el criterio de este tribunal, en cumplimiento de este encargo, «ha de garantizarse […] en todas las circunstancias, el respeto a la libertad individual d</w:t>
      </w:r>
      <w:r w:rsidRPr="005D36F1">
        <w:rPr>
          <w:rFonts w:ascii="Times New Roman" w:hAnsi="Times New Roman" w:cs="Times New Roman"/>
          <w:color w:val="000000" w:themeColor="text1"/>
          <w:sz w:val="28"/>
          <w:szCs w:val="28"/>
        </w:rPr>
        <w:t>e los miembros de la familia, es decir, queda proscrita toda forma de ejercicio arbitrario de autoridad que cercene el derecho a actuar sin más límites que los que imponga el orden jurídico o los derechos de las demás personas, pues la pertenencia a una fa</w:t>
      </w:r>
      <w:r w:rsidRPr="005D36F1">
        <w:rPr>
          <w:rFonts w:ascii="Times New Roman" w:hAnsi="Times New Roman" w:cs="Times New Roman"/>
          <w:color w:val="000000" w:themeColor="text1"/>
          <w:sz w:val="28"/>
          <w:szCs w:val="28"/>
        </w:rPr>
        <w:t>milia en nada desconoce el derecho al libre desarrollo de la personalidad que se garantiza por el artículo 16 de la carta política»</w:t>
      </w:r>
      <w:r w:rsidRPr="005D36F1">
        <w:rPr>
          <w:rStyle w:val="Refdenotaalpie"/>
          <w:rFonts w:ascii="Times New Roman" w:hAnsi="Times New Roman" w:cs="Times New Roman"/>
          <w:color w:val="000000" w:themeColor="text1"/>
          <w:sz w:val="28"/>
          <w:szCs w:val="28"/>
        </w:rPr>
        <w:footnoteReference w:id="113"/>
      </w:r>
      <w:r w:rsidRPr="005D36F1">
        <w:rPr>
          <w:rFonts w:ascii="Times New Roman" w:hAnsi="Times New Roman" w:cs="Times New Roman"/>
          <w:color w:val="000000" w:themeColor="text1"/>
          <w:sz w:val="28"/>
          <w:szCs w:val="28"/>
        </w:rPr>
        <w:t>.</w:t>
      </w:r>
    </w:p>
    <w:p w:rsidR="00894FB7" w:rsidRPr="005D36F1" w:rsidRDefault="005D36F1" w:rsidP="00894FB7">
      <w:pPr>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i/>
          <w:iCs/>
          <w:color w:val="000000" w:themeColor="text1"/>
          <w:sz w:val="28"/>
          <w:szCs w:val="28"/>
        </w:rPr>
      </w:pPr>
      <w:r w:rsidRPr="005D36F1">
        <w:rPr>
          <w:rFonts w:ascii="Times New Roman" w:hAnsi="Times New Roman" w:cs="Times New Roman"/>
          <w:i/>
          <w:iCs/>
          <w:color w:val="000000" w:themeColor="text1"/>
          <w:sz w:val="28"/>
          <w:szCs w:val="28"/>
        </w:rPr>
        <w:t xml:space="preserve">Clasificación de las causales de divorcio. </w:t>
      </w:r>
      <w:r w:rsidRPr="005D36F1">
        <w:rPr>
          <w:rFonts w:ascii="Times New Roman" w:hAnsi="Times New Roman" w:cs="Times New Roman"/>
          <w:color w:val="000000" w:themeColor="text1"/>
          <w:sz w:val="28"/>
          <w:szCs w:val="28"/>
        </w:rPr>
        <w:t>En ejercicio de esta competencia, el Legislador estableció, en el artículo 154</w:t>
      </w:r>
      <w:r w:rsidRPr="005D36F1">
        <w:rPr>
          <w:rFonts w:ascii="Times New Roman" w:hAnsi="Times New Roman" w:cs="Times New Roman"/>
          <w:color w:val="000000" w:themeColor="text1"/>
          <w:sz w:val="28"/>
          <w:szCs w:val="28"/>
        </w:rPr>
        <w:t xml:space="preserve"> del Código Civil, un conjunto de causales que dan lugar a la terminación del vínculo matrimonial. Atendiendo su naturaleza y los efectos que conllevan, «</w:t>
      </w:r>
      <w:r w:rsidRPr="005D36F1">
        <w:rPr>
          <w:rFonts w:ascii="Times New Roman" w:hAnsi="Times New Roman" w:cs="Times New Roman"/>
          <w:color w:val="000000" w:themeColor="text1"/>
          <w:sz w:val="28"/>
          <w:szCs w:val="28"/>
          <w:lang w:val="es-ES"/>
        </w:rPr>
        <w:t>[l]a jurisprudencia y la doctrina han clasificado esas causales en dos grupos: objetivas y subjetivas»</w:t>
      </w:r>
      <w:r w:rsidRPr="005D36F1">
        <w:rPr>
          <w:rStyle w:val="Refdenotaalpie"/>
          <w:rFonts w:ascii="Times New Roman" w:hAnsi="Times New Roman" w:cs="Times New Roman"/>
          <w:color w:val="000000" w:themeColor="text1"/>
          <w:sz w:val="28"/>
          <w:szCs w:val="28"/>
        </w:rPr>
        <w:footnoteReference w:id="114"/>
      </w:r>
      <w:r w:rsidRPr="005D36F1">
        <w:rPr>
          <w:rFonts w:ascii="Times New Roman" w:hAnsi="Times New Roman" w:cs="Times New Roman"/>
          <w:color w:val="000000" w:themeColor="text1"/>
          <w:sz w:val="28"/>
          <w:szCs w:val="28"/>
          <w:lang w:val="es-ES"/>
        </w:rPr>
        <w:t>. En el primero de ellos</w:t>
      </w:r>
      <w:r w:rsidRPr="005D36F1">
        <w:rPr>
          <w:rStyle w:val="Refdenotaalpie"/>
          <w:rFonts w:ascii="Times New Roman" w:hAnsi="Times New Roman" w:cs="Times New Roman"/>
          <w:color w:val="000000" w:themeColor="text1"/>
          <w:sz w:val="28"/>
          <w:szCs w:val="28"/>
        </w:rPr>
        <w:footnoteReference w:id="115"/>
      </w:r>
      <w:r w:rsidRPr="005D36F1">
        <w:rPr>
          <w:rFonts w:ascii="Times New Roman" w:hAnsi="Times New Roman" w:cs="Times New Roman"/>
          <w:color w:val="000000" w:themeColor="text1"/>
          <w:sz w:val="28"/>
          <w:szCs w:val="28"/>
          <w:lang w:val="es-ES"/>
        </w:rPr>
        <w:t>, el divorcio se produce como resultado de una «</w:t>
      </w:r>
      <w:r w:rsidRPr="005D36F1">
        <w:rPr>
          <w:rFonts w:ascii="Times New Roman" w:hAnsi="Times New Roman" w:cs="Times New Roman"/>
          <w:color w:val="000000" w:themeColor="text1"/>
          <w:sz w:val="28"/>
          <w:szCs w:val="28"/>
        </w:rPr>
        <w:t>ruptura de los lazos afectivos que motivan el matrimonio»</w:t>
      </w:r>
      <w:r w:rsidRPr="005D36F1">
        <w:rPr>
          <w:rStyle w:val="Refdenotaalpie"/>
          <w:rFonts w:ascii="Times New Roman" w:hAnsi="Times New Roman" w:cs="Times New Roman"/>
          <w:color w:val="000000" w:themeColor="text1"/>
          <w:sz w:val="28"/>
          <w:szCs w:val="28"/>
        </w:rPr>
        <w:footnoteReference w:id="116"/>
      </w:r>
      <w:r w:rsidRPr="005D36F1">
        <w:rPr>
          <w:rFonts w:ascii="Times New Roman" w:hAnsi="Times New Roman" w:cs="Times New Roman"/>
          <w:color w:val="000000" w:themeColor="text1"/>
          <w:sz w:val="28"/>
          <w:szCs w:val="28"/>
        </w:rPr>
        <w:t>. En tal caso, la finalización del vínculo matrimonial aparece «como mejor remedio para las situaciones vividas»</w:t>
      </w:r>
      <w:r w:rsidRPr="005D36F1">
        <w:rPr>
          <w:rStyle w:val="Refdenotaalpie"/>
          <w:rFonts w:ascii="Times New Roman" w:hAnsi="Times New Roman" w:cs="Times New Roman"/>
          <w:color w:val="000000" w:themeColor="text1"/>
          <w:sz w:val="28"/>
          <w:szCs w:val="28"/>
        </w:rPr>
        <w:footnoteReference w:id="117"/>
      </w:r>
      <w:r w:rsidRPr="005D36F1">
        <w:rPr>
          <w:rFonts w:ascii="Times New Roman" w:hAnsi="Times New Roman" w:cs="Times New Roman"/>
          <w:color w:val="000000" w:themeColor="text1"/>
          <w:sz w:val="28"/>
          <w:szCs w:val="28"/>
        </w:rPr>
        <w:t>. Esta corp</w:t>
      </w:r>
      <w:r w:rsidRPr="005D36F1">
        <w:rPr>
          <w:rFonts w:ascii="Times New Roman" w:hAnsi="Times New Roman" w:cs="Times New Roman"/>
          <w:color w:val="000000" w:themeColor="text1"/>
          <w:sz w:val="28"/>
          <w:szCs w:val="28"/>
        </w:rPr>
        <w:t>oración ha añadido que «[l]as causales [objetivas] pueden ser invocadas en cualquier tiempo por cualquiera de los cónyuges, y [que] el juez que conoce de la demanda no requiere valorar la conducta alegada; debe respetar el deseo de uno o los dos cónyuges d</w:t>
      </w:r>
      <w:r w:rsidRPr="005D36F1">
        <w:rPr>
          <w:rFonts w:ascii="Times New Roman" w:hAnsi="Times New Roman" w:cs="Times New Roman"/>
          <w:color w:val="000000" w:themeColor="text1"/>
          <w:sz w:val="28"/>
          <w:szCs w:val="28"/>
        </w:rPr>
        <w:t>e disolver el vínculo matrimonial»</w:t>
      </w:r>
      <w:r w:rsidRPr="005D36F1">
        <w:rPr>
          <w:rStyle w:val="Refdenotaalpie"/>
          <w:rFonts w:ascii="Times New Roman" w:hAnsi="Times New Roman" w:cs="Times New Roman"/>
          <w:color w:val="000000" w:themeColor="text1"/>
          <w:sz w:val="28"/>
          <w:szCs w:val="28"/>
        </w:rPr>
        <w:footnoteReference w:id="118"/>
      </w:r>
      <w:r w:rsidRPr="005D36F1">
        <w:rPr>
          <w:rFonts w:ascii="Times New Roman" w:hAnsi="Times New Roman" w:cs="Times New Roman"/>
          <w:color w:val="000000" w:themeColor="text1"/>
          <w:sz w:val="28"/>
          <w:szCs w:val="28"/>
        </w:rPr>
        <w:t>.</w:t>
      </w:r>
    </w:p>
    <w:p w:rsidR="00894FB7" w:rsidRPr="005D36F1" w:rsidRDefault="005D36F1" w:rsidP="00894FB7">
      <w:pPr>
        <w:rPr>
          <w:rFonts w:ascii="Times New Roman" w:hAnsi="Times New Roman" w:cs="Times New Roman"/>
          <w:i/>
          <w:iCs/>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i/>
          <w:iCs/>
          <w:color w:val="000000" w:themeColor="text1"/>
          <w:sz w:val="28"/>
          <w:szCs w:val="28"/>
        </w:rPr>
      </w:pPr>
      <w:r w:rsidRPr="005D36F1">
        <w:rPr>
          <w:rFonts w:ascii="Times New Roman" w:hAnsi="Times New Roman" w:cs="Times New Roman"/>
          <w:color w:val="000000" w:themeColor="text1"/>
          <w:sz w:val="28"/>
          <w:szCs w:val="28"/>
        </w:rPr>
        <w:t xml:space="preserve">El segundo grupo reúne las causales divorcio de naturaleza subjetiva. En ellas, el divorcio se atribuye a «la culpa de alguno de los cónyuges en el cumplimiento de sus obligaciones conyugales y dan lugar a lo que la </w:t>
      </w:r>
      <w:r w:rsidRPr="005D36F1">
        <w:rPr>
          <w:rFonts w:ascii="Times New Roman" w:hAnsi="Times New Roman" w:cs="Times New Roman"/>
          <w:color w:val="000000" w:themeColor="text1"/>
          <w:sz w:val="28"/>
          <w:szCs w:val="28"/>
        </w:rPr>
        <w:t>doctrina ha denominado el </w:t>
      </w:r>
      <w:r w:rsidRPr="005D36F1">
        <w:rPr>
          <w:rFonts w:ascii="Times New Roman" w:hAnsi="Times New Roman" w:cs="Times New Roman"/>
          <w:i/>
          <w:iCs/>
          <w:color w:val="000000" w:themeColor="text1"/>
          <w:sz w:val="28"/>
          <w:szCs w:val="28"/>
        </w:rPr>
        <w:t>divorcio sanción</w:t>
      </w:r>
      <w:r w:rsidRPr="005D36F1">
        <w:rPr>
          <w:rFonts w:ascii="Times New Roman" w:hAnsi="Times New Roman" w:cs="Times New Roman"/>
          <w:color w:val="000000" w:themeColor="text1"/>
          <w:sz w:val="28"/>
          <w:szCs w:val="28"/>
        </w:rPr>
        <w:t>»</w:t>
      </w:r>
      <w:r w:rsidRPr="005D36F1">
        <w:rPr>
          <w:rStyle w:val="Refdenotaalpie"/>
          <w:rFonts w:ascii="Times New Roman" w:hAnsi="Times New Roman" w:cs="Times New Roman"/>
          <w:color w:val="000000" w:themeColor="text1"/>
          <w:sz w:val="28"/>
          <w:szCs w:val="28"/>
        </w:rPr>
        <w:footnoteReference w:id="119"/>
      </w:r>
      <w:r w:rsidRPr="005D36F1">
        <w:rPr>
          <w:rFonts w:ascii="Times New Roman" w:hAnsi="Times New Roman" w:cs="Times New Roman"/>
          <w:color w:val="000000" w:themeColor="text1"/>
          <w:sz w:val="28"/>
          <w:szCs w:val="28"/>
        </w:rPr>
        <w:t>. La jurisprudencia ha destacado que estas causales «pueden ser invocadas solamente por el cónyuge inocente»</w:t>
      </w:r>
      <w:r w:rsidRPr="005D36F1">
        <w:rPr>
          <w:rStyle w:val="Refdenotaalpie"/>
          <w:rFonts w:ascii="Times New Roman" w:hAnsi="Times New Roman" w:cs="Times New Roman"/>
          <w:color w:val="000000" w:themeColor="text1"/>
          <w:sz w:val="28"/>
          <w:szCs w:val="28"/>
        </w:rPr>
        <w:footnoteReference w:id="120"/>
      </w:r>
      <w:r w:rsidRPr="005D36F1">
        <w:rPr>
          <w:rFonts w:ascii="Times New Roman" w:hAnsi="Times New Roman" w:cs="Times New Roman"/>
          <w:color w:val="000000" w:themeColor="text1"/>
          <w:sz w:val="28"/>
          <w:szCs w:val="28"/>
        </w:rPr>
        <w:t xml:space="preserve"> y que su acaecimiento «debe ser demostrad[o] ante la jurisdicción, [permitiendo que] el cónyuge en con</w:t>
      </w:r>
      <w:r w:rsidRPr="005D36F1">
        <w:rPr>
          <w:rFonts w:ascii="Times New Roman" w:hAnsi="Times New Roman" w:cs="Times New Roman"/>
          <w:color w:val="000000" w:themeColor="text1"/>
          <w:sz w:val="28"/>
          <w:szCs w:val="28"/>
        </w:rPr>
        <w:t>tra de quien se invocan pued[a] ejercer su derecho de defensa y demostrar que los hechos alegados no ocurrieron o que no fue el gestor de la conducta»</w:t>
      </w:r>
      <w:r w:rsidRPr="005D36F1">
        <w:rPr>
          <w:rStyle w:val="Refdenotaalpie"/>
          <w:rFonts w:ascii="Times New Roman" w:hAnsi="Times New Roman" w:cs="Times New Roman"/>
          <w:color w:val="000000" w:themeColor="text1"/>
          <w:sz w:val="28"/>
          <w:szCs w:val="28"/>
        </w:rPr>
        <w:footnoteReference w:id="121"/>
      </w:r>
      <w:r w:rsidRPr="005D36F1">
        <w:rPr>
          <w:rFonts w:ascii="Times New Roman" w:hAnsi="Times New Roman" w:cs="Times New Roman"/>
          <w:color w:val="000000" w:themeColor="text1"/>
          <w:sz w:val="28"/>
          <w:szCs w:val="28"/>
        </w:rPr>
        <w:t xml:space="preserve">. Con base en esta particular índole, el Legislador ha previsto dos consecuencias jurídicas específicas, </w:t>
      </w:r>
      <w:r w:rsidRPr="005D36F1">
        <w:rPr>
          <w:rFonts w:ascii="Times New Roman" w:hAnsi="Times New Roman" w:cs="Times New Roman"/>
          <w:color w:val="000000" w:themeColor="text1"/>
          <w:sz w:val="28"/>
          <w:szCs w:val="28"/>
        </w:rPr>
        <w:t>que no resultan aplicables en el caso de las causales objetivas: «[L]a posibilidad (i) de que el juez imponga al cónyuge culpable la obligación de pagar alimentos al cónyuge inocente –artículo 411-4 del Código Civil; y (ii) de que el cónyuge inocente revoq</w:t>
      </w:r>
      <w:r w:rsidRPr="005D36F1">
        <w:rPr>
          <w:rFonts w:ascii="Times New Roman" w:hAnsi="Times New Roman" w:cs="Times New Roman"/>
          <w:color w:val="000000" w:themeColor="text1"/>
          <w:sz w:val="28"/>
          <w:szCs w:val="28"/>
        </w:rPr>
        <w:t>ue las donaciones que con ocasión del matrimonio haya hecho al cónyuge culpable –artículo 162 del Código Civil»</w:t>
      </w:r>
      <w:r w:rsidRPr="005D36F1">
        <w:rPr>
          <w:rStyle w:val="Refdenotaalpie"/>
          <w:rFonts w:ascii="Times New Roman" w:hAnsi="Times New Roman" w:cs="Times New Roman"/>
          <w:color w:val="000000" w:themeColor="text1"/>
          <w:sz w:val="28"/>
          <w:szCs w:val="28"/>
        </w:rPr>
        <w:footnoteReference w:id="122"/>
      </w:r>
      <w:r w:rsidRPr="005D36F1">
        <w:rPr>
          <w:rFonts w:ascii="Times New Roman" w:hAnsi="Times New Roman" w:cs="Times New Roman"/>
          <w:color w:val="000000" w:themeColor="text1"/>
          <w:sz w:val="28"/>
          <w:szCs w:val="28"/>
        </w:rPr>
        <w:t>.</w:t>
      </w:r>
    </w:p>
    <w:p w:rsidR="00894FB7" w:rsidRPr="005D36F1" w:rsidRDefault="005D36F1" w:rsidP="00894FB7">
      <w:pPr>
        <w:rPr>
          <w:rFonts w:ascii="Times New Roman" w:hAnsi="Times New Roman" w:cs="Times New Roman"/>
          <w:i/>
          <w:iCs/>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 xml:space="preserve">Existencia de un tercer grupo, en el que se incluye la causal sexta de divorcio. </w:t>
      </w:r>
      <w:r w:rsidRPr="005D36F1">
        <w:rPr>
          <w:rFonts w:ascii="Times New Roman" w:hAnsi="Times New Roman" w:cs="Times New Roman"/>
          <w:color w:val="000000" w:themeColor="text1"/>
          <w:sz w:val="28"/>
          <w:szCs w:val="28"/>
        </w:rPr>
        <w:t>Hasta esta oportunidad, la Sala Plena ha manifestado que tod</w:t>
      </w:r>
      <w:r w:rsidRPr="005D36F1">
        <w:rPr>
          <w:rFonts w:ascii="Times New Roman" w:hAnsi="Times New Roman" w:cs="Times New Roman"/>
          <w:color w:val="000000" w:themeColor="text1"/>
          <w:sz w:val="28"/>
          <w:szCs w:val="28"/>
        </w:rPr>
        <w:t>as las causales previstas en el artículo 154 del Código Civil encajan en alguno de estos dos conjuntos</w:t>
      </w:r>
      <w:r w:rsidRPr="005D36F1">
        <w:rPr>
          <w:rStyle w:val="Refdenotaalpie"/>
          <w:rFonts w:ascii="Times New Roman" w:hAnsi="Times New Roman" w:cs="Times New Roman"/>
          <w:color w:val="000000" w:themeColor="text1"/>
          <w:sz w:val="28"/>
          <w:szCs w:val="28"/>
        </w:rPr>
        <w:footnoteReference w:id="123"/>
      </w:r>
      <w:r w:rsidRPr="005D36F1">
        <w:rPr>
          <w:rFonts w:ascii="Times New Roman" w:hAnsi="Times New Roman" w:cs="Times New Roman"/>
          <w:color w:val="000000" w:themeColor="text1"/>
          <w:sz w:val="28"/>
          <w:szCs w:val="28"/>
        </w:rPr>
        <w:t>. Este juicio se ha basado en que, en criterio del tribunal, todas ellas cumplen, de manera cabal, tanto las características conceptuales como las consec</w:t>
      </w:r>
      <w:r w:rsidRPr="005D36F1">
        <w:rPr>
          <w:rFonts w:ascii="Times New Roman" w:hAnsi="Times New Roman" w:cs="Times New Roman"/>
          <w:color w:val="000000" w:themeColor="text1"/>
          <w:sz w:val="28"/>
          <w:szCs w:val="28"/>
        </w:rPr>
        <w:t>uencias jurídicas que justifican la aludida clasificación. Sin embargo, al volver sobre este asunto, el plenario encuentra que existe —al menos— un caso en el que dicha ordenación resulta imprecisa. Tal es el caso de la causal sexta, que alude a «[t]oda en</w:t>
      </w:r>
      <w:r w:rsidRPr="005D36F1">
        <w:rPr>
          <w:rFonts w:ascii="Times New Roman" w:hAnsi="Times New Roman" w:cs="Times New Roman"/>
          <w:color w:val="000000" w:themeColor="text1"/>
          <w:sz w:val="28"/>
          <w:szCs w:val="28"/>
        </w:rPr>
        <w:t>fermedad o anormalidad grave e incurable, física o síquica, de uno de los cónyuges, que ponga en peligro la salud mental o física del otro cónyuge e imposibilite la comunidad matrimonial».</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Se ha entendido que esta causal es de índole objetiva, en la medid</w:t>
      </w:r>
      <w:r w:rsidRPr="005D36F1">
        <w:rPr>
          <w:rFonts w:ascii="Times New Roman" w:hAnsi="Times New Roman" w:cs="Times New Roman"/>
          <w:color w:val="000000" w:themeColor="text1"/>
          <w:sz w:val="28"/>
          <w:szCs w:val="28"/>
        </w:rPr>
        <w:t>a en que los hechos que dan lugar a su configuración no conllevan el incumplimiento de obligaciones maritales. Por tal motivo, de manera congruente con la anterior caracterización, originalmente, el Legislador había previsto que la causal en cuestión no da</w:t>
      </w:r>
      <w:r w:rsidRPr="005D36F1">
        <w:rPr>
          <w:rFonts w:ascii="Times New Roman" w:hAnsi="Times New Roman" w:cs="Times New Roman"/>
          <w:color w:val="000000" w:themeColor="text1"/>
          <w:sz w:val="28"/>
          <w:szCs w:val="28"/>
        </w:rPr>
        <w:t xml:space="preserve">ría lugar a ninguna de las consecuencias jurídicas propias de las causales subjetivas. Esta ordenación se basaba en el hecho de que la aparición de la enfermedad no era atribuible a la culpa de ninguno de los contrayentes, por lo que el divorcio sería el </w:t>
      </w:r>
      <w:r w:rsidRPr="005D36F1">
        <w:rPr>
          <w:rFonts w:ascii="Times New Roman" w:hAnsi="Times New Roman" w:cs="Times New Roman"/>
          <w:i/>
          <w:iCs/>
          <w:color w:val="000000" w:themeColor="text1"/>
          <w:sz w:val="28"/>
          <w:szCs w:val="28"/>
        </w:rPr>
        <w:t>m</w:t>
      </w:r>
      <w:r w:rsidRPr="005D36F1">
        <w:rPr>
          <w:rFonts w:ascii="Times New Roman" w:hAnsi="Times New Roman" w:cs="Times New Roman"/>
          <w:i/>
          <w:iCs/>
          <w:color w:val="000000" w:themeColor="text1"/>
          <w:sz w:val="28"/>
          <w:szCs w:val="28"/>
        </w:rPr>
        <w:t xml:space="preserve">ejor remedio </w:t>
      </w:r>
      <w:r w:rsidRPr="005D36F1">
        <w:rPr>
          <w:rFonts w:ascii="Times New Roman" w:hAnsi="Times New Roman" w:cs="Times New Roman"/>
          <w:color w:val="000000" w:themeColor="text1"/>
          <w:sz w:val="28"/>
          <w:szCs w:val="28"/>
        </w:rPr>
        <w:t xml:space="preserve">para solventar esta situación.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 xml:space="preserve">Este arreglo normativo se vio modificado como consecuencia de la Sentencia C-246 de 2002. En dicha providencia, en la que se decidió una demanda de inconstitucionalidad contra </w:t>
      </w:r>
      <w:r w:rsidRPr="005D36F1">
        <w:rPr>
          <w:rFonts w:ascii="Times New Roman" w:hAnsi="Times New Roman" w:cs="Times New Roman"/>
          <w:color w:val="000000" w:themeColor="text1"/>
          <w:sz w:val="28"/>
          <w:szCs w:val="28"/>
          <w:lang w:val="es-ES_tradnl"/>
        </w:rPr>
        <w:t>la norma en comento, la Sala Plena</w:t>
      </w:r>
      <w:r w:rsidRPr="005D36F1">
        <w:rPr>
          <w:rFonts w:ascii="Times New Roman" w:hAnsi="Times New Roman" w:cs="Times New Roman"/>
          <w:color w:val="000000" w:themeColor="text1"/>
          <w:sz w:val="28"/>
          <w:szCs w:val="28"/>
          <w:lang w:val="es-ES_tradnl"/>
        </w:rPr>
        <w:t xml:space="preserve"> advirtió que la causal pretendía resolver la colisión entre dos derechos fundamentales: el derecho a la «</w:t>
      </w:r>
      <w:r w:rsidRPr="005D36F1">
        <w:rPr>
          <w:rFonts w:ascii="Times New Roman" w:hAnsi="Times New Roman" w:cs="Times New Roman"/>
          <w:color w:val="000000" w:themeColor="text1"/>
          <w:sz w:val="28"/>
          <w:szCs w:val="28"/>
        </w:rPr>
        <w:t xml:space="preserve">autonomía de la persona [que], deseando mantener la comunidad matrimonial, se enfrenta ante la imposibilidad fáctica de hacerlo, ya que la enfermedad </w:t>
      </w:r>
      <w:r w:rsidRPr="005D36F1">
        <w:rPr>
          <w:rFonts w:ascii="Times New Roman" w:hAnsi="Times New Roman" w:cs="Times New Roman"/>
          <w:color w:val="000000" w:themeColor="text1"/>
          <w:sz w:val="28"/>
          <w:szCs w:val="28"/>
        </w:rPr>
        <w:t>o discapacidad grave e incurable además de amenazar su salud impide la vida en comunidad matrimonial»</w:t>
      </w:r>
      <w:r w:rsidRPr="005D36F1">
        <w:rPr>
          <w:rStyle w:val="Refdenotaalpie"/>
          <w:rFonts w:ascii="Times New Roman" w:hAnsi="Times New Roman" w:cs="Times New Roman"/>
          <w:color w:val="000000" w:themeColor="text1"/>
          <w:sz w:val="28"/>
          <w:szCs w:val="28"/>
        </w:rPr>
        <w:footnoteReference w:id="124"/>
      </w:r>
      <w:r w:rsidRPr="005D36F1">
        <w:rPr>
          <w:rFonts w:ascii="Times New Roman" w:hAnsi="Times New Roman" w:cs="Times New Roman"/>
          <w:color w:val="000000" w:themeColor="text1"/>
          <w:sz w:val="28"/>
          <w:szCs w:val="28"/>
        </w:rPr>
        <w:t xml:space="preserve"> y la «autonomía del cónyuge enfermo», quien pese a encontrarse «</w:t>
      </w:r>
      <w:r w:rsidRPr="005D36F1">
        <w:rPr>
          <w:rFonts w:ascii="Times New Roman" w:hAnsi="Times New Roman" w:cs="Times New Roman"/>
          <w:color w:val="000000" w:themeColor="text1"/>
          <w:sz w:val="28"/>
          <w:szCs w:val="28"/>
          <w:lang w:val="es-ES_tradnl"/>
        </w:rPr>
        <w:t>gravemente afectada de una enfermedad o discapacidad incurable qued[a] expósita luego del</w:t>
      </w:r>
      <w:r w:rsidRPr="005D36F1">
        <w:rPr>
          <w:rFonts w:ascii="Times New Roman" w:hAnsi="Times New Roman" w:cs="Times New Roman"/>
          <w:color w:val="000000" w:themeColor="text1"/>
          <w:sz w:val="28"/>
          <w:szCs w:val="28"/>
          <w:lang w:val="es-ES_tradnl"/>
        </w:rPr>
        <w:t xml:space="preserve"> divorcio, sin que el otro cónyuge deba prestarle alimentos»</w:t>
      </w:r>
      <w:r w:rsidRPr="005D36F1">
        <w:rPr>
          <w:rStyle w:val="Refdenotaalpie"/>
          <w:rFonts w:ascii="Times New Roman" w:hAnsi="Times New Roman" w:cs="Times New Roman"/>
          <w:color w:val="000000" w:themeColor="text1"/>
          <w:sz w:val="28"/>
          <w:szCs w:val="28"/>
          <w:lang w:val="es-ES_tradnl"/>
        </w:rPr>
        <w:footnoteReference w:id="125"/>
      </w:r>
      <w:r w:rsidRPr="005D36F1">
        <w:rPr>
          <w:rFonts w:ascii="Times New Roman" w:hAnsi="Times New Roman" w:cs="Times New Roman"/>
          <w:color w:val="000000" w:themeColor="text1"/>
          <w:sz w:val="28"/>
          <w:szCs w:val="28"/>
          <w:lang w:val="es-ES_tradnl"/>
        </w:rPr>
        <w:t>.</w:t>
      </w:r>
      <w:r w:rsidRPr="005D36F1">
        <w:rPr>
          <w:rFonts w:ascii="Times New Roman" w:hAnsi="Times New Roman" w:cs="Times New Roman"/>
          <w:color w:val="000000" w:themeColor="text1"/>
          <w:sz w:val="28"/>
          <w:szCs w:val="28"/>
        </w:rPr>
        <w:t xml:space="preserve"> </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lang w:val="es-ES_tradnl"/>
        </w:rPr>
        <w:t>La colisión entre estos derechos dio lugar a la expedición de un fallo de exequibilidad condicionada. En virtud de la sentencia, la disposición debe entenderse en el sentido de «que el cónyug</w:t>
      </w:r>
      <w:r w:rsidRPr="005D36F1">
        <w:rPr>
          <w:rFonts w:ascii="Times New Roman" w:hAnsi="Times New Roman" w:cs="Times New Roman"/>
          <w:color w:val="000000" w:themeColor="text1"/>
          <w:sz w:val="28"/>
          <w:szCs w:val="28"/>
          <w:lang w:val="es-ES_tradnl"/>
        </w:rPr>
        <w:t xml:space="preserve">e divorciado que tenga enfermedad o anormalidad grave e incurable, física o psíquica, que carezca de medios para subsistir autónoma y dignamente, tiene derecho a que el otro cónyuge le suministre los alimentos respectivos, de conformidad con los criterios </w:t>
      </w:r>
      <w:r w:rsidRPr="005D36F1">
        <w:rPr>
          <w:rFonts w:ascii="Times New Roman" w:hAnsi="Times New Roman" w:cs="Times New Roman"/>
          <w:color w:val="000000" w:themeColor="text1"/>
          <w:sz w:val="28"/>
          <w:szCs w:val="28"/>
          <w:lang w:val="es-ES_tradnl"/>
        </w:rPr>
        <w:t>expuestos en el apartado 7 de esta sentencia»</w:t>
      </w:r>
      <w:r w:rsidRPr="005D36F1">
        <w:rPr>
          <w:rStyle w:val="Refdenotaalpie"/>
          <w:rFonts w:ascii="Times New Roman" w:hAnsi="Times New Roman" w:cs="Times New Roman"/>
          <w:color w:val="000000" w:themeColor="text1"/>
          <w:sz w:val="28"/>
          <w:szCs w:val="28"/>
          <w:lang w:val="es-ES_tradnl"/>
        </w:rPr>
        <w:footnoteReference w:id="126"/>
      </w:r>
      <w:r w:rsidRPr="005D36F1">
        <w:rPr>
          <w:rFonts w:ascii="Times New Roman" w:hAnsi="Times New Roman" w:cs="Times New Roman"/>
          <w:color w:val="000000" w:themeColor="text1"/>
          <w:sz w:val="28"/>
          <w:szCs w:val="28"/>
          <w:lang w:val="es-ES_tradnl"/>
        </w:rPr>
        <w:t xml:space="preserve">. </w:t>
      </w:r>
    </w:p>
    <w:p w:rsidR="00894FB7" w:rsidRPr="005D36F1" w:rsidRDefault="005D36F1" w:rsidP="00894FB7">
      <w:pPr>
        <w:jc w:val="both"/>
        <w:rPr>
          <w:rFonts w:ascii="Times New Roman" w:hAnsi="Times New Roman" w:cs="Times New Roman"/>
          <w:i/>
          <w:iCs/>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i/>
          <w:iCs/>
          <w:color w:val="000000" w:themeColor="text1"/>
          <w:sz w:val="28"/>
          <w:szCs w:val="28"/>
        </w:rPr>
      </w:pPr>
      <w:r w:rsidRPr="005D36F1">
        <w:rPr>
          <w:rFonts w:ascii="Times New Roman" w:hAnsi="Times New Roman" w:cs="Times New Roman"/>
          <w:color w:val="000000" w:themeColor="text1"/>
          <w:sz w:val="28"/>
          <w:szCs w:val="28"/>
        </w:rPr>
        <w:t>El condicionamiento de la disposición acarreó una importante modificación de la naturaleza jurídica de la causal. Como consecuencia del fallo, el cónyuge que padece la enfermedad queda autorizado para recla</w:t>
      </w:r>
      <w:r w:rsidRPr="005D36F1">
        <w:rPr>
          <w:rFonts w:ascii="Times New Roman" w:hAnsi="Times New Roman" w:cs="Times New Roman"/>
          <w:color w:val="000000" w:themeColor="text1"/>
          <w:sz w:val="28"/>
          <w:szCs w:val="28"/>
        </w:rPr>
        <w:t>mar el pago de alimentos, medida que tiene por objeto garantizar su mínimo vital y su autonomía personal. El otorgamiento de dicha facultad llevaría a pensar que la causal pasó de ser objetiva a subjetiva. Esta inferencia encontraría asidero en el hecho de</w:t>
      </w:r>
      <w:r w:rsidRPr="005D36F1">
        <w:rPr>
          <w:rFonts w:ascii="Times New Roman" w:hAnsi="Times New Roman" w:cs="Times New Roman"/>
          <w:color w:val="000000" w:themeColor="text1"/>
          <w:sz w:val="28"/>
          <w:szCs w:val="28"/>
        </w:rPr>
        <w:t xml:space="preserve"> que la imposición de esta clase de consecuencias jurídicas, de orden pecuniario, constituye uno de los sellos característicos de las causales subjetivas.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i/>
          <w:iCs/>
          <w:color w:val="000000" w:themeColor="text1"/>
          <w:sz w:val="28"/>
          <w:szCs w:val="28"/>
        </w:rPr>
      </w:pPr>
      <w:r w:rsidRPr="005D36F1">
        <w:rPr>
          <w:rFonts w:ascii="Times New Roman" w:hAnsi="Times New Roman" w:cs="Times New Roman"/>
          <w:color w:val="000000" w:themeColor="text1"/>
          <w:sz w:val="28"/>
          <w:szCs w:val="28"/>
        </w:rPr>
        <w:t xml:space="preserve">Sin embargo, esta apreciación no es correcta por las siguientes razones: </w:t>
      </w:r>
      <w:r w:rsidRPr="005D36F1">
        <w:rPr>
          <w:rFonts w:ascii="Times New Roman" w:hAnsi="Times New Roman" w:cs="Times New Roman"/>
          <w:i/>
          <w:iCs/>
          <w:color w:val="000000" w:themeColor="text1"/>
          <w:sz w:val="28"/>
          <w:szCs w:val="28"/>
        </w:rPr>
        <w:t>i)</w:t>
      </w:r>
      <w:r w:rsidRPr="005D36F1">
        <w:rPr>
          <w:rFonts w:ascii="Times New Roman" w:hAnsi="Times New Roman" w:cs="Times New Roman"/>
          <w:color w:val="000000" w:themeColor="text1"/>
          <w:sz w:val="28"/>
          <w:szCs w:val="28"/>
        </w:rPr>
        <w:t xml:space="preserve"> a diferencia de lo que </w:t>
      </w:r>
      <w:r w:rsidRPr="005D36F1">
        <w:rPr>
          <w:rFonts w:ascii="Times New Roman" w:hAnsi="Times New Roman" w:cs="Times New Roman"/>
          <w:color w:val="000000" w:themeColor="text1"/>
          <w:sz w:val="28"/>
          <w:szCs w:val="28"/>
        </w:rPr>
        <w:t xml:space="preserve">ocurre con las causales subjetivas, en la norma en comento no se presenta la dialéctica de enfrentamiento entre </w:t>
      </w:r>
      <w:r w:rsidRPr="005D36F1">
        <w:rPr>
          <w:rFonts w:ascii="Times New Roman" w:hAnsi="Times New Roman" w:cs="Times New Roman"/>
          <w:i/>
          <w:iCs/>
          <w:color w:val="000000" w:themeColor="text1"/>
          <w:sz w:val="28"/>
          <w:szCs w:val="28"/>
        </w:rPr>
        <w:t xml:space="preserve">cónyuge inocente </w:t>
      </w:r>
      <w:r w:rsidRPr="005D36F1">
        <w:rPr>
          <w:rFonts w:ascii="Times New Roman" w:hAnsi="Times New Roman" w:cs="Times New Roman"/>
          <w:color w:val="000000" w:themeColor="text1"/>
          <w:sz w:val="28"/>
          <w:szCs w:val="28"/>
        </w:rPr>
        <w:t xml:space="preserve">y </w:t>
      </w:r>
      <w:r w:rsidRPr="005D36F1">
        <w:rPr>
          <w:rFonts w:ascii="Times New Roman" w:hAnsi="Times New Roman" w:cs="Times New Roman"/>
          <w:i/>
          <w:iCs/>
          <w:color w:val="000000" w:themeColor="text1"/>
          <w:sz w:val="28"/>
          <w:szCs w:val="28"/>
        </w:rPr>
        <w:t>cónyuge culpable</w:t>
      </w:r>
      <w:r w:rsidRPr="005D36F1">
        <w:rPr>
          <w:rFonts w:ascii="Times New Roman" w:hAnsi="Times New Roman" w:cs="Times New Roman"/>
          <w:color w:val="000000" w:themeColor="text1"/>
          <w:sz w:val="28"/>
          <w:szCs w:val="28"/>
        </w:rPr>
        <w:t xml:space="preserve">; </w:t>
      </w:r>
      <w:r w:rsidRPr="005D36F1">
        <w:rPr>
          <w:rFonts w:ascii="Times New Roman" w:hAnsi="Times New Roman" w:cs="Times New Roman"/>
          <w:i/>
          <w:iCs/>
          <w:color w:val="000000" w:themeColor="text1"/>
          <w:sz w:val="28"/>
          <w:szCs w:val="28"/>
        </w:rPr>
        <w:t>ii)</w:t>
      </w:r>
      <w:r w:rsidRPr="005D36F1">
        <w:rPr>
          <w:rFonts w:ascii="Times New Roman" w:hAnsi="Times New Roman" w:cs="Times New Roman"/>
          <w:color w:val="000000" w:themeColor="text1"/>
          <w:sz w:val="28"/>
          <w:szCs w:val="28"/>
        </w:rPr>
        <w:t xml:space="preserve"> en atención a que la facultad que se otorga al cónyuge enfermo únicamente busca asegurar la protección </w:t>
      </w:r>
      <w:r w:rsidRPr="005D36F1">
        <w:rPr>
          <w:rFonts w:ascii="Times New Roman" w:hAnsi="Times New Roman" w:cs="Times New Roman"/>
          <w:color w:val="000000" w:themeColor="text1"/>
          <w:sz w:val="28"/>
          <w:szCs w:val="28"/>
        </w:rPr>
        <w:t xml:space="preserve">de su mínimo vital, el condicionamiento no permite la revocación de las donaciones que el cónyuge enfermo hubiere hecho por causa del matrimonio; y </w:t>
      </w:r>
      <w:r w:rsidRPr="005D36F1">
        <w:rPr>
          <w:rFonts w:ascii="Times New Roman" w:hAnsi="Times New Roman" w:cs="Times New Roman"/>
          <w:i/>
          <w:iCs/>
          <w:color w:val="000000" w:themeColor="text1"/>
          <w:sz w:val="28"/>
          <w:szCs w:val="28"/>
        </w:rPr>
        <w:t xml:space="preserve">iii) </w:t>
      </w:r>
      <w:r w:rsidRPr="005D36F1">
        <w:rPr>
          <w:rFonts w:ascii="Times New Roman" w:hAnsi="Times New Roman" w:cs="Times New Roman"/>
          <w:color w:val="000000" w:themeColor="text1"/>
          <w:sz w:val="28"/>
          <w:szCs w:val="28"/>
        </w:rPr>
        <w:t xml:space="preserve">el divorcio no ocurre como consecuencia del incumplimiento de obligaciones maritales. Estos argumentos </w:t>
      </w:r>
      <w:r w:rsidRPr="005D36F1">
        <w:rPr>
          <w:rFonts w:ascii="Times New Roman" w:hAnsi="Times New Roman" w:cs="Times New Roman"/>
          <w:color w:val="000000" w:themeColor="text1"/>
          <w:sz w:val="28"/>
          <w:szCs w:val="28"/>
        </w:rPr>
        <w:t xml:space="preserve">demuestran que la causal bajo estudio solo encaje de manera forzada en alguno de los dos conjuntos anteriormente referidos. </w:t>
      </w:r>
    </w:p>
    <w:p w:rsidR="00894FB7" w:rsidRPr="005D36F1" w:rsidRDefault="005D36F1" w:rsidP="00894FB7">
      <w:pPr>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i/>
          <w:iCs/>
          <w:color w:val="000000" w:themeColor="text1"/>
          <w:sz w:val="28"/>
          <w:szCs w:val="28"/>
        </w:rPr>
      </w:pPr>
      <w:r w:rsidRPr="005D36F1">
        <w:rPr>
          <w:rFonts w:ascii="Times New Roman" w:hAnsi="Times New Roman" w:cs="Times New Roman"/>
          <w:color w:val="000000" w:themeColor="text1"/>
          <w:sz w:val="28"/>
          <w:szCs w:val="28"/>
        </w:rPr>
        <w:t>Tal situación es resultado de la intervención que realizó la Sala Plena. La decisión es, según se ha dicho, el fruto de un ejercic</w:t>
      </w:r>
      <w:r w:rsidRPr="005D36F1">
        <w:rPr>
          <w:rFonts w:ascii="Times New Roman" w:hAnsi="Times New Roman" w:cs="Times New Roman"/>
          <w:color w:val="000000" w:themeColor="text1"/>
          <w:sz w:val="28"/>
          <w:szCs w:val="28"/>
        </w:rPr>
        <w:t>io de armonización concreta entre principios constitucionales enfrentados. Esta circunstancia impide que la causal pueda ubicarse sin sobresaltos en alguno de los dos conjuntos. Pues mientras tales categorías fueron concebidas por el Legislador como soluci</w:t>
      </w:r>
      <w:r w:rsidRPr="005D36F1">
        <w:rPr>
          <w:rFonts w:ascii="Times New Roman" w:hAnsi="Times New Roman" w:cs="Times New Roman"/>
          <w:color w:val="000000" w:themeColor="text1"/>
          <w:sz w:val="28"/>
          <w:szCs w:val="28"/>
        </w:rPr>
        <w:t xml:space="preserve">ones contrapuestas, que pretenden resolver realidades disímiles —marcadas, en un caso, por la ruptura de los lazos de afecto; y en el otro, por el incumplimiento de las obligaciones familiares—, la decisión de la Corte siguió una lógica distinta. En lugar </w:t>
      </w:r>
      <w:r w:rsidRPr="005D36F1">
        <w:rPr>
          <w:rFonts w:ascii="Times New Roman" w:hAnsi="Times New Roman" w:cs="Times New Roman"/>
          <w:color w:val="000000" w:themeColor="text1"/>
          <w:sz w:val="28"/>
          <w:szCs w:val="28"/>
        </w:rPr>
        <w:t xml:space="preserve">de adoptar esta lógica disyuntiva, mezcló atributos que en la ley se encuentran claramente separados. Esta determinación fue impuesta por la necesidad de garantizar los derechos al mínimo vital y a la autonomía personal del cónyuge enfermo. </w:t>
      </w:r>
    </w:p>
    <w:p w:rsidR="00894FB7" w:rsidRPr="005D36F1" w:rsidRDefault="005D36F1" w:rsidP="00894FB7">
      <w:pPr>
        <w:jc w:val="both"/>
        <w:rPr>
          <w:rFonts w:ascii="Times New Roman" w:hAnsi="Times New Roman" w:cs="Times New Roman"/>
          <w:i/>
          <w:iCs/>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i/>
          <w:iCs/>
          <w:color w:val="000000" w:themeColor="text1"/>
          <w:sz w:val="28"/>
          <w:szCs w:val="28"/>
        </w:rPr>
      </w:pPr>
      <w:r w:rsidRPr="005D36F1">
        <w:rPr>
          <w:rFonts w:ascii="Times New Roman" w:hAnsi="Times New Roman" w:cs="Times New Roman"/>
          <w:color w:val="000000" w:themeColor="text1"/>
          <w:sz w:val="28"/>
          <w:szCs w:val="28"/>
        </w:rPr>
        <w:t>De las razone</w:t>
      </w:r>
      <w:r w:rsidRPr="005D36F1">
        <w:rPr>
          <w:rFonts w:ascii="Times New Roman" w:hAnsi="Times New Roman" w:cs="Times New Roman"/>
          <w:color w:val="000000" w:themeColor="text1"/>
          <w:sz w:val="28"/>
          <w:szCs w:val="28"/>
        </w:rPr>
        <w:t xml:space="preserve">s expuestas se desprende que la causal en comento se ubica en un conjunto autónomo, diferente a los dos tradicionales que han reconocido la jurisprudencia y la doctrina. Las características que confieren identidad a dicho conjunto son las siguientes: </w:t>
      </w:r>
      <w:r w:rsidRPr="005D36F1">
        <w:rPr>
          <w:rFonts w:ascii="Times New Roman" w:hAnsi="Times New Roman" w:cs="Times New Roman"/>
          <w:i/>
          <w:iCs/>
          <w:color w:val="000000" w:themeColor="text1"/>
          <w:sz w:val="28"/>
          <w:szCs w:val="28"/>
        </w:rPr>
        <w:t xml:space="preserve">i) </w:t>
      </w:r>
      <w:r w:rsidRPr="005D36F1">
        <w:rPr>
          <w:rFonts w:ascii="Times New Roman" w:hAnsi="Times New Roman" w:cs="Times New Roman"/>
          <w:color w:val="000000" w:themeColor="text1"/>
          <w:sz w:val="28"/>
          <w:szCs w:val="28"/>
        </w:rPr>
        <w:t>la</w:t>
      </w:r>
      <w:r w:rsidRPr="005D36F1">
        <w:rPr>
          <w:rFonts w:ascii="Times New Roman" w:hAnsi="Times New Roman" w:cs="Times New Roman"/>
          <w:color w:val="000000" w:themeColor="text1"/>
          <w:sz w:val="28"/>
          <w:szCs w:val="28"/>
        </w:rPr>
        <w:t xml:space="preserve"> particular configuración normativa de la causal de divorcio es resultado de un ejercicio de armonización concreta, que procura asegurar el más amplio grado de satisfacción de los derechos fundamentales enfrentados; </w:t>
      </w:r>
      <w:r w:rsidRPr="005D36F1">
        <w:rPr>
          <w:rFonts w:ascii="Times New Roman" w:hAnsi="Times New Roman" w:cs="Times New Roman"/>
          <w:i/>
          <w:iCs/>
          <w:color w:val="000000" w:themeColor="text1"/>
          <w:sz w:val="28"/>
          <w:szCs w:val="28"/>
        </w:rPr>
        <w:t xml:space="preserve">ii) </w:t>
      </w:r>
      <w:r w:rsidRPr="005D36F1">
        <w:rPr>
          <w:rFonts w:ascii="Times New Roman" w:hAnsi="Times New Roman" w:cs="Times New Roman"/>
          <w:color w:val="000000" w:themeColor="text1"/>
          <w:sz w:val="28"/>
          <w:szCs w:val="28"/>
        </w:rPr>
        <w:t>el divorcio únicamente puede ser dem</w:t>
      </w:r>
      <w:r w:rsidRPr="005D36F1">
        <w:rPr>
          <w:rFonts w:ascii="Times New Roman" w:hAnsi="Times New Roman" w:cs="Times New Roman"/>
          <w:color w:val="000000" w:themeColor="text1"/>
          <w:sz w:val="28"/>
          <w:szCs w:val="28"/>
        </w:rPr>
        <w:t xml:space="preserve">andado por la persona que resulta afectada por las consecuencias del hecho que se refiere en el supuesto de hecho de la norma; y </w:t>
      </w:r>
      <w:r w:rsidRPr="005D36F1">
        <w:rPr>
          <w:rFonts w:ascii="Times New Roman" w:hAnsi="Times New Roman" w:cs="Times New Roman"/>
          <w:i/>
          <w:iCs/>
          <w:color w:val="000000" w:themeColor="text1"/>
          <w:sz w:val="28"/>
          <w:szCs w:val="28"/>
        </w:rPr>
        <w:t>iii)</w:t>
      </w:r>
      <w:r w:rsidRPr="005D36F1">
        <w:rPr>
          <w:rFonts w:ascii="Times New Roman" w:hAnsi="Times New Roman" w:cs="Times New Roman"/>
          <w:color w:val="000000" w:themeColor="text1"/>
          <w:sz w:val="28"/>
          <w:szCs w:val="28"/>
        </w:rPr>
        <w:t xml:space="preserve"> la imposición de consecuencias patrimoniales —como el establecimiento de la obligación de pagar alimentos— no es consecuen</w:t>
      </w:r>
      <w:r w:rsidRPr="005D36F1">
        <w:rPr>
          <w:rFonts w:ascii="Times New Roman" w:hAnsi="Times New Roman" w:cs="Times New Roman"/>
          <w:color w:val="000000" w:themeColor="text1"/>
          <w:sz w:val="28"/>
          <w:szCs w:val="28"/>
        </w:rPr>
        <w:t xml:space="preserve">cia del incumplimiento de alguna obligación marital o parental. </w:t>
      </w:r>
    </w:p>
    <w:p w:rsidR="00894FB7" w:rsidRPr="005D36F1" w:rsidRDefault="005D36F1" w:rsidP="00894FB7">
      <w:pPr>
        <w:jc w:val="both"/>
        <w:rPr>
          <w:rFonts w:ascii="Times New Roman" w:hAnsi="Times New Roman" w:cs="Times New Roman"/>
          <w:i/>
          <w:iCs/>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 xml:space="preserve">Deber del Legislador de asegurar el libre consentimiento en el matrimonio. </w:t>
      </w:r>
      <w:r w:rsidRPr="005D36F1">
        <w:rPr>
          <w:rFonts w:ascii="Times New Roman" w:hAnsi="Times New Roman" w:cs="Times New Roman"/>
          <w:color w:val="000000" w:themeColor="text1"/>
          <w:sz w:val="28"/>
          <w:szCs w:val="28"/>
        </w:rPr>
        <w:t xml:space="preserve">Una importante restricción que debe observar el Legislador al regular las instituciones del matrimonio y el </w:t>
      </w:r>
      <w:r w:rsidRPr="005D36F1">
        <w:rPr>
          <w:rFonts w:ascii="Times New Roman" w:hAnsi="Times New Roman" w:cs="Times New Roman"/>
          <w:color w:val="000000" w:themeColor="text1"/>
          <w:sz w:val="28"/>
          <w:szCs w:val="28"/>
        </w:rPr>
        <w:t>divorcio es la necesidad de asegurar la existencia del «</w:t>
      </w:r>
      <w:r w:rsidRPr="005D36F1">
        <w:rPr>
          <w:rFonts w:ascii="Times New Roman" w:hAnsi="Times New Roman" w:cs="Times New Roman"/>
          <w:i/>
          <w:iCs/>
          <w:color w:val="000000" w:themeColor="text1"/>
          <w:sz w:val="28"/>
          <w:szCs w:val="28"/>
        </w:rPr>
        <w:t>libre consentimiento</w:t>
      </w:r>
      <w:r w:rsidRPr="005D36F1">
        <w:rPr>
          <w:rFonts w:ascii="Times New Roman" w:hAnsi="Times New Roman" w:cs="Times New Roman"/>
          <w:color w:val="000000" w:themeColor="text1"/>
          <w:sz w:val="28"/>
          <w:szCs w:val="28"/>
        </w:rPr>
        <w:t>, [que es] consustancial al contrato matrimonial»</w:t>
      </w:r>
      <w:r w:rsidRPr="005D36F1">
        <w:rPr>
          <w:rStyle w:val="Refdenotaalpie"/>
          <w:rFonts w:ascii="Times New Roman" w:hAnsi="Times New Roman" w:cs="Times New Roman"/>
          <w:color w:val="000000" w:themeColor="text1"/>
          <w:sz w:val="28"/>
          <w:szCs w:val="28"/>
        </w:rPr>
        <w:footnoteReference w:id="127"/>
      </w:r>
      <w:r w:rsidRPr="005D36F1">
        <w:rPr>
          <w:rFonts w:ascii="Times New Roman" w:hAnsi="Times New Roman" w:cs="Times New Roman"/>
          <w:color w:val="000000" w:themeColor="text1"/>
          <w:sz w:val="28"/>
          <w:szCs w:val="28"/>
        </w:rPr>
        <w:t>. Si bien el Congreso cuenta con un apreciable margen de discrecionalidad, debe asegurar que tanto la unión de las personas en mat</w:t>
      </w:r>
      <w:r w:rsidRPr="005D36F1">
        <w:rPr>
          <w:rFonts w:ascii="Times New Roman" w:hAnsi="Times New Roman" w:cs="Times New Roman"/>
          <w:color w:val="000000" w:themeColor="text1"/>
          <w:sz w:val="28"/>
          <w:szCs w:val="28"/>
        </w:rPr>
        <w:t>rimonio como la conservación de dicho vínculo en el tiempo sean resultado del libre arbitrio de los individuos. Al respecto, la Sala Plena ha argumentado que «[s]i no es posible coaccionar a las personas para contraer matrimonio, pues por disposición const</w:t>
      </w:r>
      <w:r w:rsidRPr="005D36F1">
        <w:rPr>
          <w:rFonts w:ascii="Times New Roman" w:hAnsi="Times New Roman" w:cs="Times New Roman"/>
          <w:color w:val="000000" w:themeColor="text1"/>
          <w:sz w:val="28"/>
          <w:szCs w:val="28"/>
        </w:rPr>
        <w:t>itucional y legal este se constituye y perfecciona por el libre y mutuo consentimiento de los contrayentes, tampoco cabe obligarlas a mantener vigente el vínculo en contra de su voluntad, aun cuando una de las finalidades del matrimonio sea precisamente la</w:t>
      </w:r>
      <w:r w:rsidRPr="005D36F1">
        <w:rPr>
          <w:rFonts w:ascii="Times New Roman" w:hAnsi="Times New Roman" w:cs="Times New Roman"/>
          <w:color w:val="000000" w:themeColor="text1"/>
          <w:sz w:val="28"/>
          <w:szCs w:val="28"/>
        </w:rPr>
        <w:t xml:space="preserve"> convivencia»</w:t>
      </w:r>
      <w:r w:rsidRPr="005D36F1">
        <w:rPr>
          <w:rStyle w:val="Refdenotaalpie"/>
          <w:rFonts w:ascii="Times New Roman" w:hAnsi="Times New Roman" w:cs="Times New Roman"/>
          <w:color w:val="000000" w:themeColor="text1"/>
          <w:sz w:val="28"/>
          <w:szCs w:val="28"/>
        </w:rPr>
        <w:footnoteReference w:id="128"/>
      </w:r>
      <w:r w:rsidRPr="005D36F1">
        <w:rPr>
          <w:rFonts w:ascii="Times New Roman" w:hAnsi="Times New Roman" w:cs="Times New Roman"/>
          <w:color w:val="000000" w:themeColor="text1"/>
          <w:sz w:val="28"/>
          <w:szCs w:val="28"/>
        </w:rPr>
        <w:t>. Según se sigue de la jurisprudencia citada hasta este punto, la autonomía individual y el libre desarrollo de la personalidad constituyen referentes vinculantes para el desarrollo normativo que realiza el Legislador sobre el matrimonio y el</w:t>
      </w:r>
      <w:r w:rsidRPr="005D36F1">
        <w:rPr>
          <w:rFonts w:ascii="Times New Roman" w:hAnsi="Times New Roman" w:cs="Times New Roman"/>
          <w:color w:val="000000" w:themeColor="text1"/>
          <w:sz w:val="28"/>
          <w:szCs w:val="28"/>
        </w:rPr>
        <w:t xml:space="preserve"> divorcio. </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b/>
          <w:bCs/>
          <w:color w:val="000000" w:themeColor="text1"/>
          <w:sz w:val="28"/>
          <w:szCs w:val="28"/>
        </w:rPr>
      </w:pPr>
      <w:r w:rsidRPr="005D36F1">
        <w:rPr>
          <w:rFonts w:ascii="Times New Roman" w:hAnsi="Times New Roman" w:cs="Times New Roman"/>
          <w:i/>
          <w:iCs/>
          <w:color w:val="000000" w:themeColor="text1"/>
          <w:sz w:val="28"/>
          <w:szCs w:val="28"/>
        </w:rPr>
        <w:t xml:space="preserve">Deberes inherentes al matrimonio. </w:t>
      </w:r>
      <w:r w:rsidRPr="005D36F1">
        <w:rPr>
          <w:rFonts w:ascii="Times New Roman" w:hAnsi="Times New Roman" w:cs="Times New Roman"/>
          <w:color w:val="000000" w:themeColor="text1"/>
          <w:sz w:val="28"/>
          <w:szCs w:val="28"/>
        </w:rPr>
        <w:t>En atención a que el matrimonio es un contrato sinalagmático, además de conferir derechos a quienes lo suscriben, también impone deberes. Esta corporación ha manifestado que «[e]n lo que [se] refiere a los efe</w:t>
      </w:r>
      <w:r w:rsidRPr="005D36F1">
        <w:rPr>
          <w:rFonts w:ascii="Times New Roman" w:hAnsi="Times New Roman" w:cs="Times New Roman"/>
          <w:color w:val="000000" w:themeColor="text1"/>
          <w:sz w:val="28"/>
          <w:szCs w:val="28"/>
        </w:rPr>
        <w:t>ctos personales entre cónyuges, es decir, a los derechos y obligaciones que surgen para los esposos, la ley civil dispone que estos son la cohabitación, la fidelidad, el socorro y la ayuda mutua»</w:t>
      </w:r>
      <w:r w:rsidRPr="005D36F1">
        <w:rPr>
          <w:rStyle w:val="Refdenotaalpie"/>
          <w:rFonts w:ascii="Times New Roman" w:hAnsi="Times New Roman" w:cs="Times New Roman"/>
          <w:color w:val="000000" w:themeColor="text1"/>
          <w:sz w:val="28"/>
          <w:szCs w:val="28"/>
        </w:rPr>
        <w:footnoteReference w:id="129"/>
      </w:r>
      <w:r w:rsidRPr="005D36F1">
        <w:rPr>
          <w:rFonts w:ascii="Times New Roman" w:hAnsi="Times New Roman" w:cs="Times New Roman"/>
          <w:color w:val="000000" w:themeColor="text1"/>
          <w:sz w:val="28"/>
          <w:szCs w:val="28"/>
        </w:rPr>
        <w:t xml:space="preserve">. De manera correlativa a la instauración de estos deberes, </w:t>
      </w:r>
      <w:r w:rsidRPr="005D36F1">
        <w:rPr>
          <w:rFonts w:ascii="Times New Roman" w:hAnsi="Times New Roman" w:cs="Times New Roman"/>
          <w:color w:val="000000" w:themeColor="text1"/>
          <w:sz w:val="28"/>
          <w:szCs w:val="28"/>
        </w:rPr>
        <w:t>el Legislador ha dispuesto las causales de divorcio, consignadas en el artículo 154 del Código Civil, que permiten disolver el vínculo matrimonial con fundamento en diferentes razones. Dichas causales se fundan en la libertad de los cónyuges, en la aparici</w:t>
      </w:r>
      <w:r w:rsidRPr="005D36F1">
        <w:rPr>
          <w:rFonts w:ascii="Times New Roman" w:hAnsi="Times New Roman" w:cs="Times New Roman"/>
          <w:color w:val="000000" w:themeColor="text1"/>
          <w:sz w:val="28"/>
          <w:szCs w:val="28"/>
        </w:rPr>
        <w:t>ón de causas objetivas que tornan inviable la continuidad del matrimonio o en el incumplimiento de las obligaciones maritales o parentales</w:t>
      </w:r>
      <w:r w:rsidRPr="005D36F1">
        <w:rPr>
          <w:rStyle w:val="Refdenotaalpie"/>
          <w:rFonts w:ascii="Times New Roman" w:hAnsi="Times New Roman" w:cs="Times New Roman"/>
          <w:color w:val="000000" w:themeColor="text1"/>
          <w:sz w:val="28"/>
          <w:szCs w:val="28"/>
        </w:rPr>
        <w:footnoteReference w:id="130"/>
      </w:r>
      <w:r w:rsidRPr="005D36F1">
        <w:rPr>
          <w:rFonts w:ascii="Times New Roman" w:hAnsi="Times New Roman" w:cs="Times New Roman"/>
          <w:color w:val="000000" w:themeColor="text1"/>
          <w:sz w:val="28"/>
          <w:szCs w:val="28"/>
        </w:rPr>
        <w:t xml:space="preserve">. </w:t>
      </w:r>
    </w:p>
    <w:p w:rsidR="00894FB7" w:rsidRPr="005D36F1" w:rsidRDefault="005D36F1" w:rsidP="00894FB7">
      <w:pPr>
        <w:jc w:val="both"/>
        <w:rPr>
          <w:rFonts w:ascii="Times New Roman" w:hAnsi="Times New Roman" w:cs="Times New Roman"/>
          <w:b/>
          <w:bCs/>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Fundamentos constitucionales que orientan la definición de las causales de divorcio</w:t>
      </w:r>
      <w:r w:rsidRPr="005D36F1">
        <w:rPr>
          <w:rFonts w:ascii="Times New Roman" w:hAnsi="Times New Roman" w:cs="Times New Roman"/>
          <w:color w:val="000000" w:themeColor="text1"/>
          <w:sz w:val="28"/>
          <w:szCs w:val="28"/>
        </w:rPr>
        <w:t>. El artículo 42 de la carta c</w:t>
      </w:r>
      <w:r w:rsidRPr="005D36F1">
        <w:rPr>
          <w:rFonts w:ascii="Times New Roman" w:hAnsi="Times New Roman" w:cs="Times New Roman"/>
          <w:color w:val="000000" w:themeColor="text1"/>
          <w:sz w:val="28"/>
          <w:szCs w:val="28"/>
        </w:rPr>
        <w:t>ontiene los principales elementos normativos que ha de guardar la ley al definir las aludidas causales de divorcio. Sin embargo, no es este el único referente que ha de ser tenido en cuenta</w:t>
      </w:r>
      <w:r w:rsidRPr="005D36F1">
        <w:rPr>
          <w:rStyle w:val="Refdenotaalpie"/>
          <w:rFonts w:ascii="Times New Roman" w:hAnsi="Times New Roman" w:cs="Times New Roman"/>
          <w:color w:val="000000" w:themeColor="text1"/>
          <w:sz w:val="28"/>
          <w:szCs w:val="28"/>
        </w:rPr>
        <w:footnoteReference w:id="131"/>
      </w:r>
      <w:r w:rsidRPr="005D36F1">
        <w:rPr>
          <w:rFonts w:ascii="Times New Roman" w:hAnsi="Times New Roman" w:cs="Times New Roman"/>
          <w:color w:val="000000" w:themeColor="text1"/>
          <w:sz w:val="28"/>
          <w:szCs w:val="28"/>
        </w:rPr>
        <w:t>. Dentro de la constelación de disposiciones que regulan la materi</w:t>
      </w:r>
      <w:r w:rsidRPr="005D36F1">
        <w:rPr>
          <w:rFonts w:ascii="Times New Roman" w:hAnsi="Times New Roman" w:cs="Times New Roman"/>
          <w:color w:val="000000" w:themeColor="text1"/>
          <w:sz w:val="28"/>
          <w:szCs w:val="28"/>
        </w:rPr>
        <w:t xml:space="preserve">a, la jurisprudencia ha destacado algunos derechos y principios constitucionales que cobran particular trascendencia en el desarrollo normativo de las causales de divorcio: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ind w:left="708"/>
        <w:jc w:val="both"/>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Sobre la competencia asignada por la Constitución al Legislador para regular lo r</w:t>
      </w:r>
      <w:r w:rsidRPr="005D36F1">
        <w:rPr>
          <w:rFonts w:ascii="Times New Roman" w:hAnsi="Times New Roman" w:cs="Times New Roman"/>
          <w:color w:val="000000" w:themeColor="text1"/>
          <w:sz w:val="28"/>
        </w:rPr>
        <w:t xml:space="preserve">eferente a la disolución del matrimonio y, específicamente, para fijar las causales de divorcio (art. 42), </w:t>
      </w:r>
      <w:r w:rsidRPr="005D36F1">
        <w:rPr>
          <w:rFonts w:ascii="Times New Roman" w:hAnsi="Times New Roman" w:cs="Times New Roman"/>
          <w:i/>
          <w:iCs/>
          <w:color w:val="000000" w:themeColor="text1"/>
          <w:sz w:val="28"/>
        </w:rPr>
        <w:t>ha dicho la Corte que ella encuentra fundamento en los principios de dignidad humana, libre desarrollo de la personalidad e inalienabilidad de los de</w:t>
      </w:r>
      <w:r w:rsidRPr="005D36F1">
        <w:rPr>
          <w:rFonts w:ascii="Times New Roman" w:hAnsi="Times New Roman" w:cs="Times New Roman"/>
          <w:i/>
          <w:iCs/>
          <w:color w:val="000000" w:themeColor="text1"/>
          <w:sz w:val="28"/>
        </w:rPr>
        <w:t>rechos de la persona reconocidos a la pareja,</w:t>
      </w:r>
      <w:r w:rsidRPr="005D36F1">
        <w:rPr>
          <w:rFonts w:ascii="Times New Roman" w:hAnsi="Times New Roman" w:cs="Times New Roman"/>
          <w:color w:val="000000" w:themeColor="text1"/>
          <w:sz w:val="28"/>
        </w:rPr>
        <w:t xml:space="preserve"> el cual excluye la posibilidad de que el Estado perpetúe el vínculo matrimonial mediante la coacción o la imposición jurídica de una convivencia que no es querida por los cónyuges o que es contraria a su interé</w:t>
      </w:r>
      <w:r w:rsidRPr="005D36F1">
        <w:rPr>
          <w:rFonts w:ascii="Times New Roman" w:hAnsi="Times New Roman" w:cs="Times New Roman"/>
          <w:color w:val="000000" w:themeColor="text1"/>
          <w:sz w:val="28"/>
        </w:rPr>
        <w:t>s individual o conjunto</w:t>
      </w:r>
      <w:r w:rsidRPr="005D36F1">
        <w:rPr>
          <w:rStyle w:val="Refdenotaalpie"/>
          <w:rFonts w:ascii="Times New Roman" w:hAnsi="Times New Roman" w:cs="Times New Roman"/>
          <w:color w:val="000000" w:themeColor="text1"/>
          <w:sz w:val="28"/>
        </w:rPr>
        <w:footnoteReference w:id="132"/>
      </w:r>
      <w:r w:rsidRPr="005D36F1">
        <w:rPr>
          <w:rFonts w:ascii="Times New Roman" w:hAnsi="Times New Roman" w:cs="Times New Roman"/>
          <w:color w:val="000000" w:themeColor="text1"/>
          <w:sz w:val="28"/>
        </w:rPr>
        <w:t xml:space="preserve"> [énfasis fuera de texto].</w:t>
      </w:r>
    </w:p>
    <w:p w:rsidR="00894FB7" w:rsidRPr="005D36F1" w:rsidRDefault="005D36F1" w:rsidP="00894FB7">
      <w:pPr>
        <w:pStyle w:val="Prrafodelista"/>
        <w:jc w:val="both"/>
        <w:rPr>
          <w:rFonts w:ascii="Times New Roman" w:hAnsi="Times New Roman" w:cs="Times New Roman"/>
          <w:color w:val="000000" w:themeColor="text1"/>
          <w:sz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En estos términos, la Corte ha reconocido que la Constitución otorga al «Congreso un gran espacio de configuración legislativa para implantar las mencionadas causales, al no establecer directrices específ</w:t>
      </w:r>
      <w:r w:rsidRPr="005D36F1">
        <w:rPr>
          <w:rFonts w:ascii="Times New Roman" w:hAnsi="Times New Roman" w:cs="Times New Roman"/>
          <w:color w:val="000000" w:themeColor="text1"/>
          <w:sz w:val="28"/>
          <w:szCs w:val="28"/>
        </w:rPr>
        <w:t>icas para desarrollar esa materia»</w:t>
      </w:r>
      <w:r w:rsidRPr="005D36F1">
        <w:rPr>
          <w:rStyle w:val="Refdenotaalpie"/>
          <w:rFonts w:ascii="Times New Roman" w:hAnsi="Times New Roman" w:cs="Times New Roman"/>
          <w:color w:val="000000" w:themeColor="text1"/>
          <w:sz w:val="28"/>
          <w:szCs w:val="28"/>
        </w:rPr>
        <w:footnoteReference w:id="133"/>
      </w:r>
      <w:r w:rsidRPr="005D36F1">
        <w:rPr>
          <w:rFonts w:ascii="Times New Roman" w:hAnsi="Times New Roman" w:cs="Times New Roman"/>
          <w:color w:val="000000" w:themeColor="text1"/>
          <w:sz w:val="28"/>
          <w:szCs w:val="28"/>
        </w:rPr>
        <w:t>. Sin embargo, ha precisado que dicha «autorización no debe entenderse como una habilitación para que desconozca derechos, principios y valores reconocidos por la propia carta política, debido a que estos sirven de fundam</w:t>
      </w:r>
      <w:r w:rsidRPr="005D36F1">
        <w:rPr>
          <w:rFonts w:ascii="Times New Roman" w:hAnsi="Times New Roman" w:cs="Times New Roman"/>
          <w:color w:val="000000" w:themeColor="text1"/>
          <w:sz w:val="28"/>
          <w:szCs w:val="28"/>
        </w:rPr>
        <w:t>ento y de límite a toda la actividad legislativa»</w:t>
      </w:r>
      <w:r w:rsidRPr="005D36F1">
        <w:rPr>
          <w:rStyle w:val="Refdenotaalpie"/>
          <w:rFonts w:ascii="Times New Roman" w:hAnsi="Times New Roman" w:cs="Times New Roman"/>
          <w:color w:val="000000" w:themeColor="text1"/>
          <w:sz w:val="28"/>
          <w:szCs w:val="28"/>
        </w:rPr>
        <w:footnoteReference w:id="134"/>
      </w:r>
      <w:r w:rsidRPr="005D36F1">
        <w:rPr>
          <w:rFonts w:ascii="Times New Roman" w:hAnsi="Times New Roman" w:cs="Times New Roman"/>
          <w:color w:val="000000" w:themeColor="text1"/>
          <w:sz w:val="28"/>
          <w:szCs w:val="28"/>
        </w:rPr>
        <w:t>.</w:t>
      </w:r>
    </w:p>
    <w:p w:rsidR="00894FB7" w:rsidRPr="005D36F1" w:rsidRDefault="005D36F1" w:rsidP="00894FB7">
      <w:pPr>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 xml:space="preserve">La Sala Plena ha observado que si bien la conservación de los vínculos de la familia —y, por tanto, la prolongación del vínculo matrimonial— es un fin legítimo, dicho propósito no puede conducir al </w:t>
      </w:r>
      <w:r w:rsidRPr="005D36F1">
        <w:rPr>
          <w:rFonts w:ascii="Times New Roman" w:hAnsi="Times New Roman" w:cs="Times New Roman"/>
          <w:color w:val="000000" w:themeColor="text1"/>
          <w:sz w:val="28"/>
          <w:szCs w:val="28"/>
        </w:rPr>
        <w:t>desconocimiento de los derechos fundamentales de los integrantes del núcleo familiar. Con base en este aserto, ha declarado que al definir las causales de divorcio, el Legislador debe procurar la «estabilidad y armonía del grupo familiar, no solo como pres</w:t>
      </w:r>
      <w:r w:rsidRPr="005D36F1">
        <w:rPr>
          <w:rFonts w:ascii="Times New Roman" w:hAnsi="Times New Roman" w:cs="Times New Roman"/>
          <w:color w:val="000000" w:themeColor="text1"/>
          <w:sz w:val="28"/>
          <w:szCs w:val="28"/>
        </w:rPr>
        <w:t>upuesto social, sino como condición </w:t>
      </w:r>
      <w:r w:rsidRPr="005D36F1">
        <w:rPr>
          <w:rFonts w:ascii="Times New Roman" w:hAnsi="Times New Roman" w:cs="Times New Roman"/>
          <w:i/>
          <w:iCs/>
          <w:color w:val="000000" w:themeColor="text1"/>
          <w:sz w:val="28"/>
          <w:szCs w:val="28"/>
        </w:rPr>
        <w:t>sine qua non</w:t>
      </w:r>
      <w:r w:rsidRPr="005D36F1">
        <w:rPr>
          <w:rFonts w:ascii="Times New Roman" w:hAnsi="Times New Roman" w:cs="Times New Roman"/>
          <w:color w:val="000000" w:themeColor="text1"/>
          <w:sz w:val="28"/>
          <w:szCs w:val="28"/>
        </w:rPr>
        <w:t> para permitir la realización humana y el desarrollo integral de cada uno de sus miembros en un clima de respeto, óptima convivencia y libre expresión de sus sentimientos y emociones»</w:t>
      </w:r>
      <w:r w:rsidRPr="005D36F1">
        <w:rPr>
          <w:rStyle w:val="Refdenotaalpie"/>
          <w:rFonts w:ascii="Times New Roman" w:hAnsi="Times New Roman" w:cs="Times New Roman"/>
          <w:color w:val="000000" w:themeColor="text1"/>
          <w:sz w:val="28"/>
          <w:szCs w:val="28"/>
        </w:rPr>
        <w:footnoteReference w:id="135"/>
      </w:r>
      <w:r w:rsidRPr="005D36F1">
        <w:rPr>
          <w:rFonts w:ascii="Times New Roman" w:hAnsi="Times New Roman" w:cs="Times New Roman"/>
          <w:color w:val="000000" w:themeColor="text1"/>
          <w:sz w:val="28"/>
          <w:szCs w:val="28"/>
        </w:rPr>
        <w:t>. En razón de lo anterio</w:t>
      </w:r>
      <w:r w:rsidRPr="005D36F1">
        <w:rPr>
          <w:rFonts w:ascii="Times New Roman" w:hAnsi="Times New Roman" w:cs="Times New Roman"/>
          <w:color w:val="000000" w:themeColor="text1"/>
          <w:sz w:val="28"/>
          <w:szCs w:val="28"/>
        </w:rPr>
        <w:t>r, cuandoquiera que los vínculos de respeto, solidaridad y amor hagan falta, de modo que los fines que persigue el matrimonio se vean truncados, las causales de divorcio permiten a los contrayentes solicitar la finalización formal de un vínculo que ha perd</w:t>
      </w:r>
      <w:r w:rsidRPr="005D36F1">
        <w:rPr>
          <w:rFonts w:ascii="Times New Roman" w:hAnsi="Times New Roman" w:cs="Times New Roman"/>
          <w:color w:val="000000" w:themeColor="text1"/>
          <w:sz w:val="28"/>
          <w:szCs w:val="28"/>
        </w:rPr>
        <w:t>ido su sustento moral y afectivo</w:t>
      </w:r>
      <w:r w:rsidRPr="005D36F1">
        <w:rPr>
          <w:rStyle w:val="Refdenotaalpie"/>
          <w:rFonts w:ascii="Times New Roman" w:hAnsi="Times New Roman" w:cs="Times New Roman"/>
          <w:color w:val="000000" w:themeColor="text1"/>
          <w:sz w:val="28"/>
          <w:szCs w:val="28"/>
        </w:rPr>
        <w:footnoteReference w:id="136"/>
      </w:r>
      <w:r w:rsidRPr="005D36F1">
        <w:rPr>
          <w:rFonts w:ascii="Times New Roman" w:hAnsi="Times New Roman" w:cs="Times New Roman"/>
          <w:color w:val="000000" w:themeColor="text1"/>
          <w:sz w:val="28"/>
          <w:szCs w:val="28"/>
        </w:rPr>
        <w:t xml:space="preserve">. </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Para finiquitar este apartado, la Sala Plena estima oportuno hacer alusión a una sentencia en la que, al igual que ahora, se demandó la inconstitucionalidad de una causal de divorcio, aduciendo la violación de la libert</w:t>
      </w:r>
      <w:r w:rsidRPr="005D36F1">
        <w:rPr>
          <w:rFonts w:ascii="Times New Roman" w:hAnsi="Times New Roman" w:cs="Times New Roman"/>
          <w:color w:val="000000" w:themeColor="text1"/>
          <w:sz w:val="28"/>
          <w:szCs w:val="28"/>
        </w:rPr>
        <w:t>ad individual. Se trata de la Sentencia C-821 de 2005. En dicha oportunidad, la demanda fue dirigida contra la causal primera del artículo 154 del Código Civil, que establece como causal de divorcio «[l]as relaciones sexuales extramatrimoniales de uno de l</w:t>
      </w:r>
      <w:r w:rsidRPr="005D36F1">
        <w:rPr>
          <w:rFonts w:ascii="Times New Roman" w:hAnsi="Times New Roman" w:cs="Times New Roman"/>
          <w:color w:val="000000" w:themeColor="text1"/>
          <w:sz w:val="28"/>
          <w:szCs w:val="28"/>
        </w:rPr>
        <w:t>os cónyuges». En opinión del demandante, la instauración de dicho supuesto de hecho infringía el derecho al libre desarrollo de la personalidad, pues «</w:t>
      </w:r>
      <w:r w:rsidRPr="005D36F1">
        <w:rPr>
          <w:rFonts w:ascii="Times New Roman" w:hAnsi="Times New Roman" w:cs="Times New Roman"/>
          <w:color w:val="000000" w:themeColor="text1"/>
          <w:sz w:val="28"/>
          <w:szCs w:val="28"/>
          <w:lang w:val="es-ES_tradnl"/>
        </w:rPr>
        <w:t>la libertad sexual está incluida dentro de este derecho, y el ordenamiento jurídico no puede favorecer la</w:t>
      </w:r>
      <w:r w:rsidRPr="005D36F1">
        <w:rPr>
          <w:rFonts w:ascii="Times New Roman" w:hAnsi="Times New Roman" w:cs="Times New Roman"/>
          <w:color w:val="000000" w:themeColor="text1"/>
          <w:sz w:val="28"/>
          <w:szCs w:val="28"/>
          <w:lang w:val="es-ES_tradnl"/>
        </w:rPr>
        <w:t xml:space="preserve"> pérdida de tal garantía instituyendo como causal de divorcio el que uno de los cónyuges haya sostenido relaciones extramatrimoniales»</w:t>
      </w:r>
      <w:r w:rsidRPr="005D36F1">
        <w:rPr>
          <w:rStyle w:val="Refdenotaalpie"/>
          <w:rFonts w:ascii="Times New Roman" w:hAnsi="Times New Roman" w:cs="Times New Roman"/>
          <w:color w:val="000000" w:themeColor="text1"/>
          <w:sz w:val="28"/>
          <w:szCs w:val="28"/>
          <w:lang w:val="es-ES_tradnl"/>
        </w:rPr>
        <w:footnoteReference w:id="137"/>
      </w:r>
      <w:r w:rsidRPr="005D36F1">
        <w:rPr>
          <w:rFonts w:ascii="Times New Roman" w:hAnsi="Times New Roman" w:cs="Times New Roman"/>
          <w:color w:val="000000" w:themeColor="text1"/>
          <w:sz w:val="28"/>
          <w:szCs w:val="28"/>
          <w:lang w:val="es-ES_tradnl"/>
        </w:rPr>
        <w:t xml:space="preserve">. </w:t>
      </w:r>
    </w:p>
    <w:p w:rsidR="00894FB7" w:rsidRPr="005D36F1" w:rsidRDefault="005D36F1" w:rsidP="00894FB7">
      <w:pPr>
        <w:pStyle w:val="Prrafodelista"/>
        <w:rPr>
          <w:rFonts w:ascii="Times New Roman" w:hAnsi="Times New Roman" w:cs="Times New Roman"/>
          <w:color w:val="000000" w:themeColor="text1"/>
          <w:sz w:val="28"/>
          <w:szCs w:val="28"/>
          <w:lang w:val="es-ES_tradnl"/>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 xml:space="preserve">Luego de reiterar la jurisprudencia que ha sido expuesta en esta providencia, la Sala Plena manifestó que la </w:t>
      </w:r>
      <w:r w:rsidRPr="005D36F1">
        <w:rPr>
          <w:rFonts w:ascii="Times New Roman" w:hAnsi="Times New Roman" w:cs="Times New Roman"/>
          <w:color w:val="000000" w:themeColor="text1"/>
          <w:sz w:val="28"/>
          <w:szCs w:val="28"/>
        </w:rPr>
        <w:t>estabilidad del grupo familiar en modo alguno puede subordinar el bienestar y los derechos fundamentales de sus integrantes</w:t>
      </w:r>
      <w:r w:rsidRPr="005D36F1">
        <w:rPr>
          <w:rStyle w:val="Refdenotaalpie"/>
          <w:rFonts w:ascii="Times New Roman" w:hAnsi="Times New Roman" w:cs="Times New Roman"/>
          <w:color w:val="000000" w:themeColor="text1"/>
          <w:sz w:val="28"/>
          <w:szCs w:val="28"/>
        </w:rPr>
        <w:footnoteReference w:id="138"/>
      </w:r>
      <w:r w:rsidRPr="005D36F1">
        <w:rPr>
          <w:rFonts w:ascii="Times New Roman" w:hAnsi="Times New Roman" w:cs="Times New Roman"/>
          <w:color w:val="000000" w:themeColor="text1"/>
          <w:sz w:val="28"/>
          <w:szCs w:val="28"/>
        </w:rPr>
        <w:t xml:space="preserve">. Agregó que los objetivos que procura el matrimonio «no se garantizan ni se logran manteniendo vigente el contrato matrimonial, en </w:t>
      </w:r>
      <w:r w:rsidRPr="005D36F1">
        <w:rPr>
          <w:rFonts w:ascii="Times New Roman" w:hAnsi="Times New Roman" w:cs="Times New Roman"/>
          <w:color w:val="000000" w:themeColor="text1"/>
          <w:sz w:val="28"/>
          <w:szCs w:val="28"/>
        </w:rPr>
        <w:t>aquellos casos en los que surgen diferencias, desavenencias o conflictos entre los cónyuges que hacen imposible o dificultan gravemente la convivencia y que perturban la estabilidad familiar, sometiendo a sus integrantes, entre los que se cuentan los hijos</w:t>
      </w:r>
      <w:r w:rsidRPr="005D36F1">
        <w:rPr>
          <w:rFonts w:ascii="Times New Roman" w:hAnsi="Times New Roman" w:cs="Times New Roman"/>
          <w:color w:val="000000" w:themeColor="text1"/>
          <w:sz w:val="28"/>
          <w:szCs w:val="28"/>
        </w:rPr>
        <w:t>, a crecer y desarrollarse en un ambiente hostil o que afecta sensiblemente su proceso de desarrollo y formación»</w:t>
      </w:r>
      <w:r w:rsidRPr="005D36F1">
        <w:rPr>
          <w:rStyle w:val="Refdenotaalpie"/>
          <w:rFonts w:ascii="Times New Roman" w:hAnsi="Times New Roman" w:cs="Times New Roman"/>
          <w:color w:val="000000" w:themeColor="text1"/>
          <w:sz w:val="28"/>
          <w:szCs w:val="28"/>
        </w:rPr>
        <w:footnoteReference w:id="139"/>
      </w:r>
      <w:r w:rsidRPr="005D36F1">
        <w:rPr>
          <w:rFonts w:ascii="Times New Roman" w:hAnsi="Times New Roman" w:cs="Times New Roman"/>
          <w:color w:val="000000" w:themeColor="text1"/>
          <w:sz w:val="28"/>
          <w:szCs w:val="28"/>
        </w:rPr>
        <w:t>. La Corte indicó que en tales circunstancias, es decir, cuando se presentan «episodios de irrespeto, discriminación o violencia, es obvio que</w:t>
      </w:r>
      <w:r w:rsidRPr="005D36F1">
        <w:rPr>
          <w:rFonts w:ascii="Times New Roman" w:hAnsi="Times New Roman" w:cs="Times New Roman"/>
          <w:color w:val="000000" w:themeColor="text1"/>
          <w:sz w:val="28"/>
          <w:szCs w:val="28"/>
        </w:rPr>
        <w:t xml:space="preserve"> desaparecen los presupuestos éticos, sociales y jurídicos que amparan el matrimonio y la familia como institución básica de la sociedad, resultando constitucionalmente admisible que se permita a los cónyuges considerar la opción de una ruptura»</w:t>
      </w:r>
      <w:r w:rsidRPr="005D36F1">
        <w:rPr>
          <w:rStyle w:val="Refdenotaalpie"/>
          <w:rFonts w:ascii="Times New Roman" w:hAnsi="Times New Roman" w:cs="Times New Roman"/>
          <w:color w:val="000000" w:themeColor="text1"/>
          <w:sz w:val="28"/>
          <w:szCs w:val="28"/>
        </w:rPr>
        <w:footnoteReference w:id="140"/>
      </w:r>
      <w:r w:rsidRPr="005D36F1">
        <w:rPr>
          <w:rFonts w:ascii="Times New Roman" w:hAnsi="Times New Roman" w:cs="Times New Roman"/>
          <w:color w:val="000000" w:themeColor="text1"/>
          <w:sz w:val="28"/>
          <w:szCs w:val="28"/>
        </w:rPr>
        <w:t>.</w:t>
      </w:r>
    </w:p>
    <w:p w:rsidR="00894FB7" w:rsidRPr="005D36F1" w:rsidRDefault="005D36F1" w:rsidP="00894FB7">
      <w:pPr>
        <w:pStyle w:val="Prrafodelista"/>
        <w:rPr>
          <w:rFonts w:ascii="Times New Roman" w:hAnsi="Times New Roman" w:cs="Times New Roman"/>
          <w:color w:val="000000" w:themeColor="text1"/>
          <w:sz w:val="28"/>
          <w:szCs w:val="28"/>
          <w:lang w:val="es-ES_tradnl"/>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Al efec</w:t>
      </w:r>
      <w:r w:rsidRPr="005D36F1">
        <w:rPr>
          <w:rFonts w:ascii="Times New Roman" w:hAnsi="Times New Roman" w:cs="Times New Roman"/>
          <w:color w:val="000000" w:themeColor="text1"/>
          <w:sz w:val="28"/>
          <w:szCs w:val="28"/>
        </w:rPr>
        <w:t>tuar el juicio de constitucionalidad de la causal en cuestión, la Sala Plena destacó que aquella tiene por objeto asegurar la fidelidad marital. Subrayó que, en su criterio, esta es una de las obligaciones más relevantes y definitivas que se impone a los c</w:t>
      </w:r>
      <w:r w:rsidRPr="005D36F1">
        <w:rPr>
          <w:rFonts w:ascii="Times New Roman" w:hAnsi="Times New Roman" w:cs="Times New Roman"/>
          <w:color w:val="000000" w:themeColor="text1"/>
          <w:sz w:val="28"/>
          <w:szCs w:val="28"/>
        </w:rPr>
        <w:t>ónyuges: «La fidelidad es considerada uno de los pilares fundamentales sobre los que se edifica y consolida la estructura del matrimonio, como forma de constitución de la institución familiar, en cuanto busca preservar el vínculo de mutua consideración, ap</w:t>
      </w:r>
      <w:r w:rsidRPr="005D36F1">
        <w:rPr>
          <w:rFonts w:ascii="Times New Roman" w:hAnsi="Times New Roman" w:cs="Times New Roman"/>
          <w:color w:val="000000" w:themeColor="text1"/>
          <w:sz w:val="28"/>
          <w:szCs w:val="28"/>
        </w:rPr>
        <w:t>recio y confianza indispensable en la vida matrimonial»</w:t>
      </w:r>
      <w:r w:rsidRPr="005D36F1">
        <w:rPr>
          <w:rStyle w:val="Refdenotaalpie"/>
          <w:rFonts w:ascii="Times New Roman" w:hAnsi="Times New Roman" w:cs="Times New Roman"/>
          <w:color w:val="000000" w:themeColor="text1"/>
          <w:sz w:val="28"/>
          <w:szCs w:val="28"/>
        </w:rPr>
        <w:footnoteReference w:id="141"/>
      </w:r>
      <w:r w:rsidRPr="005D36F1">
        <w:rPr>
          <w:rFonts w:ascii="Times New Roman" w:hAnsi="Times New Roman" w:cs="Times New Roman"/>
          <w:color w:val="000000" w:themeColor="text1"/>
          <w:sz w:val="28"/>
          <w:szCs w:val="28"/>
        </w:rPr>
        <w:t xml:space="preserve">. En opinión del plenario, las relaciones sexuales extramatrimoniales lesionan la armonía y la estabilidad familiar. Por tal motivo, en la medida en que comprometen los propósitos que, de conformidad </w:t>
      </w:r>
      <w:r w:rsidRPr="005D36F1">
        <w:rPr>
          <w:rFonts w:ascii="Times New Roman" w:hAnsi="Times New Roman" w:cs="Times New Roman"/>
          <w:color w:val="000000" w:themeColor="text1"/>
          <w:sz w:val="28"/>
          <w:szCs w:val="28"/>
        </w:rPr>
        <w:t xml:space="preserve">con el artículo 42 superior, persiguen las instituciones de la familia y del matrimonio, su estipulación como causal de divorcio es congruente con la Constitución. Esta conclusión fue expuesta en los siguientes términos: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ind w:left="708"/>
        <w:jc w:val="both"/>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 xml:space="preserve">[E]l incumplimiento del deber de </w:t>
      </w:r>
      <w:r w:rsidRPr="005D36F1">
        <w:rPr>
          <w:rFonts w:ascii="Times New Roman" w:hAnsi="Times New Roman" w:cs="Times New Roman"/>
          <w:color w:val="000000" w:themeColor="text1"/>
          <w:sz w:val="28"/>
        </w:rPr>
        <w:t xml:space="preserve">fidelidad puede conllevar un desquiciamiento de la comunidad de vida matrimonial y, en consecuencia, un alejamiento de los objetivos que en relación con la institución familiar la Constitución busca proteger: la armonía y la estabilidad familiar, a través </w:t>
      </w:r>
      <w:r w:rsidRPr="005D36F1">
        <w:rPr>
          <w:rFonts w:ascii="Times New Roman" w:hAnsi="Times New Roman" w:cs="Times New Roman"/>
          <w:color w:val="000000" w:themeColor="text1"/>
          <w:sz w:val="28"/>
        </w:rPr>
        <w:t>del respeto entre los integrantes del grupo familiar y la igualdad de derechos y deberes de la pareja.</w:t>
      </w:r>
    </w:p>
    <w:p w:rsidR="00894FB7" w:rsidRPr="005D36F1" w:rsidRDefault="005D36F1" w:rsidP="00894FB7">
      <w:pPr>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Al examinar los argumentos propuestos en la demanda, el tribunal reconoció que la causal de divorcio «</w:t>
      </w:r>
      <w:r w:rsidRPr="005D36F1">
        <w:rPr>
          <w:rFonts w:ascii="Times New Roman" w:hAnsi="Times New Roman" w:cs="Times New Roman"/>
          <w:color w:val="000000" w:themeColor="text1"/>
          <w:sz w:val="28"/>
          <w:szCs w:val="28"/>
          <w:lang w:val="es-ES_tradnl"/>
        </w:rPr>
        <w:t>impone una limitación a los derechos al libre desa</w:t>
      </w:r>
      <w:r w:rsidRPr="005D36F1">
        <w:rPr>
          <w:rFonts w:ascii="Times New Roman" w:hAnsi="Times New Roman" w:cs="Times New Roman"/>
          <w:color w:val="000000" w:themeColor="text1"/>
          <w:sz w:val="28"/>
          <w:szCs w:val="28"/>
          <w:lang w:val="es-ES_tradnl"/>
        </w:rPr>
        <w:t>rrollo a la personalidad y autonomía de la voluntad, en cuanto puede conllevar una restricción a la libertad sexual de los cónyuges»</w:t>
      </w:r>
      <w:r w:rsidRPr="005D36F1">
        <w:rPr>
          <w:rStyle w:val="Refdenotaalpie"/>
          <w:rFonts w:ascii="Times New Roman" w:hAnsi="Times New Roman" w:cs="Times New Roman"/>
          <w:color w:val="000000" w:themeColor="text1"/>
          <w:sz w:val="28"/>
          <w:szCs w:val="28"/>
          <w:lang w:val="es-ES_tradnl"/>
        </w:rPr>
        <w:footnoteReference w:id="142"/>
      </w:r>
      <w:r w:rsidRPr="005D36F1">
        <w:rPr>
          <w:rFonts w:ascii="Times New Roman" w:hAnsi="Times New Roman" w:cs="Times New Roman"/>
          <w:color w:val="000000" w:themeColor="text1"/>
          <w:sz w:val="28"/>
          <w:szCs w:val="28"/>
          <w:lang w:val="es-ES_tradnl"/>
        </w:rPr>
        <w:t>. Empero, razonó que la citada restricción es «constitucionalmente legítima si se considera, según se ha explicado, que [aq</w:t>
      </w:r>
      <w:r w:rsidRPr="005D36F1">
        <w:rPr>
          <w:rFonts w:ascii="Times New Roman" w:hAnsi="Times New Roman" w:cs="Times New Roman"/>
          <w:color w:val="000000" w:themeColor="text1"/>
          <w:sz w:val="28"/>
          <w:szCs w:val="28"/>
          <w:lang w:val="es-ES_tradnl"/>
        </w:rPr>
        <w:t xml:space="preserve">uella] deviene de un compromiso adquirido por los cónyuges en forma libre y voluntaria, y que su objetivo es tutelar un bien jurídico de interés general </w:t>
      </w:r>
      <w:r w:rsidRPr="005D36F1">
        <w:rPr>
          <w:rFonts w:ascii="Times New Roman" w:hAnsi="Times New Roman" w:cs="Times New Roman"/>
          <w:color w:val="000000" w:themeColor="text1"/>
          <w:sz w:val="28"/>
          <w:szCs w:val="28"/>
        </w:rPr>
        <w:t>—</w:t>
      </w:r>
      <w:r w:rsidRPr="005D36F1">
        <w:rPr>
          <w:rFonts w:ascii="Times New Roman" w:hAnsi="Times New Roman" w:cs="Times New Roman"/>
          <w:color w:val="000000" w:themeColor="text1"/>
          <w:sz w:val="28"/>
          <w:szCs w:val="28"/>
          <w:lang w:val="es-ES_tradnl"/>
        </w:rPr>
        <w:t>la institución familiar</w:t>
      </w:r>
      <w:r w:rsidRPr="005D36F1">
        <w:rPr>
          <w:rFonts w:ascii="Times New Roman" w:hAnsi="Times New Roman" w:cs="Times New Roman"/>
          <w:color w:val="000000" w:themeColor="text1"/>
          <w:sz w:val="28"/>
          <w:szCs w:val="28"/>
        </w:rPr>
        <w:t>—</w:t>
      </w:r>
      <w:r w:rsidRPr="005D36F1">
        <w:rPr>
          <w:rFonts w:ascii="Times New Roman" w:hAnsi="Times New Roman" w:cs="Times New Roman"/>
          <w:color w:val="000000" w:themeColor="text1"/>
          <w:sz w:val="28"/>
          <w:szCs w:val="28"/>
          <w:lang w:val="es-ES_tradnl"/>
        </w:rPr>
        <w:t xml:space="preserve"> y proteger derechos de terceros </w:t>
      </w:r>
      <w:r w:rsidRPr="005D36F1">
        <w:rPr>
          <w:rFonts w:ascii="Times New Roman" w:hAnsi="Times New Roman" w:cs="Times New Roman"/>
          <w:color w:val="000000" w:themeColor="text1"/>
          <w:sz w:val="28"/>
          <w:szCs w:val="28"/>
        </w:rPr>
        <w:t>—</w:t>
      </w:r>
      <w:r w:rsidRPr="005D36F1">
        <w:rPr>
          <w:rFonts w:ascii="Times New Roman" w:hAnsi="Times New Roman" w:cs="Times New Roman"/>
          <w:color w:val="000000" w:themeColor="text1"/>
          <w:sz w:val="28"/>
          <w:szCs w:val="28"/>
          <w:lang w:val="es-ES_tradnl"/>
        </w:rPr>
        <w:t>los del cónyuge afectado». Por último, indic</w:t>
      </w:r>
      <w:r w:rsidRPr="005D36F1">
        <w:rPr>
          <w:rFonts w:ascii="Times New Roman" w:hAnsi="Times New Roman" w:cs="Times New Roman"/>
          <w:color w:val="000000" w:themeColor="text1"/>
          <w:sz w:val="28"/>
          <w:szCs w:val="28"/>
          <w:lang w:val="es-ES_tradnl"/>
        </w:rPr>
        <w:t>ó que el cargo de inconstitucionalidad formulado se basaba en una comprensión errada del derecho al libre desarrollo de la personalidad, en la medida en que pretendía suprimir cualquier obstáculo o restricción que impidiera su goce pleno. La Sala Plena rec</w:t>
      </w:r>
      <w:r w:rsidRPr="005D36F1">
        <w:rPr>
          <w:rFonts w:ascii="Times New Roman" w:hAnsi="Times New Roman" w:cs="Times New Roman"/>
          <w:color w:val="000000" w:themeColor="text1"/>
          <w:sz w:val="28"/>
          <w:szCs w:val="28"/>
          <w:lang w:val="es-ES_tradnl"/>
        </w:rPr>
        <w:t>ordó que no existen derechos absolutos y que el propio artículo 16 de la Constitución autoriza la limitación del derecho en cuestión, con base en «</w:t>
      </w:r>
      <w:r w:rsidRPr="005D36F1">
        <w:rPr>
          <w:rFonts w:ascii="Times New Roman" w:hAnsi="Times New Roman" w:cs="Times New Roman"/>
          <w:color w:val="000000" w:themeColor="text1"/>
          <w:sz w:val="28"/>
          <w:szCs w:val="28"/>
        </w:rPr>
        <w:t xml:space="preserve">los derechos de los demás y el orden jurídico».  </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rPr>
      </w:pPr>
      <w:r w:rsidRPr="005D36F1">
        <w:rPr>
          <w:rFonts w:ascii="Times New Roman" w:hAnsi="Times New Roman" w:cs="Times New Roman"/>
          <w:i/>
          <w:iCs/>
          <w:color w:val="000000" w:themeColor="text1"/>
          <w:sz w:val="28"/>
          <w:szCs w:val="28"/>
        </w:rPr>
        <w:t>Conclusión</w:t>
      </w:r>
      <w:r w:rsidRPr="005D36F1">
        <w:rPr>
          <w:rFonts w:ascii="Times New Roman" w:hAnsi="Times New Roman" w:cs="Times New Roman"/>
          <w:color w:val="000000" w:themeColor="text1"/>
          <w:sz w:val="28"/>
          <w:szCs w:val="28"/>
        </w:rPr>
        <w:t>. De conformidad con los fundamentos expuestos e</w:t>
      </w:r>
      <w:r w:rsidRPr="005D36F1">
        <w:rPr>
          <w:rFonts w:ascii="Times New Roman" w:hAnsi="Times New Roman" w:cs="Times New Roman"/>
          <w:color w:val="000000" w:themeColor="text1"/>
          <w:sz w:val="28"/>
          <w:szCs w:val="28"/>
        </w:rPr>
        <w:t>n este apartado, la jurisprudencia constitucional ha reconocido la existencia de un estrecho vínculo entre el derecho al libre desarrollo de la personalidad y la decisión de conformar una familia a través del matrimonio. El artículo 42 de la Constitución h</w:t>
      </w:r>
      <w:r w:rsidRPr="005D36F1">
        <w:rPr>
          <w:rFonts w:ascii="Times New Roman" w:hAnsi="Times New Roman" w:cs="Times New Roman"/>
          <w:color w:val="000000" w:themeColor="text1"/>
          <w:sz w:val="28"/>
          <w:szCs w:val="28"/>
        </w:rPr>
        <w:t>a encomendado al Legislador el desarrollo de las instituciones del matrimonio y del divorcio. Para tal efecto, dentro de los límites que establece el texto superior, el Legislador cuenta con un amplio margen de configuración. En razón de lo anterior, es pr</w:t>
      </w:r>
      <w:r w:rsidRPr="005D36F1">
        <w:rPr>
          <w:rFonts w:ascii="Times New Roman" w:hAnsi="Times New Roman" w:cs="Times New Roman"/>
          <w:color w:val="000000" w:themeColor="text1"/>
          <w:sz w:val="28"/>
          <w:szCs w:val="28"/>
        </w:rPr>
        <w:t xml:space="preserve">eciso que las causales que aquel determine, al tiempo que promuevan la consecución de los fines que persigue el matrimonio, sean respetuosas de los derechos, principios y valores que proclama la Constitución. </w:t>
      </w:r>
    </w:p>
    <w:p w:rsidR="00894FB7" w:rsidRPr="005D36F1" w:rsidRDefault="005D36F1" w:rsidP="00894FB7">
      <w:pPr>
        <w:pStyle w:val="Prrafodelista"/>
        <w:rPr>
          <w:rFonts w:ascii="Times New Roman" w:hAnsi="Times New Roman" w:cs="Times New Roman"/>
          <w:color w:val="000000" w:themeColor="text1"/>
          <w:sz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Con fundamento en los argumentos expuestos, l</w:t>
      </w:r>
      <w:r w:rsidRPr="005D36F1">
        <w:rPr>
          <w:rFonts w:ascii="Times New Roman" w:hAnsi="Times New Roman" w:cs="Times New Roman"/>
          <w:color w:val="000000" w:themeColor="text1"/>
          <w:sz w:val="28"/>
          <w:szCs w:val="28"/>
        </w:rPr>
        <w:t xml:space="preserve">a Sala Plena procede a resolver la acción pública de inconstitucionalidad formulada contra el numeral quinto del artículo 154 del Código Civil. </w:t>
      </w:r>
    </w:p>
    <w:p w:rsidR="00894FB7" w:rsidRPr="005D36F1" w:rsidRDefault="005D36F1" w:rsidP="00894FB7">
      <w:pPr>
        <w:rPr>
          <w:rFonts w:ascii="Times New Roman" w:hAnsi="Times New Roman" w:cs="Times New Roman"/>
          <w:color w:val="000000" w:themeColor="text1"/>
          <w:sz w:val="28"/>
          <w:szCs w:val="28"/>
        </w:rPr>
      </w:pPr>
    </w:p>
    <w:p w:rsidR="00894FB7" w:rsidRPr="005D36F1" w:rsidRDefault="005D36F1" w:rsidP="00894FB7">
      <w:pPr>
        <w:pStyle w:val="Prrafodelista"/>
        <w:numPr>
          <w:ilvl w:val="0"/>
          <w:numId w:val="5"/>
        </w:numPr>
        <w:rPr>
          <w:rFonts w:ascii="Times New Roman" w:hAnsi="Times New Roman" w:cs="Times New Roman"/>
          <w:b/>
          <w:bCs/>
          <w:color w:val="000000" w:themeColor="text1"/>
          <w:sz w:val="28"/>
          <w:szCs w:val="28"/>
        </w:rPr>
      </w:pPr>
      <w:r w:rsidRPr="005D36F1">
        <w:rPr>
          <w:rFonts w:ascii="Times New Roman" w:hAnsi="Times New Roman" w:cs="Times New Roman"/>
          <w:b/>
          <w:bCs/>
          <w:color w:val="000000" w:themeColor="text1"/>
          <w:sz w:val="28"/>
          <w:szCs w:val="28"/>
        </w:rPr>
        <w:t>Solución del caso concreto</w:t>
      </w:r>
    </w:p>
    <w:p w:rsidR="00894FB7" w:rsidRPr="005D36F1" w:rsidRDefault="005D36F1" w:rsidP="00894FB7">
      <w:pPr>
        <w:rPr>
          <w:rFonts w:ascii="Times New Roman" w:hAnsi="Times New Roman" w:cs="Times New Roman"/>
          <w:b/>
          <w:bCs/>
          <w:color w:val="000000" w:themeColor="text1"/>
          <w:sz w:val="28"/>
          <w:szCs w:val="28"/>
        </w:rPr>
      </w:pPr>
    </w:p>
    <w:p w:rsidR="00894FB7" w:rsidRPr="005D36F1" w:rsidRDefault="005D36F1" w:rsidP="00894FB7">
      <w:pPr>
        <w:pStyle w:val="Prrafodelista"/>
        <w:numPr>
          <w:ilvl w:val="1"/>
          <w:numId w:val="5"/>
        </w:numPr>
        <w:rPr>
          <w:rFonts w:ascii="Times New Roman" w:hAnsi="Times New Roman" w:cs="Times New Roman"/>
          <w:b/>
          <w:bCs/>
          <w:color w:val="000000" w:themeColor="text1"/>
          <w:sz w:val="28"/>
          <w:szCs w:val="28"/>
        </w:rPr>
      </w:pPr>
      <w:r w:rsidRPr="005D36F1">
        <w:rPr>
          <w:rFonts w:ascii="Times New Roman" w:hAnsi="Times New Roman" w:cs="Times New Roman"/>
          <w:b/>
          <w:bCs/>
          <w:color w:val="000000" w:themeColor="text1"/>
          <w:sz w:val="28"/>
          <w:szCs w:val="28"/>
        </w:rPr>
        <w:t xml:space="preserve"> </w:t>
      </w:r>
      <w:r w:rsidRPr="005D36F1">
        <w:rPr>
          <w:rFonts w:ascii="Times New Roman" w:hAnsi="Times New Roman" w:cs="Times New Roman"/>
          <w:b/>
          <w:bCs/>
          <w:color w:val="000000" w:themeColor="text1"/>
          <w:sz w:val="28"/>
          <w:szCs w:val="28"/>
        </w:rPr>
        <w:t>Demanda interpuesta</w:t>
      </w:r>
    </w:p>
    <w:p w:rsidR="00894FB7" w:rsidRPr="005D36F1" w:rsidRDefault="005D36F1" w:rsidP="00894FB7">
      <w:pPr>
        <w:rPr>
          <w:rFonts w:ascii="Times New Roman" w:hAnsi="Times New Roman" w:cs="Times New Roman"/>
          <w:b/>
          <w:bCs/>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shd w:val="clear" w:color="auto" w:fill="FFFFFF"/>
        </w:rPr>
        <w:t xml:space="preserve">El ciudadano Camilo Andrés Montero Jiménez demandó la constitucionalidad del </w:t>
      </w:r>
      <w:r w:rsidRPr="005D36F1">
        <w:rPr>
          <w:rFonts w:ascii="Times New Roman" w:hAnsi="Times New Roman" w:cs="Times New Roman"/>
          <w:color w:val="000000" w:themeColor="text1"/>
          <w:sz w:val="28"/>
          <w:szCs w:val="28"/>
        </w:rPr>
        <w:t>numeral quinto del artículo 154 del Código Civil. En su criterio, el Legislador violó el derecho fundamental al libre desarrollo de la personalidad y el principio constitucional d</w:t>
      </w:r>
      <w:r w:rsidRPr="005D36F1">
        <w:rPr>
          <w:rFonts w:ascii="Times New Roman" w:hAnsi="Times New Roman" w:cs="Times New Roman"/>
          <w:color w:val="000000" w:themeColor="text1"/>
          <w:sz w:val="28"/>
          <w:szCs w:val="28"/>
        </w:rPr>
        <w:t>e la dignidad humana, al instaurar como causal de divorcio el «uso habitual de sustancias alucinógenas o estupefacientes, salvo prescripción médica»</w:t>
      </w:r>
      <w:r w:rsidRPr="005D36F1">
        <w:rPr>
          <w:rStyle w:val="Refdenotaalpie"/>
          <w:rFonts w:ascii="Times New Roman" w:hAnsi="Times New Roman" w:cs="Times New Roman"/>
          <w:color w:val="000000" w:themeColor="text1"/>
          <w:sz w:val="28"/>
          <w:szCs w:val="28"/>
        </w:rPr>
        <w:footnoteReference w:id="143"/>
      </w:r>
      <w:r w:rsidRPr="005D36F1">
        <w:rPr>
          <w:rFonts w:ascii="Times New Roman" w:hAnsi="Times New Roman" w:cs="Times New Roman"/>
          <w:color w:val="000000" w:themeColor="text1"/>
          <w:sz w:val="28"/>
          <w:szCs w:val="28"/>
        </w:rPr>
        <w:t>. El consumo de las sustancias referidas estaría amparado por los principios constitucionales indicados, po</w:t>
      </w:r>
      <w:r w:rsidRPr="005D36F1">
        <w:rPr>
          <w:rFonts w:ascii="Times New Roman" w:hAnsi="Times New Roman" w:cs="Times New Roman"/>
          <w:color w:val="000000" w:themeColor="text1"/>
          <w:sz w:val="28"/>
          <w:szCs w:val="28"/>
        </w:rPr>
        <w:t xml:space="preserve">r lo que su inclusión en el supuesto de hecho conllevaría la infracción de los límites consignados en el texto superior. Concretamente, el libre desarrollo de la personalidad habría sido infringido en la medida en que la norma regula un </w:t>
      </w:r>
      <w:r w:rsidRPr="005D36F1">
        <w:rPr>
          <w:rFonts w:ascii="Times New Roman" w:hAnsi="Times New Roman" w:cs="Times New Roman"/>
          <w:i/>
          <w:iCs/>
          <w:color w:val="000000" w:themeColor="text1"/>
          <w:sz w:val="28"/>
          <w:szCs w:val="28"/>
        </w:rPr>
        <w:t>comportamiento no i</w:t>
      </w:r>
      <w:r w:rsidRPr="005D36F1">
        <w:rPr>
          <w:rFonts w:ascii="Times New Roman" w:hAnsi="Times New Roman" w:cs="Times New Roman"/>
          <w:i/>
          <w:iCs/>
          <w:color w:val="000000" w:themeColor="text1"/>
          <w:sz w:val="28"/>
          <w:szCs w:val="28"/>
        </w:rPr>
        <w:t>nterferido</w:t>
      </w:r>
      <w:r w:rsidRPr="005D36F1">
        <w:rPr>
          <w:rFonts w:ascii="Times New Roman" w:hAnsi="Times New Roman" w:cs="Times New Roman"/>
          <w:color w:val="000000" w:themeColor="text1"/>
          <w:sz w:val="28"/>
          <w:szCs w:val="28"/>
        </w:rPr>
        <w:t xml:space="preserve">. Por su parte, el derecho a la dignidad humana habría sido desconocido por cuanto impide el ejercicio de la facultad de </w:t>
      </w:r>
      <w:r w:rsidRPr="005D36F1">
        <w:rPr>
          <w:rFonts w:ascii="Times New Roman" w:hAnsi="Times New Roman" w:cs="Times New Roman"/>
          <w:i/>
          <w:iCs/>
          <w:color w:val="000000" w:themeColor="text1"/>
          <w:sz w:val="28"/>
          <w:szCs w:val="28"/>
        </w:rPr>
        <w:t>vivir como se quiere</w:t>
      </w:r>
      <w:r w:rsidRPr="005D36F1">
        <w:rPr>
          <w:rFonts w:ascii="Times New Roman" w:hAnsi="Times New Roman" w:cs="Times New Roman"/>
          <w:color w:val="000000" w:themeColor="text1"/>
          <w:sz w:val="28"/>
          <w:szCs w:val="28"/>
        </w:rPr>
        <w:t xml:space="preserve">. </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El accionante precisó que la causal en comento sanciona, únicamente, la conducta permitida por la Constitución, y no las eventuales consecuencias nocivas que pudieran seguirse de ella. Esta afirmación se basa en el hecho de que los actos de violencia e inc</w:t>
      </w:r>
      <w:r w:rsidRPr="005D36F1">
        <w:rPr>
          <w:rFonts w:ascii="Times New Roman" w:hAnsi="Times New Roman" w:cs="Times New Roman"/>
          <w:color w:val="000000" w:themeColor="text1"/>
          <w:sz w:val="28"/>
          <w:szCs w:val="28"/>
        </w:rPr>
        <w:t>umplimiento de los deberes maritales —que, según un prejuicio ampliamente difundido, se asociarían al consumo de sustancias psicoactivas— se encuentran descritos en otras causales. De tal suerte, el Legislador habría censurado una actuación inocua, que, po</w:t>
      </w:r>
      <w:r w:rsidRPr="005D36F1">
        <w:rPr>
          <w:rFonts w:ascii="Times New Roman" w:hAnsi="Times New Roman" w:cs="Times New Roman"/>
          <w:color w:val="000000" w:themeColor="text1"/>
          <w:sz w:val="28"/>
          <w:szCs w:val="28"/>
        </w:rPr>
        <w:t xml:space="preserve">r su naturaleza, no debería ser objeto de regulación por el orden jurídico. </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pStyle w:val="Prrafodelista"/>
        <w:numPr>
          <w:ilvl w:val="1"/>
          <w:numId w:val="5"/>
        </w:numPr>
        <w:jc w:val="both"/>
        <w:rPr>
          <w:rFonts w:ascii="Times New Roman" w:hAnsi="Times New Roman" w:cs="Times New Roman"/>
          <w:b/>
          <w:bCs/>
          <w:color w:val="000000" w:themeColor="text1"/>
          <w:sz w:val="28"/>
          <w:szCs w:val="28"/>
        </w:rPr>
      </w:pPr>
      <w:r w:rsidRPr="005D36F1">
        <w:rPr>
          <w:rFonts w:ascii="Times New Roman" w:hAnsi="Times New Roman" w:cs="Times New Roman"/>
          <w:b/>
          <w:bCs/>
          <w:color w:val="000000" w:themeColor="text1"/>
          <w:sz w:val="28"/>
          <w:szCs w:val="28"/>
        </w:rPr>
        <w:t xml:space="preserve"> Alcance de la norma demandada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i/>
          <w:iCs/>
          <w:color w:val="000000" w:themeColor="text1"/>
          <w:sz w:val="28"/>
          <w:szCs w:val="28"/>
        </w:rPr>
      </w:pPr>
      <w:r w:rsidRPr="005D36F1">
        <w:rPr>
          <w:rFonts w:ascii="Times New Roman" w:hAnsi="Times New Roman" w:cs="Times New Roman"/>
          <w:color w:val="000000" w:themeColor="text1"/>
          <w:sz w:val="28"/>
          <w:szCs w:val="28"/>
        </w:rPr>
        <w:t>Antes de avanzar en el análisis de la norma demandada, es preciso hacer la siguiente observación sobre el momento histórico en el que fue aprobad</w:t>
      </w:r>
      <w:r w:rsidRPr="005D36F1">
        <w:rPr>
          <w:rFonts w:ascii="Times New Roman" w:hAnsi="Times New Roman" w:cs="Times New Roman"/>
          <w:color w:val="000000" w:themeColor="text1"/>
          <w:sz w:val="28"/>
          <w:szCs w:val="28"/>
        </w:rPr>
        <w:t>a la Ley 25 de 1992. Entonces, la Constitución acababa de ser promulgada y la jurisprudencia constitucional empezaba a despuntar. Por tal motivo, el desarrollo jurisprudencial del derecho al libre desarrollo de la personalidad se hallaba en su fase más pre</w:t>
      </w:r>
      <w:r w:rsidRPr="005D36F1">
        <w:rPr>
          <w:rFonts w:ascii="Times New Roman" w:hAnsi="Times New Roman" w:cs="Times New Roman"/>
          <w:color w:val="000000" w:themeColor="text1"/>
          <w:sz w:val="28"/>
          <w:szCs w:val="28"/>
        </w:rPr>
        <w:t>matura. Una clara muestra de lo anterior se encuentra en el hecho de que la Sentencia C-221 de 1994, providencia hito en esta materia, no había sido dictada por este tribunal.</w:t>
      </w:r>
    </w:p>
    <w:p w:rsidR="00894FB7" w:rsidRPr="005D36F1" w:rsidRDefault="005D36F1" w:rsidP="00894FB7">
      <w:pPr>
        <w:jc w:val="both"/>
        <w:rPr>
          <w:rFonts w:ascii="Times New Roman" w:hAnsi="Times New Roman" w:cs="Times New Roman"/>
          <w:i/>
          <w:iCs/>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i/>
          <w:iCs/>
          <w:color w:val="000000" w:themeColor="text1"/>
          <w:sz w:val="28"/>
          <w:szCs w:val="28"/>
        </w:rPr>
      </w:pPr>
      <w:r w:rsidRPr="005D36F1">
        <w:rPr>
          <w:rFonts w:ascii="Times New Roman" w:hAnsi="Times New Roman" w:cs="Times New Roman"/>
          <w:color w:val="000000" w:themeColor="text1"/>
          <w:sz w:val="28"/>
          <w:szCs w:val="28"/>
        </w:rPr>
        <w:t xml:space="preserve">En cuanto a los designios que siguió entonces el Legislador, conviene aludir a </w:t>
      </w:r>
      <w:r w:rsidRPr="005D36F1">
        <w:rPr>
          <w:rFonts w:ascii="Times New Roman" w:hAnsi="Times New Roman" w:cs="Times New Roman"/>
          <w:color w:val="000000" w:themeColor="text1"/>
          <w:sz w:val="28"/>
          <w:szCs w:val="28"/>
        </w:rPr>
        <w:t>la exposición de motivos de la Ley 25 de 1992. El documento corrobora que el texto normativo fue aprobado con la intención de actualizar los preceptos legales que regulaban el matrimonio y el divorcio, en consonancia con los nuevos dictados de la Constituc</w:t>
      </w:r>
      <w:r w:rsidRPr="005D36F1">
        <w:rPr>
          <w:rFonts w:ascii="Times New Roman" w:hAnsi="Times New Roman" w:cs="Times New Roman"/>
          <w:color w:val="000000" w:themeColor="text1"/>
          <w:sz w:val="28"/>
          <w:szCs w:val="28"/>
        </w:rPr>
        <w:t>ión:</w:t>
      </w:r>
    </w:p>
    <w:p w:rsidR="00894FB7" w:rsidRPr="005D36F1" w:rsidRDefault="005D36F1" w:rsidP="00894FB7">
      <w:pPr>
        <w:pStyle w:val="Prrafodelista"/>
        <w:rPr>
          <w:rFonts w:ascii="Times New Roman" w:hAnsi="Times New Roman" w:cs="Times New Roman"/>
          <w:i/>
          <w:iCs/>
          <w:color w:val="000000" w:themeColor="text1"/>
          <w:sz w:val="28"/>
          <w:szCs w:val="28"/>
        </w:rPr>
      </w:pPr>
    </w:p>
    <w:p w:rsidR="00894FB7" w:rsidRPr="005D36F1" w:rsidRDefault="005D36F1" w:rsidP="00894FB7">
      <w:pPr>
        <w:ind w:left="708"/>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lang w:val="es-MX"/>
        </w:rPr>
        <w:t>Por otra parte, la legislación civil colombiana ha venido evolucionando en el sentido de agilizar y facilitar los trámites de separación de cuerpos y divorcio a través de procedimientos notariales, en los cuales impera el acuerdo entre los esposos. D</w:t>
      </w:r>
      <w:r w:rsidRPr="005D36F1">
        <w:rPr>
          <w:rFonts w:ascii="Times New Roman" w:hAnsi="Times New Roman" w:cs="Times New Roman"/>
          <w:color w:val="000000" w:themeColor="text1"/>
          <w:sz w:val="28"/>
          <w:lang w:val="es-MX"/>
        </w:rPr>
        <w:t xml:space="preserve">e estos beneficios también se encuentran excluidos los matrimonios celebrados por el rito católico […] </w:t>
      </w:r>
      <w:r w:rsidRPr="005D36F1">
        <w:rPr>
          <w:rFonts w:ascii="Times New Roman" w:hAnsi="Times New Roman" w:cs="Times New Roman"/>
          <w:color w:val="000000" w:themeColor="text1"/>
          <w:sz w:val="28"/>
        </w:rPr>
        <w:t xml:space="preserve">Con esta propuesta queremos aportar al desarrollo a la nueva Constitución, cuyos avances aportan unas reglas de convivencia más acordes a la Colombia de </w:t>
      </w:r>
      <w:r w:rsidRPr="005D36F1">
        <w:rPr>
          <w:rFonts w:ascii="Times New Roman" w:hAnsi="Times New Roman" w:cs="Times New Roman"/>
          <w:color w:val="000000" w:themeColor="text1"/>
          <w:sz w:val="28"/>
        </w:rPr>
        <w:t>hoy donde junto a tradiciones y herencias que son nuestro patrimonio, hay nuevas realidades sociales, culturales y económicas que demandan legislaciones que se adecuen a ellas y se guíen por la comprensión de una Nación que ha cambiado, de una población qu</w:t>
      </w:r>
      <w:r w:rsidRPr="005D36F1">
        <w:rPr>
          <w:rFonts w:ascii="Times New Roman" w:hAnsi="Times New Roman" w:cs="Times New Roman"/>
          <w:color w:val="000000" w:themeColor="text1"/>
          <w:sz w:val="28"/>
        </w:rPr>
        <w:t>e evoluciona de acuerdo con los retos que le plantea la vida contemporánea, y por valores tan esenciales para nuestra democracia como son: el respeto a los demás; la tolerancia y el reconocimiento de nuestra diversidad social, religiosa y cultural</w:t>
      </w:r>
      <w:r w:rsidRPr="005D36F1">
        <w:rPr>
          <w:rStyle w:val="Refdenotaalpie"/>
          <w:rFonts w:ascii="Times New Roman" w:hAnsi="Times New Roman" w:cs="Times New Roman"/>
          <w:color w:val="000000" w:themeColor="text1"/>
          <w:sz w:val="28"/>
          <w:szCs w:val="28"/>
        </w:rPr>
        <w:footnoteReference w:id="144"/>
      </w:r>
      <w:r w:rsidRPr="005D36F1">
        <w:rPr>
          <w:rFonts w:ascii="Times New Roman" w:hAnsi="Times New Roman" w:cs="Times New Roman"/>
          <w:color w:val="000000" w:themeColor="text1"/>
          <w:sz w:val="28"/>
          <w:szCs w:val="28"/>
        </w:rPr>
        <w:t xml:space="preserve">. </w:t>
      </w:r>
    </w:p>
    <w:p w:rsidR="00894FB7" w:rsidRPr="005D36F1" w:rsidRDefault="005D36F1" w:rsidP="00894FB7">
      <w:pPr>
        <w:jc w:val="both"/>
        <w:rPr>
          <w:rFonts w:ascii="Times New Roman" w:hAnsi="Times New Roman" w:cs="Times New Roman"/>
          <w:i/>
          <w:iCs/>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i/>
          <w:iCs/>
          <w:color w:val="000000" w:themeColor="text1"/>
          <w:sz w:val="28"/>
          <w:szCs w:val="28"/>
        </w:rPr>
      </w:pPr>
      <w:r w:rsidRPr="005D36F1">
        <w:rPr>
          <w:rFonts w:ascii="Times New Roman" w:hAnsi="Times New Roman" w:cs="Times New Roman"/>
          <w:color w:val="000000" w:themeColor="text1"/>
          <w:sz w:val="28"/>
          <w:szCs w:val="28"/>
        </w:rPr>
        <w:t>Conc</w:t>
      </w:r>
      <w:r w:rsidRPr="005D36F1">
        <w:rPr>
          <w:rFonts w:ascii="Times New Roman" w:hAnsi="Times New Roman" w:cs="Times New Roman"/>
          <w:color w:val="000000" w:themeColor="text1"/>
          <w:sz w:val="28"/>
          <w:szCs w:val="28"/>
        </w:rPr>
        <w:t xml:space="preserve">luida esta precisión, es necesario esclarecer el alcance de la norma demandada. Pese a su aparente claridad, la disposición contiene dos conceptos jurídicos indeterminados, que deben ser analizados para adelantar el juicio de constitucionalidad: </w:t>
      </w:r>
      <w:r w:rsidRPr="005D36F1">
        <w:rPr>
          <w:rFonts w:ascii="Times New Roman" w:hAnsi="Times New Roman" w:cs="Times New Roman"/>
          <w:i/>
          <w:iCs/>
          <w:color w:val="000000" w:themeColor="text1"/>
          <w:sz w:val="28"/>
          <w:szCs w:val="28"/>
        </w:rPr>
        <w:t>i)</w:t>
      </w:r>
      <w:r w:rsidRPr="005D36F1">
        <w:rPr>
          <w:rFonts w:ascii="Times New Roman" w:hAnsi="Times New Roman" w:cs="Times New Roman"/>
          <w:color w:val="000000" w:themeColor="text1"/>
          <w:sz w:val="28"/>
          <w:szCs w:val="28"/>
        </w:rPr>
        <w:t xml:space="preserve"> el conc</w:t>
      </w:r>
      <w:r w:rsidRPr="005D36F1">
        <w:rPr>
          <w:rFonts w:ascii="Times New Roman" w:hAnsi="Times New Roman" w:cs="Times New Roman"/>
          <w:color w:val="000000" w:themeColor="text1"/>
          <w:sz w:val="28"/>
          <w:szCs w:val="28"/>
        </w:rPr>
        <w:t xml:space="preserve">epto de </w:t>
      </w:r>
      <w:r w:rsidRPr="005D36F1">
        <w:rPr>
          <w:rFonts w:ascii="Times New Roman" w:hAnsi="Times New Roman" w:cs="Times New Roman"/>
          <w:i/>
          <w:iCs/>
          <w:color w:val="000000" w:themeColor="text1"/>
          <w:sz w:val="28"/>
          <w:szCs w:val="28"/>
        </w:rPr>
        <w:t>sustancias alucinógenas</w:t>
      </w:r>
      <w:r w:rsidRPr="005D36F1">
        <w:rPr>
          <w:rFonts w:ascii="Times New Roman" w:hAnsi="Times New Roman" w:cs="Times New Roman"/>
          <w:color w:val="000000" w:themeColor="text1"/>
          <w:sz w:val="28"/>
          <w:szCs w:val="28"/>
        </w:rPr>
        <w:t xml:space="preserve"> o </w:t>
      </w:r>
      <w:r w:rsidRPr="005D36F1">
        <w:rPr>
          <w:rFonts w:ascii="Times New Roman" w:hAnsi="Times New Roman" w:cs="Times New Roman"/>
          <w:i/>
          <w:iCs/>
          <w:color w:val="000000" w:themeColor="text1"/>
          <w:sz w:val="28"/>
          <w:szCs w:val="28"/>
        </w:rPr>
        <w:t>estupefacientes</w:t>
      </w:r>
      <w:r w:rsidRPr="005D36F1">
        <w:rPr>
          <w:rFonts w:ascii="Times New Roman" w:hAnsi="Times New Roman" w:cs="Times New Roman"/>
          <w:color w:val="000000" w:themeColor="text1"/>
          <w:sz w:val="28"/>
          <w:szCs w:val="28"/>
        </w:rPr>
        <w:t xml:space="preserve"> y </w:t>
      </w:r>
      <w:r w:rsidRPr="005D36F1">
        <w:rPr>
          <w:rFonts w:ascii="Times New Roman" w:hAnsi="Times New Roman" w:cs="Times New Roman"/>
          <w:i/>
          <w:iCs/>
          <w:color w:val="000000" w:themeColor="text1"/>
          <w:sz w:val="28"/>
          <w:szCs w:val="28"/>
        </w:rPr>
        <w:t xml:space="preserve">ii) </w:t>
      </w:r>
      <w:r w:rsidRPr="005D36F1">
        <w:rPr>
          <w:rFonts w:ascii="Times New Roman" w:hAnsi="Times New Roman" w:cs="Times New Roman"/>
          <w:color w:val="000000" w:themeColor="text1"/>
          <w:sz w:val="28"/>
          <w:szCs w:val="28"/>
        </w:rPr>
        <w:t xml:space="preserve">el significado de la </w:t>
      </w:r>
      <w:r w:rsidRPr="005D36F1">
        <w:rPr>
          <w:rFonts w:ascii="Times New Roman" w:hAnsi="Times New Roman" w:cs="Times New Roman"/>
          <w:i/>
          <w:iCs/>
          <w:color w:val="000000" w:themeColor="text1"/>
          <w:sz w:val="28"/>
          <w:szCs w:val="28"/>
        </w:rPr>
        <w:t>habitualidad</w:t>
      </w:r>
      <w:r w:rsidRPr="005D36F1">
        <w:rPr>
          <w:rFonts w:ascii="Times New Roman" w:hAnsi="Times New Roman" w:cs="Times New Roman"/>
          <w:color w:val="000000" w:themeColor="text1"/>
          <w:sz w:val="28"/>
          <w:szCs w:val="28"/>
        </w:rPr>
        <w:t xml:space="preserve"> del consumo. En cumplimiento del precedente que este tribunal hizo explícito en la Sentencia C-253 de 2019, el despacho de la magistrada sustanciadora solicitó a entidades expertas la emisión de conceptos técnicos, que elucidaran estos conceptos. A contin</w:t>
      </w:r>
      <w:r w:rsidRPr="005D36F1">
        <w:rPr>
          <w:rFonts w:ascii="Times New Roman" w:hAnsi="Times New Roman" w:cs="Times New Roman"/>
          <w:color w:val="000000" w:themeColor="text1"/>
          <w:sz w:val="28"/>
          <w:szCs w:val="28"/>
        </w:rPr>
        <w:t>uación, se sintetizan los principales hallazgos que extrae la Sala Plena de estas intervenciones.</w:t>
      </w:r>
    </w:p>
    <w:p w:rsidR="00894FB7" w:rsidRPr="005D36F1" w:rsidRDefault="005D36F1" w:rsidP="00894FB7">
      <w:pPr>
        <w:rPr>
          <w:rFonts w:ascii="Times New Roman" w:hAnsi="Times New Roman" w:cs="Times New Roman"/>
          <w:color w:val="000000" w:themeColor="text1"/>
          <w:sz w:val="28"/>
          <w:szCs w:val="28"/>
        </w:rPr>
      </w:pPr>
    </w:p>
    <w:p w:rsidR="00894FB7" w:rsidRPr="005D36F1" w:rsidRDefault="005D36F1" w:rsidP="00894FB7">
      <w:pPr>
        <w:jc w:val="both"/>
        <w:rPr>
          <w:rFonts w:ascii="Times New Roman" w:hAnsi="Times New Roman" w:cs="Times New Roman"/>
          <w:b/>
          <w:bCs/>
          <w:color w:val="000000" w:themeColor="text1"/>
          <w:sz w:val="28"/>
          <w:szCs w:val="28"/>
        </w:rPr>
      </w:pPr>
      <w:r w:rsidRPr="005D36F1">
        <w:rPr>
          <w:rFonts w:ascii="Times New Roman" w:hAnsi="Times New Roman" w:cs="Times New Roman"/>
          <w:b/>
          <w:bCs/>
          <w:color w:val="000000" w:themeColor="text1"/>
          <w:sz w:val="28"/>
          <w:szCs w:val="28"/>
        </w:rPr>
        <w:t>6.2.1. La terminología indeterminada empleada por el Legislador en la causal objeto de estudio</w:t>
      </w:r>
    </w:p>
    <w:p w:rsidR="00894FB7" w:rsidRPr="005D36F1" w:rsidRDefault="005D36F1" w:rsidP="00894FB7">
      <w:pPr>
        <w:rPr>
          <w:rFonts w:ascii="Times New Roman" w:hAnsi="Times New Roman" w:cs="Times New Roman"/>
          <w:color w:val="000000" w:themeColor="text1"/>
          <w:sz w:val="28"/>
          <w:szCs w:val="28"/>
        </w:rPr>
      </w:pPr>
    </w:p>
    <w:p w:rsidR="00894FB7" w:rsidRPr="005D36F1" w:rsidRDefault="005D36F1" w:rsidP="00894FB7">
      <w:pPr>
        <w:pStyle w:val="Prrafodelista"/>
        <w:numPr>
          <w:ilvl w:val="0"/>
          <w:numId w:val="6"/>
        </w:numPr>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Sustancias alucinógenas o estupefacientes</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i/>
          <w:iCs/>
          <w:color w:val="000000" w:themeColor="text1"/>
          <w:sz w:val="28"/>
          <w:szCs w:val="28"/>
        </w:rPr>
      </w:pPr>
      <w:r w:rsidRPr="005D36F1">
        <w:rPr>
          <w:rFonts w:ascii="Times New Roman" w:hAnsi="Times New Roman" w:cs="Times New Roman"/>
          <w:i/>
          <w:iCs/>
          <w:color w:val="000000" w:themeColor="text1"/>
          <w:sz w:val="28"/>
          <w:szCs w:val="28"/>
        </w:rPr>
        <w:t xml:space="preserve">Significado de la </w:t>
      </w:r>
      <w:r w:rsidRPr="005D36F1">
        <w:rPr>
          <w:rFonts w:ascii="Times New Roman" w:hAnsi="Times New Roman" w:cs="Times New Roman"/>
          <w:i/>
          <w:iCs/>
          <w:color w:val="000000" w:themeColor="text1"/>
          <w:sz w:val="28"/>
          <w:szCs w:val="28"/>
        </w:rPr>
        <w:t>expresión «sustancias alucinógenas o estupefacientes»</w:t>
      </w:r>
      <w:r w:rsidRPr="005D36F1">
        <w:rPr>
          <w:rFonts w:ascii="Times New Roman" w:hAnsi="Times New Roman" w:cs="Times New Roman"/>
          <w:color w:val="000000" w:themeColor="text1"/>
          <w:sz w:val="28"/>
          <w:szCs w:val="28"/>
        </w:rPr>
        <w:t xml:space="preserve">. De acuerdo con el informe </w:t>
      </w:r>
      <w:r w:rsidRPr="005D36F1">
        <w:rPr>
          <w:rFonts w:ascii="Times New Roman" w:hAnsi="Times New Roman" w:cs="Times New Roman"/>
          <w:i/>
          <w:iCs/>
          <w:color w:val="000000" w:themeColor="text1"/>
          <w:sz w:val="28"/>
          <w:szCs w:val="28"/>
        </w:rPr>
        <w:t>Terminología e información sobre drogas</w:t>
      </w:r>
      <w:r w:rsidRPr="005D36F1">
        <w:rPr>
          <w:rFonts w:ascii="Times New Roman" w:hAnsi="Times New Roman" w:cs="Times New Roman"/>
          <w:color w:val="000000" w:themeColor="text1"/>
          <w:sz w:val="28"/>
          <w:szCs w:val="28"/>
        </w:rPr>
        <w:t xml:space="preserve"> (tercera edición), elaborado por la Oficina de las Naciones Unidas contra la Droga y el Delito, «[l]os alucinógenos son un grupo divers</w:t>
      </w:r>
      <w:r w:rsidRPr="005D36F1">
        <w:rPr>
          <w:rFonts w:ascii="Times New Roman" w:hAnsi="Times New Roman" w:cs="Times New Roman"/>
          <w:color w:val="000000" w:themeColor="text1"/>
          <w:sz w:val="28"/>
          <w:szCs w:val="28"/>
        </w:rPr>
        <w:t>o de drogas naturales y sintéticas que provocan una distorsión del estado de conciencia, la percepción, el pensamiento y las sensaciones, acompañada de distintos grados de alucinaciones auditivas o visuales. También se los denomina “psicodélicos”, y sus ef</w:t>
      </w:r>
      <w:r w:rsidRPr="005D36F1">
        <w:rPr>
          <w:rFonts w:ascii="Times New Roman" w:hAnsi="Times New Roman" w:cs="Times New Roman"/>
          <w:color w:val="000000" w:themeColor="text1"/>
          <w:sz w:val="28"/>
          <w:szCs w:val="28"/>
        </w:rPr>
        <w:t>ectos son fundamentalmente la sinestesia</w:t>
      </w:r>
      <w:r w:rsidRPr="005D36F1">
        <w:rPr>
          <w:rStyle w:val="Refdenotaalpie"/>
          <w:rFonts w:ascii="Times New Roman" w:hAnsi="Times New Roman" w:cs="Times New Roman"/>
          <w:color w:val="000000" w:themeColor="text1"/>
          <w:sz w:val="28"/>
          <w:szCs w:val="28"/>
        </w:rPr>
        <w:footnoteReference w:id="145"/>
      </w:r>
      <w:r w:rsidRPr="005D36F1">
        <w:rPr>
          <w:rFonts w:ascii="Times New Roman" w:hAnsi="Times New Roman" w:cs="Times New Roman"/>
          <w:color w:val="000000" w:themeColor="text1"/>
          <w:sz w:val="28"/>
          <w:szCs w:val="28"/>
        </w:rPr>
        <w:t xml:space="preserve"> y la percepción distorsionada de la realidad. Los alucinógenos pertenecen a varios grupos relacionados químicamente, entre los que se encuentran las triptaminas (por ejemplo, la (+)-lisérgida [LSD] y la psilocina),</w:t>
      </w:r>
      <w:r w:rsidRPr="005D36F1">
        <w:rPr>
          <w:rFonts w:ascii="Times New Roman" w:hAnsi="Times New Roman" w:cs="Times New Roman"/>
          <w:color w:val="000000" w:themeColor="text1"/>
          <w:sz w:val="28"/>
          <w:szCs w:val="28"/>
        </w:rPr>
        <w:t xml:space="preserve"> y las fenetilaminas (por ejemplo, la mescalina y el 25B-NBOMe)»</w:t>
      </w:r>
      <w:r w:rsidRPr="005D36F1">
        <w:rPr>
          <w:rStyle w:val="Refdenotaalpie"/>
          <w:rFonts w:ascii="Times New Roman" w:hAnsi="Times New Roman" w:cs="Times New Roman"/>
          <w:color w:val="000000" w:themeColor="text1"/>
          <w:sz w:val="28"/>
          <w:szCs w:val="28"/>
        </w:rPr>
        <w:footnoteReference w:id="146"/>
      </w:r>
      <w:r w:rsidRPr="005D36F1">
        <w:rPr>
          <w:rFonts w:ascii="Times New Roman" w:hAnsi="Times New Roman" w:cs="Times New Roman"/>
          <w:color w:val="000000" w:themeColor="text1"/>
          <w:sz w:val="28"/>
          <w:szCs w:val="28"/>
        </w:rPr>
        <w:t>.</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i/>
          <w:iCs/>
          <w:color w:val="000000" w:themeColor="text1"/>
          <w:sz w:val="28"/>
          <w:szCs w:val="28"/>
        </w:rPr>
      </w:pPr>
      <w:r w:rsidRPr="005D36F1">
        <w:rPr>
          <w:rFonts w:ascii="Times New Roman" w:hAnsi="Times New Roman" w:cs="Times New Roman"/>
          <w:color w:val="000000" w:themeColor="text1"/>
          <w:sz w:val="28"/>
          <w:szCs w:val="28"/>
        </w:rPr>
        <w:t xml:space="preserve">El mismo informe indica que el término </w:t>
      </w:r>
      <w:r w:rsidRPr="005D36F1">
        <w:rPr>
          <w:rFonts w:ascii="Times New Roman" w:hAnsi="Times New Roman" w:cs="Times New Roman"/>
          <w:i/>
          <w:iCs/>
          <w:color w:val="000000" w:themeColor="text1"/>
          <w:sz w:val="28"/>
          <w:szCs w:val="28"/>
        </w:rPr>
        <w:t>estupefaciente</w:t>
      </w:r>
      <w:r w:rsidRPr="005D36F1">
        <w:rPr>
          <w:rFonts w:ascii="Times New Roman" w:hAnsi="Times New Roman" w:cs="Times New Roman"/>
          <w:color w:val="000000" w:themeColor="text1"/>
          <w:sz w:val="28"/>
          <w:szCs w:val="28"/>
        </w:rPr>
        <w:t xml:space="preserve"> tiene dos acepciones, una jurídica y otra médica. La primera es propia del «contexto de la fiscalización internacional de drogas, [don</w:t>
      </w:r>
      <w:r w:rsidRPr="005D36F1">
        <w:rPr>
          <w:rFonts w:ascii="Times New Roman" w:hAnsi="Times New Roman" w:cs="Times New Roman"/>
          <w:color w:val="000000" w:themeColor="text1"/>
          <w:sz w:val="28"/>
          <w:szCs w:val="28"/>
        </w:rPr>
        <w:t xml:space="preserve">de] se denomina “estupefaciente” a cualquiera de las sustancias, naturales o sintéticas, que figuran en la Lista I o la Lista II de la Convención Única de 1961 sobre Estupefacientes y en esa Convención enmendada por el Protocolo de 1972 de Modificación de </w:t>
      </w:r>
      <w:r w:rsidRPr="005D36F1">
        <w:rPr>
          <w:rFonts w:ascii="Times New Roman" w:hAnsi="Times New Roman" w:cs="Times New Roman"/>
          <w:color w:val="000000" w:themeColor="text1"/>
          <w:sz w:val="28"/>
          <w:szCs w:val="28"/>
        </w:rPr>
        <w:t>la Convención Única de 1961 sobre Estupefacientes»</w:t>
      </w:r>
      <w:r w:rsidRPr="005D36F1">
        <w:rPr>
          <w:rStyle w:val="Refdenotaalpie"/>
          <w:rFonts w:ascii="Times New Roman" w:hAnsi="Times New Roman" w:cs="Times New Roman"/>
          <w:color w:val="000000" w:themeColor="text1"/>
          <w:sz w:val="28"/>
          <w:szCs w:val="28"/>
        </w:rPr>
        <w:footnoteReference w:id="147"/>
      </w:r>
      <w:r w:rsidRPr="005D36F1">
        <w:rPr>
          <w:rFonts w:ascii="Times New Roman" w:hAnsi="Times New Roman" w:cs="Times New Roman"/>
          <w:color w:val="000000" w:themeColor="text1"/>
          <w:sz w:val="28"/>
          <w:szCs w:val="28"/>
        </w:rPr>
        <w:t>.</w:t>
      </w:r>
    </w:p>
    <w:p w:rsidR="00894FB7" w:rsidRPr="005D36F1" w:rsidRDefault="005D36F1" w:rsidP="00894FB7">
      <w:pPr>
        <w:pStyle w:val="Prrafodelista"/>
        <w:rPr>
          <w:rFonts w:ascii="Times New Roman" w:hAnsi="Times New Roman" w:cs="Times New Roman"/>
          <w:i/>
          <w:iCs/>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 xml:space="preserve">En el ámbito médico, la palabra </w:t>
      </w:r>
      <w:r w:rsidRPr="005D36F1">
        <w:rPr>
          <w:rFonts w:ascii="Times New Roman" w:hAnsi="Times New Roman" w:cs="Times New Roman"/>
          <w:i/>
          <w:iCs/>
          <w:color w:val="000000" w:themeColor="text1"/>
          <w:sz w:val="28"/>
          <w:szCs w:val="28"/>
        </w:rPr>
        <w:t xml:space="preserve">estupefaciente </w:t>
      </w:r>
      <w:r w:rsidRPr="005D36F1">
        <w:rPr>
          <w:rFonts w:ascii="Times New Roman" w:hAnsi="Times New Roman" w:cs="Times New Roman"/>
          <w:color w:val="000000" w:themeColor="text1"/>
          <w:sz w:val="28"/>
          <w:szCs w:val="28"/>
        </w:rPr>
        <w:t xml:space="preserve">«se emplea para referirse a una sustancia química que induce estupor, coma o insensibilidad al dolor (también denominada analgésico narcótico). El término </w:t>
      </w:r>
      <w:r w:rsidRPr="005D36F1">
        <w:rPr>
          <w:rFonts w:ascii="Times New Roman" w:hAnsi="Times New Roman" w:cs="Times New Roman"/>
          <w:color w:val="000000" w:themeColor="text1"/>
          <w:sz w:val="28"/>
          <w:szCs w:val="28"/>
        </w:rPr>
        <w:t>se refiere normalmente a los opiáceos u opioides, a los que también se designa analgésicos narcóticos»</w:t>
      </w:r>
      <w:r w:rsidRPr="005D36F1">
        <w:rPr>
          <w:rStyle w:val="Refdenotaalpie"/>
          <w:rFonts w:ascii="Times New Roman" w:hAnsi="Times New Roman" w:cs="Times New Roman"/>
          <w:color w:val="000000" w:themeColor="text1"/>
          <w:sz w:val="28"/>
          <w:szCs w:val="28"/>
        </w:rPr>
        <w:footnoteReference w:id="148"/>
      </w:r>
      <w:r w:rsidRPr="005D36F1">
        <w:rPr>
          <w:rFonts w:ascii="Times New Roman" w:hAnsi="Times New Roman" w:cs="Times New Roman"/>
          <w:color w:val="000000" w:themeColor="text1"/>
          <w:sz w:val="28"/>
          <w:szCs w:val="28"/>
        </w:rPr>
        <w:t>. Para terminar, el informe indica que «[e]n el lenguaje corriente y en la jerga legal, [el término estupefaciente] suele utilizarse de forma imprecisa p</w:t>
      </w:r>
      <w:r w:rsidRPr="005D36F1">
        <w:rPr>
          <w:rFonts w:ascii="Times New Roman" w:hAnsi="Times New Roman" w:cs="Times New Roman"/>
          <w:color w:val="000000" w:themeColor="text1"/>
          <w:sz w:val="28"/>
          <w:szCs w:val="28"/>
        </w:rPr>
        <w:t>ara referirse a las drogas ilegales, sean cuales sean sus propiedades farmacológicas»</w:t>
      </w:r>
      <w:r w:rsidRPr="005D36F1">
        <w:rPr>
          <w:rStyle w:val="Refdenotaalpie"/>
          <w:rFonts w:ascii="Times New Roman" w:hAnsi="Times New Roman" w:cs="Times New Roman"/>
          <w:color w:val="000000" w:themeColor="text1"/>
          <w:sz w:val="28"/>
          <w:szCs w:val="28"/>
        </w:rPr>
        <w:footnoteReference w:id="149"/>
      </w:r>
      <w:r w:rsidRPr="005D36F1">
        <w:rPr>
          <w:rFonts w:ascii="Times New Roman" w:hAnsi="Times New Roman" w:cs="Times New Roman"/>
          <w:color w:val="000000" w:themeColor="text1"/>
          <w:sz w:val="28"/>
          <w:szCs w:val="28"/>
        </w:rPr>
        <w:t>.</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 xml:space="preserve">Variedad de términos legales para hacer alusión al consumo de sustancias psicoactivas. </w:t>
      </w:r>
      <w:r w:rsidRPr="005D36F1">
        <w:rPr>
          <w:rFonts w:ascii="Times New Roman" w:hAnsi="Times New Roman" w:cs="Times New Roman"/>
          <w:color w:val="000000" w:themeColor="text1"/>
          <w:sz w:val="28"/>
          <w:szCs w:val="28"/>
        </w:rPr>
        <w:t>La legislación no ha empleado una única terminología para hacer alusión a las sustancias psicoactivas. Muestra de ello se encuentra en las siguientes disposiciones: el artículo 60 del Código Sustantivo del Trabajo, que enlista las prohibiciones impuestas a</w:t>
      </w:r>
      <w:r w:rsidRPr="005D36F1">
        <w:rPr>
          <w:rFonts w:ascii="Times New Roman" w:hAnsi="Times New Roman" w:cs="Times New Roman"/>
          <w:color w:val="000000" w:themeColor="text1"/>
          <w:sz w:val="28"/>
          <w:szCs w:val="28"/>
        </w:rPr>
        <w:t xml:space="preserve"> los trabajadores, alude a los «narcóticos o drogas enervantes»; la Ley 1566 de 2012, «por la cual se dictan normas para garantizar la atención integral a personas que consumen sustancias psicoactivas y se crea el premio nacional "entidad comprometida con </w:t>
      </w:r>
      <w:r w:rsidRPr="005D36F1">
        <w:rPr>
          <w:rFonts w:ascii="Times New Roman" w:hAnsi="Times New Roman" w:cs="Times New Roman"/>
          <w:color w:val="000000" w:themeColor="text1"/>
          <w:sz w:val="28"/>
          <w:szCs w:val="28"/>
        </w:rPr>
        <w:t>la prevención del consumo, abuso y adicción a sustancias" psicoactivas», emplea el término «sustancias psicoactivas»; el Código Penal, en su artículo 376, que tipifica el delito de «tráfico, fabricación o porte de estupefacientes», alude a las «sustancia[s</w:t>
      </w:r>
      <w:r w:rsidRPr="005D36F1">
        <w:rPr>
          <w:rFonts w:ascii="Times New Roman" w:hAnsi="Times New Roman" w:cs="Times New Roman"/>
          <w:color w:val="000000" w:themeColor="text1"/>
          <w:sz w:val="28"/>
          <w:szCs w:val="28"/>
        </w:rPr>
        <w:t>] estupefaciente[s], sicotrópica[s] o drogas sintéticas»; y el artículo 55 de la Ley 1952 de 2019, que tipifica las faltas relacionadas con el servicio o la función pública, hace referencia a «estupefacientes». Por último, el Acto Legislativo 02 de 2009, a</w:t>
      </w:r>
      <w:r w:rsidRPr="005D36F1">
        <w:rPr>
          <w:rFonts w:ascii="Times New Roman" w:hAnsi="Times New Roman" w:cs="Times New Roman"/>
          <w:color w:val="000000" w:themeColor="text1"/>
          <w:sz w:val="28"/>
          <w:szCs w:val="28"/>
        </w:rPr>
        <w:t xml:space="preserve">probado por el Congreso de la República en calidad de Constituyente derivado, hace referencia a «sustancias estupefacientes o sicotrópicas». </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i/>
          <w:iCs/>
          <w:color w:val="000000" w:themeColor="text1"/>
          <w:sz w:val="28"/>
          <w:szCs w:val="28"/>
        </w:rPr>
      </w:pPr>
      <w:r w:rsidRPr="005D36F1">
        <w:rPr>
          <w:rFonts w:ascii="Times New Roman" w:hAnsi="Times New Roman" w:cs="Times New Roman"/>
          <w:color w:val="000000" w:themeColor="text1"/>
          <w:sz w:val="28"/>
          <w:szCs w:val="28"/>
        </w:rPr>
        <w:t>En principio, la Ley 1787 de 2016, «[p]or medio de la cual se reglamenta el Acto Legislativo 02 de 2009», clarifi</w:t>
      </w:r>
      <w:r w:rsidRPr="005D36F1">
        <w:rPr>
          <w:rFonts w:ascii="Times New Roman" w:hAnsi="Times New Roman" w:cs="Times New Roman"/>
          <w:color w:val="000000" w:themeColor="text1"/>
          <w:sz w:val="28"/>
          <w:szCs w:val="28"/>
        </w:rPr>
        <w:t xml:space="preserve">ca el alcance del término </w:t>
      </w:r>
      <w:r w:rsidRPr="005D36F1">
        <w:rPr>
          <w:rFonts w:ascii="Times New Roman" w:hAnsi="Times New Roman" w:cs="Times New Roman"/>
          <w:i/>
          <w:iCs/>
          <w:color w:val="000000" w:themeColor="text1"/>
          <w:sz w:val="28"/>
          <w:szCs w:val="28"/>
        </w:rPr>
        <w:t>estupefaciente</w:t>
      </w:r>
      <w:r w:rsidRPr="005D36F1">
        <w:rPr>
          <w:rFonts w:ascii="Times New Roman" w:hAnsi="Times New Roman" w:cs="Times New Roman"/>
          <w:color w:val="000000" w:themeColor="text1"/>
          <w:sz w:val="28"/>
          <w:szCs w:val="28"/>
        </w:rPr>
        <w:t>. El tercer párrafo de la norma en cuestión define dicho concepto en los siguientes términos: «Cualquiera de las sustancias, naturales o sintéticas, que figuran en la Lista I o la Lista II de la Convención Única de 1</w:t>
      </w:r>
      <w:r w:rsidRPr="005D36F1">
        <w:rPr>
          <w:rFonts w:ascii="Times New Roman" w:hAnsi="Times New Roman" w:cs="Times New Roman"/>
          <w:color w:val="000000" w:themeColor="text1"/>
          <w:sz w:val="28"/>
          <w:szCs w:val="28"/>
        </w:rPr>
        <w:t xml:space="preserve">961 sobre Estupefacientes enmendada por el Protocolo de 1972 de modificación de la Convención Única de 1961 sobre Estupefacientes, y que haya sido catalogada como tal en los convenios internacionales y adoptada por la legislación colombiana».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Sin embargo</w:t>
      </w:r>
      <w:r w:rsidRPr="005D36F1">
        <w:rPr>
          <w:rFonts w:ascii="Times New Roman" w:hAnsi="Times New Roman" w:cs="Times New Roman"/>
          <w:color w:val="000000" w:themeColor="text1"/>
          <w:sz w:val="28"/>
          <w:szCs w:val="28"/>
        </w:rPr>
        <w:t>, por la razón que se explica enseguida, no es posible emplear esta definición para clarificar el supuesto de hecho de la norma demandada. El Legislador manifestó, de manera explícita, su intención de restringir el empleo de dicha categoría «[p]ara efectos</w:t>
      </w:r>
      <w:r w:rsidRPr="005D36F1">
        <w:rPr>
          <w:rFonts w:ascii="Times New Roman" w:hAnsi="Times New Roman" w:cs="Times New Roman"/>
          <w:color w:val="000000" w:themeColor="text1"/>
          <w:sz w:val="28"/>
          <w:szCs w:val="28"/>
        </w:rPr>
        <w:t xml:space="preserve"> de la presente ley». A la luz de lo dispuesto en su artículo primero, dicha ley tiene por objeto «crear un marco regulatorio que permita el acceso seguro e informado al uso médico y científico del cannabis y sus derivados en el territorio nacional colombi</w:t>
      </w:r>
      <w:r w:rsidRPr="005D36F1">
        <w:rPr>
          <w:rFonts w:ascii="Times New Roman" w:hAnsi="Times New Roman" w:cs="Times New Roman"/>
          <w:color w:val="000000" w:themeColor="text1"/>
          <w:sz w:val="28"/>
          <w:szCs w:val="28"/>
        </w:rPr>
        <w:t>ano». El artículo segundo añade que «[p]ara efectos de la presente ley se adoptarán las [referidas] definiciones en materia de cannabis». De lo anterior se sigue que la definición en comento ha sido propuesta, únicamente, para regular el acceso médico al c</w:t>
      </w:r>
      <w:r w:rsidRPr="005D36F1">
        <w:rPr>
          <w:rFonts w:ascii="Times New Roman" w:hAnsi="Times New Roman" w:cs="Times New Roman"/>
          <w:color w:val="000000" w:themeColor="text1"/>
          <w:sz w:val="28"/>
          <w:szCs w:val="28"/>
        </w:rPr>
        <w:t>annabis, asunto que resulta completamente ajeno a la reglamentación de las causales de divorcio. En razón de lo anterior, y atendiendo la voluntad explícita del Legislador, que no dejó dudas sobre la intención de que tales definiciones fueran empleadas úni</w:t>
      </w:r>
      <w:r w:rsidRPr="005D36F1">
        <w:rPr>
          <w:rFonts w:ascii="Times New Roman" w:hAnsi="Times New Roman" w:cs="Times New Roman"/>
          <w:color w:val="000000" w:themeColor="text1"/>
          <w:sz w:val="28"/>
          <w:szCs w:val="28"/>
        </w:rPr>
        <w:t xml:space="preserve">camente dentro del citado campo específico, no es posible emplear la definición de </w:t>
      </w:r>
      <w:r w:rsidRPr="005D36F1">
        <w:rPr>
          <w:rFonts w:ascii="Times New Roman" w:hAnsi="Times New Roman" w:cs="Times New Roman"/>
          <w:i/>
          <w:iCs/>
          <w:color w:val="000000" w:themeColor="text1"/>
          <w:sz w:val="28"/>
          <w:szCs w:val="28"/>
        </w:rPr>
        <w:t>estupefaciente</w:t>
      </w:r>
      <w:r w:rsidRPr="005D36F1">
        <w:rPr>
          <w:rFonts w:ascii="Times New Roman" w:hAnsi="Times New Roman" w:cs="Times New Roman"/>
          <w:color w:val="000000" w:themeColor="text1"/>
          <w:sz w:val="28"/>
          <w:szCs w:val="28"/>
        </w:rPr>
        <w:t xml:space="preserve"> en el caso concreto.</w:t>
      </w:r>
    </w:p>
    <w:p w:rsidR="00894FB7" w:rsidRPr="005D36F1" w:rsidRDefault="005D36F1" w:rsidP="00894FB7">
      <w:pPr>
        <w:jc w:val="both"/>
        <w:rPr>
          <w:rFonts w:ascii="Times New Roman" w:hAnsi="Times New Roman" w:cs="Times New Roman"/>
          <w:i/>
          <w:iCs/>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i/>
          <w:iCs/>
          <w:color w:val="000000" w:themeColor="text1"/>
          <w:sz w:val="28"/>
          <w:szCs w:val="28"/>
        </w:rPr>
      </w:pPr>
      <w:r w:rsidRPr="005D36F1">
        <w:rPr>
          <w:rFonts w:ascii="Times New Roman" w:hAnsi="Times New Roman" w:cs="Times New Roman"/>
          <w:i/>
          <w:iCs/>
          <w:color w:val="000000" w:themeColor="text1"/>
          <w:sz w:val="28"/>
          <w:szCs w:val="28"/>
        </w:rPr>
        <w:t xml:space="preserve">Empleo de la expresión «sustancias psicoactivas». </w:t>
      </w:r>
      <w:r w:rsidRPr="005D36F1">
        <w:rPr>
          <w:rFonts w:ascii="Times New Roman" w:hAnsi="Times New Roman" w:cs="Times New Roman"/>
          <w:color w:val="000000" w:themeColor="text1"/>
          <w:sz w:val="28"/>
          <w:szCs w:val="28"/>
        </w:rPr>
        <w:t>No es esta la primera vez que la jurisprudencia constitucional enfrenta una dificultad</w:t>
      </w:r>
      <w:r w:rsidRPr="005D36F1">
        <w:rPr>
          <w:rFonts w:ascii="Times New Roman" w:hAnsi="Times New Roman" w:cs="Times New Roman"/>
          <w:color w:val="000000" w:themeColor="text1"/>
          <w:sz w:val="28"/>
          <w:szCs w:val="28"/>
        </w:rPr>
        <w:t xml:space="preserve"> como la que acaba de referirse. En la Sentencia C-636 de 2016, anteriormente citada, la Sala Plena hizo alusión a las variadas expresiones que emplea el Legislador para aludir al consumo de drogas. A fin de zanjar la cuestión, concluyó que, «</w:t>
      </w:r>
      <w:r w:rsidRPr="005D36F1">
        <w:rPr>
          <w:rFonts w:ascii="Times New Roman" w:eastAsiaTheme="minorHAnsi" w:hAnsi="Times New Roman" w:cs="Times New Roman"/>
          <w:color w:val="000000" w:themeColor="text1"/>
          <w:kern w:val="2"/>
          <w:sz w:val="28"/>
          <w:szCs w:val="28"/>
          <w:lang w:val="es-ES" w:eastAsia="en-US"/>
          <w14:ligatures w14:val="standardContextual"/>
        </w:rPr>
        <w:t>[t]</w:t>
      </w:r>
      <w:r w:rsidRPr="005D36F1">
        <w:rPr>
          <w:rFonts w:ascii="Times New Roman" w:hAnsi="Times New Roman" w:cs="Times New Roman"/>
          <w:color w:val="000000" w:themeColor="text1"/>
          <w:sz w:val="28"/>
          <w:szCs w:val="28"/>
          <w:lang w:val="es-ES"/>
        </w:rPr>
        <w:t>eniendo en</w:t>
      </w:r>
      <w:r w:rsidRPr="005D36F1">
        <w:rPr>
          <w:rFonts w:ascii="Times New Roman" w:hAnsi="Times New Roman" w:cs="Times New Roman"/>
          <w:color w:val="000000" w:themeColor="text1"/>
          <w:sz w:val="28"/>
          <w:szCs w:val="28"/>
          <w:lang w:val="es-ES"/>
        </w:rPr>
        <w:t xml:space="preserve"> cuenta estas precisiones conceptuales, en la presente decisión se hará referencia a </w:t>
      </w:r>
      <w:r w:rsidRPr="005D36F1">
        <w:rPr>
          <w:rFonts w:ascii="Times New Roman" w:hAnsi="Times New Roman" w:cs="Times New Roman"/>
          <w:i/>
          <w:iCs/>
          <w:color w:val="000000" w:themeColor="text1"/>
          <w:sz w:val="28"/>
          <w:szCs w:val="28"/>
          <w:lang w:val="es-ES"/>
        </w:rPr>
        <w:t>sustancias psicoactivas</w:t>
      </w:r>
      <w:r w:rsidRPr="005D36F1">
        <w:rPr>
          <w:rFonts w:ascii="Times New Roman" w:hAnsi="Times New Roman" w:cs="Times New Roman"/>
          <w:color w:val="000000" w:themeColor="text1"/>
          <w:sz w:val="28"/>
          <w:szCs w:val="28"/>
          <w:lang w:val="es-ES"/>
        </w:rPr>
        <w:t xml:space="preserve"> como la categoría que incluye a las sustancias mencionadas en el numeral 2 del artículo 60 del Código Sustantivo del Trabajo, a saber, alcohol, narcóticos o drogas enervantes» [énfasis fuera de texto]. </w:t>
      </w:r>
    </w:p>
    <w:p w:rsidR="00894FB7" w:rsidRPr="005D36F1" w:rsidRDefault="005D36F1" w:rsidP="00894FB7">
      <w:pPr>
        <w:pStyle w:val="Prrafodelista"/>
        <w:rPr>
          <w:rFonts w:ascii="Times New Roman" w:hAnsi="Times New Roman" w:cs="Times New Roman"/>
          <w:color w:val="000000" w:themeColor="text1"/>
          <w:sz w:val="28"/>
          <w:szCs w:val="28"/>
          <w:lang w:val="es-ES"/>
        </w:rPr>
      </w:pPr>
    </w:p>
    <w:p w:rsidR="00894FB7" w:rsidRPr="005D36F1" w:rsidRDefault="005D36F1" w:rsidP="00894FB7">
      <w:pPr>
        <w:numPr>
          <w:ilvl w:val="0"/>
          <w:numId w:val="2"/>
        </w:numPr>
        <w:ind w:left="0" w:firstLine="0"/>
        <w:jc w:val="both"/>
        <w:rPr>
          <w:rFonts w:ascii="Times New Roman" w:hAnsi="Times New Roman" w:cs="Times New Roman"/>
          <w:i/>
          <w:iCs/>
          <w:color w:val="000000" w:themeColor="text1"/>
          <w:sz w:val="28"/>
          <w:szCs w:val="28"/>
        </w:rPr>
      </w:pPr>
      <w:r w:rsidRPr="005D36F1">
        <w:rPr>
          <w:rFonts w:ascii="Times New Roman" w:hAnsi="Times New Roman" w:cs="Times New Roman"/>
          <w:color w:val="000000" w:themeColor="text1"/>
          <w:sz w:val="28"/>
          <w:szCs w:val="28"/>
          <w:lang w:val="es-ES"/>
        </w:rPr>
        <w:t xml:space="preserve">El </w:t>
      </w:r>
      <w:r w:rsidRPr="005D36F1">
        <w:rPr>
          <w:rFonts w:ascii="Times New Roman" w:hAnsi="Times New Roman" w:cs="Times New Roman"/>
          <w:color w:val="000000" w:themeColor="text1"/>
          <w:sz w:val="28"/>
          <w:szCs w:val="28"/>
        </w:rPr>
        <w:t>Centro de Estudios sobre Seguridad y Drogas de l</w:t>
      </w:r>
      <w:r w:rsidRPr="005D36F1">
        <w:rPr>
          <w:rFonts w:ascii="Times New Roman" w:hAnsi="Times New Roman" w:cs="Times New Roman"/>
          <w:color w:val="000000" w:themeColor="text1"/>
          <w:sz w:val="28"/>
          <w:szCs w:val="28"/>
        </w:rPr>
        <w:t>a Universidad de los Andes</w:t>
      </w:r>
      <w:r w:rsidRPr="005D36F1">
        <w:rPr>
          <w:rFonts w:ascii="Times New Roman" w:hAnsi="Times New Roman" w:cs="Times New Roman"/>
          <w:color w:val="000000" w:themeColor="text1"/>
          <w:sz w:val="28"/>
          <w:szCs w:val="28"/>
          <w:vertAlign w:val="superscript"/>
        </w:rPr>
        <w:footnoteReference w:id="150"/>
      </w:r>
      <w:r w:rsidRPr="005D36F1">
        <w:rPr>
          <w:rFonts w:ascii="Times New Roman" w:hAnsi="Times New Roman" w:cs="Times New Roman"/>
          <w:color w:val="000000" w:themeColor="text1"/>
          <w:sz w:val="28"/>
          <w:szCs w:val="28"/>
        </w:rPr>
        <w:t xml:space="preserve"> puso en evidencia esta misma dificultad y sugirió a la Sala Plena emplear el término </w:t>
      </w:r>
      <w:r w:rsidRPr="005D36F1">
        <w:rPr>
          <w:rFonts w:ascii="Times New Roman" w:hAnsi="Times New Roman" w:cs="Times New Roman"/>
          <w:i/>
          <w:iCs/>
          <w:color w:val="000000" w:themeColor="text1"/>
          <w:sz w:val="28"/>
          <w:szCs w:val="28"/>
        </w:rPr>
        <w:t>sustancias psicoactivas</w:t>
      </w:r>
      <w:r w:rsidRPr="005D36F1">
        <w:rPr>
          <w:rFonts w:ascii="Times New Roman" w:hAnsi="Times New Roman" w:cs="Times New Roman"/>
          <w:color w:val="000000" w:themeColor="text1"/>
          <w:sz w:val="28"/>
          <w:szCs w:val="28"/>
        </w:rPr>
        <w:t xml:space="preserve">: «Para superar esta confusión, es aconsejable utilizar únicamente el término “sustancias psicoactivas” debido a que su </w:t>
      </w:r>
      <w:r w:rsidRPr="005D36F1">
        <w:rPr>
          <w:rFonts w:ascii="Times New Roman" w:hAnsi="Times New Roman" w:cs="Times New Roman"/>
          <w:color w:val="000000" w:themeColor="text1"/>
          <w:sz w:val="28"/>
          <w:szCs w:val="28"/>
        </w:rPr>
        <w:t>definición es más amplia y abarca estas dos categorías [sustancias alucinógenas y estupefacientes], así como muchas otras que también se utilizan comúnmente de manera equivocada»</w:t>
      </w:r>
      <w:r w:rsidRPr="005D36F1">
        <w:rPr>
          <w:rStyle w:val="Refdenotaalpie"/>
          <w:rFonts w:ascii="Times New Roman" w:hAnsi="Times New Roman" w:cs="Times New Roman"/>
          <w:color w:val="000000" w:themeColor="text1"/>
          <w:sz w:val="28"/>
          <w:szCs w:val="28"/>
        </w:rPr>
        <w:footnoteReference w:id="151"/>
      </w:r>
      <w:r w:rsidRPr="005D36F1">
        <w:rPr>
          <w:rFonts w:ascii="Times New Roman" w:hAnsi="Times New Roman" w:cs="Times New Roman"/>
          <w:color w:val="000000" w:themeColor="text1"/>
          <w:sz w:val="28"/>
          <w:szCs w:val="28"/>
        </w:rPr>
        <w:t xml:space="preserve">.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i/>
          <w:iCs/>
          <w:color w:val="000000" w:themeColor="text1"/>
          <w:sz w:val="28"/>
          <w:szCs w:val="28"/>
        </w:rPr>
      </w:pPr>
      <w:r w:rsidRPr="005D36F1">
        <w:rPr>
          <w:rFonts w:ascii="Times New Roman" w:hAnsi="Times New Roman" w:cs="Times New Roman"/>
          <w:color w:val="000000" w:themeColor="text1"/>
          <w:sz w:val="28"/>
          <w:szCs w:val="28"/>
        </w:rPr>
        <w:t>En observancia del precedente fijado en la Sentencia C-636 de 2016, y ate</w:t>
      </w:r>
      <w:r w:rsidRPr="005D36F1">
        <w:rPr>
          <w:rFonts w:ascii="Times New Roman" w:hAnsi="Times New Roman" w:cs="Times New Roman"/>
          <w:color w:val="000000" w:themeColor="text1"/>
          <w:sz w:val="28"/>
          <w:szCs w:val="28"/>
        </w:rPr>
        <w:t xml:space="preserve">ndiendo la recomendación hecha por el plantel universitario, la Sala Plena empleará en esta decisión el término </w:t>
      </w:r>
      <w:r w:rsidRPr="005D36F1">
        <w:rPr>
          <w:rFonts w:ascii="Times New Roman" w:hAnsi="Times New Roman" w:cs="Times New Roman"/>
          <w:i/>
          <w:iCs/>
          <w:color w:val="000000" w:themeColor="text1"/>
          <w:sz w:val="28"/>
          <w:szCs w:val="28"/>
        </w:rPr>
        <w:t>sustancias psicoactivas</w:t>
      </w:r>
      <w:r w:rsidRPr="005D36F1">
        <w:rPr>
          <w:rFonts w:ascii="Times New Roman" w:hAnsi="Times New Roman" w:cs="Times New Roman"/>
          <w:color w:val="000000" w:themeColor="text1"/>
          <w:sz w:val="28"/>
          <w:szCs w:val="28"/>
        </w:rPr>
        <w:t xml:space="preserve"> para referir la conducta descrita en el supuesto de hecho de la norma demandada. A favor de esta decisión se encuentra e</w:t>
      </w:r>
      <w:r w:rsidRPr="005D36F1">
        <w:rPr>
          <w:rFonts w:ascii="Times New Roman" w:hAnsi="Times New Roman" w:cs="Times New Roman"/>
          <w:color w:val="000000" w:themeColor="text1"/>
          <w:sz w:val="28"/>
          <w:szCs w:val="28"/>
        </w:rPr>
        <w:t xml:space="preserve">l hecho de que es evidente que, al emplear la expresión </w:t>
      </w:r>
      <w:r w:rsidRPr="005D36F1">
        <w:rPr>
          <w:rFonts w:ascii="Times New Roman" w:hAnsi="Times New Roman" w:cs="Times New Roman"/>
          <w:i/>
          <w:iCs/>
          <w:color w:val="000000" w:themeColor="text1"/>
          <w:sz w:val="28"/>
          <w:szCs w:val="28"/>
        </w:rPr>
        <w:t>estupefaciente</w:t>
      </w:r>
      <w:r w:rsidRPr="005D36F1">
        <w:rPr>
          <w:rFonts w:ascii="Times New Roman" w:hAnsi="Times New Roman" w:cs="Times New Roman"/>
          <w:color w:val="000000" w:themeColor="text1"/>
          <w:sz w:val="28"/>
          <w:szCs w:val="28"/>
        </w:rPr>
        <w:t xml:space="preserve">, el Legislador no hace alusión a la categoría que se emplea en el «contexto de la fiscalización internacional de drogas»; por el contrario, es claro que se refiere al uso de sustancias </w:t>
      </w:r>
      <w:r w:rsidRPr="005D36F1">
        <w:rPr>
          <w:rFonts w:ascii="Times New Roman" w:hAnsi="Times New Roman" w:cs="Times New Roman"/>
          <w:color w:val="000000" w:themeColor="text1"/>
          <w:sz w:val="28"/>
          <w:szCs w:val="28"/>
        </w:rPr>
        <w:t>que alteran la conciencia de quien las usa.</w:t>
      </w:r>
    </w:p>
    <w:p w:rsidR="00894FB7" w:rsidRPr="005D36F1" w:rsidRDefault="005D36F1" w:rsidP="00894FB7">
      <w:pPr>
        <w:jc w:val="both"/>
        <w:rPr>
          <w:rFonts w:ascii="Times New Roman" w:hAnsi="Times New Roman" w:cs="Times New Roman"/>
          <w:i/>
          <w:iCs/>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 xml:space="preserve">El significado de la expresión </w:t>
      </w:r>
      <w:r w:rsidRPr="005D36F1">
        <w:rPr>
          <w:rFonts w:ascii="Times New Roman" w:hAnsi="Times New Roman" w:cs="Times New Roman"/>
          <w:i/>
          <w:iCs/>
          <w:color w:val="000000" w:themeColor="text1"/>
          <w:sz w:val="28"/>
          <w:szCs w:val="28"/>
        </w:rPr>
        <w:t>sustancias psicoactivas</w:t>
      </w:r>
      <w:r w:rsidRPr="005D36F1">
        <w:rPr>
          <w:rFonts w:ascii="Times New Roman" w:hAnsi="Times New Roman" w:cs="Times New Roman"/>
          <w:color w:val="000000" w:themeColor="text1"/>
          <w:sz w:val="28"/>
          <w:szCs w:val="28"/>
        </w:rPr>
        <w:t xml:space="preserve"> ha sido establecido, con autoridad, por la Organización Panamericana de la Salud, del siguiente modo: «Las sustancias psicoactivas son diversos compuestos n</w:t>
      </w:r>
      <w:r w:rsidRPr="005D36F1">
        <w:rPr>
          <w:rFonts w:ascii="Times New Roman" w:hAnsi="Times New Roman" w:cs="Times New Roman"/>
          <w:color w:val="000000" w:themeColor="text1"/>
          <w:sz w:val="28"/>
          <w:szCs w:val="28"/>
        </w:rPr>
        <w:t>aturales o sintéticos, que actúan sobre el sistema nervioso generando alteraciones en las funciones que regulan pensamientos, emociones y el comportamiento»</w:t>
      </w:r>
      <w:r w:rsidRPr="005D36F1">
        <w:rPr>
          <w:rStyle w:val="Refdenotaalpie"/>
          <w:rFonts w:ascii="Times New Roman" w:hAnsi="Times New Roman" w:cs="Times New Roman"/>
          <w:color w:val="000000" w:themeColor="text1"/>
          <w:sz w:val="28"/>
          <w:szCs w:val="28"/>
        </w:rPr>
        <w:footnoteReference w:id="152"/>
      </w:r>
      <w:r w:rsidRPr="005D36F1">
        <w:rPr>
          <w:rFonts w:ascii="Times New Roman" w:hAnsi="Times New Roman" w:cs="Times New Roman"/>
          <w:color w:val="000000" w:themeColor="text1"/>
          <w:sz w:val="28"/>
          <w:szCs w:val="28"/>
        </w:rPr>
        <w:t xml:space="preserve">. La entidad internacional ha indicado que las sustancias psicoactivas son empleadas con distintos </w:t>
      </w:r>
      <w:r w:rsidRPr="005D36F1">
        <w:rPr>
          <w:rFonts w:ascii="Times New Roman" w:hAnsi="Times New Roman" w:cs="Times New Roman"/>
          <w:color w:val="000000" w:themeColor="text1"/>
          <w:sz w:val="28"/>
          <w:szCs w:val="28"/>
        </w:rPr>
        <w:t>fines, «ya sea para uso recreativo, como el alcohol o el tabaco; para uso farmacológico, como los tranquilizantes o analgésicos opiáceos, o de uso general, como los solventes industriales»</w:t>
      </w:r>
      <w:r w:rsidRPr="005D36F1">
        <w:rPr>
          <w:rStyle w:val="Refdenotaalpie"/>
          <w:rFonts w:ascii="Times New Roman" w:hAnsi="Times New Roman" w:cs="Times New Roman"/>
          <w:color w:val="000000" w:themeColor="text1"/>
          <w:sz w:val="28"/>
          <w:szCs w:val="28"/>
        </w:rPr>
        <w:footnoteReference w:id="153"/>
      </w:r>
      <w:r w:rsidRPr="005D36F1">
        <w:rPr>
          <w:rFonts w:ascii="Times New Roman" w:hAnsi="Times New Roman" w:cs="Times New Roman"/>
          <w:color w:val="000000" w:themeColor="text1"/>
          <w:sz w:val="28"/>
          <w:szCs w:val="28"/>
        </w:rPr>
        <w:t>. Finalmente, ha manifestado que, además de las anteriores variedad</w:t>
      </w:r>
      <w:r w:rsidRPr="005D36F1">
        <w:rPr>
          <w:rFonts w:ascii="Times New Roman" w:hAnsi="Times New Roman" w:cs="Times New Roman"/>
          <w:color w:val="000000" w:themeColor="text1"/>
          <w:sz w:val="28"/>
          <w:szCs w:val="28"/>
        </w:rPr>
        <w:t>es, existe «un grupo cuyo uso es considerado ilícito y solo autorizado con fines médicos o de investigación, como el caso de la cocaína y sus derivados»</w:t>
      </w:r>
      <w:r w:rsidRPr="005D36F1">
        <w:rPr>
          <w:rStyle w:val="Refdenotaalpie"/>
          <w:rFonts w:ascii="Times New Roman" w:hAnsi="Times New Roman" w:cs="Times New Roman"/>
          <w:color w:val="000000" w:themeColor="text1"/>
          <w:sz w:val="28"/>
          <w:szCs w:val="28"/>
        </w:rPr>
        <w:footnoteReference w:id="154"/>
      </w:r>
      <w:r w:rsidRPr="005D36F1">
        <w:rPr>
          <w:rFonts w:ascii="Times New Roman" w:hAnsi="Times New Roman" w:cs="Times New Roman"/>
          <w:color w:val="000000" w:themeColor="text1"/>
          <w:sz w:val="28"/>
          <w:szCs w:val="28"/>
        </w:rPr>
        <w:t xml:space="preserve">. </w:t>
      </w:r>
    </w:p>
    <w:p w:rsidR="009354C4" w:rsidRPr="005D36F1" w:rsidRDefault="005D36F1" w:rsidP="009354C4">
      <w:pPr>
        <w:jc w:val="both"/>
        <w:rPr>
          <w:rFonts w:ascii="Times New Roman" w:hAnsi="Times New Roman" w:cs="Times New Roman"/>
          <w:color w:val="000000" w:themeColor="text1"/>
          <w:sz w:val="28"/>
          <w:szCs w:val="28"/>
        </w:rPr>
      </w:pPr>
    </w:p>
    <w:p w:rsidR="00AA28DB"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En este contexto, la Sala Plena encuentra necesario advertir que el consumo de alcohol tiene una re</w:t>
      </w:r>
      <w:r w:rsidRPr="005D36F1">
        <w:rPr>
          <w:rFonts w:ascii="Times New Roman" w:hAnsi="Times New Roman" w:cs="Times New Roman"/>
          <w:color w:val="000000" w:themeColor="text1"/>
          <w:sz w:val="28"/>
          <w:szCs w:val="28"/>
        </w:rPr>
        <w:t>gulación especial. El numeral cuarto del artículo 154 del Código Civil tipifica como causal de divorcio «[l]a embriaguez habitual de uno de los cónyuges». La embriaguez es definida en el diccionario de la Real Academia Española como una</w:t>
      </w:r>
      <w:r w:rsidRPr="005D36F1">
        <w:rPr>
          <w:rFonts w:ascii="Times New Roman" w:hAnsi="Times New Roman" w:cs="Times New Roman"/>
          <w:color w:val="000000" w:themeColor="text1"/>
          <w:sz w:val="28"/>
          <w:szCs w:val="28"/>
        </w:rPr>
        <w:t xml:space="preserve"> «[p]erturbación pasajera producida por la ingestión excesiva de bebidas alcohólicas». En atención a que el Legislador estableció una regla particular al respecto, la Sala Plena concluye que la norma demandada no se refiere al consumo de alcohol. Por tanto</w:t>
      </w:r>
      <w:r w:rsidRPr="005D36F1">
        <w:rPr>
          <w:rFonts w:ascii="Times New Roman" w:hAnsi="Times New Roman" w:cs="Times New Roman"/>
          <w:color w:val="000000" w:themeColor="text1"/>
          <w:sz w:val="28"/>
          <w:szCs w:val="28"/>
        </w:rPr>
        <w:t>, el análisis que se realiza en esta providencia no se refiere a la causal establecida en el numeral cuarto del artículo 154 del Código Civil.</w:t>
      </w:r>
    </w:p>
    <w:p w:rsidR="009354C4" w:rsidRPr="005D36F1" w:rsidRDefault="005D36F1" w:rsidP="009354C4">
      <w:pPr>
        <w:jc w:val="both"/>
        <w:rPr>
          <w:rFonts w:ascii="Times New Roman" w:hAnsi="Times New Roman" w:cs="Times New Roman"/>
          <w:color w:val="000000" w:themeColor="text1"/>
          <w:sz w:val="28"/>
          <w:szCs w:val="28"/>
        </w:rPr>
      </w:pPr>
    </w:p>
    <w:p w:rsidR="00894FB7" w:rsidRPr="005D36F1" w:rsidRDefault="005D36F1" w:rsidP="00894FB7">
      <w:pPr>
        <w:ind w:firstLine="708"/>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b) Habitualidad del consumo de sustancias psicoactivas</w:t>
      </w:r>
    </w:p>
    <w:p w:rsidR="00894FB7" w:rsidRPr="005D36F1" w:rsidRDefault="005D36F1" w:rsidP="00894FB7">
      <w:pPr>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i/>
          <w:iCs/>
          <w:color w:val="000000" w:themeColor="text1"/>
          <w:sz w:val="28"/>
          <w:szCs w:val="28"/>
        </w:rPr>
      </w:pPr>
      <w:r w:rsidRPr="005D36F1">
        <w:rPr>
          <w:rFonts w:ascii="Times New Roman" w:hAnsi="Times New Roman" w:cs="Times New Roman"/>
          <w:color w:val="000000" w:themeColor="text1"/>
          <w:sz w:val="28"/>
          <w:szCs w:val="28"/>
        </w:rPr>
        <w:t xml:space="preserve"> </w:t>
      </w:r>
      <w:r w:rsidRPr="005D36F1">
        <w:rPr>
          <w:rFonts w:ascii="Times New Roman" w:hAnsi="Times New Roman" w:cs="Times New Roman"/>
          <w:i/>
          <w:iCs/>
          <w:color w:val="000000" w:themeColor="text1"/>
          <w:sz w:val="28"/>
          <w:szCs w:val="28"/>
        </w:rPr>
        <w:t xml:space="preserve">Carácter relativo del término «consumo habitual». </w:t>
      </w:r>
      <w:r w:rsidRPr="005D36F1">
        <w:rPr>
          <w:rFonts w:ascii="Times New Roman" w:hAnsi="Times New Roman" w:cs="Times New Roman"/>
          <w:color w:val="000000" w:themeColor="text1"/>
          <w:sz w:val="28"/>
          <w:szCs w:val="28"/>
        </w:rPr>
        <w:t>Queda</w:t>
      </w:r>
      <w:r w:rsidRPr="005D36F1">
        <w:rPr>
          <w:rFonts w:ascii="Times New Roman" w:hAnsi="Times New Roman" w:cs="Times New Roman"/>
          <w:color w:val="000000" w:themeColor="text1"/>
          <w:sz w:val="28"/>
          <w:szCs w:val="28"/>
        </w:rPr>
        <w:t xml:space="preserve"> por elucidar el segundo concepto jurídico indeterminado que emplea la norma, relacionado con la </w:t>
      </w:r>
      <w:r w:rsidRPr="005D36F1">
        <w:rPr>
          <w:rFonts w:ascii="Times New Roman" w:hAnsi="Times New Roman" w:cs="Times New Roman"/>
          <w:i/>
          <w:iCs/>
          <w:color w:val="000000" w:themeColor="text1"/>
          <w:sz w:val="28"/>
          <w:szCs w:val="28"/>
        </w:rPr>
        <w:t xml:space="preserve">habitualidad </w:t>
      </w:r>
      <w:r w:rsidRPr="005D36F1">
        <w:rPr>
          <w:rFonts w:ascii="Times New Roman" w:hAnsi="Times New Roman" w:cs="Times New Roman"/>
          <w:color w:val="000000" w:themeColor="text1"/>
          <w:sz w:val="28"/>
          <w:szCs w:val="28"/>
        </w:rPr>
        <w:t xml:space="preserve">del consumo. Las instituciones que enviaron conceptos para clarificar el término coincidieron en que el </w:t>
      </w:r>
      <w:r w:rsidRPr="005D36F1">
        <w:rPr>
          <w:rFonts w:ascii="Times New Roman" w:hAnsi="Times New Roman" w:cs="Times New Roman"/>
          <w:i/>
          <w:iCs/>
          <w:color w:val="000000" w:themeColor="text1"/>
          <w:sz w:val="28"/>
          <w:szCs w:val="28"/>
        </w:rPr>
        <w:t xml:space="preserve">consumo habitual </w:t>
      </w:r>
      <w:r w:rsidRPr="005D36F1">
        <w:rPr>
          <w:rFonts w:ascii="Times New Roman" w:hAnsi="Times New Roman" w:cs="Times New Roman"/>
          <w:color w:val="000000" w:themeColor="text1"/>
          <w:sz w:val="28"/>
          <w:szCs w:val="28"/>
        </w:rPr>
        <w:t xml:space="preserve">es un concepto relativo, </w:t>
      </w:r>
      <w:r w:rsidRPr="005D36F1">
        <w:rPr>
          <w:rFonts w:ascii="Times New Roman" w:hAnsi="Times New Roman" w:cs="Times New Roman"/>
          <w:color w:val="000000" w:themeColor="text1"/>
          <w:sz w:val="28"/>
          <w:szCs w:val="28"/>
        </w:rPr>
        <w:t xml:space="preserve">que se define por comparación, frente a otros usos de las sustancias psicoactivas. </w:t>
      </w:r>
    </w:p>
    <w:p w:rsidR="00894FB7" w:rsidRPr="005D36F1" w:rsidRDefault="005D36F1" w:rsidP="00894FB7">
      <w:pPr>
        <w:jc w:val="both"/>
        <w:rPr>
          <w:rFonts w:ascii="Times New Roman" w:hAnsi="Times New Roman" w:cs="Times New Roman"/>
          <w:i/>
          <w:iCs/>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i/>
          <w:iCs/>
          <w:color w:val="000000" w:themeColor="text1"/>
          <w:sz w:val="28"/>
          <w:szCs w:val="28"/>
        </w:rPr>
      </w:pPr>
      <w:r w:rsidRPr="005D36F1">
        <w:rPr>
          <w:rFonts w:ascii="Times New Roman" w:hAnsi="Times New Roman" w:cs="Times New Roman"/>
          <w:color w:val="000000" w:themeColor="text1"/>
          <w:sz w:val="28"/>
          <w:szCs w:val="28"/>
        </w:rPr>
        <w:t xml:space="preserve">Esta singular característica del </w:t>
      </w:r>
      <w:r w:rsidRPr="005D36F1">
        <w:rPr>
          <w:rFonts w:ascii="Times New Roman" w:hAnsi="Times New Roman" w:cs="Times New Roman"/>
          <w:i/>
          <w:iCs/>
          <w:color w:val="000000" w:themeColor="text1"/>
          <w:sz w:val="28"/>
          <w:szCs w:val="28"/>
        </w:rPr>
        <w:t xml:space="preserve">consumo habitual </w:t>
      </w:r>
      <w:r w:rsidRPr="005D36F1">
        <w:rPr>
          <w:rFonts w:ascii="Times New Roman" w:hAnsi="Times New Roman" w:cs="Times New Roman"/>
          <w:color w:val="000000" w:themeColor="text1"/>
          <w:sz w:val="28"/>
          <w:szCs w:val="28"/>
        </w:rPr>
        <w:t>fue señalada por las siguientes entidades: la Corporación Colombiana de Padres y Madres (Red PaPaz), la cual basó su defi</w:t>
      </w:r>
      <w:r w:rsidRPr="005D36F1">
        <w:rPr>
          <w:rFonts w:ascii="Times New Roman" w:hAnsi="Times New Roman" w:cs="Times New Roman"/>
          <w:color w:val="000000" w:themeColor="text1"/>
          <w:sz w:val="28"/>
          <w:szCs w:val="28"/>
        </w:rPr>
        <w:t>nición en un documento elaborado por el Ministerio de Salud y Protección Social</w:t>
      </w:r>
      <w:r w:rsidRPr="005D36F1">
        <w:rPr>
          <w:rStyle w:val="Refdenotaalpie"/>
          <w:rFonts w:ascii="Times New Roman" w:hAnsi="Times New Roman" w:cs="Times New Roman"/>
          <w:color w:val="000000" w:themeColor="text1"/>
          <w:sz w:val="28"/>
          <w:szCs w:val="28"/>
        </w:rPr>
        <w:footnoteReference w:id="155"/>
      </w:r>
      <w:r w:rsidRPr="005D36F1">
        <w:rPr>
          <w:rFonts w:ascii="Times New Roman" w:hAnsi="Times New Roman" w:cs="Times New Roman"/>
          <w:color w:val="000000" w:themeColor="text1"/>
          <w:sz w:val="28"/>
          <w:szCs w:val="28"/>
        </w:rPr>
        <w:t>; el Centro de Estudios sobre Seguridad y Drogas de la Universidad de los Andes, grupo de investigación que fundamentó su caracterización en varios informes técnicos y en repor</w:t>
      </w:r>
      <w:r w:rsidRPr="005D36F1">
        <w:rPr>
          <w:rFonts w:ascii="Times New Roman" w:hAnsi="Times New Roman" w:cs="Times New Roman"/>
          <w:color w:val="000000" w:themeColor="text1"/>
          <w:sz w:val="28"/>
          <w:szCs w:val="28"/>
        </w:rPr>
        <w:t>tes de la Oficina de Naciones Unidas contra la Droga y el Delito; la Secretaría Distrital de Salud de Bogotá, que fundamentó su definición en informes elaborados por la Organización Mundial para la Salud (OMS); y el Instituto Nacional de Medicina legal, qu</w:t>
      </w:r>
      <w:r w:rsidRPr="005D36F1">
        <w:rPr>
          <w:rFonts w:ascii="Times New Roman" w:hAnsi="Times New Roman" w:cs="Times New Roman"/>
          <w:color w:val="000000" w:themeColor="text1"/>
          <w:sz w:val="28"/>
          <w:szCs w:val="28"/>
        </w:rPr>
        <w:t xml:space="preserve">e también fundó su definición en informes de la OMS. </w:t>
      </w:r>
    </w:p>
    <w:p w:rsidR="00894FB7" w:rsidRPr="005D36F1" w:rsidRDefault="005D36F1" w:rsidP="00894FB7">
      <w:pPr>
        <w:pStyle w:val="Prrafodelista"/>
        <w:rPr>
          <w:rFonts w:ascii="Times New Roman" w:hAnsi="Times New Roman" w:cs="Times New Roman"/>
          <w:i/>
          <w:iCs/>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i/>
          <w:iCs/>
          <w:color w:val="000000" w:themeColor="text1"/>
          <w:sz w:val="28"/>
          <w:szCs w:val="28"/>
        </w:rPr>
      </w:pPr>
      <w:r w:rsidRPr="005D36F1">
        <w:rPr>
          <w:rFonts w:ascii="Times New Roman" w:hAnsi="Times New Roman" w:cs="Times New Roman"/>
          <w:color w:val="000000" w:themeColor="text1"/>
          <w:sz w:val="28"/>
          <w:szCs w:val="28"/>
        </w:rPr>
        <w:t>Esta última entidad, el Instituto de Medicina Legal y Ciencias Forenses, presentó a esta corporación la siguiente definición sobre el significado del consumo habitual:</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ind w:left="708"/>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rPr>
        <w:t xml:space="preserve">Cuando nos referimos al consumo </w:t>
      </w:r>
      <w:r w:rsidRPr="005D36F1">
        <w:rPr>
          <w:rFonts w:ascii="Times New Roman" w:hAnsi="Times New Roman" w:cs="Times New Roman"/>
          <w:color w:val="000000" w:themeColor="text1"/>
          <w:sz w:val="28"/>
        </w:rPr>
        <w:t xml:space="preserve">habitual o habituación, este se encuentra relacionado por la OMS y se refiere al concepto de la existencia del mero deseo de consumir la sustancia, pero sin que exista compulsión para el consumo y que la tendencia a aumentar la dosis del consumo es escasa </w:t>
      </w:r>
      <w:r w:rsidRPr="005D36F1">
        <w:rPr>
          <w:rFonts w:ascii="Times New Roman" w:hAnsi="Times New Roman" w:cs="Times New Roman"/>
          <w:color w:val="000000" w:themeColor="text1"/>
          <w:sz w:val="28"/>
        </w:rPr>
        <w:t>o nula […]. Cabe aclarar que estos conceptos no son considerados disfuncionales desde la nosología psiquiátrica vigente, es decir, no son conceptos para considerar psicopatología, ya que para que exista una alteración mental asociada al consumo debe cumpli</w:t>
      </w:r>
      <w:r w:rsidRPr="005D36F1">
        <w:rPr>
          <w:rFonts w:ascii="Times New Roman" w:hAnsi="Times New Roman" w:cs="Times New Roman"/>
          <w:color w:val="000000" w:themeColor="text1"/>
          <w:sz w:val="28"/>
        </w:rPr>
        <w:t>rse una serie de criterios que incluye, entre otros, el compromiso funcional, para poder hablar de trastornos relacionados con sustancias y trastornos adictivos o trastornos debidos al uso de sustancias o a comportamientos adictivos</w:t>
      </w:r>
      <w:r w:rsidRPr="005D36F1">
        <w:rPr>
          <w:rStyle w:val="Refdenotaalpie"/>
          <w:rFonts w:ascii="Times New Roman" w:hAnsi="Times New Roman" w:cs="Times New Roman"/>
          <w:color w:val="000000" w:themeColor="text1"/>
          <w:sz w:val="28"/>
        </w:rPr>
        <w:footnoteReference w:id="156"/>
      </w:r>
      <w:r w:rsidRPr="005D36F1">
        <w:rPr>
          <w:rFonts w:ascii="Times New Roman" w:hAnsi="Times New Roman" w:cs="Times New Roman"/>
          <w:color w:val="000000" w:themeColor="text1"/>
          <w:sz w:val="28"/>
        </w:rPr>
        <w:t>.</w:t>
      </w:r>
      <w:r w:rsidRPr="005D36F1">
        <w:rPr>
          <w:rFonts w:ascii="Times New Roman" w:hAnsi="Times New Roman" w:cs="Times New Roman"/>
          <w:color w:val="000000" w:themeColor="text1"/>
          <w:sz w:val="28"/>
          <w:szCs w:val="28"/>
        </w:rPr>
        <w:t xml:space="preserve"> </w:t>
      </w:r>
    </w:p>
    <w:p w:rsidR="00894FB7" w:rsidRPr="005D36F1" w:rsidRDefault="005D36F1" w:rsidP="00894FB7">
      <w:pPr>
        <w:ind w:left="708"/>
        <w:jc w:val="both"/>
        <w:rPr>
          <w:rFonts w:ascii="Times New Roman" w:hAnsi="Times New Roman" w:cs="Times New Roman"/>
          <w:i/>
          <w:iCs/>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i/>
          <w:iCs/>
          <w:color w:val="000000" w:themeColor="text1"/>
          <w:sz w:val="28"/>
          <w:szCs w:val="28"/>
        </w:rPr>
      </w:pPr>
      <w:r w:rsidRPr="005D36F1">
        <w:rPr>
          <w:rFonts w:ascii="Times New Roman" w:hAnsi="Times New Roman" w:cs="Times New Roman"/>
          <w:color w:val="000000" w:themeColor="text1"/>
          <w:sz w:val="28"/>
          <w:szCs w:val="28"/>
        </w:rPr>
        <w:t>En esta misma direc</w:t>
      </w:r>
      <w:r w:rsidRPr="005D36F1">
        <w:rPr>
          <w:rFonts w:ascii="Times New Roman" w:hAnsi="Times New Roman" w:cs="Times New Roman"/>
          <w:color w:val="000000" w:themeColor="text1"/>
          <w:sz w:val="28"/>
          <w:szCs w:val="28"/>
        </w:rPr>
        <w:t xml:space="preserve">ción, la Secretaría de Salud del Distrito Capital manifestó lo siguiente, a propósito de la caracterización del consumo habitual:  </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ind w:left="708"/>
        <w:jc w:val="both"/>
        <w:rPr>
          <w:rFonts w:ascii="Times New Roman" w:hAnsi="Times New Roman" w:cs="Times New Roman"/>
          <w:i/>
          <w:iCs/>
          <w:color w:val="000000" w:themeColor="text1"/>
          <w:sz w:val="28"/>
        </w:rPr>
      </w:pPr>
      <w:r w:rsidRPr="005D36F1">
        <w:rPr>
          <w:rFonts w:ascii="Times New Roman" w:hAnsi="Times New Roman" w:cs="Times New Roman"/>
          <w:color w:val="000000" w:themeColor="text1"/>
          <w:sz w:val="28"/>
        </w:rPr>
        <w:t>[E]l consumo habitual implica la creación de un hábito bajo ciertas condiciones, donde puede haber cierta relación con la f</w:t>
      </w:r>
      <w:r w:rsidRPr="005D36F1">
        <w:rPr>
          <w:rFonts w:ascii="Times New Roman" w:hAnsi="Times New Roman" w:cs="Times New Roman"/>
          <w:color w:val="000000" w:themeColor="text1"/>
          <w:sz w:val="28"/>
        </w:rPr>
        <w:t>recuencia y la cantidad, pero también a otras variables, como el motivo social bajo el cual se usa la sustancia. Por ejemplo, una persona puede tener el hábito de consumir alcohol cuando asiste a reuniones sociales o de trabajo con sus amigos, pero es algo</w:t>
      </w:r>
      <w:r w:rsidRPr="005D36F1">
        <w:rPr>
          <w:rFonts w:ascii="Times New Roman" w:hAnsi="Times New Roman" w:cs="Times New Roman"/>
          <w:color w:val="000000" w:themeColor="text1"/>
          <w:sz w:val="28"/>
        </w:rPr>
        <w:t xml:space="preserve"> que ocurre de manera esporádica, con baja frecuencia y en circunstancias específicas</w:t>
      </w:r>
      <w:r w:rsidRPr="005D36F1">
        <w:rPr>
          <w:rStyle w:val="Refdenotaalpie"/>
          <w:rFonts w:ascii="Times New Roman" w:hAnsi="Times New Roman" w:cs="Times New Roman"/>
          <w:color w:val="000000" w:themeColor="text1"/>
          <w:sz w:val="28"/>
        </w:rPr>
        <w:footnoteReference w:id="157"/>
      </w:r>
      <w:r w:rsidRPr="005D36F1">
        <w:rPr>
          <w:rFonts w:ascii="Times New Roman" w:hAnsi="Times New Roman" w:cs="Times New Roman"/>
          <w:color w:val="000000" w:themeColor="text1"/>
          <w:sz w:val="28"/>
        </w:rPr>
        <w:t xml:space="preserve">. </w:t>
      </w:r>
    </w:p>
    <w:p w:rsidR="00894FB7" w:rsidRPr="005D36F1" w:rsidRDefault="005D36F1" w:rsidP="00894FB7">
      <w:pPr>
        <w:jc w:val="both"/>
        <w:rPr>
          <w:rFonts w:ascii="Times New Roman" w:hAnsi="Times New Roman" w:cs="Times New Roman"/>
          <w:i/>
          <w:iCs/>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i/>
          <w:iCs/>
          <w:color w:val="000000" w:themeColor="text1"/>
          <w:sz w:val="28"/>
          <w:szCs w:val="28"/>
        </w:rPr>
      </w:pPr>
      <w:r w:rsidRPr="005D36F1">
        <w:rPr>
          <w:rFonts w:ascii="Times New Roman" w:hAnsi="Times New Roman" w:cs="Times New Roman"/>
          <w:color w:val="000000" w:themeColor="text1"/>
          <w:sz w:val="28"/>
          <w:szCs w:val="28"/>
        </w:rPr>
        <w:t xml:space="preserve">En idéntico sentido, la Red PaPaz compartió a esta corporación la siguiente definición de </w:t>
      </w:r>
      <w:r w:rsidRPr="005D36F1">
        <w:rPr>
          <w:rFonts w:ascii="Times New Roman" w:hAnsi="Times New Roman" w:cs="Times New Roman"/>
          <w:i/>
          <w:iCs/>
          <w:color w:val="000000" w:themeColor="text1"/>
          <w:sz w:val="28"/>
          <w:szCs w:val="28"/>
        </w:rPr>
        <w:t>consumo habitual</w:t>
      </w:r>
      <w:r w:rsidRPr="005D36F1">
        <w:rPr>
          <w:rFonts w:ascii="Times New Roman" w:hAnsi="Times New Roman" w:cs="Times New Roman"/>
          <w:color w:val="000000" w:themeColor="text1"/>
          <w:sz w:val="28"/>
          <w:szCs w:val="28"/>
        </w:rPr>
        <w:t xml:space="preserve">, la cual se basó en un informe elaborado por el Ministerio </w:t>
      </w:r>
      <w:r w:rsidRPr="005D36F1">
        <w:rPr>
          <w:rFonts w:ascii="Times New Roman" w:hAnsi="Times New Roman" w:cs="Times New Roman"/>
          <w:color w:val="000000" w:themeColor="text1"/>
          <w:sz w:val="28"/>
          <w:szCs w:val="28"/>
        </w:rPr>
        <w:t xml:space="preserve">de Salud y Protección Social: </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ind w:left="708"/>
        <w:jc w:val="both"/>
        <w:rPr>
          <w:rFonts w:ascii="Times New Roman" w:hAnsi="Times New Roman" w:cs="Times New Roman"/>
          <w:color w:val="000000" w:themeColor="text1"/>
          <w:sz w:val="28"/>
          <w:lang w:val="es-MX"/>
        </w:rPr>
      </w:pPr>
      <w:r w:rsidRPr="005D36F1">
        <w:rPr>
          <w:rFonts w:ascii="Times New Roman" w:hAnsi="Times New Roman" w:cs="Times New Roman"/>
          <w:color w:val="000000" w:themeColor="text1"/>
          <w:sz w:val="28"/>
          <w:lang w:val="es-MX"/>
        </w:rPr>
        <w:t>[Consumo] [h]abitual: Para alcanzar este nivel, se deben agotar las fases de consumo experimental y/o recreativo. Se caracteriza porque el individuo tiene una «droga de preferencia […] un refuerzo permanente y un gusto por l</w:t>
      </w:r>
      <w:r w:rsidRPr="005D36F1">
        <w:rPr>
          <w:rFonts w:ascii="Times New Roman" w:hAnsi="Times New Roman" w:cs="Times New Roman"/>
          <w:color w:val="000000" w:themeColor="text1"/>
          <w:sz w:val="28"/>
          <w:lang w:val="es-MX"/>
        </w:rPr>
        <w:t xml:space="preserve">o que siente. Por eso la frecuencia y la cantidad aumentan». La sustancia suele tener un papel importante en la vida y el individuo sigue cumpliendo con sus funciones, por lo que es probable que se consuma repetidamente. Este nivel resulta preocupante, ya </w:t>
      </w:r>
      <w:r w:rsidRPr="005D36F1">
        <w:rPr>
          <w:rFonts w:ascii="Times New Roman" w:hAnsi="Times New Roman" w:cs="Times New Roman"/>
          <w:color w:val="000000" w:themeColor="text1"/>
          <w:sz w:val="28"/>
          <w:lang w:val="es-MX"/>
        </w:rPr>
        <w:t>que tiene la potencialidad de que la persona desarrolle una dependencia física o psicológica</w:t>
      </w:r>
    </w:p>
    <w:p w:rsidR="00894FB7" w:rsidRPr="005D36F1" w:rsidRDefault="005D36F1" w:rsidP="00894FB7">
      <w:pPr>
        <w:jc w:val="both"/>
        <w:rPr>
          <w:rFonts w:ascii="Times New Roman" w:hAnsi="Times New Roman" w:cs="Times New Roman"/>
          <w:i/>
          <w:iCs/>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Para concluir esta caracterización del consumo habitual</w:t>
      </w:r>
      <w:r w:rsidRPr="005D36F1">
        <w:rPr>
          <w:rStyle w:val="Refdenotaalpie"/>
          <w:rFonts w:ascii="Times New Roman" w:hAnsi="Times New Roman" w:cs="Times New Roman"/>
          <w:color w:val="000000" w:themeColor="text1"/>
          <w:sz w:val="28"/>
          <w:szCs w:val="28"/>
        </w:rPr>
        <w:footnoteReference w:id="158"/>
      </w:r>
      <w:r w:rsidRPr="005D36F1">
        <w:rPr>
          <w:rFonts w:ascii="Times New Roman" w:hAnsi="Times New Roman" w:cs="Times New Roman"/>
          <w:color w:val="000000" w:themeColor="text1"/>
          <w:sz w:val="28"/>
          <w:szCs w:val="28"/>
        </w:rPr>
        <w:t xml:space="preserve">, la Sala Plena encuentra necesario hacer alusión a una importante observación realizada por la Secretaría Distrital de Salud de Bogotá, a propósito de los riesgos que entrañaría </w:t>
      </w:r>
      <w:r w:rsidRPr="005D36F1">
        <w:rPr>
          <w:rFonts w:ascii="Times New Roman" w:hAnsi="Times New Roman" w:cs="Times New Roman"/>
          <w:i/>
          <w:iCs/>
          <w:color w:val="000000" w:themeColor="text1"/>
          <w:sz w:val="28"/>
          <w:szCs w:val="28"/>
        </w:rPr>
        <w:t xml:space="preserve">per se </w:t>
      </w:r>
      <w:r w:rsidRPr="005D36F1">
        <w:rPr>
          <w:rFonts w:ascii="Times New Roman" w:hAnsi="Times New Roman" w:cs="Times New Roman"/>
          <w:color w:val="000000" w:themeColor="text1"/>
          <w:sz w:val="28"/>
          <w:szCs w:val="28"/>
        </w:rPr>
        <w:t>esta forma de uso de las sustancias psicoactivas. La entidad explicó q</w:t>
      </w:r>
      <w:r w:rsidRPr="005D36F1">
        <w:rPr>
          <w:rFonts w:ascii="Times New Roman" w:hAnsi="Times New Roman" w:cs="Times New Roman"/>
          <w:color w:val="000000" w:themeColor="text1"/>
          <w:sz w:val="28"/>
          <w:szCs w:val="28"/>
        </w:rPr>
        <w:t>ue no existen riesgos o daños que se asocien, indefectiblemente, al consumo de sustancias psicoactivas. Por el contrario, «[c]on base en la Organización Mundial para la Salud (OMS), tanto los riesgos como los daños derivados del consumo de sustancias psico</w:t>
      </w:r>
      <w:r w:rsidRPr="005D36F1">
        <w:rPr>
          <w:rFonts w:ascii="Times New Roman" w:hAnsi="Times New Roman" w:cs="Times New Roman"/>
          <w:color w:val="000000" w:themeColor="text1"/>
          <w:sz w:val="28"/>
          <w:szCs w:val="28"/>
        </w:rPr>
        <w:t xml:space="preserve">activas a corto y largo plazo, </w:t>
      </w:r>
      <w:r w:rsidRPr="005D36F1">
        <w:rPr>
          <w:rFonts w:ascii="Times New Roman" w:hAnsi="Times New Roman" w:cs="Times New Roman"/>
          <w:i/>
          <w:iCs/>
          <w:color w:val="000000" w:themeColor="text1"/>
          <w:sz w:val="28"/>
          <w:szCs w:val="28"/>
        </w:rPr>
        <w:t>dependen de la interacción de un conjunto de factores</w:t>
      </w:r>
      <w:r w:rsidRPr="005D36F1">
        <w:rPr>
          <w:rFonts w:ascii="Times New Roman" w:hAnsi="Times New Roman" w:cs="Times New Roman"/>
          <w:color w:val="000000" w:themeColor="text1"/>
          <w:sz w:val="28"/>
          <w:szCs w:val="28"/>
        </w:rPr>
        <w:t xml:space="preserve"> tales como el tipo de sustancia, la forma de consumo, las características individuales del usuario (físicas y psicológicas) y las condiciones del contexto de consumo. Es a</w:t>
      </w:r>
      <w:r w:rsidRPr="005D36F1">
        <w:rPr>
          <w:rFonts w:ascii="Times New Roman" w:hAnsi="Times New Roman" w:cs="Times New Roman"/>
          <w:color w:val="000000" w:themeColor="text1"/>
          <w:sz w:val="28"/>
          <w:szCs w:val="28"/>
        </w:rPr>
        <w:t xml:space="preserve">sí, como los posibles riesgos o daños sobre el entorno próximo del consumidor dependerán de factores protectores y de riesgo de cada usuario de las sustancias. </w:t>
      </w:r>
      <w:r w:rsidRPr="005D36F1">
        <w:rPr>
          <w:rFonts w:ascii="Times New Roman" w:hAnsi="Times New Roman" w:cs="Times New Roman"/>
          <w:i/>
          <w:iCs/>
          <w:color w:val="000000" w:themeColor="text1"/>
          <w:sz w:val="28"/>
          <w:szCs w:val="28"/>
        </w:rPr>
        <w:t>Lo anterior se refleja en que no todas las personas que usan sustancias psicoactivas presentan u</w:t>
      </w:r>
      <w:r w:rsidRPr="005D36F1">
        <w:rPr>
          <w:rFonts w:ascii="Times New Roman" w:hAnsi="Times New Roman" w:cs="Times New Roman"/>
          <w:i/>
          <w:iCs/>
          <w:color w:val="000000" w:themeColor="text1"/>
          <w:sz w:val="28"/>
          <w:szCs w:val="28"/>
        </w:rPr>
        <w:t>n consumo problemático</w:t>
      </w:r>
      <w:r w:rsidRPr="005D36F1">
        <w:rPr>
          <w:rFonts w:ascii="Times New Roman" w:hAnsi="Times New Roman" w:cs="Times New Roman"/>
          <w:color w:val="000000" w:themeColor="text1"/>
          <w:sz w:val="28"/>
          <w:szCs w:val="28"/>
        </w:rPr>
        <w:t>»</w:t>
      </w:r>
      <w:r w:rsidRPr="005D36F1">
        <w:rPr>
          <w:rStyle w:val="Refdenotaalpie"/>
          <w:rFonts w:ascii="Times New Roman" w:hAnsi="Times New Roman" w:cs="Times New Roman"/>
          <w:color w:val="000000" w:themeColor="text1"/>
          <w:sz w:val="28"/>
          <w:szCs w:val="28"/>
        </w:rPr>
        <w:footnoteReference w:id="159"/>
      </w:r>
      <w:r w:rsidRPr="005D36F1">
        <w:rPr>
          <w:rFonts w:ascii="Times New Roman" w:hAnsi="Times New Roman" w:cs="Times New Roman"/>
          <w:color w:val="000000" w:themeColor="text1"/>
          <w:sz w:val="28"/>
          <w:szCs w:val="28"/>
        </w:rPr>
        <w:t xml:space="preserve"> [énfasis fuera de texto].</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En definitiva, de acuerdo con la evidencia científica existente, no es posible adjudicar al consumo habitual de sustancias psicoactivas un conjunto de riesgos y daños que, ineludiblemente, habrán de menos</w:t>
      </w:r>
      <w:r w:rsidRPr="005D36F1">
        <w:rPr>
          <w:rFonts w:ascii="Times New Roman" w:hAnsi="Times New Roman" w:cs="Times New Roman"/>
          <w:color w:val="000000" w:themeColor="text1"/>
          <w:sz w:val="28"/>
          <w:szCs w:val="28"/>
        </w:rPr>
        <w:t xml:space="preserve">cabar la salud y la vida del consumidor. La aparición de tales consecuencias dependen de otros factores, entre los que sobresalen el tipo de sustancia consumida, las características del individuo y la clase de entorno que lo rodea.  </w:t>
      </w:r>
    </w:p>
    <w:p w:rsidR="00894FB7" w:rsidRPr="005D36F1" w:rsidRDefault="005D36F1" w:rsidP="00894FB7">
      <w:pPr>
        <w:jc w:val="both"/>
        <w:rPr>
          <w:rFonts w:ascii="Times New Roman" w:hAnsi="Times New Roman" w:cs="Times New Roman"/>
          <w:i/>
          <w:iCs/>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Características del c</w:t>
      </w:r>
      <w:r w:rsidRPr="005D36F1">
        <w:rPr>
          <w:rFonts w:ascii="Times New Roman" w:hAnsi="Times New Roman" w:cs="Times New Roman"/>
          <w:i/>
          <w:iCs/>
          <w:color w:val="000000" w:themeColor="text1"/>
          <w:sz w:val="28"/>
          <w:szCs w:val="28"/>
        </w:rPr>
        <w:t xml:space="preserve">onsumo habitual de sustancias psicoactivas. </w:t>
      </w:r>
      <w:r w:rsidRPr="005D36F1">
        <w:rPr>
          <w:rFonts w:ascii="Times New Roman" w:hAnsi="Times New Roman" w:cs="Times New Roman"/>
          <w:color w:val="000000" w:themeColor="text1"/>
          <w:sz w:val="28"/>
          <w:szCs w:val="28"/>
        </w:rPr>
        <w:t xml:space="preserve">De lo dicho hasta ahora, la Sala Plena concluye que el consumo habitual presenta las siguientes características: </w:t>
      </w:r>
      <w:r w:rsidRPr="005D36F1">
        <w:rPr>
          <w:rFonts w:ascii="Times New Roman" w:hAnsi="Times New Roman" w:cs="Times New Roman"/>
          <w:i/>
          <w:iCs/>
          <w:color w:val="000000" w:themeColor="text1"/>
          <w:sz w:val="28"/>
          <w:szCs w:val="28"/>
        </w:rPr>
        <w:t xml:space="preserve">i) </w:t>
      </w:r>
      <w:r w:rsidRPr="005D36F1">
        <w:rPr>
          <w:rFonts w:ascii="Times New Roman" w:hAnsi="Times New Roman" w:cs="Times New Roman"/>
          <w:color w:val="000000" w:themeColor="text1"/>
          <w:sz w:val="28"/>
          <w:szCs w:val="28"/>
        </w:rPr>
        <w:t>implica un aumento en la frecuencia y cantidad del consumo de sustancias psicoactivas, en compar</w:t>
      </w:r>
      <w:r w:rsidRPr="005D36F1">
        <w:rPr>
          <w:rFonts w:ascii="Times New Roman" w:hAnsi="Times New Roman" w:cs="Times New Roman"/>
          <w:color w:val="000000" w:themeColor="text1"/>
          <w:sz w:val="28"/>
          <w:szCs w:val="28"/>
        </w:rPr>
        <w:t xml:space="preserve">ación con el uso esporádico; </w:t>
      </w:r>
      <w:r w:rsidRPr="005D36F1">
        <w:rPr>
          <w:rFonts w:ascii="Times New Roman" w:hAnsi="Times New Roman" w:cs="Times New Roman"/>
          <w:i/>
          <w:iCs/>
          <w:color w:val="000000" w:themeColor="text1"/>
          <w:sz w:val="28"/>
          <w:szCs w:val="28"/>
        </w:rPr>
        <w:t xml:space="preserve">ii) </w:t>
      </w:r>
      <w:r w:rsidRPr="005D36F1">
        <w:rPr>
          <w:rFonts w:ascii="Times New Roman" w:hAnsi="Times New Roman" w:cs="Times New Roman"/>
          <w:color w:val="000000" w:themeColor="text1"/>
          <w:sz w:val="28"/>
          <w:szCs w:val="28"/>
        </w:rPr>
        <w:t xml:space="preserve">conlleva para el usuario una modificación de la relevancia del consumo, en virtud del cual las sustancias psicoactivas cobran un «papel importante en [su] vida»; </w:t>
      </w:r>
      <w:r w:rsidRPr="005D36F1">
        <w:rPr>
          <w:rFonts w:ascii="Times New Roman" w:hAnsi="Times New Roman" w:cs="Times New Roman"/>
          <w:i/>
          <w:iCs/>
          <w:color w:val="000000" w:themeColor="text1"/>
          <w:sz w:val="28"/>
          <w:szCs w:val="28"/>
        </w:rPr>
        <w:t xml:space="preserve">iii) </w:t>
      </w:r>
      <w:r w:rsidRPr="005D36F1">
        <w:rPr>
          <w:rFonts w:ascii="Times New Roman" w:hAnsi="Times New Roman" w:cs="Times New Roman"/>
          <w:color w:val="000000" w:themeColor="text1"/>
          <w:sz w:val="28"/>
          <w:szCs w:val="28"/>
        </w:rPr>
        <w:t>no existe compulsión para el consumo y la tendencia a au</w:t>
      </w:r>
      <w:r w:rsidRPr="005D36F1">
        <w:rPr>
          <w:rFonts w:ascii="Times New Roman" w:hAnsi="Times New Roman" w:cs="Times New Roman"/>
          <w:color w:val="000000" w:themeColor="text1"/>
          <w:sz w:val="28"/>
          <w:szCs w:val="28"/>
        </w:rPr>
        <w:t xml:space="preserve">mentar la «dosis del consumo es escasa o nula»; </w:t>
      </w:r>
      <w:r w:rsidRPr="005D36F1">
        <w:rPr>
          <w:rFonts w:ascii="Times New Roman" w:hAnsi="Times New Roman" w:cs="Times New Roman"/>
          <w:i/>
          <w:iCs/>
          <w:color w:val="000000" w:themeColor="text1"/>
          <w:sz w:val="28"/>
          <w:szCs w:val="28"/>
        </w:rPr>
        <w:t xml:space="preserve">iv) </w:t>
      </w:r>
      <w:r w:rsidRPr="005D36F1">
        <w:rPr>
          <w:rFonts w:ascii="Times New Roman" w:hAnsi="Times New Roman" w:cs="Times New Roman"/>
          <w:color w:val="000000" w:themeColor="text1"/>
          <w:sz w:val="28"/>
          <w:szCs w:val="28"/>
        </w:rPr>
        <w:t>no supone la existencia de una psicopatología para el consumidor; v) no conlleva para el consumidor riesgos o daños que, indefectiblemente, habrán de presentarse, pues las consecuencias nocivas dependen d</w:t>
      </w:r>
      <w:r w:rsidRPr="005D36F1">
        <w:rPr>
          <w:rFonts w:ascii="Times New Roman" w:hAnsi="Times New Roman" w:cs="Times New Roman"/>
          <w:color w:val="000000" w:themeColor="text1"/>
          <w:sz w:val="28"/>
          <w:szCs w:val="28"/>
        </w:rPr>
        <w:t xml:space="preserve">e factores como el tipo de sustancia que se consume, las características del usuario y las condiciones del entorno que rodea a este último. </w:t>
      </w:r>
    </w:p>
    <w:p w:rsidR="00894FB7" w:rsidRPr="005D36F1" w:rsidRDefault="005D36F1" w:rsidP="00894FB7">
      <w:pPr>
        <w:rPr>
          <w:rFonts w:ascii="Times New Roman" w:hAnsi="Times New Roman" w:cs="Times New Roman"/>
          <w:color w:val="000000" w:themeColor="text1"/>
          <w:sz w:val="28"/>
          <w:szCs w:val="28"/>
        </w:rPr>
      </w:pPr>
    </w:p>
    <w:p w:rsidR="00894FB7" w:rsidRPr="005D36F1" w:rsidRDefault="005D36F1" w:rsidP="00894FB7">
      <w:pPr>
        <w:pStyle w:val="Prrafodelista"/>
        <w:numPr>
          <w:ilvl w:val="1"/>
          <w:numId w:val="5"/>
        </w:numPr>
        <w:jc w:val="both"/>
        <w:rPr>
          <w:rFonts w:ascii="Times New Roman" w:hAnsi="Times New Roman" w:cs="Times New Roman"/>
          <w:b/>
          <w:bCs/>
          <w:color w:val="000000" w:themeColor="text1"/>
          <w:sz w:val="28"/>
          <w:szCs w:val="28"/>
        </w:rPr>
      </w:pPr>
      <w:r w:rsidRPr="005D36F1">
        <w:rPr>
          <w:rFonts w:ascii="Times New Roman" w:hAnsi="Times New Roman" w:cs="Times New Roman"/>
          <w:b/>
          <w:bCs/>
          <w:color w:val="000000" w:themeColor="text1"/>
          <w:sz w:val="28"/>
          <w:szCs w:val="28"/>
        </w:rPr>
        <w:t xml:space="preserve"> Consideraciones relacionadas con la finalidad de la norma demandada</w:t>
      </w:r>
    </w:p>
    <w:p w:rsidR="00894FB7" w:rsidRPr="005D36F1" w:rsidRDefault="005D36F1" w:rsidP="00894FB7">
      <w:pPr>
        <w:pStyle w:val="Prrafodelista"/>
        <w:ind w:left="432"/>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i/>
          <w:iCs/>
          <w:color w:val="000000" w:themeColor="text1"/>
          <w:sz w:val="28"/>
          <w:szCs w:val="28"/>
        </w:rPr>
      </w:pPr>
      <w:r w:rsidRPr="005D36F1">
        <w:rPr>
          <w:rFonts w:ascii="Times New Roman" w:hAnsi="Times New Roman" w:cs="Times New Roman"/>
          <w:color w:val="000000" w:themeColor="text1"/>
          <w:sz w:val="28"/>
          <w:szCs w:val="28"/>
        </w:rPr>
        <w:t>Establecido el alcance de la conducta descri</w:t>
      </w:r>
      <w:r w:rsidRPr="005D36F1">
        <w:rPr>
          <w:rFonts w:ascii="Times New Roman" w:hAnsi="Times New Roman" w:cs="Times New Roman"/>
          <w:color w:val="000000" w:themeColor="text1"/>
          <w:sz w:val="28"/>
          <w:szCs w:val="28"/>
        </w:rPr>
        <w:t>ta en la norma bajo estudio, la Sala Plena encuentra necesario reparar en el propósito que aquella persigue. Dicho análisis es fundamental para la realización del control constitucional que debe practicar el tribunal en esta oportunidad. De entrada, es pre</w:t>
      </w:r>
      <w:r w:rsidRPr="005D36F1">
        <w:rPr>
          <w:rFonts w:ascii="Times New Roman" w:hAnsi="Times New Roman" w:cs="Times New Roman"/>
          <w:color w:val="000000" w:themeColor="text1"/>
          <w:sz w:val="28"/>
          <w:szCs w:val="28"/>
        </w:rPr>
        <w:t>ciso anunciar que el cometido de la disposición no es otro que el de permitir al cónyuge no consumidor finiquitar el vínculo matrimonial, cuando este juzga que la conducta del cónyuge consumidor es incompatible con su plan de vida. A la luz de esta finalid</w:t>
      </w:r>
      <w:r w:rsidRPr="005D36F1">
        <w:rPr>
          <w:rFonts w:ascii="Times New Roman" w:hAnsi="Times New Roman" w:cs="Times New Roman"/>
          <w:color w:val="000000" w:themeColor="text1"/>
          <w:sz w:val="28"/>
          <w:szCs w:val="28"/>
        </w:rPr>
        <w:t>ad será evaluada la constitucionalidad de la norma demandada.</w:t>
      </w:r>
    </w:p>
    <w:p w:rsidR="00894FB7" w:rsidRPr="005D36F1" w:rsidRDefault="005D36F1" w:rsidP="00894FB7">
      <w:pPr>
        <w:jc w:val="both"/>
        <w:rPr>
          <w:rFonts w:ascii="Times New Roman" w:hAnsi="Times New Roman" w:cs="Times New Roman"/>
          <w:i/>
          <w:iCs/>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i/>
          <w:iCs/>
          <w:color w:val="000000" w:themeColor="text1"/>
          <w:sz w:val="28"/>
          <w:szCs w:val="28"/>
        </w:rPr>
      </w:pPr>
      <w:r w:rsidRPr="005D36F1">
        <w:rPr>
          <w:rFonts w:ascii="Times New Roman" w:hAnsi="Times New Roman" w:cs="Times New Roman"/>
          <w:color w:val="000000" w:themeColor="text1"/>
          <w:sz w:val="28"/>
          <w:szCs w:val="28"/>
        </w:rPr>
        <w:t xml:space="preserve">Antes de efectuar el juicio de constitucionalidad, es menester hacer alusión a dos asuntos referidos por los intervinientes, que guardan relación con la finalidad que persigue la norma bajo </w:t>
      </w:r>
      <w:r w:rsidRPr="005D36F1">
        <w:rPr>
          <w:rFonts w:ascii="Times New Roman" w:hAnsi="Times New Roman" w:cs="Times New Roman"/>
          <w:color w:val="000000" w:themeColor="text1"/>
          <w:sz w:val="28"/>
          <w:szCs w:val="28"/>
        </w:rPr>
        <w:t>estudio: en primer lugar, es preciso ahondar en el interrogante sobre el nexo de causalidad que existiría entre el consumo habitual de sustancias psicoactivas y la violencia doméstica; en segundo término, es menester examinar las implicaciones del deber de</w:t>
      </w:r>
      <w:r w:rsidRPr="005D36F1">
        <w:rPr>
          <w:rFonts w:ascii="Times New Roman" w:hAnsi="Times New Roman" w:cs="Times New Roman"/>
          <w:color w:val="000000" w:themeColor="text1"/>
          <w:sz w:val="28"/>
          <w:szCs w:val="28"/>
        </w:rPr>
        <w:t xml:space="preserve"> protección de los niños, niñas y adolescentes frente a las sustancias psicoactivas, en el caso concreto.</w:t>
      </w:r>
      <w:r w:rsidRPr="005D36F1">
        <w:rPr>
          <w:rFonts w:ascii="Times New Roman" w:hAnsi="Times New Roman" w:cs="Times New Roman"/>
          <w:i/>
          <w:iCs/>
          <w:color w:val="000000" w:themeColor="text1"/>
          <w:sz w:val="28"/>
          <w:szCs w:val="28"/>
        </w:rPr>
        <w:t xml:space="preserve"> </w:t>
      </w:r>
      <w:r w:rsidRPr="005D36F1">
        <w:rPr>
          <w:rFonts w:ascii="Times New Roman" w:hAnsi="Times New Roman" w:cs="Times New Roman"/>
          <w:color w:val="000000" w:themeColor="text1"/>
          <w:sz w:val="28"/>
          <w:szCs w:val="28"/>
        </w:rPr>
        <w:t>Una vez esta corporación haya establecido hasta qué punto estas dos cuestiones se enmarcan en los objetivos que procura la disposición, se llevará a c</w:t>
      </w:r>
      <w:r w:rsidRPr="005D36F1">
        <w:rPr>
          <w:rFonts w:ascii="Times New Roman" w:hAnsi="Times New Roman" w:cs="Times New Roman"/>
          <w:color w:val="000000" w:themeColor="text1"/>
          <w:sz w:val="28"/>
          <w:szCs w:val="28"/>
        </w:rPr>
        <w:t xml:space="preserve">abo el análisis del caso concreto. </w:t>
      </w:r>
    </w:p>
    <w:p w:rsidR="00894FB7" w:rsidRPr="005D36F1" w:rsidRDefault="005D36F1" w:rsidP="00894FB7">
      <w:pPr>
        <w:rPr>
          <w:rFonts w:ascii="Times New Roman" w:hAnsi="Times New Roman" w:cs="Times New Roman"/>
          <w:color w:val="000000" w:themeColor="text1"/>
          <w:sz w:val="28"/>
          <w:szCs w:val="28"/>
        </w:rPr>
      </w:pPr>
    </w:p>
    <w:p w:rsidR="00894FB7" w:rsidRPr="005D36F1" w:rsidRDefault="005D36F1" w:rsidP="00894FB7">
      <w:pPr>
        <w:jc w:val="both"/>
        <w:rPr>
          <w:rFonts w:ascii="Times New Roman" w:hAnsi="Times New Roman" w:cs="Times New Roman"/>
          <w:b/>
          <w:bCs/>
          <w:color w:val="000000" w:themeColor="text1"/>
          <w:sz w:val="28"/>
          <w:szCs w:val="28"/>
        </w:rPr>
      </w:pPr>
      <w:r w:rsidRPr="005D36F1">
        <w:rPr>
          <w:rFonts w:ascii="Times New Roman" w:hAnsi="Times New Roman" w:cs="Times New Roman"/>
          <w:b/>
          <w:bCs/>
          <w:color w:val="000000" w:themeColor="text1"/>
          <w:sz w:val="28"/>
          <w:szCs w:val="28"/>
        </w:rPr>
        <w:t>6.3.1. Consideraciones a propósito de la alegada existencia de una relación causal entre el consumo habitual de sustancias psicoactivas y la violencia doméstica</w:t>
      </w:r>
    </w:p>
    <w:p w:rsidR="00894FB7" w:rsidRPr="005D36F1" w:rsidRDefault="005D36F1" w:rsidP="00894FB7">
      <w:pPr>
        <w:rPr>
          <w:rFonts w:ascii="Times New Roman" w:hAnsi="Times New Roman" w:cs="Times New Roman"/>
          <w:color w:val="000000" w:themeColor="text1"/>
          <w:sz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Al  ser inquirida por la relación causal entre el consumo</w:t>
      </w:r>
      <w:r w:rsidRPr="005D36F1">
        <w:rPr>
          <w:rFonts w:ascii="Times New Roman" w:hAnsi="Times New Roman" w:cs="Times New Roman"/>
          <w:color w:val="000000" w:themeColor="text1"/>
          <w:sz w:val="28"/>
          <w:szCs w:val="28"/>
        </w:rPr>
        <w:t xml:space="preserve"> de sustancias psicoactivas y la violencia intrafamiliar, la Dirección de Antinarcóticos de la Policía Nacional</w:t>
      </w:r>
      <w:r w:rsidRPr="005D36F1">
        <w:rPr>
          <w:rFonts w:ascii="Times New Roman" w:hAnsi="Times New Roman" w:cs="Times New Roman"/>
          <w:color w:val="000000" w:themeColor="text1"/>
          <w:sz w:val="28"/>
          <w:szCs w:val="28"/>
          <w:vertAlign w:val="superscript"/>
        </w:rPr>
        <w:footnoteReference w:id="160"/>
      </w:r>
      <w:r w:rsidRPr="005D36F1">
        <w:rPr>
          <w:rFonts w:ascii="Times New Roman" w:hAnsi="Times New Roman" w:cs="Times New Roman"/>
          <w:color w:val="000000" w:themeColor="text1"/>
          <w:sz w:val="28"/>
          <w:szCs w:val="28"/>
        </w:rPr>
        <w:t xml:space="preserve"> manifestó lo siguiente: «[C]onforme a la información del Área de Gestión Antidrogas (ARGAN) de la Dirección de Antinarcóticos, señalan que [</w:t>
      </w:r>
      <w:r w:rsidRPr="005D36F1">
        <w:rPr>
          <w:rFonts w:ascii="Times New Roman" w:hAnsi="Times New Roman" w:cs="Times New Roman"/>
          <w:i/>
          <w:iCs/>
          <w:color w:val="000000" w:themeColor="text1"/>
          <w:sz w:val="28"/>
          <w:szCs w:val="28"/>
        </w:rPr>
        <w:t>sic</w:t>
      </w:r>
      <w:r w:rsidRPr="005D36F1">
        <w:rPr>
          <w:rFonts w:ascii="Times New Roman" w:hAnsi="Times New Roman" w:cs="Times New Roman"/>
          <w:color w:val="000000" w:themeColor="text1"/>
          <w:sz w:val="28"/>
          <w:szCs w:val="28"/>
        </w:rPr>
        <w:t>] “no manejan información frente a reportes estadísticos delictivos, en este caso, violencia intrafamiliar; por lo tanto, no cuenta con el insumo que permita dar respuesta a esta pregunta». Una declaración similar fue hecha por el Instituto de Medicina Leg</w:t>
      </w:r>
      <w:r w:rsidRPr="005D36F1">
        <w:rPr>
          <w:rFonts w:ascii="Times New Roman" w:hAnsi="Times New Roman" w:cs="Times New Roman"/>
          <w:color w:val="000000" w:themeColor="text1"/>
          <w:sz w:val="28"/>
          <w:szCs w:val="28"/>
        </w:rPr>
        <w:t xml:space="preserve">al y Ciencias Forenses, entidad que informó que «[d]ada la misión del instituto, no adelanta estudios de incidencia en cuanto al consumo de “sustancias alucinógenas” y/o “estupefacientes”, en relación a los índices o factores de riesgos para el desarrollo </w:t>
      </w:r>
      <w:r w:rsidRPr="005D36F1">
        <w:rPr>
          <w:rFonts w:ascii="Times New Roman" w:hAnsi="Times New Roman" w:cs="Times New Roman"/>
          <w:color w:val="000000" w:themeColor="text1"/>
          <w:sz w:val="28"/>
          <w:szCs w:val="28"/>
        </w:rPr>
        <w:t>de la violencia intrafamiliar»</w:t>
      </w:r>
      <w:r w:rsidRPr="005D36F1">
        <w:rPr>
          <w:rStyle w:val="Refdenotaalpie"/>
          <w:rFonts w:ascii="Times New Roman" w:hAnsi="Times New Roman" w:cs="Times New Roman"/>
          <w:color w:val="000000" w:themeColor="text1"/>
          <w:sz w:val="28"/>
          <w:szCs w:val="28"/>
        </w:rPr>
        <w:footnoteReference w:id="161"/>
      </w:r>
      <w:r w:rsidRPr="005D36F1">
        <w:rPr>
          <w:rFonts w:ascii="Times New Roman" w:hAnsi="Times New Roman" w:cs="Times New Roman"/>
          <w:color w:val="000000" w:themeColor="text1"/>
          <w:sz w:val="28"/>
          <w:szCs w:val="28"/>
        </w:rPr>
        <w:t>. Estas declaraciones sugieren que el Estado carece de estudios cuantitativos que permitan concluir la existencia de un nexo de causalidad entre el consumo habitual de sustancias psicoactivas y la violencia intrafamiliar.</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Esta afirmación es congruente con los conceptos presentados por el Centro de Estudios sobre Seguridad y Drogas de la Universidad de los Andes y la Secretaría Distrital de Salud de Bogotá. Ambas entidades coincidieron en que no existe evidencia científica q</w:t>
      </w:r>
      <w:r w:rsidRPr="005D36F1">
        <w:rPr>
          <w:rFonts w:ascii="Times New Roman" w:hAnsi="Times New Roman" w:cs="Times New Roman"/>
          <w:color w:val="000000" w:themeColor="text1"/>
          <w:sz w:val="28"/>
          <w:szCs w:val="28"/>
        </w:rPr>
        <w:t>ue permita establecer el citado vínculo causal entre estos dos fenómenos. El centro de estudios manifestó, expresamente, que «[n]o existe evidencia sobre una relación causal entre el consumo de drogas y la violencia»</w:t>
      </w:r>
      <w:r w:rsidRPr="005D36F1">
        <w:rPr>
          <w:rFonts w:ascii="Times New Roman" w:hAnsi="Times New Roman" w:cs="Times New Roman"/>
          <w:color w:val="000000" w:themeColor="text1"/>
          <w:sz w:val="28"/>
          <w:szCs w:val="28"/>
          <w:vertAlign w:val="superscript"/>
        </w:rPr>
        <w:footnoteReference w:id="162"/>
      </w:r>
      <w:r w:rsidRPr="005D36F1">
        <w:rPr>
          <w:rFonts w:ascii="Times New Roman" w:hAnsi="Times New Roman" w:cs="Times New Roman"/>
          <w:color w:val="000000" w:themeColor="text1"/>
          <w:sz w:val="28"/>
          <w:szCs w:val="28"/>
        </w:rPr>
        <w:t xml:space="preserve">.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Al profundizar sobre dicha cuestión</w:t>
      </w:r>
      <w:r w:rsidRPr="005D36F1">
        <w:rPr>
          <w:rFonts w:ascii="Times New Roman" w:hAnsi="Times New Roman" w:cs="Times New Roman"/>
          <w:color w:val="000000" w:themeColor="text1"/>
          <w:sz w:val="28"/>
          <w:szCs w:val="28"/>
        </w:rPr>
        <w:t xml:space="preserve">, la unidad académica observó que la violencia intrafamiliar es un suceso «multicausal, </w:t>
      </w:r>
      <w:r w:rsidRPr="005D36F1">
        <w:rPr>
          <w:rFonts w:ascii="Times New Roman" w:hAnsi="Times New Roman" w:cs="Times New Roman"/>
          <w:i/>
          <w:iCs/>
          <w:color w:val="000000" w:themeColor="text1"/>
          <w:sz w:val="28"/>
          <w:szCs w:val="28"/>
        </w:rPr>
        <w:t>que puede ocurrir incluso en ausencia del uso de sustancias</w:t>
      </w:r>
      <w:r w:rsidRPr="005D36F1">
        <w:rPr>
          <w:rFonts w:ascii="Times New Roman" w:hAnsi="Times New Roman" w:cs="Times New Roman"/>
          <w:color w:val="000000" w:themeColor="text1"/>
          <w:sz w:val="28"/>
          <w:szCs w:val="28"/>
        </w:rPr>
        <w:t>, [lo que] sugi[ere] que las causas deben buscarse en otros factores. Específicamente, la violencia contra la</w:t>
      </w:r>
      <w:r w:rsidRPr="005D36F1">
        <w:rPr>
          <w:rFonts w:ascii="Times New Roman" w:hAnsi="Times New Roman" w:cs="Times New Roman"/>
          <w:color w:val="000000" w:themeColor="text1"/>
          <w:sz w:val="28"/>
          <w:szCs w:val="28"/>
        </w:rPr>
        <w:t>s mujeres puede tener orígenes en la socialización y enseñanzas recibidas desde la infancia, especialmente en estructuras como la familia, la religión y el grupo de pares» [énfasis fuera de texto]. Por último, indicó que «[o]tros factores de riesgo para la</w:t>
      </w:r>
      <w:r w:rsidRPr="005D36F1">
        <w:rPr>
          <w:rFonts w:ascii="Times New Roman" w:hAnsi="Times New Roman" w:cs="Times New Roman"/>
          <w:color w:val="000000" w:themeColor="text1"/>
          <w:sz w:val="28"/>
          <w:szCs w:val="28"/>
        </w:rPr>
        <w:t xml:space="preserve"> violencia in[f]luyen, [como] la experiencia previa de violencia familiar, trastornos de personalidad antisocial, actitudes que toleran la violencia, normas sociales que privilegian a los hombres y desigualdades del género».</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En la misma dirección, la Secr</w:t>
      </w:r>
      <w:r w:rsidRPr="005D36F1">
        <w:rPr>
          <w:rFonts w:ascii="Times New Roman" w:hAnsi="Times New Roman" w:cs="Times New Roman"/>
          <w:color w:val="000000" w:themeColor="text1"/>
          <w:sz w:val="28"/>
          <w:szCs w:val="28"/>
        </w:rPr>
        <w:t>etaría Distrital de Salud de Bogotá declaró que «no es posible especificar si existe un riesgo para los miembros de una familia originado en el consumo de sustancias psicoactivas ni cuál sería la amenaza derivada de este, ya que se trata de procesos multid</w:t>
      </w:r>
      <w:r w:rsidRPr="005D36F1">
        <w:rPr>
          <w:rFonts w:ascii="Times New Roman" w:hAnsi="Times New Roman" w:cs="Times New Roman"/>
          <w:color w:val="000000" w:themeColor="text1"/>
          <w:sz w:val="28"/>
          <w:szCs w:val="28"/>
        </w:rPr>
        <w:t>eterminados, en donde no se pueden perder de vista las dinámicas particulares de cada entorno familiar»</w:t>
      </w:r>
      <w:r w:rsidRPr="005D36F1">
        <w:rPr>
          <w:rFonts w:ascii="Times New Roman" w:hAnsi="Times New Roman" w:cs="Times New Roman"/>
          <w:color w:val="000000" w:themeColor="text1"/>
          <w:sz w:val="28"/>
          <w:szCs w:val="28"/>
          <w:vertAlign w:val="superscript"/>
        </w:rPr>
        <w:footnoteReference w:id="163"/>
      </w:r>
      <w:r w:rsidRPr="005D36F1">
        <w:rPr>
          <w:rFonts w:ascii="Times New Roman" w:hAnsi="Times New Roman" w:cs="Times New Roman"/>
          <w:color w:val="000000" w:themeColor="text1"/>
          <w:sz w:val="28"/>
          <w:szCs w:val="28"/>
        </w:rPr>
        <w:t xml:space="preserve">.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Con fundamento en estas razones, la Sala Plena concluye que no existe evidencia científica que sustente la asociación entre el consumo habitual de s</w:t>
      </w:r>
      <w:r w:rsidRPr="005D36F1">
        <w:rPr>
          <w:rFonts w:ascii="Times New Roman" w:hAnsi="Times New Roman" w:cs="Times New Roman"/>
          <w:color w:val="000000" w:themeColor="text1"/>
          <w:sz w:val="28"/>
          <w:szCs w:val="28"/>
        </w:rPr>
        <w:t xml:space="preserve">ustancias psicoactivas y la violencia doméstica. Este hallazgo es relevante porque demuestra el carácter infundado del tópico que atribuye, sin sustento atendible, según se ha visto, actitudes violentas a quien incurre en la conducta que se describe en la </w:t>
      </w:r>
      <w:r w:rsidRPr="005D36F1">
        <w:rPr>
          <w:rFonts w:ascii="Times New Roman" w:hAnsi="Times New Roman" w:cs="Times New Roman"/>
          <w:color w:val="000000" w:themeColor="text1"/>
          <w:sz w:val="28"/>
          <w:szCs w:val="28"/>
        </w:rPr>
        <w:t xml:space="preserve">norma bajo estudio.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 xml:space="preserve">En razón de lo anterior, queda acreditado que la disposición no tiene el efecto de prevenir o remediar la violencia doméstica. Esta constatación es coherente con la argumentación hecha por el demandante, quien manifestó que la causal </w:t>
      </w:r>
      <w:r w:rsidRPr="005D36F1">
        <w:rPr>
          <w:rFonts w:ascii="Times New Roman" w:hAnsi="Times New Roman" w:cs="Times New Roman"/>
          <w:color w:val="000000" w:themeColor="text1"/>
          <w:sz w:val="28"/>
          <w:szCs w:val="28"/>
        </w:rPr>
        <w:t xml:space="preserve">bajo examen no tiene por objeto prevenir la violencia intrafamiliar.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La ley civil previene y sanciona, a través de otras causales de divorcio, la violencia doméstica</w:t>
      </w:r>
      <w:r w:rsidRPr="005D36F1">
        <w:rPr>
          <w:rFonts w:ascii="Times New Roman" w:hAnsi="Times New Roman" w:cs="Times New Roman"/>
          <w:color w:val="000000" w:themeColor="text1"/>
          <w:sz w:val="28"/>
          <w:szCs w:val="28"/>
        </w:rPr>
        <w:t>. La anterior circunstancia en modo alguno implica que la regulación civil que se ocupa d</w:t>
      </w:r>
      <w:r w:rsidRPr="005D36F1">
        <w:rPr>
          <w:rFonts w:ascii="Times New Roman" w:hAnsi="Times New Roman" w:cs="Times New Roman"/>
          <w:color w:val="000000" w:themeColor="text1"/>
          <w:sz w:val="28"/>
          <w:szCs w:val="28"/>
        </w:rPr>
        <w:t>el divorcio sea indiferente a la violencia doméstica. Existen otras causales, diferentes a aquella que se analiza en esta providencia, que tienen por objeto erradicar, prevenir y sancionar esta clase de conductas. Tal es el caso de las causales segunda y t</w:t>
      </w:r>
      <w:r w:rsidRPr="005D36F1">
        <w:rPr>
          <w:rFonts w:ascii="Times New Roman" w:hAnsi="Times New Roman" w:cs="Times New Roman"/>
          <w:color w:val="000000" w:themeColor="text1"/>
          <w:sz w:val="28"/>
          <w:szCs w:val="28"/>
        </w:rPr>
        <w:t xml:space="preserve">ercera del artículo 154 del Código Civil, las cuales procuran salvaguardar los derechos fundamentales y la integridad de los niños y de la mujer, según se muestra a continuación.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La causal segunda previene y sanciona la violencia contra los menores de ed</w:t>
      </w:r>
      <w:r w:rsidRPr="005D36F1">
        <w:rPr>
          <w:rFonts w:ascii="Times New Roman" w:hAnsi="Times New Roman" w:cs="Times New Roman"/>
          <w:i/>
          <w:iCs/>
          <w:color w:val="000000" w:themeColor="text1"/>
          <w:sz w:val="28"/>
          <w:szCs w:val="28"/>
        </w:rPr>
        <w:t xml:space="preserve">ad. </w:t>
      </w:r>
      <w:r w:rsidRPr="005D36F1">
        <w:rPr>
          <w:rFonts w:ascii="Times New Roman" w:hAnsi="Times New Roman" w:cs="Times New Roman"/>
          <w:color w:val="000000" w:themeColor="text1"/>
          <w:sz w:val="28"/>
          <w:szCs w:val="28"/>
        </w:rPr>
        <w:t xml:space="preserve">La causal segunda alude al «grave e injustificado incumplimiento por parte de alguno de los cónyuges de los deberes que la ley les impone como tales y </w:t>
      </w:r>
      <w:r w:rsidRPr="005D36F1">
        <w:rPr>
          <w:rFonts w:ascii="Times New Roman" w:hAnsi="Times New Roman" w:cs="Times New Roman"/>
          <w:b/>
          <w:bCs/>
          <w:color w:val="000000" w:themeColor="text1"/>
          <w:sz w:val="28"/>
          <w:szCs w:val="28"/>
        </w:rPr>
        <w:t>como padres</w:t>
      </w:r>
      <w:r w:rsidRPr="005D36F1">
        <w:rPr>
          <w:rFonts w:ascii="Times New Roman" w:hAnsi="Times New Roman" w:cs="Times New Roman"/>
          <w:color w:val="000000" w:themeColor="text1"/>
          <w:sz w:val="28"/>
          <w:szCs w:val="28"/>
        </w:rPr>
        <w:t>» [énfasis fuera de texto]. Este precepto cobra un sentido pleno a la luz del Código de In</w:t>
      </w:r>
      <w:r w:rsidRPr="005D36F1">
        <w:rPr>
          <w:rFonts w:ascii="Times New Roman" w:hAnsi="Times New Roman" w:cs="Times New Roman"/>
          <w:color w:val="000000" w:themeColor="text1"/>
          <w:sz w:val="28"/>
          <w:szCs w:val="28"/>
        </w:rPr>
        <w:t xml:space="preserve">fancia y Adolescencia. El artículo 39, que enlista las obligaciones de la familia, establece que «[c]ualquier forma de violencia en la familia se considera destructiva de su armonía y unidad y debe ser sancionada». En el mismo sentido, el artículo catorce </w:t>
      </w:r>
      <w:r w:rsidRPr="005D36F1">
        <w:rPr>
          <w:rFonts w:ascii="Times New Roman" w:hAnsi="Times New Roman" w:cs="Times New Roman"/>
          <w:color w:val="000000" w:themeColor="text1"/>
          <w:sz w:val="28"/>
          <w:szCs w:val="28"/>
        </w:rPr>
        <w:t>dispone que «[e]n ningún caso el ejercicio de la responsabilidad parental puede conllevar violencia física, psicológica o actos que impidan el ejercicio de sus derechos». De ello se sigue que el padre o madre que incurra en actos de violencia contra sus hi</w:t>
      </w:r>
      <w:r w:rsidRPr="005D36F1">
        <w:rPr>
          <w:rFonts w:ascii="Times New Roman" w:hAnsi="Times New Roman" w:cs="Times New Roman"/>
          <w:color w:val="000000" w:themeColor="text1"/>
          <w:sz w:val="28"/>
          <w:szCs w:val="28"/>
        </w:rPr>
        <w:t>jos —sin importar que la conducta se realice bajo el influjo de sustancias psicoactivas o en estado de sobriedad— incurre en la causal de divorcio descrita en el numeral segundo. En tal caso, en atención a que la causal es subjetiva, es posible solicitar l</w:t>
      </w:r>
      <w:r w:rsidRPr="005D36F1">
        <w:rPr>
          <w:rFonts w:ascii="Times New Roman" w:hAnsi="Times New Roman" w:cs="Times New Roman"/>
          <w:color w:val="000000" w:themeColor="text1"/>
          <w:sz w:val="28"/>
          <w:szCs w:val="28"/>
        </w:rPr>
        <w:t xml:space="preserve">a imposición de las consecuencias pecuniarias establecidas por la ley civil. </w:t>
      </w:r>
    </w:p>
    <w:p w:rsidR="00894FB7" w:rsidRPr="005D36F1" w:rsidRDefault="005D36F1" w:rsidP="00894FB7">
      <w:pPr>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 xml:space="preserve">La causal segunda previene y sanciona la violencia contra la mujer. </w:t>
      </w:r>
      <w:r w:rsidRPr="005D36F1">
        <w:rPr>
          <w:rFonts w:ascii="Times New Roman" w:hAnsi="Times New Roman" w:cs="Times New Roman"/>
          <w:color w:val="000000" w:themeColor="text1"/>
          <w:sz w:val="28"/>
          <w:szCs w:val="28"/>
        </w:rPr>
        <w:t>En esta misma dirección se encuentra la regla establecida en la causal tercera del artículo 154 del Código Ci</w:t>
      </w:r>
      <w:r w:rsidRPr="005D36F1">
        <w:rPr>
          <w:rFonts w:ascii="Times New Roman" w:hAnsi="Times New Roman" w:cs="Times New Roman"/>
          <w:color w:val="000000" w:themeColor="text1"/>
          <w:sz w:val="28"/>
          <w:szCs w:val="28"/>
        </w:rPr>
        <w:t>vil, que tipifica «[l]os ultrajes, el trato cruel y los maltratamientos de obra». Dicha causal busca salvaguardar los derechos fundamentales y la integridad de los miembros de la familia, propósito que resulta particularmente acuciante en el caso de la muj</w:t>
      </w:r>
      <w:r w:rsidRPr="005D36F1">
        <w:rPr>
          <w:rFonts w:ascii="Times New Roman" w:hAnsi="Times New Roman" w:cs="Times New Roman"/>
          <w:color w:val="000000" w:themeColor="text1"/>
          <w:sz w:val="28"/>
          <w:szCs w:val="28"/>
        </w:rPr>
        <w:t>er. En la Sentencia C-985 de 2010, la Sala Plena declaró que «la causal del numeral 3º […] se relaciona con el fenómeno de la violencia doméstica». Sobre el particular, indicó que este concepto alude a «todo daño o maltrato físico, psíquico o sexual, trato</w:t>
      </w:r>
      <w:r w:rsidRPr="005D36F1">
        <w:rPr>
          <w:rFonts w:ascii="Times New Roman" w:hAnsi="Times New Roman" w:cs="Times New Roman"/>
          <w:color w:val="000000" w:themeColor="text1"/>
          <w:sz w:val="28"/>
          <w:szCs w:val="28"/>
        </w:rPr>
        <w:t xml:space="preserve"> cruel, intimidatorio o degradante, amenaza, agravio, ofensa o cualquier otra forma de agresión, producida entre miembros de una familia»</w:t>
      </w:r>
      <w:r w:rsidRPr="005D36F1">
        <w:rPr>
          <w:rStyle w:val="Refdenotaalpie"/>
          <w:rFonts w:ascii="Times New Roman" w:hAnsi="Times New Roman" w:cs="Times New Roman"/>
          <w:color w:val="000000" w:themeColor="text1"/>
          <w:sz w:val="28"/>
          <w:szCs w:val="28"/>
        </w:rPr>
        <w:footnoteReference w:id="164"/>
      </w:r>
      <w:r w:rsidRPr="005D36F1">
        <w:rPr>
          <w:rFonts w:ascii="Times New Roman" w:hAnsi="Times New Roman" w:cs="Times New Roman"/>
          <w:color w:val="000000" w:themeColor="text1"/>
          <w:sz w:val="28"/>
          <w:szCs w:val="28"/>
        </w:rPr>
        <w:t>.</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 xml:space="preserve">Este tribunal ha manifestado que </w:t>
      </w:r>
      <w:r w:rsidRPr="005D36F1">
        <w:rPr>
          <w:rFonts w:ascii="Times New Roman" w:hAnsi="Times New Roman" w:cs="Times New Roman"/>
          <w:color w:val="000000" w:themeColor="text1"/>
          <w:sz w:val="28"/>
          <w:szCs w:val="28"/>
          <w:lang w:val="es-ES_tradnl"/>
        </w:rPr>
        <w:t>«[l]a violencia contra la mujer es una forma de discriminación y es responsabilida</w:t>
      </w:r>
      <w:r w:rsidRPr="005D36F1">
        <w:rPr>
          <w:rFonts w:ascii="Times New Roman" w:hAnsi="Times New Roman" w:cs="Times New Roman"/>
          <w:color w:val="000000" w:themeColor="text1"/>
          <w:sz w:val="28"/>
          <w:szCs w:val="28"/>
          <w:lang w:val="es-ES_tradnl"/>
        </w:rPr>
        <w:t>d del Estado actuar con la debida diligencia para prevenirla, investigar la ocurrencia de tales actos, enjuiciar y sancionar a los autores y asegurar que se proporcione protección y reparación para las víctimas»</w:t>
      </w:r>
      <w:r w:rsidRPr="005D36F1">
        <w:rPr>
          <w:rStyle w:val="Refdenotaalpie"/>
          <w:rFonts w:ascii="Times New Roman" w:hAnsi="Times New Roman" w:cs="Times New Roman"/>
          <w:color w:val="000000" w:themeColor="text1"/>
          <w:sz w:val="28"/>
          <w:szCs w:val="28"/>
          <w:lang w:val="es-ES_tradnl"/>
        </w:rPr>
        <w:footnoteReference w:id="165"/>
      </w:r>
      <w:r w:rsidRPr="005D36F1">
        <w:rPr>
          <w:rFonts w:ascii="Times New Roman" w:hAnsi="Times New Roman" w:cs="Times New Roman"/>
          <w:color w:val="000000" w:themeColor="text1"/>
          <w:sz w:val="28"/>
          <w:szCs w:val="28"/>
          <w:lang w:val="es-ES_tradnl"/>
        </w:rPr>
        <w:t>. De ahí que la causal en comento adquiera u</w:t>
      </w:r>
      <w:r w:rsidRPr="005D36F1">
        <w:rPr>
          <w:rFonts w:ascii="Times New Roman" w:hAnsi="Times New Roman" w:cs="Times New Roman"/>
          <w:color w:val="000000" w:themeColor="text1"/>
          <w:sz w:val="28"/>
          <w:szCs w:val="28"/>
          <w:lang w:val="es-ES_tradnl"/>
        </w:rPr>
        <w:t>na particular relevancia para garantizar el derecho de la mujer a gozar de una vida libre de violencia, en el contexto específico del matrimonio. Su trascendencia estriba en que, precisamente, la causal hace referencia a los actos violentos y vejatorios qu</w:t>
      </w:r>
      <w:r w:rsidRPr="005D36F1">
        <w:rPr>
          <w:rFonts w:ascii="Times New Roman" w:hAnsi="Times New Roman" w:cs="Times New Roman"/>
          <w:color w:val="000000" w:themeColor="text1"/>
          <w:sz w:val="28"/>
          <w:szCs w:val="28"/>
          <w:lang w:val="es-ES_tradnl"/>
        </w:rPr>
        <w:t>e muchas mujeres sufren en el hogar. En opinión de la Sala Plena, es una medida idónea y eficaz para prevenir este fenómeno, pues le permite finiquitar el vínculo matrimonial que la mantiene unida con el agresor. La consecución de este objetivo es un fin c</w:t>
      </w:r>
      <w:r w:rsidRPr="005D36F1">
        <w:rPr>
          <w:rFonts w:ascii="Times New Roman" w:hAnsi="Times New Roman" w:cs="Times New Roman"/>
          <w:color w:val="000000" w:themeColor="text1"/>
          <w:sz w:val="28"/>
          <w:szCs w:val="28"/>
          <w:lang w:val="es-ES_tradnl"/>
        </w:rPr>
        <w:t>onstitucional imperioso, que, además, contribuye al cumplimiento de obligaciones internacionales asumidas por el Estado colombiano</w:t>
      </w:r>
      <w:r w:rsidRPr="005D36F1">
        <w:rPr>
          <w:rStyle w:val="Refdenotaalpie"/>
          <w:rFonts w:ascii="Times New Roman" w:hAnsi="Times New Roman" w:cs="Times New Roman"/>
          <w:color w:val="000000" w:themeColor="text1"/>
          <w:sz w:val="28"/>
          <w:szCs w:val="28"/>
          <w:lang w:val="es-ES_tradnl"/>
        </w:rPr>
        <w:footnoteReference w:id="166"/>
      </w:r>
      <w:r w:rsidRPr="005D36F1">
        <w:rPr>
          <w:rFonts w:ascii="Times New Roman" w:hAnsi="Times New Roman" w:cs="Times New Roman"/>
          <w:color w:val="000000" w:themeColor="text1"/>
          <w:sz w:val="28"/>
          <w:szCs w:val="28"/>
          <w:lang w:val="es-ES_tradnl"/>
        </w:rPr>
        <w:t>.</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Por último, conviene resaltar que, de acuerdo con el desarrollo normativo previsto por el Legislador, la causal de divorcio se perfecciona siempre que se produzca el acto se agresión, sin que importe si el causante obró en estado de sobriedad o bajo la inf</w:t>
      </w:r>
      <w:r w:rsidRPr="005D36F1">
        <w:rPr>
          <w:rFonts w:ascii="Times New Roman" w:hAnsi="Times New Roman" w:cs="Times New Roman"/>
          <w:color w:val="000000" w:themeColor="text1"/>
          <w:sz w:val="28"/>
          <w:szCs w:val="28"/>
        </w:rPr>
        <w:t xml:space="preserve">luencia de sustancias psicoactivas. En cualquiera de estos casos, dado el carácter subjetivo de la causal, dicho proceder da lugar a la declaración del divorcio y a la aplicación de las consecuencias patrimoniales correspondientes. </w:t>
      </w:r>
    </w:p>
    <w:p w:rsidR="00894FB7" w:rsidRPr="005D36F1" w:rsidRDefault="005D36F1" w:rsidP="00894FB7">
      <w:pPr>
        <w:rPr>
          <w:rFonts w:ascii="Times New Roman" w:hAnsi="Times New Roman" w:cs="Times New Roman"/>
          <w:color w:val="000000" w:themeColor="text1"/>
          <w:sz w:val="28"/>
        </w:rPr>
      </w:pPr>
    </w:p>
    <w:p w:rsidR="00894FB7" w:rsidRPr="005D36F1" w:rsidRDefault="005D36F1" w:rsidP="00894FB7">
      <w:pPr>
        <w:numPr>
          <w:ilvl w:val="0"/>
          <w:numId w:val="2"/>
        </w:numPr>
        <w:ind w:left="0" w:firstLine="0"/>
        <w:jc w:val="both"/>
        <w:rPr>
          <w:rFonts w:ascii="Times New Roman" w:hAnsi="Times New Roman" w:cs="Times New Roman"/>
          <w:i/>
          <w:iCs/>
          <w:color w:val="000000" w:themeColor="text1"/>
          <w:sz w:val="28"/>
          <w:szCs w:val="28"/>
        </w:rPr>
      </w:pPr>
      <w:r w:rsidRPr="005D36F1">
        <w:rPr>
          <w:rFonts w:ascii="Times New Roman" w:hAnsi="Times New Roman" w:cs="Times New Roman"/>
          <w:i/>
          <w:iCs/>
          <w:color w:val="000000" w:themeColor="text1"/>
          <w:sz w:val="28"/>
          <w:szCs w:val="28"/>
        </w:rPr>
        <w:t xml:space="preserve">Conclusiones. </w:t>
      </w:r>
      <w:r w:rsidRPr="005D36F1">
        <w:rPr>
          <w:rFonts w:ascii="Times New Roman" w:hAnsi="Times New Roman" w:cs="Times New Roman"/>
          <w:color w:val="000000" w:themeColor="text1"/>
          <w:sz w:val="28"/>
          <w:szCs w:val="28"/>
        </w:rPr>
        <w:t>Del anál</w:t>
      </w:r>
      <w:r w:rsidRPr="005D36F1">
        <w:rPr>
          <w:rFonts w:ascii="Times New Roman" w:hAnsi="Times New Roman" w:cs="Times New Roman"/>
          <w:color w:val="000000" w:themeColor="text1"/>
          <w:sz w:val="28"/>
          <w:szCs w:val="28"/>
        </w:rPr>
        <w:t xml:space="preserve">isis realizado hasta este punto se derivan las siguientes conclusiones, a propósito de la pretendida relación entre el uso de sustancias psicoactivas y la violencia doméstica: </w:t>
      </w:r>
      <w:r w:rsidRPr="005D36F1">
        <w:rPr>
          <w:rFonts w:ascii="Times New Roman" w:hAnsi="Times New Roman" w:cs="Times New Roman"/>
          <w:i/>
          <w:iCs/>
          <w:color w:val="000000" w:themeColor="text1"/>
          <w:sz w:val="28"/>
          <w:szCs w:val="28"/>
        </w:rPr>
        <w:t>i)</w:t>
      </w:r>
      <w:r w:rsidRPr="005D36F1">
        <w:rPr>
          <w:rFonts w:ascii="Times New Roman" w:hAnsi="Times New Roman" w:cs="Times New Roman"/>
          <w:color w:val="000000" w:themeColor="text1"/>
          <w:sz w:val="28"/>
          <w:szCs w:val="28"/>
        </w:rPr>
        <w:t xml:space="preserve"> no existe evidencia científica que sustente la asociación entre consumo habit</w:t>
      </w:r>
      <w:r w:rsidRPr="005D36F1">
        <w:rPr>
          <w:rFonts w:ascii="Times New Roman" w:hAnsi="Times New Roman" w:cs="Times New Roman"/>
          <w:color w:val="000000" w:themeColor="text1"/>
          <w:sz w:val="28"/>
          <w:szCs w:val="28"/>
        </w:rPr>
        <w:t xml:space="preserve">ual de sustancias psicoactivas y la ejecución de actos de violencia doméstica; </w:t>
      </w:r>
      <w:r w:rsidRPr="005D36F1">
        <w:rPr>
          <w:rFonts w:ascii="Times New Roman" w:hAnsi="Times New Roman" w:cs="Times New Roman"/>
          <w:i/>
          <w:iCs/>
          <w:color w:val="000000" w:themeColor="text1"/>
          <w:sz w:val="28"/>
          <w:szCs w:val="28"/>
        </w:rPr>
        <w:t xml:space="preserve">ii) </w:t>
      </w:r>
      <w:r w:rsidRPr="005D36F1">
        <w:rPr>
          <w:rFonts w:ascii="Times New Roman" w:hAnsi="Times New Roman" w:cs="Times New Roman"/>
          <w:color w:val="000000" w:themeColor="text1"/>
          <w:sz w:val="28"/>
          <w:szCs w:val="28"/>
        </w:rPr>
        <w:t xml:space="preserve">la norma demandada no tiene el efecto de prevenir o remediar la violencia doméstica; </w:t>
      </w:r>
      <w:r w:rsidRPr="005D36F1">
        <w:rPr>
          <w:rFonts w:ascii="Times New Roman" w:hAnsi="Times New Roman" w:cs="Times New Roman"/>
          <w:i/>
          <w:iCs/>
          <w:color w:val="000000" w:themeColor="text1"/>
          <w:sz w:val="28"/>
          <w:szCs w:val="28"/>
        </w:rPr>
        <w:t>iii)</w:t>
      </w:r>
      <w:r w:rsidRPr="005D36F1">
        <w:rPr>
          <w:rFonts w:ascii="Times New Roman" w:hAnsi="Times New Roman" w:cs="Times New Roman"/>
          <w:color w:val="000000" w:themeColor="text1"/>
          <w:sz w:val="28"/>
          <w:szCs w:val="28"/>
        </w:rPr>
        <w:t xml:space="preserve"> la violencia doméstica bien puede dar lugar a la disolución del vínculo matrimonial</w:t>
      </w:r>
      <w:r w:rsidRPr="005D36F1">
        <w:rPr>
          <w:rFonts w:ascii="Times New Roman" w:hAnsi="Times New Roman" w:cs="Times New Roman"/>
          <w:color w:val="000000" w:themeColor="text1"/>
          <w:sz w:val="28"/>
          <w:szCs w:val="28"/>
        </w:rPr>
        <w:t xml:space="preserve">, pero a través de causales distintas a aquella que se analiza en esta ocasión; </w:t>
      </w:r>
      <w:r w:rsidRPr="005D36F1">
        <w:rPr>
          <w:rFonts w:ascii="Times New Roman" w:hAnsi="Times New Roman" w:cs="Times New Roman"/>
          <w:i/>
          <w:iCs/>
          <w:color w:val="000000" w:themeColor="text1"/>
          <w:sz w:val="28"/>
          <w:szCs w:val="28"/>
        </w:rPr>
        <w:t xml:space="preserve">iv) </w:t>
      </w:r>
      <w:r w:rsidRPr="005D36F1">
        <w:rPr>
          <w:rFonts w:ascii="Times New Roman" w:hAnsi="Times New Roman" w:cs="Times New Roman"/>
          <w:color w:val="000000" w:themeColor="text1"/>
          <w:sz w:val="28"/>
          <w:szCs w:val="28"/>
        </w:rPr>
        <w:t>en el caso específico de la violencia contra los niños, niñas y adolescentes, el cónyuge inocente puede solicitar el divorcio con base en la causal segunda, que alude al «g</w:t>
      </w:r>
      <w:r w:rsidRPr="005D36F1">
        <w:rPr>
          <w:rFonts w:ascii="Times New Roman" w:hAnsi="Times New Roman" w:cs="Times New Roman"/>
          <w:color w:val="000000" w:themeColor="text1"/>
          <w:sz w:val="28"/>
          <w:szCs w:val="28"/>
        </w:rPr>
        <w:t xml:space="preserve">rave e injustificado incumplimiento por parte de alguno de los cónyuges de los deberes que la ley les impone como tales y </w:t>
      </w:r>
      <w:r w:rsidRPr="005D36F1">
        <w:rPr>
          <w:rFonts w:ascii="Times New Roman" w:hAnsi="Times New Roman" w:cs="Times New Roman"/>
          <w:i/>
          <w:iCs/>
          <w:color w:val="000000" w:themeColor="text1"/>
          <w:sz w:val="28"/>
          <w:szCs w:val="28"/>
        </w:rPr>
        <w:t>como padres</w:t>
      </w:r>
      <w:r w:rsidRPr="005D36F1">
        <w:rPr>
          <w:rFonts w:ascii="Times New Roman" w:hAnsi="Times New Roman" w:cs="Times New Roman"/>
          <w:color w:val="000000" w:themeColor="text1"/>
          <w:sz w:val="28"/>
          <w:szCs w:val="28"/>
        </w:rPr>
        <w:t xml:space="preserve">»; </w:t>
      </w:r>
      <w:r w:rsidRPr="005D36F1">
        <w:rPr>
          <w:rFonts w:ascii="Times New Roman" w:hAnsi="Times New Roman" w:cs="Times New Roman"/>
          <w:i/>
          <w:iCs/>
          <w:color w:val="000000" w:themeColor="text1"/>
          <w:sz w:val="28"/>
          <w:szCs w:val="28"/>
        </w:rPr>
        <w:t xml:space="preserve">v) </w:t>
      </w:r>
      <w:r w:rsidRPr="005D36F1">
        <w:rPr>
          <w:rFonts w:ascii="Times New Roman" w:hAnsi="Times New Roman" w:cs="Times New Roman"/>
          <w:color w:val="000000" w:themeColor="text1"/>
          <w:sz w:val="28"/>
          <w:szCs w:val="28"/>
        </w:rPr>
        <w:t>en el caso de la violencia contra la mujer, resulta aplicable la causal tercera, que tipifica «[l]os ultrajes, el tra</w:t>
      </w:r>
      <w:r w:rsidRPr="005D36F1">
        <w:rPr>
          <w:rFonts w:ascii="Times New Roman" w:hAnsi="Times New Roman" w:cs="Times New Roman"/>
          <w:color w:val="000000" w:themeColor="text1"/>
          <w:sz w:val="28"/>
          <w:szCs w:val="28"/>
        </w:rPr>
        <w:t xml:space="preserve">to cruel y los maltratamientos de obra». </w:t>
      </w:r>
    </w:p>
    <w:p w:rsidR="00894FB7" w:rsidRPr="005D36F1" w:rsidRDefault="005D36F1" w:rsidP="00894FB7">
      <w:pPr>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Concluido este análisis, la Sala Plena procede a analizar la cuestión relativa al deber de proteger a los niños, niñas y adolescentes frente a las sustancias psicoactivas.</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jc w:val="both"/>
        <w:rPr>
          <w:rFonts w:ascii="Times New Roman" w:hAnsi="Times New Roman" w:cs="Times New Roman"/>
          <w:b/>
          <w:bCs/>
          <w:color w:val="000000" w:themeColor="text1"/>
          <w:sz w:val="28"/>
          <w:szCs w:val="28"/>
        </w:rPr>
      </w:pPr>
      <w:r w:rsidRPr="005D36F1">
        <w:rPr>
          <w:rFonts w:ascii="Times New Roman" w:hAnsi="Times New Roman" w:cs="Times New Roman"/>
          <w:b/>
          <w:bCs/>
          <w:color w:val="000000" w:themeColor="text1"/>
          <w:sz w:val="28"/>
          <w:szCs w:val="28"/>
        </w:rPr>
        <w:t xml:space="preserve">6.3.2. Derecho de los niños, niñas y </w:t>
      </w:r>
      <w:r w:rsidRPr="005D36F1">
        <w:rPr>
          <w:rFonts w:ascii="Times New Roman" w:hAnsi="Times New Roman" w:cs="Times New Roman"/>
          <w:b/>
          <w:bCs/>
          <w:color w:val="000000" w:themeColor="text1"/>
          <w:sz w:val="28"/>
          <w:szCs w:val="28"/>
        </w:rPr>
        <w:t>adolescentes a no ser expuestos a sustancias psicoactivas</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i/>
          <w:iCs/>
          <w:color w:val="000000" w:themeColor="text1"/>
          <w:sz w:val="28"/>
          <w:szCs w:val="28"/>
        </w:rPr>
      </w:pPr>
      <w:r w:rsidRPr="005D36F1">
        <w:rPr>
          <w:rFonts w:ascii="Times New Roman" w:hAnsi="Times New Roman" w:cs="Times New Roman"/>
          <w:i/>
          <w:iCs/>
          <w:color w:val="000000" w:themeColor="text1"/>
          <w:sz w:val="28"/>
          <w:szCs w:val="28"/>
        </w:rPr>
        <w:t xml:space="preserve">Derechos de los niños, niñas y adolescentes a no ser expuestos a las sustancias psicoactivas. </w:t>
      </w:r>
      <w:r w:rsidRPr="005D36F1">
        <w:rPr>
          <w:rFonts w:ascii="Times New Roman" w:hAnsi="Times New Roman" w:cs="Times New Roman"/>
          <w:color w:val="000000" w:themeColor="text1"/>
          <w:sz w:val="28"/>
          <w:szCs w:val="28"/>
        </w:rPr>
        <w:t>La representante de Red PaPaz señaló un importante asunto, que guarda relación con la incidencia del co</w:t>
      </w:r>
      <w:r w:rsidRPr="005D36F1">
        <w:rPr>
          <w:rFonts w:ascii="Times New Roman" w:hAnsi="Times New Roman" w:cs="Times New Roman"/>
          <w:color w:val="000000" w:themeColor="text1"/>
          <w:sz w:val="28"/>
          <w:szCs w:val="28"/>
        </w:rPr>
        <w:t>nsumo de sustancias psicoactivas en el bienestar de los menores. La interviniente urgió a la Corte para que tuviera presente la necesidad de garantizar los derechos prevalentes de los niños, niñas y adolescentes. La petición es pertinente, pues no cabe dud</w:t>
      </w:r>
      <w:r w:rsidRPr="005D36F1">
        <w:rPr>
          <w:rFonts w:ascii="Times New Roman" w:hAnsi="Times New Roman" w:cs="Times New Roman"/>
          <w:color w:val="000000" w:themeColor="text1"/>
          <w:sz w:val="28"/>
          <w:szCs w:val="28"/>
        </w:rPr>
        <w:t xml:space="preserve">a de que la exposición a estas sustancias compromete su desarrollo y afecta gravemente sus derechos. Según se explica a continuación, los niños, niñas y adolescentes tienen derecho a ser protegidos frente al acceso a estas sustancias y a recibir educación </w:t>
      </w:r>
      <w:r w:rsidRPr="005D36F1">
        <w:rPr>
          <w:rFonts w:ascii="Times New Roman" w:hAnsi="Times New Roman" w:cs="Times New Roman"/>
          <w:color w:val="000000" w:themeColor="text1"/>
          <w:sz w:val="28"/>
          <w:szCs w:val="28"/>
        </w:rPr>
        <w:t xml:space="preserve">para prevenir el consumo. </w:t>
      </w:r>
    </w:p>
    <w:p w:rsidR="00894FB7" w:rsidRPr="005D36F1" w:rsidRDefault="005D36F1" w:rsidP="00894FB7">
      <w:pPr>
        <w:jc w:val="both"/>
        <w:rPr>
          <w:rFonts w:ascii="Times New Roman" w:hAnsi="Times New Roman" w:cs="Times New Roman"/>
          <w:i/>
          <w:iCs/>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i/>
          <w:iCs/>
          <w:color w:val="000000" w:themeColor="text1"/>
          <w:sz w:val="28"/>
          <w:szCs w:val="28"/>
        </w:rPr>
      </w:pPr>
      <w:r w:rsidRPr="005D36F1">
        <w:rPr>
          <w:rFonts w:ascii="Times New Roman" w:hAnsi="Times New Roman" w:cs="Times New Roman"/>
          <w:color w:val="000000" w:themeColor="text1"/>
          <w:sz w:val="28"/>
          <w:szCs w:val="28"/>
        </w:rPr>
        <w:t xml:space="preserve">El texto normativo más enfático en la materia es la Convención </w:t>
      </w:r>
      <w:r w:rsidRPr="005D36F1">
        <w:rPr>
          <w:rFonts w:ascii="Times New Roman" w:hAnsi="Times New Roman" w:cs="Times New Roman"/>
          <w:color w:val="000000" w:themeColor="text1"/>
          <w:sz w:val="28"/>
          <w:szCs w:val="28"/>
        </w:rPr>
        <w:t>sobr</w:t>
      </w:r>
      <w:r w:rsidRPr="005D36F1">
        <w:rPr>
          <w:rFonts w:ascii="Times New Roman" w:hAnsi="Times New Roman" w:cs="Times New Roman"/>
          <w:color w:val="000000" w:themeColor="text1"/>
          <w:sz w:val="28"/>
          <w:szCs w:val="28"/>
        </w:rPr>
        <w:t>e los Derechos de</w:t>
      </w:r>
      <w:r w:rsidRPr="005D36F1">
        <w:rPr>
          <w:rFonts w:ascii="Times New Roman" w:hAnsi="Times New Roman" w:cs="Times New Roman"/>
          <w:color w:val="000000" w:themeColor="text1"/>
          <w:sz w:val="28"/>
          <w:szCs w:val="28"/>
        </w:rPr>
        <w:t>l</w:t>
      </w:r>
      <w:r w:rsidRPr="005D36F1">
        <w:rPr>
          <w:rFonts w:ascii="Times New Roman" w:hAnsi="Times New Roman" w:cs="Times New Roman"/>
          <w:color w:val="000000" w:themeColor="text1"/>
          <w:sz w:val="28"/>
          <w:szCs w:val="28"/>
        </w:rPr>
        <w:t xml:space="preserve"> Niño, tratado internacional que forma parte del bloque de constitucionalidad en sentido estricto</w:t>
      </w:r>
      <w:r w:rsidRPr="005D36F1">
        <w:rPr>
          <w:rStyle w:val="Refdenotaalpie"/>
          <w:rFonts w:ascii="Times New Roman" w:hAnsi="Times New Roman" w:cs="Times New Roman"/>
          <w:color w:val="000000" w:themeColor="text1"/>
          <w:sz w:val="28"/>
          <w:szCs w:val="28"/>
        </w:rPr>
        <w:footnoteReference w:id="167"/>
      </w:r>
      <w:r w:rsidRPr="005D36F1">
        <w:rPr>
          <w:rFonts w:ascii="Times New Roman" w:hAnsi="Times New Roman" w:cs="Times New Roman"/>
          <w:color w:val="000000" w:themeColor="text1"/>
          <w:sz w:val="28"/>
          <w:szCs w:val="28"/>
        </w:rPr>
        <w:t>. En su artículo 33, el instrumento establece</w:t>
      </w:r>
      <w:r w:rsidRPr="005D36F1">
        <w:rPr>
          <w:rFonts w:ascii="Times New Roman" w:hAnsi="Times New Roman" w:cs="Times New Roman"/>
          <w:color w:val="000000" w:themeColor="text1"/>
          <w:sz w:val="28"/>
          <w:szCs w:val="28"/>
        </w:rPr>
        <w:t xml:space="preserve"> que los Estados «adoptarán todas las medidas apropiadas, incluidas medidas legislativas, administrativas, sociales y educacionales, </w:t>
      </w:r>
      <w:r w:rsidRPr="005D36F1">
        <w:rPr>
          <w:rFonts w:ascii="Times New Roman" w:hAnsi="Times New Roman" w:cs="Times New Roman"/>
          <w:i/>
          <w:iCs/>
          <w:color w:val="000000" w:themeColor="text1"/>
          <w:sz w:val="28"/>
          <w:szCs w:val="28"/>
        </w:rPr>
        <w:t>para proteger a los niños contra el uso ilícito de los estupefacientes y sustancias sicotrópicas</w:t>
      </w:r>
      <w:r w:rsidRPr="005D36F1">
        <w:rPr>
          <w:rFonts w:ascii="Times New Roman" w:hAnsi="Times New Roman" w:cs="Times New Roman"/>
          <w:color w:val="000000" w:themeColor="text1"/>
          <w:sz w:val="28"/>
          <w:szCs w:val="28"/>
        </w:rPr>
        <w:t xml:space="preserve"> enumeradas en los tratados</w:t>
      </w:r>
      <w:r w:rsidRPr="005D36F1">
        <w:rPr>
          <w:rFonts w:ascii="Times New Roman" w:hAnsi="Times New Roman" w:cs="Times New Roman"/>
          <w:color w:val="000000" w:themeColor="text1"/>
          <w:sz w:val="28"/>
          <w:szCs w:val="28"/>
        </w:rPr>
        <w:t xml:space="preserve"> internacionales pertinentes, y para impedir que se utilice a niños en la producción y el tráfico ilícitos de esas sustancias» [énfasis fuera de texto]. </w:t>
      </w:r>
    </w:p>
    <w:p w:rsidR="00894FB7" w:rsidRPr="005D36F1" w:rsidRDefault="005D36F1" w:rsidP="00894FB7">
      <w:pPr>
        <w:pStyle w:val="Prrafodelista"/>
        <w:rPr>
          <w:rFonts w:ascii="Times New Roman" w:hAnsi="Times New Roman" w:cs="Times New Roman"/>
          <w:i/>
          <w:iCs/>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i/>
          <w:iCs/>
          <w:color w:val="000000" w:themeColor="text1"/>
          <w:sz w:val="28"/>
          <w:szCs w:val="28"/>
        </w:rPr>
      </w:pPr>
      <w:r w:rsidRPr="005D36F1">
        <w:rPr>
          <w:rFonts w:ascii="Times New Roman" w:hAnsi="Times New Roman" w:cs="Times New Roman"/>
          <w:color w:val="000000" w:themeColor="text1"/>
          <w:sz w:val="28"/>
          <w:szCs w:val="28"/>
        </w:rPr>
        <w:t>De manera congruente con este compromiso internacional, el Código de la Infancia y la Adolescencia im</w:t>
      </w:r>
      <w:r w:rsidRPr="005D36F1">
        <w:rPr>
          <w:rFonts w:ascii="Times New Roman" w:hAnsi="Times New Roman" w:cs="Times New Roman"/>
          <w:color w:val="000000" w:themeColor="text1"/>
          <w:sz w:val="28"/>
          <w:szCs w:val="28"/>
        </w:rPr>
        <w:t xml:space="preserve">pone a los padres y a las madres de familia la obligación de proteger a los niños, niñas y adolescentes frente al consumo de sustancias psicoactivas. Concretamente, el artículo veinte del código dispone que «[l]os niños, las niñas y los adolescentes serán </w:t>
      </w:r>
      <w:r w:rsidRPr="005D36F1">
        <w:rPr>
          <w:rFonts w:ascii="Times New Roman" w:hAnsi="Times New Roman" w:cs="Times New Roman"/>
          <w:color w:val="000000" w:themeColor="text1"/>
          <w:sz w:val="28"/>
          <w:szCs w:val="28"/>
        </w:rPr>
        <w:t xml:space="preserve">protegidos contra […] 3. El consumo de tabaco, </w:t>
      </w:r>
      <w:r w:rsidRPr="005D36F1">
        <w:rPr>
          <w:rFonts w:ascii="Times New Roman" w:hAnsi="Times New Roman" w:cs="Times New Roman"/>
          <w:i/>
          <w:iCs/>
          <w:color w:val="000000" w:themeColor="text1"/>
          <w:sz w:val="28"/>
          <w:szCs w:val="28"/>
        </w:rPr>
        <w:t>sustancias psicoactivas, estupefacientes</w:t>
      </w:r>
      <w:r w:rsidRPr="005D36F1">
        <w:rPr>
          <w:rFonts w:ascii="Times New Roman" w:hAnsi="Times New Roman" w:cs="Times New Roman"/>
          <w:color w:val="000000" w:themeColor="text1"/>
          <w:sz w:val="28"/>
          <w:szCs w:val="28"/>
        </w:rPr>
        <w:t xml:space="preserve"> o alcohólicas y la utilización, el reclutamiento o la oferta de menores en actividades de promoción, producción, recolección, tráfico, distribución y comercialización» </w:t>
      </w:r>
      <w:r w:rsidRPr="005D36F1">
        <w:rPr>
          <w:rFonts w:ascii="Times New Roman" w:hAnsi="Times New Roman" w:cs="Times New Roman"/>
          <w:color w:val="000000" w:themeColor="text1"/>
          <w:sz w:val="28"/>
          <w:szCs w:val="28"/>
        </w:rPr>
        <w:t xml:space="preserve">[énfasis fuera de texto]. </w:t>
      </w:r>
    </w:p>
    <w:p w:rsidR="00894FB7" w:rsidRPr="005D36F1" w:rsidRDefault="005D36F1" w:rsidP="00894FB7">
      <w:pPr>
        <w:jc w:val="both"/>
        <w:rPr>
          <w:rFonts w:ascii="Times New Roman" w:hAnsi="Times New Roman" w:cs="Times New Roman"/>
          <w:i/>
          <w:iCs/>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shd w:val="clear" w:color="auto" w:fill="FFFFFF"/>
        </w:rPr>
      </w:pPr>
      <w:r w:rsidRPr="005D36F1">
        <w:rPr>
          <w:rFonts w:ascii="Times New Roman" w:hAnsi="Times New Roman" w:cs="Times New Roman"/>
          <w:color w:val="000000" w:themeColor="text1"/>
          <w:sz w:val="28"/>
          <w:szCs w:val="28"/>
        </w:rPr>
        <w:t xml:space="preserve">En idéntico sentido, el artículo 39 establece que «[s]on obligaciones de la familia para garantizar los derechos de los niños, las niñas y los adolescentes: […] 14. Prevenirles y mantenerles informados sobre los efectos nocivos </w:t>
      </w:r>
      <w:r w:rsidRPr="005D36F1">
        <w:rPr>
          <w:rFonts w:ascii="Times New Roman" w:hAnsi="Times New Roman" w:cs="Times New Roman"/>
          <w:color w:val="000000" w:themeColor="text1"/>
          <w:sz w:val="28"/>
          <w:szCs w:val="28"/>
        </w:rPr>
        <w:t xml:space="preserve">del uso y el consumo de </w:t>
      </w:r>
      <w:r w:rsidRPr="005D36F1">
        <w:rPr>
          <w:rFonts w:ascii="Times New Roman" w:hAnsi="Times New Roman" w:cs="Times New Roman"/>
          <w:i/>
          <w:iCs/>
          <w:color w:val="000000" w:themeColor="text1"/>
          <w:sz w:val="28"/>
          <w:szCs w:val="28"/>
        </w:rPr>
        <w:t>sustancias psicoactivas</w:t>
      </w:r>
      <w:r w:rsidRPr="005D36F1">
        <w:rPr>
          <w:rFonts w:ascii="Times New Roman" w:hAnsi="Times New Roman" w:cs="Times New Roman"/>
          <w:color w:val="000000" w:themeColor="text1"/>
          <w:sz w:val="28"/>
          <w:szCs w:val="28"/>
        </w:rPr>
        <w:t xml:space="preserve"> legales e ilegales»</w:t>
      </w:r>
      <w:r w:rsidRPr="005D36F1">
        <w:rPr>
          <w:rStyle w:val="Refdenotaalpie"/>
          <w:rFonts w:ascii="Times New Roman" w:hAnsi="Times New Roman" w:cs="Times New Roman"/>
          <w:color w:val="000000" w:themeColor="text1"/>
          <w:sz w:val="28"/>
          <w:szCs w:val="28"/>
        </w:rPr>
        <w:footnoteReference w:id="168"/>
      </w:r>
      <w:r w:rsidRPr="005D36F1">
        <w:rPr>
          <w:rFonts w:ascii="Times New Roman" w:hAnsi="Times New Roman" w:cs="Times New Roman"/>
          <w:color w:val="000000" w:themeColor="text1"/>
          <w:sz w:val="28"/>
          <w:szCs w:val="28"/>
        </w:rPr>
        <w:t xml:space="preserve"> [énfasis fuera de texto]. </w:t>
      </w:r>
    </w:p>
    <w:p w:rsidR="00894FB7" w:rsidRPr="005D36F1" w:rsidRDefault="005D36F1" w:rsidP="00894FB7">
      <w:pPr>
        <w:jc w:val="both"/>
        <w:rPr>
          <w:rFonts w:ascii="Times New Roman" w:hAnsi="Times New Roman" w:cs="Times New Roman"/>
          <w:color w:val="000000" w:themeColor="text1"/>
          <w:sz w:val="28"/>
          <w:szCs w:val="28"/>
          <w:shd w:val="clear" w:color="auto" w:fill="FFFFFF"/>
        </w:rPr>
      </w:pPr>
    </w:p>
    <w:p w:rsidR="00894FB7" w:rsidRPr="005D36F1" w:rsidRDefault="005D36F1" w:rsidP="00894FB7">
      <w:pPr>
        <w:numPr>
          <w:ilvl w:val="0"/>
          <w:numId w:val="2"/>
        </w:numPr>
        <w:ind w:left="0" w:firstLine="0"/>
        <w:jc w:val="both"/>
        <w:rPr>
          <w:rFonts w:ascii="Times New Roman" w:hAnsi="Times New Roman" w:cs="Times New Roman"/>
          <w:i/>
          <w:iCs/>
          <w:color w:val="000000" w:themeColor="text1"/>
          <w:sz w:val="28"/>
          <w:szCs w:val="28"/>
        </w:rPr>
      </w:pPr>
      <w:r w:rsidRPr="005D36F1">
        <w:rPr>
          <w:rFonts w:ascii="Times New Roman" w:hAnsi="Times New Roman" w:cs="Times New Roman"/>
          <w:color w:val="000000" w:themeColor="text1"/>
          <w:sz w:val="28"/>
          <w:szCs w:val="28"/>
          <w:shd w:val="clear" w:color="auto" w:fill="FFFFFF"/>
        </w:rPr>
        <w:t>El Comité de los Derechos del Niño, órgano de expertos encargado del cumplimiento del tratado, ha hecho hincapié en la relevancia de la educación, como medio p</w:t>
      </w:r>
      <w:r w:rsidRPr="005D36F1">
        <w:rPr>
          <w:rFonts w:ascii="Times New Roman" w:hAnsi="Times New Roman" w:cs="Times New Roman"/>
          <w:color w:val="000000" w:themeColor="text1"/>
          <w:sz w:val="28"/>
          <w:szCs w:val="28"/>
          <w:shd w:val="clear" w:color="auto" w:fill="FFFFFF"/>
        </w:rPr>
        <w:t xml:space="preserve">ara prevenir el consumo de sustancias psicoactivas por parte de los menores de edad. Sobre el particular, la institución ha manifestado lo siguiente: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ind w:left="708"/>
        <w:jc w:val="both"/>
        <w:rPr>
          <w:rFonts w:ascii="Times New Roman" w:hAnsi="Times New Roman" w:cs="Times New Roman"/>
          <w:i/>
          <w:iCs/>
          <w:color w:val="000000" w:themeColor="text1"/>
          <w:sz w:val="28"/>
        </w:rPr>
      </w:pPr>
      <w:r w:rsidRPr="005D36F1">
        <w:rPr>
          <w:rFonts w:ascii="Times New Roman" w:hAnsi="Times New Roman" w:cs="Times New Roman"/>
          <w:color w:val="000000" w:themeColor="text1"/>
          <w:sz w:val="28"/>
        </w:rPr>
        <w:t>L</w:t>
      </w:r>
      <w:r w:rsidRPr="005D36F1">
        <w:rPr>
          <w:rFonts w:ascii="Times New Roman" w:hAnsi="Times New Roman" w:cs="Times New Roman"/>
          <w:color w:val="000000" w:themeColor="text1"/>
          <w:sz w:val="28"/>
          <w:shd w:val="clear" w:color="auto" w:fill="FFFFFF"/>
          <w:lang w:val="es-ES"/>
        </w:rPr>
        <w:t>os niños necesitan información y educación sobre todos los aspectos de la salud para poder adoptar decisiones fundamentadas en relación con su estilo de vida y el acceso a los servicios sanitarios. La información y la preparación para la vida cotidiana deb</w:t>
      </w:r>
      <w:r w:rsidRPr="005D36F1">
        <w:rPr>
          <w:rFonts w:ascii="Times New Roman" w:hAnsi="Times New Roman" w:cs="Times New Roman"/>
          <w:color w:val="000000" w:themeColor="text1"/>
          <w:sz w:val="28"/>
          <w:shd w:val="clear" w:color="auto" w:fill="FFFFFF"/>
          <w:lang w:val="es-ES"/>
        </w:rPr>
        <w:t>en abordar una amplia gama de asuntos relativos a la salud, entre ellos los hábitos alimenticios saludables y la promoción de la actividad física, el deporte y el esparcimiento; la prevención de accidentes y lesiones; el saneamiento, lavarse las manos y ot</w:t>
      </w:r>
      <w:r w:rsidRPr="005D36F1">
        <w:rPr>
          <w:rFonts w:ascii="Times New Roman" w:hAnsi="Times New Roman" w:cs="Times New Roman"/>
          <w:color w:val="000000" w:themeColor="text1"/>
          <w:sz w:val="28"/>
          <w:shd w:val="clear" w:color="auto" w:fill="FFFFFF"/>
          <w:lang w:val="es-ES"/>
        </w:rPr>
        <w:t xml:space="preserve">ras prácticas de higiene personal; y los </w:t>
      </w:r>
      <w:r w:rsidRPr="005D36F1">
        <w:rPr>
          <w:rFonts w:ascii="Times New Roman" w:hAnsi="Times New Roman" w:cs="Times New Roman"/>
          <w:i/>
          <w:iCs/>
          <w:color w:val="000000" w:themeColor="text1"/>
          <w:sz w:val="28"/>
          <w:shd w:val="clear" w:color="auto" w:fill="FFFFFF"/>
          <w:lang w:val="es-ES"/>
        </w:rPr>
        <w:t>peligros del consumo de alcohol, tabaco y sustancias psicoactivas</w:t>
      </w:r>
      <w:r w:rsidRPr="005D36F1">
        <w:rPr>
          <w:rStyle w:val="Refdenotaalpie"/>
          <w:rFonts w:ascii="Times New Roman" w:hAnsi="Times New Roman" w:cs="Times New Roman"/>
          <w:color w:val="000000" w:themeColor="text1"/>
          <w:sz w:val="28"/>
          <w:shd w:val="clear" w:color="auto" w:fill="FFFFFF"/>
        </w:rPr>
        <w:footnoteReference w:id="169"/>
      </w:r>
      <w:r w:rsidRPr="005D36F1">
        <w:rPr>
          <w:rFonts w:ascii="Times New Roman" w:hAnsi="Times New Roman" w:cs="Times New Roman"/>
          <w:color w:val="000000" w:themeColor="text1"/>
          <w:sz w:val="28"/>
          <w:shd w:val="clear" w:color="auto" w:fill="FFFFFF"/>
          <w:lang w:val="es-ES"/>
        </w:rPr>
        <w:t xml:space="preserve"> [énfasis fuera de texto].</w:t>
      </w:r>
    </w:p>
    <w:p w:rsidR="00894FB7" w:rsidRPr="005D36F1" w:rsidRDefault="005D36F1" w:rsidP="00894FB7">
      <w:pPr>
        <w:jc w:val="both"/>
        <w:rPr>
          <w:rFonts w:ascii="Times New Roman" w:hAnsi="Times New Roman" w:cs="Times New Roman"/>
          <w:i/>
          <w:iCs/>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i/>
          <w:iCs/>
          <w:color w:val="000000" w:themeColor="text1"/>
          <w:sz w:val="28"/>
          <w:szCs w:val="28"/>
        </w:rPr>
      </w:pPr>
      <w:r w:rsidRPr="005D36F1">
        <w:rPr>
          <w:rFonts w:ascii="Times New Roman" w:hAnsi="Times New Roman" w:cs="Times New Roman"/>
          <w:color w:val="000000" w:themeColor="text1"/>
          <w:sz w:val="28"/>
          <w:szCs w:val="28"/>
          <w:shd w:val="clear" w:color="auto" w:fill="FFFFFF"/>
        </w:rPr>
        <w:t>El Comité ha subrayado el valor y la utilidad que tienen, para este propósito, la educación y la formación que proveen lo</w:t>
      </w:r>
      <w:r w:rsidRPr="005D36F1">
        <w:rPr>
          <w:rFonts w:ascii="Times New Roman" w:hAnsi="Times New Roman" w:cs="Times New Roman"/>
          <w:color w:val="000000" w:themeColor="text1"/>
          <w:sz w:val="28"/>
          <w:szCs w:val="28"/>
          <w:shd w:val="clear" w:color="auto" w:fill="FFFFFF"/>
        </w:rPr>
        <w:t>s padres y las madres de familia: «</w:t>
      </w:r>
      <w:r w:rsidRPr="005D36F1">
        <w:rPr>
          <w:rFonts w:ascii="Times New Roman" w:hAnsi="Times New Roman" w:cs="Times New Roman"/>
          <w:color w:val="000000" w:themeColor="text1"/>
          <w:sz w:val="28"/>
          <w:szCs w:val="28"/>
          <w:shd w:val="clear" w:color="auto" w:fill="FFFFFF"/>
          <w:lang w:val="es-ES"/>
        </w:rPr>
        <w:t>Los padres son la fuente más importante de diagnóstico y atención primaria precoces en el caso de los niños de corta edad, y el factor protector más importante contra las conductas de alto riesgo entre los adolescentes, c</w:t>
      </w:r>
      <w:r w:rsidRPr="005D36F1">
        <w:rPr>
          <w:rFonts w:ascii="Times New Roman" w:hAnsi="Times New Roman" w:cs="Times New Roman"/>
          <w:color w:val="000000" w:themeColor="text1"/>
          <w:sz w:val="28"/>
          <w:szCs w:val="28"/>
          <w:shd w:val="clear" w:color="auto" w:fill="FFFFFF"/>
          <w:lang w:val="es-ES"/>
        </w:rPr>
        <w:t xml:space="preserve">omo el </w:t>
      </w:r>
      <w:r w:rsidRPr="005D36F1">
        <w:rPr>
          <w:rFonts w:ascii="Times New Roman" w:hAnsi="Times New Roman" w:cs="Times New Roman"/>
          <w:i/>
          <w:iCs/>
          <w:color w:val="000000" w:themeColor="text1"/>
          <w:sz w:val="28"/>
          <w:szCs w:val="28"/>
          <w:shd w:val="clear" w:color="auto" w:fill="FFFFFF"/>
          <w:lang w:val="es-ES"/>
        </w:rPr>
        <w:t xml:space="preserve">consumo de sustancias </w:t>
      </w:r>
      <w:r w:rsidRPr="005D36F1">
        <w:rPr>
          <w:rFonts w:ascii="Times New Roman" w:hAnsi="Times New Roman" w:cs="Times New Roman"/>
          <w:color w:val="000000" w:themeColor="text1"/>
          <w:sz w:val="28"/>
          <w:szCs w:val="28"/>
          <w:shd w:val="clear" w:color="auto" w:fill="FFFFFF"/>
          <w:lang w:val="es-ES"/>
        </w:rPr>
        <w:t>y las relaciones sexuales de riesgo»</w:t>
      </w:r>
      <w:r w:rsidRPr="005D36F1">
        <w:rPr>
          <w:rStyle w:val="Refdenotaalpie"/>
          <w:rFonts w:ascii="Times New Roman" w:hAnsi="Times New Roman" w:cs="Times New Roman"/>
          <w:color w:val="000000" w:themeColor="text1"/>
          <w:sz w:val="28"/>
          <w:szCs w:val="28"/>
          <w:shd w:val="clear" w:color="auto" w:fill="FFFFFF"/>
        </w:rPr>
        <w:footnoteReference w:id="170"/>
      </w:r>
      <w:r w:rsidRPr="005D36F1">
        <w:rPr>
          <w:rFonts w:ascii="Times New Roman" w:hAnsi="Times New Roman" w:cs="Times New Roman"/>
          <w:color w:val="000000" w:themeColor="text1"/>
          <w:sz w:val="28"/>
          <w:szCs w:val="28"/>
          <w:shd w:val="clear" w:color="auto" w:fill="FFFFFF"/>
          <w:lang w:val="es-ES"/>
        </w:rPr>
        <w:t xml:space="preserve"> [énfasis fuera de texto]. De lo anterior se sigue que la educación en el hogar es un medio eficaz, de incuestionable valor, para prevenir el consumo de sustancias psicoactivas durante la infancia y la adolescencia. </w:t>
      </w:r>
    </w:p>
    <w:p w:rsidR="00894FB7" w:rsidRPr="005D36F1" w:rsidRDefault="005D36F1" w:rsidP="00894FB7">
      <w:pPr>
        <w:jc w:val="both"/>
        <w:rPr>
          <w:rFonts w:ascii="Times New Roman" w:hAnsi="Times New Roman" w:cs="Times New Roman"/>
          <w:i/>
          <w:iCs/>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i/>
          <w:iCs/>
          <w:color w:val="000000" w:themeColor="text1"/>
          <w:sz w:val="28"/>
          <w:szCs w:val="28"/>
        </w:rPr>
      </w:pPr>
      <w:r w:rsidRPr="005D36F1">
        <w:rPr>
          <w:rFonts w:ascii="Times New Roman" w:hAnsi="Times New Roman" w:cs="Times New Roman"/>
          <w:color w:val="000000" w:themeColor="text1"/>
          <w:sz w:val="28"/>
          <w:szCs w:val="28"/>
          <w:shd w:val="clear" w:color="auto" w:fill="FFFFFF"/>
        </w:rPr>
        <w:t>Los argumentos expuestos hasta ahora i</w:t>
      </w:r>
      <w:r w:rsidRPr="005D36F1">
        <w:rPr>
          <w:rFonts w:ascii="Times New Roman" w:hAnsi="Times New Roman" w:cs="Times New Roman"/>
          <w:color w:val="000000" w:themeColor="text1"/>
          <w:sz w:val="28"/>
          <w:szCs w:val="28"/>
          <w:shd w:val="clear" w:color="auto" w:fill="FFFFFF"/>
        </w:rPr>
        <w:t>mplican que quien infringe las obligaciones aludidas no solo viola los derechos fundamentales del menor; además —de acuerdo con los términos empleados por el artículo 154.2 del Código Civil— incurre en un «grave e injustificado incumplimiento […] de los de</w:t>
      </w:r>
      <w:r w:rsidRPr="005D36F1">
        <w:rPr>
          <w:rFonts w:ascii="Times New Roman" w:hAnsi="Times New Roman" w:cs="Times New Roman"/>
          <w:color w:val="000000" w:themeColor="text1"/>
          <w:sz w:val="28"/>
          <w:szCs w:val="28"/>
          <w:shd w:val="clear" w:color="auto" w:fill="FFFFFF"/>
        </w:rPr>
        <w:t xml:space="preserve">beres que la ley les impone […] como padres». Dicho de otro modo, el proceder del cónyuge que se abstiene de proteger a los niños, niñas y adolescentes frente al consumo de sustancias psicoactivas o de proporcionar una formación </w:t>
      </w:r>
      <w:r w:rsidRPr="005D36F1">
        <w:rPr>
          <w:rFonts w:ascii="Times New Roman" w:hAnsi="Times New Roman" w:cs="Times New Roman"/>
          <w:color w:val="000000" w:themeColor="text1"/>
          <w:sz w:val="28"/>
          <w:szCs w:val="28"/>
          <w:shd w:val="clear" w:color="auto" w:fill="FFFFFF"/>
          <w:lang w:val="es-ES"/>
        </w:rPr>
        <w:t>correcta, adecuada y sufici</w:t>
      </w:r>
      <w:r w:rsidRPr="005D36F1">
        <w:rPr>
          <w:rFonts w:ascii="Times New Roman" w:hAnsi="Times New Roman" w:cs="Times New Roman"/>
          <w:color w:val="000000" w:themeColor="text1"/>
          <w:sz w:val="28"/>
          <w:szCs w:val="28"/>
          <w:shd w:val="clear" w:color="auto" w:fill="FFFFFF"/>
          <w:lang w:val="es-ES"/>
        </w:rPr>
        <w:t xml:space="preserve">ente sobre los efectos nocivos se encuadra en la causal de divorcio descrita en el numeral segundo del artículo 154 del Código Civil. </w:t>
      </w:r>
    </w:p>
    <w:p w:rsidR="00894FB7" w:rsidRPr="005D36F1" w:rsidRDefault="005D36F1" w:rsidP="00894FB7">
      <w:pPr>
        <w:pStyle w:val="Prrafodelista"/>
        <w:rPr>
          <w:rFonts w:ascii="Times New Roman" w:hAnsi="Times New Roman" w:cs="Times New Roman"/>
          <w:color w:val="000000" w:themeColor="text1"/>
          <w:sz w:val="28"/>
          <w:szCs w:val="28"/>
          <w:shd w:val="clear" w:color="auto" w:fill="FFFFFF"/>
          <w:lang w:val="es-ES"/>
        </w:rPr>
      </w:pPr>
    </w:p>
    <w:p w:rsidR="00894FB7" w:rsidRPr="005D36F1" w:rsidRDefault="005D36F1" w:rsidP="00894FB7">
      <w:pPr>
        <w:numPr>
          <w:ilvl w:val="0"/>
          <w:numId w:val="2"/>
        </w:numPr>
        <w:ind w:left="0" w:firstLine="0"/>
        <w:jc w:val="both"/>
        <w:rPr>
          <w:rFonts w:ascii="Times New Roman" w:hAnsi="Times New Roman" w:cs="Times New Roman"/>
          <w:i/>
          <w:iCs/>
          <w:color w:val="000000" w:themeColor="text1"/>
          <w:sz w:val="28"/>
          <w:szCs w:val="28"/>
        </w:rPr>
      </w:pPr>
      <w:r w:rsidRPr="005D36F1">
        <w:rPr>
          <w:rFonts w:ascii="Times New Roman" w:hAnsi="Times New Roman" w:cs="Times New Roman"/>
          <w:color w:val="000000" w:themeColor="text1"/>
          <w:sz w:val="28"/>
          <w:szCs w:val="28"/>
          <w:shd w:val="clear" w:color="auto" w:fill="FFFFFF"/>
          <w:lang w:val="es-ES"/>
        </w:rPr>
        <w:t xml:space="preserve">En atención a que la causal es de naturaleza subjetiva, el cónyuge inocente puede demandar la imposición de las </w:t>
      </w:r>
      <w:r w:rsidRPr="005D36F1">
        <w:rPr>
          <w:rFonts w:ascii="Times New Roman" w:hAnsi="Times New Roman" w:cs="Times New Roman"/>
          <w:color w:val="000000" w:themeColor="text1"/>
          <w:sz w:val="28"/>
          <w:szCs w:val="28"/>
          <w:shd w:val="clear" w:color="auto" w:fill="FFFFFF"/>
          <w:lang w:val="es-ES"/>
        </w:rPr>
        <w:t>consecuencias pecuniarias establecidas en el Código Civil. De tal suerte, en aplicación de lo dispuesto en los artículos 411.4 y 162 de dicha normativa, podrá solicitar el pago de alimentos «</w:t>
      </w:r>
      <w:r w:rsidRPr="005D36F1">
        <w:rPr>
          <w:rFonts w:ascii="Times New Roman" w:hAnsi="Times New Roman" w:cs="Times New Roman"/>
          <w:color w:val="000000" w:themeColor="text1"/>
          <w:sz w:val="28"/>
          <w:szCs w:val="28"/>
          <w:shd w:val="clear" w:color="auto" w:fill="FFFFFF"/>
        </w:rPr>
        <w:t>[a] cargo del cónyuge culpable»</w:t>
      </w:r>
      <w:r w:rsidRPr="005D36F1">
        <w:rPr>
          <w:rStyle w:val="Refdenotaalpie"/>
          <w:rFonts w:ascii="Times New Roman" w:hAnsi="Times New Roman" w:cs="Times New Roman"/>
          <w:color w:val="000000" w:themeColor="text1"/>
          <w:sz w:val="28"/>
          <w:szCs w:val="28"/>
          <w:shd w:val="clear" w:color="auto" w:fill="FFFFFF"/>
        </w:rPr>
        <w:footnoteReference w:id="171"/>
      </w:r>
      <w:r w:rsidRPr="005D36F1">
        <w:rPr>
          <w:rFonts w:ascii="Times New Roman" w:hAnsi="Times New Roman" w:cs="Times New Roman"/>
          <w:color w:val="000000" w:themeColor="text1"/>
          <w:sz w:val="28"/>
          <w:szCs w:val="28"/>
          <w:shd w:val="clear" w:color="auto" w:fill="FFFFFF"/>
        </w:rPr>
        <w:t xml:space="preserve"> y la revocación de las donacione</w:t>
      </w:r>
      <w:r w:rsidRPr="005D36F1">
        <w:rPr>
          <w:rFonts w:ascii="Times New Roman" w:hAnsi="Times New Roman" w:cs="Times New Roman"/>
          <w:color w:val="000000" w:themeColor="text1"/>
          <w:sz w:val="28"/>
          <w:szCs w:val="28"/>
          <w:shd w:val="clear" w:color="auto" w:fill="FFFFFF"/>
        </w:rPr>
        <w:t xml:space="preserve">s que hubiere realizado por causa del matrimonio. </w:t>
      </w:r>
    </w:p>
    <w:p w:rsidR="00894FB7" w:rsidRPr="005D36F1" w:rsidRDefault="005D36F1" w:rsidP="00894FB7">
      <w:pPr>
        <w:pStyle w:val="Prrafodelista"/>
        <w:rPr>
          <w:rFonts w:ascii="Times New Roman" w:hAnsi="Times New Roman" w:cs="Times New Roman"/>
          <w:i/>
          <w:iCs/>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i/>
          <w:iCs/>
          <w:color w:val="000000" w:themeColor="text1"/>
          <w:sz w:val="28"/>
          <w:szCs w:val="28"/>
        </w:rPr>
      </w:pPr>
      <w:r w:rsidRPr="005D36F1">
        <w:rPr>
          <w:rFonts w:ascii="Times New Roman" w:hAnsi="Times New Roman" w:cs="Times New Roman"/>
          <w:color w:val="000000" w:themeColor="text1"/>
          <w:sz w:val="28"/>
          <w:szCs w:val="28"/>
        </w:rPr>
        <w:t>En esta instancia, la Sala Plena estima necesario hacer una precisión, que bien podría ser una obviedad. El consumo de sustancias psicoactivas en presencia de niños, niñas o adolescentes es</w:t>
      </w:r>
      <w:r w:rsidRPr="005D36F1">
        <w:rPr>
          <w:rFonts w:ascii="Times New Roman" w:hAnsi="Times New Roman" w:cs="Times New Roman"/>
          <w:color w:val="000000" w:themeColor="text1"/>
          <w:sz w:val="28"/>
          <w:szCs w:val="28"/>
        </w:rPr>
        <w:t xml:space="preserve">, </w:t>
      </w:r>
      <w:r w:rsidRPr="005D36F1">
        <w:rPr>
          <w:rFonts w:ascii="Times New Roman" w:hAnsi="Times New Roman" w:cs="Times New Roman"/>
          <w:i/>
          <w:iCs/>
          <w:color w:val="000000" w:themeColor="text1"/>
          <w:sz w:val="28"/>
          <w:szCs w:val="28"/>
        </w:rPr>
        <w:t>prima facie</w:t>
      </w:r>
      <w:r w:rsidRPr="005D36F1">
        <w:rPr>
          <w:rFonts w:ascii="Times New Roman" w:hAnsi="Times New Roman" w:cs="Times New Roman"/>
          <w:color w:val="000000" w:themeColor="text1"/>
          <w:sz w:val="28"/>
          <w:szCs w:val="28"/>
        </w:rPr>
        <w:t>,</w:t>
      </w:r>
      <w:r w:rsidRPr="005D36F1">
        <w:rPr>
          <w:rFonts w:ascii="Times New Roman" w:hAnsi="Times New Roman" w:cs="Times New Roman"/>
          <w:color w:val="000000" w:themeColor="text1"/>
          <w:sz w:val="28"/>
          <w:szCs w:val="28"/>
        </w:rPr>
        <w:t xml:space="preserve"> </w:t>
      </w:r>
      <w:r w:rsidRPr="005D36F1">
        <w:rPr>
          <w:rFonts w:ascii="Times New Roman" w:hAnsi="Times New Roman" w:cs="Times New Roman"/>
          <w:color w:val="000000" w:themeColor="text1"/>
          <w:sz w:val="28"/>
          <w:szCs w:val="28"/>
        </w:rPr>
        <w:t>una forma de incumplimiento de la obligación de protegerlos frente a dichas sustancias (artículo 20.3 del Código de la Infancia y la Adolescencia). En atención a que los padres y las madres son un ejemplo de vida para sus hijos e hijas, esta conducta es ma</w:t>
      </w:r>
      <w:r w:rsidRPr="005D36F1">
        <w:rPr>
          <w:rFonts w:ascii="Times New Roman" w:hAnsi="Times New Roman" w:cs="Times New Roman"/>
          <w:color w:val="000000" w:themeColor="text1"/>
          <w:sz w:val="28"/>
          <w:szCs w:val="28"/>
        </w:rPr>
        <w:t>nifiestamente perjudicial para su formación. Los deberes jurídicos que les impone la ley en este ámbito se justifican, entre otras razones, en el rol formativo único que aquellos cumplen en la vida de los menores. De ahí que este tipo de conductas sean par</w:t>
      </w:r>
      <w:r w:rsidRPr="005D36F1">
        <w:rPr>
          <w:rFonts w:ascii="Times New Roman" w:hAnsi="Times New Roman" w:cs="Times New Roman"/>
          <w:color w:val="000000" w:themeColor="text1"/>
          <w:sz w:val="28"/>
          <w:szCs w:val="28"/>
        </w:rPr>
        <w:t xml:space="preserve">ticularmente graves y que no exista principio constitucional alguno que les brinde sustento. </w:t>
      </w:r>
    </w:p>
    <w:p w:rsidR="00894FB7" w:rsidRPr="005D36F1" w:rsidRDefault="005D36F1" w:rsidP="00894FB7">
      <w:pPr>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 xml:space="preserve">Los argumentos expuestos demuestran que el ordenamiento jurídico garantiza la protección de los derechos de los niños, niñas y adolescentes frente al consumo de </w:t>
      </w:r>
      <w:r w:rsidRPr="005D36F1">
        <w:rPr>
          <w:rFonts w:ascii="Times New Roman" w:hAnsi="Times New Roman" w:cs="Times New Roman"/>
          <w:color w:val="000000" w:themeColor="text1"/>
          <w:sz w:val="28"/>
          <w:szCs w:val="28"/>
        </w:rPr>
        <w:t>sustancias psicoactivas. De este análisis se sigue, igualmente, que la causal de divorcio que aquí se analiza no tiene por objeto encargarse de dicha protección. El numeral quinto del artículo 154 del Código Civil alude, exclusivamente, al «uso habitual de</w:t>
      </w:r>
      <w:r w:rsidRPr="005D36F1">
        <w:rPr>
          <w:rFonts w:ascii="Times New Roman" w:hAnsi="Times New Roman" w:cs="Times New Roman"/>
          <w:color w:val="000000" w:themeColor="text1"/>
          <w:sz w:val="28"/>
          <w:szCs w:val="28"/>
        </w:rPr>
        <w:t xml:space="preserve"> sustancias alucinógenas o estupefacientes, salvo prescripción médica». El precepto no se refiere a los derechos de los niños ni a las obligaciones parentales, como sí ocurre en el caso de la causal </w:t>
      </w:r>
      <w:r w:rsidRPr="005D36F1">
        <w:rPr>
          <w:rFonts w:ascii="Times New Roman" w:hAnsi="Times New Roman" w:cs="Times New Roman"/>
          <w:color w:val="000000" w:themeColor="text1"/>
          <w:sz w:val="28"/>
          <w:szCs w:val="28"/>
        </w:rPr>
        <w:t>prevista</w:t>
      </w:r>
      <w:r w:rsidRPr="005D36F1">
        <w:rPr>
          <w:rFonts w:ascii="Times New Roman" w:hAnsi="Times New Roman" w:cs="Times New Roman"/>
          <w:color w:val="000000" w:themeColor="text1"/>
          <w:sz w:val="28"/>
          <w:szCs w:val="28"/>
        </w:rPr>
        <w:t xml:space="preserve"> en el numeral segundo. Esta última causal, de ac</w:t>
      </w:r>
      <w:r w:rsidRPr="005D36F1">
        <w:rPr>
          <w:rFonts w:ascii="Times New Roman" w:hAnsi="Times New Roman" w:cs="Times New Roman"/>
          <w:color w:val="000000" w:themeColor="text1"/>
          <w:sz w:val="28"/>
          <w:szCs w:val="28"/>
        </w:rPr>
        <w:t xml:space="preserve">uerdo con lo expuesto en este apartado, es la norma jurídica que ha establecido el Legislador para asegurar dicha protección. </w:t>
      </w:r>
    </w:p>
    <w:p w:rsidR="00894FB7" w:rsidRPr="005D36F1" w:rsidRDefault="005D36F1" w:rsidP="00894FB7">
      <w:pPr>
        <w:rPr>
          <w:rFonts w:ascii="Times New Roman" w:hAnsi="Times New Roman" w:cs="Times New Roman"/>
          <w:i/>
          <w:iCs/>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i/>
          <w:iCs/>
          <w:color w:val="000000" w:themeColor="text1"/>
          <w:sz w:val="28"/>
          <w:szCs w:val="28"/>
        </w:rPr>
      </w:pPr>
      <w:r w:rsidRPr="005D36F1">
        <w:rPr>
          <w:rFonts w:ascii="Times New Roman" w:hAnsi="Times New Roman" w:cs="Times New Roman"/>
          <w:i/>
          <w:iCs/>
          <w:color w:val="000000" w:themeColor="text1"/>
          <w:sz w:val="28"/>
          <w:szCs w:val="28"/>
        </w:rPr>
        <w:t>Conclusiones</w:t>
      </w:r>
      <w:r w:rsidRPr="005D36F1">
        <w:rPr>
          <w:rFonts w:ascii="Times New Roman" w:hAnsi="Times New Roman" w:cs="Times New Roman"/>
          <w:color w:val="000000" w:themeColor="text1"/>
          <w:sz w:val="28"/>
          <w:szCs w:val="28"/>
        </w:rPr>
        <w:t xml:space="preserve">. Del análisis realizado en este apartado se colige que el ordenamiento jurídico colombiano garantiza la protección </w:t>
      </w:r>
      <w:r w:rsidRPr="005D36F1">
        <w:rPr>
          <w:rFonts w:ascii="Times New Roman" w:hAnsi="Times New Roman" w:cs="Times New Roman"/>
          <w:color w:val="000000" w:themeColor="text1"/>
          <w:sz w:val="28"/>
          <w:szCs w:val="28"/>
        </w:rPr>
        <w:t>de los derechos fundamentales de los niños, niñas y adolescentes frente al consumo de sustancias psicoactivas. En consonancia con lo anterior, los padres y madres de familia tienen dos obligaciones específicas: primero,</w:t>
      </w:r>
      <w:r w:rsidRPr="005D36F1">
        <w:rPr>
          <w:rFonts w:ascii="Times New Roman" w:hAnsi="Times New Roman" w:cs="Times New Roman"/>
          <w:i/>
          <w:iCs/>
          <w:color w:val="000000" w:themeColor="text1"/>
          <w:sz w:val="28"/>
          <w:szCs w:val="28"/>
        </w:rPr>
        <w:t xml:space="preserve"> </w:t>
      </w:r>
      <w:r w:rsidRPr="005D36F1">
        <w:rPr>
          <w:rFonts w:ascii="Times New Roman" w:hAnsi="Times New Roman" w:cs="Times New Roman"/>
          <w:color w:val="000000" w:themeColor="text1"/>
          <w:sz w:val="28"/>
          <w:szCs w:val="28"/>
        </w:rPr>
        <w:t xml:space="preserve">amparar a los menores frente al acceso, exposición y consumo de estas sustancias; segundo, proporcionar una información </w:t>
      </w:r>
      <w:r w:rsidRPr="005D36F1">
        <w:rPr>
          <w:rFonts w:ascii="Times New Roman" w:hAnsi="Times New Roman" w:cs="Times New Roman"/>
          <w:color w:val="000000" w:themeColor="text1"/>
          <w:sz w:val="28"/>
          <w:szCs w:val="28"/>
          <w:shd w:val="clear" w:color="auto" w:fill="FFFFFF"/>
          <w:lang w:val="es-ES"/>
        </w:rPr>
        <w:t xml:space="preserve">correcta, adecuada y suficiente sobre los efectos nocivos que conlleva esta conducta. Por otra parte, el padre o madre de familia que </w:t>
      </w:r>
      <w:r w:rsidRPr="005D36F1">
        <w:rPr>
          <w:rFonts w:ascii="Times New Roman" w:hAnsi="Times New Roman" w:cs="Times New Roman"/>
          <w:color w:val="000000" w:themeColor="text1"/>
          <w:sz w:val="28"/>
          <w:szCs w:val="28"/>
          <w:shd w:val="clear" w:color="auto" w:fill="FFFFFF"/>
        </w:rPr>
        <w:t>in</w:t>
      </w:r>
      <w:r w:rsidRPr="005D36F1">
        <w:rPr>
          <w:rFonts w:ascii="Times New Roman" w:hAnsi="Times New Roman" w:cs="Times New Roman"/>
          <w:color w:val="000000" w:themeColor="text1"/>
          <w:sz w:val="28"/>
          <w:szCs w:val="28"/>
          <w:shd w:val="clear" w:color="auto" w:fill="FFFFFF"/>
        </w:rPr>
        <w:t xml:space="preserve">frinja estas obligaciones no solo viola los derechos fundamentales del menor; además </w:t>
      </w:r>
      <w:r w:rsidRPr="005D36F1">
        <w:rPr>
          <w:rFonts w:ascii="Times New Roman" w:hAnsi="Times New Roman" w:cs="Times New Roman"/>
          <w:color w:val="000000" w:themeColor="text1"/>
          <w:sz w:val="28"/>
          <w:szCs w:val="28"/>
          <w:shd w:val="clear" w:color="auto" w:fill="FFFFFF"/>
          <w:lang w:val="es-ES"/>
        </w:rPr>
        <w:t>incurre en la causal de divorcio descrita en el numeral segundo del artículo 154 del Código Civil. En atención a que la causal es de naturaleza subjetiva, el cónyuge inoce</w:t>
      </w:r>
      <w:r w:rsidRPr="005D36F1">
        <w:rPr>
          <w:rFonts w:ascii="Times New Roman" w:hAnsi="Times New Roman" w:cs="Times New Roman"/>
          <w:color w:val="000000" w:themeColor="text1"/>
          <w:sz w:val="28"/>
          <w:szCs w:val="28"/>
          <w:shd w:val="clear" w:color="auto" w:fill="FFFFFF"/>
          <w:lang w:val="es-ES"/>
        </w:rPr>
        <w:t xml:space="preserve">nte puede demandar la imposición de las consecuencias pecuniarias establecidas en el Código Civil. </w:t>
      </w:r>
    </w:p>
    <w:p w:rsidR="00894FB7" w:rsidRPr="005D36F1" w:rsidRDefault="005D36F1" w:rsidP="00894FB7">
      <w:pPr>
        <w:rPr>
          <w:rFonts w:ascii="Times New Roman" w:hAnsi="Times New Roman" w:cs="Times New Roman"/>
          <w:i/>
          <w:iCs/>
          <w:color w:val="000000" w:themeColor="text1"/>
          <w:sz w:val="28"/>
          <w:szCs w:val="28"/>
        </w:rPr>
      </w:pPr>
    </w:p>
    <w:p w:rsidR="00894FB7" w:rsidRPr="005D36F1" w:rsidRDefault="005D36F1" w:rsidP="00894FB7">
      <w:pPr>
        <w:pStyle w:val="Prrafodelista"/>
        <w:numPr>
          <w:ilvl w:val="1"/>
          <w:numId w:val="5"/>
        </w:numPr>
        <w:jc w:val="both"/>
        <w:rPr>
          <w:rFonts w:ascii="Times New Roman" w:hAnsi="Times New Roman" w:cs="Times New Roman"/>
          <w:b/>
          <w:bCs/>
          <w:color w:val="000000" w:themeColor="text1"/>
          <w:sz w:val="28"/>
          <w:szCs w:val="28"/>
        </w:rPr>
      </w:pPr>
      <w:r w:rsidRPr="005D36F1">
        <w:rPr>
          <w:rFonts w:ascii="Times New Roman" w:hAnsi="Times New Roman" w:cs="Times New Roman"/>
          <w:b/>
          <w:bCs/>
          <w:color w:val="000000" w:themeColor="text1"/>
          <w:sz w:val="28"/>
          <w:szCs w:val="28"/>
        </w:rPr>
        <w:t>Armonización concreta entre los derechos fundamentales al libre desarrollo de la personalidad y a la dignidad humana de los cónyuges que rivalizan en torno</w:t>
      </w:r>
      <w:r w:rsidRPr="005D36F1">
        <w:rPr>
          <w:rFonts w:ascii="Times New Roman" w:hAnsi="Times New Roman" w:cs="Times New Roman"/>
          <w:b/>
          <w:bCs/>
          <w:color w:val="000000" w:themeColor="text1"/>
          <w:sz w:val="28"/>
          <w:szCs w:val="28"/>
        </w:rPr>
        <w:t xml:space="preserve"> al consumo habitual de sustancias psicoactivas</w:t>
      </w:r>
    </w:p>
    <w:p w:rsidR="00894FB7" w:rsidRPr="005D36F1" w:rsidRDefault="005D36F1" w:rsidP="00894FB7">
      <w:pPr>
        <w:rPr>
          <w:rFonts w:ascii="Times New Roman" w:hAnsi="Times New Roman" w:cs="Times New Roman"/>
          <w:i/>
          <w:iCs/>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 xml:space="preserve">La norma demandada busca asegurar la libertad personal del cónyuge no consumidor. </w:t>
      </w:r>
      <w:r w:rsidRPr="005D36F1">
        <w:rPr>
          <w:rFonts w:ascii="Times New Roman" w:hAnsi="Times New Roman" w:cs="Times New Roman"/>
          <w:color w:val="000000" w:themeColor="text1"/>
          <w:sz w:val="28"/>
          <w:szCs w:val="28"/>
        </w:rPr>
        <w:t>Las consideraciones expuestas hasta este punto demuestran que el numeral quinto del artículo 154 del Código Civil no busca pr</w:t>
      </w:r>
      <w:r w:rsidRPr="005D36F1">
        <w:rPr>
          <w:rFonts w:ascii="Times New Roman" w:hAnsi="Times New Roman" w:cs="Times New Roman"/>
          <w:color w:val="000000" w:themeColor="text1"/>
          <w:sz w:val="28"/>
          <w:szCs w:val="28"/>
        </w:rPr>
        <w:t>evenir o remediar la violencia doméstica ni proteger a los menores frente a las sustancias psicoactivas. La disposición procura un fin sustancialmente distinto. Dicho propósito es amparar la libertad personal del cónyuge no consumidor que estima que el uso</w:t>
      </w:r>
      <w:r w:rsidRPr="005D36F1">
        <w:rPr>
          <w:rFonts w:ascii="Times New Roman" w:hAnsi="Times New Roman" w:cs="Times New Roman"/>
          <w:color w:val="000000" w:themeColor="text1"/>
          <w:sz w:val="28"/>
          <w:szCs w:val="28"/>
        </w:rPr>
        <w:t xml:space="preserve"> de sustancias psicoactivas es incompatible con su plan de vida en pareja. Bajo esta lógica, la causal le permite finiquitar el vínculo matrimonial, y, en atención a que es de naturaleza subjetiva, autoriza la imposición de las consecuencias pecuniarias di</w:t>
      </w:r>
      <w:r w:rsidRPr="005D36F1">
        <w:rPr>
          <w:rFonts w:ascii="Times New Roman" w:hAnsi="Times New Roman" w:cs="Times New Roman"/>
          <w:color w:val="000000" w:themeColor="text1"/>
          <w:sz w:val="28"/>
          <w:szCs w:val="28"/>
        </w:rPr>
        <w:t xml:space="preserve">spuestas en los artículos 411.4 y 162 del Código Civil. De tal suerte, el cónyuge consumidor puede ser condenado al pago de alimentos y a la devolución de las donaciones que hubiera recibido por causa del matrimonio. A la luz de esta constatación, la Sala </w:t>
      </w:r>
      <w:r w:rsidRPr="005D36F1">
        <w:rPr>
          <w:rFonts w:ascii="Times New Roman" w:hAnsi="Times New Roman" w:cs="Times New Roman"/>
          <w:color w:val="000000" w:themeColor="text1"/>
          <w:sz w:val="28"/>
          <w:szCs w:val="28"/>
        </w:rPr>
        <w:t>Plena debe efectuar el juicio de constitucionalidad demandado.</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 xml:space="preserve">Colisión entre los derechos de los cónyuges. </w:t>
      </w:r>
      <w:r w:rsidRPr="005D36F1">
        <w:rPr>
          <w:rFonts w:ascii="Times New Roman" w:hAnsi="Times New Roman" w:cs="Times New Roman"/>
          <w:color w:val="000000" w:themeColor="text1"/>
          <w:sz w:val="28"/>
          <w:szCs w:val="28"/>
        </w:rPr>
        <w:t xml:space="preserve">De acuerdo con el planteamiento expuesto por el accionante —de ser válida su argumentación—, en el caso concreto se presentaría una colisión entre </w:t>
      </w:r>
      <w:r w:rsidRPr="005D36F1">
        <w:rPr>
          <w:rFonts w:ascii="Times New Roman" w:hAnsi="Times New Roman" w:cs="Times New Roman"/>
          <w:color w:val="000000" w:themeColor="text1"/>
          <w:sz w:val="28"/>
          <w:szCs w:val="28"/>
        </w:rPr>
        <w:t>dos derechos fundamentales, o, si se quiere, entre dos pretensiones opuestas basadas en el mismo derecho fundamental: el derecho al libre desarrollo de la personalidad del cónyuge que no desea vivir en matrimonio con una persona que consume habitualmente s</w:t>
      </w:r>
      <w:r w:rsidRPr="005D36F1">
        <w:rPr>
          <w:rFonts w:ascii="Times New Roman" w:hAnsi="Times New Roman" w:cs="Times New Roman"/>
          <w:color w:val="000000" w:themeColor="text1"/>
          <w:sz w:val="28"/>
          <w:szCs w:val="28"/>
        </w:rPr>
        <w:t>ustancias psicoactivas y el mismo derecho del cónyuge que desea realizar un consumo habitual de tales sustancias, sin que ello implique la disolución del vínculo matrimonial o la imposición de consecuencias perjudiciales.</w:t>
      </w:r>
    </w:p>
    <w:p w:rsidR="00894FB7" w:rsidRPr="005D36F1" w:rsidRDefault="005D36F1" w:rsidP="00894FB7">
      <w:pPr>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Principio de armonización concret</w:t>
      </w:r>
      <w:r w:rsidRPr="005D36F1">
        <w:rPr>
          <w:rFonts w:ascii="Times New Roman" w:hAnsi="Times New Roman" w:cs="Times New Roman"/>
          <w:i/>
          <w:iCs/>
          <w:color w:val="000000" w:themeColor="text1"/>
          <w:sz w:val="28"/>
          <w:szCs w:val="28"/>
        </w:rPr>
        <w:t xml:space="preserve">a. </w:t>
      </w:r>
      <w:r w:rsidRPr="005D36F1">
        <w:rPr>
          <w:rFonts w:ascii="Times New Roman" w:hAnsi="Times New Roman" w:cs="Times New Roman"/>
          <w:color w:val="000000" w:themeColor="text1"/>
          <w:sz w:val="28"/>
          <w:szCs w:val="28"/>
        </w:rPr>
        <w:t xml:space="preserve">Con arreglo a la jurisprudencia constitucional, estos enfrentamientos deben resolverse empleando el </w:t>
      </w:r>
      <w:r w:rsidRPr="005D36F1">
        <w:rPr>
          <w:rFonts w:ascii="Times New Roman" w:hAnsi="Times New Roman" w:cs="Times New Roman"/>
          <w:i/>
          <w:iCs/>
          <w:color w:val="000000" w:themeColor="text1"/>
          <w:sz w:val="28"/>
          <w:szCs w:val="28"/>
        </w:rPr>
        <w:t>principio de armonización concreta</w:t>
      </w:r>
      <w:r w:rsidRPr="005D36F1">
        <w:rPr>
          <w:rFonts w:ascii="Times New Roman" w:hAnsi="Times New Roman" w:cs="Times New Roman"/>
          <w:color w:val="000000" w:themeColor="text1"/>
          <w:sz w:val="28"/>
          <w:szCs w:val="28"/>
        </w:rPr>
        <w:t>. Dicho instrumento procura la máxima realización posible de los derechos involucrados, pues exige al operador jurídico</w:t>
      </w:r>
      <w:r w:rsidRPr="005D36F1">
        <w:rPr>
          <w:rFonts w:ascii="Times New Roman" w:hAnsi="Times New Roman" w:cs="Times New Roman"/>
          <w:color w:val="000000" w:themeColor="text1"/>
          <w:sz w:val="28"/>
          <w:szCs w:val="28"/>
        </w:rPr>
        <w:t xml:space="preserve"> hallar el arreglo fáctico o jurídico que concilie de mejor manera las pretensiones enfrentadas. Sobre el particular, esta corporación ha manifestado lo siguiente: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ind w:left="708"/>
        <w:jc w:val="both"/>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El ejercicio de los derechos plantea conflictos cuya solución hace necesaria la armonizac</w:t>
      </w:r>
      <w:r w:rsidRPr="005D36F1">
        <w:rPr>
          <w:rFonts w:ascii="Times New Roman" w:hAnsi="Times New Roman" w:cs="Times New Roman"/>
          <w:color w:val="000000" w:themeColor="text1"/>
          <w:sz w:val="28"/>
        </w:rPr>
        <w:t>ión concreta de las normas constitucionales enfrentadas. El </w:t>
      </w:r>
      <w:r w:rsidRPr="005D36F1">
        <w:rPr>
          <w:rFonts w:ascii="Times New Roman" w:hAnsi="Times New Roman" w:cs="Times New Roman"/>
          <w:b/>
          <w:bCs/>
          <w:color w:val="000000" w:themeColor="text1"/>
          <w:sz w:val="28"/>
        </w:rPr>
        <w:t>principio de armonización concreta</w:t>
      </w:r>
      <w:r w:rsidRPr="005D36F1">
        <w:rPr>
          <w:rFonts w:ascii="Times New Roman" w:hAnsi="Times New Roman" w:cs="Times New Roman"/>
          <w:color w:val="000000" w:themeColor="text1"/>
          <w:sz w:val="28"/>
        </w:rPr>
        <w:t> impide que se busque la efectividad de un derecho mediante el sacrificio o restricción de otro. De conformidad con este principio, el intérprete debe resolver la</w:t>
      </w:r>
      <w:r w:rsidRPr="005D36F1">
        <w:rPr>
          <w:rFonts w:ascii="Times New Roman" w:hAnsi="Times New Roman" w:cs="Times New Roman"/>
          <w:color w:val="000000" w:themeColor="text1"/>
          <w:sz w:val="28"/>
        </w:rPr>
        <w:t>s colisiones entre bienes jurídicos, de forma que se maximice la efectividad de cada uno de ellos. La colisión de derechos no debe, por lo tanto, resolverse mediante una ponderación superficial o una prelación abstracta de uno de los bienes jurídicos en co</w:t>
      </w:r>
      <w:r w:rsidRPr="005D36F1">
        <w:rPr>
          <w:rFonts w:ascii="Times New Roman" w:hAnsi="Times New Roman" w:cs="Times New Roman"/>
          <w:color w:val="000000" w:themeColor="text1"/>
          <w:sz w:val="28"/>
        </w:rPr>
        <w:t>nflicto. Esta ponderación exige tener en cuenta los diversos bienes e intereses en juego y propender su armonización en la situación concreta, como momento previo y necesario a cualquier jerarquización o prevalencia de una norma constitucional sobre otra</w:t>
      </w:r>
      <w:r w:rsidRPr="005D36F1">
        <w:rPr>
          <w:rStyle w:val="Refdenotaalpie"/>
          <w:rFonts w:ascii="Times New Roman" w:hAnsi="Times New Roman" w:cs="Times New Roman"/>
          <w:color w:val="000000" w:themeColor="text1"/>
          <w:sz w:val="28"/>
        </w:rPr>
        <w:footnoteReference w:id="172"/>
      </w:r>
      <w:r w:rsidRPr="005D36F1">
        <w:rPr>
          <w:rFonts w:ascii="Times New Roman" w:hAnsi="Times New Roman" w:cs="Times New Roman"/>
          <w:color w:val="000000" w:themeColor="text1"/>
          <w:sz w:val="28"/>
        </w:rPr>
        <w:t xml:space="preserve"> </w:t>
      </w:r>
      <w:r w:rsidRPr="005D36F1">
        <w:rPr>
          <w:rFonts w:ascii="Times New Roman" w:hAnsi="Times New Roman" w:cs="Times New Roman"/>
          <w:color w:val="000000" w:themeColor="text1"/>
          <w:sz w:val="28"/>
        </w:rPr>
        <w:t>[énfasis en el original].</w:t>
      </w:r>
    </w:p>
    <w:p w:rsidR="00894FB7" w:rsidRPr="005D36F1" w:rsidRDefault="005D36F1" w:rsidP="00894FB7">
      <w:pPr>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 xml:space="preserve">Condición de la que depende, en el caso concreto, la armonización concreta. </w:t>
      </w:r>
      <w:r w:rsidRPr="005D36F1">
        <w:rPr>
          <w:rFonts w:ascii="Times New Roman" w:hAnsi="Times New Roman" w:cs="Times New Roman"/>
          <w:color w:val="000000" w:themeColor="text1"/>
          <w:sz w:val="28"/>
          <w:szCs w:val="28"/>
        </w:rPr>
        <w:t>Para que sea posible la aplicación de este principio en el caso concreto, debe acreditarse que, tal como lo afirma el accionante, la norma demandada regu</w:t>
      </w:r>
      <w:r w:rsidRPr="005D36F1">
        <w:rPr>
          <w:rFonts w:ascii="Times New Roman" w:hAnsi="Times New Roman" w:cs="Times New Roman"/>
          <w:color w:val="000000" w:themeColor="text1"/>
          <w:sz w:val="28"/>
          <w:szCs w:val="28"/>
        </w:rPr>
        <w:t xml:space="preserve">la un </w:t>
      </w:r>
      <w:r w:rsidRPr="005D36F1">
        <w:rPr>
          <w:rFonts w:ascii="Times New Roman" w:hAnsi="Times New Roman" w:cs="Times New Roman"/>
          <w:i/>
          <w:iCs/>
          <w:color w:val="000000" w:themeColor="text1"/>
          <w:sz w:val="28"/>
          <w:szCs w:val="28"/>
        </w:rPr>
        <w:t>comportamiento no interferido</w:t>
      </w:r>
      <w:r w:rsidRPr="005D36F1">
        <w:rPr>
          <w:rFonts w:ascii="Times New Roman" w:hAnsi="Times New Roman" w:cs="Times New Roman"/>
          <w:color w:val="000000" w:themeColor="text1"/>
          <w:sz w:val="28"/>
          <w:szCs w:val="28"/>
        </w:rPr>
        <w:t>. En otras palabras, debe hallarse probado que el consumo habitual de sustancias psicoactivas —en las precisas condiciones descritas en la norma demandada— constituye una conducta que no causa daños a personas distintas a</w:t>
      </w:r>
      <w:r w:rsidRPr="005D36F1">
        <w:rPr>
          <w:rFonts w:ascii="Times New Roman" w:hAnsi="Times New Roman" w:cs="Times New Roman"/>
          <w:color w:val="000000" w:themeColor="text1"/>
          <w:sz w:val="28"/>
          <w:szCs w:val="28"/>
        </w:rPr>
        <w:t xml:space="preserve"> quien la ejecuta. De ello depende que dicha norma comprometa el derecho fundamental al libre desarrollo de la personalidad y que, por tanto, resulta necesario hallar una solución que concilie las pretensiones del cónyuge consumidor con las de su pareja no</w:t>
      </w:r>
      <w:r w:rsidRPr="005D36F1">
        <w:rPr>
          <w:rFonts w:ascii="Times New Roman" w:hAnsi="Times New Roman" w:cs="Times New Roman"/>
          <w:color w:val="000000" w:themeColor="text1"/>
          <w:sz w:val="28"/>
          <w:szCs w:val="28"/>
        </w:rPr>
        <w:t xml:space="preserve"> consumidora.</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 xml:space="preserve">La disposición regula un comportamiento no interferido. </w:t>
      </w:r>
      <w:r w:rsidRPr="005D36F1">
        <w:rPr>
          <w:rFonts w:ascii="Times New Roman" w:hAnsi="Times New Roman" w:cs="Times New Roman"/>
          <w:color w:val="000000" w:themeColor="text1"/>
          <w:sz w:val="28"/>
          <w:szCs w:val="28"/>
        </w:rPr>
        <w:t xml:space="preserve">La Sala Plena estima que, efectivamente, la disposición incurre en el tipo de regulación al que se acaba de hacer referencia. Este juicio se basa en las siguientes premisas: </w:t>
      </w:r>
      <w:r w:rsidRPr="005D36F1">
        <w:rPr>
          <w:rFonts w:ascii="Times New Roman" w:hAnsi="Times New Roman" w:cs="Times New Roman"/>
          <w:i/>
          <w:iCs/>
          <w:color w:val="000000" w:themeColor="text1"/>
          <w:sz w:val="28"/>
          <w:szCs w:val="28"/>
        </w:rPr>
        <w:t>i)</w:t>
      </w:r>
      <w:r w:rsidRPr="005D36F1">
        <w:rPr>
          <w:rFonts w:ascii="Times New Roman" w:hAnsi="Times New Roman" w:cs="Times New Roman"/>
          <w:color w:val="000000" w:themeColor="text1"/>
          <w:sz w:val="28"/>
          <w:szCs w:val="28"/>
        </w:rPr>
        <w:t xml:space="preserve"> la norma</w:t>
      </w:r>
      <w:r w:rsidRPr="005D36F1">
        <w:rPr>
          <w:rFonts w:ascii="Times New Roman" w:hAnsi="Times New Roman" w:cs="Times New Roman"/>
          <w:color w:val="000000" w:themeColor="text1"/>
          <w:sz w:val="28"/>
          <w:szCs w:val="28"/>
        </w:rPr>
        <w:t xml:space="preserve"> demandada no previene la violencia doméstica; </w:t>
      </w:r>
      <w:r w:rsidRPr="005D36F1">
        <w:rPr>
          <w:rFonts w:ascii="Times New Roman" w:hAnsi="Times New Roman" w:cs="Times New Roman"/>
          <w:i/>
          <w:iCs/>
          <w:color w:val="000000" w:themeColor="text1"/>
          <w:sz w:val="28"/>
          <w:szCs w:val="28"/>
        </w:rPr>
        <w:t>ii)</w:t>
      </w:r>
      <w:r w:rsidRPr="005D36F1">
        <w:rPr>
          <w:rFonts w:ascii="Times New Roman" w:hAnsi="Times New Roman" w:cs="Times New Roman"/>
          <w:color w:val="000000" w:themeColor="text1"/>
          <w:sz w:val="28"/>
          <w:szCs w:val="28"/>
        </w:rPr>
        <w:t xml:space="preserve"> el consumo habitual no conduce necesariamente a otras formas —problemáticas o abusivas— de uso de sustancias psicoactivas; </w:t>
      </w:r>
      <w:r w:rsidRPr="005D36F1">
        <w:rPr>
          <w:rFonts w:ascii="Times New Roman" w:hAnsi="Times New Roman" w:cs="Times New Roman"/>
          <w:i/>
          <w:iCs/>
          <w:color w:val="000000" w:themeColor="text1"/>
          <w:sz w:val="28"/>
          <w:szCs w:val="28"/>
        </w:rPr>
        <w:t xml:space="preserve">iii) </w:t>
      </w:r>
      <w:r w:rsidRPr="005D36F1">
        <w:rPr>
          <w:rFonts w:ascii="Times New Roman" w:hAnsi="Times New Roman" w:cs="Times New Roman"/>
          <w:color w:val="000000" w:themeColor="text1"/>
          <w:sz w:val="28"/>
          <w:szCs w:val="28"/>
        </w:rPr>
        <w:t xml:space="preserve">el consumo habitual no es una psicopatología; </w:t>
      </w:r>
      <w:r w:rsidRPr="005D36F1">
        <w:rPr>
          <w:rFonts w:ascii="Times New Roman" w:hAnsi="Times New Roman" w:cs="Times New Roman"/>
          <w:i/>
          <w:iCs/>
          <w:color w:val="000000" w:themeColor="text1"/>
          <w:sz w:val="28"/>
          <w:szCs w:val="28"/>
        </w:rPr>
        <w:t xml:space="preserve">iv) </w:t>
      </w:r>
      <w:r w:rsidRPr="005D36F1">
        <w:rPr>
          <w:rFonts w:ascii="Times New Roman" w:hAnsi="Times New Roman" w:cs="Times New Roman"/>
          <w:color w:val="000000" w:themeColor="text1"/>
          <w:sz w:val="28"/>
          <w:szCs w:val="28"/>
        </w:rPr>
        <w:t>no existen riesgos que sean inherentes a esta forma de uso de las sustancias psicoactivas. Estas razones ya fueron expuestas anteriormente. Por este motivo, la Sala Plena se limitará a referir, de manera sucinta, los fundamentos más relevantes de tales afi</w:t>
      </w:r>
      <w:r w:rsidRPr="005D36F1">
        <w:rPr>
          <w:rFonts w:ascii="Times New Roman" w:hAnsi="Times New Roman" w:cs="Times New Roman"/>
          <w:color w:val="000000" w:themeColor="text1"/>
          <w:sz w:val="28"/>
          <w:szCs w:val="28"/>
        </w:rPr>
        <w:t xml:space="preserve">rmaciones. </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 xml:space="preserve">Argumentos técnicos que justifican la calificación de la causal. </w:t>
      </w:r>
      <w:r w:rsidRPr="005D36F1">
        <w:rPr>
          <w:rFonts w:ascii="Times New Roman" w:hAnsi="Times New Roman" w:cs="Times New Roman"/>
          <w:color w:val="000000" w:themeColor="text1"/>
          <w:sz w:val="28"/>
          <w:szCs w:val="28"/>
        </w:rPr>
        <w:t>Las instituciones consultadas en el proceso manifestaron que no existe evidencia científica que demuestre un vínculo causal entre el consumo habitual de sustancias psicoactivas y la ejecución de actos de violencia doméstica. Una de ellas declaró que la vio</w:t>
      </w:r>
      <w:r w:rsidRPr="005D36F1">
        <w:rPr>
          <w:rFonts w:ascii="Times New Roman" w:hAnsi="Times New Roman" w:cs="Times New Roman"/>
          <w:color w:val="000000" w:themeColor="text1"/>
          <w:sz w:val="28"/>
          <w:szCs w:val="28"/>
        </w:rPr>
        <w:t xml:space="preserve">lencia intrafamiliar es un fenómeno «multicausal, </w:t>
      </w:r>
      <w:r w:rsidRPr="005D36F1">
        <w:rPr>
          <w:rFonts w:ascii="Times New Roman" w:hAnsi="Times New Roman" w:cs="Times New Roman"/>
          <w:i/>
          <w:iCs/>
          <w:color w:val="000000" w:themeColor="text1"/>
          <w:sz w:val="28"/>
          <w:szCs w:val="28"/>
        </w:rPr>
        <w:t>que puede ocurrir incluso en ausencia del uso de sustancias</w:t>
      </w:r>
      <w:r w:rsidRPr="005D36F1">
        <w:rPr>
          <w:rFonts w:ascii="Times New Roman" w:hAnsi="Times New Roman" w:cs="Times New Roman"/>
          <w:color w:val="000000" w:themeColor="text1"/>
          <w:sz w:val="28"/>
          <w:szCs w:val="28"/>
        </w:rPr>
        <w:t>, [lo que] sugi[ere] que las causas deben buscarse en otros factores»</w:t>
      </w:r>
      <w:r w:rsidRPr="005D36F1">
        <w:rPr>
          <w:rStyle w:val="Refdenotaalpie"/>
          <w:rFonts w:ascii="Times New Roman" w:hAnsi="Times New Roman" w:cs="Times New Roman"/>
          <w:color w:val="000000" w:themeColor="text1"/>
          <w:sz w:val="28"/>
          <w:szCs w:val="28"/>
        </w:rPr>
        <w:footnoteReference w:id="173"/>
      </w:r>
      <w:r w:rsidRPr="005D36F1">
        <w:rPr>
          <w:rFonts w:ascii="Times New Roman" w:hAnsi="Times New Roman" w:cs="Times New Roman"/>
          <w:color w:val="000000" w:themeColor="text1"/>
          <w:sz w:val="28"/>
          <w:szCs w:val="28"/>
        </w:rPr>
        <w:t xml:space="preserve">. Por tal motivo, la instauración de esta causal en el ordenamiento no tiene </w:t>
      </w:r>
      <w:r w:rsidRPr="005D36F1">
        <w:rPr>
          <w:rFonts w:ascii="Times New Roman" w:hAnsi="Times New Roman" w:cs="Times New Roman"/>
          <w:color w:val="000000" w:themeColor="text1"/>
          <w:sz w:val="28"/>
          <w:szCs w:val="28"/>
        </w:rPr>
        <w:t>el efecto de prevenir daños en la integridad o en la salud, física o mental, de los miembros del núcleo familiar. Adicionalmente, las instituciones argumentaron que en la ciencia médica no se ha probado que el consumo habitual haya de conducir, necesariame</w:t>
      </w:r>
      <w:r w:rsidRPr="005D36F1">
        <w:rPr>
          <w:rFonts w:ascii="Times New Roman" w:hAnsi="Times New Roman" w:cs="Times New Roman"/>
          <w:color w:val="000000" w:themeColor="text1"/>
          <w:sz w:val="28"/>
          <w:szCs w:val="28"/>
        </w:rPr>
        <w:t>nte, a otras formas —problemáticas o abusivas— de uso de sustancias psicoactivas</w:t>
      </w:r>
      <w:r w:rsidRPr="005D36F1">
        <w:rPr>
          <w:rStyle w:val="Refdenotaalpie"/>
          <w:rFonts w:ascii="Times New Roman" w:hAnsi="Times New Roman" w:cs="Times New Roman"/>
          <w:color w:val="000000" w:themeColor="text1"/>
          <w:sz w:val="28"/>
          <w:szCs w:val="28"/>
        </w:rPr>
        <w:footnoteReference w:id="174"/>
      </w:r>
      <w:r w:rsidRPr="005D36F1">
        <w:rPr>
          <w:rFonts w:ascii="Times New Roman" w:hAnsi="Times New Roman" w:cs="Times New Roman"/>
          <w:color w:val="000000" w:themeColor="text1"/>
          <w:sz w:val="28"/>
          <w:szCs w:val="28"/>
        </w:rPr>
        <w:t xml:space="preserve">. </w:t>
      </w:r>
    </w:p>
    <w:p w:rsidR="00894FB7" w:rsidRPr="005D36F1" w:rsidRDefault="005D36F1" w:rsidP="00894FB7">
      <w:pPr>
        <w:jc w:val="both"/>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A lo anterior es preciso añadir dos elementos de juicio, que fueron planteados por las instituciones técnicas: primero, esta modalidad de uso de sustancias psicoactivas «n</w:t>
      </w:r>
      <w:r w:rsidRPr="005D36F1">
        <w:rPr>
          <w:rFonts w:ascii="Times New Roman" w:hAnsi="Times New Roman" w:cs="Times New Roman"/>
          <w:color w:val="000000" w:themeColor="text1"/>
          <w:sz w:val="28"/>
          <w:szCs w:val="28"/>
        </w:rPr>
        <w:t>o es considerada disfuncional desde la nosología psiquiátrica vigente, es decir, no son conceptos para considerar psicopatología»</w:t>
      </w:r>
      <w:r w:rsidRPr="005D36F1">
        <w:rPr>
          <w:rStyle w:val="Refdenotaalpie"/>
          <w:rFonts w:ascii="Times New Roman" w:hAnsi="Times New Roman" w:cs="Times New Roman"/>
          <w:color w:val="000000" w:themeColor="text1"/>
          <w:sz w:val="28"/>
        </w:rPr>
        <w:footnoteReference w:id="175"/>
      </w:r>
      <w:r w:rsidRPr="005D36F1">
        <w:rPr>
          <w:rFonts w:ascii="Times New Roman" w:hAnsi="Times New Roman" w:cs="Times New Roman"/>
          <w:color w:val="000000" w:themeColor="text1"/>
          <w:sz w:val="28"/>
          <w:szCs w:val="28"/>
        </w:rPr>
        <w:t>. Segundo, el uso habitual de psicoactivos no conlleva para el consumidor riesgos o daños que, indefectiblemente, habrán de pr</w:t>
      </w:r>
      <w:r w:rsidRPr="005D36F1">
        <w:rPr>
          <w:rFonts w:ascii="Times New Roman" w:hAnsi="Times New Roman" w:cs="Times New Roman"/>
          <w:color w:val="000000" w:themeColor="text1"/>
          <w:sz w:val="28"/>
          <w:szCs w:val="28"/>
        </w:rPr>
        <w:t>esentarse, pues las consecuencias nocivas dependen de factores como el tipo de sustancia que se consume, las características del usuario y las condiciones del entorno que rodea a este último</w:t>
      </w:r>
      <w:r w:rsidRPr="005D36F1">
        <w:rPr>
          <w:rStyle w:val="Refdenotaalpie"/>
          <w:rFonts w:ascii="Times New Roman" w:hAnsi="Times New Roman" w:cs="Times New Roman"/>
          <w:color w:val="000000" w:themeColor="text1"/>
          <w:sz w:val="28"/>
          <w:szCs w:val="28"/>
        </w:rPr>
        <w:footnoteReference w:id="176"/>
      </w:r>
      <w:r w:rsidRPr="005D36F1">
        <w:rPr>
          <w:rFonts w:ascii="Times New Roman" w:hAnsi="Times New Roman" w:cs="Times New Roman"/>
          <w:color w:val="000000" w:themeColor="text1"/>
          <w:sz w:val="28"/>
          <w:szCs w:val="28"/>
        </w:rPr>
        <w:t xml:space="preserve">.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La conjunción de estas razones lleva a concluir que el consum</w:t>
      </w:r>
      <w:r w:rsidRPr="005D36F1">
        <w:rPr>
          <w:rFonts w:ascii="Times New Roman" w:hAnsi="Times New Roman" w:cs="Times New Roman"/>
          <w:color w:val="000000" w:themeColor="text1"/>
          <w:sz w:val="28"/>
          <w:szCs w:val="28"/>
        </w:rPr>
        <w:t xml:space="preserve">o habitual de sustancias psicoactivas, en los estrictos términos empleados en la norma demandada, constituye un </w:t>
      </w:r>
      <w:r w:rsidRPr="005D36F1">
        <w:rPr>
          <w:rFonts w:ascii="Times New Roman" w:hAnsi="Times New Roman" w:cs="Times New Roman"/>
          <w:i/>
          <w:iCs/>
          <w:color w:val="000000" w:themeColor="text1"/>
          <w:sz w:val="28"/>
          <w:szCs w:val="28"/>
        </w:rPr>
        <w:t>comportamiento no interferido</w:t>
      </w:r>
      <w:r w:rsidRPr="005D36F1">
        <w:rPr>
          <w:rFonts w:ascii="Times New Roman" w:hAnsi="Times New Roman" w:cs="Times New Roman"/>
          <w:color w:val="000000" w:themeColor="text1"/>
          <w:sz w:val="28"/>
          <w:szCs w:val="28"/>
        </w:rPr>
        <w:t>. Ello significa que la causal de divorcio se ocupa de una conducta que únicamente causa daño a quien la ejecuta, p</w:t>
      </w:r>
      <w:r w:rsidRPr="005D36F1">
        <w:rPr>
          <w:rFonts w:ascii="Times New Roman" w:hAnsi="Times New Roman" w:cs="Times New Roman"/>
          <w:color w:val="000000" w:themeColor="text1"/>
          <w:sz w:val="28"/>
          <w:szCs w:val="28"/>
        </w:rPr>
        <w:t>or lo que resulta inocua para otros sujetos. De lo anterior se sigue que, en consonancia con el precedente fijado por esta corporación en la Sentencia C-221 de 1994, la posibilidad de llevar a cabo este comportamiento debe quedar, únicamente, en manos de l</w:t>
      </w:r>
      <w:r w:rsidRPr="005D36F1">
        <w:rPr>
          <w:rFonts w:ascii="Times New Roman" w:hAnsi="Times New Roman" w:cs="Times New Roman"/>
          <w:color w:val="000000" w:themeColor="text1"/>
          <w:sz w:val="28"/>
          <w:szCs w:val="28"/>
        </w:rPr>
        <w:t xml:space="preserve">a persona, quien es la dueña de su autonomía y libertad.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Precisión sobre las implicaciones de considerar el consumo habitual como un «comportamiento no interferido»</w:t>
      </w:r>
      <w:r w:rsidRPr="005D36F1">
        <w:rPr>
          <w:rFonts w:ascii="Times New Roman" w:hAnsi="Times New Roman" w:cs="Times New Roman"/>
          <w:color w:val="000000" w:themeColor="text1"/>
          <w:sz w:val="28"/>
          <w:szCs w:val="28"/>
        </w:rPr>
        <w:t>. Para aclarar plenamente el sentido de este argumento, es preciso añadir el siguiente com</w:t>
      </w:r>
      <w:r w:rsidRPr="005D36F1">
        <w:rPr>
          <w:rFonts w:ascii="Times New Roman" w:hAnsi="Times New Roman" w:cs="Times New Roman"/>
          <w:color w:val="000000" w:themeColor="text1"/>
          <w:sz w:val="28"/>
          <w:szCs w:val="28"/>
        </w:rPr>
        <w:t>entario: la conclusión que acaba de exponerse en modo alguno implica que el uso de sustancias psicoactivas pueda considerarse inocua para el consumidor o que en todos los casos el consumo habrá de afectar únicamente a la persona, incluso cuando aquel es pr</w:t>
      </w:r>
      <w:r w:rsidRPr="005D36F1">
        <w:rPr>
          <w:rFonts w:ascii="Times New Roman" w:hAnsi="Times New Roman" w:cs="Times New Roman"/>
          <w:color w:val="000000" w:themeColor="text1"/>
          <w:sz w:val="28"/>
          <w:szCs w:val="28"/>
        </w:rPr>
        <w:t xml:space="preserve">oblemático o abusivo. Los conceptos técnicos remitidos a esta corporación refutan de manera concluyente ambas afirmaciones.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 xml:space="preserve">La conclusión recién planteada, según la cual el consumo habitual de sustancias psicoactivas es un </w:t>
      </w:r>
      <w:r w:rsidRPr="005D36F1">
        <w:rPr>
          <w:rFonts w:ascii="Times New Roman" w:hAnsi="Times New Roman" w:cs="Times New Roman"/>
          <w:i/>
          <w:iCs/>
          <w:color w:val="000000" w:themeColor="text1"/>
          <w:sz w:val="28"/>
          <w:szCs w:val="28"/>
        </w:rPr>
        <w:t>comportamiento no interferido</w:t>
      </w:r>
      <w:r w:rsidRPr="005D36F1">
        <w:rPr>
          <w:rFonts w:ascii="Times New Roman" w:hAnsi="Times New Roman" w:cs="Times New Roman"/>
          <w:color w:val="000000" w:themeColor="text1"/>
          <w:sz w:val="28"/>
          <w:szCs w:val="28"/>
        </w:rPr>
        <w:t xml:space="preserve">, </w:t>
      </w:r>
      <w:r w:rsidRPr="005D36F1">
        <w:rPr>
          <w:rFonts w:ascii="Times New Roman" w:hAnsi="Times New Roman" w:cs="Times New Roman"/>
          <w:color w:val="000000" w:themeColor="text1"/>
          <w:sz w:val="28"/>
          <w:szCs w:val="28"/>
        </w:rPr>
        <w:t xml:space="preserve">se refiere </w:t>
      </w:r>
      <w:r w:rsidRPr="005D36F1">
        <w:rPr>
          <w:rFonts w:ascii="Times New Roman" w:hAnsi="Times New Roman" w:cs="Times New Roman"/>
          <w:i/>
          <w:iCs/>
          <w:color w:val="000000" w:themeColor="text1"/>
          <w:sz w:val="28"/>
          <w:szCs w:val="28"/>
        </w:rPr>
        <w:t xml:space="preserve">exclusivamente </w:t>
      </w:r>
      <w:r w:rsidRPr="005D36F1">
        <w:rPr>
          <w:rFonts w:ascii="Times New Roman" w:hAnsi="Times New Roman" w:cs="Times New Roman"/>
          <w:color w:val="000000" w:themeColor="text1"/>
          <w:sz w:val="28"/>
          <w:szCs w:val="28"/>
        </w:rPr>
        <w:t xml:space="preserve">a la conducta descrita por el Legislador en la norma demandada. Ello quiere decir que únicamente el </w:t>
      </w:r>
      <w:r w:rsidRPr="005D36F1">
        <w:rPr>
          <w:rFonts w:ascii="Times New Roman" w:hAnsi="Times New Roman" w:cs="Times New Roman"/>
          <w:i/>
          <w:iCs/>
          <w:color w:val="000000" w:themeColor="text1"/>
          <w:sz w:val="28"/>
          <w:szCs w:val="28"/>
        </w:rPr>
        <w:t xml:space="preserve">consumo habitual </w:t>
      </w:r>
      <w:r w:rsidRPr="005D36F1">
        <w:rPr>
          <w:rFonts w:ascii="Times New Roman" w:hAnsi="Times New Roman" w:cs="Times New Roman"/>
          <w:color w:val="000000" w:themeColor="text1"/>
          <w:sz w:val="28"/>
          <w:szCs w:val="28"/>
        </w:rPr>
        <w:t xml:space="preserve">puede considerarse como una actuación inocua para terceros. Otras modalidades de consumo, como el problemático o </w:t>
      </w:r>
      <w:r w:rsidRPr="005D36F1">
        <w:rPr>
          <w:rFonts w:ascii="Times New Roman" w:hAnsi="Times New Roman" w:cs="Times New Roman"/>
          <w:color w:val="000000" w:themeColor="text1"/>
          <w:sz w:val="28"/>
          <w:szCs w:val="28"/>
        </w:rPr>
        <w:t>abusivo, son, por definición, nocivas para quienes rodean al consumidor, lo que incluye a su entorno familiar. Normalmente, dichas modalidades acarrean el incumplimiento de obligaciones maritales y parentales, razón por la cual bien pueden dar lugar a la c</w:t>
      </w:r>
      <w:r w:rsidRPr="005D36F1">
        <w:rPr>
          <w:rFonts w:ascii="Times New Roman" w:hAnsi="Times New Roman" w:cs="Times New Roman"/>
          <w:color w:val="000000" w:themeColor="text1"/>
          <w:sz w:val="28"/>
          <w:szCs w:val="28"/>
        </w:rPr>
        <w:t xml:space="preserve">onfiguración de otras causales de divorcio, de índole subjetiva. En cualquier caso, para la Sala Plena es claro que dichas conductas no se enmarcan en el supuesto de hecho de la norma demandada.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Si bien no parece adecuado concebir las modalidades de cons</w:t>
      </w:r>
      <w:r w:rsidRPr="005D36F1">
        <w:rPr>
          <w:rFonts w:ascii="Times New Roman" w:hAnsi="Times New Roman" w:cs="Times New Roman"/>
          <w:color w:val="000000" w:themeColor="text1"/>
          <w:sz w:val="28"/>
          <w:szCs w:val="28"/>
        </w:rPr>
        <w:t xml:space="preserve">umo de sustancias psicoactivas como compartimentos estancos, lo cierto es que la ciencia médica traza una separación conceptual entre el </w:t>
      </w:r>
      <w:r w:rsidRPr="005D36F1">
        <w:rPr>
          <w:rFonts w:ascii="Times New Roman" w:hAnsi="Times New Roman" w:cs="Times New Roman"/>
          <w:i/>
          <w:iCs/>
          <w:color w:val="000000" w:themeColor="text1"/>
          <w:sz w:val="28"/>
          <w:szCs w:val="28"/>
        </w:rPr>
        <w:t xml:space="preserve">consumo habitual </w:t>
      </w:r>
      <w:r w:rsidRPr="005D36F1">
        <w:rPr>
          <w:rFonts w:ascii="Times New Roman" w:hAnsi="Times New Roman" w:cs="Times New Roman"/>
          <w:color w:val="000000" w:themeColor="text1"/>
          <w:sz w:val="28"/>
          <w:szCs w:val="28"/>
        </w:rPr>
        <w:t>y otras modalidades. Las razones recién expuestas permiten concluir que aquellas otras manifestaciones</w:t>
      </w:r>
      <w:r w:rsidRPr="005D36F1">
        <w:rPr>
          <w:rFonts w:ascii="Times New Roman" w:hAnsi="Times New Roman" w:cs="Times New Roman"/>
          <w:color w:val="000000" w:themeColor="text1"/>
          <w:sz w:val="28"/>
          <w:szCs w:val="28"/>
        </w:rPr>
        <w:t xml:space="preserve"> del uso de sustancias psicoactivas —particularmente, las asociadas al uso problemático y abusivo— encuentran una regulación diferente en el ordenamiento, pues en ellas sí se produce una afectación de los derechos de los demás integrantes del grupo familia</w:t>
      </w:r>
      <w:r w:rsidRPr="005D36F1">
        <w:rPr>
          <w:rFonts w:ascii="Times New Roman" w:hAnsi="Times New Roman" w:cs="Times New Roman"/>
          <w:color w:val="000000" w:themeColor="text1"/>
          <w:sz w:val="28"/>
          <w:szCs w:val="28"/>
        </w:rPr>
        <w:t>r. De ahí que tales conductas se enmarquen, según se ha dicho, en otras causales de divorcio de carácter subjetivo. En definitiva, tales causales amparan a la familia en los demás casos, en los cuales el uso de sustancias psicoactivas —por el hecho de no s</w:t>
      </w:r>
      <w:r w:rsidRPr="005D36F1">
        <w:rPr>
          <w:rFonts w:ascii="Times New Roman" w:hAnsi="Times New Roman" w:cs="Times New Roman"/>
          <w:color w:val="000000" w:themeColor="text1"/>
          <w:sz w:val="28"/>
          <w:szCs w:val="28"/>
        </w:rPr>
        <w:t xml:space="preserve">er </w:t>
      </w:r>
      <w:r w:rsidRPr="005D36F1">
        <w:rPr>
          <w:rFonts w:ascii="Times New Roman" w:hAnsi="Times New Roman" w:cs="Times New Roman"/>
          <w:i/>
          <w:iCs/>
          <w:color w:val="000000" w:themeColor="text1"/>
          <w:sz w:val="28"/>
          <w:szCs w:val="28"/>
        </w:rPr>
        <w:t>habitual</w:t>
      </w:r>
      <w:r w:rsidRPr="005D36F1">
        <w:rPr>
          <w:rFonts w:ascii="Times New Roman" w:hAnsi="Times New Roman" w:cs="Times New Roman"/>
          <w:color w:val="000000" w:themeColor="text1"/>
          <w:sz w:val="28"/>
          <w:szCs w:val="28"/>
        </w:rPr>
        <w:t xml:space="preserve">, sino problemático o abusivo— sí infiere daños a sus integrantes. Sus intereses, por lo tanto, no quedan desprotegidos por la ley civil. </w:t>
      </w:r>
    </w:p>
    <w:p w:rsidR="00894FB7" w:rsidRPr="005D36F1" w:rsidRDefault="005D36F1" w:rsidP="00894FB7">
      <w:pPr>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Con arreglo a las consideraciones expuestas en esta providencia, en principio, sería del caso declarar la</w:t>
      </w:r>
      <w:r w:rsidRPr="005D36F1">
        <w:rPr>
          <w:rFonts w:ascii="Times New Roman" w:hAnsi="Times New Roman" w:cs="Times New Roman"/>
          <w:color w:val="000000" w:themeColor="text1"/>
          <w:sz w:val="28"/>
          <w:szCs w:val="28"/>
        </w:rPr>
        <w:t xml:space="preserve"> inconstitucionalidad de la norma. Este tribunal tiene establecido que los «comportamientos que solo conciernen a la persona y que, por ende, no interfieren en la eficacia de derechos de terceros […] son expresiones propias del núcleo esencial del derecho </w:t>
      </w:r>
      <w:r w:rsidRPr="005D36F1">
        <w:rPr>
          <w:rFonts w:ascii="Times New Roman" w:hAnsi="Times New Roman" w:cs="Times New Roman"/>
          <w:color w:val="000000" w:themeColor="text1"/>
          <w:sz w:val="28"/>
          <w:szCs w:val="28"/>
        </w:rPr>
        <w:t>al libre desarrollo de la personalidad y, de manera general, no pueden ser válidamente orientadas o restringidas»</w:t>
      </w:r>
      <w:r w:rsidRPr="005D36F1">
        <w:rPr>
          <w:rStyle w:val="Refdenotaalpie"/>
          <w:rFonts w:ascii="Times New Roman" w:hAnsi="Times New Roman" w:cs="Times New Roman"/>
          <w:color w:val="000000" w:themeColor="text1"/>
          <w:sz w:val="28"/>
          <w:szCs w:val="28"/>
        </w:rPr>
        <w:footnoteReference w:id="177"/>
      </w:r>
      <w:r w:rsidRPr="005D36F1">
        <w:rPr>
          <w:rFonts w:ascii="Times New Roman" w:hAnsi="Times New Roman" w:cs="Times New Roman"/>
          <w:color w:val="000000" w:themeColor="text1"/>
          <w:sz w:val="28"/>
          <w:szCs w:val="28"/>
        </w:rPr>
        <w:t xml:space="preserve">. De tal suerte, en atención a que la causal bajo estudio lesionaría el </w:t>
      </w:r>
      <w:r w:rsidRPr="005D36F1">
        <w:rPr>
          <w:rFonts w:ascii="Times New Roman" w:hAnsi="Times New Roman" w:cs="Times New Roman"/>
          <w:i/>
          <w:iCs/>
          <w:color w:val="000000" w:themeColor="text1"/>
          <w:sz w:val="28"/>
          <w:szCs w:val="28"/>
        </w:rPr>
        <w:t>contenido irreductible</w:t>
      </w:r>
      <w:r w:rsidRPr="005D36F1">
        <w:rPr>
          <w:rFonts w:ascii="Times New Roman" w:hAnsi="Times New Roman" w:cs="Times New Roman"/>
          <w:color w:val="000000" w:themeColor="text1"/>
          <w:sz w:val="28"/>
          <w:szCs w:val="28"/>
        </w:rPr>
        <w:t xml:space="preserve"> del derecho, no sería necesario llevar a cabo u</w:t>
      </w:r>
      <w:r w:rsidRPr="005D36F1">
        <w:rPr>
          <w:rFonts w:ascii="Times New Roman" w:hAnsi="Times New Roman" w:cs="Times New Roman"/>
          <w:color w:val="000000" w:themeColor="text1"/>
          <w:sz w:val="28"/>
          <w:szCs w:val="28"/>
        </w:rPr>
        <w:t xml:space="preserve">n juicio de proporcionalidad de la medida. El hecho de acarrear una vulneración del núcleo esencial del derecho fundamental al libre desarrollo de la personalidad sería una razón suficiente para la emisión de un juicio de inexequibilidad. </w:t>
      </w:r>
    </w:p>
    <w:p w:rsidR="00894FB7" w:rsidRPr="005D36F1" w:rsidRDefault="005D36F1" w:rsidP="00894FB7">
      <w:pPr>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Deben tenerse e</w:t>
      </w:r>
      <w:r w:rsidRPr="005D36F1">
        <w:rPr>
          <w:rFonts w:ascii="Times New Roman" w:hAnsi="Times New Roman" w:cs="Times New Roman"/>
          <w:i/>
          <w:iCs/>
          <w:color w:val="000000" w:themeColor="text1"/>
          <w:sz w:val="28"/>
          <w:szCs w:val="28"/>
        </w:rPr>
        <w:t>n cuenta los efectos de la conducta sobre el cónyuge no consumidor</w:t>
      </w:r>
      <w:r w:rsidRPr="005D36F1">
        <w:rPr>
          <w:rFonts w:ascii="Times New Roman" w:hAnsi="Times New Roman" w:cs="Times New Roman"/>
          <w:color w:val="000000" w:themeColor="text1"/>
          <w:sz w:val="28"/>
          <w:szCs w:val="28"/>
        </w:rPr>
        <w:t>. Sin embargo, esta solución soslaya que la norma tiene como propósito satisfacer otro derecho fundamental: el derecho al libre desarrollo de la personalidad del cónyuge no consumidor que en</w:t>
      </w:r>
      <w:r w:rsidRPr="005D36F1">
        <w:rPr>
          <w:rFonts w:ascii="Times New Roman" w:hAnsi="Times New Roman" w:cs="Times New Roman"/>
          <w:color w:val="000000" w:themeColor="text1"/>
          <w:sz w:val="28"/>
          <w:szCs w:val="28"/>
        </w:rPr>
        <w:t>cuentra incompatible esta conducta con su plan de vida en pareja. Ignorar esta circunstancia implicaría imponer a dicho cónyuge la desproporcionada carga de mantener un vínculo matrimonial que no desea y que causa mella en sus convicciones personales. En r</w:t>
      </w:r>
      <w:r w:rsidRPr="005D36F1">
        <w:rPr>
          <w:rFonts w:ascii="Times New Roman" w:hAnsi="Times New Roman" w:cs="Times New Roman"/>
          <w:color w:val="000000" w:themeColor="text1"/>
          <w:sz w:val="28"/>
          <w:szCs w:val="28"/>
        </w:rPr>
        <w:t xml:space="preserve">azón de lo anterior, resulta forzoso descartar dicha solución, pues resulta contraria a los derechos fundamentales a la dignidad humana —precisamente, en su dimensión de </w:t>
      </w:r>
      <w:r w:rsidRPr="005D36F1">
        <w:rPr>
          <w:rFonts w:ascii="Times New Roman" w:hAnsi="Times New Roman" w:cs="Times New Roman"/>
          <w:i/>
          <w:iCs/>
          <w:color w:val="000000" w:themeColor="text1"/>
          <w:sz w:val="28"/>
          <w:szCs w:val="28"/>
        </w:rPr>
        <w:t>vivir como se quiere</w:t>
      </w:r>
      <w:r w:rsidRPr="005D36F1">
        <w:rPr>
          <w:rFonts w:ascii="Times New Roman" w:hAnsi="Times New Roman" w:cs="Times New Roman"/>
          <w:color w:val="000000" w:themeColor="text1"/>
          <w:sz w:val="28"/>
          <w:szCs w:val="28"/>
        </w:rPr>
        <w:t>— y al libre desarrollo de la personalidad del cónyuge no consumid</w:t>
      </w:r>
      <w:r w:rsidRPr="005D36F1">
        <w:rPr>
          <w:rFonts w:ascii="Times New Roman" w:hAnsi="Times New Roman" w:cs="Times New Roman"/>
          <w:color w:val="000000" w:themeColor="text1"/>
          <w:sz w:val="28"/>
          <w:szCs w:val="28"/>
        </w:rPr>
        <w:t>or.</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 xml:space="preserve">Procedencia de la realización del ejercicio de armonización concreta. </w:t>
      </w:r>
      <w:r w:rsidRPr="005D36F1">
        <w:rPr>
          <w:rFonts w:ascii="Times New Roman" w:hAnsi="Times New Roman" w:cs="Times New Roman"/>
          <w:color w:val="000000" w:themeColor="text1"/>
          <w:sz w:val="28"/>
          <w:szCs w:val="28"/>
        </w:rPr>
        <w:t>En estas condiciones, la Sala Plena encuentra necesario efectuar un ejercicio de armonización concreta entre los derechos fundamentales enfrentados. De este modo, procurará discerni</w:t>
      </w:r>
      <w:r w:rsidRPr="005D36F1">
        <w:rPr>
          <w:rFonts w:ascii="Times New Roman" w:hAnsi="Times New Roman" w:cs="Times New Roman"/>
          <w:color w:val="000000" w:themeColor="text1"/>
          <w:sz w:val="28"/>
          <w:szCs w:val="28"/>
        </w:rPr>
        <w:t>r una solución jurídica que conlleve la máxima satisfacción posible de las reclamaciones planteadas de manera antagónica: por un lado, la reivindicación de la libertad personal del cónyuge no consumidor, dirigida a disolver sin impedimentos el vínculo matr</w:t>
      </w:r>
      <w:r w:rsidRPr="005D36F1">
        <w:rPr>
          <w:rFonts w:ascii="Times New Roman" w:hAnsi="Times New Roman" w:cs="Times New Roman"/>
          <w:color w:val="000000" w:themeColor="text1"/>
          <w:sz w:val="28"/>
          <w:szCs w:val="28"/>
        </w:rPr>
        <w:t xml:space="preserve">imonial; y, por el otro, la reclamación del cónyuge consumidor, quien desea persistir en la conducta descrita en la norma, sin que ello implique la imposición de consecuencias perjudiciales.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 xml:space="preserve">Modificación de la índole jurídica de la causal demandada. </w:t>
      </w:r>
      <w:r w:rsidRPr="005D36F1">
        <w:rPr>
          <w:rFonts w:ascii="Times New Roman" w:hAnsi="Times New Roman" w:cs="Times New Roman"/>
          <w:color w:val="000000" w:themeColor="text1"/>
          <w:sz w:val="28"/>
          <w:szCs w:val="28"/>
        </w:rPr>
        <w:t>Como</w:t>
      </w:r>
      <w:r w:rsidRPr="005D36F1">
        <w:rPr>
          <w:rFonts w:ascii="Times New Roman" w:hAnsi="Times New Roman" w:cs="Times New Roman"/>
          <w:color w:val="000000" w:themeColor="text1"/>
          <w:sz w:val="28"/>
          <w:szCs w:val="28"/>
        </w:rPr>
        <w:t xml:space="preserve"> ocurrió en la Sentencia C-246 de 2002, anteriormente referida, la solución se encuentra en la variación de los efectos jurídicos de la causal de divorcio. En criterio del plenario, la conciliación de las reivindicaciones contrapuestas se consigue mantenie</w:t>
      </w:r>
      <w:r w:rsidRPr="005D36F1">
        <w:rPr>
          <w:rFonts w:ascii="Times New Roman" w:hAnsi="Times New Roman" w:cs="Times New Roman"/>
          <w:color w:val="000000" w:themeColor="text1"/>
          <w:sz w:val="28"/>
          <w:szCs w:val="28"/>
        </w:rPr>
        <w:t xml:space="preserve">ndo la causal en el ordenamiento, pero modificando las consecuencias jurídicas patrimoniales previstas por el Legislador. De esta manera, las legítimas expectativas de ejercer el mayor grado de libertad personal, por parte de cada uno de los contrayentes, </w:t>
      </w:r>
      <w:r w:rsidRPr="005D36F1">
        <w:rPr>
          <w:rFonts w:ascii="Times New Roman" w:hAnsi="Times New Roman" w:cs="Times New Roman"/>
          <w:color w:val="000000" w:themeColor="text1"/>
          <w:sz w:val="28"/>
          <w:szCs w:val="28"/>
        </w:rPr>
        <w:t>resultan satisfechas. A continuación se analizan los pormenores de esta solución.</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Para empezar, debe mencionarse la conservación de la causal de divorcio en el ordenamiento. A juicio de la Sala Plena, el mantenimiento de esta facultad resulta imprescindib</w:t>
      </w:r>
      <w:r w:rsidRPr="005D36F1">
        <w:rPr>
          <w:rFonts w:ascii="Times New Roman" w:hAnsi="Times New Roman" w:cs="Times New Roman"/>
          <w:color w:val="000000" w:themeColor="text1"/>
          <w:sz w:val="28"/>
          <w:szCs w:val="28"/>
        </w:rPr>
        <w:t xml:space="preserve">le, a fin de salvaguardar el derecho al libre desarrollo de la personalidad del cónyuge no consumidor. Anteriormente, se indicó que </w:t>
      </w:r>
      <w:r w:rsidRPr="005D36F1">
        <w:rPr>
          <w:rFonts w:ascii="Times New Roman" w:hAnsi="Times New Roman" w:cs="Times New Roman"/>
          <w:i/>
          <w:iCs/>
          <w:color w:val="000000" w:themeColor="text1"/>
          <w:sz w:val="28"/>
          <w:szCs w:val="28"/>
        </w:rPr>
        <w:t>el libre consentimiento</w:t>
      </w:r>
      <w:r w:rsidRPr="005D36F1">
        <w:rPr>
          <w:rFonts w:ascii="Times New Roman" w:hAnsi="Times New Roman" w:cs="Times New Roman"/>
          <w:color w:val="000000" w:themeColor="text1"/>
          <w:sz w:val="28"/>
          <w:szCs w:val="28"/>
        </w:rPr>
        <w:t xml:space="preserve"> —categoría que constituye una manifestación del derecho a la libertad personal— es un elemento «cons</w:t>
      </w:r>
      <w:r w:rsidRPr="005D36F1">
        <w:rPr>
          <w:rFonts w:ascii="Times New Roman" w:hAnsi="Times New Roman" w:cs="Times New Roman"/>
          <w:color w:val="000000" w:themeColor="text1"/>
          <w:sz w:val="28"/>
          <w:szCs w:val="28"/>
        </w:rPr>
        <w:t>ustancial al contrato matrimonial»</w:t>
      </w:r>
      <w:r w:rsidRPr="005D36F1">
        <w:rPr>
          <w:rStyle w:val="Refdenotaalpie"/>
          <w:rFonts w:ascii="Times New Roman" w:hAnsi="Times New Roman" w:cs="Times New Roman"/>
          <w:color w:val="000000" w:themeColor="text1"/>
          <w:sz w:val="28"/>
          <w:szCs w:val="28"/>
        </w:rPr>
        <w:footnoteReference w:id="178"/>
      </w:r>
      <w:r w:rsidRPr="005D36F1">
        <w:rPr>
          <w:rFonts w:ascii="Times New Roman" w:hAnsi="Times New Roman" w:cs="Times New Roman"/>
          <w:color w:val="000000" w:themeColor="text1"/>
          <w:sz w:val="28"/>
          <w:szCs w:val="28"/>
        </w:rPr>
        <w:t>. Se destacó, igualmente, que su presencia en el ámbito civil implica que «no es posible coaccionar a las personas para contraer matrimonio, […] [así como] tampoco cabe obligarlas a mantener vigente el vínculo en contra d</w:t>
      </w:r>
      <w:r w:rsidRPr="005D36F1">
        <w:rPr>
          <w:rFonts w:ascii="Times New Roman" w:hAnsi="Times New Roman" w:cs="Times New Roman"/>
          <w:color w:val="000000" w:themeColor="text1"/>
          <w:sz w:val="28"/>
          <w:szCs w:val="28"/>
        </w:rPr>
        <w:t>e su voluntad, aun cuando una de las finalidades del matrimonio sea precisamente la convivencia»</w:t>
      </w:r>
      <w:r w:rsidRPr="005D36F1">
        <w:rPr>
          <w:rStyle w:val="Refdenotaalpie"/>
          <w:rFonts w:ascii="Times New Roman" w:hAnsi="Times New Roman" w:cs="Times New Roman"/>
          <w:color w:val="000000" w:themeColor="text1"/>
          <w:sz w:val="28"/>
          <w:szCs w:val="28"/>
        </w:rPr>
        <w:footnoteReference w:id="179"/>
      </w:r>
      <w:r w:rsidRPr="005D36F1">
        <w:rPr>
          <w:rFonts w:ascii="Times New Roman" w:hAnsi="Times New Roman" w:cs="Times New Roman"/>
          <w:color w:val="000000" w:themeColor="text1"/>
          <w:sz w:val="28"/>
          <w:szCs w:val="28"/>
        </w:rPr>
        <w:t xml:space="preserve">.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 xml:space="preserve">Desde la perspectiva del cónyuge no consumidor, el divorcio es necesario y se encuentra plenamente justificado por cuanto, a su juicio, el comportamiento </w:t>
      </w:r>
      <w:r w:rsidRPr="005D36F1">
        <w:rPr>
          <w:rFonts w:ascii="Times New Roman" w:hAnsi="Times New Roman" w:cs="Times New Roman"/>
          <w:color w:val="000000" w:themeColor="text1"/>
          <w:sz w:val="28"/>
          <w:szCs w:val="28"/>
        </w:rPr>
        <w:t xml:space="preserve">de su pareja resulta inaceptable, desde un plano ético y emocional. Si bien —de acuerdo con las categorías del derecho— no le causa </w:t>
      </w:r>
      <w:r w:rsidRPr="005D36F1">
        <w:rPr>
          <w:rFonts w:ascii="Times New Roman" w:hAnsi="Times New Roman" w:cs="Times New Roman"/>
          <w:i/>
          <w:iCs/>
          <w:color w:val="000000" w:themeColor="text1"/>
          <w:sz w:val="28"/>
          <w:szCs w:val="28"/>
        </w:rPr>
        <w:t xml:space="preserve">daño </w:t>
      </w:r>
      <w:r w:rsidRPr="005D36F1">
        <w:rPr>
          <w:rFonts w:ascii="Times New Roman" w:hAnsi="Times New Roman" w:cs="Times New Roman"/>
          <w:color w:val="000000" w:themeColor="text1"/>
          <w:sz w:val="28"/>
          <w:szCs w:val="28"/>
        </w:rPr>
        <w:t xml:space="preserve">alguno, es una práctica incompatible con sus convicciones personales, lo que causa una fisura </w:t>
      </w:r>
      <w:r w:rsidRPr="005D36F1">
        <w:rPr>
          <w:rFonts w:ascii="Times New Roman" w:hAnsi="Times New Roman" w:cs="Times New Roman"/>
          <w:color w:val="000000" w:themeColor="text1"/>
          <w:sz w:val="28"/>
          <w:szCs w:val="28"/>
        </w:rPr>
        <w:t>irreparable</w:t>
      </w:r>
      <w:r w:rsidRPr="005D36F1">
        <w:rPr>
          <w:rFonts w:ascii="Times New Roman" w:hAnsi="Times New Roman" w:cs="Times New Roman"/>
          <w:color w:val="000000" w:themeColor="text1"/>
          <w:sz w:val="28"/>
          <w:szCs w:val="28"/>
        </w:rPr>
        <w:t xml:space="preserve"> en el proyect</w:t>
      </w:r>
      <w:r w:rsidRPr="005D36F1">
        <w:rPr>
          <w:rFonts w:ascii="Times New Roman" w:hAnsi="Times New Roman" w:cs="Times New Roman"/>
          <w:color w:val="000000" w:themeColor="text1"/>
          <w:sz w:val="28"/>
          <w:szCs w:val="28"/>
        </w:rPr>
        <w:t xml:space="preserve">o de vida familiar. </w:t>
      </w:r>
    </w:p>
    <w:p w:rsidR="00894FB7" w:rsidRPr="005D36F1" w:rsidRDefault="005D36F1" w:rsidP="00894FB7">
      <w:pPr>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En esta particular situación, la ley civil le permite a aquel reclamar la ruptura del lazo matrimonial que lo une con el cónyuge consumidor. Esta solución es coherente con los principios superiores que rigen el matrimonio, pues «en vi</w:t>
      </w:r>
      <w:r w:rsidRPr="005D36F1">
        <w:rPr>
          <w:rFonts w:ascii="Times New Roman" w:hAnsi="Times New Roman" w:cs="Times New Roman"/>
          <w:color w:val="000000" w:themeColor="text1"/>
          <w:sz w:val="28"/>
          <w:szCs w:val="28"/>
        </w:rPr>
        <w:t>rtud de derechos como el libre desarrollo de la personalidad, la intimidad y la dignidad, especialmente en su faceta de autodeterminación […], la Constitución proscribe cualquier tipo de coacción que obligue a los cónyuges a permanecer juntos o prolongar u</w:t>
      </w:r>
      <w:r w:rsidRPr="005D36F1">
        <w:rPr>
          <w:rFonts w:ascii="Times New Roman" w:hAnsi="Times New Roman" w:cs="Times New Roman"/>
          <w:color w:val="000000" w:themeColor="text1"/>
          <w:sz w:val="28"/>
          <w:szCs w:val="28"/>
        </w:rPr>
        <w:t>na convivencia que es contraria a sus intereses e integridad»</w:t>
      </w:r>
      <w:r w:rsidRPr="005D36F1">
        <w:rPr>
          <w:rStyle w:val="Refdenotaalpie"/>
          <w:rFonts w:ascii="Times New Roman" w:hAnsi="Times New Roman" w:cs="Times New Roman"/>
          <w:color w:val="000000" w:themeColor="text1"/>
          <w:sz w:val="28"/>
          <w:szCs w:val="28"/>
        </w:rPr>
        <w:footnoteReference w:id="180"/>
      </w:r>
      <w:r w:rsidRPr="005D36F1">
        <w:rPr>
          <w:rFonts w:ascii="Times New Roman" w:hAnsi="Times New Roman" w:cs="Times New Roman"/>
          <w:color w:val="000000" w:themeColor="text1"/>
          <w:sz w:val="28"/>
          <w:szCs w:val="28"/>
        </w:rPr>
        <w:t xml:space="preserve">. Por tanto, la posibilidad de reclamar el divorcio es, en este caso, un imperativo constitucional. </w:t>
      </w:r>
    </w:p>
    <w:p w:rsidR="00894FB7" w:rsidRPr="005D36F1" w:rsidRDefault="005D36F1" w:rsidP="00894FB7">
      <w:pPr>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 xml:space="preserve">Inconstitucionalidad de las consecuencias patrimoniales atribuidas por el Legislador a la causal demandada. </w:t>
      </w:r>
      <w:r w:rsidRPr="005D36F1">
        <w:rPr>
          <w:rFonts w:ascii="Times New Roman" w:hAnsi="Times New Roman" w:cs="Times New Roman"/>
          <w:color w:val="000000" w:themeColor="text1"/>
          <w:sz w:val="28"/>
          <w:szCs w:val="28"/>
        </w:rPr>
        <w:t>Cosa distinta ocurre con las consecuencias patrimoniales, que, en aplicación de la norma civil, corresponden a esta causal debido a su índole subjet</w:t>
      </w:r>
      <w:r w:rsidRPr="005D36F1">
        <w:rPr>
          <w:rFonts w:ascii="Times New Roman" w:hAnsi="Times New Roman" w:cs="Times New Roman"/>
          <w:color w:val="000000" w:themeColor="text1"/>
          <w:sz w:val="28"/>
          <w:szCs w:val="28"/>
        </w:rPr>
        <w:t>iva. Para la Sala Plena es evidente que su imposición implica una violación de los derechos fundamentales al libre desarrollo de la personalidad y de la dignidad humana del cónyuge consumidor. Por tal motivo, son el principal obstáculo para la armonización</w:t>
      </w:r>
      <w:r w:rsidRPr="005D36F1">
        <w:rPr>
          <w:rFonts w:ascii="Times New Roman" w:hAnsi="Times New Roman" w:cs="Times New Roman"/>
          <w:color w:val="000000" w:themeColor="text1"/>
          <w:sz w:val="28"/>
          <w:szCs w:val="28"/>
        </w:rPr>
        <w:t xml:space="preserve"> de los derechos que se encuentran en oposición en la norma demandada.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 xml:space="preserve">Juicio de proporcionalidad de intensidad estricta. </w:t>
      </w:r>
      <w:r w:rsidRPr="005D36F1">
        <w:rPr>
          <w:rFonts w:ascii="Times New Roman" w:hAnsi="Times New Roman" w:cs="Times New Roman"/>
          <w:color w:val="000000" w:themeColor="text1"/>
          <w:sz w:val="28"/>
          <w:szCs w:val="28"/>
        </w:rPr>
        <w:t>La Sala Plena arriba a la anterior conclusión con base en el juicio de proporcionalidad de intensidad estricta, que ha de utilizarse</w:t>
      </w:r>
      <w:r w:rsidRPr="005D36F1">
        <w:rPr>
          <w:rFonts w:ascii="Times New Roman" w:hAnsi="Times New Roman" w:cs="Times New Roman"/>
          <w:color w:val="000000" w:themeColor="text1"/>
          <w:sz w:val="28"/>
          <w:szCs w:val="28"/>
        </w:rPr>
        <w:t xml:space="preserve"> para evaluar la constitucionalidad de la medida. Este rasero es el criterio que ha de emplearse en esta oportunidad por cuanto las aludidas consecuencias patrimoniales «impacta[n] gravemente un derecho fundamental»</w:t>
      </w:r>
      <w:r w:rsidRPr="005D36F1">
        <w:rPr>
          <w:rStyle w:val="Refdenotaalpie"/>
          <w:rFonts w:ascii="Times New Roman" w:hAnsi="Times New Roman" w:cs="Times New Roman"/>
          <w:color w:val="000000" w:themeColor="text1"/>
          <w:sz w:val="28"/>
          <w:szCs w:val="28"/>
        </w:rPr>
        <w:footnoteReference w:id="181"/>
      </w:r>
      <w:r w:rsidRPr="005D36F1">
        <w:rPr>
          <w:rFonts w:ascii="Times New Roman" w:hAnsi="Times New Roman" w:cs="Times New Roman"/>
          <w:color w:val="000000" w:themeColor="text1"/>
          <w:sz w:val="28"/>
          <w:szCs w:val="28"/>
        </w:rPr>
        <w:t xml:space="preserve">. El </w:t>
      </w:r>
      <w:r w:rsidRPr="005D36F1">
        <w:rPr>
          <w:rFonts w:ascii="Times New Roman" w:hAnsi="Times New Roman" w:cs="Times New Roman"/>
          <w:i/>
          <w:iCs/>
          <w:color w:val="000000" w:themeColor="text1"/>
          <w:sz w:val="28"/>
          <w:szCs w:val="28"/>
        </w:rPr>
        <w:t>impacto grave —</w:t>
      </w:r>
      <w:r w:rsidRPr="005D36F1">
        <w:rPr>
          <w:rFonts w:ascii="Times New Roman" w:hAnsi="Times New Roman" w:cs="Times New Roman"/>
          <w:color w:val="000000" w:themeColor="text1"/>
          <w:sz w:val="28"/>
          <w:szCs w:val="28"/>
        </w:rPr>
        <w:t>categoría decisiva p</w:t>
      </w:r>
      <w:r w:rsidRPr="005D36F1">
        <w:rPr>
          <w:rFonts w:ascii="Times New Roman" w:hAnsi="Times New Roman" w:cs="Times New Roman"/>
          <w:color w:val="000000" w:themeColor="text1"/>
          <w:sz w:val="28"/>
          <w:szCs w:val="28"/>
        </w:rPr>
        <w:t>ara la aplicación de dicho test, de acuerdo con el precedente establecido en la Sentencia C-345 de 2019</w:t>
      </w:r>
      <w:r w:rsidRPr="005D36F1">
        <w:rPr>
          <w:rFonts w:ascii="Times New Roman" w:hAnsi="Times New Roman" w:cs="Times New Roman"/>
          <w:i/>
          <w:iCs/>
          <w:color w:val="000000" w:themeColor="text1"/>
          <w:sz w:val="28"/>
          <w:szCs w:val="28"/>
        </w:rPr>
        <w:t xml:space="preserve">— </w:t>
      </w:r>
      <w:r w:rsidRPr="005D36F1">
        <w:rPr>
          <w:rFonts w:ascii="Times New Roman" w:hAnsi="Times New Roman" w:cs="Times New Roman"/>
          <w:color w:val="000000" w:themeColor="text1"/>
          <w:sz w:val="28"/>
          <w:szCs w:val="28"/>
        </w:rPr>
        <w:t xml:space="preserve">se explica debido a que dichas consecuencias han sido previstas por el Legislador pese a que el supuesto de hecho que da lugar a su aplicación es un </w:t>
      </w:r>
      <w:r w:rsidRPr="005D36F1">
        <w:rPr>
          <w:rFonts w:ascii="Times New Roman" w:hAnsi="Times New Roman" w:cs="Times New Roman"/>
          <w:i/>
          <w:iCs/>
          <w:color w:val="000000" w:themeColor="text1"/>
          <w:sz w:val="28"/>
          <w:szCs w:val="28"/>
        </w:rPr>
        <w:t>co</w:t>
      </w:r>
      <w:r w:rsidRPr="005D36F1">
        <w:rPr>
          <w:rFonts w:ascii="Times New Roman" w:hAnsi="Times New Roman" w:cs="Times New Roman"/>
          <w:i/>
          <w:iCs/>
          <w:color w:val="000000" w:themeColor="text1"/>
          <w:sz w:val="28"/>
          <w:szCs w:val="28"/>
        </w:rPr>
        <w:t>mportamiento no interferido</w:t>
      </w:r>
      <w:r w:rsidRPr="005D36F1">
        <w:rPr>
          <w:rFonts w:ascii="Times New Roman" w:hAnsi="Times New Roman" w:cs="Times New Roman"/>
          <w:color w:val="000000" w:themeColor="text1"/>
          <w:sz w:val="28"/>
          <w:szCs w:val="28"/>
        </w:rPr>
        <w:t xml:space="preserve">. El hecho de que en este ámbito de la libertad individual no deban existir injerencias de ninguna clase demuestra que las normas ejercen un impacto de este tipo sobre el derecho al libre desarrollo de la personalidad.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En el ma</w:t>
      </w:r>
      <w:r w:rsidRPr="005D36F1">
        <w:rPr>
          <w:rFonts w:ascii="Times New Roman" w:hAnsi="Times New Roman" w:cs="Times New Roman"/>
          <w:color w:val="000000" w:themeColor="text1"/>
          <w:sz w:val="28"/>
          <w:szCs w:val="28"/>
        </w:rPr>
        <w:t>rco de esta valoración, la Sala Plena se encuentra llamada evaluar el cumplimiento de los siguientes requisitos</w:t>
      </w:r>
      <w:r w:rsidRPr="005D36F1">
        <w:rPr>
          <w:rStyle w:val="Refdenotaalpie"/>
          <w:rFonts w:ascii="Times New Roman" w:hAnsi="Times New Roman" w:cs="Times New Roman"/>
          <w:color w:val="000000" w:themeColor="text1"/>
          <w:sz w:val="28"/>
          <w:szCs w:val="28"/>
        </w:rPr>
        <w:footnoteReference w:id="182"/>
      </w:r>
      <w:r w:rsidRPr="005D36F1">
        <w:rPr>
          <w:rFonts w:ascii="Times New Roman" w:hAnsi="Times New Roman" w:cs="Times New Roman"/>
          <w:color w:val="000000" w:themeColor="text1"/>
          <w:sz w:val="28"/>
          <w:szCs w:val="28"/>
        </w:rPr>
        <w:t xml:space="preserve">: </w:t>
      </w:r>
      <w:r w:rsidRPr="005D36F1">
        <w:rPr>
          <w:rFonts w:ascii="Times New Roman" w:hAnsi="Times New Roman" w:cs="Times New Roman"/>
          <w:i/>
          <w:iCs/>
          <w:color w:val="000000" w:themeColor="text1"/>
          <w:sz w:val="28"/>
          <w:szCs w:val="28"/>
        </w:rPr>
        <w:t xml:space="preserve">i) </w:t>
      </w:r>
      <w:r w:rsidRPr="005D36F1">
        <w:rPr>
          <w:rFonts w:ascii="Times New Roman" w:hAnsi="Times New Roman" w:cs="Times New Roman"/>
          <w:color w:val="000000" w:themeColor="text1"/>
          <w:sz w:val="28"/>
          <w:szCs w:val="28"/>
        </w:rPr>
        <w:t xml:space="preserve">la procura de un fin constitucional imperioso; </w:t>
      </w:r>
      <w:r w:rsidRPr="005D36F1">
        <w:rPr>
          <w:rFonts w:ascii="Times New Roman" w:hAnsi="Times New Roman" w:cs="Times New Roman"/>
          <w:i/>
          <w:iCs/>
          <w:color w:val="000000" w:themeColor="text1"/>
          <w:sz w:val="28"/>
          <w:szCs w:val="28"/>
        </w:rPr>
        <w:t xml:space="preserve">ii) </w:t>
      </w:r>
      <w:r w:rsidRPr="005D36F1">
        <w:rPr>
          <w:rFonts w:ascii="Times New Roman" w:hAnsi="Times New Roman" w:cs="Times New Roman"/>
          <w:color w:val="000000" w:themeColor="text1"/>
          <w:sz w:val="28"/>
          <w:szCs w:val="28"/>
        </w:rPr>
        <w:t xml:space="preserve">la existencia de un medio efectivamente conducente para la consecución de dicho fin, que, además, no pueda ser remplazado por otro menos lesivo del derecho al libre desarrollo de la personalidad; y </w:t>
      </w:r>
      <w:r w:rsidRPr="005D36F1">
        <w:rPr>
          <w:rFonts w:ascii="Times New Roman" w:hAnsi="Times New Roman" w:cs="Times New Roman"/>
          <w:i/>
          <w:iCs/>
          <w:color w:val="000000" w:themeColor="text1"/>
          <w:sz w:val="28"/>
          <w:szCs w:val="28"/>
        </w:rPr>
        <w:t xml:space="preserve">iii) </w:t>
      </w:r>
      <w:r w:rsidRPr="005D36F1">
        <w:rPr>
          <w:rFonts w:ascii="Times New Roman" w:hAnsi="Times New Roman" w:cs="Times New Roman"/>
          <w:color w:val="000000" w:themeColor="text1"/>
          <w:sz w:val="28"/>
          <w:szCs w:val="28"/>
        </w:rPr>
        <w:t>la comprobación de que los beneficios de la medida se</w:t>
      </w:r>
      <w:r w:rsidRPr="005D36F1">
        <w:rPr>
          <w:rFonts w:ascii="Times New Roman" w:hAnsi="Times New Roman" w:cs="Times New Roman"/>
          <w:color w:val="000000" w:themeColor="text1"/>
          <w:sz w:val="28"/>
          <w:szCs w:val="28"/>
        </w:rPr>
        <w:t xml:space="preserve">an superiores al grado de restricción de los otros principios constitucionales comprometidos.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 xml:space="preserve">La medida no procura un fin constitucional imperioso. </w:t>
      </w:r>
      <w:r w:rsidRPr="005D36F1">
        <w:rPr>
          <w:rFonts w:ascii="Times New Roman" w:hAnsi="Times New Roman" w:cs="Times New Roman"/>
          <w:color w:val="000000" w:themeColor="text1"/>
          <w:sz w:val="28"/>
          <w:szCs w:val="28"/>
        </w:rPr>
        <w:t>Para la Sala Plena, es evidente que la medida no persigue un fin constitucionalmente imperioso. El anális</w:t>
      </w:r>
      <w:r w:rsidRPr="005D36F1">
        <w:rPr>
          <w:rFonts w:ascii="Times New Roman" w:hAnsi="Times New Roman" w:cs="Times New Roman"/>
          <w:color w:val="000000" w:themeColor="text1"/>
          <w:sz w:val="28"/>
          <w:szCs w:val="28"/>
        </w:rPr>
        <w:t xml:space="preserve">is realizado en precedencia demuestra que la imposición de estas consecuencias se justifica —respecto de las demás causales subjetivas— en la circunstancia de que el </w:t>
      </w:r>
      <w:r w:rsidRPr="005D36F1">
        <w:rPr>
          <w:rFonts w:ascii="Times New Roman" w:hAnsi="Times New Roman" w:cs="Times New Roman"/>
          <w:i/>
          <w:iCs/>
          <w:color w:val="000000" w:themeColor="text1"/>
          <w:sz w:val="28"/>
          <w:szCs w:val="28"/>
        </w:rPr>
        <w:t xml:space="preserve">cónyuge culpable </w:t>
      </w:r>
      <w:r w:rsidRPr="005D36F1">
        <w:rPr>
          <w:rFonts w:ascii="Times New Roman" w:hAnsi="Times New Roman" w:cs="Times New Roman"/>
          <w:color w:val="000000" w:themeColor="text1"/>
          <w:sz w:val="28"/>
          <w:szCs w:val="28"/>
        </w:rPr>
        <w:t>ha incumplido sus obligaciones conyugales o parentales. Desde la perspect</w:t>
      </w:r>
      <w:r w:rsidRPr="005D36F1">
        <w:rPr>
          <w:rFonts w:ascii="Times New Roman" w:hAnsi="Times New Roman" w:cs="Times New Roman"/>
          <w:color w:val="000000" w:themeColor="text1"/>
          <w:sz w:val="28"/>
          <w:szCs w:val="28"/>
        </w:rPr>
        <w:t xml:space="preserve">iva constitucional, lo anterior implica que el cónyuge ha violado el compromiso de solidaridad, amor, armonía y unidad que, según el artículo 42 superior, cimienta a la institución familiar.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De lo anterior se sigue que la aplicación de estas consecuencia</w:t>
      </w:r>
      <w:r w:rsidRPr="005D36F1">
        <w:rPr>
          <w:rFonts w:ascii="Times New Roman" w:hAnsi="Times New Roman" w:cs="Times New Roman"/>
          <w:color w:val="000000" w:themeColor="text1"/>
          <w:sz w:val="28"/>
          <w:szCs w:val="28"/>
        </w:rPr>
        <w:t xml:space="preserve">s cuando el cónyuge no ha deshonrado este compromiso, que es lo que ocurre cuando aquel efectúa un </w:t>
      </w:r>
      <w:r w:rsidRPr="005D36F1">
        <w:rPr>
          <w:rFonts w:ascii="Times New Roman" w:hAnsi="Times New Roman" w:cs="Times New Roman"/>
          <w:i/>
          <w:iCs/>
          <w:color w:val="000000" w:themeColor="text1"/>
          <w:sz w:val="28"/>
          <w:szCs w:val="28"/>
        </w:rPr>
        <w:t>comportamiento no interferido</w:t>
      </w:r>
      <w:r w:rsidRPr="005D36F1">
        <w:rPr>
          <w:rFonts w:ascii="Times New Roman" w:hAnsi="Times New Roman" w:cs="Times New Roman"/>
          <w:color w:val="000000" w:themeColor="text1"/>
          <w:sz w:val="28"/>
          <w:szCs w:val="28"/>
        </w:rPr>
        <w:t xml:space="preserve">, no procura la realización de ningún fin constitucional.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 xml:space="preserve">En otros términos, las consecuencias establecidas para las causales </w:t>
      </w:r>
      <w:r w:rsidRPr="005D36F1">
        <w:rPr>
          <w:rFonts w:ascii="Times New Roman" w:hAnsi="Times New Roman" w:cs="Times New Roman"/>
          <w:color w:val="000000" w:themeColor="text1"/>
          <w:sz w:val="28"/>
          <w:szCs w:val="28"/>
        </w:rPr>
        <w:t xml:space="preserve">subjetivas son la reacción prevista para un obrar desleal, indebido o violento. De ahí que la respuesta que ofrece el ordenamiento jurídico a este proceder se conozca como </w:t>
      </w:r>
      <w:r w:rsidRPr="005D36F1">
        <w:rPr>
          <w:rFonts w:ascii="Times New Roman" w:hAnsi="Times New Roman" w:cs="Times New Roman"/>
          <w:i/>
          <w:iCs/>
          <w:color w:val="000000" w:themeColor="text1"/>
          <w:sz w:val="28"/>
          <w:szCs w:val="28"/>
        </w:rPr>
        <w:t>divorcio sanción</w:t>
      </w:r>
      <w:r w:rsidRPr="005D36F1">
        <w:rPr>
          <w:rStyle w:val="Refdenotaalpie"/>
          <w:rFonts w:ascii="Times New Roman" w:hAnsi="Times New Roman" w:cs="Times New Roman"/>
          <w:color w:val="000000" w:themeColor="text1"/>
          <w:sz w:val="28"/>
          <w:szCs w:val="28"/>
        </w:rPr>
        <w:footnoteReference w:id="183"/>
      </w:r>
      <w:r w:rsidRPr="005D36F1">
        <w:rPr>
          <w:rFonts w:ascii="Times New Roman" w:hAnsi="Times New Roman" w:cs="Times New Roman"/>
          <w:color w:val="000000" w:themeColor="text1"/>
          <w:sz w:val="28"/>
          <w:szCs w:val="28"/>
        </w:rPr>
        <w:t>. Todo ello carece de parangón en el caso del cónyuge que consume d</w:t>
      </w:r>
      <w:r w:rsidRPr="005D36F1">
        <w:rPr>
          <w:rFonts w:ascii="Times New Roman" w:hAnsi="Times New Roman" w:cs="Times New Roman"/>
          <w:color w:val="000000" w:themeColor="text1"/>
          <w:sz w:val="28"/>
          <w:szCs w:val="28"/>
        </w:rPr>
        <w:t>e manera habitual sustancias psicoactivas. Su actuación —que si bien puede ser juzgada como reprochable a ojos del cónyuge no consumidor— no lesiona derechos o intereses ajenos. En el caso más extremo, que es el que se describe en la norma demandada, defra</w:t>
      </w:r>
      <w:r w:rsidRPr="005D36F1">
        <w:rPr>
          <w:rFonts w:ascii="Times New Roman" w:hAnsi="Times New Roman" w:cs="Times New Roman"/>
          <w:color w:val="000000" w:themeColor="text1"/>
          <w:sz w:val="28"/>
          <w:szCs w:val="28"/>
        </w:rPr>
        <w:t xml:space="preserve">uda las expectativas, los anhelos, de quien no comparte esta conducta. Esta frustración, que no desconocen el Legislador ni este tribunal, pues es el fundamento que da lugar a la conservación de la causal de divorcio en el ordenamiento, es sustancialmente </w:t>
      </w:r>
      <w:r w:rsidRPr="005D36F1">
        <w:rPr>
          <w:rFonts w:ascii="Times New Roman" w:hAnsi="Times New Roman" w:cs="Times New Roman"/>
          <w:color w:val="000000" w:themeColor="text1"/>
          <w:sz w:val="28"/>
          <w:szCs w:val="28"/>
        </w:rPr>
        <w:t xml:space="preserve">distinta al </w:t>
      </w:r>
      <w:r w:rsidRPr="005D36F1">
        <w:rPr>
          <w:rFonts w:ascii="Times New Roman" w:hAnsi="Times New Roman" w:cs="Times New Roman"/>
          <w:i/>
          <w:iCs/>
          <w:color w:val="000000" w:themeColor="text1"/>
          <w:sz w:val="28"/>
          <w:szCs w:val="28"/>
        </w:rPr>
        <w:t>daño,</w:t>
      </w:r>
      <w:r w:rsidRPr="005D36F1">
        <w:rPr>
          <w:rFonts w:ascii="Times New Roman" w:hAnsi="Times New Roman" w:cs="Times New Roman"/>
          <w:color w:val="000000" w:themeColor="text1"/>
          <w:sz w:val="28"/>
          <w:szCs w:val="28"/>
        </w:rPr>
        <w:t xml:space="preserve"> que lesiona derechos subjetivos, o a la trasgresión de los principios constitucionales sobre los que se asienta la familia. La actuación bajo análisis constituye el ejercicio de un derecho fundamental. Por tal motivo, quien la ejecuta no </w:t>
      </w:r>
      <w:r w:rsidRPr="005D36F1">
        <w:rPr>
          <w:rFonts w:ascii="Times New Roman" w:hAnsi="Times New Roman" w:cs="Times New Roman"/>
          <w:color w:val="000000" w:themeColor="text1"/>
          <w:sz w:val="28"/>
          <w:szCs w:val="28"/>
        </w:rPr>
        <w:t xml:space="preserve">puede ser considerado </w:t>
      </w:r>
      <w:r w:rsidRPr="005D36F1">
        <w:rPr>
          <w:rFonts w:ascii="Times New Roman" w:hAnsi="Times New Roman" w:cs="Times New Roman"/>
          <w:i/>
          <w:iCs/>
          <w:color w:val="000000" w:themeColor="text1"/>
          <w:sz w:val="28"/>
          <w:szCs w:val="28"/>
        </w:rPr>
        <w:t>cónyuge culpable</w:t>
      </w:r>
      <w:r w:rsidRPr="005D36F1">
        <w:rPr>
          <w:rFonts w:ascii="Times New Roman" w:hAnsi="Times New Roman" w:cs="Times New Roman"/>
          <w:color w:val="000000" w:themeColor="text1"/>
          <w:sz w:val="28"/>
          <w:szCs w:val="28"/>
        </w:rPr>
        <w:t xml:space="preserve"> ni debe soportar la imposición de estas consecuencias.  </w:t>
      </w:r>
    </w:p>
    <w:p w:rsidR="00894FB7" w:rsidRPr="005D36F1" w:rsidRDefault="005D36F1" w:rsidP="00894FB7">
      <w:pPr>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 xml:space="preserve">En atención a que la medida bajo estudio no supera la primera exigencia del juicio de proporcionalidad en sentido estricto, la Corte no se encuentra llamada a </w:t>
      </w:r>
      <w:r w:rsidRPr="005D36F1">
        <w:rPr>
          <w:rFonts w:ascii="Times New Roman" w:hAnsi="Times New Roman" w:cs="Times New Roman"/>
          <w:color w:val="000000" w:themeColor="text1"/>
          <w:sz w:val="28"/>
          <w:szCs w:val="28"/>
        </w:rPr>
        <w:t>proseguir con el análisis de los demás requisitos. Esta conclusión se basa en la metodología que este tribunal ha desarrollado al emplear este instrumento de valoración judicial. Sobre el particular, la Sala Plena ha manifestado lo siguiente: «Estas tres e</w:t>
      </w:r>
      <w:r w:rsidRPr="005D36F1">
        <w:rPr>
          <w:rFonts w:ascii="Times New Roman" w:hAnsi="Times New Roman" w:cs="Times New Roman"/>
          <w:color w:val="000000" w:themeColor="text1"/>
          <w:sz w:val="28"/>
          <w:szCs w:val="28"/>
        </w:rPr>
        <w:t>tapas del juicio siguen un orden, de modo que el paso a la siguiente fase está determinado por el hecho de haberse sorteado satisfactoriamente la etapa anterior. En otras palabras, si el examen de una norma no supera alguna de estas etapas, no es posible c</w:t>
      </w:r>
      <w:r w:rsidRPr="005D36F1">
        <w:rPr>
          <w:rFonts w:ascii="Times New Roman" w:hAnsi="Times New Roman" w:cs="Times New Roman"/>
          <w:color w:val="000000" w:themeColor="text1"/>
          <w:sz w:val="28"/>
          <w:szCs w:val="28"/>
        </w:rPr>
        <w:t>ontinuar con la siguiente y se concluye que la norma viola el principio»</w:t>
      </w:r>
      <w:r w:rsidRPr="005D36F1">
        <w:rPr>
          <w:rStyle w:val="Refdenotaalpie"/>
          <w:rFonts w:ascii="Times New Roman" w:hAnsi="Times New Roman" w:cs="Times New Roman"/>
          <w:color w:val="000000" w:themeColor="text1"/>
          <w:sz w:val="28"/>
          <w:szCs w:val="28"/>
        </w:rPr>
        <w:footnoteReference w:id="184"/>
      </w:r>
      <w:r w:rsidRPr="005D36F1">
        <w:rPr>
          <w:rFonts w:ascii="Times New Roman" w:hAnsi="Times New Roman" w:cs="Times New Roman"/>
          <w:color w:val="000000" w:themeColor="text1"/>
          <w:sz w:val="28"/>
          <w:szCs w:val="28"/>
        </w:rPr>
        <w:t>.</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 xml:space="preserve">La remoción de estas consecuencias trae como resultado la superación del principal obstáculo para la armonización concreta de los derechos fundamentales que colisionan en la norma </w:t>
      </w:r>
      <w:r w:rsidRPr="005D36F1">
        <w:rPr>
          <w:rFonts w:ascii="Times New Roman" w:hAnsi="Times New Roman" w:cs="Times New Roman"/>
          <w:color w:val="000000" w:themeColor="text1"/>
          <w:sz w:val="28"/>
          <w:szCs w:val="28"/>
        </w:rPr>
        <w:t>demandada. De este modo, los derechos al libre desarrollo de la personalidad y a la dignidad humana de ambos cónyuges consiguen el máximo grado de realización posible: en primer lugar, el cónyuge no consumidor logra liquidar el contrato matrimonial, lo que</w:t>
      </w:r>
      <w:r w:rsidRPr="005D36F1">
        <w:rPr>
          <w:rFonts w:ascii="Times New Roman" w:hAnsi="Times New Roman" w:cs="Times New Roman"/>
          <w:color w:val="000000" w:themeColor="text1"/>
          <w:sz w:val="28"/>
          <w:szCs w:val="28"/>
        </w:rPr>
        <w:t xml:space="preserve"> satisface plenamente su deseo de poner fin a una relación de pareja que no es congruente con su proyecto de vida; en segundo término, el cónyuge consumidor puede perseverar en la conducta prevista en la norma sin que, por este hecho, deba soportar la impo</w:t>
      </w:r>
      <w:r w:rsidRPr="005D36F1">
        <w:rPr>
          <w:rFonts w:ascii="Times New Roman" w:hAnsi="Times New Roman" w:cs="Times New Roman"/>
          <w:color w:val="000000" w:themeColor="text1"/>
          <w:sz w:val="28"/>
          <w:szCs w:val="28"/>
        </w:rPr>
        <w:t xml:space="preserve">sición de consecuencias jurídicas de carácter patrimonial. A juicio del plenario, esta solución ofrece una realización mayúscula de su libertad personal, pues elimina las sanciones que la ley civil imponía por la realización de un </w:t>
      </w:r>
      <w:r w:rsidRPr="005D36F1">
        <w:rPr>
          <w:rFonts w:ascii="Times New Roman" w:hAnsi="Times New Roman" w:cs="Times New Roman"/>
          <w:i/>
          <w:iCs/>
          <w:color w:val="000000" w:themeColor="text1"/>
          <w:sz w:val="28"/>
          <w:szCs w:val="28"/>
        </w:rPr>
        <w:t>comportamiento no interfe</w:t>
      </w:r>
      <w:r w:rsidRPr="005D36F1">
        <w:rPr>
          <w:rFonts w:ascii="Times New Roman" w:hAnsi="Times New Roman" w:cs="Times New Roman"/>
          <w:i/>
          <w:iCs/>
          <w:color w:val="000000" w:themeColor="text1"/>
          <w:sz w:val="28"/>
          <w:szCs w:val="28"/>
        </w:rPr>
        <w:t>rido</w:t>
      </w:r>
      <w:r w:rsidRPr="005D36F1">
        <w:rPr>
          <w:rFonts w:ascii="Times New Roman" w:hAnsi="Times New Roman" w:cs="Times New Roman"/>
          <w:color w:val="000000" w:themeColor="text1"/>
          <w:sz w:val="28"/>
          <w:szCs w:val="28"/>
        </w:rPr>
        <w:t>. Por tanto, la expectativa de obrar según los dictados de la libertad y la autonomía es restablecida de manera completa.</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En contra de este arreglo podría argüirse que la terminación de la relación matrimonial es una sanción para el cónyuge consumidor</w:t>
      </w:r>
      <w:r w:rsidRPr="005D36F1">
        <w:rPr>
          <w:rFonts w:ascii="Times New Roman" w:hAnsi="Times New Roman" w:cs="Times New Roman"/>
          <w:color w:val="000000" w:themeColor="text1"/>
          <w:sz w:val="28"/>
          <w:szCs w:val="28"/>
        </w:rPr>
        <w:t>. Esta afirmación es equivocada por las siguientes razones: en primer lugar, como lo ha establecido esta corporación, «el divorcio no es una sanción […]; sino una decisión dirigida a restablecer [la] vida afectiva y familiar»</w:t>
      </w:r>
      <w:r w:rsidRPr="005D36F1">
        <w:rPr>
          <w:rStyle w:val="Refdenotaalpie"/>
          <w:rFonts w:ascii="Times New Roman" w:hAnsi="Times New Roman" w:cs="Times New Roman"/>
          <w:color w:val="000000" w:themeColor="text1"/>
          <w:sz w:val="28"/>
          <w:szCs w:val="28"/>
        </w:rPr>
        <w:footnoteReference w:id="185"/>
      </w:r>
      <w:r w:rsidRPr="005D36F1">
        <w:rPr>
          <w:rFonts w:ascii="Times New Roman" w:hAnsi="Times New Roman" w:cs="Times New Roman"/>
          <w:color w:val="000000" w:themeColor="text1"/>
          <w:sz w:val="28"/>
          <w:szCs w:val="28"/>
        </w:rPr>
        <w:t xml:space="preserve"> de los individuos. En consecu</w:t>
      </w:r>
      <w:r w:rsidRPr="005D36F1">
        <w:rPr>
          <w:rFonts w:ascii="Times New Roman" w:hAnsi="Times New Roman" w:cs="Times New Roman"/>
          <w:color w:val="000000" w:themeColor="text1"/>
          <w:sz w:val="28"/>
          <w:szCs w:val="28"/>
        </w:rPr>
        <w:t xml:space="preserve">encia, no es acertado atribuirle a esta solución un carácter punitivo que es contrario a su esencia. En segundo término, en el caso analizado en esta ocasión, la disolución del vínculo matrimonial no solo es una medida proporcional, que encuentra sustento </w:t>
      </w:r>
      <w:r w:rsidRPr="005D36F1">
        <w:rPr>
          <w:rFonts w:ascii="Times New Roman" w:hAnsi="Times New Roman" w:cs="Times New Roman"/>
          <w:color w:val="000000" w:themeColor="text1"/>
          <w:sz w:val="28"/>
          <w:szCs w:val="28"/>
        </w:rPr>
        <w:t>en la necesidad de garantizar el derecho a la libertad personal del cónyuge no consumidor; es, además, el resultado razonable y previsible del deterioro de una relación de pareja que ha perdido la razón de ser para uno de sus integrantes. De esta suerte, e</w:t>
      </w:r>
      <w:r w:rsidRPr="005D36F1">
        <w:rPr>
          <w:rFonts w:ascii="Times New Roman" w:hAnsi="Times New Roman" w:cs="Times New Roman"/>
          <w:color w:val="000000" w:themeColor="text1"/>
          <w:sz w:val="28"/>
          <w:szCs w:val="28"/>
        </w:rPr>
        <w:t xml:space="preserve">n el caso regulado por la norma demandada, el divorcio se limita a declarar formalmente la culminación de un vínculo afectivo que ya ha tocado su fin.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En definitiva, con arreglo a las razones expuestas en esta providencia, la Sala Plena procederá a decla</w:t>
      </w:r>
      <w:r w:rsidRPr="005D36F1">
        <w:rPr>
          <w:rFonts w:ascii="Times New Roman" w:hAnsi="Times New Roman" w:cs="Times New Roman"/>
          <w:color w:val="000000" w:themeColor="text1"/>
          <w:sz w:val="28"/>
          <w:szCs w:val="28"/>
        </w:rPr>
        <w:t>rar la exequibilidad condicionada de la norma demandada, en el entendido de que aquella no da lugar al pago de alimentos, obligación prevista en el numeral 4 del artículo 411 del Código Civil, ni a la revocación de las donaciones que hubiere hecho, por cau</w:t>
      </w:r>
      <w:r w:rsidRPr="005D36F1">
        <w:rPr>
          <w:rFonts w:ascii="Times New Roman" w:hAnsi="Times New Roman" w:cs="Times New Roman"/>
          <w:color w:val="000000" w:themeColor="text1"/>
          <w:sz w:val="28"/>
          <w:szCs w:val="28"/>
        </w:rPr>
        <w:t>sa del matrimonio, el cónyuge que reclama la disolución del vínculo matrimonial, tal como se encuentra previsto en el artículo 162 del Código Civil.</w:t>
      </w:r>
    </w:p>
    <w:p w:rsidR="00894FB7" w:rsidRPr="005D36F1" w:rsidRDefault="005D36F1" w:rsidP="00894FB7">
      <w:pPr>
        <w:rPr>
          <w:rFonts w:ascii="Times New Roman" w:hAnsi="Times New Roman" w:cs="Times New Roman"/>
          <w:color w:val="000000" w:themeColor="text1"/>
          <w:sz w:val="28"/>
          <w:szCs w:val="28"/>
        </w:rPr>
      </w:pPr>
    </w:p>
    <w:p w:rsidR="00894FB7" w:rsidRPr="005D36F1" w:rsidRDefault="005D36F1" w:rsidP="00894FB7">
      <w:pPr>
        <w:rPr>
          <w:rFonts w:ascii="Times New Roman" w:hAnsi="Times New Roman" w:cs="Times New Roman"/>
          <w:b/>
          <w:bCs/>
          <w:color w:val="000000" w:themeColor="text1"/>
          <w:sz w:val="28"/>
          <w:szCs w:val="28"/>
        </w:rPr>
      </w:pPr>
      <w:r w:rsidRPr="005D36F1">
        <w:rPr>
          <w:rFonts w:ascii="Times New Roman" w:hAnsi="Times New Roman" w:cs="Times New Roman"/>
          <w:b/>
          <w:bCs/>
          <w:color w:val="000000" w:themeColor="text1"/>
          <w:sz w:val="28"/>
          <w:szCs w:val="28"/>
        </w:rPr>
        <w:t xml:space="preserve">Cuestiones finales </w:t>
      </w:r>
    </w:p>
    <w:p w:rsidR="00894FB7" w:rsidRPr="005D36F1" w:rsidRDefault="005D36F1" w:rsidP="00894FB7">
      <w:pPr>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Naturaleza jurídica de la causal luego de la expedición del fallo de exequibilidad co</w:t>
      </w:r>
      <w:r w:rsidRPr="005D36F1">
        <w:rPr>
          <w:rFonts w:ascii="Times New Roman" w:hAnsi="Times New Roman" w:cs="Times New Roman"/>
          <w:i/>
          <w:iCs/>
          <w:color w:val="000000" w:themeColor="text1"/>
          <w:sz w:val="28"/>
          <w:szCs w:val="28"/>
        </w:rPr>
        <w:t>ndicionada</w:t>
      </w:r>
      <w:r w:rsidRPr="005D36F1">
        <w:rPr>
          <w:rFonts w:ascii="Times New Roman" w:hAnsi="Times New Roman" w:cs="Times New Roman"/>
          <w:color w:val="000000" w:themeColor="text1"/>
          <w:sz w:val="28"/>
          <w:szCs w:val="28"/>
        </w:rPr>
        <w:t xml:space="preserve">. Dos asuntos finales deben referirse antes de concluir esta providencia. El primero de ellos es el cambio en la naturaleza jurídica de la causal de divorcio, que provoca este fallo. En la versión original de la disposición, esta era de carácter </w:t>
      </w:r>
      <w:r w:rsidRPr="005D36F1">
        <w:rPr>
          <w:rFonts w:ascii="Times New Roman" w:hAnsi="Times New Roman" w:cs="Times New Roman"/>
          <w:color w:val="000000" w:themeColor="text1"/>
          <w:sz w:val="28"/>
          <w:szCs w:val="28"/>
        </w:rPr>
        <w:t>subjetivo; luego de esta sentencia, pasa a incluirse en el tercer conjunto al que se hizo alusión con anterioridad, en el que se encuentra la causal sexta, relativa a «[t]oda enfermedad o anormalidad grave e incurable, física o síquica, de uno de los cónyu</w:t>
      </w:r>
      <w:r w:rsidRPr="005D36F1">
        <w:rPr>
          <w:rFonts w:ascii="Times New Roman" w:hAnsi="Times New Roman" w:cs="Times New Roman"/>
          <w:color w:val="000000" w:themeColor="text1"/>
          <w:sz w:val="28"/>
          <w:szCs w:val="28"/>
        </w:rPr>
        <w:t xml:space="preserve">ges, que ponga en peligro la salud mental o física del otro cónyuge e imposibilite la comunidad matrimonial».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Como acaeció con dicha norma, cuya índole varió gracias a la Sentencia C-246 de 2002, la naturaleza jurídica de la disposición en comento experi</w:t>
      </w:r>
      <w:r w:rsidRPr="005D36F1">
        <w:rPr>
          <w:rFonts w:ascii="Times New Roman" w:hAnsi="Times New Roman" w:cs="Times New Roman"/>
          <w:color w:val="000000" w:themeColor="text1"/>
          <w:sz w:val="28"/>
          <w:szCs w:val="28"/>
        </w:rPr>
        <w:t>menta un cambio apreciable con este fallo. Las modificaciones que acarrea la presente decisión impiden que pueda ubicarse en alguno de los dos conjuntos en los que la jurisprudencia y la doctrina han clasificado tradicionalmente a las causales de divorcio.</w:t>
      </w:r>
      <w:r w:rsidRPr="005D36F1">
        <w:rPr>
          <w:rFonts w:ascii="Times New Roman" w:hAnsi="Times New Roman" w:cs="Times New Roman"/>
          <w:color w:val="000000" w:themeColor="text1"/>
          <w:sz w:val="28"/>
          <w:szCs w:val="28"/>
        </w:rPr>
        <w:t xml:space="preserve"> Esto es así debido a que, pese a que la causal no obedece a la lógica del enfrentamiento entre un </w:t>
      </w:r>
      <w:r w:rsidRPr="005D36F1">
        <w:rPr>
          <w:rFonts w:ascii="Times New Roman" w:hAnsi="Times New Roman" w:cs="Times New Roman"/>
          <w:i/>
          <w:iCs/>
          <w:color w:val="000000" w:themeColor="text1"/>
          <w:sz w:val="28"/>
          <w:szCs w:val="28"/>
        </w:rPr>
        <w:t xml:space="preserve">cónyuge inocente </w:t>
      </w:r>
      <w:r w:rsidRPr="005D36F1">
        <w:rPr>
          <w:rFonts w:ascii="Times New Roman" w:hAnsi="Times New Roman" w:cs="Times New Roman"/>
          <w:color w:val="000000" w:themeColor="text1"/>
          <w:sz w:val="28"/>
          <w:szCs w:val="28"/>
        </w:rPr>
        <w:t xml:space="preserve">y otro </w:t>
      </w:r>
      <w:r w:rsidRPr="005D36F1">
        <w:rPr>
          <w:rFonts w:ascii="Times New Roman" w:hAnsi="Times New Roman" w:cs="Times New Roman"/>
          <w:i/>
          <w:iCs/>
          <w:color w:val="000000" w:themeColor="text1"/>
          <w:sz w:val="28"/>
          <w:szCs w:val="28"/>
        </w:rPr>
        <w:t>culpable</w:t>
      </w:r>
      <w:r w:rsidRPr="005D36F1">
        <w:rPr>
          <w:rFonts w:ascii="Times New Roman" w:hAnsi="Times New Roman" w:cs="Times New Roman"/>
          <w:color w:val="000000" w:themeColor="text1"/>
          <w:sz w:val="28"/>
          <w:szCs w:val="28"/>
        </w:rPr>
        <w:t>, no es una causal objetiva. Ello se debe, primordialmente, a que la causal únicamente puede demandarse por uno de los contra</w:t>
      </w:r>
      <w:r w:rsidRPr="005D36F1">
        <w:rPr>
          <w:rFonts w:ascii="Times New Roman" w:hAnsi="Times New Roman" w:cs="Times New Roman"/>
          <w:color w:val="000000" w:themeColor="text1"/>
          <w:sz w:val="28"/>
          <w:szCs w:val="28"/>
        </w:rPr>
        <w:t xml:space="preserve">yentes, esto es, por el cónyuge no consumidor, y no por cualquiera de ellos.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 xml:space="preserve">Por las razones que se explican enseguida, la causal coincide plenamente con la caracterización que se hizo anteriormente de este tercer grupo: </w:t>
      </w:r>
      <w:r w:rsidRPr="005D36F1">
        <w:rPr>
          <w:rFonts w:ascii="Times New Roman" w:hAnsi="Times New Roman" w:cs="Times New Roman"/>
          <w:i/>
          <w:iCs/>
          <w:color w:val="000000" w:themeColor="text1"/>
          <w:sz w:val="28"/>
          <w:szCs w:val="28"/>
        </w:rPr>
        <w:t xml:space="preserve">i) </w:t>
      </w:r>
      <w:r w:rsidRPr="005D36F1">
        <w:rPr>
          <w:rFonts w:ascii="Times New Roman" w:hAnsi="Times New Roman" w:cs="Times New Roman"/>
          <w:color w:val="000000" w:themeColor="text1"/>
          <w:sz w:val="28"/>
          <w:szCs w:val="28"/>
        </w:rPr>
        <w:t xml:space="preserve">la particular configuración normativa de la causal de divorcio es resultado de un ejercicio de armonización concreta, que procura asegurar el más amplio grado de satisfacción de los derechos fundamentales enfrentados; </w:t>
      </w:r>
      <w:r w:rsidRPr="005D36F1">
        <w:rPr>
          <w:rFonts w:ascii="Times New Roman" w:hAnsi="Times New Roman" w:cs="Times New Roman"/>
          <w:i/>
          <w:iCs/>
          <w:color w:val="000000" w:themeColor="text1"/>
          <w:sz w:val="28"/>
          <w:szCs w:val="28"/>
        </w:rPr>
        <w:t xml:space="preserve">ii) </w:t>
      </w:r>
      <w:r w:rsidRPr="005D36F1">
        <w:rPr>
          <w:rFonts w:ascii="Times New Roman" w:hAnsi="Times New Roman" w:cs="Times New Roman"/>
          <w:color w:val="000000" w:themeColor="text1"/>
          <w:sz w:val="28"/>
          <w:szCs w:val="28"/>
        </w:rPr>
        <w:t>el divorcio únicamente puede ser d</w:t>
      </w:r>
      <w:r w:rsidRPr="005D36F1">
        <w:rPr>
          <w:rFonts w:ascii="Times New Roman" w:hAnsi="Times New Roman" w:cs="Times New Roman"/>
          <w:color w:val="000000" w:themeColor="text1"/>
          <w:sz w:val="28"/>
          <w:szCs w:val="28"/>
        </w:rPr>
        <w:t xml:space="preserve">emandado por la persona que resulta afectada por las consecuencias del hecho que se refiere en el supuesto de hecho de la norma; y </w:t>
      </w:r>
      <w:r w:rsidRPr="005D36F1">
        <w:rPr>
          <w:rFonts w:ascii="Times New Roman" w:hAnsi="Times New Roman" w:cs="Times New Roman"/>
          <w:i/>
          <w:iCs/>
          <w:color w:val="000000" w:themeColor="text1"/>
          <w:sz w:val="28"/>
          <w:szCs w:val="28"/>
        </w:rPr>
        <w:t>iii)</w:t>
      </w:r>
      <w:r w:rsidRPr="005D36F1">
        <w:rPr>
          <w:rFonts w:ascii="Times New Roman" w:hAnsi="Times New Roman" w:cs="Times New Roman"/>
          <w:color w:val="000000" w:themeColor="text1"/>
          <w:sz w:val="28"/>
          <w:szCs w:val="28"/>
        </w:rPr>
        <w:t xml:space="preserve"> las consecuencias patrimoniales —que, en este caso, consisten en la eliminación del deber de pagar alimentos y de devolv</w:t>
      </w:r>
      <w:r w:rsidRPr="005D36F1">
        <w:rPr>
          <w:rFonts w:ascii="Times New Roman" w:hAnsi="Times New Roman" w:cs="Times New Roman"/>
          <w:color w:val="000000" w:themeColor="text1"/>
          <w:sz w:val="28"/>
          <w:szCs w:val="28"/>
        </w:rPr>
        <w:t xml:space="preserve">er las donaciones que se hubieran recibido— no guardan relación alguna con el eventual incumplimiento de alguna obligación marital o parental. </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i/>
          <w:iCs/>
          <w:color w:val="000000" w:themeColor="text1"/>
          <w:sz w:val="28"/>
          <w:szCs w:val="28"/>
        </w:rPr>
        <w:t>Impacto de la decisión en el «decisum» de la Sentencia C-985 de 2010</w:t>
      </w:r>
      <w:r w:rsidRPr="005D36F1">
        <w:rPr>
          <w:rFonts w:ascii="Times New Roman" w:hAnsi="Times New Roman" w:cs="Times New Roman"/>
          <w:color w:val="000000" w:themeColor="text1"/>
          <w:sz w:val="28"/>
          <w:szCs w:val="28"/>
        </w:rPr>
        <w:t>. La última cuestión que debe mencionarse e</w:t>
      </w:r>
      <w:r w:rsidRPr="005D36F1">
        <w:rPr>
          <w:rFonts w:ascii="Times New Roman" w:hAnsi="Times New Roman" w:cs="Times New Roman"/>
          <w:color w:val="000000" w:themeColor="text1"/>
          <w:sz w:val="28"/>
          <w:szCs w:val="28"/>
        </w:rPr>
        <w:t xml:space="preserve">s la incidencia que tiene el presente fallo en la decisión adoptada en la Sentencia C-985 de 2010. En dicha oportunidad, la Sala Plena declaró la exequibilidad condicionada </w:t>
      </w:r>
      <w:r w:rsidRPr="005D36F1">
        <w:rPr>
          <w:rFonts w:ascii="Times New Roman" w:hAnsi="Times New Roman" w:cs="Times New Roman"/>
          <w:color w:val="000000" w:themeColor="text1"/>
          <w:sz w:val="28"/>
          <w:szCs w:val="28"/>
          <w:shd w:val="clear" w:color="auto" w:fill="FFFFFF"/>
        </w:rPr>
        <w:t>de la frase «y dentro del término de un año, contado desde cuando tuvo conocimiento</w:t>
      </w:r>
      <w:r w:rsidRPr="005D36F1">
        <w:rPr>
          <w:rFonts w:ascii="Times New Roman" w:hAnsi="Times New Roman" w:cs="Times New Roman"/>
          <w:color w:val="000000" w:themeColor="text1"/>
          <w:sz w:val="28"/>
          <w:szCs w:val="28"/>
          <w:shd w:val="clear" w:color="auto" w:fill="FFFFFF"/>
        </w:rPr>
        <w:t xml:space="preserve"> de ellos respecto de las causales 1ª y 7ª o desde cuando se sucedieron, respecto a las causales 2ª, 3ª, 4ª </w:t>
      </w:r>
      <w:r w:rsidRPr="005D36F1">
        <w:rPr>
          <w:rFonts w:ascii="Times New Roman" w:hAnsi="Times New Roman" w:cs="Times New Roman"/>
          <w:b/>
          <w:bCs/>
          <w:color w:val="000000" w:themeColor="text1"/>
          <w:sz w:val="28"/>
          <w:szCs w:val="28"/>
          <w:shd w:val="clear" w:color="auto" w:fill="FFFFFF"/>
        </w:rPr>
        <w:t>y 5ª</w:t>
      </w:r>
      <w:r w:rsidRPr="005D36F1">
        <w:rPr>
          <w:rFonts w:ascii="Times New Roman" w:hAnsi="Times New Roman" w:cs="Times New Roman"/>
          <w:color w:val="000000" w:themeColor="text1"/>
          <w:sz w:val="28"/>
          <w:szCs w:val="28"/>
          <w:shd w:val="clear" w:color="auto" w:fill="FFFFFF"/>
        </w:rPr>
        <w:t>» [énfasis fuera de texto], que se encuentra contenida en el artículo 156 del Código Civil. El condicionamiento tenía por objeto «que las sancio</w:t>
      </w:r>
      <w:r w:rsidRPr="005D36F1">
        <w:rPr>
          <w:rFonts w:ascii="Times New Roman" w:hAnsi="Times New Roman" w:cs="Times New Roman"/>
          <w:color w:val="000000" w:themeColor="text1"/>
          <w:sz w:val="28"/>
          <w:szCs w:val="28"/>
          <w:shd w:val="clear" w:color="auto" w:fill="FFFFFF"/>
        </w:rPr>
        <w:t>nes ligadas al divorcio basado en causales subjetivas no [fuesen] imprescriptibles»</w:t>
      </w:r>
      <w:r w:rsidRPr="005D36F1">
        <w:rPr>
          <w:rStyle w:val="Refdenotaalpie"/>
          <w:rFonts w:ascii="Times New Roman" w:hAnsi="Times New Roman" w:cs="Times New Roman"/>
          <w:color w:val="000000" w:themeColor="text1"/>
          <w:sz w:val="28"/>
          <w:szCs w:val="28"/>
          <w:shd w:val="clear" w:color="auto" w:fill="FFFFFF"/>
        </w:rPr>
        <w:footnoteReference w:id="186"/>
      </w:r>
      <w:r w:rsidRPr="005D36F1">
        <w:rPr>
          <w:rFonts w:ascii="Times New Roman" w:hAnsi="Times New Roman" w:cs="Times New Roman"/>
          <w:color w:val="000000" w:themeColor="text1"/>
          <w:sz w:val="28"/>
          <w:szCs w:val="28"/>
          <w:shd w:val="clear" w:color="auto" w:fill="FFFFFF"/>
        </w:rPr>
        <w:t>.</w:t>
      </w:r>
    </w:p>
    <w:p w:rsidR="00894FB7" w:rsidRPr="005D36F1" w:rsidRDefault="005D36F1" w:rsidP="00894FB7">
      <w:pPr>
        <w:pStyle w:val="Prrafodelista"/>
        <w:rPr>
          <w:rFonts w:ascii="Times New Roman" w:hAnsi="Times New Roman" w:cs="Times New Roman"/>
          <w:color w:val="000000" w:themeColor="text1"/>
          <w:sz w:val="28"/>
          <w:szCs w:val="28"/>
        </w:rPr>
      </w:pPr>
    </w:p>
    <w:p w:rsidR="00894FB7" w:rsidRPr="005D36F1" w:rsidRDefault="005D36F1" w:rsidP="00894FB7">
      <w:pPr>
        <w:numPr>
          <w:ilvl w:val="0"/>
          <w:numId w:val="2"/>
        </w:numPr>
        <w:ind w:left="0" w:firstLine="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En atención a que, como consecuencia de la decisión adoptada en esta providencia, la causal quinta no dará lugar a la imposición de «</w:t>
      </w:r>
      <w:r w:rsidRPr="005D36F1">
        <w:rPr>
          <w:rFonts w:ascii="Times New Roman" w:hAnsi="Times New Roman" w:cs="Times New Roman"/>
          <w:color w:val="000000" w:themeColor="text1"/>
          <w:sz w:val="28"/>
          <w:szCs w:val="28"/>
          <w:shd w:val="clear" w:color="auto" w:fill="FFFFFF"/>
        </w:rPr>
        <w:t xml:space="preserve">las sanciones ligadas al divorcio basado en causales subjetivas», la Sala Plena resalta que debe entenderse que la aludida causal se entiende excluida de este condicionamiento específico, que fue impuesto a la norma en la </w:t>
      </w:r>
      <w:r w:rsidRPr="005D36F1">
        <w:rPr>
          <w:rFonts w:ascii="Times New Roman" w:hAnsi="Times New Roman" w:cs="Times New Roman"/>
          <w:color w:val="000000" w:themeColor="text1"/>
          <w:sz w:val="28"/>
          <w:szCs w:val="28"/>
        </w:rPr>
        <w:t xml:space="preserve">Sentencia C-985 de 2010. </w:t>
      </w:r>
    </w:p>
    <w:p w:rsidR="00894FB7" w:rsidRPr="005D36F1" w:rsidRDefault="005D36F1" w:rsidP="00894FB7">
      <w:pPr>
        <w:rPr>
          <w:rFonts w:ascii="Times New Roman" w:hAnsi="Times New Roman" w:cs="Times New Roman"/>
          <w:color w:val="000000" w:themeColor="text1"/>
          <w:sz w:val="28"/>
          <w:szCs w:val="28"/>
        </w:rPr>
      </w:pPr>
    </w:p>
    <w:p w:rsidR="00894FB7" w:rsidRPr="005D36F1" w:rsidRDefault="005D36F1" w:rsidP="00894FB7">
      <w:pPr>
        <w:pStyle w:val="Prrafodelista"/>
        <w:numPr>
          <w:ilvl w:val="0"/>
          <w:numId w:val="3"/>
        </w:numPr>
        <w:tabs>
          <w:tab w:val="left" w:pos="567"/>
        </w:tabs>
        <w:jc w:val="both"/>
        <w:rPr>
          <w:rFonts w:ascii="Times New Roman" w:hAnsi="Times New Roman" w:cs="Times New Roman"/>
          <w:b/>
          <w:bCs/>
          <w:color w:val="000000" w:themeColor="text1"/>
          <w:sz w:val="28"/>
          <w:szCs w:val="28"/>
        </w:rPr>
      </w:pPr>
      <w:r w:rsidRPr="005D36F1">
        <w:rPr>
          <w:rFonts w:ascii="Times New Roman" w:hAnsi="Times New Roman" w:cs="Times New Roman"/>
          <w:b/>
          <w:bCs/>
          <w:color w:val="000000" w:themeColor="text1"/>
          <w:sz w:val="28"/>
          <w:szCs w:val="28"/>
        </w:rPr>
        <w:t>DECISIÓ</w:t>
      </w:r>
      <w:r w:rsidRPr="005D36F1">
        <w:rPr>
          <w:rFonts w:ascii="Times New Roman" w:hAnsi="Times New Roman" w:cs="Times New Roman"/>
          <w:b/>
          <w:bCs/>
          <w:color w:val="000000" w:themeColor="text1"/>
          <w:sz w:val="28"/>
          <w:szCs w:val="28"/>
        </w:rPr>
        <w:t>N</w:t>
      </w:r>
    </w:p>
    <w:p w:rsidR="00B5075E" w:rsidRPr="005D36F1" w:rsidRDefault="005D36F1" w:rsidP="00894FB7">
      <w:pPr>
        <w:shd w:val="clear" w:color="auto" w:fill="FFFFFF"/>
        <w:jc w:val="both"/>
        <w:rPr>
          <w:rFonts w:ascii="Times New Roman" w:hAnsi="Times New Roman" w:cs="Times New Roman"/>
          <w:color w:val="000000" w:themeColor="text1"/>
          <w:sz w:val="28"/>
        </w:rPr>
      </w:pPr>
      <w:r w:rsidRPr="005D36F1">
        <w:rPr>
          <w:rFonts w:ascii="Times New Roman" w:hAnsi="Times New Roman" w:cs="Times New Roman"/>
          <w:color w:val="000000" w:themeColor="text1"/>
          <w:sz w:val="28"/>
          <w:szCs w:val="28"/>
        </w:rPr>
        <w:br/>
        <w:t>La Corte Constitucional de Colombia, administrando justicia en nombre del pueblo y por mandato de la Constitución,</w:t>
      </w:r>
    </w:p>
    <w:p w:rsidR="00894FB7" w:rsidRPr="005D36F1" w:rsidRDefault="005D36F1" w:rsidP="00894FB7">
      <w:pPr>
        <w:shd w:val="clear" w:color="auto" w:fill="FFFFFF"/>
        <w:jc w:val="both"/>
        <w:rPr>
          <w:rFonts w:ascii="Times New Roman" w:hAnsi="Times New Roman" w:cs="Times New Roman"/>
          <w:color w:val="000000" w:themeColor="text1"/>
          <w:sz w:val="28"/>
        </w:rPr>
      </w:pPr>
    </w:p>
    <w:p w:rsidR="00B5075E" w:rsidRPr="005D36F1" w:rsidRDefault="005D36F1" w:rsidP="00894FB7">
      <w:pPr>
        <w:shd w:val="clear" w:color="auto" w:fill="FFFFFF"/>
        <w:jc w:val="both"/>
        <w:rPr>
          <w:rFonts w:ascii="Times New Roman" w:hAnsi="Times New Roman" w:cs="Times New Roman"/>
          <w:color w:val="000000" w:themeColor="text1"/>
          <w:sz w:val="28"/>
        </w:rPr>
      </w:pPr>
    </w:p>
    <w:p w:rsidR="00894FB7" w:rsidRPr="005D36F1" w:rsidRDefault="005D36F1" w:rsidP="00894FB7">
      <w:pPr>
        <w:shd w:val="clear" w:color="auto" w:fill="FFFFFF"/>
        <w:jc w:val="center"/>
        <w:rPr>
          <w:rFonts w:ascii="Times New Roman" w:hAnsi="Times New Roman" w:cs="Times New Roman"/>
          <w:color w:val="000000" w:themeColor="text1"/>
          <w:sz w:val="28"/>
        </w:rPr>
      </w:pPr>
      <w:r w:rsidRPr="005D36F1">
        <w:rPr>
          <w:rFonts w:ascii="Times New Roman" w:hAnsi="Times New Roman" w:cs="Times New Roman"/>
          <w:b/>
          <w:bCs/>
          <w:color w:val="000000" w:themeColor="text1"/>
          <w:sz w:val="28"/>
          <w:szCs w:val="28"/>
        </w:rPr>
        <w:t>RESUELVE</w:t>
      </w:r>
    </w:p>
    <w:p w:rsidR="00894FB7" w:rsidRPr="005D36F1" w:rsidRDefault="005D36F1" w:rsidP="00894FB7">
      <w:pPr>
        <w:shd w:val="clear" w:color="auto" w:fill="FFFFFF"/>
        <w:jc w:val="both"/>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 </w:t>
      </w:r>
    </w:p>
    <w:p w:rsidR="00894FB7" w:rsidRPr="005D36F1" w:rsidRDefault="005D36F1" w:rsidP="00894FB7">
      <w:pPr>
        <w:shd w:val="clear" w:color="auto" w:fill="FFFFFF"/>
        <w:jc w:val="both"/>
        <w:rPr>
          <w:rFonts w:ascii="Times New Roman" w:hAnsi="Times New Roman" w:cs="Times New Roman"/>
          <w:color w:val="000000" w:themeColor="text1"/>
          <w:sz w:val="28"/>
        </w:rPr>
      </w:pPr>
    </w:p>
    <w:p w:rsidR="00894FB7" w:rsidRPr="005D36F1" w:rsidRDefault="005D36F1" w:rsidP="00894FB7">
      <w:pPr>
        <w:shd w:val="clear" w:color="auto" w:fill="FFFFFF"/>
        <w:jc w:val="both"/>
        <w:rPr>
          <w:rFonts w:ascii="Times New Roman" w:hAnsi="Times New Roman" w:cs="Times New Roman"/>
          <w:color w:val="000000" w:themeColor="text1"/>
          <w:sz w:val="28"/>
        </w:rPr>
      </w:pPr>
      <w:r w:rsidRPr="005D36F1">
        <w:rPr>
          <w:rFonts w:ascii="Times New Roman" w:hAnsi="Times New Roman" w:cs="Times New Roman"/>
          <w:b/>
          <w:bCs/>
          <w:color w:val="000000" w:themeColor="text1"/>
          <w:sz w:val="28"/>
          <w:szCs w:val="28"/>
          <w:shd w:val="clear" w:color="auto" w:fill="FFFFFF"/>
        </w:rPr>
        <w:t>ÚNICO</w:t>
      </w:r>
      <w:r w:rsidRPr="005D36F1">
        <w:rPr>
          <w:rFonts w:ascii="Times New Roman" w:hAnsi="Times New Roman" w:cs="Times New Roman"/>
          <w:color w:val="000000" w:themeColor="text1"/>
          <w:sz w:val="28"/>
          <w:szCs w:val="28"/>
          <w:shd w:val="clear" w:color="auto" w:fill="FFFFFF"/>
        </w:rPr>
        <w:t xml:space="preserve">. </w:t>
      </w:r>
      <w:r w:rsidRPr="005D36F1">
        <w:rPr>
          <w:rFonts w:ascii="Times New Roman" w:hAnsi="Times New Roman" w:cs="Times New Roman"/>
          <w:color w:val="000000" w:themeColor="text1"/>
          <w:sz w:val="28"/>
          <w:szCs w:val="28"/>
          <w:shd w:val="clear" w:color="auto" w:fill="FFFFFF"/>
        </w:rPr>
        <w:t xml:space="preserve">Declarar </w:t>
      </w:r>
      <w:r w:rsidRPr="005D36F1">
        <w:rPr>
          <w:rFonts w:ascii="Times New Roman" w:hAnsi="Times New Roman" w:cs="Times New Roman"/>
          <w:b/>
          <w:bCs/>
          <w:color w:val="000000" w:themeColor="text1"/>
          <w:sz w:val="28"/>
          <w:szCs w:val="28"/>
          <w:shd w:val="clear" w:color="auto" w:fill="FFFFFF"/>
        </w:rPr>
        <w:t>EXEQUIBLE</w:t>
      </w:r>
      <w:r w:rsidRPr="005D36F1">
        <w:rPr>
          <w:rFonts w:ascii="Times New Roman" w:hAnsi="Times New Roman" w:cs="Times New Roman"/>
          <w:color w:val="000000" w:themeColor="text1"/>
          <w:sz w:val="28"/>
          <w:szCs w:val="28"/>
          <w:shd w:val="clear" w:color="auto" w:fill="FFFFFF"/>
        </w:rPr>
        <w:t xml:space="preserve"> por el cargo analizado, el numeral quinto del artículo 154 del Código Civil, subrogado por el artículo sexto de la Ley 25 de 1992, en el entendido de que no da lugar al pago de alimentos previsto en el numeral 4 del artículo 411 del Código Civil ni a la r</w:t>
      </w:r>
      <w:r w:rsidRPr="005D36F1">
        <w:rPr>
          <w:rFonts w:ascii="Times New Roman" w:hAnsi="Times New Roman" w:cs="Times New Roman"/>
          <w:color w:val="000000" w:themeColor="text1"/>
          <w:sz w:val="28"/>
          <w:szCs w:val="28"/>
          <w:shd w:val="clear" w:color="auto" w:fill="FFFFFF"/>
        </w:rPr>
        <w:t>evocación de las donaciones que hubiere hecho por causa del matrimonio el cónyuge que reclama la disolución del vínculo matrimonial, prevista en el artículo 162 del Código Civil.</w:t>
      </w:r>
    </w:p>
    <w:p w:rsidR="00894FB7" w:rsidRPr="005D36F1" w:rsidRDefault="005D36F1" w:rsidP="00894FB7">
      <w:pPr>
        <w:shd w:val="clear" w:color="auto" w:fill="FFFFFF"/>
        <w:ind w:right="-118"/>
        <w:jc w:val="both"/>
        <w:rPr>
          <w:rFonts w:ascii="Times New Roman" w:hAnsi="Times New Roman" w:cs="Times New Roman"/>
          <w:color w:val="000000" w:themeColor="text1"/>
          <w:sz w:val="28"/>
        </w:rPr>
      </w:pPr>
    </w:p>
    <w:p w:rsidR="003D467A" w:rsidRPr="005D36F1" w:rsidRDefault="005D36F1" w:rsidP="00B5075E">
      <w:pPr>
        <w:pStyle w:val="mediumshading1-accent11"/>
        <w:shd w:val="clear" w:color="auto" w:fill="FFFFFF"/>
        <w:spacing w:before="0" w:beforeAutospacing="0" w:after="0" w:afterAutospacing="0"/>
        <w:jc w:val="both"/>
        <w:rPr>
          <w:rFonts w:ascii="Times New Roman" w:hAnsi="Times New Roman" w:cs="Times New Roman"/>
          <w:color w:val="000000" w:themeColor="text1"/>
          <w:sz w:val="28"/>
          <w:szCs w:val="28"/>
          <w:shd w:val="clear" w:color="auto" w:fill="FFFFFF"/>
          <w:lang w:val="es-ES_tradnl"/>
        </w:rPr>
      </w:pPr>
      <w:r w:rsidRPr="005D36F1">
        <w:rPr>
          <w:rFonts w:ascii="Times New Roman" w:hAnsi="Times New Roman" w:cs="Times New Roman"/>
          <w:color w:val="000000" w:themeColor="text1"/>
          <w:sz w:val="28"/>
          <w:szCs w:val="28"/>
          <w:shd w:val="clear" w:color="auto" w:fill="FFFFFF"/>
          <w:lang w:val="es-ES_tradnl"/>
        </w:rPr>
        <w:t>Notifíquese, comuníquese y cúmplase,</w:t>
      </w:r>
    </w:p>
    <w:p w:rsidR="00F076C3" w:rsidRPr="005D36F1" w:rsidRDefault="005D36F1" w:rsidP="00B5075E">
      <w:pPr>
        <w:pStyle w:val="mediumshading1-accent11"/>
        <w:shd w:val="clear" w:color="auto" w:fill="FFFFFF"/>
        <w:spacing w:before="0" w:beforeAutospacing="0" w:after="0" w:afterAutospacing="0"/>
        <w:jc w:val="both"/>
        <w:rPr>
          <w:rFonts w:ascii="Times New Roman" w:hAnsi="Times New Roman" w:cs="Times New Roman"/>
          <w:color w:val="000000" w:themeColor="text1"/>
          <w:sz w:val="28"/>
        </w:rPr>
      </w:pPr>
    </w:p>
    <w:p w:rsidR="00F076C3" w:rsidRPr="005D36F1" w:rsidRDefault="005D36F1" w:rsidP="00B5075E">
      <w:pPr>
        <w:pStyle w:val="mediumshading1-accent11"/>
        <w:shd w:val="clear" w:color="auto" w:fill="FFFFFF"/>
        <w:spacing w:before="0" w:beforeAutospacing="0" w:after="0" w:afterAutospacing="0"/>
        <w:jc w:val="both"/>
        <w:rPr>
          <w:rFonts w:ascii="Times New Roman" w:hAnsi="Times New Roman" w:cs="Times New Roman"/>
          <w:color w:val="000000" w:themeColor="text1"/>
          <w:sz w:val="28"/>
        </w:rPr>
      </w:pP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JOSE FERNANDO REYES CUARTAS</w:t>
      </w: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Magistrado</w:t>
      </w: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Con aclaración de voto</w:t>
      </w: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NATALIA ÁNGEL CABO</w:t>
      </w: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Magistrada</w:t>
      </w: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JUAN CARLOS CORTÉS GONZÁLEZ</w:t>
      </w: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Magistrado</w:t>
      </w: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DIANA FAJARDO RIVERA</w:t>
      </w: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Magistrada</w:t>
      </w: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VLADIMIR FERNÁNDEZ ANDRADE</w:t>
      </w: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Magistrado</w:t>
      </w: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Salvamento parcial de voto</w:t>
      </w: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 xml:space="preserve">JORGE ENRIQUE IBÁÑEZ NAJAR </w:t>
      </w: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Magistrado</w:t>
      </w: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Con aclaración de voto</w:t>
      </w: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ANTONIO JOSÉ LIZARAZO OCAMPO</w:t>
      </w: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Magistrado</w:t>
      </w: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PAOLA ANDREA MENESES MOSQUERA</w:t>
      </w: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Magistrada</w:t>
      </w: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CRISTINA PARDO SCHLESINGER</w:t>
      </w: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Magistrada</w:t>
      </w: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ANDREA LILIANA ROMERO LOPEZ</w:t>
      </w:r>
    </w:p>
    <w:p w:rsidR="00F076C3" w:rsidRPr="005D36F1" w:rsidRDefault="005D36F1" w:rsidP="00F076C3">
      <w:pPr>
        <w:pStyle w:val="mediumshading1-accent11"/>
        <w:shd w:val="clear" w:color="auto" w:fill="FFFFFF"/>
        <w:spacing w:before="0" w:beforeAutospacing="0" w:after="0" w:afterAutospacing="0"/>
        <w:jc w:val="center"/>
        <w:rPr>
          <w:rFonts w:ascii="Times New Roman" w:hAnsi="Times New Roman" w:cs="Times New Roman"/>
          <w:color w:val="000000" w:themeColor="text1"/>
          <w:sz w:val="28"/>
        </w:rPr>
      </w:pPr>
      <w:r w:rsidRPr="005D36F1">
        <w:rPr>
          <w:rFonts w:ascii="Times New Roman" w:hAnsi="Times New Roman" w:cs="Times New Roman"/>
          <w:color w:val="000000" w:themeColor="text1"/>
          <w:sz w:val="28"/>
        </w:rPr>
        <w:t>Secretaria General</w:t>
      </w:r>
    </w:p>
    <w:p w:rsidR="00625ADC" w:rsidRPr="005D36F1" w:rsidRDefault="005D36F1" w:rsidP="0009084F">
      <w:pPr>
        <w:shd w:val="clear" w:color="auto" w:fill="FFFFFF"/>
        <w:jc w:val="center"/>
        <w:textAlignment w:val="baseline"/>
        <w:rPr>
          <w:rFonts w:ascii="Times New Roman" w:hAnsi="Times New Roman" w:cs="Times New Roman"/>
          <w:b/>
          <w:bCs/>
          <w:color w:val="000000" w:themeColor="text1"/>
          <w:sz w:val="28"/>
          <w:szCs w:val="28"/>
          <w:bdr w:val="none" w:sz="0" w:space="0" w:color="auto" w:frame="1"/>
          <w:lang w:val="es-ES"/>
        </w:rPr>
      </w:pPr>
    </w:p>
    <w:p w:rsidR="00625ADC" w:rsidRPr="005D36F1" w:rsidRDefault="005D36F1" w:rsidP="0009084F">
      <w:pPr>
        <w:shd w:val="clear" w:color="auto" w:fill="FFFFFF"/>
        <w:jc w:val="center"/>
        <w:textAlignment w:val="baseline"/>
        <w:rPr>
          <w:rFonts w:ascii="Times New Roman" w:hAnsi="Times New Roman" w:cs="Times New Roman"/>
          <w:b/>
          <w:bCs/>
          <w:color w:val="000000" w:themeColor="text1"/>
          <w:sz w:val="28"/>
          <w:szCs w:val="28"/>
          <w:bdr w:val="none" w:sz="0" w:space="0" w:color="auto" w:frame="1"/>
          <w:lang w:val="es-ES"/>
        </w:rPr>
      </w:pPr>
    </w:p>
    <w:p w:rsidR="00000B7D" w:rsidRPr="005D36F1" w:rsidRDefault="005D36F1" w:rsidP="0009084F">
      <w:pPr>
        <w:shd w:val="clear" w:color="auto" w:fill="FFFFFF"/>
        <w:jc w:val="center"/>
        <w:textAlignment w:val="baseline"/>
        <w:rPr>
          <w:rFonts w:ascii="Times New Roman" w:hAnsi="Times New Roman" w:cs="Times New Roman"/>
          <w:b/>
          <w:bCs/>
          <w:color w:val="000000" w:themeColor="text1"/>
          <w:sz w:val="28"/>
          <w:szCs w:val="28"/>
          <w:bdr w:val="none" w:sz="0" w:space="0" w:color="auto" w:frame="1"/>
          <w:lang w:val="es-ES"/>
        </w:rPr>
      </w:pPr>
      <w:r w:rsidRPr="005D36F1">
        <w:rPr>
          <w:rFonts w:ascii="Times New Roman" w:hAnsi="Times New Roman" w:cs="Times New Roman"/>
          <w:b/>
          <w:bCs/>
          <w:color w:val="000000" w:themeColor="text1"/>
          <w:sz w:val="28"/>
          <w:szCs w:val="28"/>
          <w:bdr w:val="none" w:sz="0" w:space="0" w:color="auto" w:frame="1"/>
          <w:lang w:val="es-ES"/>
        </w:rPr>
        <w:t xml:space="preserve">ACLARACIÓN DE VOTO DEL MAGISTRADO </w:t>
      </w:r>
    </w:p>
    <w:p w:rsidR="00E02AAE" w:rsidRPr="005D36F1" w:rsidRDefault="005D36F1" w:rsidP="0009084F">
      <w:pPr>
        <w:shd w:val="clear" w:color="auto" w:fill="FFFFFF"/>
        <w:jc w:val="center"/>
        <w:textAlignment w:val="baseline"/>
        <w:rPr>
          <w:rFonts w:ascii="Times New Roman" w:hAnsi="Times New Roman" w:cs="Times New Roman"/>
          <w:b/>
          <w:bCs/>
          <w:color w:val="000000" w:themeColor="text1"/>
          <w:sz w:val="28"/>
          <w:szCs w:val="28"/>
          <w:bdr w:val="none" w:sz="0" w:space="0" w:color="auto" w:frame="1"/>
          <w:lang w:val="es-ES"/>
        </w:rPr>
      </w:pPr>
      <w:r w:rsidRPr="005D36F1">
        <w:rPr>
          <w:rFonts w:ascii="Times New Roman" w:hAnsi="Times New Roman" w:cs="Times New Roman"/>
          <w:b/>
          <w:bCs/>
          <w:color w:val="000000" w:themeColor="text1"/>
          <w:sz w:val="28"/>
          <w:szCs w:val="28"/>
          <w:bdr w:val="none" w:sz="0" w:space="0" w:color="auto" w:frame="1"/>
          <w:lang w:val="es-ES"/>
        </w:rPr>
        <w:t xml:space="preserve">JORGE ENRIQUE </w:t>
      </w:r>
      <w:r w:rsidRPr="005D36F1">
        <w:rPr>
          <w:rFonts w:ascii="Times New Roman" w:hAnsi="Times New Roman" w:cs="Times New Roman"/>
          <w:b/>
          <w:bCs/>
          <w:color w:val="000000" w:themeColor="text1"/>
          <w:sz w:val="28"/>
          <w:szCs w:val="28"/>
          <w:bdr w:val="none" w:sz="0" w:space="0" w:color="auto" w:frame="1"/>
          <w:lang w:val="es-ES"/>
        </w:rPr>
        <w:t>IBÁÑEZ NAJAR</w:t>
      </w:r>
    </w:p>
    <w:p w:rsidR="0069366E" w:rsidRPr="005D36F1" w:rsidRDefault="005D36F1" w:rsidP="0009084F">
      <w:pPr>
        <w:shd w:val="clear" w:color="auto" w:fill="FFFFFF"/>
        <w:jc w:val="center"/>
        <w:textAlignment w:val="baseline"/>
        <w:rPr>
          <w:rFonts w:ascii="Times New Roman" w:hAnsi="Times New Roman" w:cs="Times New Roman"/>
          <w:b/>
          <w:bCs/>
          <w:color w:val="000000" w:themeColor="text1"/>
          <w:sz w:val="28"/>
          <w:szCs w:val="28"/>
          <w:bdr w:val="none" w:sz="0" w:space="0" w:color="auto" w:frame="1"/>
          <w:lang w:val="es-ES"/>
        </w:rPr>
      </w:pPr>
      <w:r w:rsidRPr="005D36F1">
        <w:rPr>
          <w:rFonts w:ascii="Times New Roman" w:hAnsi="Times New Roman" w:cs="Times New Roman"/>
          <w:b/>
          <w:bCs/>
          <w:color w:val="000000" w:themeColor="text1"/>
          <w:sz w:val="28"/>
          <w:szCs w:val="28"/>
          <w:bdr w:val="none" w:sz="0" w:space="0" w:color="auto" w:frame="1"/>
          <w:lang w:val="es-ES"/>
        </w:rPr>
        <w:t xml:space="preserve"> A LA </w:t>
      </w:r>
      <w:r w:rsidRPr="005D36F1">
        <w:rPr>
          <w:rFonts w:ascii="Times New Roman" w:hAnsi="Times New Roman" w:cs="Times New Roman"/>
          <w:b/>
          <w:bCs/>
          <w:color w:val="000000" w:themeColor="text1"/>
          <w:sz w:val="28"/>
          <w:szCs w:val="28"/>
          <w:bdr w:val="none" w:sz="0" w:space="0" w:color="auto" w:frame="1"/>
          <w:lang w:val="es-ES"/>
        </w:rPr>
        <w:t xml:space="preserve">SENTENCIA </w:t>
      </w:r>
      <w:r w:rsidRPr="005D36F1">
        <w:rPr>
          <w:rFonts w:ascii="Times New Roman" w:hAnsi="Times New Roman" w:cs="Times New Roman"/>
          <w:b/>
          <w:bCs/>
          <w:color w:val="000000" w:themeColor="text1"/>
          <w:sz w:val="28"/>
          <w:szCs w:val="28"/>
          <w:bdr w:val="none" w:sz="0" w:space="0" w:color="auto" w:frame="1"/>
          <w:lang w:val="es-ES"/>
        </w:rPr>
        <w:t>C-096</w:t>
      </w:r>
      <w:r w:rsidRPr="005D36F1">
        <w:rPr>
          <w:rFonts w:ascii="Times New Roman" w:hAnsi="Times New Roman" w:cs="Times New Roman"/>
          <w:b/>
          <w:bCs/>
          <w:color w:val="000000" w:themeColor="text1"/>
          <w:sz w:val="28"/>
          <w:szCs w:val="28"/>
          <w:bdr w:val="none" w:sz="0" w:space="0" w:color="auto" w:frame="1"/>
          <w:lang w:val="es-ES"/>
        </w:rPr>
        <w:t>/</w:t>
      </w:r>
      <w:r w:rsidRPr="005D36F1">
        <w:rPr>
          <w:rFonts w:ascii="Times New Roman" w:hAnsi="Times New Roman" w:cs="Times New Roman"/>
          <w:b/>
          <w:bCs/>
          <w:color w:val="000000" w:themeColor="text1"/>
          <w:sz w:val="28"/>
          <w:szCs w:val="28"/>
          <w:bdr w:val="none" w:sz="0" w:space="0" w:color="auto" w:frame="1"/>
          <w:lang w:val="es-ES"/>
        </w:rPr>
        <w:t>24</w:t>
      </w:r>
    </w:p>
    <w:p w:rsidR="00F955A6" w:rsidRPr="005D36F1" w:rsidRDefault="005D36F1" w:rsidP="0009084F">
      <w:pPr>
        <w:shd w:val="clear" w:color="auto" w:fill="FFFFFF"/>
        <w:jc w:val="center"/>
        <w:textAlignment w:val="baseline"/>
        <w:rPr>
          <w:rFonts w:ascii="Times New Roman" w:hAnsi="Times New Roman" w:cs="Times New Roman"/>
          <w:b/>
          <w:bCs/>
          <w:color w:val="000000" w:themeColor="text1"/>
          <w:sz w:val="28"/>
          <w:szCs w:val="28"/>
          <w:bdr w:val="none" w:sz="0" w:space="0" w:color="auto" w:frame="1"/>
          <w:lang w:val="es-ES"/>
        </w:rPr>
      </w:pPr>
    </w:p>
    <w:p w:rsidR="00E02AAE" w:rsidRPr="005D36F1" w:rsidRDefault="005D36F1" w:rsidP="0009084F">
      <w:pPr>
        <w:shd w:val="clear" w:color="auto" w:fill="FFFFFF"/>
        <w:jc w:val="center"/>
        <w:textAlignment w:val="baseline"/>
        <w:rPr>
          <w:rFonts w:ascii="Times New Roman" w:hAnsi="Times New Roman" w:cs="Times New Roman"/>
          <w:b/>
          <w:bCs/>
          <w:color w:val="000000" w:themeColor="text1"/>
          <w:sz w:val="28"/>
          <w:szCs w:val="28"/>
          <w:bdr w:val="none" w:sz="0" w:space="0" w:color="auto" w:frame="1"/>
          <w:lang w:val="es-ES"/>
        </w:rPr>
      </w:pPr>
    </w:p>
    <w:p w:rsidR="00000B7D" w:rsidRPr="005D36F1" w:rsidRDefault="005D36F1" w:rsidP="00E02AAE">
      <w:pPr>
        <w:ind w:left="3261" w:right="49" w:firstLine="708"/>
        <w:contextualSpacing/>
        <w:jc w:val="both"/>
        <w:rPr>
          <w:rFonts w:ascii="Times New Roman" w:hAnsi="Times New Roman" w:cs="Times New Roman"/>
          <w:color w:val="000000" w:themeColor="text1"/>
          <w:sz w:val="28"/>
          <w:szCs w:val="28"/>
          <w:lang w:val="es-ES"/>
        </w:rPr>
      </w:pPr>
      <w:r w:rsidRPr="005D36F1">
        <w:rPr>
          <w:rFonts w:ascii="Times New Roman" w:hAnsi="Times New Roman" w:cs="Times New Roman"/>
          <w:color w:val="000000" w:themeColor="text1"/>
          <w:sz w:val="28"/>
          <w:szCs w:val="28"/>
          <w:lang w:val="es-ES"/>
        </w:rPr>
        <w:t>Expediente</w:t>
      </w:r>
      <w:r w:rsidRPr="005D36F1">
        <w:rPr>
          <w:rFonts w:ascii="Times New Roman" w:hAnsi="Times New Roman" w:cs="Times New Roman"/>
          <w:color w:val="000000" w:themeColor="text1"/>
          <w:sz w:val="28"/>
          <w:szCs w:val="28"/>
          <w:lang w:val="es-ES"/>
        </w:rPr>
        <w:t xml:space="preserve">: </w:t>
      </w:r>
      <w:r w:rsidRPr="005D36F1">
        <w:rPr>
          <w:rFonts w:ascii="Times New Roman" w:hAnsi="Times New Roman" w:cs="Times New Roman"/>
          <w:color w:val="000000" w:themeColor="text1"/>
          <w:sz w:val="28"/>
          <w:szCs w:val="28"/>
          <w:lang w:val="es-ES"/>
        </w:rPr>
        <w:t>D-</w:t>
      </w:r>
      <w:r w:rsidRPr="005D36F1">
        <w:rPr>
          <w:rFonts w:ascii="Times New Roman" w:hAnsi="Times New Roman" w:cs="Times New Roman"/>
          <w:color w:val="000000" w:themeColor="text1"/>
          <w:sz w:val="28"/>
          <w:szCs w:val="28"/>
          <w:lang w:val="es-ES"/>
        </w:rPr>
        <w:t>15.432</w:t>
      </w:r>
    </w:p>
    <w:p w:rsidR="00E02AAE" w:rsidRPr="005D36F1" w:rsidRDefault="005D36F1" w:rsidP="00E02AAE">
      <w:pPr>
        <w:ind w:left="3969" w:right="49"/>
        <w:contextualSpacing/>
        <w:jc w:val="both"/>
        <w:rPr>
          <w:rFonts w:ascii="Times New Roman" w:hAnsi="Times New Roman" w:cs="Times New Roman"/>
          <w:color w:val="000000" w:themeColor="text1"/>
          <w:sz w:val="28"/>
          <w:szCs w:val="28"/>
          <w:lang w:val="es-ES"/>
        </w:rPr>
      </w:pPr>
    </w:p>
    <w:p w:rsidR="00000B7D" w:rsidRPr="005D36F1" w:rsidRDefault="005D36F1" w:rsidP="00E02AAE">
      <w:pPr>
        <w:shd w:val="clear" w:color="auto" w:fill="FFFFFF"/>
        <w:ind w:left="3969" w:right="-518"/>
        <w:jc w:val="both"/>
        <w:textAlignment w:val="baseline"/>
        <w:rPr>
          <w:rFonts w:ascii="Times New Roman" w:hAnsi="Times New Roman" w:cs="Times New Roman"/>
          <w:color w:val="000000" w:themeColor="text1"/>
          <w:sz w:val="28"/>
          <w:szCs w:val="28"/>
          <w:lang w:val="es-ES"/>
        </w:rPr>
      </w:pPr>
      <w:r w:rsidRPr="005D36F1">
        <w:rPr>
          <w:rFonts w:ascii="Times New Roman" w:hAnsi="Times New Roman" w:cs="Times New Roman"/>
          <w:color w:val="000000" w:themeColor="text1"/>
          <w:sz w:val="28"/>
          <w:szCs w:val="28"/>
          <w:bdr w:val="none" w:sz="0" w:space="0" w:color="auto" w:frame="1"/>
          <w:lang w:val="es-ES"/>
        </w:rPr>
        <w:t>Magistrad</w:t>
      </w:r>
      <w:r w:rsidRPr="005D36F1">
        <w:rPr>
          <w:rFonts w:ascii="Times New Roman" w:hAnsi="Times New Roman" w:cs="Times New Roman"/>
          <w:color w:val="000000" w:themeColor="text1"/>
          <w:sz w:val="28"/>
          <w:szCs w:val="28"/>
          <w:bdr w:val="none" w:sz="0" w:space="0" w:color="auto" w:frame="1"/>
          <w:lang w:val="es-ES"/>
        </w:rPr>
        <w:t>a</w:t>
      </w:r>
      <w:r w:rsidRPr="005D36F1">
        <w:rPr>
          <w:rFonts w:ascii="Times New Roman" w:hAnsi="Times New Roman" w:cs="Times New Roman"/>
          <w:color w:val="000000" w:themeColor="text1"/>
          <w:sz w:val="28"/>
          <w:szCs w:val="28"/>
          <w:bdr w:val="none" w:sz="0" w:space="0" w:color="auto" w:frame="1"/>
          <w:lang w:val="es-ES"/>
        </w:rPr>
        <w:t xml:space="preserve"> </w:t>
      </w:r>
      <w:r w:rsidRPr="005D36F1">
        <w:rPr>
          <w:rFonts w:ascii="Times New Roman" w:hAnsi="Times New Roman" w:cs="Times New Roman"/>
          <w:color w:val="000000" w:themeColor="text1"/>
          <w:sz w:val="28"/>
          <w:szCs w:val="28"/>
          <w:bdr w:val="none" w:sz="0" w:space="0" w:color="auto" w:frame="1"/>
          <w:lang w:val="es-ES"/>
        </w:rPr>
        <w:t>P</w:t>
      </w:r>
      <w:r w:rsidRPr="005D36F1">
        <w:rPr>
          <w:rFonts w:ascii="Times New Roman" w:hAnsi="Times New Roman" w:cs="Times New Roman"/>
          <w:color w:val="000000" w:themeColor="text1"/>
          <w:sz w:val="28"/>
          <w:szCs w:val="28"/>
          <w:bdr w:val="none" w:sz="0" w:space="0" w:color="auto" w:frame="1"/>
          <w:lang w:val="es-ES"/>
        </w:rPr>
        <w:t xml:space="preserve">onente: </w:t>
      </w:r>
      <w:r w:rsidRPr="005D36F1">
        <w:rPr>
          <w:rFonts w:ascii="Times New Roman" w:hAnsi="Times New Roman" w:cs="Times New Roman"/>
          <w:color w:val="000000" w:themeColor="text1"/>
          <w:sz w:val="28"/>
          <w:szCs w:val="28"/>
          <w:bdr w:val="none" w:sz="0" w:space="0" w:color="auto" w:frame="1"/>
          <w:lang w:val="es-ES"/>
        </w:rPr>
        <w:t>Paola Andrea Meneses Mosquera</w:t>
      </w:r>
    </w:p>
    <w:p w:rsidR="00000B7D" w:rsidRPr="005D36F1" w:rsidRDefault="005D36F1" w:rsidP="0009084F">
      <w:pPr>
        <w:jc w:val="both"/>
        <w:rPr>
          <w:rFonts w:ascii="Times New Roman" w:hAnsi="Times New Roman" w:cs="Times New Roman"/>
          <w:color w:val="000000" w:themeColor="text1"/>
          <w:sz w:val="28"/>
          <w:szCs w:val="28"/>
          <w:lang w:val="es-ES"/>
        </w:rPr>
      </w:pPr>
    </w:p>
    <w:p w:rsidR="00000B7D" w:rsidRPr="005D36F1" w:rsidRDefault="005D36F1" w:rsidP="0009084F">
      <w:pPr>
        <w:jc w:val="both"/>
        <w:rPr>
          <w:rFonts w:ascii="Times New Roman" w:hAnsi="Times New Roman" w:cs="Times New Roman"/>
          <w:color w:val="000000" w:themeColor="text1"/>
          <w:sz w:val="28"/>
          <w:szCs w:val="28"/>
          <w:lang w:val="es-ES"/>
        </w:rPr>
      </w:pPr>
    </w:p>
    <w:p w:rsidR="004B313F" w:rsidRPr="005D36F1" w:rsidRDefault="005D36F1" w:rsidP="0009084F">
      <w:pPr>
        <w:pStyle w:val="Prrafodelista"/>
        <w:ind w:left="0"/>
        <w:jc w:val="both"/>
        <w:rPr>
          <w:rFonts w:ascii="Times New Roman" w:hAnsi="Times New Roman" w:cs="Times New Roman"/>
          <w:color w:val="000000" w:themeColor="text1"/>
          <w:sz w:val="28"/>
          <w:lang w:val="es-ES"/>
        </w:rPr>
      </w:pPr>
      <w:r w:rsidRPr="005D36F1">
        <w:rPr>
          <w:rFonts w:ascii="Times New Roman" w:hAnsi="Times New Roman" w:cs="Times New Roman"/>
          <w:color w:val="000000" w:themeColor="text1"/>
          <w:sz w:val="28"/>
          <w:lang w:val="es-ES"/>
        </w:rPr>
        <w:t xml:space="preserve">Con el acostumbrado respeto por las decisiones adoptadas por la Sala </w:t>
      </w:r>
      <w:r w:rsidRPr="005D36F1">
        <w:rPr>
          <w:rFonts w:ascii="Times New Roman" w:hAnsi="Times New Roman" w:cs="Times New Roman"/>
          <w:color w:val="000000" w:themeColor="text1"/>
          <w:sz w:val="28"/>
          <w:lang w:val="es-ES"/>
        </w:rPr>
        <w:t>Plena de la Corte Constitucional</w:t>
      </w:r>
      <w:r w:rsidRPr="005D36F1">
        <w:rPr>
          <w:rFonts w:ascii="Times New Roman" w:hAnsi="Times New Roman" w:cs="Times New Roman"/>
          <w:color w:val="000000" w:themeColor="text1"/>
          <w:sz w:val="28"/>
          <w:lang w:val="es-ES"/>
        </w:rPr>
        <w:t xml:space="preserve">, suscribo la presente aclaración de voto en relación con la </w:t>
      </w:r>
      <w:r w:rsidRPr="005D36F1">
        <w:rPr>
          <w:rFonts w:ascii="Times New Roman" w:hAnsi="Times New Roman" w:cs="Times New Roman"/>
          <w:color w:val="000000" w:themeColor="text1"/>
          <w:sz w:val="28"/>
          <w:lang w:val="es-ES"/>
        </w:rPr>
        <w:t xml:space="preserve">Sentencia </w:t>
      </w:r>
      <w:r w:rsidRPr="005D36F1">
        <w:rPr>
          <w:rFonts w:ascii="Times New Roman" w:hAnsi="Times New Roman" w:cs="Times New Roman"/>
          <w:color w:val="000000" w:themeColor="text1"/>
          <w:sz w:val="28"/>
          <w:lang w:val="es-ES"/>
        </w:rPr>
        <w:t>C-096</w:t>
      </w:r>
      <w:r w:rsidRPr="005D36F1">
        <w:rPr>
          <w:rFonts w:ascii="Times New Roman" w:hAnsi="Times New Roman" w:cs="Times New Roman"/>
          <w:color w:val="000000" w:themeColor="text1"/>
          <w:sz w:val="28"/>
          <w:lang w:val="es-ES"/>
        </w:rPr>
        <w:t xml:space="preserve"> de 2024</w:t>
      </w:r>
      <w:r w:rsidRPr="005D36F1">
        <w:rPr>
          <w:rFonts w:ascii="Times New Roman" w:hAnsi="Times New Roman" w:cs="Times New Roman"/>
          <w:color w:val="000000" w:themeColor="text1"/>
          <w:sz w:val="28"/>
          <w:lang w:val="es-ES"/>
        </w:rPr>
        <w:t xml:space="preserve">. </w:t>
      </w:r>
      <w:r w:rsidRPr="005D36F1">
        <w:rPr>
          <w:rFonts w:ascii="Times New Roman" w:hAnsi="Times New Roman" w:cs="Times New Roman"/>
          <w:color w:val="000000" w:themeColor="text1"/>
          <w:sz w:val="28"/>
          <w:lang w:val="es-ES"/>
        </w:rPr>
        <w:t>En la sentencia en cita</w:t>
      </w:r>
      <w:r w:rsidRPr="005D36F1">
        <w:rPr>
          <w:rFonts w:ascii="Times New Roman" w:hAnsi="Times New Roman" w:cs="Times New Roman"/>
          <w:color w:val="000000" w:themeColor="text1"/>
          <w:sz w:val="28"/>
          <w:szCs w:val="28"/>
          <w:lang w:val="es-ES"/>
        </w:rPr>
        <w:t xml:space="preserve"> se </w:t>
      </w:r>
      <w:r w:rsidRPr="005D36F1">
        <w:rPr>
          <w:rFonts w:ascii="Times New Roman" w:hAnsi="Times New Roman" w:cs="Times New Roman"/>
          <w:color w:val="000000" w:themeColor="text1"/>
          <w:sz w:val="28"/>
          <w:szCs w:val="28"/>
          <w:lang w:val="es-ES"/>
        </w:rPr>
        <w:t>resolvió</w:t>
      </w:r>
      <w:r w:rsidRPr="005D36F1">
        <w:rPr>
          <w:rFonts w:ascii="Times New Roman" w:hAnsi="Times New Roman" w:cs="Times New Roman"/>
          <w:color w:val="000000" w:themeColor="text1"/>
          <w:sz w:val="28"/>
          <w:szCs w:val="28"/>
          <w:lang w:val="es-ES"/>
        </w:rPr>
        <w:t xml:space="preserve"> la demanda de inconstitucionalidad en contra del numeral quinto del artículo 154 del Código Civil que establec</w:t>
      </w:r>
      <w:r w:rsidRPr="005D36F1">
        <w:rPr>
          <w:rFonts w:ascii="Times New Roman" w:hAnsi="Times New Roman" w:cs="Times New Roman"/>
          <w:color w:val="000000" w:themeColor="text1"/>
          <w:sz w:val="28"/>
          <w:szCs w:val="28"/>
          <w:lang w:val="es-ES"/>
        </w:rPr>
        <w:t>ía</w:t>
      </w:r>
      <w:r w:rsidRPr="005D36F1">
        <w:rPr>
          <w:rFonts w:ascii="Times New Roman" w:hAnsi="Times New Roman" w:cs="Times New Roman"/>
          <w:color w:val="000000" w:themeColor="text1"/>
          <w:sz w:val="28"/>
          <w:szCs w:val="28"/>
          <w:lang w:val="es-ES"/>
        </w:rPr>
        <w:t xml:space="preserve"> </w:t>
      </w:r>
      <w:r w:rsidRPr="005D36F1">
        <w:rPr>
          <w:rFonts w:ascii="Times New Roman" w:hAnsi="Times New Roman" w:cs="Times New Roman"/>
          <w:i/>
          <w:iCs/>
          <w:color w:val="000000" w:themeColor="text1"/>
          <w:sz w:val="28"/>
          <w:szCs w:val="28"/>
          <w:lang w:val="es-ES"/>
        </w:rPr>
        <w:t>“[e]l uso habitual de</w:t>
      </w:r>
      <w:r w:rsidRPr="005D36F1">
        <w:rPr>
          <w:rFonts w:ascii="Times New Roman" w:hAnsi="Times New Roman" w:cs="Times New Roman"/>
          <w:i/>
          <w:iCs/>
          <w:color w:val="000000" w:themeColor="text1"/>
          <w:sz w:val="28"/>
          <w:szCs w:val="28"/>
          <w:lang w:val="es-ES"/>
        </w:rPr>
        <w:t xml:space="preserve"> sustancias alucinógenas o estupefacientes, salvo prescripción médica”</w:t>
      </w:r>
      <w:r w:rsidRPr="005D36F1">
        <w:rPr>
          <w:rFonts w:ascii="Times New Roman" w:hAnsi="Times New Roman" w:cs="Times New Roman"/>
          <w:i/>
          <w:iCs/>
          <w:color w:val="000000" w:themeColor="text1"/>
          <w:sz w:val="28"/>
          <w:szCs w:val="28"/>
          <w:lang w:val="es-ES"/>
        </w:rPr>
        <w:t xml:space="preserve"> </w:t>
      </w:r>
      <w:r w:rsidRPr="005D36F1">
        <w:rPr>
          <w:rFonts w:ascii="Times New Roman" w:hAnsi="Times New Roman" w:cs="Times New Roman"/>
          <w:color w:val="000000" w:themeColor="text1"/>
          <w:sz w:val="28"/>
          <w:szCs w:val="28"/>
          <w:lang w:val="es-ES"/>
        </w:rPr>
        <w:t>como causal de divorcio.</w:t>
      </w:r>
      <w:r w:rsidRPr="005D36F1">
        <w:rPr>
          <w:rFonts w:ascii="Times New Roman" w:hAnsi="Times New Roman" w:cs="Times New Roman"/>
          <w:i/>
          <w:iCs/>
          <w:color w:val="000000" w:themeColor="text1"/>
          <w:sz w:val="28"/>
          <w:szCs w:val="28"/>
          <w:lang w:val="es-ES"/>
        </w:rPr>
        <w:t xml:space="preserve"> </w:t>
      </w:r>
      <w:r w:rsidRPr="005D36F1">
        <w:rPr>
          <w:rFonts w:ascii="Times New Roman" w:hAnsi="Times New Roman" w:cs="Times New Roman"/>
          <w:color w:val="000000" w:themeColor="text1"/>
          <w:sz w:val="28"/>
          <w:szCs w:val="28"/>
          <w:lang w:val="es-ES"/>
        </w:rPr>
        <w:t xml:space="preserve">La parte resolutiva de la sentencia resolvió declarar exequible la disposición normativa </w:t>
      </w:r>
      <w:r w:rsidRPr="005D36F1">
        <w:rPr>
          <w:rFonts w:ascii="Times New Roman" w:hAnsi="Times New Roman" w:cs="Times New Roman"/>
          <w:i/>
          <w:iCs/>
          <w:sz w:val="28"/>
          <w:szCs w:val="28"/>
          <w:lang w:val="es-ES"/>
        </w:rPr>
        <w:t>“en el entendido de que no da lugar al pago de alimentos previsto en el</w:t>
      </w:r>
      <w:r w:rsidRPr="005D36F1">
        <w:rPr>
          <w:rFonts w:ascii="Times New Roman" w:hAnsi="Times New Roman" w:cs="Times New Roman"/>
          <w:i/>
          <w:iCs/>
          <w:sz w:val="28"/>
          <w:szCs w:val="28"/>
          <w:lang w:val="es-ES"/>
        </w:rPr>
        <w:t xml:space="preserve"> numeral 4 del </w:t>
      </w:r>
      <w:r w:rsidRPr="005D36F1">
        <w:rPr>
          <w:rFonts w:ascii="Times New Roman" w:hAnsi="Times New Roman" w:cs="Times New Roman"/>
          <w:i/>
          <w:iCs/>
          <w:sz w:val="28"/>
          <w:szCs w:val="28"/>
          <w:lang w:val="es-ES"/>
        </w:rPr>
        <w:t>artículo</w:t>
      </w:r>
      <w:r w:rsidRPr="005D36F1">
        <w:rPr>
          <w:rFonts w:ascii="Times New Roman" w:hAnsi="Times New Roman" w:cs="Times New Roman"/>
          <w:i/>
          <w:iCs/>
          <w:sz w:val="28"/>
          <w:szCs w:val="28"/>
          <w:lang w:val="es-ES"/>
        </w:rPr>
        <w:t xml:space="preserve"> 411 del </w:t>
      </w:r>
      <w:r w:rsidRPr="005D36F1">
        <w:rPr>
          <w:rFonts w:ascii="Times New Roman" w:hAnsi="Times New Roman" w:cs="Times New Roman"/>
          <w:i/>
          <w:iCs/>
          <w:sz w:val="28"/>
          <w:szCs w:val="28"/>
          <w:lang w:val="es-ES"/>
        </w:rPr>
        <w:t>Código</w:t>
      </w:r>
      <w:r w:rsidRPr="005D36F1">
        <w:rPr>
          <w:rFonts w:ascii="Times New Roman" w:hAnsi="Times New Roman" w:cs="Times New Roman"/>
          <w:i/>
          <w:iCs/>
          <w:sz w:val="28"/>
          <w:szCs w:val="28"/>
          <w:lang w:val="es-ES"/>
        </w:rPr>
        <w:t xml:space="preserve"> Civil ni a la </w:t>
      </w:r>
      <w:r w:rsidRPr="005D36F1">
        <w:rPr>
          <w:rFonts w:ascii="Times New Roman" w:hAnsi="Times New Roman" w:cs="Times New Roman"/>
          <w:i/>
          <w:iCs/>
          <w:sz w:val="28"/>
          <w:szCs w:val="28"/>
          <w:lang w:val="es-ES"/>
        </w:rPr>
        <w:t>revocación</w:t>
      </w:r>
      <w:r w:rsidRPr="005D36F1">
        <w:rPr>
          <w:rFonts w:ascii="Times New Roman" w:hAnsi="Times New Roman" w:cs="Times New Roman"/>
          <w:i/>
          <w:iCs/>
          <w:sz w:val="28"/>
          <w:szCs w:val="28"/>
          <w:lang w:val="es-ES"/>
        </w:rPr>
        <w:t xml:space="preserve"> de las donaciones que hubiere hecho por causa del matrimonio el </w:t>
      </w:r>
      <w:r w:rsidRPr="005D36F1">
        <w:rPr>
          <w:rFonts w:ascii="Times New Roman" w:hAnsi="Times New Roman" w:cs="Times New Roman"/>
          <w:i/>
          <w:iCs/>
          <w:sz w:val="28"/>
          <w:szCs w:val="28"/>
          <w:lang w:val="es-ES"/>
        </w:rPr>
        <w:t>cónyuge</w:t>
      </w:r>
      <w:r w:rsidRPr="005D36F1">
        <w:rPr>
          <w:rFonts w:ascii="Times New Roman" w:hAnsi="Times New Roman" w:cs="Times New Roman"/>
          <w:i/>
          <w:iCs/>
          <w:sz w:val="28"/>
          <w:szCs w:val="28"/>
          <w:lang w:val="es-ES"/>
        </w:rPr>
        <w:t xml:space="preserve"> que reclama la </w:t>
      </w:r>
      <w:r w:rsidRPr="005D36F1">
        <w:rPr>
          <w:rFonts w:ascii="Times New Roman" w:hAnsi="Times New Roman" w:cs="Times New Roman"/>
          <w:i/>
          <w:iCs/>
          <w:sz w:val="28"/>
          <w:szCs w:val="28"/>
          <w:lang w:val="es-ES"/>
        </w:rPr>
        <w:t>disolución</w:t>
      </w:r>
      <w:r w:rsidRPr="005D36F1">
        <w:rPr>
          <w:rFonts w:ascii="Times New Roman" w:hAnsi="Times New Roman" w:cs="Times New Roman"/>
          <w:i/>
          <w:iCs/>
          <w:sz w:val="28"/>
          <w:szCs w:val="28"/>
          <w:lang w:val="es-ES"/>
        </w:rPr>
        <w:t xml:space="preserve"> del </w:t>
      </w:r>
      <w:r w:rsidRPr="005D36F1">
        <w:rPr>
          <w:rFonts w:ascii="Times New Roman" w:hAnsi="Times New Roman" w:cs="Times New Roman"/>
          <w:i/>
          <w:iCs/>
          <w:sz w:val="28"/>
          <w:szCs w:val="28"/>
          <w:lang w:val="es-ES"/>
        </w:rPr>
        <w:t>vínculo</w:t>
      </w:r>
      <w:r w:rsidRPr="005D36F1">
        <w:rPr>
          <w:rFonts w:ascii="Times New Roman" w:hAnsi="Times New Roman" w:cs="Times New Roman"/>
          <w:i/>
          <w:iCs/>
          <w:sz w:val="28"/>
          <w:szCs w:val="28"/>
          <w:lang w:val="es-ES"/>
        </w:rPr>
        <w:t xml:space="preserve"> matrimonial, prevista en el </w:t>
      </w:r>
      <w:r w:rsidRPr="005D36F1">
        <w:rPr>
          <w:rFonts w:ascii="Times New Roman" w:hAnsi="Times New Roman" w:cs="Times New Roman"/>
          <w:i/>
          <w:iCs/>
          <w:sz w:val="28"/>
          <w:szCs w:val="28"/>
          <w:lang w:val="es-ES"/>
        </w:rPr>
        <w:t>artículo</w:t>
      </w:r>
      <w:r w:rsidRPr="005D36F1">
        <w:rPr>
          <w:rFonts w:ascii="Times New Roman" w:hAnsi="Times New Roman" w:cs="Times New Roman"/>
          <w:i/>
          <w:iCs/>
          <w:sz w:val="28"/>
          <w:szCs w:val="28"/>
          <w:lang w:val="es-ES"/>
        </w:rPr>
        <w:t xml:space="preserve"> 162 del </w:t>
      </w:r>
      <w:r w:rsidRPr="005D36F1">
        <w:rPr>
          <w:rFonts w:ascii="Times New Roman" w:hAnsi="Times New Roman" w:cs="Times New Roman"/>
          <w:i/>
          <w:iCs/>
          <w:sz w:val="28"/>
          <w:szCs w:val="28"/>
          <w:lang w:val="es-ES"/>
        </w:rPr>
        <w:t>Código</w:t>
      </w:r>
      <w:r w:rsidRPr="005D36F1">
        <w:rPr>
          <w:rFonts w:ascii="Times New Roman" w:hAnsi="Times New Roman" w:cs="Times New Roman"/>
          <w:i/>
          <w:iCs/>
          <w:sz w:val="28"/>
          <w:szCs w:val="28"/>
          <w:lang w:val="es-ES"/>
        </w:rPr>
        <w:t xml:space="preserve"> Civil.”</w:t>
      </w:r>
    </w:p>
    <w:p w:rsidR="004B313F" w:rsidRPr="005D36F1" w:rsidRDefault="005D36F1" w:rsidP="0009084F">
      <w:pPr>
        <w:pStyle w:val="Prrafodelista"/>
        <w:ind w:left="0"/>
        <w:jc w:val="both"/>
        <w:rPr>
          <w:rFonts w:ascii="Times New Roman" w:hAnsi="Times New Roman" w:cs="Times New Roman"/>
          <w:color w:val="000000"/>
          <w:sz w:val="28"/>
          <w:szCs w:val="28"/>
          <w:shd w:val="clear" w:color="auto" w:fill="FFFFFF"/>
          <w:lang w:val="es-ES"/>
        </w:rPr>
      </w:pPr>
    </w:p>
    <w:p w:rsidR="00685B0F" w:rsidRPr="005D36F1" w:rsidRDefault="005D36F1" w:rsidP="00685B0F">
      <w:pPr>
        <w:pStyle w:val="Prrafodelista"/>
        <w:ind w:left="0"/>
        <w:jc w:val="both"/>
        <w:rPr>
          <w:rFonts w:ascii="Times New Roman" w:hAnsi="Times New Roman" w:cs="Times New Roman"/>
          <w:sz w:val="28"/>
          <w:szCs w:val="28"/>
          <w:lang w:val="es-ES"/>
        </w:rPr>
      </w:pPr>
      <w:r w:rsidRPr="005D36F1">
        <w:rPr>
          <w:rFonts w:ascii="Times New Roman" w:hAnsi="Times New Roman" w:cs="Times New Roman"/>
          <w:color w:val="000000" w:themeColor="text1"/>
          <w:sz w:val="28"/>
          <w:szCs w:val="28"/>
          <w:lang w:val="es-ES"/>
        </w:rPr>
        <w:t>En mi criterio, la de</w:t>
      </w:r>
      <w:r w:rsidRPr="005D36F1">
        <w:rPr>
          <w:rFonts w:ascii="Times New Roman" w:hAnsi="Times New Roman" w:cs="Times New Roman"/>
          <w:color w:val="000000" w:themeColor="text1"/>
          <w:sz w:val="28"/>
          <w:szCs w:val="28"/>
          <w:lang w:val="es-ES"/>
        </w:rPr>
        <w:t xml:space="preserve">cisión de la Sala Plena no </w:t>
      </w:r>
      <w:r w:rsidRPr="005D36F1">
        <w:rPr>
          <w:rFonts w:ascii="Times New Roman" w:hAnsi="Times New Roman" w:cs="Times New Roman"/>
          <w:color w:val="000000" w:themeColor="text1"/>
          <w:sz w:val="28"/>
          <w:szCs w:val="28"/>
          <w:lang w:val="es-ES"/>
        </w:rPr>
        <w:t xml:space="preserve">analizó </w:t>
      </w:r>
      <w:r w:rsidRPr="005D36F1">
        <w:rPr>
          <w:rFonts w:ascii="Times New Roman" w:hAnsi="Times New Roman" w:cs="Times New Roman"/>
          <w:color w:val="000000" w:themeColor="text1"/>
          <w:sz w:val="28"/>
          <w:szCs w:val="28"/>
          <w:lang w:val="es-ES"/>
        </w:rPr>
        <w:t>igualitariamente</w:t>
      </w:r>
      <w:r w:rsidRPr="005D36F1">
        <w:rPr>
          <w:rFonts w:ascii="Times New Roman" w:hAnsi="Times New Roman" w:cs="Times New Roman"/>
          <w:color w:val="000000" w:themeColor="text1"/>
          <w:sz w:val="28"/>
          <w:szCs w:val="28"/>
          <w:lang w:val="es-ES"/>
        </w:rPr>
        <w:t xml:space="preserve"> los derechos fundamentales del cónyuge consumidor respecto del que no consume</w:t>
      </w:r>
      <w:r w:rsidRPr="005D36F1">
        <w:rPr>
          <w:rFonts w:ascii="Times New Roman" w:hAnsi="Times New Roman" w:cs="Times New Roman"/>
          <w:color w:val="000000" w:themeColor="text1"/>
          <w:sz w:val="28"/>
          <w:szCs w:val="28"/>
          <w:lang w:val="es-ES"/>
        </w:rPr>
        <w:t xml:space="preserve"> y de los hijos habidos en el matrimonio</w:t>
      </w:r>
      <w:r w:rsidRPr="005D36F1">
        <w:rPr>
          <w:rFonts w:ascii="Times New Roman" w:hAnsi="Times New Roman" w:cs="Times New Roman"/>
          <w:color w:val="000000" w:themeColor="text1"/>
          <w:sz w:val="28"/>
          <w:szCs w:val="28"/>
          <w:lang w:val="es-ES"/>
        </w:rPr>
        <w:t xml:space="preserve">. </w:t>
      </w:r>
      <w:r w:rsidRPr="005D36F1">
        <w:rPr>
          <w:rFonts w:ascii="Times New Roman" w:hAnsi="Times New Roman" w:cs="Times New Roman"/>
          <w:color w:val="000000" w:themeColor="text1"/>
          <w:sz w:val="28"/>
          <w:szCs w:val="28"/>
          <w:lang w:val="es-ES"/>
        </w:rPr>
        <w:t>Así, d</w:t>
      </w:r>
      <w:r w:rsidRPr="005D36F1">
        <w:rPr>
          <w:rFonts w:ascii="Times New Roman" w:hAnsi="Times New Roman" w:cs="Times New Roman"/>
          <w:color w:val="000000" w:themeColor="text1"/>
          <w:sz w:val="28"/>
          <w:szCs w:val="28"/>
          <w:lang w:val="es-ES"/>
        </w:rPr>
        <w:t>isiento de</w:t>
      </w:r>
      <w:r w:rsidRPr="005D36F1">
        <w:rPr>
          <w:rFonts w:ascii="Times New Roman" w:hAnsi="Times New Roman" w:cs="Times New Roman"/>
          <w:sz w:val="28"/>
          <w:szCs w:val="28"/>
          <w:lang w:val="es-ES"/>
        </w:rPr>
        <w:t xml:space="preserve"> la forma en que l</w:t>
      </w:r>
      <w:r w:rsidRPr="005D36F1">
        <w:rPr>
          <w:rFonts w:ascii="Times New Roman" w:hAnsi="Times New Roman" w:cs="Times New Roman"/>
          <w:sz w:val="28"/>
          <w:szCs w:val="28"/>
          <w:lang w:val="es-ES"/>
        </w:rPr>
        <w:t>a que la ponencia</w:t>
      </w:r>
      <w:r w:rsidRPr="005D36F1">
        <w:rPr>
          <w:rFonts w:ascii="Times New Roman" w:hAnsi="Times New Roman" w:cs="Times New Roman"/>
          <w:sz w:val="28"/>
          <w:szCs w:val="28"/>
          <w:lang w:val="es-ES"/>
        </w:rPr>
        <w:t xml:space="preserve"> </w:t>
      </w:r>
      <w:r w:rsidRPr="005D36F1">
        <w:rPr>
          <w:rFonts w:ascii="Times New Roman" w:hAnsi="Times New Roman" w:cs="Times New Roman"/>
          <w:sz w:val="28"/>
          <w:szCs w:val="28"/>
          <w:lang w:val="es-ES"/>
        </w:rPr>
        <w:t xml:space="preserve">dio un mayor peso a </w:t>
      </w:r>
      <w:r w:rsidRPr="005D36F1">
        <w:rPr>
          <w:rFonts w:ascii="Times New Roman" w:hAnsi="Times New Roman" w:cs="Times New Roman"/>
          <w:sz w:val="28"/>
          <w:szCs w:val="28"/>
          <w:lang w:val="es-ES"/>
        </w:rPr>
        <w:t xml:space="preserve">la protección de los derechos fundamentales al libre desarrollo de la personalidad y a la dignidad humana del cónyuge que </w:t>
      </w:r>
      <w:r w:rsidRPr="005D36F1">
        <w:rPr>
          <w:rFonts w:ascii="Times New Roman" w:hAnsi="Times New Roman" w:cs="Times New Roman"/>
          <w:sz w:val="28"/>
          <w:szCs w:val="28"/>
          <w:lang w:val="es-ES"/>
        </w:rPr>
        <w:t>consume habitualmente</w:t>
      </w:r>
      <w:r w:rsidRPr="005D36F1">
        <w:rPr>
          <w:rFonts w:ascii="Times New Roman" w:hAnsi="Times New Roman" w:cs="Times New Roman"/>
          <w:sz w:val="28"/>
          <w:szCs w:val="28"/>
          <w:lang w:val="es-ES"/>
        </w:rPr>
        <w:t xml:space="preserve"> sustancias alucinógenas o estupefacientes</w:t>
      </w:r>
      <w:r w:rsidRPr="005D36F1">
        <w:rPr>
          <w:rFonts w:ascii="Times New Roman" w:hAnsi="Times New Roman" w:cs="Times New Roman"/>
          <w:sz w:val="28"/>
          <w:szCs w:val="28"/>
          <w:lang w:val="es-ES"/>
        </w:rPr>
        <w:t xml:space="preserve">, lo cual, a su turno, condujo al </w:t>
      </w:r>
      <w:r w:rsidRPr="005D36F1">
        <w:rPr>
          <w:rFonts w:ascii="Times New Roman" w:hAnsi="Times New Roman" w:cs="Times New Roman"/>
          <w:sz w:val="28"/>
          <w:szCs w:val="28"/>
          <w:lang w:val="es-ES"/>
        </w:rPr>
        <w:t xml:space="preserve">desmedro </w:t>
      </w:r>
      <w:r w:rsidRPr="005D36F1">
        <w:rPr>
          <w:rFonts w:ascii="Times New Roman" w:hAnsi="Times New Roman" w:cs="Times New Roman"/>
          <w:sz w:val="28"/>
          <w:szCs w:val="28"/>
          <w:lang w:val="es-ES"/>
        </w:rPr>
        <w:t>del derecho fundamental a co</w:t>
      </w:r>
      <w:r w:rsidRPr="005D36F1">
        <w:rPr>
          <w:rFonts w:ascii="Times New Roman" w:hAnsi="Times New Roman" w:cs="Times New Roman"/>
          <w:sz w:val="28"/>
          <w:szCs w:val="28"/>
          <w:lang w:val="es-ES"/>
        </w:rPr>
        <w:t>nformar una familia</w:t>
      </w:r>
      <w:r w:rsidRPr="005D36F1">
        <w:rPr>
          <w:rFonts w:ascii="Times New Roman" w:hAnsi="Times New Roman" w:cs="Times New Roman"/>
          <w:sz w:val="28"/>
          <w:szCs w:val="28"/>
          <w:lang w:val="es-ES"/>
        </w:rPr>
        <w:t xml:space="preserve"> del có</w:t>
      </w:r>
      <w:r w:rsidRPr="005D36F1">
        <w:rPr>
          <w:rFonts w:ascii="Times New Roman" w:hAnsi="Times New Roman" w:cs="Times New Roman"/>
          <w:sz w:val="28"/>
          <w:szCs w:val="28"/>
          <w:lang w:val="es-ES"/>
        </w:rPr>
        <w:t>nyuge no consumidor</w:t>
      </w:r>
      <w:r w:rsidRPr="005D36F1">
        <w:rPr>
          <w:rFonts w:ascii="Times New Roman" w:hAnsi="Times New Roman" w:cs="Times New Roman"/>
          <w:sz w:val="28"/>
          <w:szCs w:val="28"/>
          <w:lang w:val="es-ES"/>
        </w:rPr>
        <w:t xml:space="preserve"> </w:t>
      </w:r>
      <w:r w:rsidRPr="005D36F1">
        <w:rPr>
          <w:rFonts w:ascii="Times New Roman" w:hAnsi="Times New Roman" w:cs="Times New Roman"/>
          <w:sz w:val="28"/>
          <w:szCs w:val="28"/>
          <w:lang w:val="es-ES"/>
        </w:rPr>
        <w:t xml:space="preserve">y los derechos de los hijos concebidos </w:t>
      </w:r>
      <w:r w:rsidRPr="005D36F1">
        <w:rPr>
          <w:rFonts w:ascii="Times New Roman" w:hAnsi="Times New Roman" w:cs="Times New Roman"/>
          <w:sz w:val="28"/>
          <w:szCs w:val="28"/>
          <w:lang w:val="es-ES"/>
        </w:rPr>
        <w:t xml:space="preserve">durante </w:t>
      </w:r>
      <w:r w:rsidRPr="005D36F1">
        <w:rPr>
          <w:rFonts w:ascii="Times New Roman" w:hAnsi="Times New Roman" w:cs="Times New Roman"/>
          <w:sz w:val="28"/>
          <w:szCs w:val="28"/>
          <w:lang w:val="es-ES"/>
        </w:rPr>
        <w:t>la unión</w:t>
      </w:r>
      <w:r w:rsidRPr="005D36F1">
        <w:rPr>
          <w:rFonts w:ascii="Times New Roman" w:hAnsi="Times New Roman" w:cs="Times New Roman"/>
          <w:sz w:val="28"/>
          <w:szCs w:val="28"/>
          <w:lang w:val="es-ES"/>
        </w:rPr>
        <w:t xml:space="preserve">. </w:t>
      </w:r>
      <w:r w:rsidRPr="005D36F1">
        <w:rPr>
          <w:rFonts w:ascii="Times New Roman" w:hAnsi="Times New Roman" w:cs="Times New Roman"/>
          <w:sz w:val="28"/>
          <w:szCs w:val="28"/>
          <w:lang w:val="es-ES"/>
        </w:rPr>
        <w:t>En mi criterio</w:t>
      </w:r>
      <w:r w:rsidRPr="005D36F1">
        <w:rPr>
          <w:rFonts w:ascii="Times New Roman" w:hAnsi="Times New Roman" w:cs="Times New Roman"/>
          <w:sz w:val="28"/>
          <w:szCs w:val="28"/>
          <w:lang w:val="es-ES"/>
        </w:rPr>
        <w:t>, la decisión fue desproporcionada</w:t>
      </w:r>
      <w:r w:rsidRPr="005D36F1">
        <w:rPr>
          <w:rFonts w:ascii="Times New Roman" w:hAnsi="Times New Roman" w:cs="Times New Roman"/>
          <w:sz w:val="28"/>
          <w:szCs w:val="28"/>
          <w:lang w:val="es-ES"/>
        </w:rPr>
        <w:t xml:space="preserve"> y con ella se eliminó el enfoque de </w:t>
      </w:r>
      <w:r w:rsidRPr="005D36F1">
        <w:rPr>
          <w:rFonts w:ascii="Times New Roman" w:hAnsi="Times New Roman" w:cs="Times New Roman"/>
          <w:sz w:val="28"/>
          <w:szCs w:val="28"/>
          <w:lang w:val="es-ES"/>
        </w:rPr>
        <w:t>género</w:t>
      </w:r>
      <w:r w:rsidRPr="005D36F1">
        <w:rPr>
          <w:rFonts w:ascii="Times New Roman" w:hAnsi="Times New Roman" w:cs="Times New Roman"/>
          <w:sz w:val="28"/>
          <w:szCs w:val="28"/>
          <w:lang w:val="es-ES"/>
        </w:rPr>
        <w:t xml:space="preserve"> contenido en la norma.</w:t>
      </w:r>
    </w:p>
    <w:p w:rsidR="004E5ABE" w:rsidRPr="005D36F1" w:rsidRDefault="005D36F1" w:rsidP="00685B0F">
      <w:pPr>
        <w:pStyle w:val="Prrafodelista"/>
        <w:ind w:left="0"/>
        <w:jc w:val="both"/>
        <w:rPr>
          <w:rFonts w:ascii="Times New Roman" w:hAnsi="Times New Roman" w:cs="Times New Roman"/>
          <w:sz w:val="28"/>
          <w:szCs w:val="28"/>
          <w:lang w:val="es-ES"/>
        </w:rPr>
      </w:pPr>
    </w:p>
    <w:p w:rsidR="00AF78F5" w:rsidRPr="005D36F1" w:rsidRDefault="005D36F1" w:rsidP="00391FE0">
      <w:pPr>
        <w:jc w:val="both"/>
        <w:rPr>
          <w:rFonts w:ascii="Times New Roman" w:hAnsi="Times New Roman" w:cs="Times New Roman"/>
          <w:b/>
          <w:bCs/>
          <w:i/>
          <w:iCs/>
          <w:sz w:val="28"/>
          <w:szCs w:val="28"/>
          <w:lang w:val="es-ES"/>
        </w:rPr>
      </w:pPr>
      <w:r w:rsidRPr="005D36F1">
        <w:rPr>
          <w:rFonts w:ascii="Times New Roman" w:hAnsi="Times New Roman" w:cs="Times New Roman"/>
          <w:b/>
          <w:bCs/>
          <w:i/>
          <w:iCs/>
          <w:sz w:val="28"/>
          <w:szCs w:val="28"/>
          <w:lang w:val="es-ES"/>
        </w:rPr>
        <w:t xml:space="preserve">La </w:t>
      </w:r>
      <w:r w:rsidRPr="005D36F1">
        <w:rPr>
          <w:rFonts w:ascii="Times New Roman" w:hAnsi="Times New Roman" w:cs="Times New Roman"/>
          <w:b/>
          <w:bCs/>
          <w:i/>
          <w:iCs/>
          <w:sz w:val="28"/>
          <w:szCs w:val="28"/>
          <w:lang w:val="es-ES"/>
        </w:rPr>
        <w:t>decisión</w:t>
      </w:r>
      <w:r w:rsidRPr="005D36F1">
        <w:rPr>
          <w:rFonts w:ascii="Times New Roman" w:hAnsi="Times New Roman" w:cs="Times New Roman"/>
          <w:b/>
          <w:bCs/>
          <w:i/>
          <w:iCs/>
          <w:sz w:val="28"/>
          <w:szCs w:val="28"/>
          <w:lang w:val="es-ES"/>
        </w:rPr>
        <w:t xml:space="preserve"> </w:t>
      </w:r>
      <w:r w:rsidRPr="005D36F1">
        <w:rPr>
          <w:rFonts w:ascii="Times New Roman" w:hAnsi="Times New Roman" w:cs="Times New Roman"/>
          <w:b/>
          <w:bCs/>
          <w:i/>
          <w:iCs/>
          <w:sz w:val="28"/>
          <w:szCs w:val="28"/>
          <w:lang w:val="es-ES"/>
        </w:rPr>
        <w:t xml:space="preserve">realizó una </w:t>
      </w:r>
      <w:r w:rsidRPr="005D36F1">
        <w:rPr>
          <w:rFonts w:ascii="Times New Roman" w:hAnsi="Times New Roman" w:cs="Times New Roman"/>
          <w:b/>
          <w:bCs/>
          <w:i/>
          <w:iCs/>
          <w:sz w:val="28"/>
          <w:szCs w:val="28"/>
          <w:lang w:val="es-ES"/>
        </w:rPr>
        <w:t>interpretación extensiva</w:t>
      </w:r>
      <w:r w:rsidRPr="005D36F1">
        <w:rPr>
          <w:rFonts w:ascii="Times New Roman" w:hAnsi="Times New Roman" w:cs="Times New Roman"/>
          <w:b/>
          <w:bCs/>
          <w:i/>
          <w:iCs/>
          <w:sz w:val="28"/>
          <w:szCs w:val="28"/>
          <w:lang w:val="es-ES"/>
        </w:rPr>
        <w:t xml:space="preserve"> de la finalidad de la norma</w:t>
      </w:r>
      <w:r w:rsidRPr="005D36F1">
        <w:rPr>
          <w:rFonts w:ascii="Times New Roman" w:hAnsi="Times New Roman" w:cs="Times New Roman"/>
          <w:b/>
          <w:bCs/>
          <w:i/>
          <w:iCs/>
          <w:sz w:val="28"/>
          <w:szCs w:val="28"/>
          <w:lang w:val="es-ES"/>
        </w:rPr>
        <w:t xml:space="preserve">, la cual </w:t>
      </w:r>
      <w:r w:rsidRPr="005D36F1">
        <w:rPr>
          <w:rFonts w:ascii="Times New Roman" w:hAnsi="Times New Roman" w:cs="Times New Roman"/>
          <w:b/>
          <w:bCs/>
          <w:i/>
          <w:iCs/>
          <w:sz w:val="28"/>
          <w:szCs w:val="28"/>
          <w:lang w:val="es-ES"/>
        </w:rPr>
        <w:t xml:space="preserve">dio un mayor peso a </w:t>
      </w:r>
      <w:r w:rsidRPr="005D36F1">
        <w:rPr>
          <w:rFonts w:ascii="Times New Roman" w:hAnsi="Times New Roman" w:cs="Times New Roman"/>
          <w:b/>
          <w:bCs/>
          <w:i/>
          <w:iCs/>
          <w:sz w:val="28"/>
          <w:szCs w:val="28"/>
          <w:lang w:val="es-ES"/>
        </w:rPr>
        <w:t>los</w:t>
      </w:r>
      <w:r w:rsidRPr="005D36F1">
        <w:rPr>
          <w:rFonts w:ascii="Times New Roman" w:hAnsi="Times New Roman" w:cs="Times New Roman"/>
          <w:b/>
          <w:bCs/>
          <w:i/>
          <w:iCs/>
          <w:sz w:val="28"/>
          <w:szCs w:val="28"/>
          <w:lang w:val="es-ES"/>
        </w:rPr>
        <w:t xml:space="preserve"> derecho</w:t>
      </w:r>
      <w:r w:rsidRPr="005D36F1">
        <w:rPr>
          <w:rFonts w:ascii="Times New Roman" w:hAnsi="Times New Roman" w:cs="Times New Roman"/>
          <w:b/>
          <w:bCs/>
          <w:i/>
          <w:iCs/>
          <w:sz w:val="28"/>
          <w:szCs w:val="28"/>
          <w:lang w:val="es-ES"/>
        </w:rPr>
        <w:t>s</w:t>
      </w:r>
      <w:r w:rsidRPr="005D36F1">
        <w:rPr>
          <w:rFonts w:ascii="Times New Roman" w:hAnsi="Times New Roman" w:cs="Times New Roman"/>
          <w:b/>
          <w:bCs/>
          <w:i/>
          <w:iCs/>
          <w:sz w:val="28"/>
          <w:szCs w:val="28"/>
          <w:lang w:val="es-ES"/>
        </w:rPr>
        <w:t xml:space="preserve"> fundamental</w:t>
      </w:r>
      <w:r w:rsidRPr="005D36F1">
        <w:rPr>
          <w:rFonts w:ascii="Times New Roman" w:hAnsi="Times New Roman" w:cs="Times New Roman"/>
          <w:b/>
          <w:bCs/>
          <w:i/>
          <w:iCs/>
          <w:sz w:val="28"/>
          <w:szCs w:val="28"/>
          <w:lang w:val="es-ES"/>
        </w:rPr>
        <w:t>es</w:t>
      </w:r>
      <w:r w:rsidRPr="005D36F1">
        <w:rPr>
          <w:rFonts w:ascii="Times New Roman" w:hAnsi="Times New Roman" w:cs="Times New Roman"/>
          <w:b/>
          <w:bCs/>
          <w:i/>
          <w:iCs/>
          <w:sz w:val="28"/>
          <w:szCs w:val="28"/>
          <w:lang w:val="es-ES"/>
        </w:rPr>
        <w:t xml:space="preserve"> al</w:t>
      </w:r>
      <w:r w:rsidRPr="005D36F1">
        <w:rPr>
          <w:rFonts w:ascii="Times New Roman" w:hAnsi="Times New Roman" w:cs="Times New Roman"/>
          <w:b/>
          <w:bCs/>
          <w:i/>
          <w:iCs/>
          <w:sz w:val="28"/>
          <w:szCs w:val="28"/>
          <w:lang w:val="es-ES"/>
        </w:rPr>
        <w:t xml:space="preserve"> libre desarrollo de la personalidad y </w:t>
      </w:r>
      <w:r w:rsidRPr="005D36F1">
        <w:rPr>
          <w:rFonts w:ascii="Times New Roman" w:hAnsi="Times New Roman" w:cs="Times New Roman"/>
          <w:b/>
          <w:bCs/>
          <w:i/>
          <w:iCs/>
          <w:sz w:val="28"/>
          <w:szCs w:val="28"/>
          <w:lang w:val="es-ES"/>
        </w:rPr>
        <w:t xml:space="preserve">a </w:t>
      </w:r>
      <w:r w:rsidRPr="005D36F1">
        <w:rPr>
          <w:rFonts w:ascii="Times New Roman" w:hAnsi="Times New Roman" w:cs="Times New Roman"/>
          <w:b/>
          <w:bCs/>
          <w:i/>
          <w:iCs/>
          <w:sz w:val="28"/>
          <w:szCs w:val="28"/>
          <w:lang w:val="es-ES"/>
        </w:rPr>
        <w:t xml:space="preserve">la dignidad humana del cónyuge consumidor </w:t>
      </w:r>
    </w:p>
    <w:p w:rsidR="00AF78F5" w:rsidRPr="005D36F1" w:rsidRDefault="005D36F1" w:rsidP="00922534">
      <w:pPr>
        <w:jc w:val="both"/>
        <w:rPr>
          <w:rFonts w:ascii="Times New Roman" w:hAnsi="Times New Roman" w:cs="Times New Roman"/>
          <w:sz w:val="28"/>
          <w:szCs w:val="28"/>
          <w:lang w:val="es-ES"/>
        </w:rPr>
      </w:pPr>
    </w:p>
    <w:p w:rsidR="00DB7916" w:rsidRPr="005D36F1" w:rsidRDefault="005D36F1" w:rsidP="00391FE0">
      <w:pPr>
        <w:jc w:val="both"/>
        <w:rPr>
          <w:rFonts w:ascii="Times New Roman" w:hAnsi="Times New Roman" w:cs="Times New Roman"/>
          <w:color w:val="000000" w:themeColor="text1"/>
          <w:sz w:val="28"/>
          <w:szCs w:val="28"/>
          <w:lang w:val="es-ES"/>
        </w:rPr>
      </w:pPr>
      <w:r w:rsidRPr="005D36F1">
        <w:rPr>
          <w:rFonts w:ascii="Times New Roman" w:hAnsi="Times New Roman" w:cs="Times New Roman"/>
          <w:sz w:val="28"/>
          <w:szCs w:val="28"/>
          <w:lang w:val="es-ES"/>
        </w:rPr>
        <w:t>Como lo venía mencionando, d</w:t>
      </w:r>
      <w:r w:rsidRPr="005D36F1">
        <w:rPr>
          <w:rFonts w:ascii="Times New Roman" w:hAnsi="Times New Roman" w:cs="Times New Roman"/>
          <w:sz w:val="28"/>
          <w:szCs w:val="28"/>
          <w:lang w:val="es-ES"/>
        </w:rPr>
        <w:t xml:space="preserve">iscrepo de la aproximación que </w:t>
      </w:r>
      <w:r w:rsidRPr="005D36F1">
        <w:rPr>
          <w:rFonts w:ascii="Times New Roman" w:hAnsi="Times New Roman" w:cs="Times New Roman"/>
          <w:sz w:val="28"/>
          <w:szCs w:val="28"/>
          <w:lang w:val="es-ES"/>
        </w:rPr>
        <w:t>realizó l</w:t>
      </w:r>
      <w:r w:rsidRPr="005D36F1">
        <w:rPr>
          <w:rFonts w:ascii="Times New Roman" w:hAnsi="Times New Roman" w:cs="Times New Roman"/>
          <w:sz w:val="28"/>
          <w:szCs w:val="28"/>
          <w:lang w:val="es-ES"/>
        </w:rPr>
        <w:t xml:space="preserve">a Sentencia C-096 de 2024 </w:t>
      </w:r>
      <w:r w:rsidRPr="005D36F1">
        <w:rPr>
          <w:rFonts w:ascii="Times New Roman" w:hAnsi="Times New Roman" w:cs="Times New Roman"/>
          <w:sz w:val="28"/>
          <w:szCs w:val="28"/>
          <w:lang w:val="es-ES"/>
        </w:rPr>
        <w:t xml:space="preserve">de cara </w:t>
      </w:r>
      <w:r w:rsidRPr="005D36F1">
        <w:rPr>
          <w:rFonts w:ascii="Times New Roman" w:hAnsi="Times New Roman" w:cs="Times New Roman"/>
          <w:sz w:val="28"/>
          <w:szCs w:val="28"/>
          <w:lang w:val="es-ES"/>
        </w:rPr>
        <w:t>al propósito</w:t>
      </w:r>
      <w:r w:rsidRPr="005D36F1">
        <w:rPr>
          <w:rFonts w:ascii="Times New Roman" w:hAnsi="Times New Roman" w:cs="Times New Roman"/>
          <w:sz w:val="28"/>
          <w:szCs w:val="28"/>
          <w:lang w:val="es-ES"/>
        </w:rPr>
        <w:t xml:space="preserve"> de la norma en cuestión</w:t>
      </w:r>
      <w:r w:rsidRPr="005D36F1">
        <w:rPr>
          <w:rFonts w:ascii="Times New Roman" w:hAnsi="Times New Roman" w:cs="Times New Roman"/>
          <w:sz w:val="28"/>
          <w:szCs w:val="28"/>
          <w:lang w:val="es-ES"/>
        </w:rPr>
        <w:t>, e</w:t>
      </w:r>
      <w:r w:rsidRPr="005D36F1">
        <w:rPr>
          <w:rFonts w:ascii="Times New Roman" w:hAnsi="Times New Roman" w:cs="Times New Roman"/>
          <w:sz w:val="28"/>
          <w:szCs w:val="28"/>
          <w:lang w:val="es-ES"/>
        </w:rPr>
        <w:t>n concreto, la</w:t>
      </w:r>
      <w:r w:rsidRPr="005D36F1">
        <w:rPr>
          <w:rFonts w:ascii="Times New Roman" w:hAnsi="Times New Roman" w:cs="Times New Roman"/>
          <w:sz w:val="28"/>
          <w:szCs w:val="28"/>
          <w:lang w:val="es-ES"/>
        </w:rPr>
        <w:t xml:space="preserve"> de </w:t>
      </w:r>
      <w:r w:rsidRPr="005D36F1">
        <w:rPr>
          <w:rFonts w:ascii="Times New Roman" w:hAnsi="Times New Roman" w:cs="Times New Roman"/>
          <w:sz w:val="28"/>
          <w:szCs w:val="28"/>
          <w:lang w:val="es-ES"/>
        </w:rPr>
        <w:t>otorgar un mayor valor a</w:t>
      </w:r>
      <w:r w:rsidRPr="005D36F1">
        <w:rPr>
          <w:rFonts w:ascii="Times New Roman" w:hAnsi="Times New Roman" w:cs="Times New Roman"/>
          <w:sz w:val="28"/>
          <w:szCs w:val="28"/>
          <w:lang w:val="es-ES"/>
        </w:rPr>
        <w:t xml:space="preserve"> </w:t>
      </w:r>
      <w:r w:rsidRPr="005D36F1">
        <w:rPr>
          <w:rFonts w:ascii="Times New Roman" w:hAnsi="Times New Roman" w:cs="Times New Roman"/>
          <w:sz w:val="28"/>
          <w:szCs w:val="28"/>
          <w:lang w:val="es-ES"/>
        </w:rPr>
        <w:t xml:space="preserve">los derechos fundamentales </w:t>
      </w:r>
      <w:r w:rsidRPr="005D36F1">
        <w:rPr>
          <w:rFonts w:ascii="Times New Roman" w:hAnsi="Times New Roman" w:cs="Times New Roman"/>
          <w:sz w:val="28"/>
          <w:szCs w:val="28"/>
          <w:lang w:val="es-ES"/>
        </w:rPr>
        <w:t>del cónyuge consumidor</w:t>
      </w:r>
      <w:r w:rsidRPr="005D36F1">
        <w:rPr>
          <w:rFonts w:ascii="Times New Roman" w:hAnsi="Times New Roman" w:cs="Times New Roman"/>
          <w:sz w:val="28"/>
          <w:szCs w:val="28"/>
          <w:lang w:val="es-ES"/>
        </w:rPr>
        <w:t xml:space="preserve">. </w:t>
      </w:r>
      <w:r w:rsidRPr="005D36F1">
        <w:rPr>
          <w:rFonts w:ascii="Times New Roman" w:hAnsi="Times New Roman" w:cs="Times New Roman"/>
          <w:sz w:val="28"/>
          <w:szCs w:val="28"/>
          <w:lang w:val="es-ES"/>
        </w:rPr>
        <w:t xml:space="preserve">Al establecerse </w:t>
      </w:r>
      <w:r w:rsidRPr="005D36F1">
        <w:rPr>
          <w:rFonts w:ascii="Times New Roman" w:hAnsi="Times New Roman" w:cs="Times New Roman"/>
          <w:sz w:val="28"/>
          <w:szCs w:val="28"/>
          <w:lang w:val="es-ES"/>
        </w:rPr>
        <w:t>la</w:t>
      </w:r>
      <w:r w:rsidRPr="005D36F1">
        <w:rPr>
          <w:rFonts w:ascii="Times New Roman" w:hAnsi="Times New Roman" w:cs="Times New Roman"/>
          <w:sz w:val="28"/>
          <w:szCs w:val="28"/>
          <w:lang w:val="es-ES"/>
        </w:rPr>
        <w:t xml:space="preserve"> causal quinta del artículo 154 del Código Civil</w:t>
      </w:r>
      <w:r w:rsidRPr="005D36F1">
        <w:rPr>
          <w:rFonts w:ascii="Times New Roman" w:hAnsi="Times New Roman" w:cs="Times New Roman"/>
          <w:sz w:val="28"/>
          <w:szCs w:val="28"/>
          <w:lang w:val="es-ES"/>
        </w:rPr>
        <w:t>, e</w:t>
      </w:r>
      <w:r w:rsidRPr="005D36F1">
        <w:rPr>
          <w:rFonts w:ascii="Times New Roman" w:hAnsi="Times New Roman" w:cs="Times New Roman"/>
          <w:sz w:val="28"/>
          <w:szCs w:val="28"/>
          <w:lang w:val="es-ES"/>
        </w:rPr>
        <w:t xml:space="preserve">l </w:t>
      </w:r>
      <w:r w:rsidRPr="005D36F1">
        <w:rPr>
          <w:rFonts w:ascii="Times New Roman" w:hAnsi="Times New Roman" w:cs="Times New Roman"/>
          <w:sz w:val="28"/>
          <w:szCs w:val="28"/>
          <w:lang w:val="es-ES"/>
        </w:rPr>
        <w:t>l</w:t>
      </w:r>
      <w:r w:rsidRPr="005D36F1">
        <w:rPr>
          <w:rFonts w:ascii="Times New Roman" w:hAnsi="Times New Roman" w:cs="Times New Roman"/>
          <w:sz w:val="28"/>
          <w:szCs w:val="28"/>
          <w:lang w:val="es-ES"/>
        </w:rPr>
        <w:t xml:space="preserve">egislador no previó </w:t>
      </w:r>
      <w:r w:rsidRPr="005D36F1">
        <w:rPr>
          <w:rFonts w:ascii="Times New Roman" w:hAnsi="Times New Roman" w:cs="Times New Roman"/>
          <w:sz w:val="28"/>
          <w:szCs w:val="28"/>
          <w:lang w:val="es-ES"/>
        </w:rPr>
        <w:t>que</w:t>
      </w:r>
      <w:r w:rsidRPr="005D36F1">
        <w:rPr>
          <w:rFonts w:ascii="Times New Roman" w:hAnsi="Times New Roman" w:cs="Times New Roman"/>
          <w:sz w:val="28"/>
          <w:szCs w:val="28"/>
          <w:lang w:val="es-ES"/>
        </w:rPr>
        <w:t xml:space="preserve"> fuese</w:t>
      </w:r>
      <w:r w:rsidRPr="005D36F1">
        <w:rPr>
          <w:rFonts w:ascii="Times New Roman" w:hAnsi="Times New Roman" w:cs="Times New Roman"/>
          <w:sz w:val="28"/>
          <w:szCs w:val="28"/>
          <w:lang w:val="es-ES"/>
        </w:rPr>
        <w:t xml:space="preserve"> empleada por el cónyuge que no quiere divorciar</w:t>
      </w:r>
      <w:r w:rsidRPr="005D36F1">
        <w:rPr>
          <w:rFonts w:ascii="Times New Roman" w:hAnsi="Times New Roman" w:cs="Times New Roman"/>
          <w:sz w:val="28"/>
          <w:szCs w:val="28"/>
          <w:lang w:val="es-ES"/>
        </w:rPr>
        <w:t>se</w:t>
      </w:r>
      <w:r w:rsidRPr="005D36F1">
        <w:rPr>
          <w:rFonts w:ascii="Times New Roman" w:hAnsi="Times New Roman" w:cs="Times New Roman"/>
          <w:sz w:val="28"/>
          <w:szCs w:val="28"/>
          <w:lang w:val="es-ES"/>
        </w:rPr>
        <w:t>, sino por el contrario, p</w:t>
      </w:r>
      <w:r w:rsidRPr="005D36F1">
        <w:rPr>
          <w:rFonts w:ascii="Times New Roman" w:hAnsi="Times New Roman" w:cs="Times New Roman"/>
          <w:sz w:val="28"/>
          <w:szCs w:val="28"/>
          <w:lang w:val="es-ES"/>
        </w:rPr>
        <w:t>o</w:t>
      </w:r>
      <w:r w:rsidRPr="005D36F1">
        <w:rPr>
          <w:rFonts w:ascii="Times New Roman" w:hAnsi="Times New Roman" w:cs="Times New Roman"/>
          <w:sz w:val="28"/>
          <w:szCs w:val="28"/>
          <w:lang w:val="es-ES"/>
        </w:rPr>
        <w:t>r el cónyuge receptor de la conducta</w:t>
      </w:r>
      <w:r w:rsidRPr="005D36F1">
        <w:rPr>
          <w:rFonts w:ascii="Times New Roman" w:hAnsi="Times New Roman" w:cs="Times New Roman"/>
          <w:sz w:val="28"/>
          <w:szCs w:val="28"/>
          <w:lang w:val="es-ES"/>
        </w:rPr>
        <w:t xml:space="preserve"> y quien desea disolver el vínculo matrimonial</w:t>
      </w:r>
      <w:r w:rsidRPr="005D36F1">
        <w:rPr>
          <w:rFonts w:ascii="Times New Roman" w:hAnsi="Times New Roman" w:cs="Times New Roman"/>
          <w:sz w:val="28"/>
          <w:szCs w:val="28"/>
          <w:lang w:val="es-ES"/>
        </w:rPr>
        <w:t xml:space="preserve"> ante </w:t>
      </w:r>
      <w:r w:rsidRPr="005D36F1">
        <w:rPr>
          <w:rFonts w:ascii="Times New Roman" w:hAnsi="Times New Roman" w:cs="Times New Roman"/>
          <w:sz w:val="28"/>
          <w:szCs w:val="28"/>
          <w:lang w:val="es-ES"/>
        </w:rPr>
        <w:t>los efectos que el consumo</w:t>
      </w:r>
      <w:r w:rsidRPr="005D36F1">
        <w:rPr>
          <w:rFonts w:ascii="Times New Roman" w:hAnsi="Times New Roman" w:cs="Times New Roman"/>
          <w:sz w:val="28"/>
          <w:szCs w:val="28"/>
          <w:lang w:val="es-ES"/>
        </w:rPr>
        <w:t xml:space="preserve"> habitual</w:t>
      </w:r>
      <w:r w:rsidRPr="005D36F1">
        <w:rPr>
          <w:rFonts w:ascii="Times New Roman" w:hAnsi="Times New Roman" w:cs="Times New Roman"/>
          <w:sz w:val="28"/>
          <w:szCs w:val="28"/>
          <w:lang w:val="es-ES"/>
        </w:rPr>
        <w:t xml:space="preserve"> de sustancias trae sobre e</w:t>
      </w:r>
      <w:r w:rsidRPr="005D36F1">
        <w:rPr>
          <w:rFonts w:ascii="Times New Roman" w:hAnsi="Times New Roman" w:cs="Times New Roman"/>
          <w:sz w:val="28"/>
          <w:szCs w:val="28"/>
          <w:lang w:val="es-ES"/>
        </w:rPr>
        <w:t xml:space="preserve">l ambiente familiar. </w:t>
      </w:r>
      <w:r w:rsidRPr="005D36F1">
        <w:rPr>
          <w:rFonts w:ascii="Times New Roman" w:hAnsi="Times New Roman" w:cs="Times New Roman"/>
          <w:color w:val="000000" w:themeColor="text1"/>
          <w:sz w:val="28"/>
          <w:szCs w:val="28"/>
          <w:lang w:val="es-ES"/>
        </w:rPr>
        <w:t xml:space="preserve">Así, </w:t>
      </w:r>
      <w:r w:rsidRPr="005D36F1">
        <w:rPr>
          <w:rFonts w:ascii="Times New Roman" w:hAnsi="Times New Roman" w:cs="Times New Roman"/>
          <w:color w:val="000000" w:themeColor="text1"/>
          <w:sz w:val="28"/>
          <w:szCs w:val="28"/>
          <w:lang w:val="es-ES"/>
        </w:rPr>
        <w:t>la sentencia h</w:t>
      </w:r>
      <w:r w:rsidRPr="005D36F1">
        <w:rPr>
          <w:rFonts w:ascii="Times New Roman" w:hAnsi="Times New Roman" w:cs="Times New Roman"/>
          <w:color w:val="000000" w:themeColor="text1"/>
          <w:sz w:val="28"/>
          <w:szCs w:val="28"/>
          <w:lang w:val="es-ES"/>
        </w:rPr>
        <w:t>izo</w:t>
      </w:r>
      <w:r w:rsidRPr="005D36F1">
        <w:rPr>
          <w:rFonts w:ascii="Times New Roman" w:hAnsi="Times New Roman" w:cs="Times New Roman"/>
          <w:color w:val="000000" w:themeColor="text1"/>
          <w:sz w:val="28"/>
          <w:szCs w:val="28"/>
          <w:lang w:val="es-ES"/>
        </w:rPr>
        <w:t xml:space="preserve"> una </w:t>
      </w:r>
      <w:r w:rsidRPr="005D36F1">
        <w:rPr>
          <w:rFonts w:ascii="Times New Roman" w:hAnsi="Times New Roman" w:cs="Times New Roman"/>
          <w:color w:val="000000" w:themeColor="text1"/>
          <w:sz w:val="28"/>
          <w:szCs w:val="28"/>
          <w:lang w:val="es-ES"/>
        </w:rPr>
        <w:t xml:space="preserve">lectura inadecuada de </w:t>
      </w:r>
      <w:r w:rsidRPr="005D36F1">
        <w:rPr>
          <w:rFonts w:ascii="Times New Roman" w:hAnsi="Times New Roman" w:cs="Times New Roman"/>
          <w:color w:val="000000" w:themeColor="text1"/>
          <w:sz w:val="28"/>
          <w:szCs w:val="28"/>
          <w:lang w:val="es-ES"/>
        </w:rPr>
        <w:t>la causal</w:t>
      </w:r>
      <w:r w:rsidRPr="005D36F1">
        <w:rPr>
          <w:rFonts w:ascii="Times New Roman" w:hAnsi="Times New Roman" w:cs="Times New Roman"/>
          <w:color w:val="000000" w:themeColor="text1"/>
          <w:sz w:val="28"/>
          <w:szCs w:val="28"/>
          <w:lang w:val="es-ES"/>
        </w:rPr>
        <w:t>,</w:t>
      </w:r>
      <w:r w:rsidRPr="005D36F1">
        <w:rPr>
          <w:rFonts w:ascii="Times New Roman" w:hAnsi="Times New Roman" w:cs="Times New Roman"/>
          <w:color w:val="000000" w:themeColor="text1"/>
          <w:sz w:val="28"/>
          <w:szCs w:val="28"/>
          <w:lang w:val="es-ES"/>
        </w:rPr>
        <w:t xml:space="preserve"> care</w:t>
      </w:r>
      <w:r w:rsidRPr="005D36F1">
        <w:rPr>
          <w:rFonts w:ascii="Times New Roman" w:hAnsi="Times New Roman" w:cs="Times New Roman"/>
          <w:color w:val="000000" w:themeColor="text1"/>
          <w:sz w:val="28"/>
          <w:szCs w:val="28"/>
          <w:lang w:val="es-ES"/>
        </w:rPr>
        <w:t xml:space="preserve">nte incluso </w:t>
      </w:r>
      <w:r w:rsidRPr="005D36F1">
        <w:rPr>
          <w:rFonts w:ascii="Times New Roman" w:hAnsi="Times New Roman" w:cs="Times New Roman"/>
          <w:color w:val="000000" w:themeColor="text1"/>
          <w:sz w:val="28"/>
          <w:szCs w:val="28"/>
          <w:lang w:val="es-ES"/>
        </w:rPr>
        <w:t xml:space="preserve">de certeza, </w:t>
      </w:r>
      <w:r w:rsidRPr="005D36F1">
        <w:rPr>
          <w:rFonts w:ascii="Times New Roman" w:hAnsi="Times New Roman" w:cs="Times New Roman"/>
          <w:color w:val="000000" w:themeColor="text1"/>
          <w:sz w:val="28"/>
          <w:szCs w:val="28"/>
          <w:lang w:val="es-ES"/>
        </w:rPr>
        <w:t xml:space="preserve">en tanto </w:t>
      </w:r>
      <w:r w:rsidRPr="005D36F1">
        <w:rPr>
          <w:rFonts w:ascii="Times New Roman" w:hAnsi="Times New Roman" w:cs="Times New Roman"/>
          <w:color w:val="000000" w:themeColor="text1"/>
          <w:sz w:val="28"/>
          <w:szCs w:val="28"/>
          <w:lang w:val="es-ES"/>
        </w:rPr>
        <w:t xml:space="preserve">y en cuanto dicha </w:t>
      </w:r>
      <w:r w:rsidRPr="005D36F1">
        <w:rPr>
          <w:rFonts w:ascii="Times New Roman" w:hAnsi="Times New Roman" w:cs="Times New Roman"/>
          <w:color w:val="000000" w:themeColor="text1"/>
          <w:sz w:val="28"/>
          <w:szCs w:val="28"/>
          <w:lang w:val="es-ES"/>
        </w:rPr>
        <w:t>causal no contempla el posible desconocimiento d</w:t>
      </w:r>
      <w:r w:rsidRPr="005D36F1">
        <w:rPr>
          <w:rFonts w:ascii="Times New Roman" w:hAnsi="Times New Roman" w:cs="Times New Roman"/>
          <w:color w:val="000000" w:themeColor="text1"/>
          <w:sz w:val="28"/>
          <w:szCs w:val="28"/>
          <w:lang w:val="es-ES"/>
        </w:rPr>
        <w:t xml:space="preserve">el derecho al libre desarrollo de la personalidad </w:t>
      </w:r>
      <w:r w:rsidRPr="005D36F1">
        <w:rPr>
          <w:rFonts w:ascii="Times New Roman" w:hAnsi="Times New Roman" w:cs="Times New Roman"/>
          <w:color w:val="000000" w:themeColor="text1"/>
          <w:sz w:val="28"/>
          <w:szCs w:val="28"/>
          <w:lang w:val="es-ES"/>
        </w:rPr>
        <w:t>y a la dignidad humana</w:t>
      </w:r>
      <w:r w:rsidRPr="005D36F1">
        <w:rPr>
          <w:rFonts w:ascii="Times New Roman" w:hAnsi="Times New Roman" w:cs="Times New Roman"/>
          <w:color w:val="000000" w:themeColor="text1"/>
          <w:sz w:val="28"/>
          <w:szCs w:val="28"/>
          <w:lang w:val="es-ES"/>
        </w:rPr>
        <w:t xml:space="preserve"> </w:t>
      </w:r>
      <w:r w:rsidRPr="005D36F1">
        <w:rPr>
          <w:rFonts w:ascii="Times New Roman" w:hAnsi="Times New Roman" w:cs="Times New Roman"/>
          <w:color w:val="000000" w:themeColor="text1"/>
          <w:sz w:val="28"/>
          <w:szCs w:val="28"/>
          <w:lang w:val="es-ES"/>
        </w:rPr>
        <w:t xml:space="preserve">del </w:t>
      </w:r>
      <w:r w:rsidRPr="005D36F1">
        <w:rPr>
          <w:rFonts w:ascii="Times New Roman" w:hAnsi="Times New Roman" w:cs="Times New Roman"/>
          <w:color w:val="000000" w:themeColor="text1"/>
          <w:sz w:val="28"/>
          <w:szCs w:val="28"/>
          <w:lang w:val="es-ES"/>
        </w:rPr>
        <w:t>cónyuge</w:t>
      </w:r>
      <w:r w:rsidRPr="005D36F1">
        <w:rPr>
          <w:rFonts w:ascii="Times New Roman" w:hAnsi="Times New Roman" w:cs="Times New Roman"/>
          <w:color w:val="000000" w:themeColor="text1"/>
          <w:sz w:val="28"/>
          <w:szCs w:val="28"/>
          <w:lang w:val="es-ES"/>
        </w:rPr>
        <w:t xml:space="preserve"> consumidor habitual que no se quiere divorciar</w:t>
      </w:r>
      <w:r w:rsidRPr="005D36F1">
        <w:rPr>
          <w:rFonts w:ascii="Times New Roman" w:hAnsi="Times New Roman" w:cs="Times New Roman"/>
          <w:color w:val="000000" w:themeColor="text1"/>
          <w:sz w:val="28"/>
          <w:szCs w:val="28"/>
          <w:lang w:val="es-ES"/>
        </w:rPr>
        <w:t xml:space="preserve">. </w:t>
      </w:r>
    </w:p>
    <w:p w:rsidR="00DB7916" w:rsidRPr="005D36F1" w:rsidRDefault="005D36F1" w:rsidP="00922534">
      <w:pPr>
        <w:jc w:val="both"/>
        <w:rPr>
          <w:rFonts w:ascii="Times New Roman" w:hAnsi="Times New Roman" w:cs="Times New Roman"/>
          <w:color w:val="000000" w:themeColor="text1"/>
          <w:sz w:val="28"/>
          <w:szCs w:val="28"/>
          <w:lang w:val="es-ES"/>
        </w:rPr>
      </w:pPr>
    </w:p>
    <w:p w:rsidR="0027531C" w:rsidRPr="005D36F1" w:rsidRDefault="005D36F1" w:rsidP="000E1E8C">
      <w:pPr>
        <w:jc w:val="both"/>
        <w:rPr>
          <w:rFonts w:ascii="Times New Roman" w:hAnsi="Times New Roman" w:cs="Times New Roman"/>
          <w:color w:val="000000" w:themeColor="text1"/>
          <w:sz w:val="28"/>
          <w:szCs w:val="28"/>
          <w:lang w:val="es-ES"/>
        </w:rPr>
      </w:pPr>
      <w:r w:rsidRPr="005D36F1">
        <w:rPr>
          <w:rFonts w:ascii="Times New Roman" w:hAnsi="Times New Roman" w:cs="Times New Roman"/>
          <w:color w:val="000000" w:themeColor="text1"/>
          <w:sz w:val="28"/>
          <w:szCs w:val="28"/>
          <w:lang w:val="es-ES"/>
        </w:rPr>
        <w:t xml:space="preserve">Sobre el particular, recuérdese que la Corte Constitucional, en la </w:t>
      </w:r>
      <w:r w:rsidRPr="005D36F1">
        <w:rPr>
          <w:rFonts w:ascii="Times New Roman" w:hAnsi="Times New Roman" w:cs="Times New Roman"/>
          <w:color w:val="000000" w:themeColor="text1"/>
          <w:sz w:val="28"/>
          <w:szCs w:val="28"/>
          <w:lang w:val="es-ES"/>
        </w:rPr>
        <w:t>Sentencia C-246 de 2002</w:t>
      </w:r>
      <w:r w:rsidRPr="005D36F1">
        <w:rPr>
          <w:rFonts w:ascii="Times New Roman" w:hAnsi="Times New Roman" w:cs="Times New Roman"/>
          <w:color w:val="000000" w:themeColor="text1"/>
          <w:sz w:val="28"/>
          <w:szCs w:val="28"/>
          <w:lang w:val="es-ES"/>
        </w:rPr>
        <w:t xml:space="preserve">, fue clara en </w:t>
      </w:r>
      <w:r w:rsidRPr="005D36F1">
        <w:rPr>
          <w:rFonts w:ascii="Times New Roman" w:hAnsi="Times New Roman" w:cs="Times New Roman"/>
          <w:color w:val="000000" w:themeColor="text1"/>
          <w:sz w:val="28"/>
          <w:szCs w:val="28"/>
          <w:lang w:val="es-ES"/>
        </w:rPr>
        <w:t xml:space="preserve">señalar que: </w:t>
      </w:r>
      <w:r w:rsidRPr="005D36F1">
        <w:rPr>
          <w:rFonts w:ascii="Times New Roman" w:hAnsi="Times New Roman" w:cs="Times New Roman"/>
          <w:i/>
          <w:iCs/>
          <w:color w:val="000000" w:themeColor="text1"/>
          <w:sz w:val="28"/>
          <w:szCs w:val="28"/>
          <w:lang w:val="es-ES"/>
        </w:rPr>
        <w:t>“</w:t>
      </w:r>
      <w:r w:rsidRPr="005D36F1">
        <w:rPr>
          <w:rFonts w:ascii="Times New Roman" w:hAnsi="Times New Roman" w:cs="Times New Roman"/>
          <w:color w:val="000000" w:themeColor="text1"/>
          <w:sz w:val="28"/>
          <w:szCs w:val="28"/>
          <w:lang w:val="es-ES"/>
        </w:rPr>
        <w:t>[l]</w:t>
      </w:r>
      <w:r w:rsidRPr="005D36F1">
        <w:rPr>
          <w:rFonts w:ascii="Times New Roman" w:hAnsi="Times New Roman" w:cs="Times New Roman"/>
          <w:i/>
          <w:iCs/>
          <w:color w:val="000000" w:themeColor="text1"/>
          <w:sz w:val="28"/>
          <w:szCs w:val="28"/>
          <w:lang w:val="es-ES"/>
        </w:rPr>
        <w:t xml:space="preserve">os deberes constitucionales no autorizan al operador jurídico para </w:t>
      </w:r>
      <w:r w:rsidRPr="005D36F1">
        <w:rPr>
          <w:rFonts w:ascii="Times New Roman" w:hAnsi="Times New Roman" w:cs="Times New Roman"/>
          <w:i/>
          <w:iCs/>
          <w:color w:val="000000" w:themeColor="text1"/>
          <w:sz w:val="28"/>
          <w:szCs w:val="28"/>
          <w:lang w:val="es-ES"/>
        </w:rPr>
        <w:t>hacer interpretaciones extensivas que intentan ampliar, en desmedro del ámbito de los derechos fundamentales, el campo de cobertura de tales deberes a situaciones que, por sus características y sentido, no guardan relación directa con la materia específica</w:t>
      </w:r>
      <w:r w:rsidRPr="005D36F1">
        <w:rPr>
          <w:rFonts w:ascii="Times New Roman" w:hAnsi="Times New Roman" w:cs="Times New Roman"/>
          <w:i/>
          <w:iCs/>
          <w:color w:val="000000" w:themeColor="text1"/>
          <w:sz w:val="28"/>
          <w:szCs w:val="28"/>
          <w:lang w:val="es-ES"/>
        </w:rPr>
        <w:t>mente referida en la obligación legalmente definida.”</w:t>
      </w:r>
      <w:r w:rsidRPr="005D36F1">
        <w:rPr>
          <w:rFonts w:ascii="Times New Roman" w:hAnsi="Times New Roman" w:cs="Times New Roman"/>
          <w:color w:val="000000" w:themeColor="text1"/>
          <w:sz w:val="28"/>
          <w:szCs w:val="28"/>
          <w:lang w:val="es-ES"/>
        </w:rPr>
        <w:t xml:space="preserve"> </w:t>
      </w:r>
      <w:r w:rsidRPr="005D36F1">
        <w:rPr>
          <w:rFonts w:ascii="Times New Roman" w:hAnsi="Times New Roman" w:cs="Times New Roman"/>
          <w:color w:val="000000" w:themeColor="text1"/>
          <w:sz w:val="28"/>
          <w:szCs w:val="28"/>
          <w:lang w:val="es-ES"/>
        </w:rPr>
        <w:t xml:space="preserve">En consecuencia, no le está permitido a la </w:t>
      </w:r>
      <w:r w:rsidRPr="005D36F1">
        <w:rPr>
          <w:rFonts w:ascii="Times New Roman" w:hAnsi="Times New Roman" w:cs="Times New Roman"/>
          <w:color w:val="000000" w:themeColor="text1"/>
          <w:sz w:val="28"/>
          <w:szCs w:val="28"/>
          <w:lang w:val="es-ES"/>
        </w:rPr>
        <w:t>Corte</w:t>
      </w:r>
      <w:r w:rsidRPr="005D36F1">
        <w:rPr>
          <w:rFonts w:ascii="Times New Roman" w:hAnsi="Times New Roman" w:cs="Times New Roman"/>
          <w:color w:val="000000" w:themeColor="text1"/>
          <w:sz w:val="28"/>
          <w:szCs w:val="28"/>
          <w:lang w:val="es-ES"/>
        </w:rPr>
        <w:t xml:space="preserve"> realizar una interpretación </w:t>
      </w:r>
      <w:r w:rsidRPr="005D36F1">
        <w:rPr>
          <w:rFonts w:ascii="Times New Roman" w:hAnsi="Times New Roman" w:cs="Times New Roman"/>
          <w:color w:val="000000" w:themeColor="text1"/>
          <w:sz w:val="28"/>
          <w:szCs w:val="28"/>
          <w:lang w:val="es-ES"/>
        </w:rPr>
        <w:t xml:space="preserve">desmedida </w:t>
      </w:r>
      <w:r w:rsidRPr="005D36F1">
        <w:rPr>
          <w:rFonts w:ascii="Times New Roman" w:hAnsi="Times New Roman" w:cs="Times New Roman"/>
          <w:color w:val="000000" w:themeColor="text1"/>
          <w:sz w:val="28"/>
          <w:szCs w:val="28"/>
          <w:lang w:val="es-ES"/>
        </w:rPr>
        <w:t>de la causal en comento</w:t>
      </w:r>
      <w:r w:rsidRPr="005D36F1">
        <w:rPr>
          <w:rFonts w:ascii="Times New Roman" w:hAnsi="Times New Roman" w:cs="Times New Roman"/>
          <w:color w:val="000000" w:themeColor="text1"/>
          <w:sz w:val="28"/>
          <w:szCs w:val="28"/>
          <w:lang w:val="es-ES"/>
        </w:rPr>
        <w:t xml:space="preserve"> ni tampoco </w:t>
      </w:r>
      <w:r w:rsidRPr="005D36F1">
        <w:rPr>
          <w:rFonts w:ascii="Times New Roman" w:hAnsi="Times New Roman" w:cs="Times New Roman"/>
          <w:color w:val="000000" w:themeColor="text1"/>
          <w:sz w:val="28"/>
          <w:szCs w:val="28"/>
          <w:lang w:val="es-ES"/>
        </w:rPr>
        <w:t xml:space="preserve">maximizar la protección </w:t>
      </w:r>
      <w:r w:rsidRPr="005D36F1">
        <w:rPr>
          <w:rFonts w:ascii="Times New Roman" w:hAnsi="Times New Roman" w:cs="Times New Roman"/>
          <w:color w:val="000000" w:themeColor="text1"/>
          <w:sz w:val="28"/>
          <w:szCs w:val="28"/>
          <w:lang w:val="es-ES"/>
        </w:rPr>
        <w:t>de los derechos fundamentales del cónyuge consumidor</w:t>
      </w:r>
      <w:r w:rsidRPr="005D36F1">
        <w:rPr>
          <w:rFonts w:ascii="Times New Roman" w:hAnsi="Times New Roman" w:cs="Times New Roman"/>
          <w:color w:val="000000" w:themeColor="text1"/>
          <w:sz w:val="28"/>
          <w:szCs w:val="28"/>
          <w:lang w:val="es-ES"/>
        </w:rPr>
        <w:t xml:space="preserve"> en </w:t>
      </w:r>
      <w:r w:rsidRPr="005D36F1">
        <w:rPr>
          <w:rFonts w:ascii="Times New Roman" w:hAnsi="Times New Roman" w:cs="Times New Roman"/>
          <w:color w:val="000000" w:themeColor="text1"/>
          <w:sz w:val="28"/>
          <w:szCs w:val="28"/>
          <w:lang w:val="es-ES"/>
        </w:rPr>
        <w:t>menoscabo de los derechos del cónyuge afectado con el consumo y de la familia.</w:t>
      </w:r>
    </w:p>
    <w:p w:rsidR="007F74DD" w:rsidRPr="005D36F1" w:rsidRDefault="005D36F1" w:rsidP="00922534">
      <w:pPr>
        <w:jc w:val="both"/>
        <w:rPr>
          <w:rFonts w:ascii="Times New Roman" w:hAnsi="Times New Roman" w:cs="Times New Roman"/>
          <w:sz w:val="28"/>
          <w:szCs w:val="28"/>
          <w:lang w:val="es-ES"/>
        </w:rPr>
      </w:pPr>
    </w:p>
    <w:p w:rsidR="004F6EE0" w:rsidRPr="005D36F1" w:rsidRDefault="005D36F1" w:rsidP="00922534">
      <w:pPr>
        <w:jc w:val="both"/>
        <w:rPr>
          <w:rFonts w:ascii="Times New Roman" w:hAnsi="Times New Roman" w:cs="Times New Roman"/>
          <w:sz w:val="28"/>
          <w:szCs w:val="28"/>
          <w:lang w:val="es-ES"/>
        </w:rPr>
      </w:pPr>
      <w:r w:rsidRPr="005D36F1">
        <w:rPr>
          <w:rFonts w:ascii="Times New Roman" w:hAnsi="Times New Roman" w:cs="Times New Roman"/>
          <w:sz w:val="28"/>
          <w:szCs w:val="28"/>
          <w:lang w:val="es-ES"/>
        </w:rPr>
        <w:t>En la demanda</w:t>
      </w:r>
      <w:r w:rsidRPr="005D36F1">
        <w:rPr>
          <w:rFonts w:ascii="Times New Roman" w:hAnsi="Times New Roman" w:cs="Times New Roman"/>
          <w:sz w:val="28"/>
          <w:szCs w:val="28"/>
          <w:lang w:val="es-ES"/>
        </w:rPr>
        <w:t xml:space="preserve">, el ciudadano argumentó que el consumo de sustancias psicoactivas está amparado por el ejercicio </w:t>
      </w:r>
      <w:r w:rsidRPr="005D36F1">
        <w:rPr>
          <w:rFonts w:ascii="Times New Roman" w:hAnsi="Times New Roman" w:cs="Times New Roman"/>
          <w:sz w:val="28"/>
          <w:szCs w:val="28"/>
          <w:lang w:val="es-ES"/>
        </w:rPr>
        <w:t>al</w:t>
      </w:r>
      <w:r w:rsidRPr="005D36F1">
        <w:rPr>
          <w:rFonts w:ascii="Times New Roman" w:hAnsi="Times New Roman" w:cs="Times New Roman"/>
          <w:sz w:val="28"/>
          <w:szCs w:val="28"/>
          <w:lang w:val="es-ES"/>
        </w:rPr>
        <w:t xml:space="preserve"> libre desarrollo de la personalidad y </w:t>
      </w:r>
      <w:r w:rsidRPr="005D36F1">
        <w:rPr>
          <w:rFonts w:ascii="Times New Roman" w:hAnsi="Times New Roman" w:cs="Times New Roman"/>
          <w:sz w:val="28"/>
          <w:szCs w:val="28"/>
          <w:lang w:val="es-ES"/>
        </w:rPr>
        <w:t xml:space="preserve">a </w:t>
      </w:r>
      <w:r w:rsidRPr="005D36F1">
        <w:rPr>
          <w:rFonts w:ascii="Times New Roman" w:hAnsi="Times New Roman" w:cs="Times New Roman"/>
          <w:sz w:val="28"/>
          <w:szCs w:val="28"/>
          <w:lang w:val="es-ES"/>
        </w:rPr>
        <w:t>la dignidad humana.</w:t>
      </w:r>
      <w:r w:rsidRPr="005D36F1">
        <w:rPr>
          <w:rFonts w:ascii="Times New Roman" w:hAnsi="Times New Roman" w:cs="Times New Roman"/>
          <w:sz w:val="28"/>
          <w:szCs w:val="28"/>
          <w:vertAlign w:val="superscript"/>
          <w:lang w:val="es-ES"/>
        </w:rPr>
        <w:footnoteReference w:id="187"/>
      </w:r>
      <w:r w:rsidRPr="005D36F1">
        <w:rPr>
          <w:rFonts w:ascii="Times New Roman" w:hAnsi="Times New Roman" w:cs="Times New Roman"/>
          <w:sz w:val="28"/>
          <w:szCs w:val="28"/>
          <w:lang w:val="es-ES"/>
        </w:rPr>
        <w:t xml:space="preserve"> En consecuencia, la inclusión del supuesto de hecho de la norma va en contravía de esas prerrogativas constitucionales, pues </w:t>
      </w:r>
      <w:r w:rsidRPr="005D36F1">
        <w:rPr>
          <w:rFonts w:ascii="Times New Roman" w:hAnsi="Times New Roman" w:cs="Times New Roman"/>
          <w:sz w:val="28"/>
          <w:szCs w:val="28"/>
          <w:lang w:val="es-ES"/>
        </w:rPr>
        <w:t>regula un</w:t>
      </w:r>
      <w:r w:rsidRPr="005D36F1">
        <w:rPr>
          <w:rFonts w:ascii="Times New Roman" w:hAnsi="Times New Roman" w:cs="Times New Roman"/>
          <w:sz w:val="28"/>
          <w:szCs w:val="28"/>
          <w:lang w:val="es-ES"/>
        </w:rPr>
        <w:t xml:space="preserve"> </w:t>
      </w:r>
      <w:r w:rsidRPr="005D36F1">
        <w:rPr>
          <w:rFonts w:ascii="Times New Roman" w:hAnsi="Times New Roman" w:cs="Times New Roman"/>
          <w:i/>
          <w:iCs/>
          <w:sz w:val="28"/>
          <w:szCs w:val="28"/>
          <w:lang w:val="es-ES"/>
        </w:rPr>
        <w:t xml:space="preserve">comportamiento no interferido </w:t>
      </w:r>
      <w:r w:rsidRPr="005D36F1">
        <w:rPr>
          <w:rFonts w:ascii="Times New Roman" w:hAnsi="Times New Roman" w:cs="Times New Roman"/>
          <w:sz w:val="28"/>
          <w:szCs w:val="28"/>
          <w:lang w:val="es-ES"/>
        </w:rPr>
        <w:t>y le</w:t>
      </w:r>
      <w:r w:rsidRPr="005D36F1">
        <w:rPr>
          <w:rFonts w:ascii="Times New Roman" w:hAnsi="Times New Roman" w:cs="Times New Roman"/>
          <w:sz w:val="28"/>
          <w:szCs w:val="28"/>
          <w:lang w:val="es-ES"/>
        </w:rPr>
        <w:t xml:space="preserve"> impide </w:t>
      </w:r>
      <w:r w:rsidRPr="005D36F1">
        <w:rPr>
          <w:rFonts w:ascii="Times New Roman" w:hAnsi="Times New Roman" w:cs="Times New Roman"/>
          <w:sz w:val="28"/>
          <w:szCs w:val="28"/>
          <w:lang w:val="es-ES"/>
        </w:rPr>
        <w:t xml:space="preserve">a la persona </w:t>
      </w:r>
      <w:r w:rsidRPr="005D36F1">
        <w:rPr>
          <w:rFonts w:ascii="Times New Roman" w:hAnsi="Times New Roman" w:cs="Times New Roman"/>
          <w:i/>
          <w:iCs/>
          <w:sz w:val="28"/>
          <w:szCs w:val="28"/>
          <w:lang w:val="es-ES"/>
        </w:rPr>
        <w:t xml:space="preserve">vivir como se quiere. </w:t>
      </w:r>
      <w:r w:rsidRPr="005D36F1">
        <w:rPr>
          <w:rFonts w:ascii="Times New Roman" w:hAnsi="Times New Roman" w:cs="Times New Roman"/>
          <w:sz w:val="28"/>
          <w:szCs w:val="28"/>
          <w:lang w:val="es-ES"/>
        </w:rPr>
        <w:t xml:space="preserve">Además, puntualizó que la </w:t>
      </w:r>
      <w:r w:rsidRPr="005D36F1">
        <w:rPr>
          <w:rFonts w:ascii="Times New Roman" w:hAnsi="Times New Roman" w:cs="Times New Roman"/>
          <w:sz w:val="28"/>
          <w:szCs w:val="28"/>
          <w:lang w:val="es-ES"/>
        </w:rPr>
        <w:t>acción</w:t>
      </w:r>
      <w:r w:rsidRPr="005D36F1">
        <w:rPr>
          <w:rFonts w:ascii="Times New Roman" w:hAnsi="Times New Roman" w:cs="Times New Roman"/>
          <w:sz w:val="28"/>
          <w:szCs w:val="28"/>
          <w:lang w:val="es-ES"/>
        </w:rPr>
        <w:t xml:space="preserve"> prohibida </w:t>
      </w:r>
      <w:r w:rsidRPr="005D36F1">
        <w:rPr>
          <w:rFonts w:ascii="Times New Roman" w:hAnsi="Times New Roman" w:cs="Times New Roman"/>
          <w:sz w:val="28"/>
          <w:szCs w:val="28"/>
          <w:lang w:val="es-ES"/>
        </w:rPr>
        <w:t xml:space="preserve">por la causal demandada solamente se refiere a esa conducta y no a los efectos nocivos que se deriven de ella, por ejemplo, </w:t>
      </w:r>
      <w:r w:rsidRPr="005D36F1">
        <w:rPr>
          <w:rFonts w:ascii="Times New Roman" w:hAnsi="Times New Roman" w:cs="Times New Roman"/>
          <w:sz w:val="28"/>
          <w:szCs w:val="28"/>
          <w:lang w:val="es-ES"/>
        </w:rPr>
        <w:t>los actos de violencia y el incumplimiento de los deberes maritales, los cuales se encuentran amparados por otras causales.</w:t>
      </w:r>
    </w:p>
    <w:p w:rsidR="004F6EE0" w:rsidRPr="005D36F1" w:rsidRDefault="005D36F1" w:rsidP="00922534">
      <w:pPr>
        <w:jc w:val="both"/>
        <w:rPr>
          <w:rFonts w:ascii="Times New Roman" w:hAnsi="Times New Roman" w:cs="Times New Roman"/>
          <w:sz w:val="28"/>
          <w:szCs w:val="28"/>
          <w:lang w:val="es-ES"/>
        </w:rPr>
      </w:pPr>
    </w:p>
    <w:p w:rsidR="00132133" w:rsidRPr="005D36F1" w:rsidRDefault="005D36F1" w:rsidP="00922534">
      <w:pPr>
        <w:jc w:val="both"/>
        <w:rPr>
          <w:rFonts w:ascii="Times New Roman" w:hAnsi="Times New Roman" w:cs="Times New Roman"/>
          <w:sz w:val="28"/>
          <w:szCs w:val="28"/>
          <w:lang w:val="es-ES"/>
        </w:rPr>
      </w:pPr>
      <w:r w:rsidRPr="005D36F1">
        <w:rPr>
          <w:rFonts w:ascii="Times New Roman" w:hAnsi="Times New Roman" w:cs="Times New Roman"/>
          <w:sz w:val="28"/>
          <w:szCs w:val="28"/>
          <w:lang w:val="es-ES"/>
        </w:rPr>
        <w:t>La sent</w:t>
      </w:r>
      <w:r w:rsidRPr="005D36F1">
        <w:rPr>
          <w:rFonts w:ascii="Times New Roman" w:hAnsi="Times New Roman" w:cs="Times New Roman"/>
          <w:sz w:val="28"/>
          <w:szCs w:val="28"/>
          <w:lang w:val="es-ES"/>
        </w:rPr>
        <w:t>encia formuló el problema jurídico</w:t>
      </w:r>
      <w:r w:rsidRPr="005D36F1">
        <w:rPr>
          <w:rFonts w:ascii="Times New Roman" w:hAnsi="Times New Roman" w:cs="Times New Roman"/>
          <w:sz w:val="28"/>
          <w:szCs w:val="28"/>
          <w:lang w:val="es-ES"/>
        </w:rPr>
        <w:t xml:space="preserve"> en torno a si la norma en cuestión vulnera </w:t>
      </w:r>
      <w:r w:rsidRPr="005D36F1">
        <w:rPr>
          <w:rFonts w:ascii="Times New Roman" w:hAnsi="Times New Roman" w:cs="Times New Roman"/>
          <w:sz w:val="28"/>
          <w:szCs w:val="28"/>
          <w:lang w:val="es-ES"/>
        </w:rPr>
        <w:t xml:space="preserve">los derechos fundamentales al libre desarrollo de la personalidad y a la dignidad humana del cónyuge que </w:t>
      </w:r>
      <w:r w:rsidRPr="005D36F1">
        <w:rPr>
          <w:rFonts w:ascii="Times New Roman" w:hAnsi="Times New Roman" w:cs="Times New Roman"/>
          <w:sz w:val="28"/>
          <w:szCs w:val="28"/>
          <w:lang w:val="es-ES"/>
        </w:rPr>
        <w:t>consume. Ello,</w:t>
      </w:r>
      <w:r w:rsidRPr="005D36F1">
        <w:rPr>
          <w:rFonts w:ascii="Times New Roman" w:hAnsi="Times New Roman" w:cs="Times New Roman"/>
          <w:sz w:val="28"/>
          <w:szCs w:val="28"/>
          <w:lang w:val="es-ES"/>
        </w:rPr>
        <w:t xml:space="preserve"> </w:t>
      </w:r>
      <w:r w:rsidRPr="005D36F1">
        <w:rPr>
          <w:rFonts w:ascii="Times New Roman" w:hAnsi="Times New Roman" w:cs="Times New Roman"/>
          <w:sz w:val="28"/>
          <w:szCs w:val="28"/>
          <w:lang w:val="es-ES"/>
        </w:rPr>
        <w:t>en conexi</w:t>
      </w:r>
      <w:r w:rsidRPr="005D36F1">
        <w:rPr>
          <w:rFonts w:ascii="Times New Roman" w:hAnsi="Times New Roman" w:cs="Times New Roman"/>
          <w:sz w:val="28"/>
          <w:szCs w:val="28"/>
          <w:lang w:val="es-ES"/>
        </w:rPr>
        <w:t>dad</w:t>
      </w:r>
      <w:r w:rsidRPr="005D36F1">
        <w:rPr>
          <w:rFonts w:ascii="Times New Roman" w:hAnsi="Times New Roman" w:cs="Times New Roman"/>
          <w:sz w:val="28"/>
          <w:szCs w:val="28"/>
          <w:lang w:val="es-ES"/>
        </w:rPr>
        <w:t xml:space="preserve"> con el </w:t>
      </w:r>
      <w:r w:rsidRPr="005D36F1">
        <w:rPr>
          <w:rFonts w:ascii="Times New Roman" w:hAnsi="Times New Roman" w:cs="Times New Roman"/>
          <w:sz w:val="28"/>
          <w:szCs w:val="28"/>
          <w:lang w:val="es-ES"/>
        </w:rPr>
        <w:t xml:space="preserve">pago de alimentos a favor del cónyuge </w:t>
      </w:r>
      <w:r w:rsidRPr="005D36F1">
        <w:rPr>
          <w:rFonts w:ascii="Times New Roman" w:hAnsi="Times New Roman" w:cs="Times New Roman"/>
          <w:sz w:val="28"/>
          <w:szCs w:val="28"/>
          <w:lang w:val="es-ES"/>
        </w:rPr>
        <w:t>no consumidor y la revocación de las donaciones que este último hubiera hecho por causa del matrimonio</w:t>
      </w:r>
      <w:r w:rsidRPr="005D36F1">
        <w:rPr>
          <w:rFonts w:ascii="Times New Roman" w:hAnsi="Times New Roman" w:cs="Times New Roman"/>
          <w:sz w:val="28"/>
          <w:szCs w:val="28"/>
          <w:lang w:val="es-ES"/>
        </w:rPr>
        <w:t xml:space="preserve">. Para responder a ese </w:t>
      </w:r>
      <w:r w:rsidRPr="005D36F1">
        <w:rPr>
          <w:rFonts w:ascii="Times New Roman" w:hAnsi="Times New Roman" w:cs="Times New Roman"/>
          <w:sz w:val="28"/>
          <w:szCs w:val="28"/>
          <w:lang w:val="es-ES"/>
        </w:rPr>
        <w:t>interrogante</w:t>
      </w:r>
      <w:r w:rsidRPr="005D36F1">
        <w:rPr>
          <w:rFonts w:ascii="Times New Roman" w:hAnsi="Times New Roman" w:cs="Times New Roman"/>
          <w:sz w:val="28"/>
          <w:szCs w:val="28"/>
          <w:lang w:val="es-ES"/>
        </w:rPr>
        <w:t xml:space="preserve">, la Sala Plena se </w:t>
      </w:r>
      <w:r w:rsidRPr="005D36F1">
        <w:rPr>
          <w:rFonts w:ascii="Times New Roman" w:hAnsi="Times New Roman" w:cs="Times New Roman"/>
          <w:sz w:val="28"/>
          <w:szCs w:val="28"/>
          <w:lang w:val="es-ES"/>
        </w:rPr>
        <w:t>refirió a</w:t>
      </w:r>
      <w:r w:rsidRPr="005D36F1">
        <w:rPr>
          <w:rFonts w:ascii="Times New Roman" w:hAnsi="Times New Roman" w:cs="Times New Roman"/>
          <w:sz w:val="28"/>
          <w:szCs w:val="28"/>
          <w:lang w:val="es-ES"/>
        </w:rPr>
        <w:t xml:space="preserve"> </w:t>
      </w:r>
      <w:r w:rsidRPr="005D36F1">
        <w:rPr>
          <w:rFonts w:ascii="Times New Roman" w:hAnsi="Times New Roman" w:cs="Times New Roman"/>
          <w:sz w:val="28"/>
          <w:szCs w:val="28"/>
          <w:lang w:val="es-ES"/>
        </w:rPr>
        <w:t>la jurisprudencia</w:t>
      </w:r>
      <w:r w:rsidRPr="005D36F1">
        <w:rPr>
          <w:rFonts w:ascii="Times New Roman" w:hAnsi="Times New Roman" w:cs="Times New Roman"/>
          <w:sz w:val="28"/>
          <w:szCs w:val="28"/>
          <w:lang w:val="es-ES"/>
        </w:rPr>
        <w:t xml:space="preserve"> en torno al derecho al libre desarrollo de la personalidad y el consumo </w:t>
      </w:r>
      <w:r w:rsidRPr="005D36F1">
        <w:rPr>
          <w:rFonts w:ascii="Times New Roman" w:hAnsi="Times New Roman" w:cs="Times New Roman"/>
          <w:sz w:val="28"/>
          <w:szCs w:val="28"/>
          <w:lang w:val="es-ES"/>
        </w:rPr>
        <w:t xml:space="preserve">de </w:t>
      </w:r>
      <w:r w:rsidRPr="005D36F1">
        <w:rPr>
          <w:rFonts w:ascii="Times New Roman" w:hAnsi="Times New Roman" w:cs="Times New Roman"/>
          <w:sz w:val="28"/>
          <w:szCs w:val="28"/>
          <w:lang w:val="es-ES"/>
        </w:rPr>
        <w:t>la dosis mínima</w:t>
      </w:r>
      <w:r w:rsidRPr="005D36F1">
        <w:rPr>
          <w:rFonts w:ascii="Times New Roman" w:hAnsi="Times New Roman" w:cs="Times New Roman"/>
          <w:sz w:val="28"/>
          <w:szCs w:val="28"/>
          <w:lang w:val="es-ES"/>
        </w:rPr>
        <w:t xml:space="preserve"> y </w:t>
      </w:r>
      <w:r w:rsidRPr="005D36F1">
        <w:rPr>
          <w:rFonts w:ascii="Times New Roman" w:hAnsi="Times New Roman" w:cs="Times New Roman"/>
          <w:sz w:val="28"/>
          <w:szCs w:val="28"/>
          <w:lang w:val="es-ES"/>
        </w:rPr>
        <w:t xml:space="preserve">sobre </w:t>
      </w:r>
      <w:r w:rsidRPr="005D36F1">
        <w:rPr>
          <w:rFonts w:ascii="Times New Roman" w:hAnsi="Times New Roman" w:cs="Times New Roman"/>
          <w:sz w:val="28"/>
          <w:szCs w:val="28"/>
          <w:lang w:val="es-ES"/>
        </w:rPr>
        <w:t>la relevancia del derecho fundamental al libre desarrollo de la personalidad en el matrimonio.</w:t>
      </w:r>
    </w:p>
    <w:p w:rsidR="000E1E8C" w:rsidRPr="005D36F1" w:rsidRDefault="005D36F1" w:rsidP="00922534">
      <w:pPr>
        <w:jc w:val="both"/>
        <w:rPr>
          <w:rFonts w:ascii="Times New Roman" w:hAnsi="Times New Roman" w:cs="Times New Roman"/>
          <w:sz w:val="28"/>
          <w:szCs w:val="28"/>
          <w:lang w:val="es-ES"/>
        </w:rPr>
      </w:pPr>
    </w:p>
    <w:p w:rsidR="000E1E8C" w:rsidRPr="005D36F1" w:rsidRDefault="005D36F1" w:rsidP="00922534">
      <w:pPr>
        <w:jc w:val="both"/>
        <w:rPr>
          <w:rFonts w:ascii="Times New Roman" w:hAnsi="Times New Roman" w:cs="Times New Roman"/>
          <w:sz w:val="28"/>
          <w:szCs w:val="28"/>
          <w:lang w:val="es-ES"/>
        </w:rPr>
      </w:pPr>
      <w:r w:rsidRPr="005D36F1">
        <w:rPr>
          <w:rFonts w:ascii="Times New Roman" w:hAnsi="Times New Roman" w:cs="Times New Roman"/>
          <w:sz w:val="28"/>
          <w:szCs w:val="28"/>
          <w:lang w:val="es-ES"/>
        </w:rPr>
        <w:t>La decisión concluyó que el ejercicio al libre desarrollo de la personalidad parte del valor ético y autónomo que tiene cada individu</w:t>
      </w:r>
      <w:r w:rsidRPr="005D36F1">
        <w:rPr>
          <w:rFonts w:ascii="Times New Roman" w:hAnsi="Times New Roman" w:cs="Times New Roman"/>
          <w:sz w:val="28"/>
          <w:szCs w:val="28"/>
          <w:lang w:val="es-ES"/>
        </w:rPr>
        <w:t>o, no obstante, en sí mismo conlleva la posibilidad de restringirlo. Por ejemplo, respecto al consumo de sustancias psicoactivas en el ámbito laboral, sostuvo que éste puede limitarse cuando se afecte el servicio o la seguridad de los trabajadores. Además,</w:t>
      </w:r>
      <w:r w:rsidRPr="005D36F1">
        <w:rPr>
          <w:rFonts w:ascii="Times New Roman" w:hAnsi="Times New Roman" w:cs="Times New Roman"/>
          <w:sz w:val="28"/>
          <w:szCs w:val="28"/>
          <w:lang w:val="es-ES"/>
        </w:rPr>
        <w:t xml:space="preserve"> resaltó el vínculo que existe entre el derecho fundamental al libre desarrollo de la personalidad y la decisión de conformar una familia a través del matrimonio. Por lo cual, conforme lo establece el artículo 42 de la Constitución, el Legislador tiene amp</w:t>
      </w:r>
      <w:r w:rsidRPr="005D36F1">
        <w:rPr>
          <w:rFonts w:ascii="Times New Roman" w:hAnsi="Times New Roman" w:cs="Times New Roman"/>
          <w:sz w:val="28"/>
          <w:szCs w:val="28"/>
          <w:lang w:val="es-ES"/>
        </w:rPr>
        <w:t>lia configuración legislativa para regular las instituciones del matrimonio y del divorcio.</w:t>
      </w:r>
    </w:p>
    <w:p w:rsidR="00132133" w:rsidRPr="005D36F1" w:rsidRDefault="005D36F1" w:rsidP="00922534">
      <w:pPr>
        <w:jc w:val="both"/>
        <w:rPr>
          <w:rFonts w:ascii="Times New Roman" w:hAnsi="Times New Roman" w:cs="Times New Roman"/>
          <w:sz w:val="28"/>
          <w:szCs w:val="28"/>
          <w:lang w:val="es-ES"/>
        </w:rPr>
      </w:pPr>
    </w:p>
    <w:p w:rsidR="00AF78F5" w:rsidRPr="005D36F1" w:rsidRDefault="005D36F1" w:rsidP="00404D4E">
      <w:pPr>
        <w:jc w:val="both"/>
        <w:rPr>
          <w:rFonts w:ascii="Times New Roman" w:hAnsi="Times New Roman" w:cs="Times New Roman"/>
          <w:sz w:val="28"/>
          <w:szCs w:val="28"/>
          <w:lang w:val="es-ES"/>
        </w:rPr>
      </w:pPr>
      <w:r w:rsidRPr="005D36F1">
        <w:rPr>
          <w:rFonts w:ascii="Times New Roman" w:hAnsi="Times New Roman" w:cs="Times New Roman"/>
          <w:sz w:val="28"/>
          <w:szCs w:val="28"/>
          <w:lang w:val="es-ES"/>
        </w:rPr>
        <w:t>Seguidamente</w:t>
      </w:r>
      <w:r w:rsidRPr="005D36F1">
        <w:rPr>
          <w:rFonts w:ascii="Times New Roman" w:hAnsi="Times New Roman" w:cs="Times New Roman"/>
          <w:sz w:val="28"/>
          <w:szCs w:val="28"/>
          <w:lang w:val="es-ES"/>
        </w:rPr>
        <w:t xml:space="preserve">, la Sala Plena planteó la cuestión de la colisión entre los derechos de los cónyuges. Al respecto, precisó que </w:t>
      </w:r>
      <w:r w:rsidRPr="005D36F1">
        <w:rPr>
          <w:rFonts w:ascii="Times New Roman" w:hAnsi="Times New Roman" w:cs="Times New Roman"/>
          <w:sz w:val="28"/>
          <w:szCs w:val="28"/>
          <w:lang w:val="es-ES"/>
        </w:rPr>
        <w:t>esta</w:t>
      </w:r>
      <w:r w:rsidRPr="005D36F1">
        <w:rPr>
          <w:rFonts w:ascii="Times New Roman" w:hAnsi="Times New Roman" w:cs="Times New Roman"/>
          <w:sz w:val="28"/>
          <w:szCs w:val="28"/>
          <w:lang w:val="es-ES"/>
        </w:rPr>
        <w:t xml:space="preserve"> confrontación</w:t>
      </w:r>
      <w:r w:rsidRPr="005D36F1">
        <w:rPr>
          <w:rFonts w:ascii="Times New Roman" w:hAnsi="Times New Roman" w:cs="Times New Roman"/>
          <w:sz w:val="28"/>
          <w:szCs w:val="28"/>
          <w:lang w:val="es-ES"/>
        </w:rPr>
        <w:t xml:space="preserve"> </w:t>
      </w:r>
      <w:r w:rsidRPr="005D36F1">
        <w:rPr>
          <w:rFonts w:ascii="Times New Roman" w:hAnsi="Times New Roman" w:cs="Times New Roman"/>
          <w:sz w:val="28"/>
          <w:szCs w:val="28"/>
          <w:lang w:val="es-ES"/>
        </w:rPr>
        <w:t>s</w:t>
      </w:r>
      <w:r w:rsidRPr="005D36F1">
        <w:rPr>
          <w:rFonts w:ascii="Times New Roman" w:hAnsi="Times New Roman" w:cs="Times New Roman"/>
          <w:sz w:val="28"/>
          <w:szCs w:val="28"/>
          <w:lang w:val="es-ES"/>
        </w:rPr>
        <w:t>e refiere a</w:t>
      </w:r>
      <w:r w:rsidRPr="005D36F1">
        <w:rPr>
          <w:rFonts w:ascii="Times New Roman" w:hAnsi="Times New Roman" w:cs="Times New Roman"/>
          <w:sz w:val="28"/>
          <w:szCs w:val="28"/>
          <w:lang w:val="es-ES"/>
        </w:rPr>
        <w:t xml:space="preserve"> dos pretensiones </w:t>
      </w:r>
      <w:r w:rsidRPr="005D36F1">
        <w:rPr>
          <w:rFonts w:ascii="Times New Roman" w:hAnsi="Times New Roman" w:cs="Times New Roman"/>
          <w:sz w:val="28"/>
          <w:szCs w:val="28"/>
          <w:lang w:val="es-ES"/>
        </w:rPr>
        <w:t>en</w:t>
      </w:r>
      <w:r w:rsidRPr="005D36F1">
        <w:rPr>
          <w:rFonts w:ascii="Times New Roman" w:hAnsi="Times New Roman" w:cs="Times New Roman"/>
          <w:sz w:val="28"/>
          <w:szCs w:val="28"/>
          <w:lang w:val="es-ES"/>
        </w:rPr>
        <w:t xml:space="preserve"> ejercicio de un mismo derecho fundamental; el libre desarrollo de la personalidad.</w:t>
      </w:r>
      <w:r w:rsidRPr="005D36F1">
        <w:rPr>
          <w:rFonts w:ascii="Times New Roman" w:hAnsi="Times New Roman" w:cs="Times New Roman"/>
          <w:sz w:val="28"/>
          <w:szCs w:val="28"/>
          <w:lang w:val="es-ES"/>
        </w:rPr>
        <w:t xml:space="preserve"> De un lado, </w:t>
      </w:r>
      <w:r w:rsidRPr="005D36F1">
        <w:rPr>
          <w:rFonts w:ascii="Times New Roman" w:hAnsi="Times New Roman" w:cs="Times New Roman"/>
          <w:sz w:val="28"/>
          <w:szCs w:val="28"/>
          <w:lang w:val="es-ES"/>
        </w:rPr>
        <w:t>el cónyuge que no desea vivir en matrimonio con una persona que consume habitualmente sustancias psicoactivas</w:t>
      </w:r>
      <w:r w:rsidRPr="005D36F1">
        <w:rPr>
          <w:rFonts w:ascii="Times New Roman" w:hAnsi="Times New Roman" w:cs="Times New Roman"/>
          <w:sz w:val="28"/>
          <w:szCs w:val="28"/>
          <w:lang w:val="es-ES"/>
        </w:rPr>
        <w:t>,</w:t>
      </w:r>
      <w:r w:rsidRPr="005D36F1">
        <w:rPr>
          <w:rFonts w:ascii="Times New Roman" w:hAnsi="Times New Roman" w:cs="Times New Roman"/>
          <w:sz w:val="28"/>
          <w:szCs w:val="28"/>
          <w:lang w:val="es-ES"/>
        </w:rPr>
        <w:t xml:space="preserve"> y de otro, el cónyuge que des</w:t>
      </w:r>
      <w:r w:rsidRPr="005D36F1">
        <w:rPr>
          <w:rFonts w:ascii="Times New Roman" w:hAnsi="Times New Roman" w:cs="Times New Roman"/>
          <w:sz w:val="28"/>
          <w:szCs w:val="28"/>
          <w:lang w:val="es-ES"/>
        </w:rPr>
        <w:t xml:space="preserve">ea hacer un consumo habitual de esas sustancias sin disolver el vínculo conyugal. </w:t>
      </w:r>
      <w:r w:rsidRPr="005D36F1">
        <w:rPr>
          <w:rFonts w:ascii="Times New Roman" w:hAnsi="Times New Roman" w:cs="Times New Roman"/>
          <w:sz w:val="28"/>
          <w:szCs w:val="28"/>
          <w:lang w:val="es-ES"/>
        </w:rPr>
        <w:t>En un ejercicio de armonización concreta</w:t>
      </w:r>
      <w:r w:rsidRPr="005D36F1">
        <w:rPr>
          <w:rFonts w:ascii="Times New Roman" w:hAnsi="Times New Roman" w:cs="Times New Roman"/>
          <w:sz w:val="28"/>
          <w:szCs w:val="28"/>
          <w:lang w:val="es-ES"/>
        </w:rPr>
        <w:t xml:space="preserve"> y con el</w:t>
      </w:r>
      <w:r w:rsidRPr="005D36F1">
        <w:rPr>
          <w:rFonts w:ascii="Times New Roman" w:hAnsi="Times New Roman" w:cs="Times New Roman"/>
          <w:sz w:val="28"/>
          <w:szCs w:val="28"/>
          <w:lang w:val="es-ES"/>
        </w:rPr>
        <w:t xml:space="preserve"> propósito de encontrar una solución antagónica, se optó por mantener la causal dentro del ordenamiento jurídico, </w:t>
      </w:r>
      <w:r w:rsidRPr="005D36F1">
        <w:rPr>
          <w:rFonts w:ascii="Times New Roman" w:hAnsi="Times New Roman" w:cs="Times New Roman"/>
          <w:sz w:val="28"/>
          <w:szCs w:val="28"/>
          <w:lang w:val="es-ES"/>
        </w:rPr>
        <w:t>pero modifi</w:t>
      </w:r>
      <w:r w:rsidRPr="005D36F1">
        <w:rPr>
          <w:rFonts w:ascii="Times New Roman" w:hAnsi="Times New Roman" w:cs="Times New Roman"/>
          <w:sz w:val="28"/>
          <w:szCs w:val="28"/>
          <w:lang w:val="es-ES"/>
        </w:rPr>
        <w:t>cando las consecuencias patrimoniales previstas por el Legislad</w:t>
      </w:r>
      <w:r w:rsidRPr="005D36F1">
        <w:rPr>
          <w:rFonts w:ascii="Times New Roman" w:hAnsi="Times New Roman" w:cs="Times New Roman"/>
          <w:color w:val="000000" w:themeColor="text1"/>
          <w:sz w:val="28"/>
          <w:szCs w:val="28"/>
          <w:lang w:val="es-ES"/>
        </w:rPr>
        <w:t xml:space="preserve">or, entre las que se encuentran </w:t>
      </w:r>
      <w:r w:rsidRPr="005D36F1">
        <w:rPr>
          <w:rFonts w:ascii="Times New Roman" w:hAnsi="Times New Roman" w:cs="Times New Roman"/>
          <w:color w:val="000000" w:themeColor="text1"/>
          <w:sz w:val="28"/>
          <w:szCs w:val="28"/>
          <w:lang w:val="es-ES"/>
        </w:rPr>
        <w:t>el pago de alimentos y</w:t>
      </w:r>
      <w:r w:rsidRPr="005D36F1">
        <w:rPr>
          <w:rFonts w:ascii="Times New Roman" w:hAnsi="Times New Roman" w:cs="Times New Roman"/>
          <w:color w:val="000000" w:themeColor="text1"/>
          <w:sz w:val="28"/>
          <w:szCs w:val="28"/>
          <w:lang w:val="es-ES"/>
        </w:rPr>
        <w:t xml:space="preserve"> la revocación</w:t>
      </w:r>
      <w:r w:rsidRPr="005D36F1">
        <w:rPr>
          <w:rFonts w:ascii="Times New Roman" w:hAnsi="Times New Roman" w:cs="Times New Roman"/>
          <w:color w:val="000000" w:themeColor="text1"/>
          <w:sz w:val="28"/>
          <w:szCs w:val="28"/>
          <w:lang w:val="es-ES"/>
        </w:rPr>
        <w:t xml:space="preserve"> de las donaciones</w:t>
      </w:r>
      <w:r w:rsidRPr="005D36F1">
        <w:rPr>
          <w:rFonts w:ascii="Times New Roman" w:hAnsi="Times New Roman" w:cs="Times New Roman"/>
          <w:sz w:val="28"/>
          <w:szCs w:val="28"/>
          <w:lang w:val="es-ES"/>
        </w:rPr>
        <w:t xml:space="preserve">. Ello, en aplicación del denominado juicio de proporcionalidad en sentido </w:t>
      </w:r>
      <w:r w:rsidRPr="005D36F1">
        <w:rPr>
          <w:rFonts w:ascii="Times New Roman" w:hAnsi="Times New Roman" w:cs="Times New Roman"/>
          <w:i/>
          <w:iCs/>
          <w:sz w:val="28"/>
          <w:szCs w:val="28"/>
          <w:lang w:val="es-ES"/>
        </w:rPr>
        <w:t>estricto</w:t>
      </w:r>
      <w:r w:rsidRPr="005D36F1">
        <w:rPr>
          <w:rFonts w:ascii="Times New Roman" w:hAnsi="Times New Roman" w:cs="Times New Roman"/>
          <w:sz w:val="28"/>
          <w:szCs w:val="28"/>
          <w:lang w:val="es-ES"/>
        </w:rPr>
        <w:t>.</w:t>
      </w:r>
    </w:p>
    <w:p w:rsidR="00404D4E" w:rsidRPr="005D36F1" w:rsidRDefault="005D36F1" w:rsidP="00404D4E">
      <w:pPr>
        <w:jc w:val="both"/>
        <w:rPr>
          <w:rFonts w:ascii="Times New Roman" w:hAnsi="Times New Roman" w:cs="Times New Roman"/>
          <w:sz w:val="28"/>
          <w:szCs w:val="28"/>
          <w:lang w:val="es-ES"/>
        </w:rPr>
      </w:pPr>
    </w:p>
    <w:p w:rsidR="00853C8D" w:rsidRPr="005D36F1" w:rsidRDefault="005D36F1" w:rsidP="001F6DCA">
      <w:pPr>
        <w:jc w:val="both"/>
        <w:rPr>
          <w:rFonts w:ascii="Times New Roman" w:hAnsi="Times New Roman" w:cs="Times New Roman"/>
          <w:sz w:val="28"/>
          <w:szCs w:val="28"/>
          <w:lang w:val="es-ES"/>
        </w:rPr>
      </w:pPr>
      <w:r w:rsidRPr="005D36F1">
        <w:rPr>
          <w:rFonts w:ascii="Times New Roman" w:hAnsi="Times New Roman" w:cs="Times New Roman"/>
          <w:sz w:val="28"/>
          <w:szCs w:val="28"/>
          <w:lang w:val="es-ES"/>
        </w:rPr>
        <w:t>De forma conclusiva, y no obstante el Plenario planteó la cuestión de colisión entre los derechos de ambos cónyuges, la realidad es que lo hizo solamente desde la perspectiva de la posible afectación del derecho al libre desarrollo de la personalidad de pa</w:t>
      </w:r>
      <w:r w:rsidRPr="005D36F1">
        <w:rPr>
          <w:rFonts w:ascii="Times New Roman" w:hAnsi="Times New Roman" w:cs="Times New Roman"/>
          <w:sz w:val="28"/>
          <w:szCs w:val="28"/>
          <w:lang w:val="es-ES"/>
        </w:rPr>
        <w:t xml:space="preserve">rte y parte. Ello </w:t>
      </w:r>
      <w:r w:rsidRPr="005D36F1">
        <w:rPr>
          <w:rFonts w:ascii="Times New Roman" w:hAnsi="Times New Roman" w:cs="Times New Roman"/>
          <w:sz w:val="28"/>
          <w:szCs w:val="28"/>
          <w:lang w:val="es-ES"/>
        </w:rPr>
        <w:t>conllevó, como se detallará a continuación, a dejar de lado la transgresión de otros derechos fundamentales del cónyuge no consumidor, entre los que se encuentran el derecho fundamental a conformar una familia, a vivir una vida libre de v</w:t>
      </w:r>
      <w:r w:rsidRPr="005D36F1">
        <w:rPr>
          <w:rFonts w:ascii="Times New Roman" w:hAnsi="Times New Roman" w:cs="Times New Roman"/>
          <w:sz w:val="28"/>
          <w:szCs w:val="28"/>
          <w:lang w:val="es-ES"/>
        </w:rPr>
        <w:t xml:space="preserve">iolencia y la prevalencia de los derechos fundamentales de los hijos concebidos en el seno del matrimonio. </w:t>
      </w:r>
    </w:p>
    <w:p w:rsidR="001F6DCA" w:rsidRPr="005D36F1" w:rsidRDefault="005D36F1" w:rsidP="001F6DCA">
      <w:pPr>
        <w:jc w:val="both"/>
        <w:rPr>
          <w:rFonts w:ascii="Times New Roman" w:hAnsi="Times New Roman" w:cs="Times New Roman"/>
          <w:sz w:val="28"/>
          <w:szCs w:val="28"/>
          <w:lang w:val="es-ES"/>
        </w:rPr>
      </w:pPr>
    </w:p>
    <w:p w:rsidR="00D10CA5" w:rsidRPr="005D36F1" w:rsidRDefault="005D36F1" w:rsidP="00391FE0">
      <w:pPr>
        <w:jc w:val="both"/>
        <w:rPr>
          <w:rFonts w:ascii="Times New Roman" w:hAnsi="Times New Roman" w:cs="Times New Roman"/>
          <w:b/>
          <w:bCs/>
          <w:i/>
          <w:iCs/>
          <w:sz w:val="28"/>
          <w:szCs w:val="28"/>
          <w:lang w:val="es-ES"/>
        </w:rPr>
      </w:pPr>
      <w:r w:rsidRPr="005D36F1">
        <w:rPr>
          <w:rFonts w:ascii="Times New Roman" w:hAnsi="Times New Roman" w:cs="Times New Roman"/>
          <w:b/>
          <w:bCs/>
          <w:i/>
          <w:iCs/>
          <w:sz w:val="28"/>
          <w:szCs w:val="28"/>
          <w:lang w:val="es-ES"/>
        </w:rPr>
        <w:t xml:space="preserve">El consumo de sustancias psicoactivas por parte del cónyuge consumidor afecta los derechos </w:t>
      </w:r>
      <w:r w:rsidRPr="005D36F1">
        <w:rPr>
          <w:rFonts w:ascii="Times New Roman" w:hAnsi="Times New Roman" w:cs="Times New Roman"/>
          <w:b/>
          <w:bCs/>
          <w:i/>
          <w:iCs/>
          <w:sz w:val="28"/>
          <w:szCs w:val="28"/>
          <w:lang w:val="es-ES"/>
        </w:rPr>
        <w:t xml:space="preserve">fundamentales </w:t>
      </w:r>
      <w:r w:rsidRPr="005D36F1">
        <w:rPr>
          <w:rFonts w:ascii="Times New Roman" w:hAnsi="Times New Roman" w:cs="Times New Roman"/>
          <w:b/>
          <w:bCs/>
          <w:i/>
          <w:iCs/>
          <w:sz w:val="28"/>
          <w:szCs w:val="28"/>
          <w:lang w:val="es-ES"/>
        </w:rPr>
        <w:t>del cónyuge no consumidor y los</w:t>
      </w:r>
      <w:r w:rsidRPr="005D36F1">
        <w:rPr>
          <w:rFonts w:ascii="Times New Roman" w:hAnsi="Times New Roman" w:cs="Times New Roman"/>
          <w:b/>
          <w:bCs/>
          <w:i/>
          <w:iCs/>
          <w:sz w:val="28"/>
          <w:szCs w:val="28"/>
          <w:lang w:val="es-ES"/>
        </w:rPr>
        <w:t xml:space="preserve"> de los</w:t>
      </w:r>
      <w:r w:rsidRPr="005D36F1">
        <w:rPr>
          <w:rFonts w:ascii="Times New Roman" w:hAnsi="Times New Roman" w:cs="Times New Roman"/>
          <w:b/>
          <w:bCs/>
          <w:i/>
          <w:iCs/>
          <w:sz w:val="28"/>
          <w:szCs w:val="28"/>
          <w:lang w:val="es-ES"/>
        </w:rPr>
        <w:t xml:space="preserve"> hijos bajo su custodia</w:t>
      </w:r>
    </w:p>
    <w:p w:rsidR="006D7FF6" w:rsidRPr="005D36F1" w:rsidRDefault="005D36F1" w:rsidP="00FA53A2">
      <w:pPr>
        <w:jc w:val="both"/>
        <w:rPr>
          <w:rFonts w:ascii="Times New Roman" w:hAnsi="Times New Roman" w:cs="Times New Roman"/>
          <w:sz w:val="28"/>
          <w:szCs w:val="28"/>
          <w:lang w:val="es-ES"/>
        </w:rPr>
      </w:pPr>
    </w:p>
    <w:p w:rsidR="00853C8D" w:rsidRPr="005D36F1" w:rsidRDefault="005D36F1" w:rsidP="009D3D85">
      <w:pPr>
        <w:jc w:val="both"/>
        <w:rPr>
          <w:rFonts w:ascii="Times New Roman" w:hAnsi="Times New Roman" w:cs="Times New Roman"/>
          <w:sz w:val="28"/>
          <w:szCs w:val="28"/>
          <w:lang w:val="es-ES"/>
        </w:rPr>
      </w:pPr>
      <w:r w:rsidRPr="005D36F1">
        <w:rPr>
          <w:rFonts w:ascii="Times New Roman" w:hAnsi="Times New Roman" w:cs="Times New Roman"/>
          <w:sz w:val="28"/>
          <w:szCs w:val="28"/>
          <w:lang w:val="es-ES"/>
        </w:rPr>
        <w:t xml:space="preserve">Estimo, de forma muy respetuosa, que el análisis de la decisión debía necesariamente considerar la posible afectación de los derechos </w:t>
      </w:r>
      <w:r w:rsidRPr="005D36F1">
        <w:rPr>
          <w:rFonts w:ascii="Times New Roman" w:hAnsi="Times New Roman" w:cs="Times New Roman"/>
          <w:sz w:val="28"/>
          <w:szCs w:val="28"/>
          <w:lang w:val="es-ES"/>
        </w:rPr>
        <w:t>fundamentales</w:t>
      </w:r>
      <w:r w:rsidRPr="005D36F1">
        <w:rPr>
          <w:rFonts w:ascii="Times New Roman" w:hAnsi="Times New Roman" w:cs="Times New Roman"/>
          <w:sz w:val="28"/>
          <w:szCs w:val="28"/>
          <w:lang w:val="es-ES"/>
        </w:rPr>
        <w:t xml:space="preserve"> a conformar una familia </w:t>
      </w:r>
      <w:r w:rsidRPr="005D36F1">
        <w:rPr>
          <w:rFonts w:ascii="Times New Roman" w:hAnsi="Times New Roman" w:cs="Times New Roman"/>
          <w:sz w:val="28"/>
          <w:szCs w:val="28"/>
          <w:lang w:val="es-ES"/>
        </w:rPr>
        <w:t xml:space="preserve">y a vivir una vida libre de violencias </w:t>
      </w:r>
      <w:r w:rsidRPr="005D36F1">
        <w:rPr>
          <w:rFonts w:ascii="Times New Roman" w:hAnsi="Times New Roman" w:cs="Times New Roman"/>
          <w:sz w:val="28"/>
          <w:szCs w:val="28"/>
          <w:lang w:val="es-ES"/>
        </w:rPr>
        <w:t xml:space="preserve">del cónyuge no consumidor y de los hijos concebidos durante el matrimonio. </w:t>
      </w:r>
      <w:r w:rsidRPr="005D36F1">
        <w:rPr>
          <w:rFonts w:ascii="Times New Roman" w:hAnsi="Times New Roman" w:cs="Times New Roman"/>
          <w:sz w:val="28"/>
          <w:szCs w:val="28"/>
          <w:lang w:val="es-ES"/>
        </w:rPr>
        <w:t>La</w:t>
      </w:r>
      <w:r w:rsidRPr="005D36F1">
        <w:rPr>
          <w:rFonts w:ascii="Times New Roman" w:hAnsi="Times New Roman" w:cs="Times New Roman"/>
          <w:sz w:val="28"/>
          <w:szCs w:val="28"/>
          <w:lang w:val="es-ES"/>
        </w:rPr>
        <w:t xml:space="preserve"> Sala Plena afirmó, con fundamento en ciertos estudios, que </w:t>
      </w:r>
      <w:r w:rsidRPr="005D36F1">
        <w:rPr>
          <w:rFonts w:ascii="Times New Roman" w:hAnsi="Times New Roman" w:cs="Times New Roman"/>
          <w:sz w:val="28"/>
          <w:szCs w:val="28"/>
          <w:lang w:val="es-ES"/>
        </w:rPr>
        <w:t xml:space="preserve">no había prueba del vínculo entre el consumo habitual de sustancias psicoactivas y que </w:t>
      </w:r>
      <w:r w:rsidRPr="005D36F1">
        <w:rPr>
          <w:rFonts w:ascii="Times New Roman" w:hAnsi="Times New Roman" w:cs="Times New Roman"/>
          <w:sz w:val="28"/>
          <w:szCs w:val="28"/>
          <w:lang w:val="es-ES"/>
        </w:rPr>
        <w:t>el</w:t>
      </w:r>
      <w:r w:rsidRPr="005D36F1">
        <w:rPr>
          <w:rFonts w:ascii="Times New Roman" w:hAnsi="Times New Roman" w:cs="Times New Roman"/>
          <w:sz w:val="28"/>
          <w:szCs w:val="28"/>
          <w:lang w:val="es-ES"/>
        </w:rPr>
        <w:t xml:space="preserve"> ordenamiento jurídico </w:t>
      </w:r>
      <w:r w:rsidRPr="005D36F1">
        <w:rPr>
          <w:rFonts w:ascii="Times New Roman" w:hAnsi="Times New Roman" w:cs="Times New Roman"/>
          <w:sz w:val="28"/>
          <w:szCs w:val="28"/>
          <w:lang w:val="es-ES"/>
        </w:rPr>
        <w:t>ya prev</w:t>
      </w:r>
      <w:r w:rsidRPr="005D36F1">
        <w:rPr>
          <w:rFonts w:ascii="Times New Roman" w:hAnsi="Times New Roman" w:cs="Times New Roman"/>
          <w:sz w:val="28"/>
          <w:szCs w:val="28"/>
          <w:lang w:val="es-ES"/>
        </w:rPr>
        <w:t xml:space="preserve">é, en otras disposiciones, el incumplimiento de las obligaciones que los padres tienen para con sus hijos. No comparto estas afirmaciones, pues como expondré a continuación, el consumo habitual </w:t>
      </w:r>
      <w:r w:rsidRPr="005D36F1">
        <w:rPr>
          <w:rFonts w:ascii="Times New Roman" w:hAnsi="Times New Roman" w:cs="Times New Roman"/>
          <w:sz w:val="28"/>
          <w:szCs w:val="28"/>
          <w:lang w:val="es-ES"/>
        </w:rPr>
        <w:t xml:space="preserve">de uno de los cónyuges </w:t>
      </w:r>
      <w:r w:rsidRPr="005D36F1">
        <w:rPr>
          <w:rFonts w:ascii="Times New Roman" w:hAnsi="Times New Roman" w:cs="Times New Roman"/>
          <w:sz w:val="28"/>
          <w:szCs w:val="28"/>
          <w:lang w:val="es-ES"/>
        </w:rPr>
        <w:t>dentro del núcleo familiar s</w:t>
      </w:r>
      <w:r w:rsidRPr="005D36F1">
        <w:rPr>
          <w:rFonts w:ascii="Times New Roman" w:hAnsi="Times New Roman" w:cs="Times New Roman"/>
          <w:sz w:val="28"/>
          <w:szCs w:val="28"/>
          <w:lang w:val="es-ES"/>
        </w:rPr>
        <w:t>í</w:t>
      </w:r>
      <w:r w:rsidRPr="005D36F1">
        <w:rPr>
          <w:rFonts w:ascii="Times New Roman" w:hAnsi="Times New Roman" w:cs="Times New Roman"/>
          <w:sz w:val="28"/>
          <w:szCs w:val="28"/>
          <w:lang w:val="es-ES"/>
        </w:rPr>
        <w:t xml:space="preserve"> afecta lo</w:t>
      </w:r>
      <w:r w:rsidRPr="005D36F1">
        <w:rPr>
          <w:rFonts w:ascii="Times New Roman" w:hAnsi="Times New Roman" w:cs="Times New Roman"/>
          <w:sz w:val="28"/>
          <w:szCs w:val="28"/>
          <w:lang w:val="es-ES"/>
        </w:rPr>
        <w:t xml:space="preserve">s derechos </w:t>
      </w:r>
      <w:r w:rsidRPr="005D36F1">
        <w:rPr>
          <w:rFonts w:ascii="Times New Roman" w:hAnsi="Times New Roman" w:cs="Times New Roman"/>
          <w:sz w:val="28"/>
          <w:szCs w:val="28"/>
          <w:lang w:val="es-ES"/>
        </w:rPr>
        <w:t>propios</w:t>
      </w:r>
      <w:r w:rsidRPr="005D36F1">
        <w:rPr>
          <w:rFonts w:ascii="Times New Roman" w:hAnsi="Times New Roman" w:cs="Times New Roman"/>
          <w:sz w:val="28"/>
          <w:szCs w:val="28"/>
          <w:lang w:val="es-ES"/>
        </w:rPr>
        <w:t xml:space="preserve"> de quienes conviven </w:t>
      </w:r>
      <w:r w:rsidRPr="005D36F1">
        <w:rPr>
          <w:rFonts w:ascii="Times New Roman" w:hAnsi="Times New Roman" w:cs="Times New Roman"/>
          <w:sz w:val="28"/>
          <w:szCs w:val="28"/>
          <w:lang w:val="es-ES"/>
        </w:rPr>
        <w:t>él.</w:t>
      </w:r>
    </w:p>
    <w:p w:rsidR="00853C8D" w:rsidRPr="005D36F1" w:rsidRDefault="005D36F1" w:rsidP="009D3D85">
      <w:pPr>
        <w:jc w:val="both"/>
        <w:rPr>
          <w:rFonts w:ascii="Times New Roman" w:hAnsi="Times New Roman" w:cs="Times New Roman"/>
          <w:sz w:val="28"/>
          <w:szCs w:val="28"/>
          <w:lang w:val="es-ES"/>
        </w:rPr>
      </w:pPr>
    </w:p>
    <w:p w:rsidR="009D3D85" w:rsidRPr="005D36F1" w:rsidRDefault="005D36F1" w:rsidP="009D3D85">
      <w:pPr>
        <w:jc w:val="both"/>
        <w:rPr>
          <w:rFonts w:ascii="Times New Roman" w:hAnsi="Times New Roman" w:cs="Times New Roman"/>
          <w:sz w:val="28"/>
          <w:szCs w:val="28"/>
          <w:lang w:val="es-ES"/>
        </w:rPr>
      </w:pPr>
      <w:r w:rsidRPr="005D36F1">
        <w:rPr>
          <w:rFonts w:ascii="Times New Roman" w:hAnsi="Times New Roman" w:cs="Times New Roman"/>
          <w:sz w:val="28"/>
          <w:szCs w:val="28"/>
          <w:lang w:val="es-ES"/>
        </w:rPr>
        <w:t xml:space="preserve">En el análisis del caso concreto, </w:t>
      </w:r>
      <w:r w:rsidRPr="005D36F1">
        <w:rPr>
          <w:rFonts w:ascii="Times New Roman" w:hAnsi="Times New Roman" w:cs="Times New Roman"/>
          <w:sz w:val="28"/>
          <w:szCs w:val="28"/>
          <w:lang w:val="es-ES"/>
        </w:rPr>
        <w:t>la Corte</w:t>
      </w:r>
      <w:r w:rsidRPr="005D36F1">
        <w:rPr>
          <w:rFonts w:ascii="Times New Roman" w:hAnsi="Times New Roman" w:cs="Times New Roman"/>
          <w:sz w:val="28"/>
          <w:szCs w:val="28"/>
          <w:lang w:val="es-ES"/>
        </w:rPr>
        <w:t xml:space="preserve"> </w:t>
      </w:r>
      <w:r w:rsidRPr="005D36F1">
        <w:rPr>
          <w:rFonts w:ascii="Times New Roman" w:hAnsi="Times New Roman" w:cs="Times New Roman"/>
          <w:sz w:val="28"/>
          <w:szCs w:val="28"/>
          <w:lang w:val="es-ES"/>
        </w:rPr>
        <w:t>concluyó</w:t>
      </w:r>
      <w:r w:rsidRPr="005D36F1">
        <w:rPr>
          <w:rFonts w:ascii="Times New Roman" w:hAnsi="Times New Roman" w:cs="Times New Roman"/>
          <w:sz w:val="28"/>
          <w:szCs w:val="28"/>
          <w:lang w:val="es-ES"/>
        </w:rPr>
        <w:t xml:space="preserve"> que no existía evidencia científica que </w:t>
      </w:r>
      <w:r w:rsidRPr="005D36F1">
        <w:rPr>
          <w:rFonts w:ascii="Times New Roman" w:hAnsi="Times New Roman" w:cs="Times New Roman"/>
          <w:sz w:val="28"/>
          <w:szCs w:val="28"/>
          <w:lang w:val="es-ES"/>
        </w:rPr>
        <w:t>demostrara</w:t>
      </w:r>
      <w:r w:rsidRPr="005D36F1">
        <w:rPr>
          <w:rFonts w:ascii="Times New Roman" w:hAnsi="Times New Roman" w:cs="Times New Roman"/>
          <w:sz w:val="28"/>
          <w:szCs w:val="28"/>
          <w:lang w:val="es-ES"/>
        </w:rPr>
        <w:t xml:space="preserve"> una relación entre el consumo habitual de sustancias psicoactivas y la violencia doméstica. Por consiguiente, corroboró que la disposición en comento no tiene el efecto de prevenir o remediar la violencia doméstica, además de que existen otras causales de</w:t>
      </w:r>
      <w:r w:rsidRPr="005D36F1">
        <w:rPr>
          <w:rFonts w:ascii="Times New Roman" w:hAnsi="Times New Roman" w:cs="Times New Roman"/>
          <w:sz w:val="28"/>
          <w:szCs w:val="28"/>
          <w:lang w:val="es-ES"/>
        </w:rPr>
        <w:t>l Código Civil dirigidas exclusivamente a reprochar esta conducta, como es el caso de la segunda y la tercera</w:t>
      </w:r>
      <w:r w:rsidRPr="005D36F1">
        <w:rPr>
          <w:rFonts w:ascii="Times New Roman" w:hAnsi="Times New Roman" w:cs="Times New Roman"/>
          <w:sz w:val="28"/>
          <w:szCs w:val="28"/>
          <w:lang w:val="es-ES"/>
        </w:rPr>
        <w:t xml:space="preserve"> del artículo objeto de estudio</w:t>
      </w:r>
      <w:r w:rsidRPr="005D36F1">
        <w:rPr>
          <w:rFonts w:ascii="Times New Roman" w:hAnsi="Times New Roman" w:cs="Times New Roman"/>
          <w:sz w:val="28"/>
          <w:szCs w:val="28"/>
          <w:lang w:val="es-ES"/>
        </w:rPr>
        <w:t>.</w:t>
      </w:r>
      <w:r w:rsidRPr="005D36F1">
        <w:rPr>
          <w:rFonts w:ascii="Times New Roman" w:hAnsi="Times New Roman" w:cs="Times New Roman"/>
          <w:sz w:val="28"/>
          <w:szCs w:val="28"/>
          <w:lang w:val="es-ES"/>
        </w:rPr>
        <w:t xml:space="preserve"> De una parte, la causal segunda refiere el gra</w:t>
      </w:r>
      <w:r w:rsidRPr="005D36F1">
        <w:rPr>
          <w:rFonts w:ascii="Times New Roman" w:hAnsi="Times New Roman" w:cs="Times New Roman"/>
          <w:sz w:val="28"/>
          <w:szCs w:val="28"/>
          <w:lang w:val="es-ES"/>
        </w:rPr>
        <w:t>v</w:t>
      </w:r>
      <w:r w:rsidRPr="005D36F1">
        <w:rPr>
          <w:rFonts w:ascii="Times New Roman" w:hAnsi="Times New Roman" w:cs="Times New Roman"/>
          <w:sz w:val="28"/>
          <w:szCs w:val="28"/>
          <w:lang w:val="es-ES"/>
        </w:rPr>
        <w:t>e e injustificado incumplimiento de los deberes como cónyuge y/o pa</w:t>
      </w:r>
      <w:r w:rsidRPr="005D36F1">
        <w:rPr>
          <w:rFonts w:ascii="Times New Roman" w:hAnsi="Times New Roman" w:cs="Times New Roman"/>
          <w:sz w:val="28"/>
          <w:szCs w:val="28"/>
          <w:lang w:val="es-ES"/>
        </w:rPr>
        <w:t>dre, y de otra, los ultrajes, el trato cruel y los maltratamientos de obra.</w:t>
      </w:r>
      <w:r w:rsidRPr="005D36F1">
        <w:rPr>
          <w:rFonts w:ascii="Times New Roman" w:hAnsi="Times New Roman" w:cs="Times New Roman"/>
          <w:sz w:val="28"/>
          <w:szCs w:val="28"/>
          <w:lang w:val="es-ES"/>
        </w:rPr>
        <w:t xml:space="preserve"> Como consecuencia de lo anterior, concluyó:</w:t>
      </w:r>
      <w:r w:rsidRPr="005D36F1">
        <w:rPr>
          <w:rFonts w:ascii="Times New Roman" w:hAnsi="Times New Roman" w:cs="Times New Roman"/>
          <w:sz w:val="28"/>
          <w:szCs w:val="28"/>
          <w:lang w:val="es-ES"/>
        </w:rPr>
        <w:t xml:space="preserve"> </w:t>
      </w:r>
    </w:p>
    <w:p w:rsidR="00BC115E" w:rsidRPr="005D36F1" w:rsidRDefault="005D36F1" w:rsidP="009D3D85">
      <w:pPr>
        <w:jc w:val="both"/>
        <w:rPr>
          <w:rFonts w:ascii="Times New Roman" w:hAnsi="Times New Roman" w:cs="Times New Roman"/>
          <w:sz w:val="28"/>
          <w:szCs w:val="28"/>
          <w:lang w:val="es-ES"/>
        </w:rPr>
      </w:pPr>
    </w:p>
    <w:p w:rsidR="009D3D85" w:rsidRPr="005D36F1" w:rsidRDefault="005D36F1" w:rsidP="00BC115E">
      <w:pPr>
        <w:ind w:left="284" w:right="332"/>
        <w:jc w:val="both"/>
        <w:rPr>
          <w:rFonts w:ascii="Times New Roman" w:hAnsi="Times New Roman" w:cs="Times New Roman"/>
          <w:i/>
          <w:iCs/>
          <w:sz w:val="28"/>
          <w:szCs w:val="24"/>
          <w:lang w:val="es-ES"/>
        </w:rPr>
      </w:pPr>
      <w:r w:rsidRPr="005D36F1">
        <w:rPr>
          <w:rFonts w:ascii="Times New Roman" w:hAnsi="Times New Roman" w:cs="Times New Roman"/>
          <w:i/>
          <w:iCs/>
          <w:sz w:val="28"/>
          <w:szCs w:val="24"/>
          <w:lang w:val="es-ES"/>
        </w:rPr>
        <w:t>“Del análisis realizado hasta este punto se derivan las siguientes conclusiones, a propósito de la pretendida relación entre el uso de</w:t>
      </w:r>
      <w:r w:rsidRPr="005D36F1">
        <w:rPr>
          <w:rFonts w:ascii="Times New Roman" w:hAnsi="Times New Roman" w:cs="Times New Roman"/>
          <w:i/>
          <w:iCs/>
          <w:sz w:val="28"/>
          <w:szCs w:val="24"/>
          <w:lang w:val="es-ES"/>
        </w:rPr>
        <w:t xml:space="preserve"> sustancias psicoactivas y la violencia doméstica: i) no existe evidencia científica que sustente la asociación entre consumo habitual de sustancias psicoactivas y la ejecución de actos de violencia doméstica; ii) la norma demandada no tiene el efecto de p</w:t>
      </w:r>
      <w:r w:rsidRPr="005D36F1">
        <w:rPr>
          <w:rFonts w:ascii="Times New Roman" w:hAnsi="Times New Roman" w:cs="Times New Roman"/>
          <w:i/>
          <w:iCs/>
          <w:sz w:val="28"/>
          <w:szCs w:val="24"/>
          <w:lang w:val="es-ES"/>
        </w:rPr>
        <w:t>revenir o remediar la violencia doméstica; iii) la violencia doméstica bien puede dar lugar a la disolución del vínculo matrimonial, pero a través de causales distintas a aquella que se analiza en esta ocasión; iv) en el caso específico de la violencia con</w:t>
      </w:r>
      <w:r w:rsidRPr="005D36F1">
        <w:rPr>
          <w:rFonts w:ascii="Times New Roman" w:hAnsi="Times New Roman" w:cs="Times New Roman"/>
          <w:i/>
          <w:iCs/>
          <w:sz w:val="28"/>
          <w:szCs w:val="24"/>
          <w:lang w:val="es-ES"/>
        </w:rPr>
        <w:t>tra los niños, niñas y adolescentes, el cónyuge inocente puede solicitar el divorcio con base en la causal segunda, que alude al «grave e injustificado incumplimiento por parte de alguno de los cónyuges de los deberes que la ley les impone como tales y com</w:t>
      </w:r>
      <w:r w:rsidRPr="005D36F1">
        <w:rPr>
          <w:rFonts w:ascii="Times New Roman" w:hAnsi="Times New Roman" w:cs="Times New Roman"/>
          <w:i/>
          <w:iCs/>
          <w:sz w:val="28"/>
          <w:szCs w:val="24"/>
          <w:lang w:val="es-ES"/>
        </w:rPr>
        <w:t>o padres»; v) en el caso de la violencia contra la mujer, resulta aplicable la causal tercera, que tipifica «[l]os ultrajes, el trato cruel y los maltratamientos de obra».”</w:t>
      </w:r>
    </w:p>
    <w:p w:rsidR="00114D70" w:rsidRPr="005D36F1" w:rsidRDefault="005D36F1" w:rsidP="00114D70">
      <w:pPr>
        <w:ind w:right="332"/>
        <w:jc w:val="both"/>
        <w:rPr>
          <w:rFonts w:ascii="Times New Roman" w:hAnsi="Times New Roman" w:cs="Times New Roman"/>
          <w:i/>
          <w:iCs/>
          <w:sz w:val="28"/>
          <w:szCs w:val="24"/>
          <w:lang w:val="es-ES"/>
        </w:rPr>
      </w:pPr>
    </w:p>
    <w:p w:rsidR="00114D70" w:rsidRPr="005D36F1" w:rsidRDefault="005D36F1" w:rsidP="00E81837">
      <w:pPr>
        <w:ind w:right="49"/>
        <w:jc w:val="both"/>
        <w:rPr>
          <w:rFonts w:ascii="Times New Roman" w:hAnsi="Times New Roman" w:cs="Times New Roman"/>
          <w:sz w:val="28"/>
          <w:szCs w:val="28"/>
          <w:lang w:val="es-ES"/>
        </w:rPr>
      </w:pPr>
      <w:r w:rsidRPr="005D36F1">
        <w:rPr>
          <w:rFonts w:ascii="Times New Roman" w:hAnsi="Times New Roman" w:cs="Times New Roman"/>
          <w:sz w:val="28"/>
          <w:szCs w:val="28"/>
          <w:lang w:val="es-ES"/>
        </w:rPr>
        <w:t>Sobre la posible afectación del consumo habitual de sustancias psicoactivas en los</w:t>
      </w:r>
      <w:r w:rsidRPr="005D36F1">
        <w:rPr>
          <w:rFonts w:ascii="Times New Roman" w:hAnsi="Times New Roman" w:cs="Times New Roman"/>
          <w:sz w:val="28"/>
          <w:szCs w:val="28"/>
          <w:lang w:val="es-ES"/>
        </w:rPr>
        <w:t xml:space="preserve"> niños, niñas y adolescentes</w:t>
      </w:r>
      <w:r w:rsidRPr="005D36F1">
        <w:rPr>
          <w:rFonts w:ascii="Times New Roman" w:hAnsi="Times New Roman" w:cs="Times New Roman"/>
          <w:sz w:val="28"/>
          <w:szCs w:val="28"/>
          <w:lang w:val="es-ES"/>
        </w:rPr>
        <w:t>, la Sala señaló que</w:t>
      </w:r>
      <w:r w:rsidRPr="005D36F1">
        <w:rPr>
          <w:rFonts w:ascii="Times New Roman" w:hAnsi="Times New Roman" w:cs="Times New Roman"/>
          <w:sz w:val="28"/>
          <w:szCs w:val="28"/>
          <w:lang w:val="es-ES"/>
        </w:rPr>
        <w:t>,</w:t>
      </w:r>
      <w:r w:rsidRPr="005D36F1">
        <w:rPr>
          <w:rFonts w:ascii="Times New Roman" w:hAnsi="Times New Roman" w:cs="Times New Roman"/>
          <w:sz w:val="28"/>
          <w:szCs w:val="28"/>
          <w:lang w:val="es-ES"/>
        </w:rPr>
        <w:t xml:space="preserve"> en procura de lo dictado por el ordenamiento jurídico, los padres tienen el deber de proteger a sus hijos frente al acceso, exposición y consumo de sustancias psicoactivas, así como proveerlos con informaci</w:t>
      </w:r>
      <w:r w:rsidRPr="005D36F1">
        <w:rPr>
          <w:rFonts w:ascii="Times New Roman" w:hAnsi="Times New Roman" w:cs="Times New Roman"/>
          <w:sz w:val="28"/>
          <w:szCs w:val="28"/>
          <w:lang w:val="es-ES"/>
        </w:rPr>
        <w:t>ón certera respecto a sus efectos. Así, en caso de incumplimiento de estas obligaciones, además de que se violan los derechos fundamentales de los niños, se incurre en la causal de divorcio estipulada en el</w:t>
      </w:r>
      <w:r w:rsidRPr="005D36F1">
        <w:rPr>
          <w:rFonts w:ascii="Times New Roman" w:hAnsi="Times New Roman" w:cs="Times New Roman"/>
          <w:sz w:val="28"/>
          <w:szCs w:val="28"/>
          <w:lang w:val="es-ES"/>
        </w:rPr>
        <w:t xml:space="preserve"> numeral 5 del</w:t>
      </w:r>
      <w:r w:rsidRPr="005D36F1">
        <w:rPr>
          <w:rFonts w:ascii="Times New Roman" w:hAnsi="Times New Roman" w:cs="Times New Roman"/>
          <w:sz w:val="28"/>
          <w:szCs w:val="28"/>
          <w:lang w:val="es-ES"/>
        </w:rPr>
        <w:t xml:space="preserve"> artículo 154 del Código Civil. </w:t>
      </w:r>
    </w:p>
    <w:p w:rsidR="003377A4" w:rsidRPr="005D36F1" w:rsidRDefault="005D36F1" w:rsidP="00114D70">
      <w:pPr>
        <w:ind w:right="332"/>
        <w:jc w:val="both"/>
        <w:rPr>
          <w:rFonts w:ascii="Times New Roman" w:hAnsi="Times New Roman" w:cs="Times New Roman"/>
          <w:i/>
          <w:iCs/>
          <w:sz w:val="28"/>
          <w:szCs w:val="24"/>
          <w:lang w:val="es-ES"/>
        </w:rPr>
      </w:pPr>
    </w:p>
    <w:p w:rsidR="003377A4" w:rsidRPr="005D36F1" w:rsidRDefault="005D36F1" w:rsidP="003377A4">
      <w:pPr>
        <w:jc w:val="both"/>
        <w:rPr>
          <w:rFonts w:ascii="Times New Roman" w:hAnsi="Times New Roman" w:cs="Times New Roman"/>
          <w:sz w:val="28"/>
          <w:szCs w:val="28"/>
          <w:lang w:val="es-ES"/>
        </w:rPr>
      </w:pPr>
      <w:r w:rsidRPr="005D36F1">
        <w:rPr>
          <w:rFonts w:ascii="Times New Roman" w:hAnsi="Times New Roman" w:cs="Times New Roman"/>
          <w:sz w:val="28"/>
          <w:szCs w:val="28"/>
          <w:lang w:val="es-ES"/>
        </w:rPr>
        <w:t>En</w:t>
      </w:r>
      <w:r w:rsidRPr="005D36F1">
        <w:rPr>
          <w:rFonts w:ascii="Times New Roman" w:hAnsi="Times New Roman" w:cs="Times New Roman"/>
          <w:sz w:val="28"/>
          <w:szCs w:val="28"/>
          <w:lang w:val="es-ES"/>
        </w:rPr>
        <w:t xml:space="preserve"> el análisis del juicio de proporcionalidad</w:t>
      </w:r>
      <w:r w:rsidRPr="005D36F1">
        <w:rPr>
          <w:rFonts w:ascii="Times New Roman" w:hAnsi="Times New Roman" w:cs="Times New Roman"/>
          <w:sz w:val="28"/>
          <w:szCs w:val="28"/>
          <w:lang w:val="es-ES"/>
        </w:rPr>
        <w:t xml:space="preserve">, la Sala </w:t>
      </w:r>
      <w:r w:rsidRPr="005D36F1">
        <w:rPr>
          <w:rFonts w:ascii="Times New Roman" w:hAnsi="Times New Roman" w:cs="Times New Roman"/>
          <w:sz w:val="28"/>
          <w:szCs w:val="28"/>
          <w:lang w:val="es-ES"/>
        </w:rPr>
        <w:t xml:space="preserve">también </w:t>
      </w:r>
      <w:r w:rsidRPr="005D36F1">
        <w:rPr>
          <w:rFonts w:ascii="Times New Roman" w:hAnsi="Times New Roman" w:cs="Times New Roman"/>
          <w:sz w:val="28"/>
          <w:szCs w:val="28"/>
          <w:lang w:val="es-ES"/>
        </w:rPr>
        <w:t>concluyó que la conducta del cónyuge consumidor no lesiona</w:t>
      </w:r>
      <w:r w:rsidRPr="005D36F1">
        <w:rPr>
          <w:rFonts w:ascii="Times New Roman" w:hAnsi="Times New Roman" w:cs="Times New Roman"/>
          <w:sz w:val="28"/>
          <w:szCs w:val="28"/>
          <w:lang w:val="es-ES"/>
        </w:rPr>
        <w:t>ba</w:t>
      </w:r>
      <w:r w:rsidRPr="005D36F1">
        <w:rPr>
          <w:rFonts w:ascii="Times New Roman" w:hAnsi="Times New Roman" w:cs="Times New Roman"/>
          <w:sz w:val="28"/>
          <w:szCs w:val="28"/>
          <w:lang w:val="es-ES"/>
        </w:rPr>
        <w:t xml:space="preserve"> derechos o intereses ajenos. En un extremo de suprema gravedad, genera</w:t>
      </w:r>
      <w:r w:rsidRPr="005D36F1">
        <w:rPr>
          <w:rFonts w:ascii="Times New Roman" w:hAnsi="Times New Roman" w:cs="Times New Roman"/>
          <w:sz w:val="28"/>
          <w:szCs w:val="28"/>
          <w:lang w:val="es-ES"/>
        </w:rPr>
        <w:t>ría</w:t>
      </w:r>
      <w:r w:rsidRPr="005D36F1">
        <w:rPr>
          <w:rFonts w:ascii="Times New Roman" w:hAnsi="Times New Roman" w:cs="Times New Roman"/>
          <w:sz w:val="28"/>
          <w:szCs w:val="28"/>
          <w:lang w:val="es-ES"/>
        </w:rPr>
        <w:t xml:space="preserve"> una frustración y un reproche de parte del cónyuge no consum</w:t>
      </w:r>
      <w:r w:rsidRPr="005D36F1">
        <w:rPr>
          <w:rFonts w:ascii="Times New Roman" w:hAnsi="Times New Roman" w:cs="Times New Roman"/>
          <w:sz w:val="28"/>
          <w:szCs w:val="28"/>
          <w:lang w:val="es-ES"/>
        </w:rPr>
        <w:t xml:space="preserve">idor, lo que a todas luces está lejos de constituir un daño o una transgresión a la prerrogativa constitucional de formar una familia. Citando la decisión, </w:t>
      </w:r>
      <w:r w:rsidRPr="005D36F1">
        <w:rPr>
          <w:rFonts w:ascii="Times New Roman" w:hAnsi="Times New Roman" w:cs="Times New Roman"/>
          <w:i/>
          <w:iCs/>
          <w:sz w:val="28"/>
          <w:szCs w:val="28"/>
          <w:lang w:val="es-ES"/>
        </w:rPr>
        <w:t>“</w:t>
      </w:r>
      <w:r w:rsidRPr="005D36F1">
        <w:rPr>
          <w:rFonts w:ascii="Times New Roman" w:hAnsi="Times New Roman" w:cs="Times New Roman"/>
          <w:sz w:val="28"/>
          <w:szCs w:val="28"/>
          <w:lang w:val="es-ES"/>
        </w:rPr>
        <w:t>[l]</w:t>
      </w:r>
      <w:r w:rsidRPr="005D36F1">
        <w:rPr>
          <w:rFonts w:ascii="Times New Roman" w:hAnsi="Times New Roman" w:cs="Times New Roman"/>
          <w:i/>
          <w:iCs/>
          <w:sz w:val="28"/>
          <w:szCs w:val="28"/>
          <w:lang w:val="es-ES"/>
        </w:rPr>
        <w:t>a actuación bajo análisis constituye el ejercicio de un derecho fundamental. Por tal motivo, qui</w:t>
      </w:r>
      <w:r w:rsidRPr="005D36F1">
        <w:rPr>
          <w:rFonts w:ascii="Times New Roman" w:hAnsi="Times New Roman" w:cs="Times New Roman"/>
          <w:i/>
          <w:iCs/>
          <w:sz w:val="28"/>
          <w:szCs w:val="28"/>
          <w:lang w:val="es-ES"/>
        </w:rPr>
        <w:t>en la ejecuta no puede ser considerado</w:t>
      </w:r>
      <w:r w:rsidRPr="005D36F1">
        <w:rPr>
          <w:rFonts w:ascii="Times New Roman" w:hAnsi="Times New Roman" w:cs="Times New Roman"/>
          <w:i/>
          <w:iCs/>
          <w:sz w:val="28"/>
          <w:szCs w:val="28"/>
          <w:lang w:val="es-ES"/>
        </w:rPr>
        <w:t xml:space="preserve"> </w:t>
      </w:r>
      <w:r w:rsidRPr="005D36F1">
        <w:rPr>
          <w:rFonts w:ascii="Times New Roman" w:hAnsi="Times New Roman" w:cs="Times New Roman"/>
          <w:i/>
          <w:iCs/>
          <w:sz w:val="28"/>
          <w:szCs w:val="28"/>
          <w:lang w:val="es-ES"/>
        </w:rPr>
        <w:t>cónyuge culpable</w:t>
      </w:r>
      <w:r w:rsidRPr="005D36F1">
        <w:rPr>
          <w:rFonts w:ascii="Times New Roman" w:hAnsi="Times New Roman" w:cs="Times New Roman"/>
          <w:i/>
          <w:iCs/>
          <w:sz w:val="28"/>
          <w:szCs w:val="28"/>
          <w:lang w:val="es-ES"/>
        </w:rPr>
        <w:t xml:space="preserve"> </w:t>
      </w:r>
      <w:r w:rsidRPr="005D36F1">
        <w:rPr>
          <w:rFonts w:ascii="Times New Roman" w:hAnsi="Times New Roman" w:cs="Times New Roman"/>
          <w:i/>
          <w:iCs/>
          <w:sz w:val="28"/>
          <w:szCs w:val="28"/>
          <w:lang w:val="es-ES"/>
        </w:rPr>
        <w:t>ni debe soportar la imposición de estas consecuencias.”</w:t>
      </w:r>
    </w:p>
    <w:p w:rsidR="00AF78F5" w:rsidRPr="005D36F1" w:rsidRDefault="005D36F1" w:rsidP="00FA53A2">
      <w:pPr>
        <w:jc w:val="both"/>
        <w:rPr>
          <w:rFonts w:ascii="Times New Roman" w:hAnsi="Times New Roman" w:cs="Times New Roman"/>
          <w:sz w:val="28"/>
          <w:szCs w:val="28"/>
          <w:lang w:val="es-ES"/>
        </w:rPr>
      </w:pPr>
    </w:p>
    <w:p w:rsidR="00381166" w:rsidRPr="005D36F1" w:rsidRDefault="005D36F1" w:rsidP="00381166">
      <w:pPr>
        <w:pStyle w:val="Prrafodelista"/>
        <w:numPr>
          <w:ilvl w:val="0"/>
          <w:numId w:val="7"/>
        </w:numPr>
        <w:jc w:val="both"/>
        <w:rPr>
          <w:rFonts w:ascii="Times New Roman" w:hAnsi="Times New Roman" w:cs="Times New Roman"/>
          <w:b/>
          <w:bCs/>
          <w:sz w:val="28"/>
          <w:szCs w:val="28"/>
          <w:lang w:val="es-ES"/>
        </w:rPr>
      </w:pPr>
      <w:r w:rsidRPr="005D36F1">
        <w:rPr>
          <w:rFonts w:ascii="Times New Roman" w:hAnsi="Times New Roman" w:cs="Times New Roman"/>
          <w:b/>
          <w:bCs/>
          <w:i/>
          <w:iCs/>
          <w:sz w:val="28"/>
          <w:szCs w:val="28"/>
          <w:u w:val="single"/>
          <w:lang w:val="es-ES"/>
        </w:rPr>
        <w:t xml:space="preserve">La causal de divorcio </w:t>
      </w:r>
      <w:r w:rsidRPr="005D36F1">
        <w:rPr>
          <w:rFonts w:ascii="Times New Roman" w:hAnsi="Times New Roman" w:cs="Times New Roman"/>
          <w:b/>
          <w:bCs/>
          <w:i/>
          <w:iCs/>
          <w:sz w:val="28"/>
          <w:szCs w:val="28"/>
          <w:u w:val="single"/>
          <w:lang w:val="es-ES"/>
        </w:rPr>
        <w:t>contenida en el numeral quinto del artículo 154</w:t>
      </w:r>
      <w:r w:rsidRPr="005D36F1">
        <w:rPr>
          <w:rFonts w:ascii="Times New Roman" w:hAnsi="Times New Roman" w:cs="Times New Roman"/>
          <w:b/>
          <w:bCs/>
          <w:i/>
          <w:iCs/>
          <w:sz w:val="28"/>
          <w:szCs w:val="28"/>
          <w:u w:val="single"/>
          <w:lang w:val="es-ES"/>
        </w:rPr>
        <w:t xml:space="preserve"> debe interpretarse desde una perspectiva de género</w:t>
      </w:r>
    </w:p>
    <w:p w:rsidR="00381166" w:rsidRPr="005D36F1" w:rsidRDefault="005D36F1" w:rsidP="00E81837">
      <w:pPr>
        <w:jc w:val="both"/>
        <w:rPr>
          <w:rFonts w:ascii="Times New Roman" w:hAnsi="Times New Roman" w:cs="Times New Roman"/>
          <w:sz w:val="28"/>
          <w:szCs w:val="28"/>
          <w:lang w:val="es-ES"/>
        </w:rPr>
      </w:pPr>
    </w:p>
    <w:p w:rsidR="00861AF2" w:rsidRPr="005D36F1" w:rsidRDefault="005D36F1" w:rsidP="00E81837">
      <w:pPr>
        <w:jc w:val="both"/>
        <w:rPr>
          <w:rFonts w:ascii="Times New Roman" w:hAnsi="Times New Roman" w:cs="Times New Roman"/>
          <w:sz w:val="28"/>
          <w:szCs w:val="28"/>
          <w:lang w:val="es-ES"/>
        </w:rPr>
      </w:pPr>
      <w:r w:rsidRPr="005D36F1">
        <w:rPr>
          <w:rFonts w:ascii="Times New Roman" w:hAnsi="Times New Roman" w:cs="Times New Roman"/>
          <w:sz w:val="28"/>
          <w:szCs w:val="28"/>
          <w:lang w:val="es-ES"/>
        </w:rPr>
        <w:t xml:space="preserve">La norma demandada es una herramienta del ordenamiento jurídico que le permite, en particular a </w:t>
      </w:r>
      <w:r w:rsidRPr="005D36F1">
        <w:rPr>
          <w:rFonts w:ascii="Times New Roman" w:hAnsi="Times New Roman" w:cs="Times New Roman"/>
          <w:sz w:val="28"/>
          <w:szCs w:val="28"/>
          <w:lang w:val="es-ES"/>
        </w:rPr>
        <w:t>las mujeres</w:t>
      </w:r>
      <w:r w:rsidRPr="005D36F1">
        <w:rPr>
          <w:rFonts w:ascii="Times New Roman" w:hAnsi="Times New Roman" w:cs="Times New Roman"/>
          <w:sz w:val="28"/>
          <w:szCs w:val="28"/>
          <w:lang w:val="es-ES"/>
        </w:rPr>
        <w:t xml:space="preserve"> como sujetos históricamente discriminados, hacer valer sus derechos </w:t>
      </w:r>
      <w:r w:rsidRPr="005D36F1">
        <w:rPr>
          <w:rFonts w:ascii="Times New Roman" w:hAnsi="Times New Roman" w:cs="Times New Roman"/>
          <w:sz w:val="28"/>
          <w:szCs w:val="28"/>
          <w:lang w:val="es-ES"/>
        </w:rPr>
        <w:t xml:space="preserve">en instancias judiciales a causa </w:t>
      </w:r>
      <w:r w:rsidRPr="005D36F1">
        <w:rPr>
          <w:rFonts w:ascii="Times New Roman" w:hAnsi="Times New Roman" w:cs="Times New Roman"/>
          <w:sz w:val="28"/>
          <w:szCs w:val="28"/>
          <w:lang w:val="es-ES"/>
        </w:rPr>
        <w:t xml:space="preserve">de abandonar su residencia </w:t>
      </w:r>
      <w:r w:rsidRPr="005D36F1">
        <w:rPr>
          <w:rFonts w:ascii="Times New Roman" w:hAnsi="Times New Roman" w:cs="Times New Roman"/>
          <w:sz w:val="28"/>
          <w:szCs w:val="28"/>
          <w:lang w:val="es-ES"/>
        </w:rPr>
        <w:t>-sea ellas o sus par</w:t>
      </w:r>
      <w:r w:rsidRPr="005D36F1">
        <w:rPr>
          <w:rFonts w:ascii="Times New Roman" w:hAnsi="Times New Roman" w:cs="Times New Roman"/>
          <w:sz w:val="28"/>
          <w:szCs w:val="28"/>
          <w:lang w:val="es-ES"/>
        </w:rPr>
        <w:t xml:space="preserve">ejas- </w:t>
      </w:r>
      <w:r w:rsidRPr="005D36F1">
        <w:rPr>
          <w:rFonts w:ascii="Times New Roman" w:hAnsi="Times New Roman" w:cs="Times New Roman"/>
          <w:sz w:val="28"/>
          <w:szCs w:val="28"/>
          <w:lang w:val="es-ES"/>
        </w:rPr>
        <w:t xml:space="preserve">por el consumo habitual de su cónyuge. En consecuencia, </w:t>
      </w:r>
      <w:r w:rsidRPr="005D36F1">
        <w:rPr>
          <w:rFonts w:ascii="Times New Roman" w:hAnsi="Times New Roman" w:cs="Times New Roman"/>
          <w:sz w:val="28"/>
          <w:szCs w:val="28"/>
          <w:lang w:val="es-ES"/>
        </w:rPr>
        <w:t>su análisis constitucional debe partir de un enfoque de género</w:t>
      </w:r>
      <w:r w:rsidRPr="005D36F1">
        <w:rPr>
          <w:rFonts w:ascii="Times New Roman" w:hAnsi="Times New Roman" w:cs="Times New Roman"/>
          <w:sz w:val="28"/>
          <w:szCs w:val="28"/>
          <w:lang w:val="es-ES"/>
        </w:rPr>
        <w:t>, lo que se extrañó en la decisión contentiva de la Sentencia C-096 de 2024.</w:t>
      </w:r>
    </w:p>
    <w:p w:rsidR="00861AF2" w:rsidRPr="005D36F1" w:rsidRDefault="005D36F1" w:rsidP="00E81837">
      <w:pPr>
        <w:jc w:val="both"/>
        <w:rPr>
          <w:rFonts w:ascii="Times New Roman" w:hAnsi="Times New Roman" w:cs="Times New Roman"/>
          <w:sz w:val="28"/>
          <w:szCs w:val="28"/>
          <w:lang w:val="es-ES"/>
        </w:rPr>
      </w:pPr>
    </w:p>
    <w:p w:rsidR="00E81837" w:rsidRPr="005D36F1" w:rsidRDefault="005D36F1" w:rsidP="003377A4">
      <w:pPr>
        <w:jc w:val="both"/>
        <w:rPr>
          <w:rFonts w:ascii="Times New Roman" w:hAnsi="Times New Roman" w:cs="Times New Roman"/>
          <w:sz w:val="28"/>
          <w:szCs w:val="28"/>
          <w:lang w:val="es-ES"/>
        </w:rPr>
      </w:pPr>
      <w:r w:rsidRPr="005D36F1">
        <w:rPr>
          <w:rFonts w:ascii="Times New Roman" w:hAnsi="Times New Roman" w:cs="Times New Roman"/>
          <w:sz w:val="28"/>
          <w:szCs w:val="28"/>
          <w:lang w:val="es-ES"/>
        </w:rPr>
        <w:t>La</w:t>
      </w:r>
      <w:r w:rsidRPr="005D36F1">
        <w:rPr>
          <w:rFonts w:ascii="Times New Roman" w:hAnsi="Times New Roman" w:cs="Times New Roman"/>
          <w:sz w:val="28"/>
          <w:szCs w:val="28"/>
          <w:lang w:val="es-ES"/>
        </w:rPr>
        <w:t xml:space="preserve"> Corte Constitucional ha </w:t>
      </w:r>
      <w:r w:rsidRPr="005D36F1">
        <w:rPr>
          <w:rFonts w:ascii="Times New Roman" w:hAnsi="Times New Roman" w:cs="Times New Roman"/>
          <w:sz w:val="28"/>
          <w:szCs w:val="28"/>
          <w:lang w:val="es-ES"/>
        </w:rPr>
        <w:t>reconocido</w:t>
      </w:r>
      <w:r w:rsidRPr="005D36F1">
        <w:rPr>
          <w:rFonts w:ascii="Times New Roman" w:hAnsi="Times New Roman" w:cs="Times New Roman"/>
          <w:sz w:val="28"/>
          <w:szCs w:val="28"/>
          <w:lang w:val="es-ES"/>
        </w:rPr>
        <w:t xml:space="preserve"> los obstáculos que han tenido que sobrellevar las mujeres para hacer valer sus derechos</w:t>
      </w:r>
      <w:r w:rsidRPr="005D36F1">
        <w:rPr>
          <w:rFonts w:ascii="Times New Roman" w:hAnsi="Times New Roman" w:cs="Times New Roman"/>
          <w:sz w:val="28"/>
          <w:szCs w:val="28"/>
          <w:lang w:val="es-ES"/>
        </w:rPr>
        <w:t xml:space="preserve"> en instancias judiciales</w:t>
      </w:r>
      <w:r w:rsidRPr="005D36F1">
        <w:rPr>
          <w:rFonts w:ascii="Times New Roman" w:hAnsi="Times New Roman" w:cs="Times New Roman"/>
          <w:sz w:val="28"/>
          <w:szCs w:val="28"/>
          <w:lang w:val="es-ES"/>
        </w:rPr>
        <w:t>, particularmente, para demandar</w:t>
      </w:r>
      <w:r w:rsidRPr="005D36F1">
        <w:rPr>
          <w:rFonts w:ascii="Times New Roman" w:hAnsi="Times New Roman" w:cs="Times New Roman"/>
          <w:sz w:val="28"/>
          <w:szCs w:val="28"/>
          <w:lang w:val="es-ES"/>
        </w:rPr>
        <w:t xml:space="preserve"> alimentos</w:t>
      </w:r>
      <w:r w:rsidRPr="005D36F1">
        <w:rPr>
          <w:rFonts w:ascii="Times New Roman" w:hAnsi="Times New Roman" w:cs="Times New Roman"/>
          <w:sz w:val="28"/>
          <w:szCs w:val="28"/>
          <w:lang w:val="es-ES"/>
        </w:rPr>
        <w:t xml:space="preserve">, solicitar el </w:t>
      </w:r>
      <w:r w:rsidRPr="005D36F1">
        <w:rPr>
          <w:rFonts w:ascii="Times New Roman" w:hAnsi="Times New Roman" w:cs="Times New Roman"/>
          <w:sz w:val="28"/>
          <w:szCs w:val="28"/>
          <w:lang w:val="es-ES"/>
        </w:rPr>
        <w:t>reconocimiento de</w:t>
      </w:r>
      <w:r w:rsidRPr="005D36F1">
        <w:rPr>
          <w:rFonts w:ascii="Times New Roman" w:hAnsi="Times New Roman" w:cs="Times New Roman"/>
          <w:sz w:val="28"/>
          <w:szCs w:val="28"/>
          <w:lang w:val="es-ES"/>
        </w:rPr>
        <w:t xml:space="preserve"> la </w:t>
      </w:r>
      <w:r w:rsidRPr="005D36F1">
        <w:rPr>
          <w:rFonts w:ascii="Times New Roman" w:hAnsi="Times New Roman" w:cs="Times New Roman"/>
          <w:sz w:val="28"/>
          <w:szCs w:val="28"/>
          <w:lang w:val="es-ES"/>
        </w:rPr>
        <w:t>pensión</w:t>
      </w:r>
      <w:r w:rsidRPr="005D36F1">
        <w:rPr>
          <w:rFonts w:ascii="Times New Roman" w:hAnsi="Times New Roman" w:cs="Times New Roman"/>
          <w:sz w:val="28"/>
          <w:szCs w:val="28"/>
          <w:lang w:val="es-ES"/>
        </w:rPr>
        <w:t xml:space="preserve"> de sobrevivientes y/o gestionar las visitas de los hijos</w:t>
      </w:r>
      <w:r w:rsidRPr="005D36F1">
        <w:rPr>
          <w:rFonts w:ascii="Times New Roman" w:hAnsi="Times New Roman" w:cs="Times New Roman"/>
          <w:sz w:val="28"/>
          <w:szCs w:val="28"/>
          <w:lang w:val="es-ES"/>
        </w:rPr>
        <w:t>.</w:t>
      </w:r>
      <w:r w:rsidRPr="005D36F1">
        <w:rPr>
          <w:rFonts w:ascii="Times New Roman" w:hAnsi="Times New Roman" w:cs="Times New Roman"/>
          <w:sz w:val="28"/>
          <w:szCs w:val="28"/>
          <w:lang w:val="es-ES"/>
        </w:rPr>
        <w:t xml:space="preserve"> </w:t>
      </w:r>
      <w:r w:rsidRPr="005D36F1">
        <w:rPr>
          <w:rFonts w:ascii="Times New Roman" w:hAnsi="Times New Roman" w:cs="Times New Roman"/>
          <w:color w:val="000000" w:themeColor="text1"/>
          <w:sz w:val="28"/>
          <w:szCs w:val="28"/>
          <w:lang w:val="es-ES"/>
        </w:rPr>
        <w:t>En las sentencias T-787 de 2002, SU-08</w:t>
      </w:r>
      <w:r w:rsidRPr="005D36F1">
        <w:rPr>
          <w:rFonts w:ascii="Times New Roman" w:hAnsi="Times New Roman" w:cs="Times New Roman"/>
          <w:color w:val="000000" w:themeColor="text1"/>
          <w:sz w:val="28"/>
          <w:szCs w:val="28"/>
          <w:lang w:val="es-ES"/>
        </w:rPr>
        <w:t>0</w:t>
      </w:r>
      <w:r w:rsidRPr="005D36F1">
        <w:rPr>
          <w:rFonts w:ascii="Times New Roman" w:hAnsi="Times New Roman" w:cs="Times New Roman"/>
          <w:color w:val="000000" w:themeColor="text1"/>
          <w:sz w:val="28"/>
          <w:szCs w:val="28"/>
          <w:lang w:val="es-ES"/>
        </w:rPr>
        <w:t xml:space="preserve"> de 2020 y T-228 de 2023, la Corte concluyó que es abiertamente inconstitucional que las víctimas</w:t>
      </w:r>
      <w:r w:rsidRPr="005D36F1">
        <w:rPr>
          <w:rFonts w:ascii="Times New Roman" w:hAnsi="Times New Roman" w:cs="Times New Roman"/>
          <w:color w:val="000000" w:themeColor="text1"/>
          <w:sz w:val="28"/>
          <w:szCs w:val="28"/>
          <w:lang w:val="es-ES"/>
        </w:rPr>
        <w:t>,</w:t>
      </w:r>
      <w:r w:rsidRPr="005D36F1">
        <w:rPr>
          <w:rFonts w:ascii="Times New Roman" w:hAnsi="Times New Roman" w:cs="Times New Roman"/>
          <w:color w:val="000000" w:themeColor="text1"/>
          <w:sz w:val="28"/>
          <w:szCs w:val="28"/>
          <w:lang w:val="es-ES"/>
        </w:rPr>
        <w:t xml:space="preserve"> por el incumplimiento de obligaciones maritales, entre ellas, la adicción de su pareja, sean castigadas en la reclama</w:t>
      </w:r>
      <w:r w:rsidRPr="005D36F1">
        <w:rPr>
          <w:rFonts w:ascii="Times New Roman" w:hAnsi="Times New Roman" w:cs="Times New Roman"/>
          <w:color w:val="000000" w:themeColor="text1"/>
          <w:sz w:val="28"/>
          <w:szCs w:val="28"/>
          <w:lang w:val="es-ES"/>
        </w:rPr>
        <w:t>ción de sus derechos. Ello, principalmente, porque a juicio de esta Corporación y de la jurisprudencia de la Corte Suprema de Justicia, la interrupción de la convivencia no implica la pérdida del derecho, pues puede haber causas que lo justifican, entre el</w:t>
      </w:r>
      <w:r w:rsidRPr="005D36F1">
        <w:rPr>
          <w:rFonts w:ascii="Times New Roman" w:hAnsi="Times New Roman" w:cs="Times New Roman"/>
          <w:color w:val="000000" w:themeColor="text1"/>
          <w:sz w:val="28"/>
          <w:szCs w:val="28"/>
          <w:lang w:val="es-ES"/>
        </w:rPr>
        <w:t>las, las que trae a colación la causal demandada.</w:t>
      </w:r>
      <w:r w:rsidRPr="005D36F1">
        <w:rPr>
          <w:rFonts w:ascii="Times New Roman" w:hAnsi="Times New Roman" w:cs="Times New Roman"/>
          <w:color w:val="000000" w:themeColor="text1"/>
          <w:sz w:val="28"/>
          <w:szCs w:val="28"/>
          <w:vertAlign w:val="superscript"/>
          <w:lang w:val="es-ES"/>
        </w:rPr>
        <w:footnoteReference w:id="188"/>
      </w:r>
    </w:p>
    <w:p w:rsidR="008A12C6" w:rsidRPr="005D36F1" w:rsidRDefault="005D36F1" w:rsidP="003377A4">
      <w:pPr>
        <w:jc w:val="both"/>
        <w:rPr>
          <w:rFonts w:ascii="Times New Roman" w:hAnsi="Times New Roman" w:cs="Times New Roman"/>
          <w:color w:val="000000" w:themeColor="text1"/>
          <w:sz w:val="28"/>
          <w:szCs w:val="28"/>
          <w:lang w:val="es-ES"/>
        </w:rPr>
      </w:pPr>
    </w:p>
    <w:p w:rsidR="00DD5213" w:rsidRPr="005D36F1" w:rsidRDefault="005D36F1" w:rsidP="003377A4">
      <w:pPr>
        <w:jc w:val="both"/>
        <w:rPr>
          <w:rFonts w:ascii="Times New Roman" w:hAnsi="Times New Roman" w:cs="Times New Roman"/>
          <w:color w:val="000000" w:themeColor="text1"/>
          <w:sz w:val="28"/>
          <w:szCs w:val="28"/>
          <w:lang w:val="es-ES"/>
        </w:rPr>
      </w:pPr>
      <w:r w:rsidRPr="005D36F1">
        <w:rPr>
          <w:rFonts w:ascii="Times New Roman" w:hAnsi="Times New Roman" w:cs="Times New Roman"/>
          <w:color w:val="000000" w:themeColor="text1"/>
          <w:sz w:val="28"/>
          <w:szCs w:val="28"/>
          <w:lang w:val="es-ES"/>
        </w:rPr>
        <w:t xml:space="preserve">Particularmente, en la Sentencia </w:t>
      </w:r>
      <w:r w:rsidRPr="005D36F1">
        <w:rPr>
          <w:rFonts w:ascii="Times New Roman" w:hAnsi="Times New Roman" w:cs="Times New Roman"/>
          <w:color w:val="000000" w:themeColor="text1"/>
          <w:sz w:val="28"/>
          <w:szCs w:val="28"/>
          <w:lang w:val="es-ES"/>
        </w:rPr>
        <w:t>SU</w:t>
      </w:r>
      <w:r w:rsidRPr="005D36F1">
        <w:rPr>
          <w:rFonts w:ascii="Times New Roman" w:hAnsi="Times New Roman" w:cs="Times New Roman"/>
          <w:color w:val="000000" w:themeColor="text1"/>
          <w:sz w:val="28"/>
          <w:szCs w:val="28"/>
          <w:lang w:val="es-ES"/>
        </w:rPr>
        <w:t>-</w:t>
      </w:r>
      <w:r w:rsidRPr="005D36F1">
        <w:rPr>
          <w:rFonts w:ascii="Times New Roman" w:hAnsi="Times New Roman" w:cs="Times New Roman"/>
          <w:color w:val="000000" w:themeColor="text1"/>
          <w:sz w:val="28"/>
          <w:szCs w:val="28"/>
          <w:lang w:val="es-ES"/>
        </w:rPr>
        <w:t>08</w:t>
      </w:r>
      <w:r w:rsidRPr="005D36F1">
        <w:rPr>
          <w:rFonts w:ascii="Times New Roman" w:hAnsi="Times New Roman" w:cs="Times New Roman"/>
          <w:color w:val="000000" w:themeColor="text1"/>
          <w:sz w:val="28"/>
          <w:szCs w:val="28"/>
          <w:lang w:val="es-ES"/>
        </w:rPr>
        <w:t>0</w:t>
      </w:r>
      <w:r w:rsidRPr="005D36F1">
        <w:rPr>
          <w:rFonts w:ascii="Times New Roman" w:hAnsi="Times New Roman" w:cs="Times New Roman"/>
          <w:color w:val="000000" w:themeColor="text1"/>
          <w:sz w:val="28"/>
          <w:szCs w:val="28"/>
          <w:lang w:val="es-ES"/>
        </w:rPr>
        <w:t xml:space="preserve"> de 2020</w:t>
      </w:r>
      <w:r w:rsidRPr="005D36F1">
        <w:rPr>
          <w:rFonts w:ascii="Times New Roman" w:hAnsi="Times New Roman" w:cs="Times New Roman"/>
          <w:color w:val="000000" w:themeColor="text1"/>
          <w:sz w:val="28"/>
          <w:szCs w:val="28"/>
          <w:lang w:val="es-ES"/>
        </w:rPr>
        <w:t xml:space="preserve">, </w:t>
      </w:r>
      <w:r w:rsidRPr="005D36F1">
        <w:rPr>
          <w:rFonts w:ascii="Times New Roman" w:hAnsi="Times New Roman" w:cs="Times New Roman"/>
          <w:color w:val="000000" w:themeColor="text1"/>
          <w:sz w:val="28"/>
          <w:szCs w:val="28"/>
          <w:lang w:val="es-ES"/>
        </w:rPr>
        <w:t>la Corte amparó los derechos fundamentales de una mujer víctima de violencia por</w:t>
      </w:r>
      <w:r w:rsidRPr="005D36F1">
        <w:rPr>
          <w:rFonts w:ascii="Times New Roman" w:hAnsi="Times New Roman" w:cs="Times New Roman"/>
          <w:color w:val="000000" w:themeColor="text1"/>
          <w:sz w:val="28"/>
          <w:szCs w:val="28"/>
          <w:lang w:val="es-ES"/>
        </w:rPr>
        <w:t xml:space="preserve"> parte de</w:t>
      </w:r>
      <w:r w:rsidRPr="005D36F1">
        <w:rPr>
          <w:rFonts w:ascii="Times New Roman" w:hAnsi="Times New Roman" w:cs="Times New Roman"/>
          <w:color w:val="000000" w:themeColor="text1"/>
          <w:sz w:val="28"/>
          <w:szCs w:val="28"/>
          <w:lang w:val="es-ES"/>
        </w:rPr>
        <w:t xml:space="preserve"> su pareja y a quien se le negaron alimentos. En esa oportunidad, la Sala concluyó que la </w:t>
      </w:r>
      <w:r w:rsidRPr="005D36F1">
        <w:rPr>
          <w:rFonts w:ascii="Times New Roman" w:hAnsi="Times New Roman" w:cs="Times New Roman"/>
          <w:color w:val="000000" w:themeColor="text1"/>
          <w:sz w:val="28"/>
          <w:szCs w:val="28"/>
          <w:lang w:val="es-ES"/>
        </w:rPr>
        <w:t xml:space="preserve">repetida </w:t>
      </w:r>
      <w:r w:rsidRPr="005D36F1">
        <w:rPr>
          <w:rFonts w:ascii="Times New Roman" w:hAnsi="Times New Roman" w:cs="Times New Roman"/>
          <w:color w:val="000000" w:themeColor="text1"/>
          <w:sz w:val="28"/>
          <w:szCs w:val="28"/>
          <w:lang w:val="es-ES"/>
        </w:rPr>
        <w:t>exposición de los maltratos</w:t>
      </w:r>
      <w:r w:rsidRPr="005D36F1">
        <w:rPr>
          <w:rFonts w:ascii="Times New Roman" w:hAnsi="Times New Roman" w:cs="Times New Roman"/>
          <w:color w:val="000000" w:themeColor="text1"/>
          <w:sz w:val="28"/>
          <w:szCs w:val="28"/>
          <w:lang w:val="es-ES"/>
        </w:rPr>
        <w:t>,</w:t>
      </w:r>
      <w:r w:rsidRPr="005D36F1">
        <w:rPr>
          <w:rFonts w:ascii="Times New Roman" w:hAnsi="Times New Roman" w:cs="Times New Roman"/>
          <w:color w:val="000000" w:themeColor="text1"/>
          <w:sz w:val="28"/>
          <w:szCs w:val="28"/>
          <w:lang w:val="es-ES"/>
        </w:rPr>
        <w:t xml:space="preserve"> primero</w:t>
      </w:r>
      <w:r w:rsidRPr="005D36F1">
        <w:rPr>
          <w:rFonts w:ascii="Times New Roman" w:hAnsi="Times New Roman" w:cs="Times New Roman"/>
          <w:color w:val="000000" w:themeColor="text1"/>
          <w:sz w:val="28"/>
          <w:szCs w:val="28"/>
          <w:lang w:val="es-ES"/>
        </w:rPr>
        <w:t xml:space="preserve"> en la instancia procesal de cesación de los efectos civiles del matr</w:t>
      </w:r>
      <w:r w:rsidRPr="005D36F1">
        <w:rPr>
          <w:rFonts w:ascii="Times New Roman" w:hAnsi="Times New Roman" w:cs="Times New Roman"/>
          <w:color w:val="000000" w:themeColor="text1"/>
          <w:sz w:val="28"/>
          <w:szCs w:val="28"/>
          <w:lang w:val="es-ES"/>
        </w:rPr>
        <w:t>imonio y luego en aquella destinada a buscar la pret</w:t>
      </w:r>
      <w:r w:rsidRPr="005D36F1">
        <w:rPr>
          <w:rFonts w:ascii="Times New Roman" w:hAnsi="Times New Roman" w:cs="Times New Roman"/>
          <w:color w:val="000000" w:themeColor="text1"/>
          <w:sz w:val="28"/>
          <w:szCs w:val="28"/>
          <w:lang w:val="es-ES"/>
        </w:rPr>
        <w:t xml:space="preserve">ensión reparadora del daño causado, va en contravía de los parámetros del debido proceso y genera una evidente revictimización de la mujer violentada. Ello, en atención a que de nada sirve que normas superiores </w:t>
      </w:r>
      <w:r w:rsidRPr="005D36F1">
        <w:rPr>
          <w:rFonts w:ascii="Times New Roman" w:hAnsi="Times New Roman" w:cs="Times New Roman"/>
          <w:i/>
          <w:iCs/>
          <w:color w:val="000000" w:themeColor="text1"/>
          <w:sz w:val="28"/>
          <w:szCs w:val="28"/>
          <w:lang w:val="es-ES"/>
        </w:rPr>
        <w:t>“</w:t>
      </w:r>
      <w:r w:rsidRPr="005D36F1">
        <w:rPr>
          <w:rFonts w:ascii="Times New Roman" w:hAnsi="Times New Roman" w:cs="Times New Roman"/>
          <w:i/>
          <w:iCs/>
          <w:color w:val="000000" w:themeColor="text1"/>
          <w:sz w:val="28"/>
          <w:szCs w:val="28"/>
          <w:lang w:val="es-ES"/>
        </w:rPr>
        <w:t>abran paso a la posibilidad de tasar reparac</w:t>
      </w:r>
      <w:r w:rsidRPr="005D36F1">
        <w:rPr>
          <w:rFonts w:ascii="Times New Roman" w:hAnsi="Times New Roman" w:cs="Times New Roman"/>
          <w:i/>
          <w:iCs/>
          <w:color w:val="000000" w:themeColor="text1"/>
          <w:sz w:val="28"/>
          <w:szCs w:val="28"/>
          <w:lang w:val="es-ES"/>
        </w:rPr>
        <w:t>iones con ocasión de los daños que la violencia intrafamiliar genere, si a su vez no se consagran las soluciones que posibiliten su materialización</w:t>
      </w:r>
      <w:r w:rsidRPr="005D36F1">
        <w:rPr>
          <w:rFonts w:ascii="Times New Roman" w:hAnsi="Times New Roman" w:cs="Times New Roman"/>
          <w:i/>
          <w:iCs/>
          <w:color w:val="000000" w:themeColor="text1"/>
          <w:sz w:val="28"/>
          <w:szCs w:val="28"/>
          <w:lang w:val="es-ES"/>
        </w:rPr>
        <w:t>.”</w:t>
      </w:r>
    </w:p>
    <w:p w:rsidR="00DD5213" w:rsidRPr="005D36F1" w:rsidRDefault="005D36F1" w:rsidP="003377A4">
      <w:pPr>
        <w:jc w:val="both"/>
        <w:rPr>
          <w:rFonts w:ascii="Times New Roman" w:hAnsi="Times New Roman" w:cs="Times New Roman"/>
          <w:color w:val="000000" w:themeColor="text1"/>
          <w:sz w:val="28"/>
          <w:szCs w:val="28"/>
          <w:lang w:val="es-ES"/>
        </w:rPr>
      </w:pPr>
    </w:p>
    <w:p w:rsidR="00A25EE8" w:rsidRPr="005D36F1" w:rsidRDefault="005D36F1" w:rsidP="003377A4">
      <w:pPr>
        <w:jc w:val="both"/>
        <w:rPr>
          <w:rFonts w:ascii="Times New Roman" w:hAnsi="Times New Roman" w:cs="Times New Roman"/>
          <w:i/>
          <w:iCs/>
          <w:color w:val="000000" w:themeColor="text1"/>
          <w:sz w:val="28"/>
          <w:szCs w:val="28"/>
          <w:lang w:val="es-ES"/>
        </w:rPr>
      </w:pPr>
      <w:r w:rsidRPr="005D36F1">
        <w:rPr>
          <w:rFonts w:ascii="Times New Roman" w:hAnsi="Times New Roman" w:cs="Times New Roman"/>
          <w:color w:val="000000" w:themeColor="text1"/>
          <w:sz w:val="28"/>
          <w:szCs w:val="28"/>
          <w:lang w:val="es-ES"/>
        </w:rPr>
        <w:t xml:space="preserve">En ese caso, </w:t>
      </w:r>
      <w:r w:rsidRPr="005D36F1">
        <w:rPr>
          <w:rFonts w:ascii="Times New Roman" w:hAnsi="Times New Roman" w:cs="Times New Roman"/>
          <w:color w:val="000000" w:themeColor="text1"/>
          <w:sz w:val="28"/>
          <w:szCs w:val="28"/>
          <w:lang w:val="es-ES"/>
        </w:rPr>
        <w:t xml:space="preserve">la Sala Plena constató que el cónyuge que sufría de alcoholismo tuvo que trasladar </w:t>
      </w:r>
      <w:r w:rsidRPr="005D36F1">
        <w:rPr>
          <w:rFonts w:ascii="Times New Roman" w:hAnsi="Times New Roman" w:cs="Times New Roman"/>
          <w:color w:val="000000" w:themeColor="text1"/>
          <w:sz w:val="28"/>
          <w:szCs w:val="28"/>
          <w:lang w:val="es-ES"/>
        </w:rPr>
        <w:t>definitivamente su domicilio a otra residencia</w:t>
      </w:r>
      <w:r w:rsidRPr="005D36F1">
        <w:rPr>
          <w:rFonts w:ascii="Times New Roman" w:hAnsi="Times New Roman" w:cs="Times New Roman"/>
          <w:color w:val="000000" w:themeColor="text1"/>
          <w:sz w:val="28"/>
          <w:szCs w:val="28"/>
          <w:lang w:val="es-ES"/>
        </w:rPr>
        <w:t>, en parte, por solicitud de sus hijos</w:t>
      </w:r>
      <w:r w:rsidRPr="005D36F1">
        <w:rPr>
          <w:rFonts w:ascii="Times New Roman" w:hAnsi="Times New Roman" w:cs="Times New Roman"/>
          <w:color w:val="000000" w:themeColor="text1"/>
          <w:sz w:val="28"/>
          <w:szCs w:val="28"/>
          <w:lang w:val="es-ES"/>
        </w:rPr>
        <w:t xml:space="preserve">. Según el acervo probatorio </w:t>
      </w:r>
      <w:r w:rsidRPr="005D36F1">
        <w:rPr>
          <w:rFonts w:ascii="Times New Roman" w:hAnsi="Times New Roman" w:cs="Times New Roman"/>
          <w:color w:val="000000" w:themeColor="text1"/>
          <w:sz w:val="28"/>
          <w:szCs w:val="28"/>
          <w:lang w:val="es-ES"/>
        </w:rPr>
        <w:t>de ese caso, se corroboró que debido a sus problemas de alcohol, el cónyuge consumidor solía abandonar la casa, quedarse en piezas de alquiler,</w:t>
      </w:r>
      <w:r w:rsidRPr="005D36F1">
        <w:rPr>
          <w:rFonts w:ascii="Times New Roman" w:hAnsi="Times New Roman" w:cs="Times New Roman"/>
          <w:color w:val="000000" w:themeColor="text1"/>
          <w:sz w:val="28"/>
          <w:szCs w:val="28"/>
          <w:lang w:val="es-ES"/>
        </w:rPr>
        <w:t xml:space="preserve"> conducta que perduró hasta su fallecimiento. A su turno, se evidenció mediante declaraciones que el estatus socioeconómico y la convivencia familiar se deterioraron al máximo por su condición de alcohólico. De hecho, se constató que la decisión de separac</w:t>
      </w:r>
      <w:r w:rsidRPr="005D36F1">
        <w:rPr>
          <w:rFonts w:ascii="Times New Roman" w:hAnsi="Times New Roman" w:cs="Times New Roman"/>
          <w:color w:val="000000" w:themeColor="text1"/>
          <w:sz w:val="28"/>
          <w:szCs w:val="28"/>
          <w:lang w:val="es-ES"/>
        </w:rPr>
        <w:t>ión de la cónyuge se debió principalmente a esa adición, pues pasaba mucho tiempo sola, tenía que ir a recogerlo en repetidas ocasiones por su estado de embriaguez, llegaba a la casa de mal carácter y</w:t>
      </w:r>
      <w:r w:rsidRPr="005D36F1">
        <w:rPr>
          <w:rFonts w:ascii="Times New Roman" w:hAnsi="Times New Roman" w:cs="Times New Roman"/>
          <w:color w:val="000000" w:themeColor="text1"/>
          <w:sz w:val="28"/>
          <w:szCs w:val="28"/>
          <w:lang w:val="es-ES"/>
        </w:rPr>
        <w:t xml:space="preserve"> además,</w:t>
      </w:r>
      <w:r w:rsidRPr="005D36F1">
        <w:rPr>
          <w:rFonts w:ascii="Times New Roman" w:hAnsi="Times New Roman" w:cs="Times New Roman"/>
          <w:color w:val="000000" w:themeColor="text1"/>
          <w:sz w:val="28"/>
          <w:szCs w:val="28"/>
          <w:lang w:val="es-ES"/>
        </w:rPr>
        <w:t xml:space="preserve"> era </w:t>
      </w:r>
      <w:r w:rsidRPr="005D36F1">
        <w:rPr>
          <w:rFonts w:ascii="Times New Roman" w:hAnsi="Times New Roman" w:cs="Times New Roman"/>
          <w:color w:val="000000" w:themeColor="text1"/>
          <w:sz w:val="28"/>
          <w:szCs w:val="28"/>
          <w:lang w:val="es-ES"/>
        </w:rPr>
        <w:t>propenso a que</w:t>
      </w:r>
      <w:r w:rsidRPr="005D36F1">
        <w:rPr>
          <w:rFonts w:ascii="Times New Roman" w:hAnsi="Times New Roman" w:cs="Times New Roman"/>
          <w:color w:val="000000" w:themeColor="text1"/>
          <w:sz w:val="28"/>
          <w:szCs w:val="28"/>
          <w:lang w:val="es-ES"/>
        </w:rPr>
        <w:t xml:space="preserve"> le robaran el dinero de su s</w:t>
      </w:r>
      <w:r w:rsidRPr="005D36F1">
        <w:rPr>
          <w:rFonts w:ascii="Times New Roman" w:hAnsi="Times New Roman" w:cs="Times New Roman"/>
          <w:color w:val="000000" w:themeColor="text1"/>
          <w:sz w:val="28"/>
          <w:szCs w:val="28"/>
          <w:lang w:val="es-ES"/>
        </w:rPr>
        <w:t>alario.</w:t>
      </w:r>
      <w:r w:rsidRPr="005D36F1">
        <w:rPr>
          <w:rFonts w:ascii="Times New Roman" w:hAnsi="Times New Roman" w:cs="Times New Roman"/>
          <w:color w:val="000000" w:themeColor="text1"/>
          <w:sz w:val="28"/>
          <w:szCs w:val="28"/>
          <w:lang w:val="es-ES"/>
        </w:rPr>
        <w:t xml:space="preserve"> Por último, uno de sus hijos menores afirmó que </w:t>
      </w:r>
      <w:r w:rsidRPr="005D36F1">
        <w:rPr>
          <w:rFonts w:ascii="Times New Roman" w:hAnsi="Times New Roman" w:cs="Times New Roman"/>
          <w:i/>
          <w:iCs/>
          <w:color w:val="000000" w:themeColor="text1"/>
          <w:sz w:val="28"/>
          <w:szCs w:val="28"/>
          <w:lang w:val="es-ES"/>
        </w:rPr>
        <w:t xml:space="preserve">“era mejor que buscara un sitio donde viviera para evitar las dificultades que se le presentaban a mi mama Emma y el mal ejemplo que era para los dos hijos menores” </w:t>
      </w:r>
      <w:r w:rsidRPr="005D36F1">
        <w:rPr>
          <w:rFonts w:ascii="Times New Roman" w:hAnsi="Times New Roman" w:cs="Times New Roman"/>
          <w:color w:val="000000" w:themeColor="text1"/>
          <w:sz w:val="28"/>
          <w:szCs w:val="28"/>
          <w:lang w:val="es-ES"/>
        </w:rPr>
        <w:t>y que el alcoholismo del causante “</w:t>
      </w:r>
      <w:r w:rsidRPr="005D36F1">
        <w:rPr>
          <w:rFonts w:ascii="Times New Roman" w:hAnsi="Times New Roman" w:cs="Times New Roman"/>
          <w:i/>
          <w:iCs/>
          <w:color w:val="000000" w:themeColor="text1"/>
          <w:sz w:val="28"/>
          <w:szCs w:val="28"/>
          <w:lang w:val="es-ES"/>
        </w:rPr>
        <w:t xml:space="preserve">fue lo que finalmente condujo a solicitarle donde vivir para solicitar </w:t>
      </w:r>
      <w:r w:rsidRPr="005D36F1">
        <w:rPr>
          <w:rFonts w:ascii="Times New Roman" w:hAnsi="Times New Roman" w:cs="Times New Roman"/>
          <w:color w:val="000000" w:themeColor="text1"/>
          <w:sz w:val="28"/>
          <w:szCs w:val="28"/>
          <w:lang w:val="es-ES"/>
        </w:rPr>
        <w:t>(sic)</w:t>
      </w:r>
      <w:r w:rsidRPr="005D36F1">
        <w:rPr>
          <w:rFonts w:ascii="Times New Roman" w:hAnsi="Times New Roman" w:cs="Times New Roman"/>
          <w:i/>
          <w:iCs/>
          <w:color w:val="000000" w:themeColor="text1"/>
          <w:sz w:val="28"/>
          <w:szCs w:val="28"/>
          <w:lang w:val="es-ES"/>
        </w:rPr>
        <w:t xml:space="preserve"> los inconvenientes que estaba generando en el hogar, pues ya se tornaba agresivo y todo lo que conllevaba atender a una persona con los problemas de alcoholismo.”</w:t>
      </w:r>
    </w:p>
    <w:p w:rsidR="00B42C37" w:rsidRPr="005D36F1" w:rsidRDefault="005D36F1" w:rsidP="003377A4">
      <w:pPr>
        <w:jc w:val="both"/>
        <w:rPr>
          <w:rFonts w:ascii="Times New Roman" w:hAnsi="Times New Roman" w:cs="Times New Roman"/>
          <w:i/>
          <w:iCs/>
          <w:color w:val="000000" w:themeColor="text1"/>
          <w:sz w:val="28"/>
          <w:szCs w:val="28"/>
          <w:lang w:val="es-ES"/>
        </w:rPr>
      </w:pPr>
    </w:p>
    <w:p w:rsidR="00B42C37" w:rsidRPr="005D36F1" w:rsidRDefault="005D36F1" w:rsidP="003377A4">
      <w:pPr>
        <w:jc w:val="both"/>
        <w:rPr>
          <w:rFonts w:ascii="Times New Roman" w:hAnsi="Times New Roman" w:cs="Times New Roman"/>
          <w:color w:val="000000" w:themeColor="text1"/>
          <w:sz w:val="28"/>
          <w:szCs w:val="28"/>
          <w:lang w:val="es-ES"/>
        </w:rPr>
      </w:pPr>
      <w:r w:rsidRPr="005D36F1">
        <w:rPr>
          <w:rFonts w:ascii="Times New Roman" w:hAnsi="Times New Roman" w:cs="Times New Roman"/>
          <w:color w:val="000000" w:themeColor="text1"/>
          <w:sz w:val="28"/>
          <w:szCs w:val="28"/>
          <w:lang w:val="es-ES"/>
        </w:rPr>
        <w:t xml:space="preserve">En esta misma </w:t>
      </w:r>
      <w:r w:rsidRPr="005D36F1">
        <w:rPr>
          <w:rFonts w:ascii="Times New Roman" w:hAnsi="Times New Roman" w:cs="Times New Roman"/>
          <w:color w:val="000000" w:themeColor="text1"/>
          <w:sz w:val="28"/>
          <w:szCs w:val="28"/>
          <w:lang w:val="es-ES"/>
        </w:rPr>
        <w:t>línea</w:t>
      </w:r>
      <w:r w:rsidRPr="005D36F1">
        <w:rPr>
          <w:rFonts w:ascii="Times New Roman" w:hAnsi="Times New Roman" w:cs="Times New Roman"/>
          <w:color w:val="000000" w:themeColor="text1"/>
          <w:sz w:val="28"/>
          <w:szCs w:val="28"/>
          <w:lang w:val="es-ES"/>
        </w:rPr>
        <w:t xml:space="preserve">, </w:t>
      </w:r>
      <w:r w:rsidRPr="005D36F1">
        <w:rPr>
          <w:rFonts w:ascii="Times New Roman" w:hAnsi="Times New Roman" w:cs="Times New Roman"/>
          <w:color w:val="000000" w:themeColor="text1"/>
          <w:sz w:val="28"/>
          <w:szCs w:val="28"/>
          <w:lang w:val="es-ES"/>
        </w:rPr>
        <w:t xml:space="preserve">en la Sentencia T-228 de 2023, </w:t>
      </w:r>
      <w:r w:rsidRPr="005D36F1">
        <w:rPr>
          <w:rFonts w:ascii="Times New Roman" w:hAnsi="Times New Roman" w:cs="Times New Roman"/>
          <w:color w:val="000000" w:themeColor="text1"/>
          <w:sz w:val="28"/>
          <w:szCs w:val="28"/>
          <w:lang w:val="es-ES"/>
        </w:rPr>
        <w:t xml:space="preserve">la Corte Constitucional </w:t>
      </w:r>
      <w:r w:rsidRPr="005D36F1">
        <w:rPr>
          <w:rFonts w:ascii="Times New Roman" w:hAnsi="Times New Roman" w:cs="Times New Roman"/>
          <w:color w:val="000000" w:themeColor="text1"/>
          <w:sz w:val="28"/>
          <w:szCs w:val="28"/>
          <w:lang w:val="es-ES"/>
        </w:rPr>
        <w:t xml:space="preserve">corroboró que la causa de la separación temporal fue el abandono del hogar del </w:t>
      </w:r>
      <w:r w:rsidRPr="005D36F1">
        <w:rPr>
          <w:rFonts w:ascii="Times New Roman" w:hAnsi="Times New Roman" w:cs="Times New Roman"/>
          <w:color w:val="000000" w:themeColor="text1"/>
          <w:sz w:val="28"/>
          <w:szCs w:val="28"/>
          <w:lang w:val="es-ES"/>
        </w:rPr>
        <w:t>cónyuge</w:t>
      </w:r>
      <w:r w:rsidRPr="005D36F1">
        <w:rPr>
          <w:rFonts w:ascii="Times New Roman" w:hAnsi="Times New Roman" w:cs="Times New Roman"/>
          <w:color w:val="000000" w:themeColor="text1"/>
          <w:sz w:val="28"/>
          <w:szCs w:val="28"/>
          <w:lang w:val="es-ES"/>
        </w:rPr>
        <w:t xml:space="preserve"> como consecuencia del alcohol. Ello, materializándole una causa injustificable y un incumplimiento de las obligaciones maritales.</w:t>
      </w:r>
    </w:p>
    <w:p w:rsidR="0050760C" w:rsidRPr="005D36F1" w:rsidRDefault="005D36F1" w:rsidP="003377A4">
      <w:pPr>
        <w:jc w:val="both"/>
        <w:rPr>
          <w:rFonts w:ascii="Times New Roman" w:hAnsi="Times New Roman" w:cs="Times New Roman"/>
          <w:color w:val="000000" w:themeColor="text1"/>
          <w:sz w:val="28"/>
          <w:szCs w:val="28"/>
          <w:lang w:val="es-ES"/>
        </w:rPr>
      </w:pPr>
    </w:p>
    <w:p w:rsidR="003377A4" w:rsidRPr="005D36F1" w:rsidRDefault="005D36F1" w:rsidP="003377A4">
      <w:pPr>
        <w:jc w:val="both"/>
        <w:rPr>
          <w:rFonts w:ascii="Times New Roman" w:hAnsi="Times New Roman" w:cs="Times New Roman"/>
          <w:color w:val="7030A0"/>
          <w:sz w:val="28"/>
          <w:szCs w:val="28"/>
          <w:lang w:val="es-ES"/>
        </w:rPr>
      </w:pPr>
      <w:r w:rsidRPr="005D36F1">
        <w:rPr>
          <w:rFonts w:ascii="Times New Roman" w:hAnsi="Times New Roman" w:cs="Times New Roman"/>
          <w:color w:val="000000" w:themeColor="text1"/>
          <w:sz w:val="28"/>
          <w:szCs w:val="28"/>
          <w:lang w:val="es-ES"/>
        </w:rPr>
        <w:t>En sentido similar, la Sala de Casación Laboral de la Corte Suprema de Justicia estudio el caso de una madre y su hija habid</w:t>
      </w:r>
      <w:r w:rsidRPr="005D36F1">
        <w:rPr>
          <w:rFonts w:ascii="Times New Roman" w:hAnsi="Times New Roman" w:cs="Times New Roman"/>
          <w:color w:val="000000" w:themeColor="text1"/>
          <w:sz w:val="28"/>
          <w:szCs w:val="28"/>
          <w:lang w:val="es-ES"/>
        </w:rPr>
        <w:t xml:space="preserve">a en la relación matrimonial, a quienes se les negó el reconocimiento de la pensión de sobrevivientes. En esa oportunidad, la Sala </w:t>
      </w:r>
      <w:r w:rsidRPr="005D36F1">
        <w:rPr>
          <w:rFonts w:ascii="Times New Roman" w:hAnsi="Times New Roman" w:cs="Times New Roman"/>
          <w:color w:val="000000" w:themeColor="text1"/>
          <w:sz w:val="28"/>
          <w:szCs w:val="28"/>
          <w:lang w:val="es-ES"/>
        </w:rPr>
        <w:t>l</w:t>
      </w:r>
      <w:r w:rsidRPr="005D36F1">
        <w:rPr>
          <w:rFonts w:ascii="Times New Roman" w:hAnsi="Times New Roman" w:cs="Times New Roman"/>
          <w:color w:val="000000" w:themeColor="text1"/>
          <w:sz w:val="28"/>
          <w:szCs w:val="28"/>
          <w:lang w:val="es-ES"/>
        </w:rPr>
        <w:t xml:space="preserve">e reprochó que pese a que la </w:t>
      </w:r>
      <w:r w:rsidRPr="005D36F1">
        <w:rPr>
          <w:rFonts w:ascii="Times New Roman" w:hAnsi="Times New Roman" w:cs="Times New Roman"/>
          <w:color w:val="000000" w:themeColor="text1"/>
          <w:sz w:val="28"/>
          <w:szCs w:val="28"/>
          <w:lang w:val="es-ES"/>
        </w:rPr>
        <w:t>AFP</w:t>
      </w:r>
      <w:r w:rsidRPr="005D36F1">
        <w:rPr>
          <w:rFonts w:ascii="Times New Roman" w:hAnsi="Times New Roman" w:cs="Times New Roman"/>
          <w:color w:val="000000" w:themeColor="text1"/>
          <w:sz w:val="28"/>
          <w:szCs w:val="28"/>
          <w:lang w:val="es-ES"/>
        </w:rPr>
        <w:t xml:space="preserve"> reconoció hechos de violencia doméstica en contra de la mujer</w:t>
      </w:r>
      <w:r w:rsidRPr="005D36F1">
        <w:rPr>
          <w:rFonts w:ascii="Times New Roman" w:hAnsi="Times New Roman" w:cs="Times New Roman"/>
          <w:color w:val="000000" w:themeColor="text1"/>
          <w:sz w:val="28"/>
          <w:szCs w:val="28"/>
          <w:lang w:val="es-ES"/>
        </w:rPr>
        <w:t xml:space="preserve"> como consecuencia del </w:t>
      </w:r>
      <w:r w:rsidRPr="005D36F1">
        <w:rPr>
          <w:rFonts w:ascii="Times New Roman" w:hAnsi="Times New Roman" w:cs="Times New Roman"/>
          <w:color w:val="000000" w:themeColor="text1"/>
          <w:sz w:val="28"/>
          <w:szCs w:val="28"/>
          <w:lang w:val="es-ES"/>
        </w:rPr>
        <w:t>abuso d</w:t>
      </w:r>
      <w:r w:rsidRPr="005D36F1">
        <w:rPr>
          <w:rFonts w:ascii="Times New Roman" w:hAnsi="Times New Roman" w:cs="Times New Roman"/>
          <w:color w:val="000000" w:themeColor="text1"/>
          <w:sz w:val="28"/>
          <w:szCs w:val="28"/>
          <w:lang w:val="es-ES"/>
        </w:rPr>
        <w:t>e su pareja, quien consumía marihuana, conminara una revictimización como consecuencia del no reconocimiento del derecho pensional.</w:t>
      </w:r>
      <w:r w:rsidRPr="005D36F1">
        <w:rPr>
          <w:rFonts w:ascii="Times New Roman" w:hAnsi="Times New Roman" w:cs="Times New Roman"/>
          <w:color w:val="000000" w:themeColor="text1"/>
          <w:sz w:val="28"/>
          <w:szCs w:val="28"/>
          <w:vertAlign w:val="superscript"/>
          <w:lang w:val="es-ES"/>
        </w:rPr>
        <w:footnoteReference w:id="189"/>
      </w:r>
      <w:r w:rsidRPr="005D36F1">
        <w:rPr>
          <w:rFonts w:ascii="Times New Roman" w:hAnsi="Times New Roman" w:cs="Times New Roman"/>
          <w:color w:val="000000" w:themeColor="text1"/>
          <w:sz w:val="28"/>
          <w:szCs w:val="28"/>
          <w:lang w:val="es-ES"/>
        </w:rPr>
        <w:t xml:space="preserve"> Asimismo, l</w:t>
      </w:r>
      <w:r w:rsidRPr="005D36F1">
        <w:rPr>
          <w:rFonts w:ascii="Times New Roman" w:hAnsi="Times New Roman" w:cs="Times New Roman"/>
          <w:color w:val="000000" w:themeColor="text1"/>
          <w:sz w:val="28"/>
          <w:szCs w:val="28"/>
          <w:lang w:val="es-ES"/>
        </w:rPr>
        <w:t xml:space="preserve">a Sala de Casación Penal de la Corte Suprema de Justicia </w:t>
      </w:r>
      <w:r w:rsidRPr="005D36F1">
        <w:rPr>
          <w:rFonts w:ascii="Times New Roman" w:hAnsi="Times New Roman" w:cs="Times New Roman"/>
          <w:color w:val="000000" w:themeColor="text1"/>
          <w:sz w:val="28"/>
          <w:szCs w:val="28"/>
          <w:lang w:val="es-ES"/>
        </w:rPr>
        <w:t>estudió</w:t>
      </w:r>
      <w:r w:rsidRPr="005D36F1">
        <w:rPr>
          <w:rFonts w:ascii="Times New Roman" w:hAnsi="Times New Roman" w:cs="Times New Roman"/>
          <w:color w:val="000000" w:themeColor="text1"/>
          <w:sz w:val="28"/>
          <w:szCs w:val="28"/>
          <w:lang w:val="es-ES"/>
        </w:rPr>
        <w:t xml:space="preserve"> un caso </w:t>
      </w:r>
      <w:r w:rsidRPr="005D36F1">
        <w:rPr>
          <w:rFonts w:ascii="Times New Roman" w:hAnsi="Times New Roman" w:cs="Times New Roman"/>
          <w:color w:val="000000" w:themeColor="text1"/>
          <w:sz w:val="28"/>
          <w:szCs w:val="28"/>
          <w:lang w:val="es-ES"/>
        </w:rPr>
        <w:t xml:space="preserve">de violencia de género por parte del cónyuge contra su esposa, </w:t>
      </w:r>
      <w:r w:rsidRPr="005D36F1">
        <w:rPr>
          <w:rFonts w:ascii="Times New Roman" w:hAnsi="Times New Roman" w:cs="Times New Roman"/>
          <w:color w:val="000000" w:themeColor="text1"/>
          <w:sz w:val="28"/>
          <w:szCs w:val="28"/>
          <w:lang w:val="es-ES"/>
        </w:rPr>
        <w:t xml:space="preserve">en donde </w:t>
      </w:r>
      <w:r w:rsidRPr="005D36F1">
        <w:rPr>
          <w:rFonts w:ascii="Times New Roman" w:hAnsi="Times New Roman" w:cs="Times New Roman"/>
          <w:color w:val="000000" w:themeColor="text1"/>
          <w:sz w:val="28"/>
          <w:szCs w:val="28"/>
          <w:lang w:val="es-ES"/>
        </w:rPr>
        <w:t>se constató que él</w:t>
      </w:r>
      <w:r w:rsidRPr="005D36F1">
        <w:rPr>
          <w:rFonts w:ascii="Times New Roman" w:hAnsi="Times New Roman" w:cs="Times New Roman"/>
          <w:color w:val="000000" w:themeColor="text1"/>
          <w:sz w:val="28"/>
          <w:szCs w:val="28"/>
          <w:lang w:val="es-ES"/>
        </w:rPr>
        <w:t>, en estado de embriaguez</w:t>
      </w:r>
      <w:r w:rsidRPr="005D36F1">
        <w:rPr>
          <w:rFonts w:ascii="Times New Roman" w:hAnsi="Times New Roman" w:cs="Times New Roman"/>
          <w:color w:val="000000" w:themeColor="text1"/>
          <w:sz w:val="28"/>
          <w:szCs w:val="28"/>
          <w:lang w:val="es-ES"/>
        </w:rPr>
        <w:t>, la coaccionaba para accederla carnalmente</w:t>
      </w:r>
      <w:r w:rsidRPr="005D36F1">
        <w:rPr>
          <w:rFonts w:ascii="Times New Roman" w:hAnsi="Times New Roman" w:cs="Times New Roman"/>
          <w:color w:val="000000" w:themeColor="text1"/>
          <w:sz w:val="28"/>
          <w:szCs w:val="28"/>
          <w:lang w:val="es-ES"/>
        </w:rPr>
        <w:t>.</w:t>
      </w:r>
      <w:r w:rsidRPr="005D36F1">
        <w:rPr>
          <w:rFonts w:ascii="Times New Roman" w:hAnsi="Times New Roman" w:cs="Times New Roman"/>
          <w:color w:val="000000" w:themeColor="text1"/>
          <w:sz w:val="28"/>
          <w:szCs w:val="28"/>
          <w:vertAlign w:val="superscript"/>
          <w:lang w:val="es-ES"/>
        </w:rPr>
        <w:footnoteReference w:id="190"/>
      </w:r>
    </w:p>
    <w:p w:rsidR="00DD288B" w:rsidRPr="005D36F1" w:rsidRDefault="005D36F1" w:rsidP="003377A4">
      <w:pPr>
        <w:jc w:val="both"/>
        <w:rPr>
          <w:rFonts w:ascii="Times New Roman" w:hAnsi="Times New Roman" w:cs="Times New Roman"/>
          <w:color w:val="000000" w:themeColor="text1"/>
          <w:sz w:val="28"/>
          <w:szCs w:val="28"/>
          <w:lang w:val="es-ES"/>
        </w:rPr>
      </w:pPr>
    </w:p>
    <w:p w:rsidR="00DD288B" w:rsidRPr="005D36F1" w:rsidRDefault="005D36F1" w:rsidP="00DD288B">
      <w:pPr>
        <w:jc w:val="both"/>
        <w:rPr>
          <w:rFonts w:ascii="Times New Roman" w:hAnsi="Times New Roman" w:cs="Times New Roman"/>
          <w:color w:val="000000" w:themeColor="text1"/>
          <w:sz w:val="28"/>
          <w:szCs w:val="28"/>
          <w:lang w:val="es-ES"/>
        </w:rPr>
      </w:pPr>
      <w:r w:rsidRPr="005D36F1">
        <w:rPr>
          <w:rFonts w:ascii="Times New Roman" w:hAnsi="Times New Roman" w:cs="Times New Roman"/>
          <w:color w:val="000000" w:themeColor="text1"/>
          <w:sz w:val="28"/>
          <w:szCs w:val="28"/>
          <w:lang w:val="es-ES"/>
        </w:rPr>
        <w:t>Asimismo, existen</w:t>
      </w:r>
      <w:r w:rsidRPr="005D36F1">
        <w:rPr>
          <w:rFonts w:ascii="Times New Roman" w:hAnsi="Times New Roman" w:cs="Times New Roman"/>
          <w:color w:val="000000" w:themeColor="text1"/>
          <w:sz w:val="28"/>
          <w:szCs w:val="28"/>
          <w:lang w:val="es-ES"/>
        </w:rPr>
        <w:t xml:space="preserve"> estudios que dan cuenta de los efectos del consumo de sustancias psicoactiva</w:t>
      </w:r>
      <w:r w:rsidRPr="005D36F1">
        <w:rPr>
          <w:rFonts w:ascii="Times New Roman" w:hAnsi="Times New Roman" w:cs="Times New Roman"/>
          <w:color w:val="000000" w:themeColor="text1"/>
          <w:sz w:val="28"/>
          <w:szCs w:val="28"/>
          <w:lang w:val="es-ES"/>
        </w:rPr>
        <w:t>s en la violencia</w:t>
      </w:r>
      <w:r w:rsidRPr="005D36F1">
        <w:rPr>
          <w:rFonts w:ascii="Times New Roman" w:hAnsi="Times New Roman" w:cs="Times New Roman"/>
          <w:color w:val="000000" w:themeColor="text1"/>
          <w:sz w:val="28"/>
          <w:szCs w:val="28"/>
          <w:lang w:val="es-ES"/>
        </w:rPr>
        <w:t xml:space="preserve"> de género</w:t>
      </w:r>
      <w:r w:rsidRPr="005D36F1">
        <w:rPr>
          <w:rFonts w:ascii="Times New Roman" w:hAnsi="Times New Roman" w:cs="Times New Roman"/>
          <w:color w:val="000000" w:themeColor="text1"/>
          <w:sz w:val="28"/>
          <w:szCs w:val="28"/>
          <w:lang w:val="es-ES"/>
        </w:rPr>
        <w:t xml:space="preserve"> hacia las mujeres. Por ejemplo, de acuerdo con </w:t>
      </w:r>
      <w:r w:rsidRPr="005D36F1">
        <w:rPr>
          <w:rFonts w:ascii="Times New Roman" w:hAnsi="Times New Roman" w:cs="Times New Roman"/>
          <w:color w:val="000000" w:themeColor="text1"/>
          <w:sz w:val="28"/>
          <w:szCs w:val="28"/>
          <w:lang w:val="es-ES"/>
        </w:rPr>
        <w:t xml:space="preserve">el Informe “El brindis infeliz: el consumo de alcohol y la agresión entre parejas en las Américas” de </w:t>
      </w:r>
      <w:r w:rsidRPr="005D36F1">
        <w:rPr>
          <w:rFonts w:ascii="Times New Roman" w:hAnsi="Times New Roman" w:cs="Times New Roman"/>
          <w:color w:val="000000" w:themeColor="text1"/>
          <w:sz w:val="28"/>
          <w:szCs w:val="28"/>
          <w:lang w:val="es-ES"/>
        </w:rPr>
        <w:t xml:space="preserve">la Organización Panorámica de la Salud (OPS), casi en la mayoría de los países </w:t>
      </w:r>
      <w:r w:rsidRPr="005D36F1">
        <w:rPr>
          <w:rFonts w:ascii="Times New Roman" w:hAnsi="Times New Roman" w:cs="Times New Roman"/>
          <w:color w:val="000000" w:themeColor="text1"/>
          <w:sz w:val="28"/>
          <w:szCs w:val="28"/>
          <w:lang w:val="es-ES"/>
        </w:rPr>
        <w:t xml:space="preserve">se identifican diferencias de género cuando ocurre un incidente relacionado con el consumo de alcohol, </w:t>
      </w:r>
      <w:r w:rsidRPr="005D36F1">
        <w:rPr>
          <w:rFonts w:ascii="Times New Roman" w:hAnsi="Times New Roman" w:cs="Times New Roman"/>
          <w:i/>
          <w:iCs/>
          <w:color w:val="000000" w:themeColor="text1"/>
          <w:sz w:val="28"/>
          <w:szCs w:val="28"/>
          <w:lang w:val="es-ES"/>
        </w:rPr>
        <w:t>“con mayores probabilidades de que las mujeres víctimas indicaran que el hombre o ambos habían estado bebiendo. De este modo, el consumo de alcohol parec</w:t>
      </w:r>
      <w:r w:rsidRPr="005D36F1">
        <w:rPr>
          <w:rFonts w:ascii="Times New Roman" w:hAnsi="Times New Roman" w:cs="Times New Roman"/>
          <w:i/>
          <w:iCs/>
          <w:color w:val="000000" w:themeColor="text1"/>
          <w:sz w:val="28"/>
          <w:szCs w:val="28"/>
          <w:lang w:val="es-ES"/>
        </w:rPr>
        <w:t>e ser especialmente importante en términos de violencia contra las mujeres.”</w:t>
      </w:r>
      <w:r w:rsidRPr="005D36F1">
        <w:rPr>
          <w:rFonts w:ascii="Times New Roman" w:hAnsi="Times New Roman" w:cs="Times New Roman"/>
          <w:color w:val="000000" w:themeColor="text1"/>
          <w:sz w:val="28"/>
          <w:szCs w:val="28"/>
          <w:vertAlign w:val="superscript"/>
          <w:lang w:val="es-ES"/>
        </w:rPr>
        <w:footnoteReference w:id="191"/>
      </w:r>
      <w:r w:rsidRPr="005D36F1">
        <w:rPr>
          <w:rFonts w:ascii="Times New Roman" w:hAnsi="Times New Roman" w:cs="Times New Roman"/>
          <w:color w:val="000000" w:themeColor="text1"/>
          <w:sz w:val="28"/>
          <w:szCs w:val="28"/>
          <w:lang w:val="es-ES"/>
        </w:rPr>
        <w:t xml:space="preserve"> A su vez, el informe </w:t>
      </w:r>
      <w:r w:rsidRPr="005D36F1">
        <w:rPr>
          <w:rFonts w:ascii="Times New Roman" w:hAnsi="Times New Roman" w:cs="Times New Roman"/>
          <w:color w:val="000000" w:themeColor="text1"/>
          <w:sz w:val="28"/>
          <w:szCs w:val="28"/>
          <w:lang w:val="es-ES"/>
        </w:rPr>
        <w:t xml:space="preserve">en cita </w:t>
      </w:r>
      <w:r w:rsidRPr="005D36F1">
        <w:rPr>
          <w:rFonts w:ascii="Times New Roman" w:hAnsi="Times New Roman" w:cs="Times New Roman"/>
          <w:color w:val="000000" w:themeColor="text1"/>
          <w:sz w:val="28"/>
          <w:szCs w:val="28"/>
          <w:lang w:val="es-ES"/>
        </w:rPr>
        <w:t xml:space="preserve">concluyó que los bebedores tienen mayores probabilidades de mostrar agresión en la relación de pareja y que quienes bebían más tenían mayor probabilidad de volverse agresivos, sin </w:t>
      </w:r>
      <w:r w:rsidRPr="005D36F1">
        <w:rPr>
          <w:rFonts w:ascii="Times New Roman" w:hAnsi="Times New Roman" w:cs="Times New Roman"/>
          <w:color w:val="000000" w:themeColor="text1"/>
          <w:sz w:val="28"/>
          <w:szCs w:val="28"/>
          <w:lang w:val="es-ES"/>
        </w:rPr>
        <w:t>que pudiera demostrarse</w:t>
      </w:r>
      <w:r w:rsidRPr="005D36F1">
        <w:rPr>
          <w:rFonts w:ascii="Times New Roman" w:hAnsi="Times New Roman" w:cs="Times New Roman"/>
          <w:color w:val="000000" w:themeColor="text1"/>
          <w:sz w:val="28"/>
          <w:szCs w:val="28"/>
          <w:lang w:val="es-ES"/>
        </w:rPr>
        <w:t xml:space="preserve"> </w:t>
      </w:r>
      <w:r w:rsidRPr="005D36F1">
        <w:rPr>
          <w:rFonts w:ascii="Times New Roman" w:hAnsi="Times New Roman" w:cs="Times New Roman"/>
          <w:i/>
          <w:iCs/>
          <w:color w:val="000000" w:themeColor="text1"/>
          <w:sz w:val="28"/>
          <w:szCs w:val="28"/>
          <w:lang w:val="es-ES"/>
        </w:rPr>
        <w:t>“</w:t>
      </w:r>
      <w:r w:rsidRPr="005D36F1">
        <w:rPr>
          <w:rFonts w:ascii="Times New Roman" w:hAnsi="Times New Roman" w:cs="Times New Roman"/>
          <w:i/>
          <w:iCs/>
          <w:sz w:val="28"/>
          <w:szCs w:val="28"/>
          <w:lang w:val="es-ES"/>
        </w:rPr>
        <w:t>un patrón claro que vinculara la agresión en la par</w:t>
      </w:r>
      <w:r w:rsidRPr="005D36F1">
        <w:rPr>
          <w:rFonts w:ascii="Times New Roman" w:hAnsi="Times New Roman" w:cs="Times New Roman"/>
          <w:i/>
          <w:iCs/>
          <w:sz w:val="28"/>
          <w:szCs w:val="28"/>
          <w:lang w:val="es-ES"/>
        </w:rPr>
        <w:t>eja con la frecuencia de consumo.”</w:t>
      </w:r>
      <w:r w:rsidRPr="005D36F1">
        <w:rPr>
          <w:rFonts w:ascii="Times New Roman" w:hAnsi="Times New Roman" w:cs="Times New Roman"/>
          <w:color w:val="000000" w:themeColor="text1"/>
          <w:sz w:val="28"/>
          <w:szCs w:val="28"/>
          <w:vertAlign w:val="superscript"/>
          <w:lang w:val="es-ES"/>
        </w:rPr>
        <w:footnoteReference w:id="192"/>
      </w:r>
      <w:r w:rsidRPr="005D36F1">
        <w:rPr>
          <w:rFonts w:ascii="Times New Roman" w:hAnsi="Times New Roman" w:cs="Times New Roman"/>
          <w:color w:val="000000" w:themeColor="text1"/>
          <w:sz w:val="28"/>
          <w:szCs w:val="28"/>
          <w:lang w:val="es-ES"/>
        </w:rPr>
        <w:t xml:space="preserve"> </w:t>
      </w:r>
      <w:r w:rsidRPr="005D36F1">
        <w:rPr>
          <w:rFonts w:ascii="Times New Roman" w:hAnsi="Times New Roman" w:cs="Times New Roman"/>
          <w:color w:val="000000" w:themeColor="text1"/>
          <w:sz w:val="28"/>
          <w:szCs w:val="28"/>
          <w:lang w:val="es-ES"/>
        </w:rPr>
        <w:t>En sentido similar lo ha explicado la Organización Mundial de la Salud</w:t>
      </w:r>
      <w:r w:rsidRPr="005D36F1">
        <w:rPr>
          <w:rFonts w:ascii="Times New Roman" w:hAnsi="Times New Roman" w:cs="Times New Roman"/>
          <w:color w:val="000000" w:themeColor="text1"/>
          <w:sz w:val="28"/>
          <w:szCs w:val="28"/>
          <w:lang w:val="es-ES"/>
        </w:rPr>
        <w:t>,</w:t>
      </w:r>
      <w:r w:rsidRPr="005D36F1">
        <w:rPr>
          <w:rFonts w:ascii="Times New Roman" w:hAnsi="Times New Roman" w:cs="Times New Roman"/>
          <w:color w:val="000000" w:themeColor="text1"/>
          <w:sz w:val="28"/>
          <w:szCs w:val="28"/>
          <w:vertAlign w:val="superscript"/>
          <w:lang w:val="es-ES"/>
        </w:rPr>
        <w:footnoteReference w:id="193"/>
      </w:r>
      <w:r w:rsidRPr="005D36F1">
        <w:rPr>
          <w:rFonts w:ascii="Times New Roman" w:hAnsi="Times New Roman" w:cs="Times New Roman"/>
          <w:color w:val="000000" w:themeColor="text1"/>
          <w:sz w:val="28"/>
          <w:szCs w:val="28"/>
          <w:lang w:val="es-ES"/>
        </w:rPr>
        <w:t xml:space="preserve"> entre otros.</w:t>
      </w:r>
      <w:r w:rsidRPr="005D36F1">
        <w:rPr>
          <w:rFonts w:ascii="Times New Roman" w:hAnsi="Times New Roman" w:cs="Times New Roman"/>
          <w:color w:val="000000" w:themeColor="text1"/>
          <w:sz w:val="28"/>
          <w:szCs w:val="28"/>
          <w:vertAlign w:val="superscript"/>
          <w:lang w:val="es-ES"/>
        </w:rPr>
        <w:footnoteReference w:id="194"/>
      </w:r>
      <w:r w:rsidRPr="005D36F1">
        <w:rPr>
          <w:rFonts w:ascii="Times New Roman" w:hAnsi="Times New Roman" w:cs="Times New Roman"/>
          <w:color w:val="000000" w:themeColor="text1"/>
          <w:sz w:val="28"/>
          <w:szCs w:val="28"/>
          <w:lang w:val="es-ES"/>
        </w:rPr>
        <w:t xml:space="preserve"> </w:t>
      </w:r>
      <w:r w:rsidRPr="005D36F1">
        <w:rPr>
          <w:rFonts w:ascii="Times New Roman" w:hAnsi="Times New Roman" w:cs="Times New Roman"/>
          <w:color w:val="000000" w:themeColor="text1"/>
          <w:sz w:val="28"/>
          <w:szCs w:val="28"/>
          <w:lang w:val="es-ES"/>
        </w:rPr>
        <w:t>La</w:t>
      </w:r>
      <w:r w:rsidRPr="005D36F1">
        <w:rPr>
          <w:rFonts w:ascii="Times New Roman" w:hAnsi="Times New Roman" w:cs="Times New Roman"/>
          <w:color w:val="000000" w:themeColor="text1"/>
          <w:sz w:val="28"/>
          <w:szCs w:val="28"/>
          <w:lang w:val="es-ES"/>
        </w:rPr>
        <w:t xml:space="preserve"> doctrina </w:t>
      </w:r>
      <w:r w:rsidRPr="005D36F1">
        <w:rPr>
          <w:rFonts w:ascii="Times New Roman" w:hAnsi="Times New Roman" w:cs="Times New Roman"/>
          <w:color w:val="000000" w:themeColor="text1"/>
          <w:sz w:val="28"/>
          <w:szCs w:val="28"/>
          <w:lang w:val="es-ES"/>
        </w:rPr>
        <w:t>internacional</w:t>
      </w:r>
      <w:r w:rsidRPr="005D36F1">
        <w:rPr>
          <w:rFonts w:ascii="Times New Roman" w:hAnsi="Times New Roman" w:cs="Times New Roman"/>
          <w:color w:val="000000" w:themeColor="text1"/>
          <w:sz w:val="28"/>
          <w:szCs w:val="28"/>
          <w:lang w:val="es-ES"/>
        </w:rPr>
        <w:t xml:space="preserve"> ha </w:t>
      </w:r>
      <w:r w:rsidRPr="005D36F1">
        <w:rPr>
          <w:rFonts w:ascii="Times New Roman" w:hAnsi="Times New Roman" w:cs="Times New Roman"/>
          <w:color w:val="000000" w:themeColor="text1"/>
          <w:sz w:val="28"/>
          <w:szCs w:val="28"/>
          <w:lang w:val="es-ES"/>
        </w:rPr>
        <w:t xml:space="preserve">profundizado en </w:t>
      </w:r>
      <w:r w:rsidRPr="005D36F1">
        <w:rPr>
          <w:rFonts w:ascii="Times New Roman" w:hAnsi="Times New Roman" w:cs="Times New Roman"/>
          <w:color w:val="000000" w:themeColor="text1"/>
          <w:sz w:val="28"/>
          <w:szCs w:val="28"/>
          <w:lang w:val="es-ES"/>
        </w:rPr>
        <w:t>el</w:t>
      </w:r>
      <w:r w:rsidRPr="005D36F1">
        <w:rPr>
          <w:rFonts w:ascii="Times New Roman" w:hAnsi="Times New Roman" w:cs="Times New Roman"/>
          <w:color w:val="000000" w:themeColor="text1"/>
          <w:sz w:val="28"/>
          <w:szCs w:val="28"/>
          <w:lang w:val="es-ES"/>
        </w:rPr>
        <w:t xml:space="preserve"> impacto del consumo de drogas en la violencia intrafamiliar</w:t>
      </w:r>
      <w:r w:rsidRPr="005D36F1">
        <w:rPr>
          <w:rFonts w:ascii="Times New Roman" w:hAnsi="Times New Roman" w:cs="Times New Roman"/>
          <w:color w:val="000000" w:themeColor="text1"/>
          <w:sz w:val="28"/>
          <w:szCs w:val="28"/>
          <w:lang w:val="es-ES"/>
        </w:rPr>
        <w:t xml:space="preserve"> </w:t>
      </w:r>
      <w:r w:rsidRPr="005D36F1">
        <w:rPr>
          <w:rFonts w:ascii="Times New Roman" w:hAnsi="Times New Roman" w:cs="Times New Roman"/>
          <w:color w:val="000000" w:themeColor="text1"/>
          <w:sz w:val="28"/>
          <w:szCs w:val="28"/>
          <w:lang w:val="es-ES"/>
        </w:rPr>
        <w:t>contra las mujeres</w:t>
      </w:r>
      <w:r w:rsidRPr="005D36F1">
        <w:rPr>
          <w:rFonts w:ascii="Times New Roman" w:hAnsi="Times New Roman" w:cs="Times New Roman"/>
          <w:color w:val="000000" w:themeColor="text1"/>
          <w:sz w:val="28"/>
          <w:szCs w:val="28"/>
          <w:lang w:val="es-ES"/>
        </w:rPr>
        <w:t>,</w:t>
      </w:r>
      <w:r w:rsidRPr="005D36F1">
        <w:rPr>
          <w:rFonts w:ascii="Times New Roman" w:hAnsi="Times New Roman" w:cs="Times New Roman"/>
          <w:color w:val="000000" w:themeColor="text1"/>
          <w:sz w:val="28"/>
          <w:szCs w:val="28"/>
          <w:vertAlign w:val="superscript"/>
          <w:lang w:val="es-ES"/>
        </w:rPr>
        <w:footnoteReference w:id="195"/>
      </w:r>
      <w:r w:rsidRPr="005D36F1">
        <w:rPr>
          <w:rFonts w:ascii="Times New Roman" w:hAnsi="Times New Roman" w:cs="Times New Roman"/>
          <w:color w:val="000000" w:themeColor="text1"/>
          <w:sz w:val="28"/>
          <w:szCs w:val="28"/>
          <w:lang w:val="es-ES"/>
        </w:rPr>
        <w:t xml:space="preserve"> en l</w:t>
      </w:r>
      <w:r w:rsidRPr="005D36F1">
        <w:rPr>
          <w:rFonts w:ascii="Times New Roman" w:hAnsi="Times New Roman" w:cs="Times New Roman"/>
          <w:color w:val="000000" w:themeColor="text1"/>
          <w:sz w:val="28"/>
          <w:szCs w:val="28"/>
          <w:lang w:val="es-ES"/>
        </w:rPr>
        <w:t xml:space="preserve">as agresiones verbales y </w:t>
      </w:r>
      <w:r w:rsidRPr="005D36F1">
        <w:rPr>
          <w:rFonts w:ascii="Times New Roman" w:hAnsi="Times New Roman" w:cs="Times New Roman"/>
          <w:color w:val="000000" w:themeColor="text1"/>
          <w:sz w:val="28"/>
          <w:szCs w:val="28"/>
          <w:lang w:val="es-ES"/>
        </w:rPr>
        <w:t xml:space="preserve">en </w:t>
      </w:r>
      <w:r w:rsidRPr="005D36F1">
        <w:rPr>
          <w:rFonts w:ascii="Times New Roman" w:hAnsi="Times New Roman" w:cs="Times New Roman"/>
          <w:color w:val="000000" w:themeColor="text1"/>
          <w:sz w:val="28"/>
          <w:szCs w:val="28"/>
          <w:lang w:val="es-ES"/>
        </w:rPr>
        <w:t xml:space="preserve">los comportamientos disfuncionales de los padres para impartir reglas y disciplina </w:t>
      </w:r>
      <w:r w:rsidRPr="005D36F1">
        <w:rPr>
          <w:rFonts w:ascii="Times New Roman" w:hAnsi="Times New Roman" w:cs="Times New Roman"/>
          <w:color w:val="000000" w:themeColor="text1"/>
          <w:sz w:val="28"/>
          <w:szCs w:val="28"/>
          <w:lang w:val="es-ES"/>
        </w:rPr>
        <w:t>a</w:t>
      </w:r>
      <w:r w:rsidRPr="005D36F1">
        <w:rPr>
          <w:rFonts w:ascii="Times New Roman" w:hAnsi="Times New Roman" w:cs="Times New Roman"/>
          <w:color w:val="000000" w:themeColor="text1"/>
          <w:sz w:val="28"/>
          <w:szCs w:val="28"/>
          <w:lang w:val="es-ES"/>
        </w:rPr>
        <w:t xml:space="preserve"> sus hijos.</w:t>
      </w:r>
      <w:r w:rsidRPr="005D36F1">
        <w:rPr>
          <w:rFonts w:ascii="Times New Roman" w:hAnsi="Times New Roman" w:cs="Times New Roman"/>
          <w:color w:val="000000" w:themeColor="text1"/>
          <w:sz w:val="28"/>
          <w:szCs w:val="28"/>
          <w:vertAlign w:val="superscript"/>
          <w:lang w:val="es-ES"/>
        </w:rPr>
        <w:footnoteReference w:id="196"/>
      </w:r>
    </w:p>
    <w:p w:rsidR="008A680B" w:rsidRPr="005D36F1" w:rsidRDefault="005D36F1" w:rsidP="008A680B">
      <w:pPr>
        <w:jc w:val="both"/>
        <w:rPr>
          <w:rFonts w:ascii="Times New Roman" w:hAnsi="Times New Roman" w:cs="Times New Roman"/>
          <w:color w:val="000000" w:themeColor="text1"/>
          <w:sz w:val="28"/>
          <w:szCs w:val="28"/>
          <w:lang w:val="es-ES"/>
        </w:rPr>
      </w:pPr>
    </w:p>
    <w:p w:rsidR="006869F6" w:rsidRPr="005D36F1" w:rsidRDefault="005D36F1" w:rsidP="008A680B">
      <w:pPr>
        <w:jc w:val="both"/>
        <w:rPr>
          <w:rFonts w:ascii="Times New Roman" w:hAnsi="Times New Roman" w:cs="Times New Roman"/>
          <w:color w:val="000000" w:themeColor="text1"/>
          <w:sz w:val="28"/>
          <w:szCs w:val="28"/>
          <w:lang w:val="es-ES"/>
        </w:rPr>
      </w:pPr>
      <w:r w:rsidRPr="005D36F1">
        <w:rPr>
          <w:rFonts w:ascii="Times New Roman" w:hAnsi="Times New Roman" w:cs="Times New Roman"/>
          <w:color w:val="000000" w:themeColor="text1"/>
          <w:sz w:val="28"/>
          <w:szCs w:val="28"/>
          <w:lang w:val="es-ES"/>
        </w:rPr>
        <w:t>Los pronunciamientos jurisprudenciales</w:t>
      </w:r>
      <w:r w:rsidRPr="005D36F1">
        <w:rPr>
          <w:rFonts w:ascii="Times New Roman" w:hAnsi="Times New Roman" w:cs="Times New Roman"/>
          <w:color w:val="000000" w:themeColor="text1"/>
          <w:sz w:val="28"/>
          <w:szCs w:val="28"/>
          <w:lang w:val="es-ES"/>
        </w:rPr>
        <w:t xml:space="preserve">, así como los informes y </w:t>
      </w:r>
      <w:r w:rsidRPr="005D36F1">
        <w:rPr>
          <w:rFonts w:ascii="Times New Roman" w:hAnsi="Times New Roman" w:cs="Times New Roman"/>
          <w:color w:val="000000" w:themeColor="text1"/>
          <w:sz w:val="28"/>
          <w:szCs w:val="28"/>
          <w:lang w:val="es-ES"/>
        </w:rPr>
        <w:t xml:space="preserve">la </w:t>
      </w:r>
      <w:r w:rsidRPr="005D36F1">
        <w:rPr>
          <w:rFonts w:ascii="Times New Roman" w:hAnsi="Times New Roman" w:cs="Times New Roman"/>
          <w:color w:val="000000" w:themeColor="text1"/>
          <w:sz w:val="28"/>
          <w:szCs w:val="28"/>
          <w:lang w:val="es-ES"/>
        </w:rPr>
        <w:t>doctrina en cita,</w:t>
      </w:r>
      <w:r w:rsidRPr="005D36F1">
        <w:rPr>
          <w:rFonts w:ascii="Times New Roman" w:hAnsi="Times New Roman" w:cs="Times New Roman"/>
          <w:color w:val="000000" w:themeColor="text1"/>
          <w:sz w:val="28"/>
          <w:szCs w:val="28"/>
          <w:lang w:val="es-ES"/>
        </w:rPr>
        <w:t xml:space="preserve"> permiten colegir varias observaciones, las cuales debieron acompañar las consideraciones de la parte motiva de la sentencia. </w:t>
      </w:r>
    </w:p>
    <w:p w:rsidR="006869F6" w:rsidRPr="005D36F1" w:rsidRDefault="005D36F1" w:rsidP="008A680B">
      <w:pPr>
        <w:jc w:val="both"/>
        <w:rPr>
          <w:rFonts w:ascii="Times New Roman" w:hAnsi="Times New Roman" w:cs="Times New Roman"/>
          <w:b/>
          <w:bCs/>
          <w:color w:val="000000" w:themeColor="text1"/>
          <w:sz w:val="28"/>
          <w:szCs w:val="28"/>
          <w:lang w:val="es-ES"/>
        </w:rPr>
      </w:pPr>
    </w:p>
    <w:p w:rsidR="00460887" w:rsidRPr="005D36F1" w:rsidRDefault="005D36F1" w:rsidP="008A680B">
      <w:pPr>
        <w:jc w:val="both"/>
        <w:rPr>
          <w:rFonts w:ascii="Times New Roman" w:hAnsi="Times New Roman" w:cs="Times New Roman"/>
          <w:color w:val="000000" w:themeColor="text1"/>
          <w:sz w:val="28"/>
          <w:szCs w:val="28"/>
          <w:lang w:val="es-ES"/>
        </w:rPr>
      </w:pPr>
      <w:r w:rsidRPr="005D36F1">
        <w:rPr>
          <w:rFonts w:ascii="Times New Roman" w:hAnsi="Times New Roman" w:cs="Times New Roman"/>
          <w:b/>
          <w:bCs/>
          <w:color w:val="000000" w:themeColor="text1"/>
          <w:sz w:val="28"/>
          <w:szCs w:val="28"/>
          <w:lang w:val="es-ES"/>
        </w:rPr>
        <w:t>Primer</w:t>
      </w:r>
      <w:r w:rsidRPr="005D36F1">
        <w:rPr>
          <w:rFonts w:ascii="Times New Roman" w:hAnsi="Times New Roman" w:cs="Times New Roman"/>
          <w:b/>
          <w:bCs/>
          <w:color w:val="000000" w:themeColor="text1"/>
          <w:sz w:val="28"/>
          <w:szCs w:val="28"/>
          <w:lang w:val="es-ES"/>
        </w:rPr>
        <w:t>a</w:t>
      </w:r>
      <w:r w:rsidRPr="005D36F1">
        <w:rPr>
          <w:rFonts w:ascii="Times New Roman" w:hAnsi="Times New Roman" w:cs="Times New Roman"/>
          <w:color w:val="000000" w:themeColor="text1"/>
          <w:sz w:val="28"/>
          <w:szCs w:val="28"/>
          <w:lang w:val="es-ES"/>
        </w:rPr>
        <w:t>, que la causal quinta del artículo 154 del Código Civil</w:t>
      </w:r>
      <w:r w:rsidRPr="005D36F1">
        <w:rPr>
          <w:rFonts w:ascii="Times New Roman" w:hAnsi="Times New Roman" w:cs="Times New Roman"/>
          <w:color w:val="000000" w:themeColor="text1"/>
          <w:sz w:val="28"/>
          <w:szCs w:val="28"/>
          <w:lang w:val="es-ES"/>
        </w:rPr>
        <w:t xml:space="preserve"> deb</w:t>
      </w:r>
      <w:r w:rsidRPr="005D36F1">
        <w:rPr>
          <w:rFonts w:ascii="Times New Roman" w:hAnsi="Times New Roman" w:cs="Times New Roman"/>
          <w:color w:val="000000" w:themeColor="text1"/>
          <w:sz w:val="28"/>
          <w:szCs w:val="28"/>
          <w:lang w:val="es-ES"/>
        </w:rPr>
        <w:t>ía</w:t>
      </w:r>
      <w:r w:rsidRPr="005D36F1">
        <w:rPr>
          <w:rFonts w:ascii="Times New Roman" w:hAnsi="Times New Roman" w:cs="Times New Roman"/>
          <w:color w:val="000000" w:themeColor="text1"/>
          <w:sz w:val="28"/>
          <w:szCs w:val="28"/>
          <w:lang w:val="es-ES"/>
        </w:rPr>
        <w:t xml:space="preserve"> ser leída desde </w:t>
      </w:r>
      <w:r w:rsidRPr="005D36F1">
        <w:rPr>
          <w:rFonts w:ascii="Times New Roman" w:hAnsi="Times New Roman" w:cs="Times New Roman"/>
          <w:color w:val="000000" w:themeColor="text1"/>
          <w:sz w:val="28"/>
          <w:szCs w:val="28"/>
          <w:lang w:val="es-ES"/>
        </w:rPr>
        <w:t xml:space="preserve">el </w:t>
      </w:r>
      <w:r w:rsidRPr="005D36F1">
        <w:rPr>
          <w:rFonts w:ascii="Times New Roman" w:hAnsi="Times New Roman" w:cs="Times New Roman"/>
          <w:color w:val="000000" w:themeColor="text1"/>
          <w:sz w:val="28"/>
          <w:szCs w:val="28"/>
          <w:lang w:val="es-ES"/>
        </w:rPr>
        <w:t>enfoque de género</w:t>
      </w:r>
      <w:r w:rsidRPr="005D36F1">
        <w:rPr>
          <w:rFonts w:ascii="Times New Roman" w:hAnsi="Times New Roman" w:cs="Times New Roman"/>
          <w:color w:val="000000" w:themeColor="text1"/>
          <w:sz w:val="28"/>
          <w:szCs w:val="28"/>
          <w:lang w:val="es-ES"/>
        </w:rPr>
        <w:t xml:space="preserve"> introducido por el le</w:t>
      </w:r>
      <w:r w:rsidRPr="005D36F1">
        <w:rPr>
          <w:rFonts w:ascii="Times New Roman" w:hAnsi="Times New Roman" w:cs="Times New Roman"/>
          <w:color w:val="000000" w:themeColor="text1"/>
          <w:sz w:val="28"/>
          <w:szCs w:val="28"/>
          <w:lang w:val="es-ES"/>
        </w:rPr>
        <w:t>gislador</w:t>
      </w:r>
      <w:r w:rsidRPr="005D36F1">
        <w:rPr>
          <w:rFonts w:ascii="Times New Roman" w:hAnsi="Times New Roman" w:cs="Times New Roman"/>
          <w:color w:val="000000" w:themeColor="text1"/>
          <w:sz w:val="28"/>
          <w:szCs w:val="28"/>
          <w:lang w:val="es-ES"/>
        </w:rPr>
        <w:t xml:space="preserve">, lo que conllevaba la </w:t>
      </w:r>
      <w:r w:rsidRPr="005D36F1">
        <w:rPr>
          <w:rFonts w:ascii="Times New Roman" w:hAnsi="Times New Roman" w:cs="Times New Roman"/>
          <w:color w:val="000000" w:themeColor="text1"/>
          <w:sz w:val="28"/>
          <w:szCs w:val="28"/>
          <w:lang w:val="es-ES"/>
        </w:rPr>
        <w:t>importancia de desplegar</w:t>
      </w:r>
      <w:r w:rsidRPr="005D36F1">
        <w:rPr>
          <w:rFonts w:ascii="Times New Roman" w:hAnsi="Times New Roman" w:cs="Times New Roman"/>
          <w:color w:val="000000" w:themeColor="text1"/>
          <w:sz w:val="28"/>
          <w:szCs w:val="28"/>
          <w:lang w:val="es-ES"/>
        </w:rPr>
        <w:t xml:space="preserve"> las consideraciones </w:t>
      </w:r>
      <w:r w:rsidRPr="005D36F1">
        <w:rPr>
          <w:rFonts w:ascii="Times New Roman" w:hAnsi="Times New Roman" w:cs="Times New Roman"/>
          <w:color w:val="000000" w:themeColor="text1"/>
          <w:sz w:val="28"/>
          <w:szCs w:val="28"/>
          <w:lang w:val="es-ES"/>
        </w:rPr>
        <w:t xml:space="preserve">pertinentes </w:t>
      </w:r>
      <w:r w:rsidRPr="005D36F1">
        <w:rPr>
          <w:rFonts w:ascii="Times New Roman" w:hAnsi="Times New Roman" w:cs="Times New Roman"/>
          <w:color w:val="000000" w:themeColor="text1"/>
          <w:sz w:val="28"/>
          <w:szCs w:val="28"/>
          <w:lang w:val="es-ES"/>
        </w:rPr>
        <w:t xml:space="preserve">sobre lo que ha dicho la jurisprudencia constitucional y la doctrina internacional al respecto. Por lo cual, el análisis del problema jurídico no debió circunscribirse </w:t>
      </w:r>
      <w:r w:rsidRPr="005D36F1">
        <w:rPr>
          <w:rFonts w:ascii="Times New Roman" w:hAnsi="Times New Roman" w:cs="Times New Roman"/>
          <w:color w:val="000000" w:themeColor="text1"/>
          <w:sz w:val="28"/>
          <w:szCs w:val="28"/>
          <w:lang w:val="es-ES"/>
        </w:rPr>
        <w:t>a analizar el impacto de la norma en el ejercicio del derecho al libre desarrollo de la personalidad de ambos cónyuges, y en la dignidad humana del c</w:t>
      </w:r>
      <w:r w:rsidRPr="005D36F1">
        <w:rPr>
          <w:rFonts w:ascii="Times New Roman" w:hAnsi="Times New Roman" w:cs="Times New Roman"/>
          <w:color w:val="000000" w:themeColor="text1"/>
          <w:sz w:val="28"/>
          <w:szCs w:val="28"/>
          <w:lang w:val="es-ES"/>
        </w:rPr>
        <w:t>ó</w:t>
      </w:r>
      <w:r w:rsidRPr="005D36F1">
        <w:rPr>
          <w:rFonts w:ascii="Times New Roman" w:hAnsi="Times New Roman" w:cs="Times New Roman"/>
          <w:color w:val="000000" w:themeColor="text1"/>
          <w:sz w:val="28"/>
          <w:szCs w:val="28"/>
          <w:lang w:val="es-ES"/>
        </w:rPr>
        <w:t xml:space="preserve">nyuge consumidor, </w:t>
      </w:r>
      <w:r w:rsidRPr="005D36F1">
        <w:rPr>
          <w:rFonts w:ascii="Times New Roman" w:hAnsi="Times New Roman" w:cs="Times New Roman"/>
          <w:color w:val="000000" w:themeColor="text1"/>
          <w:sz w:val="28"/>
          <w:szCs w:val="28"/>
          <w:lang w:val="es-ES"/>
        </w:rPr>
        <w:t xml:space="preserve">sino también en </w:t>
      </w:r>
      <w:r w:rsidRPr="005D36F1">
        <w:rPr>
          <w:rFonts w:ascii="Times New Roman" w:hAnsi="Times New Roman" w:cs="Times New Roman"/>
          <w:color w:val="000000" w:themeColor="text1"/>
          <w:sz w:val="28"/>
          <w:szCs w:val="28"/>
          <w:lang w:val="es-ES"/>
        </w:rPr>
        <w:t>los efectos nocivos de su conducta en los d</w:t>
      </w:r>
      <w:r w:rsidRPr="005D36F1">
        <w:rPr>
          <w:rFonts w:ascii="Times New Roman" w:hAnsi="Times New Roman" w:cs="Times New Roman"/>
          <w:color w:val="000000" w:themeColor="text1"/>
          <w:sz w:val="28"/>
          <w:szCs w:val="28"/>
          <w:lang w:val="es-ES"/>
        </w:rPr>
        <w:t>erechos fundamentales de la</w:t>
      </w:r>
      <w:r w:rsidRPr="005D36F1">
        <w:rPr>
          <w:rFonts w:ascii="Times New Roman" w:hAnsi="Times New Roman" w:cs="Times New Roman"/>
          <w:color w:val="000000" w:themeColor="text1"/>
          <w:sz w:val="28"/>
          <w:szCs w:val="28"/>
          <w:lang w:val="es-ES"/>
        </w:rPr>
        <w:t xml:space="preserve"> p</w:t>
      </w:r>
      <w:r w:rsidRPr="005D36F1">
        <w:rPr>
          <w:rFonts w:ascii="Times New Roman" w:hAnsi="Times New Roman" w:cs="Times New Roman"/>
          <w:color w:val="000000" w:themeColor="text1"/>
          <w:sz w:val="28"/>
          <w:szCs w:val="28"/>
          <w:lang w:val="es-ES"/>
        </w:rPr>
        <w:t>areja no consumidora</w:t>
      </w:r>
      <w:r w:rsidRPr="005D36F1">
        <w:rPr>
          <w:rFonts w:ascii="Times New Roman" w:hAnsi="Times New Roman" w:cs="Times New Roman"/>
          <w:color w:val="000000" w:themeColor="text1"/>
          <w:sz w:val="28"/>
          <w:szCs w:val="28"/>
          <w:lang w:val="es-ES"/>
        </w:rPr>
        <w:t>.</w:t>
      </w:r>
    </w:p>
    <w:p w:rsidR="006913D9" w:rsidRPr="005D36F1" w:rsidRDefault="005D36F1" w:rsidP="008A680B">
      <w:pPr>
        <w:jc w:val="both"/>
        <w:rPr>
          <w:rFonts w:ascii="Times New Roman" w:hAnsi="Times New Roman" w:cs="Times New Roman"/>
          <w:color w:val="000000" w:themeColor="text1"/>
          <w:sz w:val="28"/>
          <w:szCs w:val="28"/>
          <w:lang w:val="es-ES"/>
        </w:rPr>
      </w:pPr>
    </w:p>
    <w:p w:rsidR="008A680B" w:rsidRPr="005D36F1" w:rsidRDefault="005D36F1" w:rsidP="004B45A2">
      <w:pPr>
        <w:jc w:val="both"/>
        <w:rPr>
          <w:rFonts w:ascii="Times New Roman" w:hAnsi="Times New Roman" w:cs="Times New Roman"/>
          <w:color w:val="000000" w:themeColor="text1"/>
          <w:sz w:val="28"/>
          <w:szCs w:val="28"/>
          <w:lang w:val="es-ES"/>
        </w:rPr>
      </w:pPr>
      <w:r w:rsidRPr="005D36F1">
        <w:rPr>
          <w:rFonts w:ascii="Times New Roman" w:hAnsi="Times New Roman" w:cs="Times New Roman"/>
          <w:b/>
          <w:bCs/>
          <w:color w:val="000000" w:themeColor="text1"/>
          <w:sz w:val="28"/>
          <w:szCs w:val="28"/>
          <w:lang w:val="es-ES"/>
        </w:rPr>
        <w:t>Segund</w:t>
      </w:r>
      <w:r w:rsidRPr="005D36F1">
        <w:rPr>
          <w:rFonts w:ascii="Times New Roman" w:hAnsi="Times New Roman" w:cs="Times New Roman"/>
          <w:b/>
          <w:bCs/>
          <w:color w:val="000000" w:themeColor="text1"/>
          <w:sz w:val="28"/>
          <w:szCs w:val="28"/>
          <w:lang w:val="es-ES"/>
        </w:rPr>
        <w:t>a</w:t>
      </w:r>
      <w:r w:rsidRPr="005D36F1">
        <w:rPr>
          <w:rFonts w:ascii="Times New Roman" w:hAnsi="Times New Roman" w:cs="Times New Roman"/>
          <w:color w:val="000000" w:themeColor="text1"/>
          <w:sz w:val="28"/>
          <w:szCs w:val="28"/>
          <w:lang w:val="es-ES"/>
        </w:rPr>
        <w:t xml:space="preserve">, que </w:t>
      </w:r>
      <w:r w:rsidRPr="005D36F1">
        <w:rPr>
          <w:rFonts w:ascii="Times New Roman" w:hAnsi="Times New Roman" w:cs="Times New Roman"/>
          <w:color w:val="000000" w:themeColor="text1"/>
          <w:sz w:val="28"/>
          <w:szCs w:val="28"/>
          <w:lang w:val="es-ES"/>
        </w:rPr>
        <w:t>la causal en comento constitu</w:t>
      </w:r>
      <w:r w:rsidRPr="005D36F1">
        <w:rPr>
          <w:rFonts w:ascii="Times New Roman" w:hAnsi="Times New Roman" w:cs="Times New Roman"/>
          <w:color w:val="000000" w:themeColor="text1"/>
          <w:sz w:val="28"/>
          <w:szCs w:val="28"/>
          <w:lang w:val="es-ES"/>
        </w:rPr>
        <w:t>ía</w:t>
      </w:r>
      <w:r w:rsidRPr="005D36F1">
        <w:rPr>
          <w:rFonts w:ascii="Times New Roman" w:hAnsi="Times New Roman" w:cs="Times New Roman"/>
          <w:color w:val="000000" w:themeColor="text1"/>
          <w:sz w:val="28"/>
          <w:szCs w:val="28"/>
          <w:lang w:val="es-ES"/>
        </w:rPr>
        <w:t xml:space="preserve"> una herramienta para que las mujeres pu</w:t>
      </w:r>
      <w:r w:rsidRPr="005D36F1">
        <w:rPr>
          <w:rFonts w:ascii="Times New Roman" w:hAnsi="Times New Roman" w:cs="Times New Roman"/>
          <w:color w:val="000000" w:themeColor="text1"/>
          <w:sz w:val="28"/>
          <w:szCs w:val="28"/>
          <w:lang w:val="es-ES"/>
        </w:rPr>
        <w:t>dieran</w:t>
      </w:r>
      <w:r w:rsidRPr="005D36F1">
        <w:rPr>
          <w:rFonts w:ascii="Times New Roman" w:hAnsi="Times New Roman" w:cs="Times New Roman"/>
          <w:color w:val="000000" w:themeColor="text1"/>
          <w:sz w:val="28"/>
          <w:szCs w:val="28"/>
          <w:lang w:val="es-ES"/>
        </w:rPr>
        <w:t xml:space="preserve"> hacer valer sus derechos fundamentales en instancias judiciales. Indistintamente a que se esté en presencia o no de hechos constitutivos de vi</w:t>
      </w:r>
      <w:r w:rsidRPr="005D36F1">
        <w:rPr>
          <w:rFonts w:ascii="Times New Roman" w:hAnsi="Times New Roman" w:cs="Times New Roman"/>
          <w:color w:val="000000" w:themeColor="text1"/>
          <w:sz w:val="28"/>
          <w:szCs w:val="28"/>
          <w:lang w:val="es-ES"/>
        </w:rPr>
        <w:t>olencia de género en el contexto familiar, la causal quinta permit</w:t>
      </w:r>
      <w:r w:rsidRPr="005D36F1">
        <w:rPr>
          <w:rFonts w:ascii="Times New Roman" w:hAnsi="Times New Roman" w:cs="Times New Roman"/>
          <w:color w:val="000000" w:themeColor="text1"/>
          <w:sz w:val="28"/>
          <w:szCs w:val="28"/>
          <w:lang w:val="es-ES"/>
        </w:rPr>
        <w:t>ía</w:t>
      </w:r>
      <w:r w:rsidRPr="005D36F1">
        <w:rPr>
          <w:rFonts w:ascii="Times New Roman" w:hAnsi="Times New Roman" w:cs="Times New Roman"/>
          <w:color w:val="000000" w:themeColor="text1"/>
          <w:sz w:val="28"/>
          <w:szCs w:val="28"/>
          <w:lang w:val="es-ES"/>
        </w:rPr>
        <w:t xml:space="preserve"> a las mujeres solicitar el divorcio y con ello, ponerle fin a una convivencia familiar que afecta</w:t>
      </w:r>
      <w:r w:rsidRPr="005D36F1">
        <w:rPr>
          <w:rFonts w:ascii="Times New Roman" w:hAnsi="Times New Roman" w:cs="Times New Roman"/>
          <w:color w:val="000000" w:themeColor="text1"/>
          <w:sz w:val="28"/>
          <w:szCs w:val="28"/>
          <w:lang w:val="es-ES"/>
        </w:rPr>
        <w:t>ba</w:t>
      </w:r>
      <w:r w:rsidRPr="005D36F1">
        <w:rPr>
          <w:rFonts w:ascii="Times New Roman" w:hAnsi="Times New Roman" w:cs="Times New Roman"/>
          <w:color w:val="000000" w:themeColor="text1"/>
          <w:sz w:val="28"/>
          <w:szCs w:val="28"/>
          <w:lang w:val="es-ES"/>
        </w:rPr>
        <w:t xml:space="preserve"> el goce efectivo de sus derechos fundamentales, entre </w:t>
      </w:r>
      <w:r w:rsidRPr="005D36F1">
        <w:rPr>
          <w:rFonts w:ascii="Times New Roman" w:hAnsi="Times New Roman" w:cs="Times New Roman"/>
          <w:color w:val="000000" w:themeColor="text1"/>
          <w:sz w:val="28"/>
          <w:szCs w:val="28"/>
          <w:lang w:val="es-ES"/>
        </w:rPr>
        <w:t>ellos,</w:t>
      </w:r>
      <w:r w:rsidRPr="005D36F1">
        <w:rPr>
          <w:rFonts w:ascii="Times New Roman" w:hAnsi="Times New Roman" w:cs="Times New Roman"/>
          <w:color w:val="000000" w:themeColor="text1"/>
          <w:sz w:val="28"/>
          <w:szCs w:val="28"/>
          <w:lang w:val="es-ES"/>
        </w:rPr>
        <w:t xml:space="preserve"> el de conformar una famili</w:t>
      </w:r>
      <w:r w:rsidRPr="005D36F1">
        <w:rPr>
          <w:rFonts w:ascii="Times New Roman" w:hAnsi="Times New Roman" w:cs="Times New Roman"/>
          <w:color w:val="000000" w:themeColor="text1"/>
          <w:sz w:val="28"/>
          <w:szCs w:val="28"/>
          <w:lang w:val="es-ES"/>
        </w:rPr>
        <w:t xml:space="preserve">a. </w:t>
      </w:r>
      <w:r w:rsidRPr="005D36F1">
        <w:rPr>
          <w:rFonts w:ascii="Times New Roman" w:hAnsi="Times New Roman" w:cs="Times New Roman"/>
          <w:color w:val="000000" w:themeColor="text1"/>
          <w:sz w:val="28"/>
          <w:szCs w:val="28"/>
          <w:lang w:val="es-ES"/>
        </w:rPr>
        <w:t>Esta misma Corporación, en oportunidades anteriores, ha reprochado el hecho de que las mujeres sean castigadas en el ejercicio de sus derechos por la adicción de sus parejas, aseveración que ha sido reafirmada por la Corte Suprema de Justicia. De hecho,</w:t>
      </w:r>
      <w:r w:rsidRPr="005D36F1">
        <w:rPr>
          <w:rFonts w:ascii="Times New Roman" w:hAnsi="Times New Roman" w:cs="Times New Roman"/>
          <w:color w:val="000000" w:themeColor="text1"/>
          <w:sz w:val="28"/>
          <w:szCs w:val="28"/>
          <w:lang w:val="es-ES"/>
        </w:rPr>
        <w:t xml:space="preserve"> </w:t>
      </w:r>
      <w:r w:rsidRPr="005D36F1">
        <w:rPr>
          <w:rFonts w:ascii="Times New Roman" w:hAnsi="Times New Roman" w:cs="Times New Roman"/>
          <w:color w:val="000000" w:themeColor="text1"/>
          <w:sz w:val="28"/>
          <w:szCs w:val="28"/>
          <w:lang w:val="es-ES"/>
        </w:rPr>
        <w:t>en la Sentencia SU-08</w:t>
      </w:r>
      <w:r w:rsidRPr="005D36F1">
        <w:rPr>
          <w:rFonts w:ascii="Times New Roman" w:hAnsi="Times New Roman" w:cs="Times New Roman"/>
          <w:color w:val="000000" w:themeColor="text1"/>
          <w:sz w:val="28"/>
          <w:szCs w:val="28"/>
          <w:lang w:val="es-ES"/>
        </w:rPr>
        <w:t>0</w:t>
      </w:r>
      <w:r w:rsidRPr="005D36F1">
        <w:rPr>
          <w:rFonts w:ascii="Times New Roman" w:hAnsi="Times New Roman" w:cs="Times New Roman"/>
          <w:color w:val="000000" w:themeColor="text1"/>
          <w:sz w:val="28"/>
          <w:szCs w:val="28"/>
          <w:lang w:val="es-ES"/>
        </w:rPr>
        <w:t xml:space="preserve"> de 2020, se evidenció que </w:t>
      </w:r>
      <w:r w:rsidRPr="005D36F1">
        <w:rPr>
          <w:rFonts w:ascii="Times New Roman" w:hAnsi="Times New Roman" w:cs="Times New Roman"/>
          <w:color w:val="000000" w:themeColor="text1"/>
          <w:sz w:val="28"/>
          <w:szCs w:val="28"/>
          <w:lang w:val="es-ES"/>
        </w:rPr>
        <w:t>el alcoholismo</w:t>
      </w:r>
      <w:r w:rsidRPr="005D36F1">
        <w:rPr>
          <w:rFonts w:ascii="Times New Roman" w:hAnsi="Times New Roman" w:cs="Times New Roman"/>
          <w:color w:val="000000" w:themeColor="text1"/>
          <w:sz w:val="28"/>
          <w:szCs w:val="28"/>
          <w:lang w:val="es-ES"/>
        </w:rPr>
        <w:t xml:space="preserve"> por parte del cónyuge </w:t>
      </w:r>
      <w:r w:rsidRPr="005D36F1">
        <w:rPr>
          <w:rFonts w:ascii="Times New Roman" w:hAnsi="Times New Roman" w:cs="Times New Roman"/>
          <w:color w:val="000000" w:themeColor="text1"/>
          <w:sz w:val="28"/>
          <w:szCs w:val="28"/>
          <w:lang w:val="es-ES"/>
        </w:rPr>
        <w:t>condujo</w:t>
      </w:r>
      <w:r w:rsidRPr="005D36F1">
        <w:rPr>
          <w:rFonts w:ascii="Times New Roman" w:hAnsi="Times New Roman" w:cs="Times New Roman"/>
          <w:color w:val="000000" w:themeColor="text1"/>
          <w:sz w:val="28"/>
          <w:szCs w:val="28"/>
          <w:lang w:val="es-ES"/>
        </w:rPr>
        <w:t xml:space="preserve"> a que éste dejara su residencia, a que la esposa </w:t>
      </w:r>
      <w:r w:rsidRPr="005D36F1">
        <w:rPr>
          <w:rFonts w:ascii="Times New Roman" w:hAnsi="Times New Roman" w:cs="Times New Roman"/>
          <w:color w:val="000000" w:themeColor="text1"/>
          <w:sz w:val="28"/>
          <w:szCs w:val="28"/>
          <w:lang w:val="es-ES"/>
        </w:rPr>
        <w:t>tuviera que padecer</w:t>
      </w:r>
      <w:r w:rsidRPr="005D36F1">
        <w:rPr>
          <w:rFonts w:ascii="Times New Roman" w:hAnsi="Times New Roman" w:cs="Times New Roman"/>
          <w:color w:val="000000" w:themeColor="text1"/>
          <w:sz w:val="28"/>
          <w:szCs w:val="28"/>
          <w:lang w:val="es-ES"/>
        </w:rPr>
        <w:t xml:space="preserve"> constantemente e</w:t>
      </w:r>
      <w:r w:rsidRPr="005D36F1">
        <w:rPr>
          <w:rFonts w:ascii="Times New Roman" w:hAnsi="Times New Roman" w:cs="Times New Roman"/>
          <w:color w:val="000000" w:themeColor="text1"/>
          <w:sz w:val="28"/>
          <w:szCs w:val="28"/>
          <w:lang w:val="es-ES"/>
        </w:rPr>
        <w:t>se consumo</w:t>
      </w:r>
      <w:r w:rsidRPr="005D36F1">
        <w:rPr>
          <w:rFonts w:ascii="Times New Roman" w:hAnsi="Times New Roman" w:cs="Times New Roman"/>
          <w:color w:val="000000" w:themeColor="text1"/>
          <w:sz w:val="28"/>
          <w:szCs w:val="28"/>
          <w:lang w:val="es-ES"/>
        </w:rPr>
        <w:t>,</w:t>
      </w:r>
      <w:r w:rsidRPr="005D36F1">
        <w:rPr>
          <w:rFonts w:ascii="Times New Roman" w:hAnsi="Times New Roman" w:cs="Times New Roman"/>
          <w:color w:val="000000" w:themeColor="text1"/>
          <w:sz w:val="28"/>
          <w:szCs w:val="28"/>
          <w:lang w:val="es-ES"/>
        </w:rPr>
        <w:t xml:space="preserve"> </w:t>
      </w:r>
      <w:r w:rsidRPr="005D36F1">
        <w:rPr>
          <w:rFonts w:ascii="Times New Roman" w:hAnsi="Times New Roman" w:cs="Times New Roman"/>
          <w:color w:val="000000" w:themeColor="text1"/>
          <w:sz w:val="28"/>
          <w:szCs w:val="28"/>
          <w:lang w:val="es-ES"/>
        </w:rPr>
        <w:t>así como</w:t>
      </w:r>
      <w:r w:rsidRPr="005D36F1">
        <w:rPr>
          <w:rFonts w:ascii="Times New Roman" w:hAnsi="Times New Roman" w:cs="Times New Roman"/>
          <w:color w:val="000000" w:themeColor="text1"/>
          <w:sz w:val="28"/>
          <w:szCs w:val="28"/>
          <w:lang w:val="es-ES"/>
        </w:rPr>
        <w:t xml:space="preserve"> su agresividad y mal carácter, </w:t>
      </w:r>
      <w:r w:rsidRPr="005D36F1">
        <w:rPr>
          <w:rFonts w:ascii="Times New Roman" w:hAnsi="Times New Roman" w:cs="Times New Roman"/>
          <w:color w:val="000000" w:themeColor="text1"/>
          <w:sz w:val="28"/>
          <w:szCs w:val="28"/>
          <w:lang w:val="es-ES"/>
        </w:rPr>
        <w:t xml:space="preserve">los cuales, </w:t>
      </w:r>
      <w:r w:rsidRPr="005D36F1">
        <w:rPr>
          <w:rFonts w:ascii="Times New Roman" w:hAnsi="Times New Roman" w:cs="Times New Roman"/>
          <w:color w:val="000000" w:themeColor="text1"/>
          <w:sz w:val="28"/>
          <w:szCs w:val="28"/>
          <w:lang w:val="es-ES"/>
        </w:rPr>
        <w:t>deterioraron</w:t>
      </w:r>
      <w:r w:rsidRPr="005D36F1">
        <w:rPr>
          <w:rFonts w:ascii="Times New Roman" w:hAnsi="Times New Roman" w:cs="Times New Roman"/>
          <w:color w:val="000000" w:themeColor="text1"/>
          <w:sz w:val="28"/>
          <w:szCs w:val="28"/>
          <w:lang w:val="es-ES"/>
        </w:rPr>
        <w:t xml:space="preserve"> la convivencia familiar, afectar</w:t>
      </w:r>
      <w:r w:rsidRPr="005D36F1">
        <w:rPr>
          <w:rFonts w:ascii="Times New Roman" w:hAnsi="Times New Roman" w:cs="Times New Roman"/>
          <w:color w:val="000000" w:themeColor="text1"/>
          <w:sz w:val="28"/>
          <w:szCs w:val="28"/>
          <w:lang w:val="es-ES"/>
        </w:rPr>
        <w:t>o</w:t>
      </w:r>
      <w:r w:rsidRPr="005D36F1">
        <w:rPr>
          <w:rFonts w:ascii="Times New Roman" w:hAnsi="Times New Roman" w:cs="Times New Roman"/>
          <w:color w:val="000000" w:themeColor="text1"/>
          <w:sz w:val="28"/>
          <w:szCs w:val="28"/>
          <w:lang w:val="es-ES"/>
        </w:rPr>
        <w:t xml:space="preserve">n los recursos económicos familiares y </w:t>
      </w:r>
      <w:r w:rsidRPr="005D36F1">
        <w:rPr>
          <w:rFonts w:ascii="Times New Roman" w:hAnsi="Times New Roman" w:cs="Times New Roman"/>
          <w:color w:val="000000" w:themeColor="text1"/>
          <w:sz w:val="28"/>
          <w:szCs w:val="28"/>
          <w:lang w:val="es-ES"/>
        </w:rPr>
        <w:t>dio</w:t>
      </w:r>
      <w:r w:rsidRPr="005D36F1">
        <w:rPr>
          <w:rFonts w:ascii="Times New Roman" w:hAnsi="Times New Roman" w:cs="Times New Roman"/>
          <w:color w:val="000000" w:themeColor="text1"/>
          <w:sz w:val="28"/>
          <w:szCs w:val="28"/>
          <w:lang w:val="es-ES"/>
        </w:rPr>
        <w:t xml:space="preserve"> mal ejemplo a los hijos.</w:t>
      </w:r>
    </w:p>
    <w:p w:rsidR="004B45A2" w:rsidRPr="005D36F1" w:rsidRDefault="005D36F1" w:rsidP="004B45A2">
      <w:pPr>
        <w:jc w:val="both"/>
        <w:rPr>
          <w:rFonts w:ascii="Times New Roman" w:hAnsi="Times New Roman" w:cs="Times New Roman"/>
          <w:color w:val="000000" w:themeColor="text1"/>
          <w:sz w:val="28"/>
          <w:szCs w:val="28"/>
          <w:lang w:val="es-ES"/>
        </w:rPr>
      </w:pPr>
    </w:p>
    <w:p w:rsidR="004B45A2" w:rsidRPr="005D36F1" w:rsidRDefault="005D36F1" w:rsidP="004B45A2">
      <w:pPr>
        <w:jc w:val="both"/>
        <w:rPr>
          <w:rFonts w:ascii="Times New Roman" w:hAnsi="Times New Roman" w:cs="Times New Roman"/>
          <w:color w:val="000000" w:themeColor="text1"/>
          <w:sz w:val="28"/>
          <w:szCs w:val="28"/>
          <w:lang w:val="es-ES"/>
        </w:rPr>
      </w:pPr>
      <w:r w:rsidRPr="005D36F1">
        <w:rPr>
          <w:rFonts w:ascii="Times New Roman" w:hAnsi="Times New Roman" w:cs="Times New Roman"/>
          <w:color w:val="000000" w:themeColor="text1"/>
          <w:sz w:val="28"/>
          <w:szCs w:val="28"/>
          <w:lang w:val="es-ES"/>
        </w:rPr>
        <w:t>La diferencia de pronunciarse o no sobre este asunto reca</w:t>
      </w:r>
      <w:r w:rsidRPr="005D36F1">
        <w:rPr>
          <w:rFonts w:ascii="Times New Roman" w:hAnsi="Times New Roman" w:cs="Times New Roman"/>
          <w:color w:val="000000" w:themeColor="text1"/>
          <w:sz w:val="28"/>
          <w:szCs w:val="28"/>
          <w:lang w:val="es-ES"/>
        </w:rPr>
        <w:t>ía</w:t>
      </w:r>
      <w:r w:rsidRPr="005D36F1">
        <w:rPr>
          <w:rFonts w:ascii="Times New Roman" w:hAnsi="Times New Roman" w:cs="Times New Roman"/>
          <w:color w:val="000000" w:themeColor="text1"/>
          <w:sz w:val="28"/>
          <w:szCs w:val="28"/>
          <w:lang w:val="es-ES"/>
        </w:rPr>
        <w:t xml:space="preserve"> en que no en vano, el titular de</w:t>
      </w:r>
      <w:r w:rsidRPr="005D36F1">
        <w:rPr>
          <w:rFonts w:ascii="Times New Roman" w:hAnsi="Times New Roman" w:cs="Times New Roman"/>
          <w:color w:val="000000" w:themeColor="text1"/>
          <w:sz w:val="28"/>
          <w:szCs w:val="28"/>
          <w:lang w:val="es-ES"/>
        </w:rPr>
        <w:t xml:space="preserve"> </w:t>
      </w:r>
      <w:r w:rsidRPr="005D36F1">
        <w:rPr>
          <w:rFonts w:ascii="Times New Roman" w:hAnsi="Times New Roman" w:cs="Times New Roman"/>
          <w:color w:val="000000" w:themeColor="text1"/>
          <w:sz w:val="28"/>
          <w:szCs w:val="28"/>
          <w:lang w:val="es-ES"/>
        </w:rPr>
        <w:t xml:space="preserve">la causal </w:t>
      </w:r>
      <w:r w:rsidRPr="005D36F1">
        <w:rPr>
          <w:rFonts w:ascii="Times New Roman" w:hAnsi="Times New Roman" w:cs="Times New Roman"/>
          <w:color w:val="000000" w:themeColor="text1"/>
          <w:sz w:val="28"/>
          <w:szCs w:val="28"/>
          <w:lang w:val="es-ES"/>
        </w:rPr>
        <w:t>condicionada</w:t>
      </w:r>
      <w:r w:rsidRPr="005D36F1">
        <w:rPr>
          <w:rFonts w:ascii="Times New Roman" w:hAnsi="Times New Roman" w:cs="Times New Roman"/>
          <w:color w:val="000000" w:themeColor="text1"/>
          <w:sz w:val="28"/>
          <w:szCs w:val="28"/>
          <w:lang w:val="es-ES"/>
        </w:rPr>
        <w:t>, precisamente, e</w:t>
      </w:r>
      <w:r w:rsidRPr="005D36F1">
        <w:rPr>
          <w:rFonts w:ascii="Times New Roman" w:hAnsi="Times New Roman" w:cs="Times New Roman"/>
          <w:color w:val="000000" w:themeColor="text1"/>
          <w:sz w:val="28"/>
          <w:szCs w:val="28"/>
          <w:lang w:val="es-ES"/>
        </w:rPr>
        <w:t>ra</w:t>
      </w:r>
      <w:r w:rsidRPr="005D36F1">
        <w:rPr>
          <w:rFonts w:ascii="Times New Roman" w:hAnsi="Times New Roman" w:cs="Times New Roman"/>
          <w:color w:val="000000" w:themeColor="text1"/>
          <w:sz w:val="28"/>
          <w:szCs w:val="28"/>
          <w:lang w:val="es-ES"/>
        </w:rPr>
        <w:t xml:space="preserve"> cónyuge no consumi</w:t>
      </w:r>
      <w:r w:rsidRPr="005D36F1">
        <w:rPr>
          <w:rFonts w:ascii="Times New Roman" w:hAnsi="Times New Roman" w:cs="Times New Roman"/>
          <w:color w:val="000000" w:themeColor="text1"/>
          <w:sz w:val="28"/>
          <w:szCs w:val="28"/>
          <w:lang w:val="es-ES"/>
        </w:rPr>
        <w:t xml:space="preserve">dor; quien </w:t>
      </w:r>
      <w:r w:rsidRPr="005D36F1">
        <w:rPr>
          <w:rFonts w:ascii="Times New Roman" w:hAnsi="Times New Roman" w:cs="Times New Roman"/>
          <w:color w:val="000000" w:themeColor="text1"/>
          <w:sz w:val="28"/>
          <w:szCs w:val="28"/>
          <w:lang w:val="es-ES"/>
        </w:rPr>
        <w:t>por lo general</w:t>
      </w:r>
      <w:r w:rsidRPr="005D36F1">
        <w:rPr>
          <w:rFonts w:ascii="Times New Roman" w:hAnsi="Times New Roman" w:cs="Times New Roman"/>
          <w:color w:val="000000" w:themeColor="text1"/>
          <w:sz w:val="28"/>
          <w:szCs w:val="28"/>
          <w:lang w:val="es-ES"/>
        </w:rPr>
        <w:t xml:space="preserve"> suele ser </w:t>
      </w:r>
      <w:r w:rsidRPr="005D36F1">
        <w:rPr>
          <w:rFonts w:ascii="Times New Roman" w:hAnsi="Times New Roman" w:cs="Times New Roman"/>
          <w:color w:val="000000" w:themeColor="text1"/>
          <w:sz w:val="28"/>
          <w:szCs w:val="28"/>
          <w:lang w:val="es-ES"/>
        </w:rPr>
        <w:t>una</w:t>
      </w:r>
      <w:r w:rsidRPr="005D36F1">
        <w:rPr>
          <w:rFonts w:ascii="Times New Roman" w:hAnsi="Times New Roman" w:cs="Times New Roman"/>
          <w:color w:val="000000" w:themeColor="text1"/>
          <w:sz w:val="28"/>
          <w:szCs w:val="28"/>
          <w:lang w:val="es-ES"/>
        </w:rPr>
        <w:t xml:space="preserve"> mujer. </w:t>
      </w:r>
      <w:r w:rsidRPr="005D36F1">
        <w:rPr>
          <w:rFonts w:ascii="Times New Roman" w:hAnsi="Times New Roman" w:cs="Times New Roman"/>
          <w:color w:val="000000" w:themeColor="text1"/>
          <w:sz w:val="28"/>
          <w:szCs w:val="28"/>
          <w:lang w:val="es-ES"/>
        </w:rPr>
        <w:t>Es decir, que</w:t>
      </w:r>
      <w:r w:rsidRPr="005D36F1">
        <w:rPr>
          <w:rFonts w:ascii="Times New Roman" w:hAnsi="Times New Roman" w:cs="Times New Roman"/>
          <w:color w:val="000000" w:themeColor="text1"/>
          <w:sz w:val="28"/>
          <w:szCs w:val="28"/>
          <w:lang w:val="es-ES"/>
        </w:rPr>
        <w:t xml:space="preserve"> a quien busca</w:t>
      </w:r>
      <w:r w:rsidRPr="005D36F1">
        <w:rPr>
          <w:rFonts w:ascii="Times New Roman" w:hAnsi="Times New Roman" w:cs="Times New Roman"/>
          <w:color w:val="000000" w:themeColor="text1"/>
          <w:sz w:val="28"/>
          <w:szCs w:val="28"/>
          <w:lang w:val="es-ES"/>
        </w:rPr>
        <w:t>ba</w:t>
      </w:r>
      <w:r w:rsidRPr="005D36F1">
        <w:rPr>
          <w:rFonts w:ascii="Times New Roman" w:hAnsi="Times New Roman" w:cs="Times New Roman"/>
          <w:color w:val="000000" w:themeColor="text1"/>
          <w:sz w:val="28"/>
          <w:szCs w:val="28"/>
          <w:lang w:val="es-ES"/>
        </w:rPr>
        <w:t xml:space="preserve"> salvaguardar es a un sujeto históricamente discriminado que</w:t>
      </w:r>
      <w:r w:rsidRPr="005D36F1">
        <w:rPr>
          <w:rFonts w:ascii="Times New Roman" w:hAnsi="Times New Roman" w:cs="Times New Roman"/>
          <w:color w:val="000000" w:themeColor="text1"/>
          <w:sz w:val="28"/>
          <w:szCs w:val="28"/>
          <w:lang w:val="es-ES"/>
        </w:rPr>
        <w:t>,</w:t>
      </w:r>
      <w:r w:rsidRPr="005D36F1">
        <w:rPr>
          <w:rFonts w:ascii="Times New Roman" w:hAnsi="Times New Roman" w:cs="Times New Roman"/>
          <w:color w:val="000000" w:themeColor="text1"/>
          <w:sz w:val="28"/>
          <w:szCs w:val="28"/>
          <w:lang w:val="es-ES"/>
        </w:rPr>
        <w:t xml:space="preserve"> por circunstancias diversas, no cuenta con </w:t>
      </w:r>
      <w:r w:rsidRPr="005D36F1">
        <w:rPr>
          <w:rFonts w:ascii="Times New Roman" w:hAnsi="Times New Roman" w:cs="Times New Roman"/>
          <w:color w:val="000000" w:themeColor="text1"/>
          <w:sz w:val="28"/>
          <w:szCs w:val="28"/>
          <w:lang w:val="es-ES"/>
        </w:rPr>
        <w:t>las mismas herramientas para acceder a la administración de justicia</w:t>
      </w:r>
      <w:r w:rsidRPr="005D36F1">
        <w:rPr>
          <w:rFonts w:ascii="Times New Roman" w:hAnsi="Times New Roman" w:cs="Times New Roman"/>
          <w:color w:val="000000" w:themeColor="text1"/>
          <w:sz w:val="28"/>
          <w:szCs w:val="28"/>
          <w:lang w:val="es-ES"/>
        </w:rPr>
        <w:t xml:space="preserve"> que</w:t>
      </w:r>
      <w:r w:rsidRPr="005D36F1">
        <w:rPr>
          <w:rFonts w:ascii="Times New Roman" w:hAnsi="Times New Roman" w:cs="Times New Roman"/>
          <w:color w:val="000000" w:themeColor="text1"/>
          <w:sz w:val="28"/>
          <w:szCs w:val="28"/>
          <w:lang w:val="es-ES"/>
        </w:rPr>
        <w:t>,</w:t>
      </w:r>
      <w:r w:rsidRPr="005D36F1">
        <w:rPr>
          <w:rFonts w:ascii="Times New Roman" w:hAnsi="Times New Roman" w:cs="Times New Roman"/>
          <w:color w:val="000000" w:themeColor="text1"/>
          <w:sz w:val="28"/>
          <w:szCs w:val="28"/>
          <w:lang w:val="es-ES"/>
        </w:rPr>
        <w:t xml:space="preserve"> </w:t>
      </w:r>
      <w:r w:rsidRPr="005D36F1">
        <w:rPr>
          <w:rFonts w:ascii="Times New Roman" w:hAnsi="Times New Roman" w:cs="Times New Roman"/>
          <w:color w:val="000000" w:themeColor="text1"/>
          <w:sz w:val="28"/>
          <w:szCs w:val="28"/>
          <w:lang w:val="es-ES"/>
        </w:rPr>
        <w:t>p</w:t>
      </w:r>
      <w:r w:rsidRPr="005D36F1">
        <w:rPr>
          <w:rFonts w:ascii="Times New Roman" w:hAnsi="Times New Roman" w:cs="Times New Roman"/>
          <w:color w:val="000000" w:themeColor="text1"/>
          <w:sz w:val="28"/>
          <w:szCs w:val="28"/>
          <w:lang w:val="es-ES"/>
        </w:rPr>
        <w:t xml:space="preserve">or ejemplo, los hombres. </w:t>
      </w:r>
      <w:r w:rsidRPr="005D36F1">
        <w:rPr>
          <w:rFonts w:ascii="Times New Roman" w:hAnsi="Times New Roman" w:cs="Times New Roman"/>
          <w:color w:val="000000" w:themeColor="text1"/>
          <w:sz w:val="28"/>
          <w:szCs w:val="28"/>
          <w:lang w:val="es-ES"/>
        </w:rPr>
        <w:t>En consecuencia, así la circunstancia que aqueja a una mujer encaje o no en otro supuesto normativo diferente al de la causal quinta objeto de análisis, o éste represente o no un hecho de violencia doméstica, ello no es un argument</w:t>
      </w:r>
      <w:r w:rsidRPr="005D36F1">
        <w:rPr>
          <w:rFonts w:ascii="Times New Roman" w:hAnsi="Times New Roman" w:cs="Times New Roman"/>
          <w:color w:val="000000" w:themeColor="text1"/>
          <w:sz w:val="28"/>
          <w:szCs w:val="28"/>
          <w:lang w:val="es-ES"/>
        </w:rPr>
        <w:t xml:space="preserve">o suficiente para </w:t>
      </w:r>
      <w:r w:rsidRPr="005D36F1">
        <w:rPr>
          <w:rFonts w:ascii="Times New Roman" w:hAnsi="Times New Roman" w:cs="Times New Roman"/>
          <w:color w:val="000000" w:themeColor="text1"/>
          <w:sz w:val="28"/>
          <w:szCs w:val="28"/>
          <w:lang w:val="es-ES"/>
        </w:rPr>
        <w:t>disminuir sus derechos</w:t>
      </w:r>
      <w:r w:rsidRPr="005D36F1">
        <w:rPr>
          <w:rFonts w:ascii="Times New Roman" w:hAnsi="Times New Roman" w:cs="Times New Roman"/>
          <w:color w:val="000000" w:themeColor="text1"/>
          <w:sz w:val="28"/>
          <w:szCs w:val="28"/>
          <w:lang w:val="es-ES"/>
        </w:rPr>
        <w:t xml:space="preserve"> o, en </w:t>
      </w:r>
      <w:r w:rsidRPr="005D36F1">
        <w:rPr>
          <w:rFonts w:ascii="Times New Roman" w:hAnsi="Times New Roman" w:cs="Times New Roman"/>
          <w:color w:val="000000" w:themeColor="text1"/>
          <w:sz w:val="28"/>
          <w:szCs w:val="28"/>
          <w:lang w:val="es-ES"/>
        </w:rPr>
        <w:t>todo caso</w:t>
      </w:r>
      <w:r w:rsidRPr="005D36F1">
        <w:rPr>
          <w:rFonts w:ascii="Times New Roman" w:hAnsi="Times New Roman" w:cs="Times New Roman"/>
          <w:color w:val="000000" w:themeColor="text1"/>
          <w:sz w:val="28"/>
          <w:szCs w:val="28"/>
          <w:lang w:val="es-ES"/>
        </w:rPr>
        <w:t xml:space="preserve">, condicionarlos. Pues bien, lo cierto es que la lucha contra la discriminación hacia las mujeres debería venir acompañada del mayor número de medidas para que las mujeres puedan gozar efectivamente </w:t>
      </w:r>
      <w:r w:rsidRPr="005D36F1">
        <w:rPr>
          <w:rFonts w:ascii="Times New Roman" w:hAnsi="Times New Roman" w:cs="Times New Roman"/>
          <w:color w:val="000000" w:themeColor="text1"/>
          <w:sz w:val="28"/>
          <w:szCs w:val="28"/>
          <w:lang w:val="es-ES"/>
        </w:rPr>
        <w:t>de sus derechos fundamentales</w:t>
      </w:r>
      <w:r w:rsidRPr="005D36F1">
        <w:rPr>
          <w:rFonts w:ascii="Times New Roman" w:hAnsi="Times New Roman" w:cs="Times New Roman"/>
          <w:color w:val="000000" w:themeColor="text1"/>
          <w:sz w:val="28"/>
          <w:szCs w:val="28"/>
          <w:lang w:val="es-ES"/>
        </w:rPr>
        <w:t>, en forma de las denominadas acciones afirmativas previstas en el artículo 13 de la Constitución.</w:t>
      </w:r>
    </w:p>
    <w:p w:rsidR="004B45A2" w:rsidRPr="005D36F1" w:rsidRDefault="005D36F1" w:rsidP="004B45A2">
      <w:pPr>
        <w:jc w:val="both"/>
        <w:rPr>
          <w:rFonts w:ascii="Times New Roman" w:hAnsi="Times New Roman" w:cs="Times New Roman"/>
          <w:color w:val="000000" w:themeColor="text1"/>
          <w:sz w:val="28"/>
          <w:szCs w:val="28"/>
          <w:lang w:val="es-ES"/>
        </w:rPr>
      </w:pPr>
    </w:p>
    <w:p w:rsidR="00D86727" w:rsidRPr="005D36F1" w:rsidRDefault="005D36F1" w:rsidP="00D86727">
      <w:pPr>
        <w:tabs>
          <w:tab w:val="center" w:pos="3611"/>
        </w:tabs>
        <w:jc w:val="both"/>
        <w:rPr>
          <w:rFonts w:ascii="Times New Roman" w:hAnsi="Times New Roman" w:cs="Times New Roman"/>
          <w:color w:val="000000" w:themeColor="text1"/>
          <w:sz w:val="28"/>
          <w:szCs w:val="28"/>
          <w:lang w:val="es-ES"/>
        </w:rPr>
      </w:pPr>
      <w:r w:rsidRPr="005D36F1">
        <w:rPr>
          <w:rFonts w:ascii="Times New Roman" w:hAnsi="Times New Roman" w:cs="Times New Roman"/>
          <w:b/>
          <w:bCs/>
          <w:color w:val="000000" w:themeColor="text1"/>
          <w:sz w:val="28"/>
          <w:szCs w:val="28"/>
          <w:lang w:val="es-ES"/>
        </w:rPr>
        <w:t>Tercer</w:t>
      </w:r>
      <w:r w:rsidRPr="005D36F1">
        <w:rPr>
          <w:rFonts w:ascii="Times New Roman" w:hAnsi="Times New Roman" w:cs="Times New Roman"/>
          <w:b/>
          <w:bCs/>
          <w:color w:val="000000" w:themeColor="text1"/>
          <w:sz w:val="28"/>
          <w:szCs w:val="28"/>
          <w:lang w:val="es-ES"/>
        </w:rPr>
        <w:t>a</w:t>
      </w:r>
      <w:r w:rsidRPr="005D36F1">
        <w:rPr>
          <w:rFonts w:ascii="Times New Roman" w:hAnsi="Times New Roman" w:cs="Times New Roman"/>
          <w:b/>
          <w:bCs/>
          <w:color w:val="000000" w:themeColor="text1"/>
          <w:sz w:val="28"/>
          <w:szCs w:val="28"/>
          <w:lang w:val="es-ES"/>
        </w:rPr>
        <w:t>,</w:t>
      </w:r>
      <w:r w:rsidRPr="005D36F1">
        <w:rPr>
          <w:rFonts w:ascii="Times New Roman" w:hAnsi="Times New Roman" w:cs="Times New Roman"/>
          <w:color w:val="000000" w:themeColor="text1"/>
          <w:sz w:val="28"/>
          <w:szCs w:val="28"/>
          <w:lang w:val="es-ES"/>
        </w:rPr>
        <w:t xml:space="preserve"> </w:t>
      </w:r>
      <w:r w:rsidRPr="005D36F1">
        <w:rPr>
          <w:rFonts w:ascii="Times New Roman" w:hAnsi="Times New Roman" w:cs="Times New Roman"/>
          <w:color w:val="000000" w:themeColor="text1"/>
          <w:sz w:val="28"/>
          <w:szCs w:val="28"/>
          <w:lang w:val="es-ES"/>
        </w:rPr>
        <w:t>no comparto la afirmación de que no existe evidencia científica que corrobore una relación entre el consumo de sustanc</w:t>
      </w:r>
      <w:r w:rsidRPr="005D36F1">
        <w:rPr>
          <w:rFonts w:ascii="Times New Roman" w:hAnsi="Times New Roman" w:cs="Times New Roman"/>
          <w:color w:val="000000" w:themeColor="text1"/>
          <w:sz w:val="28"/>
          <w:szCs w:val="28"/>
          <w:lang w:val="es-ES"/>
        </w:rPr>
        <w:t xml:space="preserve">ias psicoactivas y la violencia doméstica. </w:t>
      </w:r>
      <w:r w:rsidRPr="005D36F1">
        <w:rPr>
          <w:rFonts w:ascii="Times New Roman" w:hAnsi="Times New Roman" w:cs="Times New Roman"/>
          <w:color w:val="000000" w:themeColor="text1"/>
          <w:sz w:val="28"/>
          <w:szCs w:val="28"/>
          <w:lang w:val="es-ES"/>
        </w:rPr>
        <w:t xml:space="preserve">De los mencionados estudios se concluye lo siguiente: </w:t>
      </w:r>
      <w:r w:rsidRPr="005D36F1">
        <w:rPr>
          <w:rFonts w:ascii="Times New Roman" w:hAnsi="Times New Roman" w:cs="Times New Roman"/>
          <w:i/>
          <w:iCs/>
          <w:color w:val="000000" w:themeColor="text1"/>
          <w:sz w:val="28"/>
          <w:szCs w:val="28"/>
          <w:lang w:val="es-ES"/>
        </w:rPr>
        <w:t xml:space="preserve">(i) </w:t>
      </w:r>
      <w:r w:rsidRPr="005D36F1">
        <w:rPr>
          <w:rFonts w:ascii="Times New Roman" w:hAnsi="Times New Roman" w:cs="Times New Roman"/>
          <w:color w:val="000000" w:themeColor="text1"/>
          <w:sz w:val="28"/>
          <w:szCs w:val="28"/>
          <w:lang w:val="es-ES"/>
        </w:rPr>
        <w:t xml:space="preserve">hay mayores probabilidades de que las mujeres sean víctimas de agresión si su pareja consume alcohol u otra sustancia psicoactiva; </w:t>
      </w:r>
      <w:r w:rsidRPr="005D36F1">
        <w:rPr>
          <w:rFonts w:ascii="Times New Roman" w:hAnsi="Times New Roman" w:cs="Times New Roman"/>
          <w:i/>
          <w:iCs/>
          <w:color w:val="000000" w:themeColor="text1"/>
          <w:sz w:val="28"/>
          <w:szCs w:val="28"/>
          <w:lang w:val="es-ES"/>
        </w:rPr>
        <w:t xml:space="preserve">(ii) </w:t>
      </w:r>
      <w:r w:rsidRPr="005D36F1">
        <w:rPr>
          <w:rFonts w:ascii="Times New Roman" w:hAnsi="Times New Roman" w:cs="Times New Roman"/>
          <w:color w:val="000000" w:themeColor="text1"/>
          <w:sz w:val="28"/>
          <w:szCs w:val="28"/>
          <w:lang w:val="es-ES"/>
        </w:rPr>
        <w:t xml:space="preserve">no hay un patrón claro entre la agresión y la frecuencia en el consumo y </w:t>
      </w:r>
      <w:r w:rsidRPr="005D36F1">
        <w:rPr>
          <w:rFonts w:ascii="Times New Roman" w:hAnsi="Times New Roman" w:cs="Times New Roman"/>
          <w:i/>
          <w:iCs/>
          <w:color w:val="000000" w:themeColor="text1"/>
          <w:sz w:val="28"/>
          <w:szCs w:val="28"/>
          <w:lang w:val="es-ES"/>
        </w:rPr>
        <w:t xml:space="preserve">(iii) </w:t>
      </w:r>
      <w:r w:rsidRPr="005D36F1">
        <w:rPr>
          <w:rFonts w:ascii="Times New Roman" w:hAnsi="Times New Roman" w:cs="Times New Roman"/>
          <w:color w:val="000000" w:themeColor="text1"/>
          <w:sz w:val="28"/>
          <w:szCs w:val="28"/>
          <w:lang w:val="es-ES"/>
        </w:rPr>
        <w:t xml:space="preserve">el consumo también tiene incidencia en las agresiones verbales y en el comportamiento de los padres para con sus hijos. </w:t>
      </w:r>
    </w:p>
    <w:p w:rsidR="00252675" w:rsidRPr="005D36F1" w:rsidRDefault="005D36F1" w:rsidP="004B45A2">
      <w:pPr>
        <w:jc w:val="both"/>
        <w:rPr>
          <w:rFonts w:ascii="Times New Roman" w:hAnsi="Times New Roman" w:cs="Times New Roman"/>
          <w:color w:val="000000" w:themeColor="text1"/>
          <w:sz w:val="28"/>
          <w:szCs w:val="28"/>
          <w:lang w:val="es-ES"/>
        </w:rPr>
      </w:pPr>
    </w:p>
    <w:p w:rsidR="005662ED" w:rsidRPr="005D36F1" w:rsidRDefault="005D36F1" w:rsidP="003377A4">
      <w:pPr>
        <w:jc w:val="both"/>
        <w:rPr>
          <w:rFonts w:ascii="Times New Roman" w:hAnsi="Times New Roman" w:cs="Times New Roman"/>
          <w:color w:val="000000" w:themeColor="text1"/>
          <w:sz w:val="28"/>
          <w:szCs w:val="28"/>
          <w:lang w:val="es-ES"/>
        </w:rPr>
      </w:pPr>
      <w:r w:rsidRPr="005D36F1">
        <w:rPr>
          <w:rFonts w:ascii="Times New Roman" w:hAnsi="Times New Roman" w:cs="Times New Roman"/>
          <w:color w:val="000000" w:themeColor="text1"/>
          <w:sz w:val="28"/>
          <w:szCs w:val="28"/>
          <w:lang w:val="es-ES"/>
        </w:rPr>
        <w:t xml:space="preserve">Estos hallazgos permiten </w:t>
      </w:r>
      <w:r w:rsidRPr="005D36F1">
        <w:rPr>
          <w:rFonts w:ascii="Times New Roman" w:hAnsi="Times New Roman" w:cs="Times New Roman"/>
          <w:color w:val="000000" w:themeColor="text1"/>
          <w:sz w:val="28"/>
          <w:szCs w:val="28"/>
          <w:lang w:val="es-ES"/>
        </w:rPr>
        <w:t>colegir</w:t>
      </w:r>
      <w:r w:rsidRPr="005D36F1">
        <w:rPr>
          <w:rFonts w:ascii="Times New Roman" w:hAnsi="Times New Roman" w:cs="Times New Roman"/>
          <w:color w:val="000000" w:themeColor="text1"/>
          <w:sz w:val="28"/>
          <w:szCs w:val="28"/>
          <w:lang w:val="es-ES"/>
        </w:rPr>
        <w:t xml:space="preserve"> que las investigacione</w:t>
      </w:r>
      <w:r w:rsidRPr="005D36F1">
        <w:rPr>
          <w:rFonts w:ascii="Times New Roman" w:hAnsi="Times New Roman" w:cs="Times New Roman"/>
          <w:color w:val="000000" w:themeColor="text1"/>
          <w:sz w:val="28"/>
          <w:szCs w:val="28"/>
          <w:lang w:val="es-ES"/>
        </w:rPr>
        <w:t xml:space="preserve">s sobre la conexidad entre el consumo de alcohol y sustancias psicoactivas y el ejercicio de la violencia doméstica no son del todo uniformes. </w:t>
      </w:r>
      <w:r w:rsidRPr="005D36F1">
        <w:rPr>
          <w:rFonts w:ascii="Times New Roman" w:hAnsi="Times New Roman" w:cs="Times New Roman"/>
          <w:color w:val="000000" w:themeColor="text1"/>
          <w:sz w:val="28"/>
          <w:szCs w:val="28"/>
          <w:lang w:val="es-ES"/>
        </w:rPr>
        <w:t>A esa incertidumbre se le suma el hecho de que en la mayoría de las situaciones, cuando la violencia de género no</w:t>
      </w:r>
      <w:r w:rsidRPr="005D36F1">
        <w:rPr>
          <w:rFonts w:ascii="Times New Roman" w:hAnsi="Times New Roman" w:cs="Times New Roman"/>
          <w:color w:val="000000" w:themeColor="text1"/>
          <w:sz w:val="28"/>
          <w:szCs w:val="28"/>
          <w:lang w:val="es-ES"/>
        </w:rPr>
        <w:t xml:space="preserve"> viene acompañada de golpes físicos, es difícil probarla. Máxime, cuando entre los estereotipos de género en la actividad judicial se encuentra, por ejemplo, el de </w:t>
      </w:r>
      <w:r w:rsidRPr="005D36F1">
        <w:rPr>
          <w:rFonts w:ascii="Times New Roman" w:hAnsi="Times New Roman" w:cs="Times New Roman"/>
          <w:i/>
          <w:iCs/>
          <w:color w:val="000000" w:themeColor="text1"/>
          <w:sz w:val="28"/>
          <w:szCs w:val="28"/>
          <w:lang w:val="es-ES"/>
        </w:rPr>
        <w:t>“analiza</w:t>
      </w:r>
      <w:r w:rsidRPr="005D36F1">
        <w:rPr>
          <w:rFonts w:ascii="Times New Roman" w:hAnsi="Times New Roman" w:cs="Times New Roman"/>
          <w:color w:val="000000" w:themeColor="text1"/>
          <w:sz w:val="28"/>
          <w:szCs w:val="28"/>
          <w:lang w:val="es-ES"/>
        </w:rPr>
        <w:t>[r]</w:t>
      </w:r>
      <w:r w:rsidRPr="005D36F1">
        <w:rPr>
          <w:rFonts w:ascii="Times New Roman" w:hAnsi="Times New Roman" w:cs="Times New Roman"/>
          <w:i/>
          <w:iCs/>
          <w:color w:val="000000" w:themeColor="text1"/>
          <w:sz w:val="28"/>
          <w:szCs w:val="28"/>
          <w:lang w:val="es-ES"/>
        </w:rPr>
        <w:t xml:space="preserve"> la versión de la mujer bajo el prejuicio de que la denuncia tiene como objetivo </w:t>
      </w:r>
      <w:r w:rsidRPr="005D36F1">
        <w:rPr>
          <w:rFonts w:ascii="Times New Roman" w:hAnsi="Times New Roman" w:cs="Times New Roman"/>
          <w:i/>
          <w:iCs/>
          <w:color w:val="000000" w:themeColor="text1"/>
          <w:sz w:val="28"/>
          <w:szCs w:val="28"/>
          <w:lang w:val="es-ES"/>
        </w:rPr>
        <w:t>resultar vencedoras en el juicio de divorcio u obtener venganza, o que ha deformado los hechos, exagerando su magnitud</w:t>
      </w:r>
      <w:r w:rsidRPr="005D36F1">
        <w:rPr>
          <w:rFonts w:ascii="Times New Roman" w:hAnsi="Times New Roman" w:cs="Times New Roman"/>
          <w:i/>
          <w:iCs/>
          <w:color w:val="000000" w:themeColor="text1"/>
          <w:sz w:val="28"/>
          <w:szCs w:val="28"/>
          <w:lang w:val="es-ES"/>
        </w:rPr>
        <w:t>,</w:t>
      </w:r>
      <w:r w:rsidRPr="005D36F1">
        <w:rPr>
          <w:rFonts w:ascii="Times New Roman" w:hAnsi="Times New Roman" w:cs="Times New Roman"/>
          <w:i/>
          <w:iCs/>
          <w:color w:val="000000" w:themeColor="text1"/>
          <w:sz w:val="28"/>
          <w:szCs w:val="28"/>
          <w:lang w:val="es-ES"/>
        </w:rPr>
        <w:t>”</w:t>
      </w:r>
      <w:r w:rsidRPr="005D36F1">
        <w:rPr>
          <w:rFonts w:ascii="Times New Roman" w:hAnsi="Times New Roman" w:cs="Times New Roman"/>
          <w:i/>
          <w:iCs/>
          <w:color w:val="000000" w:themeColor="text1"/>
          <w:sz w:val="28"/>
          <w:szCs w:val="28"/>
          <w:vertAlign w:val="superscript"/>
          <w:lang w:val="es-ES"/>
        </w:rPr>
        <w:footnoteReference w:id="197"/>
      </w:r>
      <w:r w:rsidRPr="005D36F1">
        <w:rPr>
          <w:rFonts w:ascii="Times New Roman" w:hAnsi="Times New Roman" w:cs="Times New Roman"/>
          <w:i/>
          <w:iCs/>
          <w:color w:val="000000" w:themeColor="text1"/>
          <w:sz w:val="28"/>
          <w:szCs w:val="28"/>
          <w:lang w:val="es-ES"/>
        </w:rPr>
        <w:t xml:space="preserve"> </w:t>
      </w:r>
      <w:r w:rsidRPr="005D36F1">
        <w:rPr>
          <w:rFonts w:ascii="Times New Roman" w:hAnsi="Times New Roman" w:cs="Times New Roman"/>
          <w:color w:val="000000" w:themeColor="text1"/>
          <w:sz w:val="28"/>
          <w:szCs w:val="28"/>
          <w:lang w:val="es-ES"/>
        </w:rPr>
        <w:t xml:space="preserve">el cual puede hacerse visible ante </w:t>
      </w:r>
      <w:r w:rsidRPr="005D36F1">
        <w:rPr>
          <w:rFonts w:ascii="Times New Roman" w:hAnsi="Times New Roman" w:cs="Times New Roman"/>
          <w:color w:val="000000" w:themeColor="text1"/>
          <w:sz w:val="28"/>
          <w:szCs w:val="28"/>
          <w:lang w:val="es-ES"/>
        </w:rPr>
        <w:t>el ejercicio</w:t>
      </w:r>
      <w:r w:rsidRPr="005D36F1">
        <w:rPr>
          <w:rFonts w:ascii="Times New Roman" w:hAnsi="Times New Roman" w:cs="Times New Roman"/>
          <w:color w:val="000000" w:themeColor="text1"/>
          <w:sz w:val="28"/>
          <w:szCs w:val="28"/>
          <w:lang w:val="es-ES"/>
        </w:rPr>
        <w:t xml:space="preserve"> de cualquiera de las causales de divorcio.</w:t>
      </w:r>
      <w:r w:rsidRPr="005D36F1">
        <w:rPr>
          <w:rFonts w:ascii="Times New Roman" w:hAnsi="Times New Roman" w:cs="Times New Roman"/>
          <w:i/>
          <w:iCs/>
          <w:color w:val="000000" w:themeColor="text1"/>
          <w:sz w:val="28"/>
          <w:szCs w:val="28"/>
          <w:lang w:val="es-ES"/>
        </w:rPr>
        <w:t xml:space="preserve"> </w:t>
      </w:r>
      <w:r w:rsidRPr="005D36F1">
        <w:rPr>
          <w:rFonts w:ascii="Times New Roman" w:hAnsi="Times New Roman" w:cs="Times New Roman"/>
          <w:color w:val="000000" w:themeColor="text1"/>
          <w:sz w:val="28"/>
          <w:szCs w:val="28"/>
          <w:lang w:val="es-ES"/>
        </w:rPr>
        <w:t xml:space="preserve">En suma, la afirmación de la sentencia debía </w:t>
      </w:r>
      <w:r w:rsidRPr="005D36F1">
        <w:rPr>
          <w:rFonts w:ascii="Times New Roman" w:hAnsi="Times New Roman" w:cs="Times New Roman"/>
          <w:color w:val="000000" w:themeColor="text1"/>
          <w:sz w:val="28"/>
          <w:szCs w:val="28"/>
          <w:lang w:val="es-ES"/>
        </w:rPr>
        <w:t>analizarse</w:t>
      </w:r>
      <w:r w:rsidRPr="005D36F1">
        <w:rPr>
          <w:rFonts w:ascii="Times New Roman" w:hAnsi="Times New Roman" w:cs="Times New Roman"/>
          <w:color w:val="000000" w:themeColor="text1"/>
          <w:sz w:val="28"/>
          <w:szCs w:val="28"/>
          <w:lang w:val="es-ES"/>
        </w:rPr>
        <w:t xml:space="preserve"> en consideración de los elementos en precedencia. </w:t>
      </w:r>
    </w:p>
    <w:p w:rsidR="00EC5E46" w:rsidRPr="005D36F1" w:rsidRDefault="005D36F1" w:rsidP="003377A4">
      <w:pPr>
        <w:jc w:val="both"/>
        <w:rPr>
          <w:rFonts w:ascii="Times New Roman" w:hAnsi="Times New Roman" w:cs="Times New Roman"/>
          <w:color w:val="000000" w:themeColor="text1"/>
          <w:sz w:val="28"/>
          <w:szCs w:val="28"/>
          <w:lang w:val="es-ES"/>
        </w:rPr>
      </w:pPr>
    </w:p>
    <w:p w:rsidR="003377A4" w:rsidRPr="005D36F1" w:rsidRDefault="005D36F1" w:rsidP="00381166">
      <w:pPr>
        <w:jc w:val="both"/>
        <w:rPr>
          <w:rFonts w:ascii="Times New Roman" w:hAnsi="Times New Roman" w:cs="Times New Roman"/>
          <w:b/>
          <w:bCs/>
          <w:i/>
          <w:iCs/>
          <w:sz w:val="28"/>
          <w:szCs w:val="28"/>
          <w:u w:val="single"/>
          <w:lang w:val="es-ES"/>
        </w:rPr>
      </w:pPr>
    </w:p>
    <w:p w:rsidR="00AE3BB6" w:rsidRPr="005D36F1" w:rsidRDefault="005D36F1" w:rsidP="00381166">
      <w:pPr>
        <w:jc w:val="both"/>
        <w:rPr>
          <w:rFonts w:ascii="Times New Roman" w:hAnsi="Times New Roman" w:cs="Times New Roman"/>
          <w:b/>
          <w:bCs/>
          <w:i/>
          <w:iCs/>
          <w:sz w:val="28"/>
          <w:szCs w:val="28"/>
          <w:u w:val="single"/>
          <w:lang w:val="es-ES"/>
        </w:rPr>
      </w:pPr>
    </w:p>
    <w:p w:rsidR="00381166" w:rsidRPr="005D36F1" w:rsidRDefault="005D36F1" w:rsidP="00381166">
      <w:pPr>
        <w:pStyle w:val="Prrafodelista"/>
        <w:numPr>
          <w:ilvl w:val="0"/>
          <w:numId w:val="7"/>
        </w:numPr>
        <w:jc w:val="both"/>
        <w:rPr>
          <w:rFonts w:ascii="Times New Roman" w:hAnsi="Times New Roman" w:cs="Times New Roman"/>
          <w:sz w:val="28"/>
          <w:szCs w:val="28"/>
          <w:lang w:val="es-ES"/>
        </w:rPr>
      </w:pPr>
      <w:r w:rsidRPr="005D36F1">
        <w:rPr>
          <w:rFonts w:ascii="Times New Roman" w:hAnsi="Times New Roman" w:cs="Times New Roman"/>
          <w:b/>
          <w:bCs/>
          <w:i/>
          <w:iCs/>
          <w:sz w:val="28"/>
          <w:szCs w:val="28"/>
          <w:u w:val="single"/>
          <w:lang w:val="es-ES"/>
        </w:rPr>
        <w:t xml:space="preserve">El cónyuge no consumidor tiene derecho </w:t>
      </w:r>
      <w:r w:rsidRPr="005D36F1">
        <w:rPr>
          <w:rFonts w:ascii="Times New Roman" w:hAnsi="Times New Roman" w:cs="Times New Roman"/>
          <w:b/>
          <w:bCs/>
          <w:i/>
          <w:iCs/>
          <w:sz w:val="28"/>
          <w:szCs w:val="28"/>
          <w:u w:val="single"/>
          <w:lang w:val="es-ES"/>
        </w:rPr>
        <w:t>a que se le preserve su derecho a conformar una familia</w:t>
      </w:r>
    </w:p>
    <w:p w:rsidR="00381166" w:rsidRPr="005D36F1" w:rsidRDefault="005D36F1" w:rsidP="00381166">
      <w:pPr>
        <w:jc w:val="both"/>
        <w:rPr>
          <w:rFonts w:ascii="Times New Roman" w:hAnsi="Times New Roman" w:cs="Times New Roman"/>
          <w:sz w:val="28"/>
          <w:szCs w:val="28"/>
          <w:lang w:val="es-ES"/>
        </w:rPr>
      </w:pPr>
    </w:p>
    <w:p w:rsidR="007460E9" w:rsidRPr="005D36F1" w:rsidRDefault="005D36F1" w:rsidP="00381166">
      <w:pPr>
        <w:jc w:val="both"/>
        <w:rPr>
          <w:rFonts w:ascii="Times New Roman" w:hAnsi="Times New Roman" w:cs="Times New Roman"/>
          <w:sz w:val="28"/>
          <w:szCs w:val="28"/>
          <w:lang w:val="es-ES"/>
        </w:rPr>
      </w:pPr>
      <w:r w:rsidRPr="005D36F1">
        <w:rPr>
          <w:rFonts w:ascii="Times New Roman" w:hAnsi="Times New Roman" w:cs="Times New Roman"/>
          <w:sz w:val="28"/>
          <w:szCs w:val="28"/>
          <w:lang w:val="es-ES"/>
        </w:rPr>
        <w:t xml:space="preserve">Creo </w:t>
      </w:r>
      <w:r w:rsidRPr="005D36F1">
        <w:rPr>
          <w:rFonts w:ascii="Times New Roman" w:hAnsi="Times New Roman" w:cs="Times New Roman"/>
          <w:sz w:val="28"/>
          <w:szCs w:val="28"/>
          <w:lang w:val="es-ES"/>
        </w:rPr>
        <w:t xml:space="preserve">firmemente que la decisión del cónyuge de consumir habitualmente cualquier tipo de sustancia psicoactiva, sea marihuana recreacional, fentanilo, cocaína, heroína, metanfetaminas, éxtasis, tusi u otra sustancia alucinógena o estupefaciente, </w:t>
      </w:r>
      <w:r w:rsidRPr="005D36F1">
        <w:rPr>
          <w:rFonts w:ascii="Times New Roman" w:hAnsi="Times New Roman" w:cs="Times New Roman"/>
          <w:sz w:val="28"/>
          <w:szCs w:val="28"/>
          <w:lang w:val="es-ES"/>
        </w:rPr>
        <w:t>tiene un impacto</w:t>
      </w:r>
      <w:r w:rsidRPr="005D36F1">
        <w:rPr>
          <w:rFonts w:ascii="Times New Roman" w:hAnsi="Times New Roman" w:cs="Times New Roman"/>
          <w:sz w:val="28"/>
          <w:szCs w:val="28"/>
          <w:lang w:val="es-ES"/>
        </w:rPr>
        <w:t xml:space="preserve"> directo en el plan de vida del otro cónyuge, así como en los hijos habidos dentro de la relación</w:t>
      </w:r>
      <w:r w:rsidRPr="005D36F1">
        <w:rPr>
          <w:rFonts w:ascii="Times New Roman" w:hAnsi="Times New Roman" w:cs="Times New Roman"/>
          <w:sz w:val="28"/>
          <w:szCs w:val="28"/>
          <w:lang w:val="es-ES"/>
        </w:rPr>
        <w:t>.</w:t>
      </w:r>
      <w:r w:rsidRPr="005D36F1">
        <w:rPr>
          <w:rFonts w:ascii="Times New Roman" w:hAnsi="Times New Roman" w:cs="Times New Roman"/>
          <w:sz w:val="28"/>
          <w:szCs w:val="28"/>
          <w:lang w:val="es-ES"/>
        </w:rPr>
        <w:t xml:space="preserve"> Esto ameritaba un pronunciamiento a profundidad por cuenta del Pleno, sobre todo, en procura de la garantía del derecho fundamental del cónyuge no consumidor</w:t>
      </w:r>
      <w:r w:rsidRPr="005D36F1">
        <w:rPr>
          <w:rFonts w:ascii="Times New Roman" w:hAnsi="Times New Roman" w:cs="Times New Roman"/>
          <w:sz w:val="28"/>
          <w:szCs w:val="28"/>
          <w:lang w:val="es-ES"/>
        </w:rPr>
        <w:t xml:space="preserve"> de conformar una familia, tal como lo establece el artículo 42 de la Constitución</w:t>
      </w:r>
      <w:r w:rsidRPr="005D36F1">
        <w:rPr>
          <w:rFonts w:ascii="Times New Roman" w:hAnsi="Times New Roman" w:cs="Times New Roman"/>
          <w:sz w:val="28"/>
          <w:szCs w:val="28"/>
          <w:lang w:val="es-ES"/>
        </w:rPr>
        <w:t xml:space="preserve"> y de los mismos niños, niñas y adolescentes en el marco del artículo 44 también de la Constitución.</w:t>
      </w:r>
    </w:p>
    <w:p w:rsidR="009311DA" w:rsidRPr="005D36F1" w:rsidRDefault="005D36F1" w:rsidP="00381166">
      <w:pPr>
        <w:jc w:val="both"/>
        <w:rPr>
          <w:rFonts w:ascii="Times New Roman" w:hAnsi="Times New Roman" w:cs="Times New Roman"/>
          <w:sz w:val="28"/>
          <w:szCs w:val="28"/>
          <w:lang w:val="es-ES"/>
        </w:rPr>
      </w:pPr>
    </w:p>
    <w:p w:rsidR="009311DA" w:rsidRPr="005D36F1" w:rsidRDefault="005D36F1" w:rsidP="00DD5213">
      <w:pPr>
        <w:tabs>
          <w:tab w:val="center" w:pos="3611"/>
        </w:tabs>
        <w:jc w:val="both"/>
        <w:rPr>
          <w:rFonts w:ascii="Times New Roman" w:hAnsi="Times New Roman" w:cs="Times New Roman"/>
          <w:color w:val="000000" w:themeColor="text1"/>
          <w:sz w:val="28"/>
          <w:szCs w:val="28"/>
          <w:lang w:val="es-ES"/>
        </w:rPr>
      </w:pPr>
      <w:r w:rsidRPr="005D36F1">
        <w:rPr>
          <w:rFonts w:ascii="Times New Roman" w:hAnsi="Times New Roman" w:cs="Times New Roman"/>
          <w:color w:val="000000" w:themeColor="text1"/>
          <w:sz w:val="28"/>
          <w:szCs w:val="28"/>
          <w:lang w:val="es-ES"/>
        </w:rPr>
        <w:t xml:space="preserve">La existencia de la causal quinta </w:t>
      </w:r>
      <w:r w:rsidRPr="005D36F1">
        <w:rPr>
          <w:rFonts w:ascii="Times New Roman" w:hAnsi="Times New Roman" w:cs="Times New Roman"/>
          <w:color w:val="000000" w:themeColor="text1"/>
          <w:sz w:val="28"/>
          <w:szCs w:val="28"/>
          <w:lang w:val="es-ES"/>
        </w:rPr>
        <w:t>antes de su condicionamiento</w:t>
      </w:r>
      <w:r w:rsidRPr="005D36F1">
        <w:rPr>
          <w:rFonts w:ascii="Times New Roman" w:hAnsi="Times New Roman" w:cs="Times New Roman"/>
          <w:color w:val="000000" w:themeColor="text1"/>
          <w:sz w:val="28"/>
          <w:szCs w:val="28"/>
          <w:lang w:val="es-ES"/>
        </w:rPr>
        <w:t xml:space="preserve"> le permit</w:t>
      </w:r>
      <w:r w:rsidRPr="005D36F1">
        <w:rPr>
          <w:rFonts w:ascii="Times New Roman" w:hAnsi="Times New Roman" w:cs="Times New Roman"/>
          <w:color w:val="000000" w:themeColor="text1"/>
          <w:sz w:val="28"/>
          <w:szCs w:val="28"/>
          <w:lang w:val="es-ES"/>
        </w:rPr>
        <w:t>ía</w:t>
      </w:r>
      <w:r w:rsidRPr="005D36F1">
        <w:rPr>
          <w:rFonts w:ascii="Times New Roman" w:hAnsi="Times New Roman" w:cs="Times New Roman"/>
          <w:color w:val="000000" w:themeColor="text1"/>
          <w:sz w:val="28"/>
          <w:szCs w:val="28"/>
          <w:lang w:val="es-ES"/>
        </w:rPr>
        <w:t xml:space="preserve"> al cónyuge no consumidor -sea hombre o mujer- divorciarse de la pareja que con el consumo habitual le est</w:t>
      </w:r>
      <w:r w:rsidRPr="005D36F1">
        <w:rPr>
          <w:rFonts w:ascii="Times New Roman" w:hAnsi="Times New Roman" w:cs="Times New Roman"/>
          <w:color w:val="000000" w:themeColor="text1"/>
          <w:sz w:val="28"/>
          <w:szCs w:val="28"/>
          <w:lang w:val="es-ES"/>
        </w:rPr>
        <w:t>aba</w:t>
      </w:r>
      <w:r w:rsidRPr="005D36F1">
        <w:rPr>
          <w:rFonts w:ascii="Times New Roman" w:hAnsi="Times New Roman" w:cs="Times New Roman"/>
          <w:color w:val="000000" w:themeColor="text1"/>
          <w:sz w:val="28"/>
          <w:szCs w:val="28"/>
          <w:lang w:val="es-ES"/>
        </w:rPr>
        <w:t xml:space="preserve"> generando un daño</w:t>
      </w:r>
      <w:r w:rsidRPr="005D36F1">
        <w:rPr>
          <w:rFonts w:ascii="Times New Roman" w:hAnsi="Times New Roman" w:cs="Times New Roman"/>
          <w:color w:val="000000" w:themeColor="text1"/>
          <w:sz w:val="28"/>
          <w:szCs w:val="28"/>
          <w:lang w:val="es-ES"/>
        </w:rPr>
        <w:t xml:space="preserve"> emocional o físico. Incluso, como </w:t>
      </w:r>
      <w:r w:rsidRPr="005D36F1">
        <w:rPr>
          <w:rFonts w:ascii="Times New Roman" w:hAnsi="Times New Roman" w:cs="Times New Roman"/>
          <w:color w:val="000000" w:themeColor="text1"/>
          <w:sz w:val="28"/>
          <w:szCs w:val="28"/>
          <w:lang w:val="es-ES"/>
        </w:rPr>
        <w:t>medida para proteger a los hijos</w:t>
      </w:r>
      <w:r w:rsidRPr="005D36F1">
        <w:rPr>
          <w:rFonts w:ascii="Times New Roman" w:hAnsi="Times New Roman" w:cs="Times New Roman"/>
          <w:color w:val="000000" w:themeColor="text1"/>
          <w:sz w:val="28"/>
          <w:szCs w:val="28"/>
          <w:lang w:val="es-ES"/>
        </w:rPr>
        <w:t>,</w:t>
      </w:r>
      <w:r w:rsidRPr="005D36F1">
        <w:rPr>
          <w:rFonts w:ascii="Times New Roman" w:hAnsi="Times New Roman" w:cs="Times New Roman"/>
          <w:color w:val="000000" w:themeColor="text1"/>
          <w:sz w:val="28"/>
          <w:szCs w:val="28"/>
          <w:lang w:val="es-ES"/>
        </w:rPr>
        <w:t xml:space="preserve"> quienes también son afectados con la enajenación de uno de</w:t>
      </w:r>
      <w:r w:rsidRPr="005D36F1">
        <w:rPr>
          <w:rFonts w:ascii="Times New Roman" w:hAnsi="Times New Roman" w:cs="Times New Roman"/>
          <w:color w:val="000000" w:themeColor="text1"/>
          <w:sz w:val="28"/>
          <w:szCs w:val="28"/>
          <w:lang w:val="es-ES"/>
        </w:rPr>
        <w:t xml:space="preserve"> sus padres por cuenta del consumo. En </w:t>
      </w:r>
      <w:r w:rsidRPr="005D36F1">
        <w:rPr>
          <w:rFonts w:ascii="Times New Roman" w:hAnsi="Times New Roman" w:cs="Times New Roman"/>
          <w:color w:val="000000" w:themeColor="text1"/>
          <w:sz w:val="28"/>
          <w:szCs w:val="28"/>
          <w:lang w:val="es-ES"/>
        </w:rPr>
        <w:t>ese</w:t>
      </w:r>
      <w:r w:rsidRPr="005D36F1">
        <w:rPr>
          <w:rFonts w:ascii="Times New Roman" w:hAnsi="Times New Roman" w:cs="Times New Roman"/>
          <w:color w:val="000000" w:themeColor="text1"/>
          <w:sz w:val="28"/>
          <w:szCs w:val="28"/>
          <w:lang w:val="es-ES"/>
        </w:rPr>
        <w:t xml:space="preserve"> caso</w:t>
      </w:r>
      <w:r w:rsidRPr="005D36F1">
        <w:rPr>
          <w:rFonts w:ascii="Times New Roman" w:hAnsi="Times New Roman" w:cs="Times New Roman"/>
          <w:color w:val="000000" w:themeColor="text1"/>
          <w:sz w:val="28"/>
          <w:szCs w:val="28"/>
          <w:lang w:val="es-ES"/>
        </w:rPr>
        <w:t>,</w:t>
      </w:r>
      <w:r w:rsidRPr="005D36F1">
        <w:rPr>
          <w:rFonts w:ascii="Times New Roman" w:hAnsi="Times New Roman" w:cs="Times New Roman"/>
          <w:color w:val="000000" w:themeColor="text1"/>
          <w:sz w:val="28"/>
          <w:szCs w:val="28"/>
          <w:lang w:val="es-ES"/>
        </w:rPr>
        <w:t xml:space="preserve"> el cónyuge </w:t>
      </w:r>
      <w:r w:rsidRPr="005D36F1">
        <w:rPr>
          <w:rFonts w:ascii="Times New Roman" w:hAnsi="Times New Roman" w:cs="Times New Roman"/>
          <w:color w:val="000000" w:themeColor="text1"/>
          <w:sz w:val="28"/>
          <w:szCs w:val="28"/>
          <w:lang w:val="es-ES"/>
        </w:rPr>
        <w:t xml:space="preserve">no consumidor </w:t>
      </w:r>
      <w:r w:rsidRPr="005D36F1">
        <w:rPr>
          <w:rFonts w:ascii="Times New Roman" w:hAnsi="Times New Roman" w:cs="Times New Roman"/>
          <w:color w:val="000000" w:themeColor="text1"/>
          <w:sz w:val="28"/>
          <w:szCs w:val="28"/>
          <w:lang w:val="es-ES"/>
        </w:rPr>
        <w:t>pod</w:t>
      </w:r>
      <w:r w:rsidRPr="005D36F1">
        <w:rPr>
          <w:rFonts w:ascii="Times New Roman" w:hAnsi="Times New Roman" w:cs="Times New Roman"/>
          <w:color w:val="000000" w:themeColor="text1"/>
          <w:sz w:val="28"/>
          <w:szCs w:val="28"/>
          <w:lang w:val="es-ES"/>
        </w:rPr>
        <w:t>ía</w:t>
      </w:r>
      <w:r w:rsidRPr="005D36F1">
        <w:rPr>
          <w:rFonts w:ascii="Times New Roman" w:hAnsi="Times New Roman" w:cs="Times New Roman"/>
          <w:color w:val="000000" w:themeColor="text1"/>
          <w:sz w:val="28"/>
          <w:szCs w:val="28"/>
          <w:lang w:val="es-ES"/>
        </w:rPr>
        <w:t xml:space="preserve"> percibir alimentos y en el </w:t>
      </w:r>
      <w:r w:rsidRPr="005D36F1">
        <w:rPr>
          <w:rFonts w:ascii="Times New Roman" w:hAnsi="Times New Roman" w:cs="Times New Roman"/>
          <w:color w:val="000000" w:themeColor="text1"/>
          <w:sz w:val="28"/>
          <w:szCs w:val="28"/>
          <w:lang w:val="es-ES"/>
        </w:rPr>
        <w:t>caso de</w:t>
      </w:r>
      <w:r w:rsidRPr="005D36F1">
        <w:rPr>
          <w:rFonts w:ascii="Times New Roman" w:hAnsi="Times New Roman" w:cs="Times New Roman"/>
          <w:color w:val="000000" w:themeColor="text1"/>
          <w:sz w:val="28"/>
          <w:szCs w:val="28"/>
          <w:lang w:val="es-ES"/>
        </w:rPr>
        <w:t xml:space="preserve"> los hijos</w:t>
      </w:r>
      <w:r w:rsidRPr="005D36F1">
        <w:rPr>
          <w:rFonts w:ascii="Times New Roman" w:hAnsi="Times New Roman" w:cs="Times New Roman"/>
          <w:color w:val="000000" w:themeColor="text1"/>
          <w:sz w:val="28"/>
          <w:szCs w:val="28"/>
          <w:lang w:val="es-ES"/>
        </w:rPr>
        <w:t>,</w:t>
      </w:r>
      <w:r w:rsidRPr="005D36F1">
        <w:rPr>
          <w:rFonts w:ascii="Times New Roman" w:hAnsi="Times New Roman" w:cs="Times New Roman"/>
          <w:color w:val="000000" w:themeColor="text1"/>
          <w:sz w:val="28"/>
          <w:szCs w:val="28"/>
          <w:lang w:val="es-ES"/>
        </w:rPr>
        <w:t xml:space="preserve"> la custodia le </w:t>
      </w:r>
      <w:r w:rsidRPr="005D36F1">
        <w:rPr>
          <w:rFonts w:ascii="Times New Roman" w:hAnsi="Times New Roman" w:cs="Times New Roman"/>
          <w:color w:val="000000" w:themeColor="text1"/>
          <w:sz w:val="28"/>
          <w:szCs w:val="28"/>
          <w:lang w:val="es-ES"/>
        </w:rPr>
        <w:t>era</w:t>
      </w:r>
      <w:r w:rsidRPr="005D36F1">
        <w:rPr>
          <w:rFonts w:ascii="Times New Roman" w:hAnsi="Times New Roman" w:cs="Times New Roman"/>
          <w:color w:val="000000" w:themeColor="text1"/>
          <w:sz w:val="28"/>
          <w:szCs w:val="28"/>
          <w:lang w:val="es-ES"/>
        </w:rPr>
        <w:t xml:space="preserve"> negada al cónyuge consumidor. En ese orden, es claro el enfoque </w:t>
      </w:r>
      <w:r w:rsidRPr="005D36F1">
        <w:rPr>
          <w:rFonts w:ascii="Times New Roman" w:hAnsi="Times New Roman" w:cs="Times New Roman"/>
          <w:color w:val="000000" w:themeColor="text1"/>
          <w:sz w:val="28"/>
          <w:szCs w:val="28"/>
          <w:lang w:val="es-ES"/>
        </w:rPr>
        <w:t>proteccionista</w:t>
      </w:r>
      <w:r w:rsidRPr="005D36F1">
        <w:rPr>
          <w:rFonts w:ascii="Times New Roman" w:hAnsi="Times New Roman" w:cs="Times New Roman"/>
          <w:color w:val="000000" w:themeColor="text1"/>
          <w:sz w:val="28"/>
          <w:szCs w:val="28"/>
          <w:lang w:val="es-ES"/>
        </w:rPr>
        <w:t xml:space="preserve"> que esta norma </w:t>
      </w:r>
      <w:r w:rsidRPr="005D36F1">
        <w:rPr>
          <w:rFonts w:ascii="Times New Roman" w:hAnsi="Times New Roman" w:cs="Times New Roman"/>
          <w:color w:val="000000" w:themeColor="text1"/>
          <w:sz w:val="28"/>
          <w:szCs w:val="28"/>
          <w:lang w:val="es-ES"/>
        </w:rPr>
        <w:t>tenía dentro de l</w:t>
      </w:r>
      <w:r w:rsidRPr="005D36F1">
        <w:rPr>
          <w:rFonts w:ascii="Times New Roman" w:hAnsi="Times New Roman" w:cs="Times New Roman"/>
          <w:color w:val="000000" w:themeColor="text1"/>
          <w:sz w:val="28"/>
          <w:szCs w:val="28"/>
          <w:lang w:val="es-ES"/>
        </w:rPr>
        <w:t xml:space="preserve">as causales de divorcio. </w:t>
      </w:r>
    </w:p>
    <w:p w:rsidR="00B77D10" w:rsidRPr="005D36F1" w:rsidRDefault="005D36F1" w:rsidP="00381166">
      <w:pPr>
        <w:jc w:val="both"/>
        <w:rPr>
          <w:rFonts w:ascii="Times New Roman" w:hAnsi="Times New Roman" w:cs="Times New Roman"/>
          <w:sz w:val="28"/>
          <w:szCs w:val="28"/>
          <w:lang w:val="es-ES"/>
        </w:rPr>
      </w:pPr>
    </w:p>
    <w:p w:rsidR="00B77D10" w:rsidRPr="005D36F1" w:rsidRDefault="005D36F1" w:rsidP="00381166">
      <w:pPr>
        <w:jc w:val="both"/>
        <w:rPr>
          <w:rFonts w:ascii="Times New Roman" w:hAnsi="Times New Roman" w:cs="Times New Roman"/>
          <w:sz w:val="28"/>
          <w:szCs w:val="28"/>
          <w:lang w:val="es-ES"/>
        </w:rPr>
      </w:pPr>
      <w:r w:rsidRPr="005D36F1">
        <w:rPr>
          <w:rFonts w:ascii="Times New Roman" w:hAnsi="Times New Roman" w:cs="Times New Roman"/>
          <w:sz w:val="28"/>
          <w:szCs w:val="28"/>
          <w:lang w:val="es-ES"/>
        </w:rPr>
        <w:t xml:space="preserve">Según la academia, los efectos del consumo excesivo de bebidas embriagantes o de algunas drogas de parte de alguno de los miembros de la familia, entre otros factores, tiende a generar actuaciones violentas frente a los demás, </w:t>
      </w:r>
      <w:r w:rsidRPr="005D36F1">
        <w:rPr>
          <w:rFonts w:ascii="Times New Roman" w:hAnsi="Times New Roman" w:cs="Times New Roman"/>
          <w:sz w:val="28"/>
          <w:szCs w:val="28"/>
          <w:lang w:val="es-ES"/>
        </w:rPr>
        <w:t>entre los que se encuentran las madres y los niños.</w:t>
      </w:r>
      <w:r w:rsidRPr="005D36F1">
        <w:rPr>
          <w:rFonts w:ascii="Times New Roman" w:hAnsi="Times New Roman" w:cs="Times New Roman"/>
          <w:sz w:val="28"/>
          <w:szCs w:val="28"/>
          <w:vertAlign w:val="superscript"/>
          <w:lang w:val="es-ES"/>
        </w:rPr>
        <w:footnoteReference w:id="198"/>
      </w:r>
    </w:p>
    <w:p w:rsidR="007460E9" w:rsidRPr="005D36F1" w:rsidRDefault="005D36F1" w:rsidP="00FA53A2">
      <w:pPr>
        <w:jc w:val="both"/>
        <w:rPr>
          <w:rFonts w:ascii="Times New Roman" w:hAnsi="Times New Roman" w:cs="Times New Roman"/>
          <w:i/>
          <w:iCs/>
          <w:sz w:val="28"/>
          <w:szCs w:val="28"/>
          <w:u w:val="single"/>
          <w:lang w:val="es-ES"/>
        </w:rPr>
      </w:pPr>
    </w:p>
    <w:p w:rsidR="007460E9" w:rsidRPr="005D36F1" w:rsidRDefault="005D36F1" w:rsidP="00FA53A2">
      <w:pPr>
        <w:jc w:val="both"/>
        <w:rPr>
          <w:rFonts w:ascii="Times New Roman" w:hAnsi="Times New Roman" w:cs="Times New Roman"/>
          <w:i/>
          <w:iCs/>
          <w:sz w:val="28"/>
          <w:szCs w:val="28"/>
          <w:u w:val="single"/>
          <w:lang w:val="es-ES"/>
        </w:rPr>
      </w:pPr>
      <w:r w:rsidRPr="005D36F1">
        <w:rPr>
          <w:rFonts w:ascii="Times New Roman" w:hAnsi="Times New Roman" w:cs="Times New Roman"/>
          <w:color w:val="000000" w:themeColor="text1"/>
          <w:sz w:val="28"/>
          <w:szCs w:val="28"/>
          <w:lang w:val="es-ES"/>
        </w:rPr>
        <w:t xml:space="preserve">Al respecto, </w:t>
      </w:r>
      <w:r w:rsidRPr="005D36F1">
        <w:rPr>
          <w:rFonts w:ascii="Times New Roman" w:hAnsi="Times New Roman" w:cs="Times New Roman"/>
          <w:color w:val="000000" w:themeColor="text1"/>
          <w:sz w:val="28"/>
          <w:szCs w:val="28"/>
          <w:lang w:val="es-ES"/>
        </w:rPr>
        <w:t xml:space="preserve">resulta cuestionable la aplicación de la jurisprudencia sobre la despenalización de la dosis personal </w:t>
      </w:r>
      <w:r w:rsidRPr="005D36F1">
        <w:rPr>
          <w:rFonts w:ascii="Times New Roman" w:hAnsi="Times New Roman" w:cs="Times New Roman"/>
          <w:color w:val="000000" w:themeColor="text1"/>
          <w:sz w:val="28"/>
          <w:szCs w:val="28"/>
          <w:lang w:val="es-ES"/>
        </w:rPr>
        <w:t>-</w:t>
      </w:r>
      <w:r w:rsidRPr="005D36F1">
        <w:rPr>
          <w:rFonts w:ascii="Times New Roman" w:hAnsi="Times New Roman" w:cs="Times New Roman"/>
          <w:color w:val="000000" w:themeColor="text1"/>
          <w:sz w:val="28"/>
          <w:szCs w:val="28"/>
          <w:lang w:val="es-ES"/>
        </w:rPr>
        <w:t>Sentencia C-221 de 1994</w:t>
      </w:r>
      <w:r w:rsidRPr="005D36F1">
        <w:rPr>
          <w:rFonts w:ascii="Times New Roman" w:hAnsi="Times New Roman" w:cs="Times New Roman"/>
          <w:color w:val="000000" w:themeColor="text1"/>
          <w:sz w:val="28"/>
          <w:szCs w:val="28"/>
          <w:lang w:val="es-ES"/>
        </w:rPr>
        <w:t>-</w:t>
      </w:r>
      <w:r w:rsidRPr="005D36F1">
        <w:rPr>
          <w:rFonts w:ascii="Times New Roman" w:hAnsi="Times New Roman" w:cs="Times New Roman"/>
          <w:color w:val="000000" w:themeColor="text1"/>
          <w:sz w:val="28"/>
          <w:szCs w:val="28"/>
          <w:lang w:val="es-ES"/>
        </w:rPr>
        <w:t xml:space="preserve">, el consumo de sustancias psicoactivas en el trabajo </w:t>
      </w:r>
      <w:r w:rsidRPr="005D36F1">
        <w:rPr>
          <w:rFonts w:ascii="Times New Roman" w:hAnsi="Times New Roman" w:cs="Times New Roman"/>
          <w:color w:val="000000" w:themeColor="text1"/>
          <w:sz w:val="28"/>
          <w:szCs w:val="28"/>
          <w:lang w:val="es-ES"/>
        </w:rPr>
        <w:t>-</w:t>
      </w:r>
      <w:r w:rsidRPr="005D36F1">
        <w:rPr>
          <w:rFonts w:ascii="Times New Roman" w:hAnsi="Times New Roman" w:cs="Times New Roman"/>
          <w:color w:val="000000" w:themeColor="text1"/>
          <w:sz w:val="28"/>
          <w:szCs w:val="28"/>
          <w:lang w:val="es-ES"/>
        </w:rPr>
        <w:t>Sentenc</w:t>
      </w:r>
      <w:r w:rsidRPr="005D36F1">
        <w:rPr>
          <w:rFonts w:ascii="Times New Roman" w:hAnsi="Times New Roman" w:cs="Times New Roman"/>
          <w:color w:val="000000" w:themeColor="text1"/>
          <w:sz w:val="28"/>
          <w:szCs w:val="28"/>
          <w:lang w:val="es-ES"/>
        </w:rPr>
        <w:t>ia C-636 de 2016</w:t>
      </w:r>
      <w:r w:rsidRPr="005D36F1">
        <w:rPr>
          <w:rFonts w:ascii="Times New Roman" w:hAnsi="Times New Roman" w:cs="Times New Roman"/>
          <w:color w:val="000000" w:themeColor="text1"/>
          <w:sz w:val="28"/>
          <w:szCs w:val="28"/>
          <w:lang w:val="es-ES"/>
        </w:rPr>
        <w:t>-</w:t>
      </w:r>
      <w:r w:rsidRPr="005D36F1">
        <w:rPr>
          <w:rFonts w:ascii="Times New Roman" w:hAnsi="Times New Roman" w:cs="Times New Roman"/>
          <w:color w:val="000000" w:themeColor="text1"/>
          <w:sz w:val="28"/>
          <w:szCs w:val="28"/>
          <w:lang w:val="es-ES"/>
        </w:rPr>
        <w:t xml:space="preserve"> y en espacios públicos </w:t>
      </w:r>
      <w:r w:rsidRPr="005D36F1">
        <w:rPr>
          <w:rFonts w:ascii="Times New Roman" w:hAnsi="Times New Roman" w:cs="Times New Roman"/>
          <w:color w:val="000000" w:themeColor="text1"/>
          <w:sz w:val="28"/>
          <w:szCs w:val="28"/>
          <w:lang w:val="es-ES"/>
        </w:rPr>
        <w:t>-</w:t>
      </w:r>
      <w:r w:rsidRPr="005D36F1">
        <w:rPr>
          <w:rFonts w:ascii="Times New Roman" w:hAnsi="Times New Roman" w:cs="Times New Roman"/>
          <w:color w:val="000000" w:themeColor="text1"/>
          <w:sz w:val="28"/>
          <w:szCs w:val="28"/>
          <w:lang w:val="es-ES"/>
        </w:rPr>
        <w:t>sentencias C-253 de 2019 y C-127 de 2023</w:t>
      </w:r>
      <w:r w:rsidRPr="005D36F1">
        <w:rPr>
          <w:rFonts w:ascii="Times New Roman" w:hAnsi="Times New Roman" w:cs="Times New Roman"/>
          <w:color w:val="000000" w:themeColor="text1"/>
          <w:sz w:val="28"/>
          <w:szCs w:val="28"/>
          <w:lang w:val="es-ES"/>
        </w:rPr>
        <w:t>-</w:t>
      </w:r>
      <w:r w:rsidRPr="005D36F1">
        <w:rPr>
          <w:rFonts w:ascii="Times New Roman" w:hAnsi="Times New Roman" w:cs="Times New Roman"/>
          <w:color w:val="000000" w:themeColor="text1"/>
          <w:sz w:val="28"/>
          <w:szCs w:val="28"/>
          <w:lang w:val="es-ES"/>
        </w:rPr>
        <w:t xml:space="preserve"> al asunto objeto de análisis constitucional. Pues, lo cierto es que</w:t>
      </w:r>
      <w:r w:rsidRPr="005D36F1">
        <w:rPr>
          <w:rFonts w:ascii="Times New Roman" w:hAnsi="Times New Roman" w:cs="Times New Roman"/>
          <w:color w:val="000000" w:themeColor="text1"/>
          <w:sz w:val="28"/>
          <w:szCs w:val="28"/>
          <w:lang w:val="es-ES"/>
        </w:rPr>
        <w:t>,</w:t>
      </w:r>
      <w:r w:rsidRPr="005D36F1">
        <w:rPr>
          <w:rFonts w:ascii="Times New Roman" w:hAnsi="Times New Roman" w:cs="Times New Roman"/>
          <w:color w:val="000000" w:themeColor="text1"/>
          <w:sz w:val="28"/>
          <w:szCs w:val="28"/>
          <w:lang w:val="es-ES"/>
        </w:rPr>
        <w:t xml:space="preserve"> si bien esos pronunciamientos tienen como base el consumo de sustancias psicoactivas, no </w:t>
      </w:r>
      <w:r w:rsidRPr="005D36F1">
        <w:rPr>
          <w:rFonts w:ascii="Times New Roman" w:hAnsi="Times New Roman" w:cs="Times New Roman"/>
          <w:color w:val="000000" w:themeColor="text1"/>
          <w:sz w:val="28"/>
          <w:szCs w:val="28"/>
          <w:lang w:val="es-ES"/>
        </w:rPr>
        <w:t>eran contextos</w:t>
      </w:r>
      <w:r w:rsidRPr="005D36F1">
        <w:rPr>
          <w:rFonts w:ascii="Times New Roman" w:hAnsi="Times New Roman" w:cs="Times New Roman"/>
          <w:color w:val="000000" w:themeColor="text1"/>
          <w:sz w:val="28"/>
          <w:szCs w:val="28"/>
          <w:lang w:val="es-ES"/>
        </w:rPr>
        <w:t xml:space="preserve"> aplicables a </w:t>
      </w:r>
      <w:r w:rsidRPr="005D36F1">
        <w:rPr>
          <w:rFonts w:ascii="Times New Roman" w:hAnsi="Times New Roman" w:cs="Times New Roman"/>
          <w:color w:val="000000" w:themeColor="text1"/>
          <w:sz w:val="28"/>
          <w:szCs w:val="28"/>
          <w:lang w:val="es-ES"/>
        </w:rPr>
        <w:t xml:space="preserve">la resolución del caso. </w:t>
      </w:r>
      <w:r w:rsidRPr="005D36F1">
        <w:rPr>
          <w:rFonts w:ascii="Times New Roman" w:hAnsi="Times New Roman" w:cs="Times New Roman"/>
          <w:color w:val="000000" w:themeColor="text1"/>
          <w:sz w:val="28"/>
          <w:szCs w:val="28"/>
          <w:lang w:val="es-ES"/>
        </w:rPr>
        <w:t xml:space="preserve">La </w:t>
      </w:r>
      <w:r w:rsidRPr="005D36F1">
        <w:rPr>
          <w:rFonts w:ascii="Times New Roman" w:hAnsi="Times New Roman" w:cs="Times New Roman"/>
          <w:i/>
          <w:color w:val="000000" w:themeColor="text1"/>
          <w:sz w:val="28"/>
          <w:szCs w:val="28"/>
          <w:lang w:val="es-ES"/>
        </w:rPr>
        <w:t>ratio</w:t>
      </w:r>
      <w:r w:rsidRPr="005D36F1">
        <w:rPr>
          <w:rFonts w:ascii="Times New Roman" w:hAnsi="Times New Roman" w:cs="Times New Roman"/>
          <w:color w:val="000000" w:themeColor="text1"/>
          <w:sz w:val="28"/>
          <w:szCs w:val="28"/>
          <w:lang w:val="es-ES"/>
        </w:rPr>
        <w:t xml:space="preserve"> </w:t>
      </w:r>
      <w:r w:rsidRPr="005D36F1">
        <w:rPr>
          <w:rFonts w:ascii="Times New Roman" w:hAnsi="Times New Roman" w:cs="Times New Roman"/>
          <w:i/>
          <w:color w:val="000000" w:themeColor="text1"/>
          <w:sz w:val="28"/>
          <w:szCs w:val="28"/>
          <w:lang w:val="es-ES"/>
        </w:rPr>
        <w:t>decidendi</w:t>
      </w:r>
      <w:r w:rsidRPr="005D36F1">
        <w:rPr>
          <w:rFonts w:ascii="Times New Roman" w:hAnsi="Times New Roman" w:cs="Times New Roman"/>
          <w:color w:val="000000" w:themeColor="text1"/>
          <w:sz w:val="28"/>
          <w:szCs w:val="28"/>
          <w:lang w:val="es-ES"/>
        </w:rPr>
        <w:t xml:space="preserve"> de las referidas sentencias refiere</w:t>
      </w:r>
      <w:r w:rsidRPr="005D36F1">
        <w:rPr>
          <w:rFonts w:ascii="Times New Roman" w:hAnsi="Times New Roman" w:cs="Times New Roman"/>
          <w:color w:val="000000" w:themeColor="text1"/>
          <w:sz w:val="28"/>
          <w:szCs w:val="28"/>
          <w:lang w:val="es-ES"/>
        </w:rPr>
        <w:t xml:space="preserve"> a la tipificación de un delito, a una falta grave en el marco de una relación laboral y a la posibilidad del consumo esporádico en espacios públicos y fuera del do</w:t>
      </w:r>
      <w:r w:rsidRPr="005D36F1">
        <w:rPr>
          <w:rFonts w:ascii="Times New Roman" w:hAnsi="Times New Roman" w:cs="Times New Roman"/>
          <w:color w:val="000000" w:themeColor="text1"/>
          <w:sz w:val="28"/>
          <w:szCs w:val="28"/>
          <w:lang w:val="es-ES"/>
        </w:rPr>
        <w:t>micilio personal</w:t>
      </w:r>
      <w:r w:rsidRPr="005D36F1">
        <w:rPr>
          <w:rFonts w:ascii="Times New Roman" w:hAnsi="Times New Roman" w:cs="Times New Roman"/>
          <w:color w:val="000000" w:themeColor="text1"/>
          <w:sz w:val="28"/>
          <w:szCs w:val="28"/>
          <w:lang w:val="es-ES"/>
        </w:rPr>
        <w:t>,</w:t>
      </w:r>
      <w:r w:rsidRPr="005D36F1">
        <w:rPr>
          <w:rFonts w:ascii="Times New Roman" w:hAnsi="Times New Roman" w:cs="Times New Roman"/>
          <w:color w:val="000000" w:themeColor="text1"/>
          <w:sz w:val="28"/>
          <w:szCs w:val="28"/>
          <w:lang w:val="es-ES"/>
        </w:rPr>
        <w:t xml:space="preserve"> </w:t>
      </w:r>
      <w:r w:rsidRPr="005D36F1">
        <w:rPr>
          <w:rFonts w:ascii="Times New Roman" w:hAnsi="Times New Roman" w:cs="Times New Roman"/>
          <w:color w:val="000000" w:themeColor="text1"/>
          <w:sz w:val="28"/>
          <w:szCs w:val="28"/>
          <w:lang w:val="es-ES"/>
        </w:rPr>
        <w:t>razones de la decisión que no consideraron una situación en la que el individuo se compromet</w:t>
      </w:r>
      <w:r w:rsidRPr="005D36F1">
        <w:rPr>
          <w:rFonts w:ascii="Times New Roman" w:hAnsi="Times New Roman" w:cs="Times New Roman"/>
          <w:color w:val="000000" w:themeColor="text1"/>
          <w:sz w:val="28"/>
          <w:szCs w:val="28"/>
          <w:lang w:val="es-ES"/>
        </w:rPr>
        <w:t>ió</w:t>
      </w:r>
      <w:r w:rsidRPr="005D36F1">
        <w:rPr>
          <w:rFonts w:ascii="Times New Roman" w:hAnsi="Times New Roman" w:cs="Times New Roman"/>
          <w:color w:val="000000" w:themeColor="text1"/>
          <w:sz w:val="28"/>
          <w:szCs w:val="28"/>
          <w:lang w:val="es-ES"/>
        </w:rPr>
        <w:t xml:space="preserve"> a conformar una familia </w:t>
      </w:r>
      <w:r w:rsidRPr="005D36F1">
        <w:rPr>
          <w:rFonts w:ascii="Times New Roman" w:hAnsi="Times New Roman" w:cs="Times New Roman"/>
          <w:color w:val="000000" w:themeColor="text1"/>
          <w:sz w:val="28"/>
          <w:szCs w:val="28"/>
          <w:lang w:val="es-ES"/>
        </w:rPr>
        <w:t>en un domicilio privado</w:t>
      </w:r>
      <w:r w:rsidRPr="005D36F1">
        <w:rPr>
          <w:rFonts w:ascii="Times New Roman" w:hAnsi="Times New Roman" w:cs="Times New Roman"/>
          <w:color w:val="000000" w:themeColor="text1"/>
          <w:sz w:val="28"/>
          <w:szCs w:val="28"/>
          <w:lang w:val="es-ES"/>
        </w:rPr>
        <w:t>.</w:t>
      </w:r>
    </w:p>
    <w:p w:rsidR="00E45792" w:rsidRPr="005D36F1" w:rsidRDefault="005D36F1" w:rsidP="00FA53A2">
      <w:pPr>
        <w:jc w:val="both"/>
        <w:rPr>
          <w:rFonts w:ascii="Times New Roman" w:hAnsi="Times New Roman" w:cs="Times New Roman"/>
          <w:i/>
          <w:iCs/>
          <w:sz w:val="28"/>
          <w:szCs w:val="28"/>
          <w:u w:val="single"/>
          <w:lang w:val="es-ES"/>
        </w:rPr>
      </w:pPr>
    </w:p>
    <w:p w:rsidR="00AE3BB6" w:rsidRPr="005D36F1" w:rsidRDefault="005D36F1" w:rsidP="00FA53A2">
      <w:pPr>
        <w:jc w:val="both"/>
        <w:rPr>
          <w:rFonts w:ascii="Times New Roman" w:hAnsi="Times New Roman" w:cs="Times New Roman"/>
          <w:i/>
          <w:iCs/>
          <w:sz w:val="28"/>
          <w:szCs w:val="28"/>
          <w:u w:val="single"/>
          <w:lang w:val="es-ES"/>
        </w:rPr>
      </w:pPr>
    </w:p>
    <w:p w:rsidR="007460E9" w:rsidRPr="005D36F1" w:rsidRDefault="005D36F1" w:rsidP="00FA53A2">
      <w:pPr>
        <w:jc w:val="both"/>
        <w:rPr>
          <w:rFonts w:ascii="Times New Roman" w:hAnsi="Times New Roman" w:cs="Times New Roman"/>
          <w:i/>
          <w:iCs/>
          <w:sz w:val="28"/>
          <w:szCs w:val="28"/>
          <w:u w:val="single"/>
          <w:lang w:val="es-ES"/>
        </w:rPr>
      </w:pPr>
    </w:p>
    <w:p w:rsidR="004F1B0B" w:rsidRPr="005D36F1" w:rsidRDefault="005D36F1" w:rsidP="00381166">
      <w:pPr>
        <w:pStyle w:val="Prrafodelista"/>
        <w:numPr>
          <w:ilvl w:val="0"/>
          <w:numId w:val="7"/>
        </w:numPr>
        <w:jc w:val="both"/>
        <w:rPr>
          <w:rFonts w:ascii="Times New Roman" w:hAnsi="Times New Roman" w:cs="Times New Roman"/>
          <w:b/>
          <w:bCs/>
          <w:i/>
          <w:iCs/>
          <w:sz w:val="28"/>
          <w:szCs w:val="28"/>
          <w:u w:val="single"/>
          <w:lang w:val="es-ES"/>
        </w:rPr>
      </w:pPr>
      <w:r w:rsidRPr="005D36F1">
        <w:rPr>
          <w:rFonts w:ascii="Times New Roman" w:hAnsi="Times New Roman" w:cs="Times New Roman"/>
          <w:b/>
          <w:bCs/>
          <w:i/>
          <w:iCs/>
          <w:sz w:val="28"/>
          <w:szCs w:val="28"/>
          <w:u w:val="single"/>
          <w:lang w:val="es-ES"/>
        </w:rPr>
        <w:t xml:space="preserve">Consecuencia de los </w:t>
      </w:r>
      <w:r w:rsidRPr="005D36F1">
        <w:rPr>
          <w:rFonts w:ascii="Times New Roman" w:hAnsi="Times New Roman" w:cs="Times New Roman"/>
          <w:b/>
          <w:bCs/>
          <w:i/>
          <w:iCs/>
          <w:sz w:val="28"/>
          <w:szCs w:val="28"/>
          <w:u w:val="single"/>
          <w:lang w:val="es-ES"/>
        </w:rPr>
        <w:t xml:space="preserve">hijos </w:t>
      </w:r>
      <w:r w:rsidRPr="005D36F1">
        <w:rPr>
          <w:rFonts w:ascii="Times New Roman" w:hAnsi="Times New Roman" w:cs="Times New Roman"/>
          <w:b/>
          <w:bCs/>
          <w:i/>
          <w:iCs/>
          <w:sz w:val="28"/>
          <w:szCs w:val="28"/>
          <w:u w:val="single"/>
          <w:lang w:val="es-ES"/>
        </w:rPr>
        <w:t xml:space="preserve">que conviven </w:t>
      </w:r>
      <w:r w:rsidRPr="005D36F1">
        <w:rPr>
          <w:rFonts w:ascii="Times New Roman" w:hAnsi="Times New Roman" w:cs="Times New Roman"/>
          <w:b/>
          <w:bCs/>
          <w:i/>
          <w:iCs/>
          <w:sz w:val="28"/>
          <w:szCs w:val="28"/>
          <w:u w:val="single"/>
          <w:lang w:val="es-ES"/>
        </w:rPr>
        <w:t xml:space="preserve">en un ambiente en donde uno de los </w:t>
      </w:r>
      <w:r w:rsidRPr="005D36F1">
        <w:rPr>
          <w:rFonts w:ascii="Times New Roman" w:hAnsi="Times New Roman" w:cs="Times New Roman"/>
          <w:b/>
          <w:bCs/>
          <w:i/>
          <w:iCs/>
          <w:sz w:val="28"/>
          <w:szCs w:val="28"/>
          <w:u w:val="single"/>
          <w:lang w:val="es-ES"/>
        </w:rPr>
        <w:t>padres</w:t>
      </w:r>
      <w:r w:rsidRPr="005D36F1">
        <w:rPr>
          <w:rFonts w:ascii="Times New Roman" w:hAnsi="Times New Roman" w:cs="Times New Roman"/>
          <w:b/>
          <w:bCs/>
          <w:i/>
          <w:iCs/>
          <w:sz w:val="28"/>
          <w:szCs w:val="28"/>
          <w:u w:val="single"/>
          <w:lang w:val="es-ES"/>
        </w:rPr>
        <w:t xml:space="preserve"> consume habitualmente sustancias psicoactivas</w:t>
      </w:r>
    </w:p>
    <w:p w:rsidR="004F1B0B" w:rsidRPr="005D36F1" w:rsidRDefault="005D36F1" w:rsidP="00FA53A2">
      <w:pPr>
        <w:jc w:val="both"/>
        <w:rPr>
          <w:rFonts w:ascii="Times New Roman" w:hAnsi="Times New Roman" w:cs="Times New Roman"/>
          <w:i/>
          <w:iCs/>
          <w:sz w:val="28"/>
          <w:szCs w:val="28"/>
          <w:lang w:val="es-ES"/>
        </w:rPr>
      </w:pPr>
    </w:p>
    <w:p w:rsidR="00CD687A" w:rsidRPr="005D36F1" w:rsidRDefault="005D36F1" w:rsidP="00FA53A2">
      <w:pPr>
        <w:jc w:val="both"/>
        <w:rPr>
          <w:rFonts w:ascii="Times New Roman" w:hAnsi="Times New Roman" w:cs="Times New Roman"/>
          <w:sz w:val="28"/>
          <w:szCs w:val="28"/>
          <w:lang w:val="es-ES"/>
        </w:rPr>
      </w:pPr>
      <w:r w:rsidRPr="005D36F1">
        <w:rPr>
          <w:rFonts w:ascii="Times New Roman" w:hAnsi="Times New Roman" w:cs="Times New Roman"/>
          <w:sz w:val="28"/>
          <w:szCs w:val="28"/>
          <w:lang w:val="es-ES"/>
        </w:rPr>
        <w:t xml:space="preserve">Respetuosamente considero que la ponencia debía pronunciarse sobre los derechos fundamentales de los niños, niñas y adolescentes concebidos </w:t>
      </w:r>
      <w:r w:rsidRPr="005D36F1">
        <w:rPr>
          <w:rFonts w:ascii="Times New Roman" w:hAnsi="Times New Roman" w:cs="Times New Roman"/>
          <w:sz w:val="28"/>
          <w:szCs w:val="28"/>
          <w:lang w:val="es-ES"/>
        </w:rPr>
        <w:t xml:space="preserve">u adoptados </w:t>
      </w:r>
      <w:r w:rsidRPr="005D36F1">
        <w:rPr>
          <w:rFonts w:ascii="Times New Roman" w:hAnsi="Times New Roman" w:cs="Times New Roman"/>
          <w:sz w:val="28"/>
          <w:szCs w:val="28"/>
          <w:lang w:val="es-ES"/>
        </w:rPr>
        <w:t xml:space="preserve">en </w:t>
      </w:r>
      <w:r w:rsidRPr="005D36F1">
        <w:rPr>
          <w:rFonts w:ascii="Times New Roman" w:hAnsi="Times New Roman" w:cs="Times New Roman"/>
          <w:sz w:val="28"/>
          <w:szCs w:val="28"/>
          <w:lang w:val="es-ES"/>
        </w:rPr>
        <w:t>el</w:t>
      </w:r>
      <w:r w:rsidRPr="005D36F1">
        <w:rPr>
          <w:rFonts w:ascii="Times New Roman" w:hAnsi="Times New Roman" w:cs="Times New Roman"/>
          <w:sz w:val="28"/>
          <w:szCs w:val="28"/>
          <w:lang w:val="es-ES"/>
        </w:rPr>
        <w:t xml:space="preserve"> matrimonio donde uno de los cónyuges es un consumidor habitual de sustancias psicoactivas. </w:t>
      </w:r>
      <w:r w:rsidRPr="005D36F1">
        <w:rPr>
          <w:rFonts w:ascii="Times New Roman" w:hAnsi="Times New Roman" w:cs="Times New Roman"/>
          <w:sz w:val="28"/>
          <w:szCs w:val="28"/>
          <w:lang w:val="es-ES"/>
        </w:rPr>
        <w:t>La afirmación de que</w:t>
      </w:r>
      <w:r w:rsidRPr="005D36F1">
        <w:rPr>
          <w:rFonts w:ascii="Times New Roman" w:hAnsi="Times New Roman" w:cs="Times New Roman"/>
          <w:sz w:val="28"/>
          <w:szCs w:val="28"/>
          <w:lang w:val="es-ES"/>
        </w:rPr>
        <w:t xml:space="preserve"> a partir de la </w:t>
      </w:r>
      <w:r w:rsidRPr="005D36F1">
        <w:rPr>
          <w:rFonts w:ascii="Times New Roman" w:hAnsi="Times New Roman" w:cs="Times New Roman"/>
          <w:sz w:val="28"/>
          <w:szCs w:val="28"/>
          <w:lang w:val="es-ES"/>
        </w:rPr>
        <w:t xml:space="preserve">interposición de la </w:t>
      </w:r>
      <w:r w:rsidRPr="005D36F1">
        <w:rPr>
          <w:rFonts w:ascii="Times New Roman" w:hAnsi="Times New Roman" w:cs="Times New Roman"/>
          <w:sz w:val="28"/>
          <w:szCs w:val="28"/>
          <w:lang w:val="es-ES"/>
        </w:rPr>
        <w:t xml:space="preserve">causal segunda, </w:t>
      </w:r>
      <w:r w:rsidRPr="005D36F1">
        <w:rPr>
          <w:rFonts w:ascii="Times New Roman" w:hAnsi="Times New Roman" w:cs="Times New Roman"/>
          <w:sz w:val="28"/>
          <w:szCs w:val="28"/>
          <w:lang w:val="es-ES"/>
        </w:rPr>
        <w:t>la cual establece</w:t>
      </w:r>
      <w:r w:rsidRPr="005D36F1">
        <w:rPr>
          <w:rFonts w:ascii="Times New Roman" w:hAnsi="Times New Roman" w:cs="Times New Roman"/>
          <w:sz w:val="28"/>
          <w:szCs w:val="28"/>
          <w:lang w:val="es-ES"/>
        </w:rPr>
        <w:t xml:space="preserve"> el incumplimiento por parte de alguno de los cónyuges de los deberes que l</w:t>
      </w:r>
      <w:r w:rsidRPr="005D36F1">
        <w:rPr>
          <w:rFonts w:ascii="Times New Roman" w:hAnsi="Times New Roman" w:cs="Times New Roman"/>
          <w:sz w:val="28"/>
          <w:szCs w:val="28"/>
          <w:lang w:val="es-ES"/>
        </w:rPr>
        <w:t>es impone la ley como padres</w:t>
      </w:r>
      <w:r w:rsidRPr="005D36F1">
        <w:rPr>
          <w:rFonts w:ascii="Times New Roman" w:hAnsi="Times New Roman" w:cs="Times New Roman"/>
          <w:sz w:val="28"/>
          <w:szCs w:val="28"/>
          <w:lang w:val="es-ES"/>
        </w:rPr>
        <w:t>, se le daría prelación a los derechos fundamentales de los niños</w:t>
      </w:r>
      <w:r w:rsidRPr="005D36F1">
        <w:rPr>
          <w:rFonts w:ascii="Times New Roman" w:hAnsi="Times New Roman" w:cs="Times New Roman"/>
          <w:sz w:val="28"/>
          <w:szCs w:val="28"/>
          <w:lang w:val="es-ES"/>
        </w:rPr>
        <w:t>,</w:t>
      </w:r>
      <w:r w:rsidRPr="005D36F1">
        <w:rPr>
          <w:rFonts w:ascii="Times New Roman" w:hAnsi="Times New Roman" w:cs="Times New Roman"/>
          <w:sz w:val="28"/>
          <w:szCs w:val="28"/>
          <w:lang w:val="es-ES"/>
        </w:rPr>
        <w:t xml:space="preserve"> carece de sustento. Pues bien, </w:t>
      </w:r>
      <w:r w:rsidRPr="005D36F1">
        <w:rPr>
          <w:rFonts w:ascii="Times New Roman" w:hAnsi="Times New Roman" w:cs="Times New Roman"/>
          <w:sz w:val="28"/>
          <w:szCs w:val="28"/>
          <w:lang w:val="es-ES"/>
        </w:rPr>
        <w:t xml:space="preserve">el análisis de la incidencia del consumo de sustancias psicoactivas en niños no debe depender, </w:t>
      </w:r>
      <w:r w:rsidRPr="005D36F1">
        <w:rPr>
          <w:rFonts w:ascii="Times New Roman" w:hAnsi="Times New Roman" w:cs="Times New Roman"/>
          <w:i/>
          <w:iCs/>
          <w:sz w:val="28"/>
          <w:szCs w:val="28"/>
          <w:lang w:val="es-ES"/>
        </w:rPr>
        <w:t xml:space="preserve">per se, </w:t>
      </w:r>
      <w:r w:rsidRPr="005D36F1">
        <w:rPr>
          <w:rFonts w:ascii="Times New Roman" w:hAnsi="Times New Roman" w:cs="Times New Roman"/>
          <w:sz w:val="28"/>
          <w:szCs w:val="28"/>
          <w:lang w:val="es-ES"/>
        </w:rPr>
        <w:t>de que exista o no otra dis</w:t>
      </w:r>
      <w:r w:rsidRPr="005D36F1">
        <w:rPr>
          <w:rFonts w:ascii="Times New Roman" w:hAnsi="Times New Roman" w:cs="Times New Roman"/>
          <w:sz w:val="28"/>
          <w:szCs w:val="28"/>
          <w:lang w:val="es-ES"/>
        </w:rPr>
        <w:t>posición en el ordenamiento que garantice sus derechos fundamentales.</w:t>
      </w:r>
    </w:p>
    <w:p w:rsidR="00460BBD" w:rsidRPr="005D36F1" w:rsidRDefault="005D36F1" w:rsidP="00FA53A2">
      <w:pPr>
        <w:jc w:val="both"/>
        <w:rPr>
          <w:rFonts w:ascii="Times New Roman" w:hAnsi="Times New Roman" w:cs="Times New Roman"/>
          <w:sz w:val="28"/>
          <w:szCs w:val="28"/>
          <w:lang w:val="es-ES"/>
        </w:rPr>
      </w:pPr>
    </w:p>
    <w:p w:rsidR="00381166" w:rsidRPr="005D36F1" w:rsidRDefault="005D36F1" w:rsidP="004F1B0B">
      <w:pPr>
        <w:tabs>
          <w:tab w:val="center" w:pos="3611"/>
        </w:tabs>
        <w:jc w:val="both"/>
        <w:rPr>
          <w:rFonts w:ascii="Times New Roman" w:hAnsi="Times New Roman" w:cs="Times New Roman"/>
          <w:color w:val="000000" w:themeColor="text1"/>
          <w:sz w:val="28"/>
          <w:szCs w:val="28"/>
          <w:lang w:val="es-ES"/>
        </w:rPr>
      </w:pPr>
      <w:r w:rsidRPr="005D36F1">
        <w:rPr>
          <w:rFonts w:ascii="Times New Roman" w:hAnsi="Times New Roman" w:cs="Times New Roman"/>
          <w:color w:val="000000" w:themeColor="text1"/>
          <w:sz w:val="28"/>
          <w:szCs w:val="28"/>
          <w:lang w:val="es-ES"/>
        </w:rPr>
        <w:t>En</w:t>
      </w:r>
      <w:r w:rsidRPr="005D36F1">
        <w:rPr>
          <w:rFonts w:ascii="Times New Roman" w:hAnsi="Times New Roman" w:cs="Times New Roman"/>
          <w:color w:val="000000" w:themeColor="text1"/>
          <w:sz w:val="28"/>
          <w:szCs w:val="28"/>
          <w:lang w:val="es-ES"/>
        </w:rPr>
        <w:t xml:space="preserve"> Colombia </w:t>
      </w:r>
      <w:r w:rsidRPr="005D36F1">
        <w:rPr>
          <w:rFonts w:ascii="Times New Roman" w:hAnsi="Times New Roman" w:cs="Times New Roman"/>
          <w:color w:val="000000" w:themeColor="text1"/>
          <w:sz w:val="28"/>
          <w:szCs w:val="28"/>
          <w:lang w:val="es-ES"/>
        </w:rPr>
        <w:t xml:space="preserve">no se cuenta con estudios </w:t>
      </w:r>
      <w:r w:rsidRPr="005D36F1">
        <w:rPr>
          <w:rFonts w:ascii="Times New Roman" w:hAnsi="Times New Roman" w:cs="Times New Roman"/>
          <w:color w:val="000000" w:themeColor="text1"/>
          <w:sz w:val="28"/>
          <w:szCs w:val="28"/>
          <w:lang w:val="es-ES"/>
        </w:rPr>
        <w:t xml:space="preserve">propios </w:t>
      </w:r>
      <w:r w:rsidRPr="005D36F1">
        <w:rPr>
          <w:rFonts w:ascii="Times New Roman" w:hAnsi="Times New Roman" w:cs="Times New Roman"/>
          <w:color w:val="000000" w:themeColor="text1"/>
          <w:sz w:val="28"/>
          <w:szCs w:val="28"/>
          <w:lang w:val="es-ES"/>
        </w:rPr>
        <w:t xml:space="preserve">que sean precisos sobre </w:t>
      </w:r>
      <w:r w:rsidRPr="005D36F1">
        <w:rPr>
          <w:rFonts w:ascii="Times New Roman" w:hAnsi="Times New Roman" w:cs="Times New Roman"/>
          <w:color w:val="000000" w:themeColor="text1"/>
          <w:sz w:val="28"/>
          <w:szCs w:val="28"/>
          <w:lang w:val="es-ES"/>
        </w:rPr>
        <w:t>la afectación de los hijos en los hogares en los que alguno de los padres es consumidor habitual</w:t>
      </w:r>
      <w:r w:rsidRPr="005D36F1">
        <w:rPr>
          <w:rFonts w:ascii="Times New Roman" w:hAnsi="Times New Roman" w:cs="Times New Roman"/>
          <w:color w:val="000000" w:themeColor="text1"/>
          <w:sz w:val="28"/>
          <w:szCs w:val="28"/>
          <w:lang w:val="es-ES"/>
        </w:rPr>
        <w:t>. No obstante</w:t>
      </w:r>
      <w:r w:rsidRPr="005D36F1">
        <w:rPr>
          <w:rFonts w:ascii="Times New Roman" w:hAnsi="Times New Roman" w:cs="Times New Roman"/>
          <w:color w:val="000000" w:themeColor="text1"/>
          <w:sz w:val="28"/>
          <w:szCs w:val="28"/>
          <w:lang w:val="es-ES"/>
        </w:rPr>
        <w:t>, ello</w:t>
      </w:r>
      <w:r w:rsidRPr="005D36F1">
        <w:rPr>
          <w:rFonts w:ascii="Times New Roman" w:hAnsi="Times New Roman" w:cs="Times New Roman"/>
          <w:color w:val="000000" w:themeColor="text1"/>
          <w:sz w:val="28"/>
          <w:szCs w:val="28"/>
          <w:lang w:val="es-ES"/>
        </w:rPr>
        <w:t xml:space="preserve"> no quiere decir que</w:t>
      </w:r>
      <w:r w:rsidRPr="005D36F1">
        <w:rPr>
          <w:rFonts w:ascii="Times New Roman" w:hAnsi="Times New Roman" w:cs="Times New Roman"/>
          <w:color w:val="000000" w:themeColor="text1"/>
          <w:sz w:val="28"/>
          <w:szCs w:val="28"/>
          <w:lang w:val="es-ES"/>
        </w:rPr>
        <w:t xml:space="preserve"> de otros medios no se pueda colegir el </w:t>
      </w:r>
      <w:r w:rsidRPr="005D36F1">
        <w:rPr>
          <w:rFonts w:ascii="Times New Roman" w:hAnsi="Times New Roman" w:cs="Times New Roman"/>
          <w:color w:val="000000" w:themeColor="text1"/>
          <w:sz w:val="28"/>
          <w:szCs w:val="28"/>
          <w:lang w:val="es-ES"/>
        </w:rPr>
        <w:t>impacto en los niños que conviven en un ambiente en donde habita el consumo. Como se explicó previamente, las barreras que encuentran las mujeres para solicitar su reconocimiento pensional en un c</w:t>
      </w:r>
      <w:r w:rsidRPr="005D36F1">
        <w:rPr>
          <w:rFonts w:ascii="Times New Roman" w:hAnsi="Times New Roman" w:cs="Times New Roman"/>
          <w:color w:val="000000" w:themeColor="text1"/>
          <w:sz w:val="28"/>
          <w:szCs w:val="28"/>
          <w:lang w:val="es-ES"/>
        </w:rPr>
        <w:t xml:space="preserve">ontexto de abandono y consumo, </w:t>
      </w:r>
      <w:r w:rsidRPr="005D36F1">
        <w:rPr>
          <w:rFonts w:ascii="Times New Roman" w:hAnsi="Times New Roman" w:cs="Times New Roman"/>
          <w:color w:val="000000" w:themeColor="text1"/>
          <w:sz w:val="28"/>
          <w:szCs w:val="28"/>
          <w:lang w:val="es-ES"/>
        </w:rPr>
        <w:t>pueden</w:t>
      </w:r>
      <w:r w:rsidRPr="005D36F1">
        <w:rPr>
          <w:rFonts w:ascii="Times New Roman" w:hAnsi="Times New Roman" w:cs="Times New Roman"/>
          <w:color w:val="000000" w:themeColor="text1"/>
          <w:sz w:val="28"/>
          <w:szCs w:val="28"/>
          <w:lang w:val="es-ES"/>
        </w:rPr>
        <w:t xml:space="preserve"> repercutir en los hijos. A su vez, </w:t>
      </w:r>
      <w:r w:rsidRPr="005D36F1">
        <w:rPr>
          <w:rFonts w:ascii="Times New Roman" w:hAnsi="Times New Roman" w:cs="Times New Roman"/>
          <w:color w:val="000000" w:themeColor="text1"/>
          <w:sz w:val="28"/>
          <w:szCs w:val="28"/>
          <w:lang w:val="es-ES"/>
        </w:rPr>
        <w:t>puede darse la situación de que el cónyuge no consumidor este a cargo de la defensa y guarda de los hijos, quien deberá acudir a las instancias judiciales para conciliar alimentos y r</w:t>
      </w:r>
      <w:r w:rsidRPr="005D36F1">
        <w:rPr>
          <w:rFonts w:ascii="Times New Roman" w:hAnsi="Times New Roman" w:cs="Times New Roman"/>
          <w:color w:val="000000" w:themeColor="text1"/>
          <w:sz w:val="28"/>
          <w:szCs w:val="28"/>
          <w:lang w:val="es-ES"/>
        </w:rPr>
        <w:t>egular las visitas correspondientes.</w:t>
      </w:r>
      <w:r w:rsidRPr="005D36F1">
        <w:rPr>
          <w:rFonts w:ascii="Times New Roman" w:hAnsi="Times New Roman" w:cs="Times New Roman"/>
          <w:color w:val="000000" w:themeColor="text1"/>
          <w:sz w:val="28"/>
          <w:szCs w:val="28"/>
          <w:vertAlign w:val="superscript"/>
          <w:lang w:val="es-ES"/>
        </w:rPr>
        <w:footnoteReference w:id="199"/>
      </w:r>
    </w:p>
    <w:p w:rsidR="00655C8B" w:rsidRPr="005D36F1" w:rsidRDefault="005D36F1" w:rsidP="004F1B0B">
      <w:pPr>
        <w:tabs>
          <w:tab w:val="center" w:pos="3611"/>
        </w:tabs>
        <w:jc w:val="both"/>
        <w:rPr>
          <w:rFonts w:ascii="Times New Roman" w:hAnsi="Times New Roman" w:cs="Times New Roman"/>
          <w:color w:val="000000" w:themeColor="text1"/>
          <w:sz w:val="28"/>
          <w:szCs w:val="28"/>
          <w:lang w:val="es-ES"/>
        </w:rPr>
      </w:pPr>
    </w:p>
    <w:p w:rsidR="00E45792" w:rsidRPr="005D36F1" w:rsidRDefault="005D36F1" w:rsidP="00D826F0">
      <w:pPr>
        <w:tabs>
          <w:tab w:val="center" w:pos="3611"/>
        </w:tabs>
        <w:jc w:val="both"/>
        <w:rPr>
          <w:rFonts w:ascii="Times New Roman" w:hAnsi="Times New Roman" w:cs="Times New Roman"/>
          <w:color w:val="000000" w:themeColor="text1"/>
          <w:sz w:val="28"/>
          <w:szCs w:val="28"/>
          <w:lang w:val="es-ES"/>
        </w:rPr>
      </w:pPr>
      <w:r w:rsidRPr="005D36F1">
        <w:rPr>
          <w:rFonts w:ascii="Times New Roman" w:hAnsi="Times New Roman" w:cs="Times New Roman"/>
          <w:color w:val="000000" w:themeColor="text1"/>
          <w:sz w:val="28"/>
          <w:szCs w:val="28"/>
          <w:lang w:val="es-ES"/>
        </w:rPr>
        <w:t>Además, d</w:t>
      </w:r>
      <w:r w:rsidRPr="005D36F1">
        <w:rPr>
          <w:rFonts w:ascii="Times New Roman" w:hAnsi="Times New Roman" w:cs="Times New Roman"/>
          <w:color w:val="000000" w:themeColor="text1"/>
          <w:sz w:val="28"/>
          <w:szCs w:val="28"/>
          <w:lang w:val="es-ES"/>
        </w:rPr>
        <w:t>iferentes estudios han</w:t>
      </w:r>
      <w:r w:rsidRPr="005D36F1">
        <w:rPr>
          <w:rFonts w:ascii="Times New Roman" w:hAnsi="Times New Roman" w:cs="Times New Roman"/>
          <w:color w:val="000000" w:themeColor="text1"/>
          <w:sz w:val="28"/>
          <w:szCs w:val="28"/>
          <w:lang w:val="es-ES"/>
        </w:rPr>
        <w:t xml:space="preserve"> podido corroborar </w:t>
      </w:r>
      <w:r w:rsidRPr="005D36F1">
        <w:rPr>
          <w:rFonts w:ascii="Times New Roman" w:hAnsi="Times New Roman" w:cs="Times New Roman"/>
          <w:color w:val="000000" w:themeColor="text1"/>
          <w:sz w:val="28"/>
          <w:szCs w:val="28"/>
          <w:lang w:val="es-ES"/>
        </w:rPr>
        <w:t>una asociación entre el consumo de sustancias psicoactivas y el maltrato infantil</w:t>
      </w:r>
      <w:r w:rsidRPr="005D36F1">
        <w:rPr>
          <w:rFonts w:ascii="Times New Roman" w:hAnsi="Times New Roman" w:cs="Times New Roman"/>
          <w:color w:val="000000" w:themeColor="text1"/>
          <w:sz w:val="28"/>
          <w:szCs w:val="28"/>
          <w:lang w:val="es-ES"/>
        </w:rPr>
        <w:t>, entre otros factores</w:t>
      </w:r>
      <w:r w:rsidRPr="005D36F1">
        <w:rPr>
          <w:rFonts w:ascii="Times New Roman" w:hAnsi="Times New Roman" w:cs="Times New Roman"/>
          <w:color w:val="000000" w:themeColor="text1"/>
          <w:sz w:val="28"/>
          <w:szCs w:val="28"/>
          <w:lang w:val="es-ES"/>
        </w:rPr>
        <w:t>. L</w:t>
      </w:r>
      <w:r w:rsidRPr="005D36F1">
        <w:rPr>
          <w:rFonts w:ascii="Times New Roman" w:hAnsi="Times New Roman" w:cs="Times New Roman"/>
          <w:color w:val="000000" w:themeColor="text1"/>
          <w:sz w:val="28"/>
          <w:szCs w:val="28"/>
          <w:lang w:val="es-ES"/>
        </w:rPr>
        <w:t xml:space="preserve">a Secretaría de Salud de Bogotá y la Facultad de Enfermería </w:t>
      </w:r>
      <w:r w:rsidRPr="005D36F1">
        <w:rPr>
          <w:rFonts w:ascii="Times New Roman" w:hAnsi="Times New Roman" w:cs="Times New Roman"/>
          <w:color w:val="000000" w:themeColor="text1"/>
          <w:sz w:val="28"/>
          <w:szCs w:val="28"/>
          <w:lang w:val="es-ES"/>
        </w:rPr>
        <w:t>de la Pontificia Universidad Javeriana</w:t>
      </w:r>
      <w:r w:rsidRPr="005D36F1">
        <w:rPr>
          <w:rFonts w:ascii="Times New Roman" w:hAnsi="Times New Roman" w:cs="Times New Roman"/>
          <w:color w:val="000000" w:themeColor="text1"/>
          <w:sz w:val="28"/>
          <w:szCs w:val="28"/>
          <w:lang w:val="es-ES"/>
        </w:rPr>
        <w:t xml:space="preserve">, en un estudio descriptivo conjunto, concluyeron que en el 40% de los casos de niños maltratados, los agresores eran los padres o cuidadores y se encontraban bajo efectos del alcohol </w:t>
      </w:r>
      <w:r w:rsidRPr="005D36F1">
        <w:rPr>
          <w:rFonts w:ascii="Times New Roman" w:hAnsi="Times New Roman" w:cs="Times New Roman"/>
          <w:color w:val="000000" w:themeColor="text1"/>
          <w:sz w:val="28"/>
          <w:szCs w:val="28"/>
          <w:lang w:val="es-ES"/>
        </w:rPr>
        <w:t>o</w:t>
      </w:r>
      <w:r w:rsidRPr="005D36F1">
        <w:rPr>
          <w:rFonts w:ascii="Times New Roman" w:hAnsi="Times New Roman" w:cs="Times New Roman"/>
          <w:color w:val="000000" w:themeColor="text1"/>
          <w:sz w:val="28"/>
          <w:szCs w:val="28"/>
          <w:lang w:val="es-ES"/>
        </w:rPr>
        <w:t xml:space="preserve"> drogas. Al respecto, se afirmó q</w:t>
      </w:r>
      <w:r w:rsidRPr="005D36F1">
        <w:rPr>
          <w:rFonts w:ascii="Times New Roman" w:hAnsi="Times New Roman" w:cs="Times New Roman"/>
          <w:color w:val="000000" w:themeColor="text1"/>
          <w:sz w:val="28"/>
          <w:szCs w:val="28"/>
          <w:lang w:val="es-ES"/>
        </w:rPr>
        <w:t xml:space="preserve">ue la </w:t>
      </w:r>
      <w:r w:rsidRPr="005D36F1">
        <w:rPr>
          <w:rFonts w:ascii="Times New Roman" w:hAnsi="Times New Roman" w:cs="Times New Roman"/>
          <w:i/>
          <w:iCs/>
          <w:color w:val="000000" w:themeColor="text1"/>
          <w:sz w:val="28"/>
          <w:szCs w:val="28"/>
          <w:lang w:val="es-ES"/>
        </w:rPr>
        <w:t>“</w:t>
      </w:r>
      <w:r w:rsidRPr="005D36F1">
        <w:rPr>
          <w:rFonts w:ascii="Times New Roman" w:hAnsi="Times New Roman" w:cs="Times New Roman"/>
          <w:i/>
          <w:iCs/>
          <w:color w:val="000000" w:themeColor="text1"/>
          <w:sz w:val="28"/>
          <w:szCs w:val="28"/>
          <w:lang w:val="es-ES"/>
        </w:rPr>
        <w:t>situación de violencia contra la mujer, agravada con el consumo de sustancias (alcohol y drogas) por parte del agresor y sus víctimas, produce en toda la familia un daño emocional perdurable, deterioro de la calidad de vida y del desarrollo social h</w:t>
      </w:r>
      <w:r w:rsidRPr="005D36F1">
        <w:rPr>
          <w:rFonts w:ascii="Times New Roman" w:hAnsi="Times New Roman" w:cs="Times New Roman"/>
          <w:i/>
          <w:iCs/>
          <w:color w:val="000000" w:themeColor="text1"/>
          <w:sz w:val="28"/>
          <w:szCs w:val="28"/>
          <w:lang w:val="es-ES"/>
        </w:rPr>
        <w:t>umano.</w:t>
      </w:r>
      <w:r w:rsidRPr="005D36F1">
        <w:rPr>
          <w:rFonts w:ascii="Times New Roman" w:hAnsi="Times New Roman" w:cs="Times New Roman"/>
          <w:i/>
          <w:iCs/>
          <w:color w:val="000000" w:themeColor="text1"/>
          <w:sz w:val="28"/>
          <w:szCs w:val="28"/>
          <w:lang w:val="es-ES"/>
        </w:rPr>
        <w:t>”</w:t>
      </w:r>
      <w:r w:rsidRPr="005D36F1">
        <w:rPr>
          <w:rFonts w:ascii="Times New Roman" w:hAnsi="Times New Roman" w:cs="Times New Roman"/>
          <w:color w:val="000000" w:themeColor="text1"/>
          <w:sz w:val="28"/>
          <w:szCs w:val="28"/>
          <w:vertAlign w:val="superscript"/>
          <w:lang w:val="es-ES"/>
        </w:rPr>
        <w:t xml:space="preserve"> </w:t>
      </w:r>
      <w:r w:rsidRPr="005D36F1">
        <w:rPr>
          <w:rFonts w:ascii="Times New Roman" w:hAnsi="Times New Roman" w:cs="Times New Roman"/>
          <w:color w:val="000000" w:themeColor="text1"/>
          <w:sz w:val="28"/>
          <w:szCs w:val="28"/>
          <w:vertAlign w:val="superscript"/>
          <w:lang w:val="es-ES"/>
        </w:rPr>
        <w:footnoteReference w:id="200"/>
      </w:r>
      <w:r w:rsidRPr="005D36F1">
        <w:rPr>
          <w:rFonts w:ascii="Times New Roman" w:hAnsi="Times New Roman" w:cs="Times New Roman"/>
          <w:color w:val="000000" w:themeColor="text1"/>
          <w:sz w:val="28"/>
          <w:szCs w:val="28"/>
          <w:lang w:val="es-ES"/>
        </w:rPr>
        <w:t xml:space="preserve"> </w:t>
      </w:r>
    </w:p>
    <w:p w:rsidR="00E45792" w:rsidRPr="005D36F1" w:rsidRDefault="005D36F1" w:rsidP="00D826F0">
      <w:pPr>
        <w:tabs>
          <w:tab w:val="center" w:pos="3611"/>
        </w:tabs>
        <w:jc w:val="both"/>
        <w:rPr>
          <w:rFonts w:ascii="Times New Roman" w:hAnsi="Times New Roman" w:cs="Times New Roman"/>
          <w:color w:val="000000" w:themeColor="text1"/>
          <w:sz w:val="28"/>
          <w:szCs w:val="28"/>
          <w:lang w:val="es-ES"/>
        </w:rPr>
      </w:pPr>
    </w:p>
    <w:p w:rsidR="00515540" w:rsidRPr="005D36F1" w:rsidRDefault="005D36F1" w:rsidP="00D826F0">
      <w:pPr>
        <w:tabs>
          <w:tab w:val="center" w:pos="3611"/>
        </w:tabs>
        <w:jc w:val="both"/>
        <w:rPr>
          <w:rFonts w:ascii="Times New Roman" w:hAnsi="Times New Roman" w:cs="Times New Roman"/>
          <w:color w:val="000000" w:themeColor="text1"/>
          <w:sz w:val="28"/>
          <w:szCs w:val="28"/>
          <w:lang w:val="es-ES"/>
        </w:rPr>
      </w:pPr>
      <w:r w:rsidRPr="005D36F1">
        <w:rPr>
          <w:rFonts w:ascii="Times New Roman" w:hAnsi="Times New Roman" w:cs="Times New Roman"/>
          <w:color w:val="000000" w:themeColor="text1"/>
          <w:sz w:val="28"/>
          <w:szCs w:val="28"/>
          <w:lang w:val="es-ES"/>
        </w:rPr>
        <w:t>Asimismo, según el Instituto Nacional de Medicina Legal y Ciencias Forenses, la violencia intrafamiliar es un problema multicultural que se asocia con varios factores como el uso de alcohol y drogas, lo que incide, entre otros asuntos, en el rendimiento es</w:t>
      </w:r>
      <w:r w:rsidRPr="005D36F1">
        <w:rPr>
          <w:rFonts w:ascii="Times New Roman" w:hAnsi="Times New Roman" w:cs="Times New Roman"/>
          <w:color w:val="000000" w:themeColor="text1"/>
          <w:sz w:val="28"/>
          <w:szCs w:val="28"/>
          <w:lang w:val="es-ES"/>
        </w:rPr>
        <w:t xml:space="preserve">colar. Además, afirmó que </w:t>
      </w:r>
      <w:r w:rsidRPr="005D36F1">
        <w:rPr>
          <w:rFonts w:ascii="Times New Roman" w:hAnsi="Times New Roman" w:cs="Times New Roman"/>
          <w:color w:val="000000" w:themeColor="text1"/>
          <w:sz w:val="28"/>
          <w:szCs w:val="28"/>
          <w:lang w:val="es-ES"/>
        </w:rPr>
        <w:t>el exceso en el consumo de alcohol y drogas, así como la reproducción de conductas violentas</w:t>
      </w:r>
      <w:r w:rsidRPr="005D36F1">
        <w:rPr>
          <w:rFonts w:ascii="Times New Roman" w:hAnsi="Times New Roman" w:cs="Times New Roman"/>
          <w:color w:val="000000" w:themeColor="text1"/>
          <w:sz w:val="28"/>
          <w:szCs w:val="28"/>
          <w:lang w:val="es-ES"/>
        </w:rPr>
        <w:t>,</w:t>
      </w:r>
      <w:r w:rsidRPr="005D36F1">
        <w:rPr>
          <w:rFonts w:ascii="Times New Roman" w:hAnsi="Times New Roman" w:cs="Times New Roman"/>
          <w:color w:val="000000" w:themeColor="text1"/>
          <w:sz w:val="28"/>
          <w:szCs w:val="28"/>
          <w:lang w:val="es-ES"/>
        </w:rPr>
        <w:t xml:space="preserve"> pueden hacer que </w:t>
      </w:r>
      <w:r w:rsidRPr="005D36F1">
        <w:rPr>
          <w:rFonts w:ascii="Times New Roman" w:hAnsi="Times New Roman" w:cs="Times New Roman"/>
          <w:color w:val="000000" w:themeColor="text1"/>
          <w:sz w:val="28"/>
          <w:szCs w:val="28"/>
          <w:lang w:val="es-ES"/>
        </w:rPr>
        <w:t xml:space="preserve">las víctimas de maltrato en el hogar </w:t>
      </w:r>
      <w:r w:rsidRPr="005D36F1">
        <w:rPr>
          <w:rFonts w:ascii="Times New Roman" w:hAnsi="Times New Roman" w:cs="Times New Roman"/>
          <w:color w:val="000000" w:themeColor="text1"/>
          <w:sz w:val="28"/>
          <w:szCs w:val="28"/>
          <w:lang w:val="es-ES"/>
        </w:rPr>
        <w:t>se conviertan</w:t>
      </w:r>
      <w:r w:rsidRPr="005D36F1">
        <w:rPr>
          <w:rFonts w:ascii="Times New Roman" w:hAnsi="Times New Roman" w:cs="Times New Roman"/>
          <w:color w:val="000000" w:themeColor="text1"/>
          <w:sz w:val="28"/>
          <w:szCs w:val="28"/>
          <w:lang w:val="es-ES"/>
        </w:rPr>
        <w:t xml:space="preserve"> en perpetradoras de actividades criminales</w:t>
      </w:r>
      <w:r w:rsidRPr="005D36F1">
        <w:rPr>
          <w:rFonts w:ascii="Times New Roman" w:hAnsi="Times New Roman" w:cs="Times New Roman"/>
          <w:color w:val="000000" w:themeColor="text1"/>
          <w:sz w:val="28"/>
          <w:szCs w:val="28"/>
          <w:lang w:val="es-ES"/>
        </w:rPr>
        <w:t xml:space="preserve"> por fuera del hogar.</w:t>
      </w:r>
      <w:r w:rsidRPr="005D36F1">
        <w:rPr>
          <w:rFonts w:ascii="Times New Roman" w:hAnsi="Times New Roman" w:cs="Times New Roman"/>
          <w:color w:val="000000" w:themeColor="text1"/>
          <w:sz w:val="28"/>
          <w:szCs w:val="28"/>
          <w:vertAlign w:val="superscript"/>
          <w:lang w:val="es-ES"/>
        </w:rPr>
        <w:footnoteReference w:id="201"/>
      </w:r>
    </w:p>
    <w:p w:rsidR="004F1B0B" w:rsidRPr="005D36F1" w:rsidRDefault="005D36F1" w:rsidP="004F1B0B">
      <w:pPr>
        <w:tabs>
          <w:tab w:val="center" w:pos="3611"/>
        </w:tabs>
        <w:jc w:val="both"/>
        <w:rPr>
          <w:rFonts w:ascii="Times New Roman" w:hAnsi="Times New Roman" w:cs="Times New Roman"/>
          <w:color w:val="000000" w:themeColor="text1"/>
          <w:sz w:val="28"/>
          <w:szCs w:val="28"/>
          <w:lang w:val="es-ES"/>
        </w:rPr>
      </w:pPr>
    </w:p>
    <w:p w:rsidR="00CA3ED2" w:rsidRPr="005D36F1" w:rsidRDefault="005D36F1" w:rsidP="00F71F63">
      <w:pPr>
        <w:tabs>
          <w:tab w:val="center" w:pos="3611"/>
        </w:tabs>
        <w:jc w:val="both"/>
        <w:rPr>
          <w:rFonts w:ascii="Times New Roman" w:hAnsi="Times New Roman" w:cs="Times New Roman"/>
          <w:color w:val="000000" w:themeColor="text1"/>
          <w:sz w:val="28"/>
          <w:szCs w:val="28"/>
          <w:lang w:val="es-ES"/>
        </w:rPr>
      </w:pPr>
      <w:r w:rsidRPr="005D36F1">
        <w:rPr>
          <w:rFonts w:ascii="Times New Roman" w:hAnsi="Times New Roman" w:cs="Times New Roman"/>
          <w:color w:val="000000" w:themeColor="text1"/>
          <w:sz w:val="28"/>
          <w:szCs w:val="28"/>
          <w:lang w:val="es-ES"/>
        </w:rPr>
        <w:t>Recuérdese que según lo ha dictaminado la Convención Sobre los Derechos del Niño,</w:t>
      </w:r>
      <w:r w:rsidRPr="005D36F1">
        <w:rPr>
          <w:rFonts w:ascii="Times New Roman" w:hAnsi="Times New Roman" w:cs="Times New Roman"/>
          <w:color w:val="000000" w:themeColor="text1"/>
          <w:sz w:val="28"/>
          <w:szCs w:val="28"/>
          <w:vertAlign w:val="superscript"/>
          <w:lang w:val="es-ES"/>
        </w:rPr>
        <w:footnoteReference w:id="202"/>
      </w:r>
      <w:r w:rsidRPr="005D36F1">
        <w:rPr>
          <w:rFonts w:ascii="Times New Roman" w:hAnsi="Times New Roman" w:cs="Times New Roman"/>
          <w:color w:val="000000" w:themeColor="text1"/>
          <w:sz w:val="28"/>
          <w:szCs w:val="28"/>
          <w:lang w:val="es-ES"/>
        </w:rPr>
        <w:t xml:space="preserve"> así como el Comité que le hace seguimiento, los Estados parte deben </w:t>
      </w:r>
      <w:r w:rsidRPr="005D36F1">
        <w:rPr>
          <w:rFonts w:ascii="Times New Roman" w:hAnsi="Times New Roman" w:cs="Times New Roman"/>
          <w:color w:val="000000" w:themeColor="text1"/>
          <w:sz w:val="28"/>
          <w:szCs w:val="28"/>
          <w:lang w:val="es-ES"/>
        </w:rPr>
        <w:t>adopt</w:t>
      </w:r>
      <w:r w:rsidRPr="005D36F1">
        <w:rPr>
          <w:rFonts w:ascii="Times New Roman" w:hAnsi="Times New Roman" w:cs="Times New Roman"/>
          <w:color w:val="000000" w:themeColor="text1"/>
          <w:sz w:val="28"/>
          <w:szCs w:val="28"/>
          <w:lang w:val="es-ES"/>
        </w:rPr>
        <w:t>ar todas las medidas necesarias para proteger a los niños contra el uso de estupefacientes y sustanc</w:t>
      </w:r>
      <w:r w:rsidRPr="005D36F1">
        <w:rPr>
          <w:rFonts w:ascii="Times New Roman" w:hAnsi="Times New Roman" w:cs="Times New Roman"/>
          <w:color w:val="000000" w:themeColor="text1"/>
          <w:sz w:val="28"/>
          <w:szCs w:val="28"/>
          <w:lang w:val="es-ES"/>
        </w:rPr>
        <w:t>ias sicotrópicas. Además, el derecho que tienen los niños a que se les proporcione información adecuada, así como formación precisa sobre la forma de proteger su salud y desarrollo y de observar un comportamiento sano, lo que incluye información sobre el u</w:t>
      </w:r>
      <w:r w:rsidRPr="005D36F1">
        <w:rPr>
          <w:rFonts w:ascii="Times New Roman" w:hAnsi="Times New Roman" w:cs="Times New Roman"/>
          <w:color w:val="000000" w:themeColor="text1"/>
          <w:sz w:val="28"/>
          <w:szCs w:val="28"/>
          <w:lang w:val="es-ES"/>
        </w:rPr>
        <w:t>so y consumo del tabaco, el alcohol, entre otras.</w:t>
      </w:r>
      <w:r w:rsidRPr="005D36F1">
        <w:rPr>
          <w:rFonts w:ascii="Times New Roman" w:hAnsi="Times New Roman" w:cs="Times New Roman"/>
          <w:color w:val="000000" w:themeColor="text1"/>
          <w:sz w:val="28"/>
          <w:szCs w:val="28"/>
          <w:vertAlign w:val="superscript"/>
          <w:lang w:val="es-ES"/>
        </w:rPr>
        <w:footnoteReference w:id="203"/>
      </w:r>
    </w:p>
    <w:p w:rsidR="00F71F63" w:rsidRPr="005D36F1" w:rsidRDefault="005D36F1" w:rsidP="00F71F63">
      <w:pPr>
        <w:tabs>
          <w:tab w:val="center" w:pos="3611"/>
        </w:tabs>
        <w:jc w:val="both"/>
        <w:rPr>
          <w:rFonts w:ascii="Times New Roman" w:hAnsi="Times New Roman" w:cs="Times New Roman"/>
          <w:color w:val="000000" w:themeColor="text1"/>
          <w:sz w:val="28"/>
          <w:szCs w:val="28"/>
          <w:lang w:val="es-ES"/>
        </w:rPr>
      </w:pPr>
    </w:p>
    <w:p w:rsidR="00AF47C6" w:rsidRPr="005D36F1" w:rsidRDefault="005D36F1" w:rsidP="00F71F63">
      <w:pPr>
        <w:tabs>
          <w:tab w:val="center" w:pos="3611"/>
        </w:tabs>
        <w:jc w:val="both"/>
        <w:rPr>
          <w:rFonts w:ascii="Times New Roman" w:hAnsi="Times New Roman" w:cs="Times New Roman"/>
          <w:color w:val="000000" w:themeColor="text1"/>
          <w:sz w:val="28"/>
          <w:szCs w:val="28"/>
          <w:lang w:val="es-ES"/>
        </w:rPr>
      </w:pPr>
      <w:r w:rsidRPr="005D36F1">
        <w:rPr>
          <w:rFonts w:ascii="Times New Roman" w:hAnsi="Times New Roman" w:cs="Times New Roman"/>
          <w:color w:val="000000" w:themeColor="text1"/>
          <w:sz w:val="28"/>
          <w:szCs w:val="28"/>
          <w:lang w:val="es-ES"/>
        </w:rPr>
        <w:t xml:space="preserve">En la Observación General No. 20 de 2016, el Comité de Derechos del Niño aseguró que los adolescentes tienen mayores probabilidades de ser iniciados en el consumo de drogas y son más propensos a sufrir </w:t>
      </w:r>
      <w:r w:rsidRPr="005D36F1">
        <w:rPr>
          <w:rFonts w:ascii="Times New Roman" w:hAnsi="Times New Roman" w:cs="Times New Roman"/>
          <w:color w:val="000000" w:themeColor="text1"/>
          <w:sz w:val="28"/>
          <w:szCs w:val="28"/>
          <w:lang w:val="es-ES"/>
        </w:rPr>
        <w:t xml:space="preserve">dependencia y </w:t>
      </w:r>
      <w:r w:rsidRPr="005D36F1">
        <w:rPr>
          <w:rFonts w:ascii="Times New Roman" w:hAnsi="Times New Roman" w:cs="Times New Roman"/>
          <w:color w:val="000000" w:themeColor="text1"/>
          <w:sz w:val="28"/>
          <w:szCs w:val="28"/>
          <w:lang w:val="es-ES"/>
        </w:rPr>
        <w:t xml:space="preserve">daños relacionados con su consumo. </w:t>
      </w:r>
      <w:r w:rsidRPr="005D36F1">
        <w:rPr>
          <w:rFonts w:ascii="Times New Roman" w:hAnsi="Times New Roman" w:cs="Times New Roman"/>
          <w:color w:val="000000" w:themeColor="text1"/>
          <w:sz w:val="28"/>
          <w:szCs w:val="28"/>
          <w:lang w:val="es-ES"/>
        </w:rPr>
        <w:t xml:space="preserve">Advirtió que quienes corren un mayor riesgo son los adolescentes de la calle, los excluidos de la escuela, quienes sufren de antecedentes de trauma, de desintegración familiar o maltrato y los que viven con </w:t>
      </w:r>
      <w:r w:rsidRPr="005D36F1">
        <w:rPr>
          <w:rFonts w:ascii="Times New Roman" w:hAnsi="Times New Roman" w:cs="Times New Roman"/>
          <w:color w:val="000000" w:themeColor="text1"/>
          <w:sz w:val="28"/>
          <w:szCs w:val="28"/>
          <w:lang w:val="es-ES"/>
        </w:rPr>
        <w:t xml:space="preserve">familias afectadas por la drogodependencia. De igual manera, se precisó que </w:t>
      </w:r>
      <w:r w:rsidRPr="005D36F1">
        <w:rPr>
          <w:rFonts w:ascii="Times New Roman" w:hAnsi="Times New Roman" w:cs="Times New Roman"/>
          <w:i/>
          <w:iCs/>
          <w:color w:val="000000" w:themeColor="text1"/>
          <w:sz w:val="28"/>
          <w:szCs w:val="28"/>
          <w:lang w:val="es-ES"/>
        </w:rPr>
        <w:t>“[a] medida que atraviesan su segundo decenio de vida, los niños empiezan a explorar y forjar sus propias identidades personales y sociales sobre la base de una compleja interacció</w:t>
      </w:r>
      <w:r w:rsidRPr="005D36F1">
        <w:rPr>
          <w:rFonts w:ascii="Times New Roman" w:hAnsi="Times New Roman" w:cs="Times New Roman"/>
          <w:i/>
          <w:iCs/>
          <w:color w:val="000000" w:themeColor="text1"/>
          <w:sz w:val="28"/>
          <w:szCs w:val="28"/>
          <w:lang w:val="es-ES"/>
        </w:rPr>
        <w:t>n con su propia historia familiar y cultural.”</w:t>
      </w:r>
    </w:p>
    <w:p w:rsidR="00F71F63" w:rsidRPr="005D36F1" w:rsidRDefault="005D36F1" w:rsidP="004F1B0B">
      <w:pPr>
        <w:tabs>
          <w:tab w:val="center" w:pos="3611"/>
        </w:tabs>
        <w:jc w:val="both"/>
        <w:rPr>
          <w:rFonts w:ascii="Times New Roman" w:hAnsi="Times New Roman" w:cs="Times New Roman"/>
          <w:color w:val="000000" w:themeColor="text1"/>
          <w:sz w:val="28"/>
          <w:szCs w:val="28"/>
          <w:lang w:val="es-ES"/>
        </w:rPr>
      </w:pPr>
    </w:p>
    <w:p w:rsidR="00460BBD" w:rsidRPr="005D36F1" w:rsidRDefault="005D36F1" w:rsidP="009721E6">
      <w:pPr>
        <w:tabs>
          <w:tab w:val="center" w:pos="3611"/>
        </w:tabs>
        <w:jc w:val="both"/>
        <w:rPr>
          <w:rFonts w:ascii="Times New Roman" w:hAnsi="Times New Roman" w:cs="Times New Roman"/>
          <w:color w:val="000000" w:themeColor="text1"/>
          <w:sz w:val="28"/>
          <w:szCs w:val="28"/>
          <w:lang w:val="es-ES"/>
        </w:rPr>
      </w:pPr>
      <w:r w:rsidRPr="005D36F1">
        <w:rPr>
          <w:rFonts w:ascii="Times New Roman" w:hAnsi="Times New Roman" w:cs="Times New Roman"/>
          <w:color w:val="000000" w:themeColor="text1"/>
          <w:sz w:val="28"/>
          <w:szCs w:val="28"/>
          <w:lang w:val="es-ES"/>
        </w:rPr>
        <w:t xml:space="preserve">Los niños, niñas y adolescentes son sujetos de especial protección constitucional. </w:t>
      </w:r>
      <w:r w:rsidRPr="005D36F1">
        <w:rPr>
          <w:rFonts w:ascii="Times New Roman" w:hAnsi="Times New Roman" w:cs="Times New Roman"/>
          <w:color w:val="000000" w:themeColor="text1"/>
          <w:sz w:val="28"/>
          <w:szCs w:val="28"/>
          <w:lang w:val="es-ES"/>
        </w:rPr>
        <w:t xml:space="preserve">En consecuencia, así no existan estudios </w:t>
      </w:r>
      <w:r w:rsidRPr="005D36F1">
        <w:rPr>
          <w:rFonts w:ascii="Times New Roman" w:hAnsi="Times New Roman" w:cs="Times New Roman"/>
          <w:color w:val="000000" w:themeColor="text1"/>
          <w:sz w:val="28"/>
          <w:szCs w:val="28"/>
          <w:lang w:val="es-ES"/>
        </w:rPr>
        <w:t xml:space="preserve">directos </w:t>
      </w:r>
      <w:r w:rsidRPr="005D36F1">
        <w:rPr>
          <w:rFonts w:ascii="Times New Roman" w:hAnsi="Times New Roman" w:cs="Times New Roman"/>
          <w:color w:val="000000" w:themeColor="text1"/>
          <w:sz w:val="28"/>
          <w:szCs w:val="28"/>
          <w:lang w:val="es-ES"/>
        </w:rPr>
        <w:t>que confirmen una afectación directa del consumo de sustancias psicoactivas</w:t>
      </w:r>
      <w:r w:rsidRPr="005D36F1">
        <w:rPr>
          <w:rFonts w:ascii="Times New Roman" w:hAnsi="Times New Roman" w:cs="Times New Roman"/>
          <w:color w:val="000000" w:themeColor="text1"/>
          <w:sz w:val="28"/>
          <w:szCs w:val="28"/>
          <w:lang w:val="es-ES"/>
        </w:rPr>
        <w:t xml:space="preserve"> en los niños, no por ello esta Corporación está exenta del deber de </w:t>
      </w:r>
      <w:r w:rsidRPr="005D36F1">
        <w:rPr>
          <w:rFonts w:ascii="Times New Roman" w:hAnsi="Times New Roman" w:cs="Times New Roman"/>
          <w:color w:val="000000" w:themeColor="text1"/>
          <w:sz w:val="28"/>
          <w:szCs w:val="28"/>
          <w:lang w:val="es-ES"/>
        </w:rPr>
        <w:t xml:space="preserve">precaución al </w:t>
      </w:r>
      <w:r w:rsidRPr="005D36F1">
        <w:rPr>
          <w:rFonts w:ascii="Times New Roman" w:hAnsi="Times New Roman" w:cs="Times New Roman"/>
          <w:color w:val="000000" w:themeColor="text1"/>
          <w:sz w:val="28"/>
          <w:szCs w:val="28"/>
          <w:lang w:val="es-ES"/>
        </w:rPr>
        <w:t xml:space="preserve">analizar las consecuencias jurídicas de la </w:t>
      </w:r>
      <w:r w:rsidRPr="005D36F1">
        <w:rPr>
          <w:rFonts w:ascii="Times New Roman" w:hAnsi="Times New Roman" w:cs="Times New Roman"/>
          <w:color w:val="000000" w:themeColor="text1"/>
          <w:sz w:val="28"/>
          <w:szCs w:val="28"/>
          <w:lang w:val="es-ES"/>
        </w:rPr>
        <w:t>norma en su desarrollo</w:t>
      </w:r>
      <w:r w:rsidRPr="005D36F1">
        <w:rPr>
          <w:rFonts w:ascii="Times New Roman" w:hAnsi="Times New Roman" w:cs="Times New Roman"/>
          <w:color w:val="000000" w:themeColor="text1"/>
          <w:sz w:val="28"/>
          <w:szCs w:val="28"/>
          <w:lang w:val="es-ES"/>
        </w:rPr>
        <w:t xml:space="preserve">. </w:t>
      </w:r>
      <w:r w:rsidRPr="005D36F1">
        <w:rPr>
          <w:rFonts w:ascii="Times New Roman" w:hAnsi="Times New Roman" w:cs="Times New Roman"/>
          <w:color w:val="000000" w:themeColor="text1"/>
          <w:sz w:val="28"/>
          <w:szCs w:val="28"/>
          <w:lang w:val="es-ES"/>
        </w:rPr>
        <w:t>L</w:t>
      </w:r>
      <w:r w:rsidRPr="005D36F1">
        <w:rPr>
          <w:rFonts w:ascii="Times New Roman" w:hAnsi="Times New Roman" w:cs="Times New Roman"/>
          <w:color w:val="000000" w:themeColor="text1"/>
          <w:sz w:val="28"/>
          <w:szCs w:val="28"/>
          <w:lang w:val="es-ES"/>
        </w:rPr>
        <w:t xml:space="preserve">o cierto es que </w:t>
      </w:r>
      <w:r w:rsidRPr="005D36F1">
        <w:rPr>
          <w:rFonts w:ascii="Times New Roman" w:hAnsi="Times New Roman" w:cs="Times New Roman"/>
          <w:color w:val="000000" w:themeColor="text1"/>
          <w:sz w:val="28"/>
          <w:szCs w:val="28"/>
          <w:lang w:val="es-ES"/>
        </w:rPr>
        <w:t xml:space="preserve">los niños </w:t>
      </w:r>
      <w:r w:rsidRPr="005D36F1">
        <w:rPr>
          <w:rFonts w:ascii="Times New Roman" w:hAnsi="Times New Roman" w:cs="Times New Roman"/>
          <w:color w:val="000000" w:themeColor="text1"/>
          <w:sz w:val="28"/>
          <w:szCs w:val="28"/>
          <w:lang w:val="es-ES"/>
        </w:rPr>
        <w:t>s</w:t>
      </w:r>
      <w:r w:rsidRPr="005D36F1">
        <w:rPr>
          <w:rFonts w:ascii="Times New Roman" w:hAnsi="Times New Roman" w:cs="Times New Roman"/>
          <w:color w:val="000000" w:themeColor="text1"/>
          <w:sz w:val="28"/>
          <w:szCs w:val="28"/>
          <w:lang w:val="es-ES"/>
        </w:rPr>
        <w:t>í</w:t>
      </w:r>
      <w:r w:rsidRPr="005D36F1">
        <w:rPr>
          <w:rFonts w:ascii="Times New Roman" w:hAnsi="Times New Roman" w:cs="Times New Roman"/>
          <w:color w:val="000000" w:themeColor="text1"/>
          <w:sz w:val="28"/>
          <w:szCs w:val="28"/>
          <w:lang w:val="es-ES"/>
        </w:rPr>
        <w:t xml:space="preserve"> padecen las consecuencias jurídicas de que los cónyuges no consumidores, que</w:t>
      </w:r>
      <w:r w:rsidRPr="005D36F1">
        <w:rPr>
          <w:rFonts w:ascii="Times New Roman" w:hAnsi="Times New Roman" w:cs="Times New Roman"/>
          <w:color w:val="000000" w:themeColor="text1"/>
          <w:sz w:val="28"/>
          <w:szCs w:val="28"/>
          <w:lang w:val="es-ES"/>
        </w:rPr>
        <w:t xml:space="preserve"> son mayoritariamente las madres, no puedan reclamar sus derechos en instancias judiciales, </w:t>
      </w:r>
      <w:r w:rsidRPr="005D36F1">
        <w:rPr>
          <w:rFonts w:ascii="Times New Roman" w:hAnsi="Times New Roman" w:cs="Times New Roman"/>
          <w:color w:val="000000" w:themeColor="text1"/>
          <w:sz w:val="28"/>
          <w:szCs w:val="28"/>
          <w:lang w:val="es-ES"/>
        </w:rPr>
        <w:t xml:space="preserve">como por ejemplo, </w:t>
      </w:r>
      <w:r w:rsidRPr="005D36F1">
        <w:rPr>
          <w:rFonts w:ascii="Times New Roman" w:hAnsi="Times New Roman" w:cs="Times New Roman"/>
          <w:color w:val="000000" w:themeColor="text1"/>
          <w:sz w:val="28"/>
          <w:szCs w:val="28"/>
          <w:lang w:val="es-ES"/>
        </w:rPr>
        <w:t>el</w:t>
      </w:r>
      <w:r w:rsidRPr="005D36F1">
        <w:rPr>
          <w:rFonts w:ascii="Times New Roman" w:hAnsi="Times New Roman" w:cs="Times New Roman"/>
          <w:color w:val="000000" w:themeColor="text1"/>
          <w:sz w:val="28"/>
          <w:szCs w:val="28"/>
          <w:lang w:val="es-ES"/>
        </w:rPr>
        <w:t xml:space="preserve"> reconocimiento de pensión, </w:t>
      </w:r>
      <w:r w:rsidRPr="005D36F1">
        <w:rPr>
          <w:rFonts w:ascii="Times New Roman" w:hAnsi="Times New Roman" w:cs="Times New Roman"/>
          <w:color w:val="000000" w:themeColor="text1"/>
          <w:sz w:val="28"/>
          <w:szCs w:val="28"/>
          <w:lang w:val="es-ES"/>
        </w:rPr>
        <w:t xml:space="preserve">el </w:t>
      </w:r>
      <w:r w:rsidRPr="005D36F1">
        <w:rPr>
          <w:rFonts w:ascii="Times New Roman" w:hAnsi="Times New Roman" w:cs="Times New Roman"/>
          <w:color w:val="000000" w:themeColor="text1"/>
          <w:sz w:val="28"/>
          <w:szCs w:val="28"/>
          <w:lang w:val="es-ES"/>
        </w:rPr>
        <w:t xml:space="preserve">pago de alimentos y </w:t>
      </w:r>
      <w:r w:rsidRPr="005D36F1">
        <w:rPr>
          <w:rFonts w:ascii="Times New Roman" w:hAnsi="Times New Roman" w:cs="Times New Roman"/>
          <w:color w:val="000000" w:themeColor="text1"/>
          <w:sz w:val="28"/>
          <w:szCs w:val="28"/>
          <w:lang w:val="es-ES"/>
        </w:rPr>
        <w:t xml:space="preserve">la </w:t>
      </w:r>
      <w:r w:rsidRPr="005D36F1">
        <w:rPr>
          <w:rFonts w:ascii="Times New Roman" w:hAnsi="Times New Roman" w:cs="Times New Roman"/>
          <w:color w:val="000000" w:themeColor="text1"/>
          <w:sz w:val="28"/>
          <w:szCs w:val="28"/>
          <w:lang w:val="es-ES"/>
        </w:rPr>
        <w:t>conciliación de visitas. Máxime, cuando la causal por el consumo de</w:t>
      </w:r>
      <w:r w:rsidRPr="005D36F1">
        <w:rPr>
          <w:rFonts w:ascii="Times New Roman" w:hAnsi="Times New Roman" w:cs="Times New Roman"/>
          <w:color w:val="000000" w:themeColor="text1"/>
          <w:sz w:val="28"/>
          <w:szCs w:val="28"/>
          <w:lang w:val="es-ES"/>
        </w:rPr>
        <w:t xml:space="preserve"> sustancias psicoactivas condicionó algunas de estas pretensiones.</w:t>
      </w:r>
    </w:p>
    <w:p w:rsidR="00AF449F" w:rsidRPr="005D36F1" w:rsidRDefault="005D36F1" w:rsidP="009721E6">
      <w:pPr>
        <w:tabs>
          <w:tab w:val="center" w:pos="3611"/>
        </w:tabs>
        <w:jc w:val="both"/>
        <w:rPr>
          <w:rFonts w:ascii="Times New Roman" w:hAnsi="Times New Roman" w:cs="Times New Roman"/>
          <w:color w:val="000000" w:themeColor="text1"/>
          <w:sz w:val="28"/>
          <w:szCs w:val="28"/>
          <w:lang w:val="es-ES"/>
        </w:rPr>
      </w:pPr>
    </w:p>
    <w:p w:rsidR="00F23581" w:rsidRPr="005D36F1" w:rsidRDefault="005D36F1" w:rsidP="009721E6">
      <w:pPr>
        <w:tabs>
          <w:tab w:val="center" w:pos="3611"/>
        </w:tabs>
        <w:jc w:val="both"/>
        <w:rPr>
          <w:rFonts w:ascii="Times New Roman" w:hAnsi="Times New Roman" w:cs="Times New Roman"/>
          <w:color w:val="000000" w:themeColor="text1"/>
          <w:sz w:val="28"/>
          <w:szCs w:val="28"/>
          <w:lang w:val="es-ES"/>
        </w:rPr>
      </w:pPr>
      <w:r w:rsidRPr="005D36F1">
        <w:rPr>
          <w:rFonts w:ascii="Times New Roman" w:hAnsi="Times New Roman" w:cs="Times New Roman"/>
          <w:color w:val="000000" w:themeColor="text1"/>
          <w:sz w:val="28"/>
          <w:szCs w:val="28"/>
          <w:lang w:val="es-ES"/>
        </w:rPr>
        <w:t>Si</w:t>
      </w:r>
      <w:r w:rsidRPr="005D36F1">
        <w:rPr>
          <w:rFonts w:ascii="Times New Roman" w:hAnsi="Times New Roman" w:cs="Times New Roman"/>
          <w:color w:val="000000" w:themeColor="text1"/>
          <w:sz w:val="28"/>
          <w:szCs w:val="28"/>
          <w:lang w:val="es-ES"/>
        </w:rPr>
        <w:t xml:space="preserve"> bien pueden confluir otros factores, lo cierto es que el consumo de alcohol o sustancias psicoactivas puede incidir en </w:t>
      </w:r>
      <w:r w:rsidRPr="005D36F1">
        <w:rPr>
          <w:rFonts w:ascii="Times New Roman" w:hAnsi="Times New Roman" w:cs="Times New Roman"/>
          <w:color w:val="000000" w:themeColor="text1"/>
          <w:sz w:val="28"/>
          <w:szCs w:val="28"/>
          <w:lang w:val="es-ES"/>
        </w:rPr>
        <w:t>el</w:t>
      </w:r>
      <w:r w:rsidRPr="005D36F1">
        <w:rPr>
          <w:rFonts w:ascii="Times New Roman" w:hAnsi="Times New Roman" w:cs="Times New Roman"/>
          <w:color w:val="000000" w:themeColor="text1"/>
          <w:sz w:val="28"/>
          <w:szCs w:val="28"/>
          <w:lang w:val="es-ES"/>
        </w:rPr>
        <w:t xml:space="preserve"> maltrato infantil. </w:t>
      </w:r>
      <w:r w:rsidRPr="005D36F1">
        <w:rPr>
          <w:rFonts w:ascii="Times New Roman" w:hAnsi="Times New Roman" w:cs="Times New Roman"/>
          <w:color w:val="000000" w:themeColor="text1"/>
          <w:sz w:val="28"/>
          <w:szCs w:val="28"/>
          <w:lang w:val="es-ES"/>
        </w:rPr>
        <w:t>Y esa agresión, a su vez, puede provocar una</w:t>
      </w:r>
      <w:r w:rsidRPr="005D36F1">
        <w:rPr>
          <w:rFonts w:ascii="Times New Roman" w:hAnsi="Times New Roman" w:cs="Times New Roman"/>
          <w:color w:val="000000" w:themeColor="text1"/>
          <w:sz w:val="28"/>
          <w:szCs w:val="28"/>
          <w:lang w:val="es-ES"/>
        </w:rPr>
        <w:t xml:space="preserve"> convivencia emocional dañina y perdurable en desmedro de todos los integrantes del núcleo familiar. </w:t>
      </w:r>
      <w:r w:rsidRPr="005D36F1">
        <w:rPr>
          <w:rFonts w:ascii="Times New Roman" w:hAnsi="Times New Roman" w:cs="Times New Roman"/>
          <w:color w:val="000000" w:themeColor="text1"/>
          <w:sz w:val="28"/>
          <w:szCs w:val="28"/>
          <w:lang w:val="es-ES"/>
        </w:rPr>
        <w:t>De hecho, el derecho internacional de los derechos humanos ha reconocido que los adolescentes son más propensos a sufrir dependencia al consumo</w:t>
      </w:r>
      <w:r w:rsidRPr="005D36F1">
        <w:rPr>
          <w:rFonts w:ascii="Times New Roman" w:hAnsi="Times New Roman" w:cs="Times New Roman"/>
          <w:color w:val="000000" w:themeColor="text1"/>
          <w:sz w:val="28"/>
          <w:szCs w:val="28"/>
          <w:lang w:val="es-ES"/>
        </w:rPr>
        <w:t xml:space="preserve"> si</w:t>
      </w:r>
      <w:r w:rsidRPr="005D36F1">
        <w:rPr>
          <w:rFonts w:ascii="Times New Roman" w:hAnsi="Times New Roman" w:cs="Times New Roman"/>
          <w:color w:val="000000" w:themeColor="text1"/>
          <w:sz w:val="28"/>
          <w:szCs w:val="28"/>
          <w:lang w:val="es-ES"/>
        </w:rPr>
        <w:t xml:space="preserve"> hay una </w:t>
      </w:r>
      <w:r w:rsidRPr="005D36F1">
        <w:rPr>
          <w:rFonts w:ascii="Times New Roman" w:hAnsi="Times New Roman" w:cs="Times New Roman"/>
          <w:color w:val="000000" w:themeColor="text1"/>
          <w:sz w:val="28"/>
          <w:szCs w:val="28"/>
          <w:lang w:val="es-ES"/>
        </w:rPr>
        <w:t>desintegración familiar</w:t>
      </w:r>
      <w:r w:rsidRPr="005D36F1">
        <w:rPr>
          <w:rFonts w:ascii="Times New Roman" w:hAnsi="Times New Roman" w:cs="Times New Roman"/>
          <w:color w:val="000000" w:themeColor="text1"/>
          <w:sz w:val="28"/>
          <w:szCs w:val="28"/>
          <w:lang w:val="es-ES"/>
        </w:rPr>
        <w:t xml:space="preserve">, un ambiente de maltrato o conviven en familias afectadas por la drogodependencia. </w:t>
      </w:r>
    </w:p>
    <w:p w:rsidR="00460BBD" w:rsidRPr="005D36F1" w:rsidRDefault="005D36F1" w:rsidP="009721E6">
      <w:pPr>
        <w:tabs>
          <w:tab w:val="center" w:pos="3611"/>
        </w:tabs>
        <w:jc w:val="both"/>
        <w:rPr>
          <w:rFonts w:ascii="Times New Roman" w:hAnsi="Times New Roman" w:cs="Times New Roman"/>
          <w:color w:val="000000" w:themeColor="text1"/>
          <w:sz w:val="28"/>
          <w:szCs w:val="28"/>
          <w:lang w:val="es-ES"/>
        </w:rPr>
      </w:pPr>
    </w:p>
    <w:p w:rsidR="00460BBD" w:rsidRPr="005D36F1" w:rsidRDefault="005D36F1" w:rsidP="00460BBD">
      <w:pPr>
        <w:jc w:val="both"/>
        <w:rPr>
          <w:rFonts w:ascii="Times New Roman" w:hAnsi="Times New Roman" w:cs="Times New Roman"/>
          <w:sz w:val="28"/>
          <w:szCs w:val="28"/>
          <w:lang w:val="es-ES"/>
        </w:rPr>
      </w:pPr>
      <w:r w:rsidRPr="005D36F1">
        <w:rPr>
          <w:rFonts w:ascii="Times New Roman" w:hAnsi="Times New Roman" w:cs="Times New Roman"/>
          <w:sz w:val="28"/>
          <w:szCs w:val="28"/>
          <w:lang w:val="es-ES"/>
        </w:rPr>
        <w:t xml:space="preserve">A mi juicio, todas estas </w:t>
      </w:r>
      <w:r w:rsidRPr="005D36F1">
        <w:rPr>
          <w:rFonts w:ascii="Times New Roman" w:hAnsi="Times New Roman" w:cs="Times New Roman"/>
          <w:sz w:val="28"/>
          <w:szCs w:val="28"/>
          <w:lang w:val="es-ES"/>
        </w:rPr>
        <w:t>consideraciones</w:t>
      </w:r>
      <w:r w:rsidRPr="005D36F1">
        <w:rPr>
          <w:rFonts w:ascii="Times New Roman" w:hAnsi="Times New Roman" w:cs="Times New Roman"/>
          <w:sz w:val="28"/>
          <w:szCs w:val="28"/>
          <w:lang w:val="es-ES"/>
        </w:rPr>
        <w:t xml:space="preserve"> debieron ser abordadas en la decisión. Esto es, </w:t>
      </w:r>
      <w:r w:rsidRPr="005D36F1">
        <w:rPr>
          <w:rFonts w:ascii="Times New Roman" w:hAnsi="Times New Roman" w:cs="Times New Roman"/>
          <w:sz w:val="28"/>
          <w:szCs w:val="28"/>
          <w:lang w:val="es-ES"/>
        </w:rPr>
        <w:t>bajo</w:t>
      </w:r>
      <w:r w:rsidRPr="005D36F1">
        <w:rPr>
          <w:rFonts w:ascii="Times New Roman" w:hAnsi="Times New Roman" w:cs="Times New Roman"/>
          <w:sz w:val="28"/>
          <w:szCs w:val="28"/>
          <w:lang w:val="es-ES"/>
        </w:rPr>
        <w:t xml:space="preserve"> el entendido de que </w:t>
      </w:r>
      <w:r w:rsidRPr="005D36F1">
        <w:rPr>
          <w:rFonts w:ascii="Times New Roman" w:hAnsi="Times New Roman" w:cs="Times New Roman"/>
          <w:sz w:val="28"/>
          <w:szCs w:val="28"/>
          <w:lang w:val="es-ES"/>
        </w:rPr>
        <w:t>la cuestión del consumo de sustan</w:t>
      </w:r>
      <w:r w:rsidRPr="005D36F1">
        <w:rPr>
          <w:rFonts w:ascii="Times New Roman" w:hAnsi="Times New Roman" w:cs="Times New Roman"/>
          <w:sz w:val="28"/>
          <w:szCs w:val="28"/>
          <w:lang w:val="es-ES"/>
        </w:rPr>
        <w:t xml:space="preserve">cias psicoactivas no solamente cobija al cónyuge que las consume, sino también a su familia. Así otras causales del </w:t>
      </w:r>
      <w:r w:rsidRPr="005D36F1">
        <w:rPr>
          <w:rFonts w:ascii="Times New Roman" w:hAnsi="Times New Roman" w:cs="Times New Roman"/>
          <w:sz w:val="28"/>
          <w:szCs w:val="28"/>
          <w:lang w:val="es-ES"/>
        </w:rPr>
        <w:t xml:space="preserve">artículo 154 del </w:t>
      </w:r>
      <w:r w:rsidRPr="005D36F1">
        <w:rPr>
          <w:rFonts w:ascii="Times New Roman" w:hAnsi="Times New Roman" w:cs="Times New Roman"/>
          <w:sz w:val="28"/>
          <w:szCs w:val="28"/>
          <w:lang w:val="es-ES"/>
        </w:rPr>
        <w:t xml:space="preserve">Código Civil tengan un vínculo más directo con el goce efectivo de los derechos fundamentales de los niños, niñas y </w:t>
      </w:r>
      <w:r w:rsidRPr="005D36F1">
        <w:rPr>
          <w:rFonts w:ascii="Times New Roman" w:hAnsi="Times New Roman" w:cs="Times New Roman"/>
          <w:sz w:val="28"/>
          <w:szCs w:val="28"/>
          <w:lang w:val="es-ES"/>
        </w:rPr>
        <w:t>adolescentes, como ocurre con la causal segunda</w:t>
      </w:r>
      <w:r w:rsidRPr="005D36F1">
        <w:rPr>
          <w:rFonts w:ascii="Times New Roman" w:hAnsi="Times New Roman" w:cs="Times New Roman"/>
          <w:sz w:val="28"/>
          <w:szCs w:val="28"/>
          <w:lang w:val="es-ES"/>
        </w:rPr>
        <w:t xml:space="preserve"> del artículo bajo estudio</w:t>
      </w:r>
      <w:r w:rsidRPr="005D36F1">
        <w:rPr>
          <w:rFonts w:ascii="Times New Roman" w:hAnsi="Times New Roman" w:cs="Times New Roman"/>
          <w:sz w:val="28"/>
          <w:szCs w:val="28"/>
          <w:lang w:val="es-ES"/>
        </w:rPr>
        <w:t xml:space="preserve">, ello no quiere decir que la hipótesis que gobierna la causal estudiada en esta oportunidad no la tenga, o que si la tiene, no amerite el pronunciamiento constitucional por parte de </w:t>
      </w:r>
      <w:r w:rsidRPr="005D36F1">
        <w:rPr>
          <w:rFonts w:ascii="Times New Roman" w:hAnsi="Times New Roman" w:cs="Times New Roman"/>
          <w:sz w:val="28"/>
          <w:szCs w:val="28"/>
          <w:lang w:val="es-ES"/>
        </w:rPr>
        <w:t>esta Corporación.</w:t>
      </w:r>
    </w:p>
    <w:p w:rsidR="00E0744B" w:rsidRPr="005D36F1" w:rsidRDefault="005D36F1" w:rsidP="00460BBD">
      <w:pPr>
        <w:jc w:val="both"/>
        <w:rPr>
          <w:rFonts w:ascii="Times New Roman" w:hAnsi="Times New Roman" w:cs="Times New Roman"/>
          <w:sz w:val="28"/>
          <w:szCs w:val="28"/>
          <w:lang w:val="es-ES"/>
        </w:rPr>
      </w:pPr>
    </w:p>
    <w:p w:rsidR="00E0744B" w:rsidRPr="005D36F1" w:rsidRDefault="005D36F1" w:rsidP="00E0744B">
      <w:pPr>
        <w:pStyle w:val="Prrafodelista"/>
        <w:ind w:left="360"/>
        <w:jc w:val="both"/>
        <w:rPr>
          <w:rFonts w:ascii="Times New Roman" w:hAnsi="Times New Roman" w:cs="Times New Roman"/>
          <w:b/>
          <w:bCs/>
          <w:i/>
          <w:iCs/>
          <w:sz w:val="28"/>
          <w:szCs w:val="28"/>
          <w:lang w:val="es-ES"/>
        </w:rPr>
      </w:pPr>
      <w:r w:rsidRPr="005D36F1">
        <w:rPr>
          <w:rFonts w:ascii="Times New Roman" w:hAnsi="Times New Roman" w:cs="Times New Roman"/>
          <w:b/>
          <w:bCs/>
          <w:i/>
          <w:iCs/>
          <w:sz w:val="28"/>
          <w:szCs w:val="28"/>
          <w:lang w:val="es-ES"/>
        </w:rPr>
        <w:t>En conclusión</w:t>
      </w:r>
      <w:r w:rsidRPr="005D36F1">
        <w:rPr>
          <w:rFonts w:ascii="Times New Roman" w:hAnsi="Times New Roman" w:cs="Times New Roman"/>
          <w:b/>
          <w:bCs/>
          <w:i/>
          <w:iCs/>
          <w:sz w:val="28"/>
          <w:szCs w:val="28"/>
          <w:lang w:val="es-ES"/>
        </w:rPr>
        <w:t xml:space="preserve">, </w:t>
      </w:r>
      <w:r w:rsidRPr="005D36F1">
        <w:rPr>
          <w:rFonts w:ascii="Times New Roman" w:hAnsi="Times New Roman" w:cs="Times New Roman"/>
          <w:b/>
          <w:bCs/>
          <w:i/>
          <w:iCs/>
          <w:sz w:val="28"/>
          <w:szCs w:val="28"/>
          <w:lang w:val="es-ES"/>
        </w:rPr>
        <w:t>de no haberse maximizado los derechos fundamentales del cónyuge consumidor</w:t>
      </w:r>
      <w:r w:rsidRPr="005D36F1">
        <w:rPr>
          <w:rFonts w:ascii="Times New Roman" w:hAnsi="Times New Roman" w:cs="Times New Roman"/>
          <w:b/>
          <w:bCs/>
          <w:i/>
          <w:iCs/>
          <w:sz w:val="28"/>
          <w:szCs w:val="28"/>
          <w:lang w:val="es-ES"/>
        </w:rPr>
        <w:t xml:space="preserve"> en detrimento de los derechos del cónyuge que no consume y de los hijos</w:t>
      </w:r>
      <w:r w:rsidRPr="005D36F1">
        <w:rPr>
          <w:rFonts w:ascii="Times New Roman" w:hAnsi="Times New Roman" w:cs="Times New Roman"/>
          <w:b/>
          <w:bCs/>
          <w:i/>
          <w:iCs/>
          <w:sz w:val="28"/>
          <w:szCs w:val="28"/>
          <w:lang w:val="es-ES"/>
        </w:rPr>
        <w:t xml:space="preserve">, la Sala Plena habría podido declarar la exequibilidad pura y simple de la </w:t>
      </w:r>
      <w:r w:rsidRPr="005D36F1">
        <w:rPr>
          <w:rFonts w:ascii="Times New Roman" w:hAnsi="Times New Roman" w:cs="Times New Roman"/>
          <w:b/>
          <w:bCs/>
          <w:i/>
          <w:iCs/>
          <w:sz w:val="28"/>
          <w:szCs w:val="28"/>
          <w:lang w:val="es-ES"/>
        </w:rPr>
        <w:t>causal estudiada</w:t>
      </w:r>
    </w:p>
    <w:p w:rsidR="00665DEA" w:rsidRPr="005D36F1" w:rsidRDefault="005D36F1" w:rsidP="00AF78F5">
      <w:pPr>
        <w:jc w:val="both"/>
        <w:rPr>
          <w:rFonts w:ascii="Times New Roman" w:hAnsi="Times New Roman" w:cs="Times New Roman"/>
          <w:b/>
          <w:bCs/>
          <w:i/>
          <w:iCs/>
          <w:sz w:val="28"/>
          <w:szCs w:val="28"/>
          <w:lang w:val="es-ES"/>
        </w:rPr>
      </w:pPr>
    </w:p>
    <w:p w:rsidR="00BC115E" w:rsidRPr="005D36F1" w:rsidRDefault="005D36F1" w:rsidP="002304E7">
      <w:pPr>
        <w:jc w:val="both"/>
        <w:rPr>
          <w:rFonts w:ascii="Times New Roman" w:hAnsi="Times New Roman" w:cs="Times New Roman"/>
          <w:sz w:val="28"/>
          <w:szCs w:val="28"/>
          <w:lang w:val="es-ES"/>
        </w:rPr>
      </w:pPr>
      <w:r w:rsidRPr="005D36F1">
        <w:rPr>
          <w:rFonts w:ascii="Times New Roman" w:hAnsi="Times New Roman" w:cs="Times New Roman"/>
          <w:sz w:val="28"/>
          <w:szCs w:val="28"/>
          <w:lang w:val="es-ES"/>
        </w:rPr>
        <w:t xml:space="preserve">Estoy convencido de que el análisis de la causal quinta del artículo 154 del Código Civil, viéndola </w:t>
      </w:r>
      <w:r w:rsidRPr="005D36F1">
        <w:rPr>
          <w:rFonts w:ascii="Times New Roman" w:hAnsi="Times New Roman" w:cs="Times New Roman"/>
          <w:sz w:val="28"/>
          <w:szCs w:val="28"/>
          <w:lang w:val="es-ES"/>
        </w:rPr>
        <w:t xml:space="preserve">exclusivamente </w:t>
      </w:r>
      <w:r w:rsidRPr="005D36F1">
        <w:rPr>
          <w:rFonts w:ascii="Times New Roman" w:hAnsi="Times New Roman" w:cs="Times New Roman"/>
          <w:sz w:val="28"/>
          <w:szCs w:val="28"/>
          <w:lang w:val="es-ES"/>
        </w:rPr>
        <w:t xml:space="preserve">desde la óptica de la afectación del derecho al libre desarrollo de la personalidad del cónyuge consumidor, podría generar dudas sobre su constitucionalidad. </w:t>
      </w:r>
      <w:r w:rsidRPr="005D36F1">
        <w:rPr>
          <w:rFonts w:ascii="Times New Roman" w:hAnsi="Times New Roman" w:cs="Times New Roman"/>
          <w:sz w:val="28"/>
          <w:szCs w:val="28"/>
          <w:lang w:val="es-ES"/>
        </w:rPr>
        <w:t xml:space="preserve">No obstante, </w:t>
      </w:r>
      <w:r w:rsidRPr="005D36F1">
        <w:rPr>
          <w:rFonts w:ascii="Times New Roman" w:hAnsi="Times New Roman" w:cs="Times New Roman"/>
          <w:sz w:val="28"/>
          <w:szCs w:val="28"/>
          <w:lang w:val="es-ES"/>
        </w:rPr>
        <w:t>si se analiza</w:t>
      </w:r>
      <w:r w:rsidRPr="005D36F1">
        <w:rPr>
          <w:rFonts w:ascii="Times New Roman" w:hAnsi="Times New Roman" w:cs="Times New Roman"/>
          <w:sz w:val="28"/>
          <w:szCs w:val="28"/>
          <w:lang w:val="es-ES"/>
        </w:rPr>
        <w:t xml:space="preserve"> el problema jurídico de modo abstracto y en conjunto con otros elemento</w:t>
      </w:r>
      <w:r w:rsidRPr="005D36F1">
        <w:rPr>
          <w:rFonts w:ascii="Times New Roman" w:hAnsi="Times New Roman" w:cs="Times New Roman"/>
          <w:sz w:val="28"/>
          <w:szCs w:val="28"/>
          <w:lang w:val="es-ES"/>
        </w:rPr>
        <w:t xml:space="preserve">s relevantes como los derechos fundamentales de quienes conviven con él, </w:t>
      </w:r>
      <w:r w:rsidRPr="005D36F1">
        <w:rPr>
          <w:rFonts w:ascii="Times New Roman" w:hAnsi="Times New Roman" w:cs="Times New Roman"/>
          <w:sz w:val="28"/>
          <w:szCs w:val="28"/>
          <w:lang w:val="es-ES"/>
        </w:rPr>
        <w:t xml:space="preserve">la Sala Plena habría </w:t>
      </w:r>
      <w:r w:rsidRPr="005D36F1">
        <w:rPr>
          <w:rFonts w:ascii="Times New Roman" w:hAnsi="Times New Roman" w:cs="Times New Roman"/>
          <w:sz w:val="28"/>
          <w:szCs w:val="28"/>
          <w:lang w:val="es-ES"/>
        </w:rPr>
        <w:t xml:space="preserve">podría </w:t>
      </w:r>
      <w:r w:rsidRPr="005D36F1">
        <w:rPr>
          <w:rFonts w:ascii="Times New Roman" w:hAnsi="Times New Roman" w:cs="Times New Roman"/>
          <w:sz w:val="28"/>
          <w:szCs w:val="28"/>
          <w:lang w:val="es-ES"/>
        </w:rPr>
        <w:t>declarar</w:t>
      </w:r>
      <w:r w:rsidRPr="005D36F1">
        <w:rPr>
          <w:rFonts w:ascii="Times New Roman" w:hAnsi="Times New Roman" w:cs="Times New Roman"/>
          <w:sz w:val="28"/>
          <w:szCs w:val="28"/>
          <w:lang w:val="es-ES"/>
        </w:rPr>
        <w:t xml:space="preserve"> </w:t>
      </w:r>
      <w:r w:rsidRPr="005D36F1">
        <w:rPr>
          <w:rFonts w:ascii="Times New Roman" w:hAnsi="Times New Roman" w:cs="Times New Roman"/>
          <w:sz w:val="28"/>
          <w:szCs w:val="28"/>
          <w:lang w:val="es-ES"/>
        </w:rPr>
        <w:t>la</w:t>
      </w:r>
      <w:r w:rsidRPr="005D36F1">
        <w:rPr>
          <w:rFonts w:ascii="Times New Roman" w:hAnsi="Times New Roman" w:cs="Times New Roman"/>
          <w:sz w:val="28"/>
          <w:szCs w:val="28"/>
          <w:lang w:val="es-ES"/>
        </w:rPr>
        <w:t xml:space="preserve"> exequibilidad pura y simple</w:t>
      </w:r>
      <w:r w:rsidRPr="005D36F1">
        <w:rPr>
          <w:rFonts w:ascii="Times New Roman" w:hAnsi="Times New Roman" w:cs="Times New Roman"/>
          <w:sz w:val="28"/>
          <w:szCs w:val="28"/>
          <w:lang w:val="es-ES"/>
        </w:rPr>
        <w:t xml:space="preserve"> de la causal</w:t>
      </w:r>
      <w:r w:rsidRPr="005D36F1">
        <w:rPr>
          <w:rFonts w:ascii="Times New Roman" w:hAnsi="Times New Roman" w:cs="Times New Roman"/>
          <w:sz w:val="28"/>
          <w:szCs w:val="28"/>
          <w:lang w:val="es-ES"/>
        </w:rPr>
        <w:t xml:space="preserve">. </w:t>
      </w:r>
      <w:r w:rsidRPr="005D36F1">
        <w:rPr>
          <w:rFonts w:ascii="Times New Roman" w:hAnsi="Times New Roman" w:cs="Times New Roman"/>
          <w:sz w:val="28"/>
          <w:szCs w:val="28"/>
          <w:lang w:val="es-ES"/>
        </w:rPr>
        <w:t>Pues bien</w:t>
      </w:r>
      <w:r w:rsidRPr="005D36F1">
        <w:rPr>
          <w:rFonts w:ascii="Times New Roman" w:hAnsi="Times New Roman" w:cs="Times New Roman"/>
          <w:sz w:val="28"/>
          <w:szCs w:val="28"/>
          <w:lang w:val="es-ES"/>
        </w:rPr>
        <w:t>, de no haberse maximizado el derecho al libre desarrollo de la personalidad y la dignidad h</w:t>
      </w:r>
      <w:r w:rsidRPr="005D36F1">
        <w:rPr>
          <w:rFonts w:ascii="Times New Roman" w:hAnsi="Times New Roman" w:cs="Times New Roman"/>
          <w:sz w:val="28"/>
          <w:szCs w:val="28"/>
          <w:lang w:val="es-ES"/>
        </w:rPr>
        <w:t>umana del cónyuge consumidor a cambio de minimizar otros derechos fundamentales inmersos en la contienda, la decisión hubiera sido distinta.</w:t>
      </w:r>
    </w:p>
    <w:p w:rsidR="00382DB5" w:rsidRPr="005D36F1" w:rsidRDefault="005D36F1" w:rsidP="002304E7">
      <w:pPr>
        <w:tabs>
          <w:tab w:val="center" w:pos="3611"/>
        </w:tabs>
        <w:jc w:val="both"/>
        <w:rPr>
          <w:rFonts w:ascii="Times New Roman" w:hAnsi="Times New Roman" w:cs="Times New Roman"/>
          <w:color w:val="000000" w:themeColor="text1"/>
          <w:sz w:val="28"/>
          <w:szCs w:val="28"/>
          <w:lang w:val="es-ES"/>
        </w:rPr>
      </w:pPr>
    </w:p>
    <w:p w:rsidR="00382DB5" w:rsidRPr="005D36F1" w:rsidRDefault="005D36F1" w:rsidP="002304E7">
      <w:pPr>
        <w:tabs>
          <w:tab w:val="center" w:pos="3611"/>
        </w:tabs>
        <w:jc w:val="both"/>
        <w:rPr>
          <w:rFonts w:ascii="Times New Roman" w:hAnsi="Times New Roman" w:cs="Times New Roman"/>
          <w:color w:val="000000" w:themeColor="text1"/>
          <w:sz w:val="28"/>
          <w:szCs w:val="28"/>
          <w:lang w:val="es-ES"/>
        </w:rPr>
      </w:pPr>
      <w:r w:rsidRPr="005D36F1">
        <w:rPr>
          <w:rFonts w:ascii="Times New Roman" w:hAnsi="Times New Roman" w:cs="Times New Roman"/>
          <w:color w:val="000000" w:themeColor="text1"/>
          <w:sz w:val="28"/>
          <w:szCs w:val="28"/>
          <w:lang w:val="es-ES"/>
        </w:rPr>
        <w:t>Por consiguiente</w:t>
      </w:r>
      <w:r w:rsidRPr="005D36F1">
        <w:rPr>
          <w:rFonts w:ascii="Times New Roman" w:hAnsi="Times New Roman" w:cs="Times New Roman"/>
          <w:color w:val="000000" w:themeColor="text1"/>
          <w:sz w:val="28"/>
          <w:szCs w:val="28"/>
          <w:lang w:val="es-ES"/>
        </w:rPr>
        <w:t xml:space="preserve">, discrepo de la alternativa de eliminar los alimentos y la revocación de donaciones en beneficio </w:t>
      </w:r>
      <w:r w:rsidRPr="005D36F1">
        <w:rPr>
          <w:rFonts w:ascii="Times New Roman" w:hAnsi="Times New Roman" w:cs="Times New Roman"/>
          <w:color w:val="000000" w:themeColor="text1"/>
          <w:sz w:val="28"/>
          <w:szCs w:val="28"/>
          <w:lang w:val="es-ES"/>
        </w:rPr>
        <w:t>del cónyuge inocente</w:t>
      </w:r>
      <w:r w:rsidRPr="005D36F1">
        <w:rPr>
          <w:rFonts w:ascii="Times New Roman" w:hAnsi="Times New Roman" w:cs="Times New Roman"/>
          <w:color w:val="000000" w:themeColor="text1"/>
          <w:sz w:val="28"/>
          <w:szCs w:val="28"/>
          <w:lang w:val="es-ES"/>
        </w:rPr>
        <w:t>. Ello,</w:t>
      </w:r>
      <w:r w:rsidRPr="005D36F1">
        <w:rPr>
          <w:rFonts w:ascii="Times New Roman" w:hAnsi="Times New Roman" w:cs="Times New Roman"/>
          <w:color w:val="000000" w:themeColor="text1"/>
          <w:sz w:val="28"/>
          <w:szCs w:val="28"/>
          <w:lang w:val="es-ES"/>
        </w:rPr>
        <w:t xml:space="preserve"> por cuanto se estaría eliminando </w:t>
      </w:r>
      <w:r w:rsidRPr="005D36F1">
        <w:rPr>
          <w:rFonts w:ascii="Times New Roman" w:hAnsi="Times New Roman" w:cs="Times New Roman"/>
          <w:color w:val="000000" w:themeColor="text1"/>
          <w:sz w:val="28"/>
          <w:szCs w:val="28"/>
          <w:lang w:val="es-ES"/>
        </w:rPr>
        <w:t>una norma proteccionista y con un alto contenido de género, que busca</w:t>
      </w:r>
      <w:r w:rsidRPr="005D36F1">
        <w:rPr>
          <w:rFonts w:ascii="Times New Roman" w:hAnsi="Times New Roman" w:cs="Times New Roman"/>
          <w:color w:val="000000" w:themeColor="text1"/>
          <w:sz w:val="28"/>
          <w:szCs w:val="28"/>
          <w:lang w:val="es-ES"/>
        </w:rPr>
        <w:t>ba</w:t>
      </w:r>
      <w:r w:rsidRPr="005D36F1">
        <w:rPr>
          <w:rFonts w:ascii="Times New Roman" w:hAnsi="Times New Roman" w:cs="Times New Roman"/>
          <w:color w:val="000000" w:themeColor="text1"/>
          <w:sz w:val="28"/>
          <w:szCs w:val="28"/>
          <w:lang w:val="es-ES"/>
        </w:rPr>
        <w:t xml:space="preserve"> proteger a los cónyuges no consumidores y a los hijos </w:t>
      </w:r>
      <w:r w:rsidRPr="005D36F1">
        <w:rPr>
          <w:rFonts w:ascii="Times New Roman" w:hAnsi="Times New Roman" w:cs="Times New Roman"/>
          <w:color w:val="000000" w:themeColor="text1"/>
          <w:sz w:val="28"/>
          <w:szCs w:val="28"/>
          <w:lang w:val="es-ES"/>
        </w:rPr>
        <w:t>que están en entorno</w:t>
      </w:r>
      <w:r w:rsidRPr="005D36F1">
        <w:rPr>
          <w:rFonts w:ascii="Times New Roman" w:hAnsi="Times New Roman" w:cs="Times New Roman"/>
          <w:color w:val="000000" w:themeColor="text1"/>
          <w:sz w:val="28"/>
          <w:szCs w:val="28"/>
          <w:lang w:val="es-ES"/>
        </w:rPr>
        <w:t xml:space="preserve"> familiar de consumo. </w:t>
      </w:r>
      <w:r w:rsidRPr="005D36F1">
        <w:rPr>
          <w:rFonts w:ascii="Times New Roman" w:hAnsi="Times New Roman" w:cs="Times New Roman"/>
          <w:color w:val="000000" w:themeColor="text1"/>
          <w:sz w:val="28"/>
          <w:szCs w:val="28"/>
          <w:lang w:val="es-ES"/>
        </w:rPr>
        <w:t>Por el contrario, considero</w:t>
      </w:r>
      <w:r w:rsidRPr="005D36F1">
        <w:rPr>
          <w:rFonts w:ascii="Times New Roman" w:hAnsi="Times New Roman" w:cs="Times New Roman"/>
          <w:color w:val="000000" w:themeColor="text1"/>
          <w:sz w:val="28"/>
          <w:szCs w:val="28"/>
          <w:lang w:val="es-ES"/>
        </w:rPr>
        <w:t xml:space="preserve"> que la norma e</w:t>
      </w:r>
      <w:r w:rsidRPr="005D36F1">
        <w:rPr>
          <w:rFonts w:ascii="Times New Roman" w:hAnsi="Times New Roman" w:cs="Times New Roman"/>
          <w:color w:val="000000" w:themeColor="text1"/>
          <w:sz w:val="28"/>
          <w:szCs w:val="28"/>
          <w:lang w:val="es-ES"/>
        </w:rPr>
        <w:t>ra</w:t>
      </w:r>
      <w:r w:rsidRPr="005D36F1">
        <w:rPr>
          <w:rFonts w:ascii="Times New Roman" w:hAnsi="Times New Roman" w:cs="Times New Roman"/>
          <w:color w:val="000000" w:themeColor="text1"/>
          <w:sz w:val="28"/>
          <w:szCs w:val="28"/>
          <w:lang w:val="es-ES"/>
        </w:rPr>
        <w:t xml:space="preserve"> </w:t>
      </w:r>
      <w:r w:rsidRPr="005D36F1">
        <w:rPr>
          <w:rFonts w:ascii="Times New Roman" w:hAnsi="Times New Roman" w:cs="Times New Roman"/>
          <w:color w:val="000000" w:themeColor="text1"/>
          <w:sz w:val="28"/>
          <w:szCs w:val="28"/>
          <w:lang w:val="es-ES"/>
        </w:rPr>
        <w:t>constitucional</w:t>
      </w:r>
      <w:r w:rsidRPr="005D36F1">
        <w:rPr>
          <w:rFonts w:ascii="Times New Roman" w:hAnsi="Times New Roman" w:cs="Times New Roman"/>
          <w:color w:val="000000" w:themeColor="text1"/>
          <w:sz w:val="28"/>
          <w:szCs w:val="28"/>
          <w:lang w:val="es-ES"/>
        </w:rPr>
        <w:t xml:space="preserve">, </w:t>
      </w:r>
      <w:r w:rsidRPr="005D36F1">
        <w:rPr>
          <w:rFonts w:ascii="Times New Roman" w:hAnsi="Times New Roman" w:cs="Times New Roman"/>
          <w:color w:val="000000" w:themeColor="text1"/>
          <w:sz w:val="28"/>
          <w:szCs w:val="28"/>
          <w:lang w:val="es-ES"/>
        </w:rPr>
        <w:t>porque no afecta</w:t>
      </w:r>
      <w:r w:rsidRPr="005D36F1">
        <w:rPr>
          <w:rFonts w:ascii="Times New Roman" w:hAnsi="Times New Roman" w:cs="Times New Roman"/>
          <w:color w:val="000000" w:themeColor="text1"/>
          <w:sz w:val="28"/>
          <w:szCs w:val="28"/>
          <w:lang w:val="es-ES"/>
        </w:rPr>
        <w:t>ba</w:t>
      </w:r>
      <w:r w:rsidRPr="005D36F1">
        <w:rPr>
          <w:rFonts w:ascii="Times New Roman" w:hAnsi="Times New Roman" w:cs="Times New Roman"/>
          <w:color w:val="000000" w:themeColor="text1"/>
          <w:sz w:val="28"/>
          <w:szCs w:val="28"/>
          <w:lang w:val="es-ES"/>
        </w:rPr>
        <w:t xml:space="preserve"> desproporcionadamente el derecho al libre desarrollo de la personalidad de quien quiere consumir habitualmente sustancias </w:t>
      </w:r>
      <w:r w:rsidRPr="005D36F1">
        <w:rPr>
          <w:rFonts w:ascii="Times New Roman" w:hAnsi="Times New Roman" w:cs="Times New Roman"/>
          <w:color w:val="000000" w:themeColor="text1"/>
          <w:sz w:val="28"/>
          <w:szCs w:val="28"/>
          <w:lang w:val="es-ES"/>
        </w:rPr>
        <w:t>psicoactivas</w:t>
      </w:r>
      <w:r w:rsidRPr="005D36F1">
        <w:rPr>
          <w:rFonts w:ascii="Times New Roman" w:hAnsi="Times New Roman" w:cs="Times New Roman"/>
          <w:color w:val="000000" w:themeColor="text1"/>
          <w:sz w:val="28"/>
          <w:szCs w:val="28"/>
          <w:lang w:val="es-ES"/>
        </w:rPr>
        <w:t xml:space="preserve">, pues lo puede continuar haciendo tras el </w:t>
      </w:r>
      <w:r w:rsidRPr="005D36F1">
        <w:rPr>
          <w:rFonts w:ascii="Times New Roman" w:hAnsi="Times New Roman" w:cs="Times New Roman"/>
          <w:color w:val="000000" w:themeColor="text1"/>
          <w:sz w:val="28"/>
          <w:szCs w:val="28"/>
          <w:lang w:val="es-ES"/>
        </w:rPr>
        <w:t>divorcio</w:t>
      </w:r>
      <w:r w:rsidRPr="005D36F1">
        <w:rPr>
          <w:rFonts w:ascii="Times New Roman" w:hAnsi="Times New Roman" w:cs="Times New Roman"/>
          <w:color w:val="000000" w:themeColor="text1"/>
          <w:sz w:val="28"/>
          <w:szCs w:val="28"/>
          <w:lang w:val="es-ES"/>
        </w:rPr>
        <w:t>.</w:t>
      </w:r>
    </w:p>
    <w:p w:rsidR="00460181" w:rsidRPr="005D36F1" w:rsidRDefault="005D36F1" w:rsidP="002304E7">
      <w:pPr>
        <w:tabs>
          <w:tab w:val="center" w:pos="3611"/>
        </w:tabs>
        <w:jc w:val="both"/>
        <w:rPr>
          <w:rFonts w:ascii="Times New Roman" w:hAnsi="Times New Roman" w:cs="Times New Roman"/>
          <w:color w:val="000000" w:themeColor="text1"/>
          <w:sz w:val="28"/>
          <w:szCs w:val="28"/>
          <w:lang w:val="es-ES"/>
        </w:rPr>
      </w:pPr>
    </w:p>
    <w:p w:rsidR="00382DB5" w:rsidRPr="005D36F1" w:rsidRDefault="005D36F1" w:rsidP="002304E7">
      <w:pPr>
        <w:tabs>
          <w:tab w:val="center" w:pos="3611"/>
        </w:tabs>
        <w:jc w:val="both"/>
        <w:rPr>
          <w:rFonts w:ascii="Times New Roman" w:hAnsi="Times New Roman" w:cs="Times New Roman"/>
          <w:color w:val="000000" w:themeColor="text1"/>
          <w:sz w:val="28"/>
          <w:szCs w:val="28"/>
          <w:lang w:val="es-ES"/>
        </w:rPr>
      </w:pPr>
      <w:r w:rsidRPr="005D36F1">
        <w:rPr>
          <w:rFonts w:ascii="Times New Roman" w:hAnsi="Times New Roman" w:cs="Times New Roman"/>
          <w:color w:val="000000" w:themeColor="text1"/>
          <w:sz w:val="28"/>
          <w:szCs w:val="28"/>
          <w:lang w:val="es-ES"/>
        </w:rPr>
        <w:t>En línea con el</w:t>
      </w:r>
      <w:r w:rsidRPr="005D36F1">
        <w:rPr>
          <w:rFonts w:ascii="Times New Roman" w:hAnsi="Times New Roman" w:cs="Times New Roman"/>
          <w:color w:val="000000" w:themeColor="text1"/>
          <w:sz w:val="28"/>
          <w:szCs w:val="28"/>
          <w:lang w:val="es-ES"/>
        </w:rPr>
        <w:t xml:space="preserve"> criterio expuesto, la norma en cuestión supera</w:t>
      </w:r>
      <w:r w:rsidRPr="005D36F1">
        <w:rPr>
          <w:rFonts w:ascii="Times New Roman" w:hAnsi="Times New Roman" w:cs="Times New Roman"/>
          <w:color w:val="000000" w:themeColor="text1"/>
          <w:sz w:val="28"/>
          <w:szCs w:val="28"/>
          <w:lang w:val="es-ES"/>
        </w:rPr>
        <w:t>ba</w:t>
      </w:r>
      <w:r w:rsidRPr="005D36F1">
        <w:rPr>
          <w:rFonts w:ascii="Times New Roman" w:hAnsi="Times New Roman" w:cs="Times New Roman"/>
          <w:color w:val="000000" w:themeColor="text1"/>
          <w:sz w:val="28"/>
          <w:szCs w:val="28"/>
          <w:lang w:val="es-ES"/>
        </w:rPr>
        <w:t xml:space="preserve"> el juicio de proporcionalidad en sentido </w:t>
      </w:r>
      <w:r w:rsidRPr="005D36F1">
        <w:rPr>
          <w:rFonts w:ascii="Times New Roman" w:hAnsi="Times New Roman" w:cs="Times New Roman"/>
          <w:i/>
          <w:iCs/>
          <w:color w:val="000000" w:themeColor="text1"/>
          <w:sz w:val="28"/>
          <w:szCs w:val="28"/>
          <w:lang w:val="es-ES"/>
        </w:rPr>
        <w:t xml:space="preserve">estricto. </w:t>
      </w:r>
      <w:r w:rsidRPr="005D36F1">
        <w:rPr>
          <w:rFonts w:ascii="Times New Roman" w:hAnsi="Times New Roman" w:cs="Times New Roman"/>
          <w:color w:val="000000" w:themeColor="text1"/>
          <w:sz w:val="28"/>
          <w:szCs w:val="28"/>
          <w:lang w:val="es-ES"/>
        </w:rPr>
        <w:t xml:space="preserve">Pues </w:t>
      </w:r>
      <w:r w:rsidRPr="005D36F1">
        <w:rPr>
          <w:rFonts w:ascii="Times New Roman" w:hAnsi="Times New Roman" w:cs="Times New Roman"/>
          <w:color w:val="000000" w:themeColor="text1"/>
          <w:sz w:val="28"/>
          <w:szCs w:val="28"/>
          <w:lang w:val="es-ES"/>
        </w:rPr>
        <w:t>haciendo un ejercicio de ponderación</w:t>
      </w:r>
      <w:r w:rsidRPr="005D36F1">
        <w:rPr>
          <w:rFonts w:ascii="Times New Roman" w:hAnsi="Times New Roman" w:cs="Times New Roman"/>
          <w:color w:val="000000" w:themeColor="text1"/>
          <w:sz w:val="28"/>
          <w:szCs w:val="28"/>
          <w:lang w:val="es-ES"/>
        </w:rPr>
        <w:t xml:space="preserve"> equilibrado</w:t>
      </w:r>
      <w:r w:rsidRPr="005D36F1">
        <w:rPr>
          <w:rFonts w:ascii="Times New Roman" w:hAnsi="Times New Roman" w:cs="Times New Roman"/>
          <w:color w:val="000000" w:themeColor="text1"/>
          <w:sz w:val="28"/>
          <w:szCs w:val="28"/>
          <w:lang w:val="es-ES"/>
        </w:rPr>
        <w:t>, son mayores los beneficios que otorga la medida en términos constitucionales, que la restricción a o</w:t>
      </w:r>
      <w:r w:rsidRPr="005D36F1">
        <w:rPr>
          <w:rFonts w:ascii="Times New Roman" w:hAnsi="Times New Roman" w:cs="Times New Roman"/>
          <w:color w:val="000000" w:themeColor="text1"/>
          <w:sz w:val="28"/>
          <w:szCs w:val="28"/>
          <w:lang w:val="es-ES"/>
        </w:rPr>
        <w:t xml:space="preserve">tros principios o derechos comprometidos, como el derecho al libre desarrollo de la personalidad </w:t>
      </w:r>
      <w:r w:rsidRPr="005D36F1">
        <w:rPr>
          <w:rFonts w:ascii="Times New Roman" w:hAnsi="Times New Roman" w:cs="Times New Roman"/>
          <w:color w:val="000000" w:themeColor="text1"/>
          <w:sz w:val="28"/>
          <w:szCs w:val="28"/>
          <w:lang w:val="es-ES"/>
        </w:rPr>
        <w:t>o a la dignidad humana</w:t>
      </w:r>
      <w:r w:rsidRPr="005D36F1">
        <w:rPr>
          <w:rFonts w:ascii="Times New Roman" w:hAnsi="Times New Roman" w:cs="Times New Roman"/>
          <w:color w:val="000000" w:themeColor="text1"/>
          <w:sz w:val="28"/>
          <w:szCs w:val="28"/>
          <w:lang w:val="es-ES"/>
        </w:rPr>
        <w:t>, con fundamento en lo siguiente:</w:t>
      </w:r>
    </w:p>
    <w:p w:rsidR="00382DB5" w:rsidRPr="005D36F1" w:rsidRDefault="005D36F1" w:rsidP="002304E7">
      <w:pPr>
        <w:tabs>
          <w:tab w:val="center" w:pos="3611"/>
        </w:tabs>
        <w:jc w:val="both"/>
        <w:rPr>
          <w:rFonts w:ascii="Times New Roman" w:hAnsi="Times New Roman" w:cs="Times New Roman"/>
          <w:color w:val="000000" w:themeColor="text1"/>
          <w:sz w:val="28"/>
          <w:szCs w:val="28"/>
          <w:lang w:val="es-ES"/>
        </w:rPr>
      </w:pPr>
    </w:p>
    <w:p w:rsidR="0059609B" w:rsidRPr="005D36F1" w:rsidRDefault="005D36F1" w:rsidP="00645B60">
      <w:pPr>
        <w:pStyle w:val="Prrafodelista"/>
        <w:numPr>
          <w:ilvl w:val="0"/>
          <w:numId w:val="8"/>
        </w:numPr>
        <w:tabs>
          <w:tab w:val="center" w:pos="3611"/>
        </w:tabs>
        <w:jc w:val="both"/>
        <w:rPr>
          <w:rFonts w:ascii="Times New Roman" w:hAnsi="Times New Roman" w:cs="Times New Roman"/>
          <w:color w:val="000000" w:themeColor="text1"/>
          <w:sz w:val="28"/>
          <w:szCs w:val="28"/>
          <w:lang w:val="es-ES"/>
        </w:rPr>
      </w:pPr>
      <w:r w:rsidRPr="005D36F1">
        <w:rPr>
          <w:rFonts w:ascii="Times New Roman" w:hAnsi="Times New Roman" w:cs="Times New Roman"/>
          <w:color w:val="000000" w:themeColor="text1"/>
          <w:sz w:val="28"/>
          <w:szCs w:val="28"/>
          <w:lang w:val="es-ES"/>
        </w:rPr>
        <w:t>A</w:t>
      </w:r>
      <w:r w:rsidRPr="005D36F1">
        <w:rPr>
          <w:rFonts w:ascii="Times New Roman" w:hAnsi="Times New Roman" w:cs="Times New Roman"/>
          <w:color w:val="000000" w:themeColor="text1"/>
          <w:sz w:val="28"/>
          <w:szCs w:val="28"/>
          <w:lang w:val="es-ES"/>
        </w:rPr>
        <w:t xml:space="preserve"> diferencia de lo expuesto en la sentencia, </w:t>
      </w:r>
      <w:r w:rsidRPr="005D36F1">
        <w:rPr>
          <w:rFonts w:ascii="Times New Roman" w:hAnsi="Times New Roman" w:cs="Times New Roman"/>
          <w:color w:val="000000" w:themeColor="text1"/>
          <w:sz w:val="28"/>
          <w:szCs w:val="28"/>
          <w:lang w:val="es-ES"/>
        </w:rPr>
        <w:t xml:space="preserve">la causal de referencia </w:t>
      </w:r>
      <w:r w:rsidRPr="005D36F1">
        <w:rPr>
          <w:rFonts w:ascii="Times New Roman" w:hAnsi="Times New Roman" w:cs="Times New Roman"/>
          <w:color w:val="000000" w:themeColor="text1"/>
          <w:sz w:val="28"/>
          <w:szCs w:val="28"/>
          <w:lang w:val="es-ES"/>
        </w:rPr>
        <w:t>s</w:t>
      </w:r>
      <w:r w:rsidRPr="005D36F1">
        <w:rPr>
          <w:rFonts w:ascii="Times New Roman" w:hAnsi="Times New Roman" w:cs="Times New Roman"/>
          <w:color w:val="000000" w:themeColor="text1"/>
          <w:sz w:val="28"/>
          <w:szCs w:val="28"/>
          <w:lang w:val="es-ES"/>
        </w:rPr>
        <w:t>í</w:t>
      </w:r>
      <w:r w:rsidRPr="005D36F1">
        <w:rPr>
          <w:rFonts w:ascii="Times New Roman" w:hAnsi="Times New Roman" w:cs="Times New Roman"/>
          <w:color w:val="000000" w:themeColor="text1"/>
          <w:sz w:val="28"/>
          <w:szCs w:val="28"/>
          <w:lang w:val="es-ES"/>
        </w:rPr>
        <w:t xml:space="preserve"> </w:t>
      </w:r>
      <w:r w:rsidRPr="005D36F1">
        <w:rPr>
          <w:rFonts w:ascii="Times New Roman" w:hAnsi="Times New Roman" w:cs="Times New Roman"/>
          <w:color w:val="000000" w:themeColor="text1"/>
          <w:sz w:val="28"/>
          <w:szCs w:val="28"/>
          <w:lang w:val="es-ES"/>
        </w:rPr>
        <w:t xml:space="preserve">persigue un fin </w:t>
      </w:r>
      <w:r w:rsidRPr="005D36F1">
        <w:rPr>
          <w:rFonts w:ascii="Times New Roman" w:hAnsi="Times New Roman" w:cs="Times New Roman"/>
          <w:color w:val="000000" w:themeColor="text1"/>
          <w:sz w:val="28"/>
          <w:szCs w:val="28"/>
          <w:lang w:val="es-ES"/>
        </w:rPr>
        <w:t>constitucionalmente imperioso, como lo es el de proteger a la familia como cimiento del Estado Social de Derecho, el proyecto de vida del otro cónyuge que no consume sustancias alucinógenas o estupefacientes</w:t>
      </w:r>
      <w:r w:rsidRPr="005D36F1">
        <w:rPr>
          <w:rFonts w:ascii="Times New Roman" w:hAnsi="Times New Roman" w:cs="Times New Roman"/>
          <w:color w:val="000000" w:themeColor="text1"/>
          <w:sz w:val="28"/>
          <w:szCs w:val="28"/>
          <w:lang w:val="es-ES"/>
        </w:rPr>
        <w:t>,</w:t>
      </w:r>
      <w:r w:rsidRPr="005D36F1">
        <w:rPr>
          <w:rFonts w:ascii="Times New Roman" w:hAnsi="Times New Roman" w:cs="Times New Roman"/>
          <w:color w:val="000000" w:themeColor="text1"/>
          <w:sz w:val="28"/>
          <w:szCs w:val="28"/>
          <w:lang w:val="es-ES"/>
        </w:rPr>
        <w:t xml:space="preserve"> los derechos fundamentales de las mujeres, entr</w:t>
      </w:r>
      <w:r w:rsidRPr="005D36F1">
        <w:rPr>
          <w:rFonts w:ascii="Times New Roman" w:hAnsi="Times New Roman" w:cs="Times New Roman"/>
          <w:color w:val="000000" w:themeColor="text1"/>
          <w:sz w:val="28"/>
          <w:szCs w:val="28"/>
          <w:lang w:val="es-ES"/>
        </w:rPr>
        <w:t>e ellos, el de vivir una vida libre de violencia</w:t>
      </w:r>
      <w:r w:rsidRPr="005D36F1">
        <w:rPr>
          <w:rFonts w:ascii="Times New Roman" w:hAnsi="Times New Roman" w:cs="Times New Roman"/>
          <w:color w:val="000000" w:themeColor="text1"/>
          <w:sz w:val="28"/>
          <w:szCs w:val="28"/>
          <w:lang w:val="es-ES"/>
        </w:rPr>
        <w:t xml:space="preserve"> y los derechos fundamentales de los hijos habidos en el matrimonio.</w:t>
      </w:r>
    </w:p>
    <w:p w:rsidR="00382DB5" w:rsidRPr="005D36F1" w:rsidRDefault="005D36F1" w:rsidP="002304E7">
      <w:pPr>
        <w:tabs>
          <w:tab w:val="center" w:pos="3611"/>
        </w:tabs>
        <w:jc w:val="both"/>
        <w:rPr>
          <w:rFonts w:ascii="Times New Roman" w:hAnsi="Times New Roman" w:cs="Times New Roman"/>
          <w:color w:val="000000" w:themeColor="text1"/>
          <w:sz w:val="28"/>
          <w:szCs w:val="28"/>
          <w:lang w:val="es-ES"/>
        </w:rPr>
      </w:pPr>
    </w:p>
    <w:p w:rsidR="00382DB5" w:rsidRPr="005D36F1" w:rsidRDefault="005D36F1" w:rsidP="00645B60">
      <w:pPr>
        <w:pStyle w:val="Prrafodelista"/>
        <w:numPr>
          <w:ilvl w:val="0"/>
          <w:numId w:val="8"/>
        </w:numPr>
        <w:tabs>
          <w:tab w:val="center" w:pos="3611"/>
        </w:tabs>
        <w:jc w:val="both"/>
        <w:rPr>
          <w:rFonts w:ascii="Times New Roman" w:hAnsi="Times New Roman" w:cs="Times New Roman"/>
          <w:color w:val="000000" w:themeColor="text1"/>
          <w:sz w:val="28"/>
          <w:szCs w:val="28"/>
          <w:lang w:val="es-ES"/>
        </w:rPr>
      </w:pPr>
      <w:r w:rsidRPr="005D36F1">
        <w:rPr>
          <w:rFonts w:ascii="Times New Roman" w:hAnsi="Times New Roman" w:cs="Times New Roman"/>
          <w:bCs/>
          <w:color w:val="000000" w:themeColor="text1"/>
          <w:sz w:val="28"/>
          <w:szCs w:val="28"/>
          <w:lang w:val="es-ES"/>
        </w:rPr>
        <w:t>La</w:t>
      </w:r>
      <w:r w:rsidRPr="005D36F1">
        <w:rPr>
          <w:rFonts w:ascii="Times New Roman" w:hAnsi="Times New Roman" w:cs="Times New Roman"/>
          <w:color w:val="000000" w:themeColor="text1"/>
          <w:sz w:val="28"/>
          <w:szCs w:val="28"/>
          <w:lang w:val="es-ES"/>
        </w:rPr>
        <w:t xml:space="preserve"> medida no puede ser reemplazada por otro medio menos lesivo del derecho al libre desarrollo de la personalidad, en tanto la única forma de preservar los derechos del cónyuge que no consume y de los hijos que se ven afectados por la conducta del esposo u e</w:t>
      </w:r>
      <w:r w:rsidRPr="005D36F1">
        <w:rPr>
          <w:rFonts w:ascii="Times New Roman" w:hAnsi="Times New Roman" w:cs="Times New Roman"/>
          <w:color w:val="000000" w:themeColor="text1"/>
          <w:sz w:val="28"/>
          <w:szCs w:val="28"/>
          <w:lang w:val="es-ES"/>
        </w:rPr>
        <w:t xml:space="preserve">sposa consumidor, es mediante el divorcio. </w:t>
      </w:r>
    </w:p>
    <w:p w:rsidR="00382DB5" w:rsidRPr="005D36F1" w:rsidRDefault="005D36F1" w:rsidP="002304E7">
      <w:pPr>
        <w:tabs>
          <w:tab w:val="center" w:pos="3611"/>
        </w:tabs>
        <w:jc w:val="both"/>
        <w:rPr>
          <w:rFonts w:ascii="Times New Roman" w:hAnsi="Times New Roman" w:cs="Times New Roman"/>
          <w:color w:val="000000" w:themeColor="text1"/>
          <w:sz w:val="28"/>
          <w:szCs w:val="28"/>
          <w:lang w:val="es-ES"/>
        </w:rPr>
      </w:pPr>
    </w:p>
    <w:p w:rsidR="002304E7" w:rsidRPr="005D36F1" w:rsidRDefault="005D36F1" w:rsidP="00645B60">
      <w:pPr>
        <w:pStyle w:val="Prrafodelista"/>
        <w:numPr>
          <w:ilvl w:val="0"/>
          <w:numId w:val="8"/>
        </w:numPr>
        <w:tabs>
          <w:tab w:val="center" w:pos="3611"/>
        </w:tabs>
        <w:jc w:val="both"/>
        <w:rPr>
          <w:rFonts w:ascii="Times New Roman" w:hAnsi="Times New Roman" w:cs="Times New Roman"/>
          <w:color w:val="000000" w:themeColor="text1"/>
          <w:sz w:val="28"/>
          <w:szCs w:val="28"/>
          <w:lang w:val="es-ES"/>
        </w:rPr>
      </w:pPr>
      <w:r w:rsidRPr="005D36F1">
        <w:rPr>
          <w:rFonts w:ascii="Times New Roman" w:hAnsi="Times New Roman" w:cs="Times New Roman"/>
          <w:color w:val="000000" w:themeColor="text1"/>
          <w:sz w:val="28"/>
          <w:szCs w:val="28"/>
          <w:lang w:val="es-ES"/>
        </w:rPr>
        <w:t>S</w:t>
      </w:r>
      <w:r w:rsidRPr="005D36F1">
        <w:rPr>
          <w:rFonts w:ascii="Times New Roman" w:hAnsi="Times New Roman" w:cs="Times New Roman"/>
          <w:color w:val="000000" w:themeColor="text1"/>
          <w:sz w:val="28"/>
          <w:szCs w:val="28"/>
          <w:lang w:val="es-ES"/>
        </w:rPr>
        <w:t>on mayores los beneficios que pretende obtener la causal de divorcio demandada en términos constitucionales que las restricciones al derecho al libre desarrollo de la personal</w:t>
      </w:r>
      <w:r w:rsidRPr="005D36F1">
        <w:rPr>
          <w:rFonts w:ascii="Times New Roman" w:hAnsi="Times New Roman" w:cs="Times New Roman"/>
          <w:color w:val="000000" w:themeColor="text1"/>
          <w:sz w:val="28"/>
          <w:szCs w:val="28"/>
          <w:lang w:val="es-ES"/>
        </w:rPr>
        <w:t>idad</w:t>
      </w:r>
      <w:r w:rsidRPr="005D36F1">
        <w:rPr>
          <w:rFonts w:ascii="Times New Roman" w:hAnsi="Times New Roman" w:cs="Times New Roman"/>
          <w:color w:val="000000" w:themeColor="text1"/>
          <w:sz w:val="28"/>
          <w:szCs w:val="28"/>
          <w:lang w:val="es-ES"/>
        </w:rPr>
        <w:t>, como se procederá a explicar.</w:t>
      </w:r>
      <w:r w:rsidRPr="005D36F1">
        <w:rPr>
          <w:rFonts w:ascii="Times New Roman" w:hAnsi="Times New Roman" w:cs="Times New Roman"/>
          <w:color w:val="000000" w:themeColor="text1"/>
          <w:sz w:val="28"/>
          <w:szCs w:val="28"/>
          <w:lang w:val="es-ES"/>
        </w:rPr>
        <w:t xml:space="preserve"> </w:t>
      </w:r>
      <w:r w:rsidRPr="005D36F1">
        <w:rPr>
          <w:rFonts w:ascii="Times New Roman" w:hAnsi="Times New Roman" w:cs="Times New Roman"/>
          <w:i/>
          <w:iCs/>
          <w:color w:val="000000" w:themeColor="text1"/>
          <w:sz w:val="28"/>
          <w:szCs w:val="28"/>
          <w:lang w:val="es-ES"/>
        </w:rPr>
        <w:t xml:space="preserve">(i) </w:t>
      </w:r>
      <w:r w:rsidRPr="005D36F1">
        <w:rPr>
          <w:rFonts w:ascii="Times New Roman" w:hAnsi="Times New Roman" w:cs="Times New Roman"/>
          <w:color w:val="000000" w:themeColor="text1"/>
          <w:sz w:val="28"/>
          <w:szCs w:val="28"/>
          <w:lang w:val="es-ES"/>
        </w:rPr>
        <w:t>Como lo decantó la jurisprudencia constitucional, el núcleo irreductible del derecho al libre desarrollo de la personalidad se circunscribe a las acciones que solo afectan el plan de vida de su titular y, con fundamento en ello, despenalizó las conduc</w:t>
      </w:r>
      <w:r w:rsidRPr="005D36F1">
        <w:rPr>
          <w:rFonts w:ascii="Times New Roman" w:hAnsi="Times New Roman" w:cs="Times New Roman"/>
          <w:color w:val="000000" w:themeColor="text1"/>
          <w:sz w:val="28"/>
          <w:szCs w:val="28"/>
          <w:lang w:val="es-ES"/>
        </w:rPr>
        <w:t>tas de porte y consumo de la dosis personal. No obstante, en el seno del matrimonio, el comportamiento de consumir sustancias alucinógenas o estupefacientes trasciende ese espectro individualista e ingresa en el de la convivencia conyugal, afectando direct</w:t>
      </w:r>
      <w:r w:rsidRPr="005D36F1">
        <w:rPr>
          <w:rFonts w:ascii="Times New Roman" w:hAnsi="Times New Roman" w:cs="Times New Roman"/>
          <w:color w:val="000000" w:themeColor="text1"/>
          <w:sz w:val="28"/>
          <w:szCs w:val="28"/>
          <w:lang w:val="es-ES"/>
        </w:rPr>
        <w:t xml:space="preserve">a o indirectamente al cónyuge que no consume y a los hijos. En consecuencia, la óptica de la proporcionalidad en sentido </w:t>
      </w:r>
      <w:r w:rsidRPr="005D36F1">
        <w:rPr>
          <w:rFonts w:ascii="Times New Roman" w:hAnsi="Times New Roman" w:cs="Times New Roman"/>
          <w:i/>
          <w:iCs/>
          <w:color w:val="000000" w:themeColor="text1"/>
          <w:sz w:val="28"/>
          <w:szCs w:val="28"/>
          <w:lang w:val="es-ES"/>
        </w:rPr>
        <w:t xml:space="preserve">estricto </w:t>
      </w:r>
      <w:r w:rsidRPr="005D36F1">
        <w:rPr>
          <w:rFonts w:ascii="Times New Roman" w:hAnsi="Times New Roman" w:cs="Times New Roman"/>
          <w:color w:val="000000" w:themeColor="text1"/>
          <w:sz w:val="28"/>
          <w:szCs w:val="28"/>
          <w:lang w:val="es-ES"/>
        </w:rPr>
        <w:t xml:space="preserve">requiere, necesariamente, que se analice la disposición normativa desde la perspectiva de ambos cónyuges </w:t>
      </w:r>
      <w:r w:rsidRPr="005D36F1">
        <w:rPr>
          <w:rFonts w:ascii="Times New Roman" w:hAnsi="Times New Roman" w:cs="Times New Roman"/>
          <w:color w:val="000000" w:themeColor="text1"/>
          <w:sz w:val="28"/>
          <w:szCs w:val="28"/>
          <w:lang w:val="es-ES"/>
        </w:rPr>
        <w:t>-</w:t>
      </w:r>
      <w:r w:rsidRPr="005D36F1">
        <w:rPr>
          <w:rFonts w:ascii="Times New Roman" w:hAnsi="Times New Roman" w:cs="Times New Roman"/>
          <w:color w:val="000000" w:themeColor="text1"/>
          <w:sz w:val="28"/>
          <w:szCs w:val="28"/>
          <w:lang w:val="es-ES"/>
        </w:rPr>
        <w:t>y no solo desde quie</w:t>
      </w:r>
      <w:r w:rsidRPr="005D36F1">
        <w:rPr>
          <w:rFonts w:ascii="Times New Roman" w:hAnsi="Times New Roman" w:cs="Times New Roman"/>
          <w:color w:val="000000" w:themeColor="text1"/>
          <w:sz w:val="28"/>
          <w:szCs w:val="28"/>
          <w:lang w:val="es-ES"/>
        </w:rPr>
        <w:t>n consume</w:t>
      </w:r>
      <w:r w:rsidRPr="005D36F1">
        <w:rPr>
          <w:rFonts w:ascii="Times New Roman" w:hAnsi="Times New Roman" w:cs="Times New Roman"/>
          <w:color w:val="000000" w:themeColor="text1"/>
          <w:sz w:val="28"/>
          <w:szCs w:val="28"/>
          <w:lang w:val="es-ES"/>
        </w:rPr>
        <w:t>-</w:t>
      </w:r>
      <w:r w:rsidRPr="005D36F1">
        <w:rPr>
          <w:rFonts w:ascii="Times New Roman" w:hAnsi="Times New Roman" w:cs="Times New Roman"/>
          <w:color w:val="000000" w:themeColor="text1"/>
          <w:sz w:val="28"/>
          <w:szCs w:val="28"/>
          <w:lang w:val="es-ES"/>
        </w:rPr>
        <w:t xml:space="preserve"> y los hijos. </w:t>
      </w:r>
    </w:p>
    <w:p w:rsidR="002304E7" w:rsidRPr="005D36F1" w:rsidRDefault="005D36F1" w:rsidP="002304E7">
      <w:pPr>
        <w:tabs>
          <w:tab w:val="center" w:pos="3611"/>
        </w:tabs>
        <w:jc w:val="both"/>
        <w:rPr>
          <w:rFonts w:ascii="Times New Roman" w:hAnsi="Times New Roman" w:cs="Times New Roman"/>
          <w:color w:val="000000" w:themeColor="text1"/>
          <w:sz w:val="28"/>
          <w:szCs w:val="28"/>
          <w:lang w:val="es-ES"/>
        </w:rPr>
      </w:pPr>
    </w:p>
    <w:p w:rsidR="00BC115E" w:rsidRPr="005D36F1" w:rsidRDefault="005D36F1" w:rsidP="002304E7">
      <w:pPr>
        <w:tabs>
          <w:tab w:val="center" w:pos="3611"/>
        </w:tabs>
        <w:jc w:val="both"/>
        <w:rPr>
          <w:rFonts w:ascii="Times New Roman" w:hAnsi="Times New Roman" w:cs="Times New Roman"/>
          <w:color w:val="000000" w:themeColor="text1"/>
          <w:sz w:val="28"/>
          <w:szCs w:val="28"/>
          <w:lang w:val="es-ES"/>
        </w:rPr>
      </w:pPr>
      <w:r w:rsidRPr="005D36F1">
        <w:rPr>
          <w:rFonts w:ascii="Times New Roman" w:hAnsi="Times New Roman" w:cs="Times New Roman"/>
          <w:color w:val="000000" w:themeColor="text1"/>
          <w:sz w:val="28"/>
          <w:szCs w:val="28"/>
          <w:lang w:val="es-ES"/>
        </w:rPr>
        <w:t xml:space="preserve">En suma, </w:t>
      </w:r>
      <w:r w:rsidRPr="005D36F1">
        <w:rPr>
          <w:rFonts w:ascii="Times New Roman" w:hAnsi="Times New Roman" w:cs="Times New Roman"/>
          <w:color w:val="000000" w:themeColor="text1"/>
          <w:sz w:val="28"/>
          <w:szCs w:val="28"/>
          <w:lang w:val="es-ES"/>
        </w:rPr>
        <w:t xml:space="preserve">a pesar de que se </w:t>
      </w:r>
      <w:r w:rsidRPr="005D36F1">
        <w:rPr>
          <w:rFonts w:ascii="Times New Roman" w:hAnsi="Times New Roman" w:cs="Times New Roman"/>
          <w:color w:val="000000" w:themeColor="text1"/>
          <w:sz w:val="28"/>
          <w:szCs w:val="28"/>
          <w:lang w:val="es-ES"/>
        </w:rPr>
        <w:t>condicion</w:t>
      </w:r>
      <w:r w:rsidRPr="005D36F1">
        <w:rPr>
          <w:rFonts w:ascii="Times New Roman" w:hAnsi="Times New Roman" w:cs="Times New Roman"/>
          <w:color w:val="000000" w:themeColor="text1"/>
          <w:sz w:val="28"/>
          <w:szCs w:val="28"/>
          <w:lang w:val="es-ES"/>
        </w:rPr>
        <w:t>ó</w:t>
      </w:r>
      <w:r w:rsidRPr="005D36F1">
        <w:rPr>
          <w:rFonts w:ascii="Times New Roman" w:hAnsi="Times New Roman" w:cs="Times New Roman"/>
          <w:color w:val="000000" w:themeColor="text1"/>
          <w:sz w:val="28"/>
          <w:szCs w:val="28"/>
          <w:lang w:val="es-ES"/>
        </w:rPr>
        <w:t xml:space="preserve"> la causal, tanto hombres como mujeres, además de que </w:t>
      </w:r>
      <w:r w:rsidRPr="005D36F1">
        <w:rPr>
          <w:rFonts w:ascii="Times New Roman" w:hAnsi="Times New Roman" w:cs="Times New Roman"/>
          <w:color w:val="000000" w:themeColor="text1"/>
          <w:sz w:val="28"/>
          <w:szCs w:val="28"/>
          <w:lang w:val="es-ES"/>
        </w:rPr>
        <w:t>ya no cuentan con</w:t>
      </w:r>
      <w:r w:rsidRPr="005D36F1">
        <w:rPr>
          <w:rFonts w:ascii="Times New Roman" w:hAnsi="Times New Roman" w:cs="Times New Roman"/>
          <w:color w:val="000000" w:themeColor="text1"/>
          <w:sz w:val="28"/>
          <w:szCs w:val="28"/>
          <w:lang w:val="es-ES"/>
        </w:rPr>
        <w:t xml:space="preserve"> una causa legal para solicitar el divorcio cuando su pareja consume este tipo de sustancias, también </w:t>
      </w:r>
      <w:r w:rsidRPr="005D36F1">
        <w:rPr>
          <w:rFonts w:ascii="Times New Roman" w:hAnsi="Times New Roman" w:cs="Times New Roman"/>
          <w:color w:val="000000" w:themeColor="text1"/>
          <w:sz w:val="28"/>
          <w:szCs w:val="28"/>
          <w:lang w:val="es-ES"/>
        </w:rPr>
        <w:t>perdieron</w:t>
      </w:r>
      <w:r w:rsidRPr="005D36F1">
        <w:rPr>
          <w:rFonts w:ascii="Times New Roman" w:hAnsi="Times New Roman" w:cs="Times New Roman"/>
          <w:color w:val="000000" w:themeColor="text1"/>
          <w:sz w:val="28"/>
          <w:szCs w:val="28"/>
          <w:lang w:val="es-ES"/>
        </w:rPr>
        <w:t xml:space="preserve"> </w:t>
      </w:r>
      <w:r w:rsidRPr="005D36F1">
        <w:rPr>
          <w:rFonts w:ascii="Times New Roman" w:hAnsi="Times New Roman" w:cs="Times New Roman"/>
          <w:color w:val="000000" w:themeColor="text1"/>
          <w:sz w:val="28"/>
          <w:szCs w:val="28"/>
          <w:lang w:val="es-ES"/>
        </w:rPr>
        <w:t>el</w:t>
      </w:r>
      <w:r w:rsidRPr="005D36F1">
        <w:rPr>
          <w:rFonts w:ascii="Times New Roman" w:hAnsi="Times New Roman" w:cs="Times New Roman"/>
          <w:color w:val="000000" w:themeColor="text1"/>
          <w:sz w:val="28"/>
          <w:szCs w:val="28"/>
          <w:lang w:val="es-ES"/>
        </w:rPr>
        <w:t xml:space="preserve"> derecho a pedir que se les recono</w:t>
      </w:r>
      <w:r w:rsidRPr="005D36F1">
        <w:rPr>
          <w:rFonts w:ascii="Times New Roman" w:hAnsi="Times New Roman" w:cs="Times New Roman"/>
          <w:color w:val="000000" w:themeColor="text1"/>
          <w:sz w:val="28"/>
          <w:szCs w:val="28"/>
          <w:lang w:val="es-ES"/>
        </w:rPr>
        <w:t>cieran</w:t>
      </w:r>
      <w:r w:rsidRPr="005D36F1">
        <w:rPr>
          <w:rFonts w:ascii="Times New Roman" w:hAnsi="Times New Roman" w:cs="Times New Roman"/>
          <w:color w:val="000000" w:themeColor="text1"/>
          <w:sz w:val="28"/>
          <w:szCs w:val="28"/>
          <w:lang w:val="es-ES"/>
        </w:rPr>
        <w:t xml:space="preserve"> ciertos derechos </w:t>
      </w:r>
      <w:r w:rsidRPr="005D36F1">
        <w:rPr>
          <w:rFonts w:ascii="Times New Roman" w:hAnsi="Times New Roman" w:cs="Times New Roman"/>
          <w:color w:val="000000" w:themeColor="text1"/>
          <w:sz w:val="28"/>
          <w:szCs w:val="28"/>
          <w:lang w:val="es-ES"/>
        </w:rPr>
        <w:t xml:space="preserve">económicos </w:t>
      </w:r>
      <w:r w:rsidRPr="005D36F1">
        <w:rPr>
          <w:rFonts w:ascii="Times New Roman" w:hAnsi="Times New Roman" w:cs="Times New Roman"/>
          <w:color w:val="000000" w:themeColor="text1"/>
          <w:sz w:val="28"/>
          <w:szCs w:val="28"/>
          <w:lang w:val="es-ES"/>
        </w:rPr>
        <w:t>como consecuencia de</w:t>
      </w:r>
      <w:r w:rsidRPr="005D36F1">
        <w:rPr>
          <w:rFonts w:ascii="Times New Roman" w:hAnsi="Times New Roman" w:cs="Times New Roman"/>
          <w:color w:val="000000" w:themeColor="text1"/>
          <w:sz w:val="28"/>
          <w:szCs w:val="28"/>
          <w:lang w:val="es-ES"/>
        </w:rPr>
        <w:t xml:space="preserve">l </w:t>
      </w:r>
      <w:r w:rsidRPr="005D36F1">
        <w:rPr>
          <w:rFonts w:ascii="Times New Roman" w:hAnsi="Times New Roman" w:cs="Times New Roman"/>
          <w:color w:val="000000" w:themeColor="text1"/>
          <w:sz w:val="28"/>
          <w:szCs w:val="28"/>
          <w:lang w:val="es-ES"/>
        </w:rPr>
        <w:t xml:space="preserve">divorcio o </w:t>
      </w:r>
      <w:r w:rsidRPr="005D36F1">
        <w:rPr>
          <w:rFonts w:ascii="Times New Roman" w:hAnsi="Times New Roman" w:cs="Times New Roman"/>
          <w:color w:val="000000" w:themeColor="text1"/>
          <w:sz w:val="28"/>
          <w:szCs w:val="28"/>
          <w:lang w:val="es-ES"/>
        </w:rPr>
        <w:t xml:space="preserve">a </w:t>
      </w:r>
      <w:r w:rsidRPr="005D36F1">
        <w:rPr>
          <w:rFonts w:ascii="Times New Roman" w:hAnsi="Times New Roman" w:cs="Times New Roman"/>
          <w:color w:val="000000" w:themeColor="text1"/>
          <w:sz w:val="28"/>
          <w:szCs w:val="28"/>
          <w:lang w:val="es-ES"/>
        </w:rPr>
        <w:t>proteg</w:t>
      </w:r>
      <w:r w:rsidRPr="005D36F1">
        <w:rPr>
          <w:rFonts w:ascii="Times New Roman" w:hAnsi="Times New Roman" w:cs="Times New Roman"/>
          <w:color w:val="000000" w:themeColor="text1"/>
          <w:sz w:val="28"/>
          <w:szCs w:val="28"/>
          <w:lang w:val="es-ES"/>
        </w:rPr>
        <w:t xml:space="preserve">ieran </w:t>
      </w:r>
      <w:r w:rsidRPr="005D36F1">
        <w:rPr>
          <w:rFonts w:ascii="Times New Roman" w:hAnsi="Times New Roman" w:cs="Times New Roman"/>
          <w:color w:val="000000" w:themeColor="text1"/>
          <w:sz w:val="28"/>
          <w:szCs w:val="28"/>
          <w:lang w:val="es-ES"/>
        </w:rPr>
        <w:t>a sus hijos con la custodia exclusiva.</w:t>
      </w:r>
    </w:p>
    <w:p w:rsidR="008833E9" w:rsidRPr="005D36F1" w:rsidRDefault="005D36F1" w:rsidP="0009084F">
      <w:pPr>
        <w:rPr>
          <w:rFonts w:ascii="Times New Roman" w:hAnsi="Times New Roman" w:cs="Times New Roman"/>
          <w:color w:val="000000" w:themeColor="text1"/>
          <w:sz w:val="28"/>
          <w:lang w:val="es-ES"/>
        </w:rPr>
      </w:pPr>
    </w:p>
    <w:p w:rsidR="00505244" w:rsidRPr="005D36F1" w:rsidRDefault="005D36F1" w:rsidP="0009084F">
      <w:pPr>
        <w:pStyle w:val="Prrafodelista"/>
        <w:ind w:left="0"/>
        <w:jc w:val="both"/>
        <w:rPr>
          <w:rFonts w:ascii="Times New Roman" w:hAnsi="Times New Roman" w:cs="Times New Roman"/>
          <w:color w:val="000000" w:themeColor="text1"/>
          <w:sz w:val="28"/>
          <w:lang w:val="es-ES"/>
        </w:rPr>
      </w:pPr>
      <w:r w:rsidRPr="005D36F1">
        <w:rPr>
          <w:rFonts w:ascii="Times New Roman" w:hAnsi="Times New Roman" w:cs="Times New Roman"/>
          <w:color w:val="000000" w:themeColor="text1"/>
          <w:sz w:val="28"/>
          <w:lang w:val="es-ES"/>
        </w:rPr>
        <w:t>Conforme con</w:t>
      </w:r>
      <w:r w:rsidRPr="005D36F1">
        <w:rPr>
          <w:rFonts w:ascii="Times New Roman" w:hAnsi="Times New Roman" w:cs="Times New Roman"/>
          <w:color w:val="000000" w:themeColor="text1"/>
          <w:sz w:val="28"/>
          <w:lang w:val="es-ES"/>
        </w:rPr>
        <w:t xml:space="preserve"> lo </w:t>
      </w:r>
      <w:r w:rsidRPr="005D36F1">
        <w:rPr>
          <w:rFonts w:ascii="Times New Roman" w:hAnsi="Times New Roman" w:cs="Times New Roman"/>
          <w:color w:val="000000" w:themeColor="text1"/>
          <w:sz w:val="28"/>
          <w:lang w:val="es-ES"/>
        </w:rPr>
        <w:t xml:space="preserve">antes </w:t>
      </w:r>
      <w:r w:rsidRPr="005D36F1">
        <w:rPr>
          <w:rFonts w:ascii="Times New Roman" w:hAnsi="Times New Roman" w:cs="Times New Roman"/>
          <w:color w:val="000000" w:themeColor="text1"/>
          <w:sz w:val="28"/>
          <w:lang w:val="es-ES"/>
        </w:rPr>
        <w:t>expuesto</w:t>
      </w:r>
      <w:r w:rsidRPr="005D36F1">
        <w:rPr>
          <w:rFonts w:ascii="Times New Roman" w:hAnsi="Times New Roman" w:cs="Times New Roman"/>
          <w:color w:val="000000" w:themeColor="text1"/>
          <w:sz w:val="28"/>
          <w:lang w:val="es-ES"/>
        </w:rPr>
        <w:t xml:space="preserve">, </w:t>
      </w:r>
      <w:r w:rsidRPr="005D36F1">
        <w:rPr>
          <w:rFonts w:ascii="Times New Roman" w:hAnsi="Times New Roman" w:cs="Times New Roman"/>
          <w:color w:val="000000" w:themeColor="text1"/>
          <w:sz w:val="28"/>
          <w:lang w:val="es-ES"/>
        </w:rPr>
        <w:t xml:space="preserve">dejo consignada </w:t>
      </w:r>
      <w:r w:rsidRPr="005D36F1">
        <w:rPr>
          <w:rFonts w:ascii="Times New Roman" w:hAnsi="Times New Roman" w:cs="Times New Roman"/>
          <w:color w:val="000000" w:themeColor="text1"/>
          <w:sz w:val="28"/>
          <w:lang w:val="es-ES"/>
        </w:rPr>
        <w:t xml:space="preserve">mi postura respecto </w:t>
      </w:r>
      <w:r w:rsidRPr="005D36F1">
        <w:rPr>
          <w:rFonts w:ascii="Times New Roman" w:hAnsi="Times New Roman" w:cs="Times New Roman"/>
          <w:color w:val="000000" w:themeColor="text1"/>
          <w:sz w:val="28"/>
          <w:lang w:val="es-ES"/>
        </w:rPr>
        <w:t>a</w:t>
      </w:r>
      <w:r w:rsidRPr="005D36F1">
        <w:rPr>
          <w:rFonts w:ascii="Times New Roman" w:hAnsi="Times New Roman" w:cs="Times New Roman"/>
          <w:color w:val="000000" w:themeColor="text1"/>
          <w:sz w:val="28"/>
          <w:lang w:val="es-ES"/>
        </w:rPr>
        <w:t xml:space="preserve">l análisis </w:t>
      </w:r>
      <w:r w:rsidRPr="005D36F1">
        <w:rPr>
          <w:rFonts w:ascii="Times New Roman" w:hAnsi="Times New Roman" w:cs="Times New Roman"/>
          <w:color w:val="000000" w:themeColor="text1"/>
          <w:sz w:val="28"/>
          <w:lang w:val="es-ES"/>
        </w:rPr>
        <w:t>de la Sentencia C-</w:t>
      </w:r>
      <w:r w:rsidRPr="005D36F1">
        <w:rPr>
          <w:rFonts w:ascii="Times New Roman" w:hAnsi="Times New Roman" w:cs="Times New Roman"/>
          <w:color w:val="000000" w:themeColor="text1"/>
          <w:sz w:val="28"/>
          <w:lang w:val="es-ES"/>
        </w:rPr>
        <w:t>096</w:t>
      </w:r>
      <w:r w:rsidRPr="005D36F1">
        <w:rPr>
          <w:rFonts w:ascii="Times New Roman" w:hAnsi="Times New Roman" w:cs="Times New Roman"/>
          <w:color w:val="000000" w:themeColor="text1"/>
          <w:sz w:val="28"/>
          <w:lang w:val="es-ES"/>
        </w:rPr>
        <w:t xml:space="preserve"> de 2024 frente a</w:t>
      </w:r>
      <w:r w:rsidRPr="005D36F1">
        <w:rPr>
          <w:rFonts w:ascii="Times New Roman" w:hAnsi="Times New Roman" w:cs="Times New Roman"/>
          <w:color w:val="000000" w:themeColor="text1"/>
          <w:sz w:val="28"/>
          <w:lang w:val="es-ES"/>
        </w:rPr>
        <w:t xml:space="preserve"> la causal quinta del artículo 154 del Código Civil.</w:t>
      </w:r>
    </w:p>
    <w:p w:rsidR="00AF449F" w:rsidRPr="005D36F1" w:rsidRDefault="005D36F1" w:rsidP="0009084F">
      <w:pPr>
        <w:pStyle w:val="Prrafodelista"/>
        <w:ind w:left="0"/>
        <w:jc w:val="both"/>
        <w:rPr>
          <w:rFonts w:ascii="Times New Roman" w:hAnsi="Times New Roman" w:cs="Times New Roman"/>
          <w:color w:val="000000" w:themeColor="text1"/>
          <w:sz w:val="28"/>
          <w:lang w:val="es-ES"/>
        </w:rPr>
      </w:pPr>
    </w:p>
    <w:p w:rsidR="00157464" w:rsidRPr="005D36F1" w:rsidRDefault="005D36F1" w:rsidP="0009084F">
      <w:pPr>
        <w:jc w:val="both"/>
        <w:rPr>
          <w:rFonts w:ascii="Times New Roman" w:hAnsi="Times New Roman" w:cs="Times New Roman"/>
          <w:color w:val="000000" w:themeColor="text1"/>
          <w:sz w:val="28"/>
          <w:szCs w:val="28"/>
          <w:lang w:val="es-ES"/>
        </w:rPr>
      </w:pPr>
    </w:p>
    <w:p w:rsidR="00000B7D" w:rsidRPr="005D36F1" w:rsidRDefault="005D36F1" w:rsidP="0009084F">
      <w:pPr>
        <w:shd w:val="clear" w:color="auto" w:fill="FFFFFF"/>
        <w:jc w:val="both"/>
        <w:textAlignment w:val="baseline"/>
        <w:rPr>
          <w:rFonts w:ascii="Times New Roman" w:hAnsi="Times New Roman" w:cs="Times New Roman"/>
          <w:color w:val="000000" w:themeColor="text1"/>
          <w:sz w:val="28"/>
          <w:szCs w:val="28"/>
          <w:lang w:val="es-ES"/>
        </w:rPr>
      </w:pPr>
      <w:r w:rsidRPr="005D36F1">
        <w:rPr>
          <w:rFonts w:ascii="Times New Roman" w:hAnsi="Times New Roman" w:cs="Times New Roman"/>
          <w:color w:val="000000" w:themeColor="text1"/>
          <w:sz w:val="28"/>
          <w:szCs w:val="28"/>
          <w:bdr w:val="none" w:sz="0" w:space="0" w:color="auto" w:frame="1"/>
          <w:lang w:val="es-ES"/>
        </w:rPr>
        <w:t>Fecha </w:t>
      </w:r>
      <w:r w:rsidRPr="005D36F1">
        <w:rPr>
          <w:rFonts w:ascii="Times New Roman" w:hAnsi="Times New Roman" w:cs="Times New Roman"/>
          <w:i/>
          <w:iCs/>
          <w:color w:val="000000" w:themeColor="text1"/>
          <w:sz w:val="28"/>
          <w:szCs w:val="28"/>
          <w:bdr w:val="none" w:sz="0" w:space="0" w:color="auto" w:frame="1"/>
          <w:lang w:val="es-ES"/>
        </w:rPr>
        <w:t>ut supra.</w:t>
      </w:r>
    </w:p>
    <w:p w:rsidR="00CA2A0F" w:rsidRPr="005D36F1" w:rsidRDefault="005D36F1" w:rsidP="002304E7">
      <w:pPr>
        <w:jc w:val="center"/>
        <w:rPr>
          <w:rFonts w:ascii="Times New Roman" w:hAnsi="Times New Roman" w:cs="Times New Roman"/>
          <w:color w:val="000000" w:themeColor="text1"/>
          <w:sz w:val="28"/>
          <w:szCs w:val="28"/>
          <w:lang w:val="es-ES"/>
        </w:rPr>
      </w:pPr>
      <w:r w:rsidRPr="005D36F1">
        <w:rPr>
          <w:rFonts w:ascii="Times New Roman" w:hAnsi="Times New Roman" w:cs="Times New Roman"/>
          <w:color w:val="000000" w:themeColor="text1"/>
          <w:sz w:val="28"/>
          <w:szCs w:val="28"/>
          <w:lang w:val="es-ES"/>
        </w:rPr>
        <w:t xml:space="preserve"> </w:t>
      </w:r>
    </w:p>
    <w:p w:rsidR="00B73832" w:rsidRPr="005D36F1" w:rsidRDefault="005D36F1" w:rsidP="002304E7">
      <w:pPr>
        <w:jc w:val="center"/>
        <w:rPr>
          <w:rFonts w:ascii="Times New Roman" w:hAnsi="Times New Roman" w:cs="Times New Roman"/>
          <w:color w:val="000000" w:themeColor="text1"/>
          <w:sz w:val="28"/>
          <w:szCs w:val="28"/>
          <w:lang w:val="es-ES"/>
        </w:rPr>
      </w:pPr>
    </w:p>
    <w:p w:rsidR="00B73832" w:rsidRPr="005D36F1" w:rsidRDefault="005D36F1" w:rsidP="002304E7">
      <w:pPr>
        <w:jc w:val="center"/>
        <w:rPr>
          <w:rFonts w:ascii="Times New Roman" w:hAnsi="Times New Roman" w:cs="Times New Roman"/>
          <w:color w:val="000000" w:themeColor="text1"/>
          <w:sz w:val="28"/>
          <w:szCs w:val="28"/>
          <w:lang w:val="es-ES"/>
        </w:rPr>
      </w:pPr>
    </w:p>
    <w:p w:rsidR="00B73832" w:rsidRPr="005D36F1" w:rsidRDefault="005D36F1" w:rsidP="00B73832">
      <w:pPr>
        <w:jc w:val="center"/>
        <w:rPr>
          <w:rFonts w:ascii="Times New Roman" w:hAnsi="Times New Roman" w:cs="Times New Roman"/>
          <w:b/>
          <w:bCs/>
          <w:color w:val="000000" w:themeColor="text1"/>
          <w:sz w:val="28"/>
          <w:szCs w:val="28"/>
          <w:lang w:val="es-ES"/>
        </w:rPr>
      </w:pPr>
      <w:r w:rsidRPr="005D36F1">
        <w:rPr>
          <w:rFonts w:ascii="Times New Roman" w:hAnsi="Times New Roman" w:cs="Times New Roman"/>
          <w:b/>
          <w:bCs/>
          <w:color w:val="000000" w:themeColor="text1"/>
          <w:sz w:val="28"/>
          <w:szCs w:val="28"/>
          <w:lang w:val="es-ES"/>
        </w:rPr>
        <w:t xml:space="preserve">JORGE ENRIQUE IBÁÑEZ NAJAR </w:t>
      </w:r>
    </w:p>
    <w:p w:rsidR="00B73832" w:rsidRPr="005D36F1" w:rsidRDefault="005D36F1" w:rsidP="00B73832">
      <w:pPr>
        <w:jc w:val="center"/>
        <w:rPr>
          <w:rFonts w:ascii="Times New Roman" w:hAnsi="Times New Roman" w:cs="Times New Roman"/>
          <w:b/>
          <w:bCs/>
          <w:color w:val="000000" w:themeColor="text1"/>
          <w:sz w:val="28"/>
          <w:szCs w:val="28"/>
          <w:lang w:val="es-ES"/>
        </w:rPr>
      </w:pPr>
      <w:r w:rsidRPr="005D36F1">
        <w:rPr>
          <w:rFonts w:ascii="Times New Roman" w:hAnsi="Times New Roman" w:cs="Times New Roman"/>
          <w:b/>
          <w:bCs/>
          <w:color w:val="000000" w:themeColor="text1"/>
          <w:sz w:val="28"/>
          <w:szCs w:val="28"/>
          <w:lang w:val="es-ES"/>
        </w:rPr>
        <w:t>Magistrado</w:t>
      </w:r>
    </w:p>
    <w:p w:rsidR="007041C6" w:rsidRPr="005D36F1" w:rsidRDefault="005D36F1" w:rsidP="00A60FCF">
      <w:pPr>
        <w:spacing w:after="0" w:line="240" w:lineRule="auto"/>
        <w:ind w:right="-232"/>
        <w:jc w:val="center"/>
        <w:rPr>
          <w:rFonts w:ascii="Times New Roman" w:hAnsi="Times New Roman" w:cs="Times New Roman"/>
          <w:b/>
          <w:bCs/>
          <w:sz w:val="28"/>
          <w:szCs w:val="28"/>
          <w:lang w:eastAsia="zh-CN"/>
        </w:rPr>
      </w:pPr>
    </w:p>
    <w:p w:rsidR="007041C6" w:rsidRPr="005D36F1" w:rsidRDefault="005D36F1" w:rsidP="00A60FCF">
      <w:pPr>
        <w:spacing w:after="0" w:line="240" w:lineRule="auto"/>
        <w:ind w:right="-232"/>
        <w:jc w:val="center"/>
        <w:rPr>
          <w:rFonts w:ascii="Times New Roman" w:hAnsi="Times New Roman" w:cs="Times New Roman"/>
          <w:b/>
          <w:bCs/>
          <w:sz w:val="28"/>
          <w:szCs w:val="28"/>
          <w:lang w:eastAsia="zh-CN"/>
        </w:rPr>
      </w:pPr>
    </w:p>
    <w:p w:rsidR="007041C6" w:rsidRPr="005D36F1" w:rsidRDefault="005D36F1" w:rsidP="00A60FCF">
      <w:pPr>
        <w:spacing w:after="0" w:line="240" w:lineRule="auto"/>
        <w:ind w:right="-232"/>
        <w:jc w:val="center"/>
        <w:rPr>
          <w:rFonts w:ascii="Times New Roman" w:hAnsi="Times New Roman" w:cs="Times New Roman"/>
          <w:b/>
          <w:bCs/>
          <w:sz w:val="28"/>
          <w:szCs w:val="28"/>
          <w:lang w:eastAsia="zh-CN"/>
        </w:rPr>
      </w:pPr>
    </w:p>
    <w:p w:rsidR="00A60FCF" w:rsidRPr="005D36F1" w:rsidRDefault="005D36F1" w:rsidP="00A60FCF">
      <w:pPr>
        <w:spacing w:after="0" w:line="240" w:lineRule="auto"/>
        <w:ind w:right="-232"/>
        <w:jc w:val="center"/>
        <w:rPr>
          <w:rFonts w:ascii="Times New Roman" w:hAnsi="Times New Roman" w:cs="Times New Roman"/>
          <w:b/>
          <w:bCs/>
          <w:sz w:val="28"/>
          <w:szCs w:val="28"/>
          <w:lang w:eastAsia="zh-CN"/>
        </w:rPr>
      </w:pPr>
      <w:r w:rsidRPr="005D36F1">
        <w:rPr>
          <w:rFonts w:ascii="Times New Roman" w:hAnsi="Times New Roman" w:cs="Times New Roman"/>
          <w:b/>
          <w:bCs/>
          <w:sz w:val="28"/>
          <w:szCs w:val="28"/>
          <w:lang w:eastAsia="zh-CN"/>
        </w:rPr>
        <w:t>ACLARACIÓN DE VOTO DEL MAGISTRADO</w:t>
      </w:r>
    </w:p>
    <w:p w:rsidR="00A60FCF" w:rsidRPr="005D36F1" w:rsidRDefault="005D36F1" w:rsidP="00A60FCF">
      <w:pPr>
        <w:spacing w:after="0" w:line="240" w:lineRule="auto"/>
        <w:ind w:right="-232"/>
        <w:jc w:val="center"/>
        <w:rPr>
          <w:rFonts w:ascii="Times New Roman" w:hAnsi="Times New Roman" w:cs="Times New Roman"/>
          <w:b/>
          <w:bCs/>
          <w:sz w:val="28"/>
          <w:szCs w:val="28"/>
          <w:lang w:eastAsia="zh-CN"/>
        </w:rPr>
      </w:pPr>
      <w:r w:rsidRPr="005D36F1">
        <w:rPr>
          <w:rFonts w:ascii="Times New Roman" w:hAnsi="Times New Roman" w:cs="Times New Roman"/>
          <w:b/>
          <w:bCs/>
          <w:sz w:val="28"/>
          <w:szCs w:val="28"/>
          <w:lang w:eastAsia="zh-CN"/>
        </w:rPr>
        <w:t>JOSÉ FERNANDO REYES CUARTAS</w:t>
      </w:r>
    </w:p>
    <w:p w:rsidR="0099620B" w:rsidRPr="005D36F1" w:rsidRDefault="005D36F1" w:rsidP="00A60FCF">
      <w:pPr>
        <w:spacing w:after="0" w:line="240" w:lineRule="auto"/>
        <w:ind w:right="-232"/>
        <w:jc w:val="center"/>
        <w:rPr>
          <w:rFonts w:ascii="Times New Roman" w:hAnsi="Times New Roman" w:cs="Times New Roman"/>
          <w:b/>
          <w:bCs/>
          <w:sz w:val="28"/>
          <w:szCs w:val="28"/>
          <w:lang w:eastAsia="zh-CN"/>
        </w:rPr>
      </w:pPr>
      <w:r w:rsidRPr="005D36F1">
        <w:rPr>
          <w:rFonts w:ascii="Times New Roman" w:hAnsi="Times New Roman" w:cs="Times New Roman"/>
          <w:b/>
          <w:bCs/>
          <w:sz w:val="28"/>
          <w:szCs w:val="28"/>
          <w:lang w:eastAsia="zh-CN"/>
        </w:rPr>
        <w:t>A LA SENTENCIA C-096/24</w:t>
      </w:r>
    </w:p>
    <w:p w:rsidR="00A60FCF" w:rsidRPr="005D36F1" w:rsidRDefault="005D36F1" w:rsidP="00A60FCF">
      <w:pPr>
        <w:ind w:right="-234"/>
        <w:rPr>
          <w:rFonts w:ascii="Times New Roman" w:hAnsi="Times New Roman" w:cs="Times New Roman"/>
          <w:b/>
          <w:bCs/>
          <w:sz w:val="28"/>
          <w:szCs w:val="28"/>
          <w:lang w:eastAsia="zh-CN"/>
        </w:rPr>
      </w:pPr>
    </w:p>
    <w:p w:rsidR="00A60FCF" w:rsidRPr="005D36F1" w:rsidRDefault="005D36F1" w:rsidP="00A60FCF">
      <w:pPr>
        <w:ind w:right="-234"/>
        <w:rPr>
          <w:rFonts w:ascii="Times New Roman" w:hAnsi="Times New Roman" w:cs="Times New Roman"/>
          <w:b/>
          <w:bCs/>
          <w:sz w:val="28"/>
          <w:szCs w:val="28"/>
          <w:lang w:eastAsia="zh-CN"/>
        </w:rPr>
      </w:pPr>
    </w:p>
    <w:p w:rsidR="0099620B" w:rsidRPr="005D36F1" w:rsidRDefault="005D36F1" w:rsidP="00EE2215">
      <w:pPr>
        <w:pStyle w:val="Prrafodelista"/>
        <w:numPr>
          <w:ilvl w:val="0"/>
          <w:numId w:val="9"/>
        </w:numPr>
        <w:tabs>
          <w:tab w:val="left" w:pos="284"/>
        </w:tabs>
        <w:ind w:left="0" w:right="-234" w:firstLine="0"/>
        <w:jc w:val="both"/>
        <w:rPr>
          <w:rFonts w:ascii="Times New Roman" w:hAnsi="Times New Roman" w:cs="Times New Roman"/>
          <w:bCs/>
          <w:sz w:val="28"/>
          <w:szCs w:val="28"/>
          <w:lang w:eastAsia="zh-CN"/>
        </w:rPr>
      </w:pPr>
      <w:r w:rsidRPr="005D36F1">
        <w:rPr>
          <w:rFonts w:ascii="Times New Roman" w:hAnsi="Times New Roman" w:cs="Times New Roman"/>
          <w:bCs/>
          <w:sz w:val="28"/>
          <w:szCs w:val="28"/>
          <w:lang w:eastAsia="zh-CN"/>
        </w:rPr>
        <w:t xml:space="preserve">En la </w:t>
      </w:r>
      <w:r w:rsidRPr="005D36F1">
        <w:rPr>
          <w:rFonts w:ascii="Times New Roman" w:hAnsi="Times New Roman" w:cs="Times New Roman"/>
          <w:bCs/>
          <w:sz w:val="28"/>
          <w:szCs w:val="28"/>
          <w:lang w:eastAsia="zh-CN"/>
        </w:rPr>
        <w:t>S</w:t>
      </w:r>
      <w:r w:rsidRPr="005D36F1">
        <w:rPr>
          <w:rFonts w:ascii="Times New Roman" w:hAnsi="Times New Roman" w:cs="Times New Roman"/>
          <w:bCs/>
          <w:sz w:val="28"/>
          <w:szCs w:val="28"/>
          <w:lang w:eastAsia="zh-CN"/>
        </w:rPr>
        <w:t xml:space="preserve">entencia C-096 de 2024 </w:t>
      </w:r>
      <w:r w:rsidRPr="005D36F1">
        <w:rPr>
          <w:rFonts w:ascii="Times New Roman" w:hAnsi="Times New Roman" w:cs="Times New Roman"/>
          <w:bCs/>
          <w:sz w:val="28"/>
          <w:szCs w:val="28"/>
          <w:lang w:eastAsia="zh-CN"/>
        </w:rPr>
        <w:t>la Corte</w:t>
      </w:r>
      <w:r w:rsidRPr="005D36F1">
        <w:rPr>
          <w:rFonts w:ascii="Times New Roman" w:hAnsi="Times New Roman" w:cs="Times New Roman"/>
          <w:bCs/>
          <w:sz w:val="28"/>
          <w:szCs w:val="28"/>
          <w:lang w:eastAsia="zh-CN"/>
        </w:rPr>
        <w:t xml:space="preserve"> estableció</w:t>
      </w:r>
      <w:r w:rsidRPr="005D36F1">
        <w:rPr>
          <w:rFonts w:ascii="Times New Roman" w:hAnsi="Times New Roman" w:cs="Times New Roman"/>
          <w:bCs/>
          <w:sz w:val="28"/>
          <w:szCs w:val="28"/>
          <w:lang w:eastAsia="zh-CN"/>
        </w:rPr>
        <w:t xml:space="preserve"> </w:t>
      </w:r>
      <w:r w:rsidRPr="005D36F1">
        <w:rPr>
          <w:rFonts w:ascii="Times New Roman" w:hAnsi="Times New Roman" w:cs="Times New Roman"/>
          <w:bCs/>
          <w:sz w:val="28"/>
          <w:szCs w:val="28"/>
          <w:lang w:eastAsia="zh-CN"/>
        </w:rPr>
        <w:t>que la</w:t>
      </w:r>
      <w:r w:rsidRPr="005D36F1">
        <w:rPr>
          <w:rFonts w:ascii="Times New Roman" w:hAnsi="Times New Roman" w:cs="Times New Roman"/>
          <w:bCs/>
          <w:sz w:val="28"/>
          <w:szCs w:val="28"/>
          <w:lang w:eastAsia="zh-CN"/>
        </w:rPr>
        <w:t xml:space="preserve"> causal de divorcio relativa </w:t>
      </w:r>
      <w:r w:rsidRPr="005D36F1">
        <w:rPr>
          <w:rFonts w:ascii="Times New Roman" w:hAnsi="Times New Roman" w:cs="Times New Roman"/>
          <w:bCs/>
          <w:sz w:val="28"/>
          <w:szCs w:val="28"/>
        </w:rPr>
        <w:t>al uso habitual de sustancias alucinógenas o estupefacientes, salvo prescripción médica,</w:t>
      </w:r>
      <w:r w:rsidRPr="005D36F1">
        <w:rPr>
          <w:rFonts w:ascii="Times New Roman" w:hAnsi="Times New Roman" w:cs="Times New Roman"/>
          <w:bCs/>
          <w:sz w:val="28"/>
          <w:szCs w:val="28"/>
          <w:lang w:eastAsia="zh-CN"/>
        </w:rPr>
        <w:t xml:space="preserve"> </w:t>
      </w:r>
      <w:r w:rsidRPr="005D36F1">
        <w:rPr>
          <w:rFonts w:ascii="Times New Roman" w:hAnsi="Times New Roman" w:cs="Times New Roman"/>
          <w:bCs/>
          <w:sz w:val="28"/>
          <w:szCs w:val="28"/>
          <w:lang w:eastAsia="zh-CN"/>
        </w:rPr>
        <w:t xml:space="preserve">es constitucional </w:t>
      </w:r>
      <w:r w:rsidRPr="005D36F1">
        <w:rPr>
          <w:rFonts w:ascii="Times New Roman" w:hAnsi="Times New Roman" w:cs="Times New Roman"/>
          <w:sz w:val="28"/>
          <w:szCs w:val="28"/>
          <w:shd w:val="clear" w:color="auto" w:fill="FFFFFF"/>
        </w:rPr>
        <w:t xml:space="preserve">en el entendido de que no da lugar al pago de alimentos previsto en el numeral 4 del artículo </w:t>
      </w:r>
      <w:r w:rsidRPr="005D36F1">
        <w:rPr>
          <w:rFonts w:ascii="Times New Roman" w:hAnsi="Times New Roman" w:cs="Times New Roman"/>
          <w:sz w:val="28"/>
          <w:szCs w:val="28"/>
          <w:shd w:val="clear" w:color="auto" w:fill="FFFFFF"/>
        </w:rPr>
        <w:t>411 del Código Civil ni a la revocación de las donaciones que hubiere hecho por causa del matrimonio el cónyuge que reclama la disolución del vínculo matrimonial, prevista en el artículo 162 del Código Civil.</w:t>
      </w:r>
    </w:p>
    <w:p w:rsidR="009C2063" w:rsidRPr="005D36F1" w:rsidRDefault="005D36F1" w:rsidP="00EE2215">
      <w:pPr>
        <w:pStyle w:val="Prrafodelista"/>
        <w:tabs>
          <w:tab w:val="left" w:pos="284"/>
        </w:tabs>
        <w:ind w:left="0" w:right="-234"/>
        <w:jc w:val="both"/>
        <w:rPr>
          <w:rFonts w:ascii="Times New Roman" w:hAnsi="Times New Roman" w:cs="Times New Roman"/>
          <w:bCs/>
          <w:sz w:val="28"/>
          <w:szCs w:val="28"/>
          <w:lang w:eastAsia="zh-CN"/>
        </w:rPr>
      </w:pPr>
    </w:p>
    <w:p w:rsidR="00CC627E" w:rsidRPr="005D36F1" w:rsidRDefault="005D36F1" w:rsidP="00EE2215">
      <w:pPr>
        <w:pStyle w:val="Prrafodelista"/>
        <w:numPr>
          <w:ilvl w:val="0"/>
          <w:numId w:val="9"/>
        </w:numPr>
        <w:tabs>
          <w:tab w:val="left" w:pos="284"/>
        </w:tabs>
        <w:ind w:left="0" w:right="-234" w:firstLine="0"/>
        <w:jc w:val="both"/>
        <w:rPr>
          <w:rFonts w:ascii="Times New Roman" w:hAnsi="Times New Roman" w:cs="Times New Roman"/>
          <w:bCs/>
          <w:sz w:val="28"/>
          <w:szCs w:val="28"/>
          <w:lang w:eastAsia="zh-CN"/>
        </w:rPr>
      </w:pPr>
      <w:r w:rsidRPr="005D36F1">
        <w:rPr>
          <w:rFonts w:ascii="Times New Roman" w:hAnsi="Times New Roman" w:cs="Times New Roman"/>
          <w:bCs/>
          <w:sz w:val="28"/>
          <w:szCs w:val="28"/>
          <w:lang w:eastAsia="zh-CN"/>
        </w:rPr>
        <w:t>Esta decisión se inscribe en un contexto norma</w:t>
      </w:r>
      <w:r w:rsidRPr="005D36F1">
        <w:rPr>
          <w:rFonts w:ascii="Times New Roman" w:hAnsi="Times New Roman" w:cs="Times New Roman"/>
          <w:bCs/>
          <w:sz w:val="28"/>
          <w:szCs w:val="28"/>
          <w:lang w:eastAsia="zh-CN"/>
        </w:rPr>
        <w:t>tivo</w:t>
      </w:r>
      <w:r w:rsidRPr="005D36F1">
        <w:rPr>
          <w:rFonts w:ascii="Times New Roman" w:hAnsi="Times New Roman" w:cs="Times New Roman"/>
          <w:bCs/>
          <w:sz w:val="28"/>
          <w:szCs w:val="28"/>
          <w:lang w:eastAsia="zh-CN"/>
        </w:rPr>
        <w:t xml:space="preserve"> -el del actual Código Civil-</w:t>
      </w:r>
      <w:r w:rsidRPr="005D36F1">
        <w:rPr>
          <w:rFonts w:ascii="Times New Roman" w:hAnsi="Times New Roman" w:cs="Times New Roman"/>
          <w:bCs/>
          <w:sz w:val="28"/>
          <w:szCs w:val="28"/>
          <w:lang w:eastAsia="zh-CN"/>
        </w:rPr>
        <w:t xml:space="preserve"> que </w:t>
      </w:r>
      <w:r w:rsidRPr="005D36F1">
        <w:rPr>
          <w:rFonts w:ascii="Times New Roman" w:hAnsi="Times New Roman" w:cs="Times New Roman"/>
          <w:bCs/>
          <w:sz w:val="28"/>
          <w:szCs w:val="28"/>
          <w:lang w:eastAsia="zh-CN"/>
        </w:rPr>
        <w:t xml:space="preserve">condiciona </w:t>
      </w:r>
      <w:r w:rsidRPr="005D36F1">
        <w:rPr>
          <w:rFonts w:ascii="Times New Roman" w:hAnsi="Times New Roman" w:cs="Times New Roman"/>
          <w:bCs/>
          <w:sz w:val="28"/>
          <w:szCs w:val="28"/>
          <w:lang w:eastAsia="zh-CN"/>
        </w:rPr>
        <w:t>la</w:t>
      </w:r>
      <w:r w:rsidRPr="005D36F1">
        <w:rPr>
          <w:rFonts w:ascii="Times New Roman" w:hAnsi="Times New Roman" w:cs="Times New Roman"/>
          <w:bCs/>
          <w:sz w:val="28"/>
          <w:szCs w:val="28"/>
          <w:lang w:eastAsia="zh-CN"/>
        </w:rPr>
        <w:t xml:space="preserve"> </w:t>
      </w:r>
      <w:r w:rsidRPr="005D36F1">
        <w:rPr>
          <w:rFonts w:ascii="Times New Roman" w:hAnsi="Times New Roman" w:cs="Times New Roman"/>
          <w:bCs/>
          <w:sz w:val="28"/>
          <w:szCs w:val="28"/>
          <w:lang w:eastAsia="zh-CN"/>
        </w:rPr>
        <w:t>procedencia</w:t>
      </w:r>
      <w:r w:rsidRPr="005D36F1">
        <w:rPr>
          <w:rFonts w:ascii="Times New Roman" w:hAnsi="Times New Roman" w:cs="Times New Roman"/>
          <w:bCs/>
          <w:sz w:val="28"/>
          <w:szCs w:val="28"/>
          <w:lang w:eastAsia="zh-CN"/>
        </w:rPr>
        <w:t xml:space="preserve"> </w:t>
      </w:r>
      <w:r w:rsidRPr="005D36F1">
        <w:rPr>
          <w:rFonts w:ascii="Times New Roman" w:hAnsi="Times New Roman" w:cs="Times New Roman"/>
          <w:bCs/>
          <w:sz w:val="28"/>
          <w:szCs w:val="28"/>
          <w:lang w:eastAsia="zh-CN"/>
        </w:rPr>
        <w:t xml:space="preserve">del divorcio </w:t>
      </w:r>
      <w:r w:rsidRPr="005D36F1">
        <w:rPr>
          <w:rFonts w:ascii="Times New Roman" w:hAnsi="Times New Roman" w:cs="Times New Roman"/>
          <w:bCs/>
          <w:sz w:val="28"/>
          <w:szCs w:val="28"/>
          <w:lang w:eastAsia="zh-CN"/>
        </w:rPr>
        <w:t xml:space="preserve">a la ocurrencia de </w:t>
      </w:r>
      <w:r w:rsidRPr="005D36F1">
        <w:rPr>
          <w:rFonts w:ascii="Times New Roman" w:hAnsi="Times New Roman" w:cs="Times New Roman"/>
          <w:bCs/>
          <w:sz w:val="28"/>
          <w:szCs w:val="28"/>
          <w:lang w:eastAsia="zh-CN"/>
        </w:rPr>
        <w:t xml:space="preserve">causales </w:t>
      </w:r>
      <w:r w:rsidRPr="005D36F1">
        <w:rPr>
          <w:rFonts w:ascii="Times New Roman" w:hAnsi="Times New Roman" w:cs="Times New Roman"/>
          <w:bCs/>
          <w:sz w:val="28"/>
          <w:szCs w:val="28"/>
          <w:lang w:eastAsia="zh-CN"/>
        </w:rPr>
        <w:t>específicas definidas por el legislador</w:t>
      </w:r>
      <w:r w:rsidRPr="005D36F1">
        <w:rPr>
          <w:rFonts w:ascii="Times New Roman" w:hAnsi="Times New Roman" w:cs="Times New Roman"/>
          <w:bCs/>
          <w:sz w:val="28"/>
          <w:szCs w:val="28"/>
          <w:lang w:eastAsia="zh-CN"/>
        </w:rPr>
        <w:t xml:space="preserve">. </w:t>
      </w:r>
      <w:r w:rsidRPr="005D36F1">
        <w:rPr>
          <w:rFonts w:ascii="Times New Roman" w:hAnsi="Times New Roman" w:cs="Times New Roman"/>
          <w:bCs/>
          <w:sz w:val="28"/>
          <w:szCs w:val="28"/>
          <w:lang w:eastAsia="zh-CN"/>
        </w:rPr>
        <w:t xml:space="preserve">Teniendo en cuenta </w:t>
      </w:r>
      <w:r w:rsidRPr="005D36F1">
        <w:rPr>
          <w:rFonts w:ascii="Times New Roman" w:hAnsi="Times New Roman" w:cs="Times New Roman"/>
          <w:bCs/>
          <w:sz w:val="28"/>
          <w:szCs w:val="28"/>
          <w:lang w:eastAsia="zh-CN"/>
        </w:rPr>
        <w:t>ese</w:t>
      </w:r>
      <w:r w:rsidRPr="005D36F1">
        <w:rPr>
          <w:rFonts w:ascii="Times New Roman" w:hAnsi="Times New Roman" w:cs="Times New Roman"/>
          <w:bCs/>
          <w:sz w:val="28"/>
          <w:szCs w:val="28"/>
          <w:lang w:eastAsia="zh-CN"/>
        </w:rPr>
        <w:t xml:space="preserve"> contexto</w:t>
      </w:r>
      <w:r w:rsidRPr="005D36F1">
        <w:rPr>
          <w:rFonts w:ascii="Times New Roman" w:hAnsi="Times New Roman" w:cs="Times New Roman"/>
          <w:bCs/>
          <w:sz w:val="28"/>
          <w:szCs w:val="28"/>
          <w:lang w:eastAsia="zh-CN"/>
        </w:rPr>
        <w:t>,</w:t>
      </w:r>
      <w:r w:rsidRPr="005D36F1">
        <w:rPr>
          <w:rFonts w:ascii="Times New Roman" w:hAnsi="Times New Roman" w:cs="Times New Roman"/>
          <w:bCs/>
          <w:sz w:val="28"/>
          <w:szCs w:val="28"/>
          <w:lang w:eastAsia="zh-CN"/>
        </w:rPr>
        <w:t xml:space="preserve"> </w:t>
      </w:r>
      <w:r w:rsidRPr="005D36F1">
        <w:rPr>
          <w:rFonts w:ascii="Times New Roman" w:hAnsi="Times New Roman" w:cs="Times New Roman"/>
          <w:bCs/>
          <w:sz w:val="28"/>
          <w:szCs w:val="28"/>
          <w:lang w:eastAsia="zh-CN"/>
        </w:rPr>
        <w:t>acompañ</w:t>
      </w:r>
      <w:r w:rsidRPr="005D36F1">
        <w:rPr>
          <w:rFonts w:ascii="Times New Roman" w:hAnsi="Times New Roman" w:cs="Times New Roman"/>
          <w:bCs/>
          <w:sz w:val="28"/>
          <w:szCs w:val="28"/>
          <w:lang w:eastAsia="zh-CN"/>
        </w:rPr>
        <w:t>é</w:t>
      </w:r>
      <w:r w:rsidRPr="005D36F1">
        <w:rPr>
          <w:rFonts w:ascii="Times New Roman" w:hAnsi="Times New Roman" w:cs="Times New Roman"/>
          <w:bCs/>
          <w:sz w:val="28"/>
          <w:szCs w:val="28"/>
          <w:lang w:eastAsia="zh-CN"/>
        </w:rPr>
        <w:t xml:space="preserve"> la decisión adoptada d</w:t>
      </w:r>
      <w:r w:rsidRPr="005D36F1">
        <w:rPr>
          <w:rFonts w:ascii="Times New Roman" w:hAnsi="Times New Roman" w:cs="Times New Roman"/>
          <w:bCs/>
          <w:sz w:val="28"/>
          <w:szCs w:val="28"/>
          <w:lang w:eastAsia="zh-CN"/>
        </w:rPr>
        <w:t>ebido a</w:t>
      </w:r>
      <w:r w:rsidRPr="005D36F1">
        <w:rPr>
          <w:rFonts w:ascii="Times New Roman" w:hAnsi="Times New Roman" w:cs="Times New Roman"/>
          <w:bCs/>
          <w:sz w:val="28"/>
          <w:szCs w:val="28"/>
          <w:lang w:eastAsia="zh-CN"/>
        </w:rPr>
        <w:t xml:space="preserve"> que optimiza los intereses constitucionales</w:t>
      </w:r>
      <w:r w:rsidRPr="005D36F1">
        <w:rPr>
          <w:rFonts w:ascii="Times New Roman" w:hAnsi="Times New Roman" w:cs="Times New Roman"/>
          <w:bCs/>
          <w:sz w:val="28"/>
          <w:szCs w:val="28"/>
          <w:lang w:eastAsia="zh-CN"/>
        </w:rPr>
        <w:t xml:space="preserve"> relevantes. En efecto, </w:t>
      </w:r>
      <w:r w:rsidRPr="005D36F1">
        <w:rPr>
          <w:rFonts w:ascii="Times New Roman" w:hAnsi="Times New Roman" w:cs="Times New Roman"/>
          <w:bCs/>
          <w:sz w:val="28"/>
          <w:szCs w:val="28"/>
          <w:lang w:eastAsia="zh-CN"/>
        </w:rPr>
        <w:t>asegura el mayor grado posible de realización del derecho al libre desarrollo de la personalidad</w:t>
      </w:r>
      <w:r w:rsidRPr="005D36F1">
        <w:rPr>
          <w:rFonts w:ascii="Times New Roman" w:hAnsi="Times New Roman" w:cs="Times New Roman"/>
          <w:bCs/>
          <w:sz w:val="28"/>
          <w:szCs w:val="28"/>
          <w:lang w:eastAsia="zh-CN"/>
        </w:rPr>
        <w:t xml:space="preserve"> dado que, de una parte,</w:t>
      </w:r>
      <w:r w:rsidRPr="005D36F1">
        <w:rPr>
          <w:rFonts w:ascii="Times New Roman" w:hAnsi="Times New Roman" w:cs="Times New Roman"/>
          <w:bCs/>
          <w:sz w:val="28"/>
          <w:szCs w:val="28"/>
          <w:lang w:eastAsia="zh-CN"/>
        </w:rPr>
        <w:t xml:space="preserve"> </w:t>
      </w:r>
      <w:r w:rsidRPr="005D36F1">
        <w:rPr>
          <w:rFonts w:ascii="Times New Roman" w:hAnsi="Times New Roman" w:cs="Times New Roman"/>
          <w:bCs/>
          <w:sz w:val="28"/>
          <w:szCs w:val="28"/>
          <w:lang w:eastAsia="zh-CN"/>
        </w:rPr>
        <w:t>reconoce</w:t>
      </w:r>
      <w:r w:rsidRPr="005D36F1">
        <w:rPr>
          <w:rFonts w:ascii="Times New Roman" w:hAnsi="Times New Roman" w:cs="Times New Roman"/>
          <w:bCs/>
          <w:sz w:val="28"/>
          <w:szCs w:val="28"/>
          <w:lang w:eastAsia="zh-CN"/>
        </w:rPr>
        <w:t xml:space="preserve"> </w:t>
      </w:r>
      <w:r w:rsidRPr="005D36F1">
        <w:rPr>
          <w:rFonts w:ascii="Times New Roman" w:hAnsi="Times New Roman" w:cs="Times New Roman"/>
          <w:bCs/>
          <w:sz w:val="28"/>
          <w:szCs w:val="28"/>
          <w:lang w:eastAsia="zh-CN"/>
        </w:rPr>
        <w:t xml:space="preserve">que </w:t>
      </w:r>
      <w:r w:rsidRPr="005D36F1">
        <w:rPr>
          <w:rFonts w:ascii="Times New Roman" w:hAnsi="Times New Roman" w:cs="Times New Roman"/>
          <w:bCs/>
          <w:sz w:val="28"/>
          <w:szCs w:val="28"/>
          <w:lang w:eastAsia="zh-CN"/>
        </w:rPr>
        <w:t xml:space="preserve">el evento regulado por la causal es un </w:t>
      </w:r>
      <w:r w:rsidRPr="005D36F1">
        <w:rPr>
          <w:rFonts w:ascii="Times New Roman" w:hAnsi="Times New Roman" w:cs="Times New Roman"/>
          <w:bCs/>
          <w:i/>
          <w:sz w:val="28"/>
          <w:szCs w:val="28"/>
          <w:lang w:eastAsia="zh-CN"/>
        </w:rPr>
        <w:t xml:space="preserve">comportamiento </w:t>
      </w:r>
      <w:r w:rsidRPr="005D36F1">
        <w:rPr>
          <w:rFonts w:ascii="Times New Roman" w:hAnsi="Times New Roman" w:cs="Times New Roman"/>
          <w:bCs/>
          <w:i/>
          <w:sz w:val="28"/>
          <w:szCs w:val="28"/>
          <w:lang w:eastAsia="zh-CN"/>
        </w:rPr>
        <w:t>no interferido</w:t>
      </w:r>
      <w:r w:rsidRPr="005D36F1">
        <w:rPr>
          <w:rFonts w:ascii="Times New Roman" w:hAnsi="Times New Roman" w:cs="Times New Roman"/>
          <w:bCs/>
          <w:sz w:val="28"/>
          <w:szCs w:val="28"/>
          <w:lang w:eastAsia="zh-CN"/>
        </w:rPr>
        <w:t xml:space="preserve"> cuya ejecución no puede implicar sanciones penales o civiles y</w:t>
      </w:r>
      <w:r w:rsidRPr="005D36F1">
        <w:rPr>
          <w:rFonts w:ascii="Times New Roman" w:hAnsi="Times New Roman" w:cs="Times New Roman"/>
          <w:bCs/>
          <w:sz w:val="28"/>
          <w:szCs w:val="28"/>
          <w:lang w:eastAsia="zh-CN"/>
        </w:rPr>
        <w:t>, de otra,</w:t>
      </w:r>
      <w:r w:rsidRPr="005D36F1">
        <w:rPr>
          <w:rFonts w:ascii="Times New Roman" w:hAnsi="Times New Roman" w:cs="Times New Roman"/>
          <w:bCs/>
          <w:sz w:val="28"/>
          <w:szCs w:val="28"/>
          <w:lang w:eastAsia="zh-CN"/>
        </w:rPr>
        <w:t xml:space="preserve"> </w:t>
      </w:r>
      <w:r w:rsidRPr="005D36F1">
        <w:rPr>
          <w:rFonts w:ascii="Times New Roman" w:hAnsi="Times New Roman" w:cs="Times New Roman"/>
          <w:bCs/>
          <w:sz w:val="28"/>
          <w:szCs w:val="28"/>
          <w:lang w:eastAsia="zh-CN"/>
        </w:rPr>
        <w:t>preserva la posibilidad de que el cónyuge que estime incompatible con su plan de vida el uso habitual de las sustancias a las que se refiere la causal</w:t>
      </w:r>
      <w:r w:rsidRPr="005D36F1">
        <w:rPr>
          <w:rFonts w:ascii="Times New Roman" w:hAnsi="Times New Roman" w:cs="Times New Roman"/>
          <w:bCs/>
          <w:sz w:val="28"/>
          <w:szCs w:val="28"/>
          <w:lang w:eastAsia="zh-CN"/>
        </w:rPr>
        <w:t>,</w:t>
      </w:r>
      <w:r w:rsidRPr="005D36F1">
        <w:rPr>
          <w:rFonts w:ascii="Times New Roman" w:hAnsi="Times New Roman" w:cs="Times New Roman"/>
          <w:bCs/>
          <w:sz w:val="28"/>
          <w:szCs w:val="28"/>
          <w:lang w:eastAsia="zh-CN"/>
        </w:rPr>
        <w:t xml:space="preserve"> puede solicitar </w:t>
      </w:r>
      <w:r w:rsidRPr="005D36F1">
        <w:rPr>
          <w:rFonts w:ascii="Times New Roman" w:hAnsi="Times New Roman" w:cs="Times New Roman"/>
          <w:bCs/>
          <w:sz w:val="28"/>
          <w:szCs w:val="28"/>
          <w:lang w:eastAsia="zh-CN"/>
        </w:rPr>
        <w:t xml:space="preserve">válidamente la terminación del vínculo matrimonial. </w:t>
      </w:r>
    </w:p>
    <w:p w:rsidR="00CC627E" w:rsidRPr="005D36F1" w:rsidRDefault="005D36F1" w:rsidP="00EE2215">
      <w:pPr>
        <w:pStyle w:val="Prrafodelista"/>
        <w:ind w:right="-234"/>
        <w:rPr>
          <w:rFonts w:ascii="Times New Roman" w:hAnsi="Times New Roman" w:cs="Times New Roman"/>
          <w:bCs/>
          <w:sz w:val="28"/>
          <w:szCs w:val="28"/>
          <w:lang w:eastAsia="zh-CN"/>
        </w:rPr>
      </w:pPr>
    </w:p>
    <w:p w:rsidR="00CC627E" w:rsidRPr="005D36F1" w:rsidRDefault="005D36F1" w:rsidP="00EE2215">
      <w:pPr>
        <w:pStyle w:val="Prrafodelista"/>
        <w:numPr>
          <w:ilvl w:val="0"/>
          <w:numId w:val="9"/>
        </w:numPr>
        <w:tabs>
          <w:tab w:val="left" w:pos="284"/>
        </w:tabs>
        <w:ind w:left="0" w:right="-234" w:firstLine="0"/>
        <w:jc w:val="both"/>
        <w:rPr>
          <w:rFonts w:ascii="Times New Roman" w:hAnsi="Times New Roman" w:cs="Times New Roman"/>
          <w:bCs/>
          <w:sz w:val="28"/>
          <w:szCs w:val="28"/>
          <w:lang w:eastAsia="zh-CN"/>
        </w:rPr>
      </w:pPr>
      <w:r w:rsidRPr="005D36F1">
        <w:rPr>
          <w:rFonts w:ascii="Times New Roman" w:hAnsi="Times New Roman" w:cs="Times New Roman"/>
          <w:bCs/>
          <w:sz w:val="28"/>
          <w:szCs w:val="28"/>
          <w:lang w:eastAsia="zh-CN"/>
        </w:rPr>
        <w:t>A pesar de lo anterior</w:t>
      </w:r>
      <w:r w:rsidRPr="005D36F1">
        <w:rPr>
          <w:rFonts w:ascii="Times New Roman" w:hAnsi="Times New Roman" w:cs="Times New Roman"/>
          <w:bCs/>
          <w:sz w:val="28"/>
          <w:szCs w:val="28"/>
          <w:lang w:eastAsia="zh-CN"/>
        </w:rPr>
        <w:t xml:space="preserve">, he considerado necesario reiterar </w:t>
      </w:r>
      <w:r w:rsidRPr="005D36F1">
        <w:rPr>
          <w:rFonts w:ascii="Times New Roman" w:hAnsi="Times New Roman" w:cs="Times New Roman"/>
          <w:bCs/>
          <w:sz w:val="28"/>
          <w:szCs w:val="28"/>
          <w:lang w:eastAsia="zh-CN"/>
        </w:rPr>
        <w:t>mi</w:t>
      </w:r>
      <w:r w:rsidRPr="005D36F1">
        <w:rPr>
          <w:rFonts w:ascii="Times New Roman" w:hAnsi="Times New Roman" w:cs="Times New Roman"/>
          <w:bCs/>
          <w:sz w:val="28"/>
          <w:szCs w:val="28"/>
          <w:lang w:eastAsia="zh-CN"/>
        </w:rPr>
        <w:t xml:space="preserve"> posición acerca de que la mejor lectura de la Constitución indica la necesidad de</w:t>
      </w:r>
      <w:r w:rsidRPr="005D36F1">
        <w:rPr>
          <w:rFonts w:ascii="Times New Roman" w:hAnsi="Times New Roman" w:cs="Times New Roman"/>
          <w:bCs/>
          <w:sz w:val="28"/>
          <w:szCs w:val="28"/>
          <w:lang w:eastAsia="zh-CN"/>
        </w:rPr>
        <w:t xml:space="preserve"> establecer</w:t>
      </w:r>
      <w:r w:rsidRPr="005D36F1">
        <w:rPr>
          <w:rFonts w:ascii="Times New Roman" w:hAnsi="Times New Roman" w:cs="Times New Roman"/>
          <w:bCs/>
          <w:sz w:val="28"/>
          <w:szCs w:val="28"/>
          <w:lang w:eastAsia="zh-CN"/>
        </w:rPr>
        <w:t xml:space="preserve"> un régimen jurídico en el que el divorcio no dep</w:t>
      </w:r>
      <w:r w:rsidRPr="005D36F1">
        <w:rPr>
          <w:rFonts w:ascii="Times New Roman" w:hAnsi="Times New Roman" w:cs="Times New Roman"/>
          <w:bCs/>
          <w:sz w:val="28"/>
          <w:szCs w:val="28"/>
          <w:lang w:eastAsia="zh-CN"/>
        </w:rPr>
        <w:t>enda de la configuración de eventos específicos previstos por el legislador. En esa dirección,</w:t>
      </w:r>
      <w:r w:rsidRPr="005D36F1">
        <w:rPr>
          <w:rFonts w:ascii="Times New Roman" w:hAnsi="Times New Roman" w:cs="Times New Roman"/>
          <w:bCs/>
          <w:sz w:val="28"/>
          <w:szCs w:val="28"/>
          <w:lang w:eastAsia="zh-CN"/>
        </w:rPr>
        <w:t xml:space="preserve"> estimo importante</w:t>
      </w:r>
      <w:r w:rsidRPr="005D36F1">
        <w:rPr>
          <w:rFonts w:ascii="Times New Roman" w:hAnsi="Times New Roman" w:cs="Times New Roman"/>
          <w:bCs/>
          <w:sz w:val="28"/>
          <w:szCs w:val="28"/>
          <w:lang w:eastAsia="zh-CN"/>
        </w:rPr>
        <w:t xml:space="preserve"> reiter</w:t>
      </w:r>
      <w:r w:rsidRPr="005D36F1">
        <w:rPr>
          <w:rFonts w:ascii="Times New Roman" w:hAnsi="Times New Roman" w:cs="Times New Roman"/>
          <w:bCs/>
          <w:sz w:val="28"/>
          <w:szCs w:val="28"/>
          <w:lang w:eastAsia="zh-CN"/>
        </w:rPr>
        <w:t>ar</w:t>
      </w:r>
      <w:r w:rsidRPr="005D36F1">
        <w:rPr>
          <w:rFonts w:ascii="Times New Roman" w:hAnsi="Times New Roman" w:cs="Times New Roman"/>
          <w:bCs/>
          <w:sz w:val="28"/>
          <w:szCs w:val="28"/>
          <w:lang w:eastAsia="zh-CN"/>
        </w:rPr>
        <w:t xml:space="preserve"> las razones que </w:t>
      </w:r>
      <w:r w:rsidRPr="005D36F1">
        <w:rPr>
          <w:rFonts w:ascii="Times New Roman" w:hAnsi="Times New Roman" w:cs="Times New Roman"/>
          <w:bCs/>
          <w:sz w:val="28"/>
          <w:szCs w:val="28"/>
          <w:lang w:eastAsia="zh-CN"/>
        </w:rPr>
        <w:t xml:space="preserve">sobre el particular </w:t>
      </w:r>
      <w:r w:rsidRPr="005D36F1">
        <w:rPr>
          <w:rFonts w:ascii="Times New Roman" w:hAnsi="Times New Roman" w:cs="Times New Roman"/>
          <w:bCs/>
          <w:sz w:val="28"/>
          <w:szCs w:val="28"/>
          <w:lang w:eastAsia="zh-CN"/>
        </w:rPr>
        <w:t>present</w:t>
      </w:r>
      <w:r w:rsidRPr="005D36F1">
        <w:rPr>
          <w:rFonts w:ascii="Times New Roman" w:hAnsi="Times New Roman" w:cs="Times New Roman"/>
          <w:bCs/>
          <w:sz w:val="28"/>
          <w:szCs w:val="28"/>
          <w:lang w:eastAsia="zh-CN"/>
        </w:rPr>
        <w:t>é al aclarar mi</w:t>
      </w:r>
      <w:r w:rsidRPr="005D36F1">
        <w:rPr>
          <w:rFonts w:ascii="Times New Roman" w:hAnsi="Times New Roman" w:cs="Times New Roman"/>
          <w:bCs/>
          <w:sz w:val="28"/>
          <w:szCs w:val="28"/>
          <w:lang w:eastAsia="zh-CN"/>
        </w:rPr>
        <w:t xml:space="preserve"> voto</w:t>
      </w:r>
      <w:r w:rsidRPr="005D36F1">
        <w:rPr>
          <w:rFonts w:ascii="Times New Roman" w:hAnsi="Times New Roman" w:cs="Times New Roman"/>
          <w:bCs/>
          <w:sz w:val="28"/>
          <w:szCs w:val="28"/>
          <w:lang w:eastAsia="zh-CN"/>
        </w:rPr>
        <w:t xml:space="preserve"> respecto de</w:t>
      </w:r>
      <w:r w:rsidRPr="005D36F1">
        <w:rPr>
          <w:rFonts w:ascii="Times New Roman" w:hAnsi="Times New Roman" w:cs="Times New Roman"/>
          <w:bCs/>
          <w:sz w:val="28"/>
          <w:szCs w:val="28"/>
          <w:lang w:eastAsia="zh-CN"/>
        </w:rPr>
        <w:t xml:space="preserve"> la </w:t>
      </w:r>
      <w:r w:rsidRPr="005D36F1">
        <w:rPr>
          <w:rFonts w:ascii="Times New Roman" w:hAnsi="Times New Roman" w:cs="Times New Roman"/>
          <w:bCs/>
          <w:sz w:val="28"/>
          <w:szCs w:val="28"/>
          <w:lang w:eastAsia="zh-CN"/>
        </w:rPr>
        <w:t>S</w:t>
      </w:r>
      <w:r w:rsidRPr="005D36F1">
        <w:rPr>
          <w:rFonts w:ascii="Times New Roman" w:hAnsi="Times New Roman" w:cs="Times New Roman"/>
          <w:bCs/>
          <w:sz w:val="28"/>
          <w:szCs w:val="28"/>
          <w:lang w:eastAsia="zh-CN"/>
        </w:rPr>
        <w:t>entencia C-589 de 2019</w:t>
      </w:r>
      <w:r w:rsidRPr="005D36F1">
        <w:rPr>
          <w:rFonts w:ascii="Times New Roman" w:hAnsi="Times New Roman" w:cs="Times New Roman"/>
          <w:bCs/>
          <w:sz w:val="28"/>
          <w:szCs w:val="28"/>
          <w:lang w:eastAsia="zh-CN"/>
        </w:rPr>
        <w:t xml:space="preserve"> en la que la Sala Plena </w:t>
      </w:r>
      <w:r w:rsidRPr="005D36F1">
        <w:rPr>
          <w:rFonts w:ascii="Times New Roman" w:hAnsi="Times New Roman" w:cs="Times New Roman"/>
          <w:sz w:val="28"/>
          <w:szCs w:val="28"/>
        </w:rPr>
        <w:t>se abst</w:t>
      </w:r>
      <w:r w:rsidRPr="005D36F1">
        <w:rPr>
          <w:rFonts w:ascii="Times New Roman" w:hAnsi="Times New Roman" w:cs="Times New Roman"/>
          <w:sz w:val="28"/>
          <w:szCs w:val="28"/>
        </w:rPr>
        <w:t xml:space="preserve">uvo de emitir un pronunciamiento de fondo </w:t>
      </w:r>
      <w:r w:rsidRPr="005D36F1">
        <w:rPr>
          <w:rFonts w:ascii="Times New Roman" w:hAnsi="Times New Roman" w:cs="Times New Roman"/>
          <w:sz w:val="28"/>
          <w:szCs w:val="28"/>
        </w:rPr>
        <w:t xml:space="preserve">sobre </w:t>
      </w:r>
      <w:r w:rsidRPr="005D36F1">
        <w:rPr>
          <w:rFonts w:ascii="Times New Roman" w:hAnsi="Times New Roman" w:cs="Times New Roman"/>
          <w:sz w:val="28"/>
          <w:szCs w:val="28"/>
        </w:rPr>
        <w:t>la acusación formulada en contra de la expresión “</w:t>
      </w:r>
      <w:r w:rsidRPr="005D36F1">
        <w:rPr>
          <w:rFonts w:ascii="Times New Roman" w:hAnsi="Times New Roman" w:cs="Times New Roman"/>
          <w:i/>
          <w:iCs/>
          <w:sz w:val="28"/>
          <w:szCs w:val="28"/>
        </w:rPr>
        <w:t>ambos cónyuges</w:t>
      </w:r>
      <w:r w:rsidRPr="005D36F1">
        <w:rPr>
          <w:rFonts w:ascii="Times New Roman" w:hAnsi="Times New Roman" w:cs="Times New Roman"/>
          <w:sz w:val="28"/>
          <w:szCs w:val="28"/>
        </w:rPr>
        <w:t xml:space="preserve">” </w:t>
      </w:r>
      <w:r w:rsidRPr="005D36F1">
        <w:rPr>
          <w:rFonts w:ascii="Times New Roman" w:hAnsi="Times New Roman" w:cs="Times New Roman"/>
          <w:sz w:val="28"/>
          <w:szCs w:val="28"/>
        </w:rPr>
        <w:t>d</w:t>
      </w:r>
      <w:r w:rsidRPr="005D36F1">
        <w:rPr>
          <w:rFonts w:ascii="Times New Roman" w:hAnsi="Times New Roman" w:cs="Times New Roman"/>
          <w:sz w:val="28"/>
          <w:szCs w:val="28"/>
        </w:rPr>
        <w:t xml:space="preserve">el numeral 9º del actual artículo 154 del Código Civil. A continuación, reproduzco lo que indique en esa ocasión.   </w:t>
      </w:r>
      <w:r w:rsidRPr="005D36F1">
        <w:rPr>
          <w:rFonts w:ascii="Times New Roman" w:hAnsi="Times New Roman" w:cs="Times New Roman"/>
          <w:bCs/>
          <w:sz w:val="28"/>
          <w:szCs w:val="28"/>
          <w:lang w:eastAsia="zh-CN"/>
        </w:rPr>
        <w:t xml:space="preserve">    </w:t>
      </w:r>
      <w:r w:rsidRPr="005D36F1">
        <w:rPr>
          <w:rFonts w:ascii="Times New Roman" w:hAnsi="Times New Roman" w:cs="Times New Roman"/>
          <w:bCs/>
          <w:sz w:val="28"/>
          <w:szCs w:val="28"/>
          <w:lang w:eastAsia="zh-CN"/>
        </w:rPr>
        <w:t xml:space="preserve">  </w:t>
      </w:r>
      <w:r w:rsidRPr="005D36F1">
        <w:rPr>
          <w:rFonts w:ascii="Times New Roman" w:hAnsi="Times New Roman" w:cs="Times New Roman"/>
          <w:bCs/>
          <w:sz w:val="28"/>
          <w:szCs w:val="28"/>
          <w:lang w:eastAsia="zh-CN"/>
        </w:rPr>
        <w:t xml:space="preserve">   </w:t>
      </w:r>
    </w:p>
    <w:p w:rsidR="00CC627E" w:rsidRPr="005D36F1" w:rsidRDefault="005D36F1" w:rsidP="00CC627E">
      <w:pPr>
        <w:tabs>
          <w:tab w:val="left" w:pos="284"/>
        </w:tabs>
        <w:jc w:val="both"/>
        <w:rPr>
          <w:rFonts w:ascii="Times New Roman" w:hAnsi="Times New Roman" w:cs="Times New Roman"/>
          <w:bCs/>
          <w:sz w:val="28"/>
          <w:szCs w:val="28"/>
          <w:lang w:eastAsia="zh-CN"/>
        </w:rPr>
      </w:pPr>
    </w:p>
    <w:p w:rsidR="00CC627E" w:rsidRPr="005D36F1" w:rsidRDefault="005D36F1" w:rsidP="00EE2215">
      <w:pPr>
        <w:tabs>
          <w:tab w:val="left" w:pos="284"/>
        </w:tabs>
        <w:ind w:left="567" w:right="333"/>
        <w:jc w:val="both"/>
        <w:rPr>
          <w:rFonts w:ascii="Times New Roman" w:hAnsi="Times New Roman" w:cs="Times New Roman"/>
          <w:bCs/>
          <w:sz w:val="28"/>
          <w:szCs w:val="28"/>
          <w:lang w:eastAsia="zh-CN"/>
        </w:rPr>
      </w:pPr>
      <w:r w:rsidRPr="005D36F1">
        <w:rPr>
          <w:rFonts w:ascii="Times New Roman" w:hAnsi="Times New Roman" w:cs="Times New Roman"/>
          <w:bCs/>
          <w:sz w:val="28"/>
          <w:szCs w:val="28"/>
          <w:lang w:eastAsia="zh-CN"/>
        </w:rPr>
        <w:t>“</w:t>
      </w:r>
      <w:r w:rsidRPr="005D36F1">
        <w:rPr>
          <w:rFonts w:ascii="Times New Roman" w:hAnsi="Times New Roman" w:cs="Times New Roman"/>
          <w:bCs/>
          <w:sz w:val="28"/>
          <w:szCs w:val="28"/>
          <w:lang w:eastAsia="zh-CN"/>
        </w:rPr>
        <w:t xml:space="preserve">(…) </w:t>
      </w:r>
      <w:r w:rsidRPr="005D36F1">
        <w:rPr>
          <w:rFonts w:ascii="Times New Roman" w:eastAsia="Times New Roman" w:hAnsi="Times New Roman" w:cs="Times New Roman"/>
          <w:b/>
          <w:bCs/>
          <w:i/>
          <w:iCs/>
          <w:sz w:val="28"/>
          <w:szCs w:val="28"/>
          <w:lang w:val="es-ES_tradnl"/>
        </w:rPr>
        <w:t xml:space="preserve">Una </w:t>
      </w:r>
      <w:r w:rsidRPr="005D36F1">
        <w:rPr>
          <w:rFonts w:ascii="Times New Roman" w:eastAsia="Times New Roman" w:hAnsi="Times New Roman" w:cs="Times New Roman"/>
          <w:b/>
          <w:bCs/>
          <w:i/>
          <w:iCs/>
          <w:sz w:val="28"/>
          <w:szCs w:val="28"/>
          <w:lang w:val="es-ES_tradnl"/>
        </w:rPr>
        <w:t>premisa inexpugnable</w:t>
      </w:r>
      <w:r w:rsidRPr="005D36F1">
        <w:rPr>
          <w:rFonts w:ascii="Times New Roman" w:eastAsia="Times New Roman" w:hAnsi="Times New Roman" w:cs="Times New Roman"/>
          <w:b/>
          <w:bCs/>
          <w:sz w:val="28"/>
          <w:szCs w:val="28"/>
          <w:lang w:val="es-ES_tradnl"/>
        </w:rPr>
        <w:t>:</w:t>
      </w:r>
      <w:r w:rsidRPr="005D36F1">
        <w:rPr>
          <w:rFonts w:ascii="Times New Roman" w:eastAsia="Times New Roman" w:hAnsi="Times New Roman" w:cs="Times New Roman"/>
          <w:b/>
          <w:bCs/>
          <w:i/>
          <w:iCs/>
          <w:sz w:val="28"/>
          <w:szCs w:val="28"/>
          <w:lang w:val="es-ES_tradnl"/>
        </w:rPr>
        <w:t> libertad y pluralismo</w:t>
      </w:r>
    </w:p>
    <w:p w:rsidR="00CC627E" w:rsidRPr="005D36F1" w:rsidRDefault="005D36F1" w:rsidP="00EE2215">
      <w:pPr>
        <w:spacing w:before="100" w:beforeAutospacing="1" w:after="100" w:afterAutospacing="1" w:line="240" w:lineRule="auto"/>
        <w:ind w:left="567" w:right="333"/>
        <w:jc w:val="both"/>
        <w:rPr>
          <w:rFonts w:ascii="Times New Roman" w:eastAsia="Times New Roman" w:hAnsi="Times New Roman" w:cs="Times New Roman"/>
          <w:sz w:val="28"/>
          <w:szCs w:val="28"/>
        </w:rPr>
      </w:pPr>
      <w:r w:rsidRPr="005D36F1">
        <w:rPr>
          <w:rFonts w:ascii="Times New Roman" w:eastAsia="Times New Roman" w:hAnsi="Times New Roman" w:cs="Times New Roman"/>
          <w:sz w:val="28"/>
          <w:szCs w:val="28"/>
          <w:lang w:val="es-ES_tradnl"/>
        </w:rPr>
        <w:t>1. La Constitución se funda en la libertad. Su punto de partida y su fin consiste en asegurar que, en el mayor grado posible, las personas puedan elegir, diseñar y ejecutar el modo en que transcurre su vida y la forma en que ella debe terminar. La protecci</w:t>
      </w:r>
      <w:r w:rsidRPr="005D36F1">
        <w:rPr>
          <w:rFonts w:ascii="Times New Roman" w:eastAsia="Times New Roman" w:hAnsi="Times New Roman" w:cs="Times New Roman"/>
          <w:sz w:val="28"/>
          <w:szCs w:val="28"/>
          <w:lang w:val="es-ES_tradnl"/>
        </w:rPr>
        <w:t>ón de la libertad, bajo una perspectiva pluralista conforme a la cual -como lo recordó con firmeza la sentencia C-239 de 1997 apoyándose en Radbruch- las relaciones entre la moral y el derecho deben plantearse principalmente a partir de los derechos y no d</w:t>
      </w:r>
      <w:r w:rsidRPr="005D36F1">
        <w:rPr>
          <w:rFonts w:ascii="Times New Roman" w:eastAsia="Times New Roman" w:hAnsi="Times New Roman" w:cs="Times New Roman"/>
          <w:sz w:val="28"/>
          <w:szCs w:val="28"/>
          <w:lang w:val="es-ES_tradnl"/>
        </w:rPr>
        <w:t xml:space="preserve">e las obligaciones, implica que aquello que solo concierne a la persona, solo a ella le corresponde decidir. Según advirtió la Corte en esa ocasión </w:t>
      </w:r>
      <w:r w:rsidRPr="005D36F1">
        <w:rPr>
          <w:rFonts w:ascii="Times New Roman" w:eastAsia="Times New Roman" w:hAnsi="Times New Roman" w:cs="Times New Roman"/>
          <w:sz w:val="28"/>
          <w:szCs w:val="28"/>
          <w:lang w:val="es-ES_tradnl"/>
        </w:rPr>
        <w:t>‘</w:t>
      </w:r>
      <w:r w:rsidRPr="005D36F1">
        <w:rPr>
          <w:rFonts w:ascii="Times New Roman" w:eastAsia="Times New Roman" w:hAnsi="Times New Roman" w:cs="Times New Roman"/>
          <w:sz w:val="28"/>
          <w:szCs w:val="28"/>
          <w:lang w:val="es-ES_tradnl"/>
        </w:rPr>
        <w:t xml:space="preserve">quien vive como obligatoria una conducta, en función de sus creencias religiosas o morales, no puede </w:t>
      </w:r>
      <w:r w:rsidRPr="005D36F1">
        <w:rPr>
          <w:rFonts w:ascii="Times New Roman" w:eastAsia="Times New Roman" w:hAnsi="Times New Roman" w:cs="Times New Roman"/>
          <w:sz w:val="28"/>
          <w:szCs w:val="28"/>
          <w:lang w:val="es-ES_tradnl"/>
        </w:rPr>
        <w:t>pretender que ella se haga coercitivamente exigible a todos; sólo que a él se le permita vivir su vida moral plena y actuar en función de ella sin interferencias</w:t>
      </w:r>
      <w:r w:rsidRPr="005D36F1">
        <w:rPr>
          <w:rFonts w:ascii="Times New Roman" w:eastAsia="Times New Roman" w:hAnsi="Times New Roman" w:cs="Times New Roman"/>
          <w:sz w:val="28"/>
          <w:szCs w:val="28"/>
          <w:lang w:val="es-ES_tradnl"/>
        </w:rPr>
        <w:t>’.</w:t>
      </w:r>
    </w:p>
    <w:p w:rsidR="00CC627E" w:rsidRPr="005D36F1" w:rsidRDefault="005D36F1" w:rsidP="00EE2215">
      <w:pPr>
        <w:spacing w:before="100" w:beforeAutospacing="1" w:after="100" w:afterAutospacing="1" w:line="240" w:lineRule="auto"/>
        <w:ind w:left="567" w:right="333"/>
        <w:jc w:val="both"/>
        <w:rPr>
          <w:rFonts w:ascii="Times New Roman" w:eastAsia="Times New Roman" w:hAnsi="Times New Roman" w:cs="Times New Roman"/>
          <w:sz w:val="28"/>
          <w:szCs w:val="28"/>
          <w:lang w:val="es-ES_tradnl"/>
        </w:rPr>
      </w:pPr>
      <w:r w:rsidRPr="005D36F1">
        <w:rPr>
          <w:rFonts w:ascii="Times New Roman" w:eastAsia="Times New Roman" w:hAnsi="Times New Roman" w:cs="Times New Roman"/>
          <w:sz w:val="28"/>
          <w:szCs w:val="28"/>
          <w:lang w:val="es-ES_tradnl"/>
        </w:rPr>
        <w:t>2. Esa aproximación no implica, en modo alguno, que el ejercicio de la libertad carezca de l</w:t>
      </w:r>
      <w:r w:rsidRPr="005D36F1">
        <w:rPr>
          <w:rFonts w:ascii="Times New Roman" w:eastAsia="Times New Roman" w:hAnsi="Times New Roman" w:cs="Times New Roman"/>
          <w:sz w:val="28"/>
          <w:szCs w:val="28"/>
          <w:lang w:val="es-ES_tradnl"/>
        </w:rPr>
        <w:t>ímites. El propio artículo 16 de la Constitución establece que el derecho al libre desarrollo de la personalidad puede ser limitado a fin de salvaguardar el orden jurídico y los derechos de los demás. En esa dirección, la materialización de las diversas po</w:t>
      </w:r>
      <w:r w:rsidRPr="005D36F1">
        <w:rPr>
          <w:rFonts w:ascii="Times New Roman" w:eastAsia="Times New Roman" w:hAnsi="Times New Roman" w:cs="Times New Roman"/>
          <w:sz w:val="28"/>
          <w:szCs w:val="28"/>
          <w:lang w:val="es-ES_tradnl"/>
        </w:rPr>
        <w:t>siciones </w:t>
      </w:r>
      <w:r w:rsidRPr="005D36F1">
        <w:rPr>
          <w:rFonts w:ascii="Times New Roman" w:eastAsia="Times New Roman" w:hAnsi="Times New Roman" w:cs="Times New Roman"/>
          <w:i/>
          <w:iCs/>
          <w:sz w:val="28"/>
          <w:szCs w:val="28"/>
          <w:lang w:val="es-ES_tradnl"/>
        </w:rPr>
        <w:t>iusfundamentales</w:t>
      </w:r>
      <w:r w:rsidRPr="005D36F1">
        <w:rPr>
          <w:rFonts w:ascii="Times New Roman" w:eastAsia="Times New Roman" w:hAnsi="Times New Roman" w:cs="Times New Roman"/>
          <w:sz w:val="28"/>
          <w:szCs w:val="28"/>
          <w:lang w:val="es-ES_tradnl"/>
        </w:rPr>
        <w:t> que se</w:t>
      </w:r>
      <w:r w:rsidRPr="005D36F1">
        <w:rPr>
          <w:rFonts w:ascii="Times New Roman" w:eastAsia="Times New Roman" w:hAnsi="Times New Roman" w:cs="Times New Roman"/>
          <w:sz w:val="28"/>
          <w:szCs w:val="28"/>
          <w:lang w:val="es-ES_tradnl"/>
        </w:rPr>
        <w:t xml:space="preserve"> </w:t>
      </w:r>
      <w:r w:rsidRPr="005D36F1">
        <w:rPr>
          <w:rFonts w:ascii="Times New Roman" w:eastAsia="Times New Roman" w:hAnsi="Times New Roman" w:cs="Times New Roman"/>
          <w:sz w:val="28"/>
          <w:szCs w:val="28"/>
          <w:lang w:val="es-ES_tradnl"/>
        </w:rPr>
        <w:t>adscriben </w:t>
      </w:r>
      <w:r w:rsidRPr="005D36F1">
        <w:rPr>
          <w:rFonts w:ascii="Times New Roman" w:eastAsia="Times New Roman" w:hAnsi="Times New Roman" w:cs="Times New Roman"/>
          <w:i/>
          <w:iCs/>
          <w:sz w:val="28"/>
          <w:szCs w:val="28"/>
          <w:lang w:val="es-ES_tradnl"/>
        </w:rPr>
        <w:t>prima facie </w:t>
      </w:r>
      <w:r w:rsidRPr="005D36F1">
        <w:rPr>
          <w:rFonts w:ascii="Times New Roman" w:eastAsia="Times New Roman" w:hAnsi="Times New Roman" w:cs="Times New Roman"/>
          <w:sz w:val="28"/>
          <w:szCs w:val="28"/>
          <w:lang w:val="es-ES_tradnl"/>
        </w:rPr>
        <w:t>a la cláusula general de libertad dependerá, en cada caso, de la forma como ellas se relacionan con otras exigencias previstas también en la Carta.</w:t>
      </w:r>
    </w:p>
    <w:p w:rsidR="00CC627E" w:rsidRPr="005D36F1" w:rsidRDefault="005D36F1" w:rsidP="00EE2215">
      <w:pPr>
        <w:spacing w:before="100" w:beforeAutospacing="1" w:after="100" w:afterAutospacing="1" w:line="240" w:lineRule="auto"/>
        <w:ind w:left="567" w:right="333"/>
        <w:jc w:val="both"/>
        <w:rPr>
          <w:rFonts w:ascii="Times New Roman" w:eastAsia="Times New Roman" w:hAnsi="Times New Roman" w:cs="Times New Roman"/>
          <w:sz w:val="28"/>
          <w:szCs w:val="28"/>
        </w:rPr>
      </w:pPr>
      <w:r w:rsidRPr="005D36F1">
        <w:rPr>
          <w:rFonts w:ascii="Times New Roman" w:eastAsia="Times New Roman" w:hAnsi="Times New Roman" w:cs="Times New Roman"/>
          <w:b/>
          <w:bCs/>
          <w:i/>
          <w:iCs/>
          <w:sz w:val="28"/>
          <w:szCs w:val="28"/>
          <w:lang w:val="es-ES_tradnl"/>
        </w:rPr>
        <w:t xml:space="preserve">Constitución y divorcio </w:t>
      </w:r>
      <w:r w:rsidRPr="005D36F1">
        <w:rPr>
          <w:rFonts w:ascii="Times New Roman" w:eastAsia="Times New Roman" w:hAnsi="Times New Roman" w:cs="Times New Roman"/>
          <w:b/>
          <w:bCs/>
          <w:i/>
          <w:iCs/>
          <w:sz w:val="28"/>
          <w:szCs w:val="28"/>
          <w:lang w:val="es-ES_tradnl"/>
        </w:rPr>
        <w:t>‘</w:t>
      </w:r>
      <w:r w:rsidRPr="005D36F1">
        <w:rPr>
          <w:rFonts w:ascii="Times New Roman" w:eastAsia="Times New Roman" w:hAnsi="Times New Roman" w:cs="Times New Roman"/>
          <w:b/>
          <w:bCs/>
          <w:i/>
          <w:iCs/>
          <w:sz w:val="28"/>
          <w:szCs w:val="28"/>
          <w:lang w:val="es-ES_tradnl"/>
        </w:rPr>
        <w:t>sin causa</w:t>
      </w:r>
      <w:r w:rsidRPr="005D36F1">
        <w:rPr>
          <w:rFonts w:ascii="Times New Roman" w:eastAsia="Times New Roman" w:hAnsi="Times New Roman" w:cs="Times New Roman"/>
          <w:b/>
          <w:bCs/>
          <w:i/>
          <w:iCs/>
          <w:sz w:val="28"/>
          <w:szCs w:val="28"/>
          <w:lang w:val="es-ES_tradnl"/>
        </w:rPr>
        <w:t>’</w:t>
      </w:r>
      <w:r w:rsidRPr="005D36F1">
        <w:rPr>
          <w:rFonts w:ascii="Times New Roman" w:eastAsia="Times New Roman" w:hAnsi="Times New Roman" w:cs="Times New Roman"/>
          <w:b/>
          <w:bCs/>
          <w:i/>
          <w:iCs/>
          <w:sz w:val="28"/>
          <w:szCs w:val="28"/>
          <w:lang w:val="es-ES_tradnl"/>
        </w:rPr>
        <w:t xml:space="preserve">: </w:t>
      </w:r>
      <w:r w:rsidRPr="005D36F1">
        <w:rPr>
          <w:rFonts w:ascii="Times New Roman" w:eastAsia="Times New Roman" w:hAnsi="Times New Roman" w:cs="Times New Roman"/>
          <w:b/>
          <w:bCs/>
          <w:i/>
          <w:iCs/>
          <w:sz w:val="28"/>
          <w:szCs w:val="28"/>
          <w:lang w:val="es-ES_tradnl"/>
        </w:rPr>
        <w:t xml:space="preserve">asuntos para </w:t>
      </w:r>
      <w:r w:rsidRPr="005D36F1">
        <w:rPr>
          <w:rFonts w:ascii="Times New Roman" w:eastAsia="Times New Roman" w:hAnsi="Times New Roman" w:cs="Times New Roman"/>
          <w:b/>
          <w:bCs/>
          <w:i/>
          <w:iCs/>
          <w:sz w:val="28"/>
          <w:szCs w:val="28"/>
          <w:lang w:val="es-ES_tradnl"/>
        </w:rPr>
        <w:t>considerar</w:t>
      </w:r>
    </w:p>
    <w:p w:rsidR="00CC627E" w:rsidRPr="005D36F1" w:rsidRDefault="005D36F1" w:rsidP="00EE2215">
      <w:pPr>
        <w:spacing w:before="100" w:beforeAutospacing="1" w:after="100" w:afterAutospacing="1" w:line="240" w:lineRule="auto"/>
        <w:ind w:left="567" w:right="333"/>
        <w:jc w:val="both"/>
        <w:rPr>
          <w:rFonts w:ascii="Times New Roman" w:eastAsia="Times New Roman" w:hAnsi="Times New Roman" w:cs="Times New Roman"/>
          <w:sz w:val="28"/>
          <w:szCs w:val="28"/>
        </w:rPr>
      </w:pPr>
      <w:r w:rsidRPr="005D36F1">
        <w:rPr>
          <w:rFonts w:ascii="Times New Roman" w:eastAsia="Times New Roman" w:hAnsi="Times New Roman" w:cs="Times New Roman"/>
          <w:sz w:val="28"/>
          <w:szCs w:val="28"/>
          <w:lang w:val="es-ES_tradnl"/>
        </w:rPr>
        <w:t>3. Cumplidas las condiciones para la debida formulación de los cargos, la Corte deberá examinar en el futuro la validez constitucional de un régimen jurídico que, como el actual, impide el divorcio originado únicamente en la decisión de uno de l</w:t>
      </w:r>
      <w:r w:rsidRPr="005D36F1">
        <w:rPr>
          <w:rFonts w:ascii="Times New Roman" w:eastAsia="Times New Roman" w:hAnsi="Times New Roman" w:cs="Times New Roman"/>
          <w:sz w:val="28"/>
          <w:szCs w:val="28"/>
          <w:lang w:val="es-ES_tradnl"/>
        </w:rPr>
        <w:t>os cónyuges. Se trata de una cuestión que involucra, además, un conjunto de relaciones que deben ser valoradas con detalle para que sea posible la armonización concreta de la libertad y la protección de la familia.</w:t>
      </w:r>
    </w:p>
    <w:p w:rsidR="00CC627E" w:rsidRPr="005D36F1" w:rsidRDefault="005D36F1" w:rsidP="00EE2215">
      <w:pPr>
        <w:spacing w:before="100" w:beforeAutospacing="1" w:after="100" w:afterAutospacing="1" w:line="240" w:lineRule="auto"/>
        <w:ind w:left="567" w:right="333"/>
        <w:jc w:val="both"/>
        <w:rPr>
          <w:rFonts w:ascii="Times New Roman" w:eastAsia="Times New Roman" w:hAnsi="Times New Roman" w:cs="Times New Roman"/>
          <w:sz w:val="28"/>
          <w:szCs w:val="28"/>
        </w:rPr>
      </w:pPr>
      <w:r w:rsidRPr="005D36F1">
        <w:rPr>
          <w:rFonts w:ascii="Times New Roman" w:eastAsia="Times New Roman" w:hAnsi="Times New Roman" w:cs="Times New Roman"/>
          <w:sz w:val="28"/>
          <w:szCs w:val="28"/>
          <w:lang w:val="es-ES_tradnl"/>
        </w:rPr>
        <w:t>4. Este tribunal deberá tomar nota de (i)</w:t>
      </w:r>
      <w:r w:rsidRPr="005D36F1">
        <w:rPr>
          <w:rFonts w:ascii="Times New Roman" w:eastAsia="Times New Roman" w:hAnsi="Times New Roman" w:cs="Times New Roman"/>
          <w:sz w:val="28"/>
          <w:szCs w:val="28"/>
          <w:lang w:val="es-ES_tradnl"/>
        </w:rPr>
        <w:t xml:space="preserve"> la medular posición de la libertad en el orden constitucional (art. 16); (ii) la importancia de considerar los efectos que la extinción del matrimonio puede tener en los diferentes integrantes de la familia (art. 42); y (iii) la relevancia de una aproxima</w:t>
      </w:r>
      <w:r w:rsidRPr="005D36F1">
        <w:rPr>
          <w:rFonts w:ascii="Times New Roman" w:eastAsia="Times New Roman" w:hAnsi="Times New Roman" w:cs="Times New Roman"/>
          <w:sz w:val="28"/>
          <w:szCs w:val="28"/>
          <w:lang w:val="es-ES_tradnl"/>
        </w:rPr>
        <w:t>ción integral a la institución matrimonial, definiendo las competencias que en esta materia le corresponden a la Corte Constitucional y al legislador.</w:t>
      </w:r>
    </w:p>
    <w:p w:rsidR="00CC627E" w:rsidRPr="005D36F1" w:rsidRDefault="005D36F1" w:rsidP="00EE2215">
      <w:pPr>
        <w:spacing w:before="100" w:beforeAutospacing="1" w:after="100" w:afterAutospacing="1" w:line="240" w:lineRule="auto"/>
        <w:ind w:left="567" w:right="333"/>
        <w:jc w:val="both"/>
        <w:rPr>
          <w:rFonts w:ascii="Times New Roman" w:eastAsia="Times New Roman" w:hAnsi="Times New Roman" w:cs="Times New Roman"/>
          <w:sz w:val="28"/>
          <w:szCs w:val="28"/>
        </w:rPr>
      </w:pPr>
      <w:r w:rsidRPr="005D36F1">
        <w:rPr>
          <w:rFonts w:ascii="Times New Roman" w:eastAsia="Times New Roman" w:hAnsi="Times New Roman" w:cs="Times New Roman"/>
          <w:sz w:val="28"/>
          <w:szCs w:val="28"/>
          <w:lang w:val="es-ES_tradnl"/>
        </w:rPr>
        <w:t xml:space="preserve">5. Los debates que tendrán lugar en este tribunal habrán de considerar que si bien el establecimiento de </w:t>
      </w:r>
      <w:r w:rsidRPr="005D36F1">
        <w:rPr>
          <w:rFonts w:ascii="Times New Roman" w:eastAsia="Times New Roman" w:hAnsi="Times New Roman" w:cs="Times New Roman"/>
          <w:sz w:val="28"/>
          <w:szCs w:val="28"/>
          <w:lang w:val="es-ES_tradnl"/>
        </w:rPr>
        <w:t>un régimen de divorcio -fundado en la sanción o en el remedio- persigue una finalidad constitucional admisible consistente en la preservación de un vínculo jurídico signado por la cooperación y la solidaridad- tales restricciones pueden no ser el instrumen</w:t>
      </w:r>
      <w:r w:rsidRPr="005D36F1">
        <w:rPr>
          <w:rFonts w:ascii="Times New Roman" w:eastAsia="Times New Roman" w:hAnsi="Times New Roman" w:cs="Times New Roman"/>
          <w:sz w:val="28"/>
          <w:szCs w:val="28"/>
          <w:lang w:val="es-ES_tradnl"/>
        </w:rPr>
        <w:t>to óptimo para su consecución.</w:t>
      </w:r>
    </w:p>
    <w:p w:rsidR="00CC627E" w:rsidRPr="005D36F1" w:rsidRDefault="005D36F1" w:rsidP="00EE2215">
      <w:pPr>
        <w:spacing w:before="100" w:beforeAutospacing="1" w:after="100" w:afterAutospacing="1" w:line="240" w:lineRule="auto"/>
        <w:ind w:left="567" w:right="333"/>
        <w:jc w:val="both"/>
        <w:rPr>
          <w:rFonts w:ascii="Times New Roman" w:eastAsia="Times New Roman" w:hAnsi="Times New Roman" w:cs="Times New Roman"/>
          <w:sz w:val="28"/>
          <w:szCs w:val="28"/>
        </w:rPr>
      </w:pPr>
      <w:r w:rsidRPr="005D36F1">
        <w:rPr>
          <w:rFonts w:ascii="Times New Roman" w:eastAsia="Times New Roman" w:hAnsi="Times New Roman" w:cs="Times New Roman"/>
          <w:sz w:val="28"/>
          <w:szCs w:val="28"/>
          <w:lang w:val="es-ES_tradnl"/>
        </w:rPr>
        <w:t>6. Imponer la continuidad del matrimonio cuando ha desaparecido el interés de uno de los cónyuges (i) no necesariamente contribuye a estrechar los lazos de cooperación y solidaridad. El matrimonio no es un contrato común y, e</w:t>
      </w:r>
      <w:r w:rsidRPr="005D36F1">
        <w:rPr>
          <w:rFonts w:ascii="Times New Roman" w:eastAsia="Times New Roman" w:hAnsi="Times New Roman" w:cs="Times New Roman"/>
          <w:sz w:val="28"/>
          <w:szCs w:val="28"/>
          <w:lang w:val="es-ES_tradnl"/>
        </w:rPr>
        <w:t>n esa dirección, la vigencia de una comunidad de expectativas e intereses como forma de concretar el plan de vida, constituye no solo un presupuesto de su protección sino una condición para materializar la libertad. A su vez, (ii) las obligaciones de apoyo</w:t>
      </w:r>
      <w:r w:rsidRPr="005D36F1">
        <w:rPr>
          <w:rFonts w:ascii="Times New Roman" w:eastAsia="Times New Roman" w:hAnsi="Times New Roman" w:cs="Times New Roman"/>
          <w:sz w:val="28"/>
          <w:szCs w:val="28"/>
          <w:lang w:val="es-ES_tradnl"/>
        </w:rPr>
        <w:t xml:space="preserve"> y orientación de los hijos menores</w:t>
      </w:r>
      <w:r w:rsidRPr="005D36F1">
        <w:rPr>
          <w:rFonts w:ascii="Times New Roman" w:eastAsia="Times New Roman" w:hAnsi="Times New Roman" w:cs="Times New Roman"/>
          <w:sz w:val="28"/>
          <w:szCs w:val="28"/>
          <w:lang w:val="es-ES_tradnl"/>
        </w:rPr>
        <w:t xml:space="preserve"> de edad</w:t>
      </w:r>
      <w:r w:rsidRPr="005D36F1">
        <w:rPr>
          <w:rFonts w:ascii="Times New Roman" w:eastAsia="Times New Roman" w:hAnsi="Times New Roman" w:cs="Times New Roman"/>
          <w:sz w:val="28"/>
          <w:szCs w:val="28"/>
          <w:lang w:val="es-ES_tradnl"/>
        </w:rPr>
        <w:t xml:space="preserve"> subsisten aún después del divorcio de manera que su exigibilidad no depende de la preservación del vínculo ni de la decisión de ninguno de los cónyuges. En adición a ello (iii) si se requiere establecer una salva</w:t>
      </w:r>
      <w:r w:rsidRPr="005D36F1">
        <w:rPr>
          <w:rFonts w:ascii="Times New Roman" w:eastAsia="Times New Roman" w:hAnsi="Times New Roman" w:cs="Times New Roman"/>
          <w:sz w:val="28"/>
          <w:szCs w:val="28"/>
          <w:lang w:val="es-ES_tradnl"/>
        </w:rPr>
        <w:t>guarda para uno de los cónyuges es posible, en desarrollo del deber de solidaridad (art. 95), que el legislador considere imponer una obligación de apoyo económico a cargo del otro según las circunstancias de cada caso.</w:t>
      </w:r>
    </w:p>
    <w:p w:rsidR="00CC627E" w:rsidRPr="005D36F1" w:rsidRDefault="005D36F1" w:rsidP="00EE2215">
      <w:pPr>
        <w:spacing w:after="0" w:line="240" w:lineRule="auto"/>
        <w:ind w:left="567" w:right="333"/>
        <w:jc w:val="both"/>
        <w:rPr>
          <w:rFonts w:ascii="Times New Roman" w:eastAsia="Times New Roman" w:hAnsi="Times New Roman" w:cs="Times New Roman"/>
          <w:sz w:val="28"/>
          <w:szCs w:val="28"/>
        </w:rPr>
      </w:pPr>
      <w:r w:rsidRPr="005D36F1">
        <w:rPr>
          <w:rFonts w:ascii="Times New Roman" w:eastAsia="Times New Roman" w:hAnsi="Times New Roman" w:cs="Times New Roman"/>
          <w:sz w:val="28"/>
          <w:szCs w:val="28"/>
          <w:lang w:val="es-ES_tradnl"/>
        </w:rPr>
        <w:t>7. Exigir la permanencia del vínculo</w:t>
      </w:r>
      <w:r w:rsidRPr="005D36F1">
        <w:rPr>
          <w:rFonts w:ascii="Times New Roman" w:eastAsia="Times New Roman" w:hAnsi="Times New Roman" w:cs="Times New Roman"/>
          <w:sz w:val="28"/>
          <w:szCs w:val="28"/>
          <w:lang w:val="es-ES_tradnl"/>
        </w:rPr>
        <w:t xml:space="preserve"> matrimonial que envuelve deberes de diferente naturaleza -de compañía y de fidelidad, por ejemplo- restringe la posibilidad de diseñar y ejecutar el propio plan de vida e impacta significativamente las aspiraciones personales más básicas. Por el contrario</w:t>
      </w:r>
      <w:r w:rsidRPr="005D36F1">
        <w:rPr>
          <w:rFonts w:ascii="Times New Roman" w:eastAsia="Times New Roman" w:hAnsi="Times New Roman" w:cs="Times New Roman"/>
          <w:sz w:val="28"/>
          <w:szCs w:val="28"/>
          <w:lang w:val="es-ES_tradnl"/>
        </w:rPr>
        <w:t>, la importancia de realización de la estabilidad del matrimonio tiene un peso comparativamente menor si se tiene en cuenta que su continuidad, a pesar del interés de uno de los cónyuges en concluirlo, hace que sus propósitos fundamentales pierdan signific</w:t>
      </w:r>
      <w:r w:rsidRPr="005D36F1">
        <w:rPr>
          <w:rFonts w:ascii="Times New Roman" w:eastAsia="Times New Roman" w:hAnsi="Times New Roman" w:cs="Times New Roman"/>
          <w:sz w:val="28"/>
          <w:szCs w:val="28"/>
          <w:lang w:val="es-ES_tradnl"/>
        </w:rPr>
        <w:t>ado. El matrimonio puede ser un instrumento importante para la concreción de la libertad; sin embargo, no puede ser una justificación para negar la genuina realización de los proyectos vitales de cada persona.</w:t>
      </w:r>
    </w:p>
    <w:p w:rsidR="00CC627E" w:rsidRPr="005D36F1" w:rsidRDefault="005D36F1" w:rsidP="00EE2215">
      <w:pPr>
        <w:spacing w:after="0" w:line="240" w:lineRule="auto"/>
        <w:ind w:left="567" w:right="333"/>
        <w:jc w:val="both"/>
        <w:rPr>
          <w:rFonts w:ascii="Times New Roman" w:eastAsia="Times New Roman" w:hAnsi="Times New Roman" w:cs="Times New Roman"/>
          <w:sz w:val="28"/>
          <w:szCs w:val="28"/>
        </w:rPr>
      </w:pPr>
      <w:r w:rsidRPr="005D36F1">
        <w:rPr>
          <w:rFonts w:ascii="Times New Roman" w:eastAsia="Times New Roman" w:hAnsi="Times New Roman" w:cs="Times New Roman"/>
          <w:sz w:val="28"/>
          <w:szCs w:val="28"/>
          <w:lang w:val="es-ES_tradnl"/>
        </w:rPr>
        <w:t> </w:t>
      </w:r>
    </w:p>
    <w:p w:rsidR="00EE2215" w:rsidRPr="005D36F1" w:rsidRDefault="005D36F1" w:rsidP="00EE2215">
      <w:pPr>
        <w:spacing w:after="0" w:line="240" w:lineRule="auto"/>
        <w:ind w:left="567" w:right="333"/>
        <w:jc w:val="both"/>
        <w:rPr>
          <w:rFonts w:ascii="Times New Roman" w:eastAsia="Times New Roman" w:hAnsi="Times New Roman" w:cs="Times New Roman"/>
          <w:sz w:val="28"/>
          <w:szCs w:val="28"/>
          <w:lang w:val="es-ES_tradnl"/>
        </w:rPr>
      </w:pPr>
      <w:r w:rsidRPr="005D36F1">
        <w:rPr>
          <w:rFonts w:ascii="Times New Roman" w:eastAsia="Times New Roman" w:hAnsi="Times New Roman" w:cs="Times New Roman"/>
          <w:sz w:val="28"/>
          <w:szCs w:val="28"/>
          <w:lang w:val="es-ES_tradnl"/>
        </w:rPr>
        <w:t xml:space="preserve">8. No pretendo, en modo alguno, sugerir que </w:t>
      </w:r>
      <w:r w:rsidRPr="005D36F1">
        <w:rPr>
          <w:rFonts w:ascii="Times New Roman" w:eastAsia="Times New Roman" w:hAnsi="Times New Roman" w:cs="Times New Roman"/>
          <w:sz w:val="28"/>
          <w:szCs w:val="28"/>
          <w:lang w:val="es-ES_tradnl"/>
        </w:rPr>
        <w:t>el matrimonio carezca de valor. Tampoco intento señalar que la decisión de concluir tal vínculo sea un asunto que pueda tomarse ligeramente. Por el contrario, la Constitución lo reconoce expresamente como una institución jurídica que debe ser regulada en s</w:t>
      </w:r>
      <w:r w:rsidRPr="005D36F1">
        <w:rPr>
          <w:rFonts w:ascii="Times New Roman" w:eastAsia="Times New Roman" w:hAnsi="Times New Roman" w:cs="Times New Roman"/>
          <w:sz w:val="28"/>
          <w:szCs w:val="28"/>
          <w:lang w:val="es-ES_tradnl"/>
        </w:rPr>
        <w:t>us diferentes dimensiones. Sin embargo, el modo en que ello se hace debe ponderar adecuadamente el valor del libre desarrollo de la personalidad, los propósitos que justifican la comunidad de vida entre los cónyuges y las consecuencias de la terminación de</w:t>
      </w:r>
      <w:r w:rsidRPr="005D36F1">
        <w:rPr>
          <w:rFonts w:ascii="Times New Roman" w:eastAsia="Times New Roman" w:hAnsi="Times New Roman" w:cs="Times New Roman"/>
          <w:sz w:val="28"/>
          <w:szCs w:val="28"/>
          <w:lang w:val="es-ES_tradnl"/>
        </w:rPr>
        <w:t>l vínculo. Las discusiones constitucionales que ondean entre principios y valores con acentos variados, implican a su turno decisiones profundas sobre el ser y sobre las instituciones en que estos se hallan inmersos. Interpretar la realidad cambiante de lo</w:t>
      </w:r>
      <w:r w:rsidRPr="005D36F1">
        <w:rPr>
          <w:rFonts w:ascii="Times New Roman" w:eastAsia="Times New Roman" w:hAnsi="Times New Roman" w:cs="Times New Roman"/>
          <w:sz w:val="28"/>
          <w:szCs w:val="28"/>
          <w:lang w:val="es-ES_tradnl"/>
        </w:rPr>
        <w:t>s fenómenos sociales, logrando equilibrios razonables que mantengan la idea de la utilidad del </w:t>
      </w:r>
      <w:r w:rsidRPr="005D36F1">
        <w:rPr>
          <w:rFonts w:ascii="Times New Roman" w:eastAsia="Times New Roman" w:hAnsi="Times New Roman" w:cs="Times New Roman"/>
          <w:i/>
          <w:iCs/>
          <w:sz w:val="28"/>
          <w:szCs w:val="28"/>
          <w:lang w:val="es-ES_tradnl"/>
        </w:rPr>
        <w:t>pensamiento constitucional </w:t>
      </w:r>
      <w:r w:rsidRPr="005D36F1">
        <w:rPr>
          <w:rFonts w:ascii="Times New Roman" w:eastAsia="Times New Roman" w:hAnsi="Times New Roman" w:cs="Times New Roman"/>
          <w:sz w:val="28"/>
          <w:szCs w:val="28"/>
          <w:lang w:val="es-ES_tradnl"/>
        </w:rPr>
        <w:t>como herramienta de cohesión, es también algo que importa en esta discusión sobre la decisión de “</w:t>
      </w:r>
      <w:r w:rsidRPr="005D36F1">
        <w:rPr>
          <w:rFonts w:ascii="Times New Roman" w:eastAsia="Times New Roman" w:hAnsi="Times New Roman" w:cs="Times New Roman"/>
          <w:i/>
          <w:iCs/>
          <w:sz w:val="28"/>
          <w:szCs w:val="28"/>
          <w:lang w:val="es-ES_tradnl"/>
        </w:rPr>
        <w:t>no seguir casado”. </w:t>
      </w:r>
      <w:r w:rsidRPr="005D36F1">
        <w:rPr>
          <w:rFonts w:ascii="Times New Roman" w:eastAsia="Times New Roman" w:hAnsi="Times New Roman" w:cs="Times New Roman"/>
          <w:sz w:val="28"/>
          <w:szCs w:val="28"/>
          <w:lang w:val="es-ES_tradnl"/>
        </w:rPr>
        <w:t>¿Es esto un derec</w:t>
      </w:r>
      <w:r w:rsidRPr="005D36F1">
        <w:rPr>
          <w:rFonts w:ascii="Times New Roman" w:eastAsia="Times New Roman" w:hAnsi="Times New Roman" w:cs="Times New Roman"/>
          <w:sz w:val="28"/>
          <w:szCs w:val="28"/>
          <w:lang w:val="es-ES_tradnl"/>
        </w:rPr>
        <w:t>ho atado al libre desarrollo de la personalidad o es una discusión que no puede alinderarse en estos confines? Si estas variables son consideradas seriamente será posible identificar en la Constitución los criterios que el Congreso al legislar y la Corte a</w:t>
      </w:r>
      <w:r w:rsidRPr="005D36F1">
        <w:rPr>
          <w:rFonts w:ascii="Times New Roman" w:eastAsia="Times New Roman" w:hAnsi="Times New Roman" w:cs="Times New Roman"/>
          <w:sz w:val="28"/>
          <w:szCs w:val="28"/>
          <w:lang w:val="es-ES_tradnl"/>
        </w:rPr>
        <w:t>l juzgar deberán tener en cuenta para ejecutar esta inaplazable tarea. En esta oportunidad he tratado de proponer algunos. Ya habrá otra para discutirlos</w:t>
      </w:r>
      <w:r w:rsidRPr="005D36F1">
        <w:rPr>
          <w:rFonts w:ascii="Times New Roman" w:eastAsia="Times New Roman" w:hAnsi="Times New Roman" w:cs="Times New Roman"/>
          <w:sz w:val="28"/>
          <w:szCs w:val="28"/>
          <w:lang w:val="es-ES_tradnl"/>
        </w:rPr>
        <w:t xml:space="preserve"> (…)”</w:t>
      </w:r>
      <w:r w:rsidRPr="005D36F1">
        <w:rPr>
          <w:rFonts w:ascii="Times New Roman" w:eastAsia="Times New Roman" w:hAnsi="Times New Roman" w:cs="Times New Roman"/>
          <w:sz w:val="28"/>
          <w:szCs w:val="28"/>
          <w:lang w:val="es-ES_tradnl"/>
        </w:rPr>
        <w:t>.</w:t>
      </w:r>
    </w:p>
    <w:p w:rsidR="00EE2215" w:rsidRPr="005D36F1" w:rsidRDefault="005D36F1" w:rsidP="00EE2215">
      <w:pPr>
        <w:spacing w:after="0" w:line="240" w:lineRule="auto"/>
        <w:ind w:right="333"/>
        <w:jc w:val="both"/>
        <w:rPr>
          <w:rFonts w:ascii="Times New Roman" w:eastAsia="Times New Roman" w:hAnsi="Times New Roman" w:cs="Times New Roman"/>
          <w:sz w:val="28"/>
          <w:szCs w:val="28"/>
          <w:lang w:val="es-ES_tradnl"/>
        </w:rPr>
      </w:pPr>
    </w:p>
    <w:p w:rsidR="00F41497" w:rsidRPr="005D36F1" w:rsidRDefault="005D36F1" w:rsidP="006736E5">
      <w:pPr>
        <w:pStyle w:val="Prrafodelista"/>
        <w:numPr>
          <w:ilvl w:val="0"/>
          <w:numId w:val="9"/>
        </w:numPr>
        <w:tabs>
          <w:tab w:val="left" w:pos="284"/>
        </w:tabs>
        <w:ind w:left="0" w:right="-234" w:firstLine="0"/>
        <w:jc w:val="both"/>
        <w:rPr>
          <w:rFonts w:ascii="Times New Roman" w:eastAsia="Times New Roman" w:hAnsi="Times New Roman" w:cs="Times New Roman"/>
          <w:sz w:val="28"/>
          <w:szCs w:val="28"/>
        </w:rPr>
      </w:pPr>
      <w:r w:rsidRPr="005D36F1">
        <w:rPr>
          <w:rFonts w:ascii="Times New Roman" w:eastAsia="Times New Roman" w:hAnsi="Times New Roman" w:cs="Times New Roman"/>
          <w:sz w:val="28"/>
          <w:szCs w:val="28"/>
        </w:rPr>
        <w:t xml:space="preserve">Mi insistencia en esta materia obedece a </w:t>
      </w:r>
      <w:r w:rsidRPr="005D36F1">
        <w:rPr>
          <w:rFonts w:ascii="Times New Roman" w:eastAsia="Times New Roman" w:hAnsi="Times New Roman" w:cs="Times New Roman"/>
          <w:sz w:val="28"/>
          <w:szCs w:val="28"/>
        </w:rPr>
        <w:t>l</w:t>
      </w:r>
      <w:r w:rsidRPr="005D36F1">
        <w:rPr>
          <w:rFonts w:ascii="Times New Roman" w:eastAsia="Times New Roman" w:hAnsi="Times New Roman" w:cs="Times New Roman"/>
          <w:sz w:val="28"/>
          <w:szCs w:val="28"/>
        </w:rPr>
        <w:t xml:space="preserve">a profunda convicción acerca de que </w:t>
      </w:r>
      <w:r w:rsidRPr="005D36F1">
        <w:rPr>
          <w:rFonts w:ascii="Times New Roman" w:eastAsia="Times New Roman" w:hAnsi="Times New Roman" w:cs="Times New Roman"/>
          <w:sz w:val="28"/>
          <w:szCs w:val="28"/>
        </w:rPr>
        <w:t>el</w:t>
      </w:r>
      <w:r w:rsidRPr="005D36F1">
        <w:rPr>
          <w:rFonts w:ascii="Times New Roman" w:eastAsia="Times New Roman" w:hAnsi="Times New Roman" w:cs="Times New Roman"/>
          <w:sz w:val="28"/>
          <w:szCs w:val="28"/>
        </w:rPr>
        <w:t xml:space="preserve"> vínculo de las parejas que deciden constituir familia debe asentarse en un régimen en el que se ensamble de manera precisa la libertad, el pluralismo y la solidaridad. </w:t>
      </w:r>
    </w:p>
    <w:p w:rsidR="00F41497" w:rsidRPr="005D36F1" w:rsidRDefault="005D36F1" w:rsidP="00F41497">
      <w:pPr>
        <w:pStyle w:val="Prrafodelista"/>
        <w:tabs>
          <w:tab w:val="left" w:pos="284"/>
        </w:tabs>
        <w:ind w:left="0" w:right="-234"/>
        <w:jc w:val="both"/>
        <w:rPr>
          <w:rFonts w:ascii="Times New Roman" w:eastAsia="Times New Roman" w:hAnsi="Times New Roman" w:cs="Times New Roman"/>
          <w:sz w:val="28"/>
          <w:szCs w:val="28"/>
        </w:rPr>
      </w:pPr>
    </w:p>
    <w:p w:rsidR="00F41497" w:rsidRPr="005D36F1" w:rsidRDefault="005D36F1" w:rsidP="006736E5">
      <w:pPr>
        <w:pStyle w:val="Prrafodelista"/>
        <w:numPr>
          <w:ilvl w:val="0"/>
          <w:numId w:val="9"/>
        </w:numPr>
        <w:tabs>
          <w:tab w:val="left" w:pos="284"/>
        </w:tabs>
        <w:ind w:left="0" w:right="-234" w:firstLine="0"/>
        <w:jc w:val="both"/>
        <w:rPr>
          <w:rFonts w:ascii="Times New Roman" w:eastAsia="Times New Roman" w:hAnsi="Times New Roman" w:cs="Times New Roman"/>
          <w:sz w:val="28"/>
          <w:szCs w:val="28"/>
        </w:rPr>
      </w:pPr>
      <w:r w:rsidRPr="005D36F1">
        <w:rPr>
          <w:rFonts w:ascii="Times New Roman" w:eastAsia="Times New Roman" w:hAnsi="Times New Roman" w:cs="Times New Roman"/>
          <w:sz w:val="28"/>
          <w:szCs w:val="28"/>
        </w:rPr>
        <w:t xml:space="preserve">La vida humana, esa experiencia episódica </w:t>
      </w:r>
      <w:r w:rsidRPr="005D36F1">
        <w:rPr>
          <w:rFonts w:ascii="Times New Roman" w:eastAsia="Times New Roman" w:hAnsi="Times New Roman" w:cs="Times New Roman"/>
          <w:sz w:val="28"/>
          <w:szCs w:val="28"/>
        </w:rPr>
        <w:t xml:space="preserve">nutrida de nuestro permanente interés </w:t>
      </w:r>
      <w:r w:rsidRPr="005D36F1">
        <w:rPr>
          <w:rFonts w:ascii="Times New Roman" w:eastAsia="Times New Roman" w:hAnsi="Times New Roman" w:cs="Times New Roman"/>
          <w:sz w:val="28"/>
          <w:szCs w:val="28"/>
        </w:rPr>
        <w:t>por</w:t>
      </w:r>
      <w:r w:rsidRPr="005D36F1">
        <w:rPr>
          <w:rFonts w:ascii="Times New Roman" w:eastAsia="Times New Roman" w:hAnsi="Times New Roman" w:cs="Times New Roman"/>
          <w:sz w:val="28"/>
          <w:szCs w:val="28"/>
        </w:rPr>
        <w:t xml:space="preserve"> e</w:t>
      </w:r>
      <w:r w:rsidRPr="005D36F1">
        <w:rPr>
          <w:rFonts w:ascii="Times New Roman" w:eastAsia="Times New Roman" w:hAnsi="Times New Roman" w:cs="Times New Roman"/>
          <w:sz w:val="28"/>
          <w:szCs w:val="28"/>
        </w:rPr>
        <w:t>stablecer la forma en que</w:t>
      </w:r>
      <w:r w:rsidRPr="005D36F1">
        <w:rPr>
          <w:rFonts w:ascii="Times New Roman" w:eastAsia="Times New Roman" w:hAnsi="Times New Roman" w:cs="Times New Roman"/>
          <w:sz w:val="28"/>
          <w:szCs w:val="28"/>
        </w:rPr>
        <w:t xml:space="preserve"> debe</w:t>
      </w:r>
      <w:r w:rsidRPr="005D36F1">
        <w:rPr>
          <w:rFonts w:ascii="Times New Roman" w:eastAsia="Times New Roman" w:hAnsi="Times New Roman" w:cs="Times New Roman"/>
          <w:sz w:val="28"/>
          <w:szCs w:val="28"/>
        </w:rPr>
        <w:t xml:space="preserve"> transcurrir, exige un compromiso constitucional más decidido con un régimen jurídico que, al tiempo </w:t>
      </w:r>
      <w:r w:rsidRPr="005D36F1">
        <w:rPr>
          <w:rFonts w:ascii="Times New Roman" w:eastAsia="Times New Roman" w:hAnsi="Times New Roman" w:cs="Times New Roman"/>
          <w:sz w:val="28"/>
          <w:szCs w:val="28"/>
        </w:rPr>
        <w:t xml:space="preserve">(i) </w:t>
      </w:r>
      <w:r w:rsidRPr="005D36F1">
        <w:rPr>
          <w:rFonts w:ascii="Times New Roman" w:eastAsia="Times New Roman" w:hAnsi="Times New Roman" w:cs="Times New Roman"/>
          <w:sz w:val="28"/>
          <w:szCs w:val="28"/>
        </w:rPr>
        <w:t xml:space="preserve">que permita tomar las decisiones básicas sobre el plan de vida, </w:t>
      </w:r>
      <w:r w:rsidRPr="005D36F1">
        <w:rPr>
          <w:rFonts w:ascii="Times New Roman" w:eastAsia="Times New Roman" w:hAnsi="Times New Roman" w:cs="Times New Roman"/>
          <w:sz w:val="28"/>
          <w:szCs w:val="28"/>
        </w:rPr>
        <w:t xml:space="preserve">(ii) </w:t>
      </w:r>
      <w:r w:rsidRPr="005D36F1">
        <w:rPr>
          <w:rFonts w:ascii="Times New Roman" w:eastAsia="Times New Roman" w:hAnsi="Times New Roman" w:cs="Times New Roman"/>
          <w:sz w:val="28"/>
          <w:szCs w:val="28"/>
        </w:rPr>
        <w:t xml:space="preserve">asegure que las relaciones familiares </w:t>
      </w:r>
      <w:r w:rsidRPr="005D36F1">
        <w:rPr>
          <w:rFonts w:ascii="Times New Roman" w:eastAsia="Times New Roman" w:hAnsi="Times New Roman" w:cs="Times New Roman"/>
          <w:sz w:val="28"/>
          <w:szCs w:val="28"/>
        </w:rPr>
        <w:t xml:space="preserve">estén </w:t>
      </w:r>
      <w:r w:rsidRPr="005D36F1">
        <w:rPr>
          <w:rFonts w:ascii="Times New Roman" w:eastAsia="Times New Roman" w:hAnsi="Times New Roman" w:cs="Times New Roman"/>
          <w:sz w:val="28"/>
          <w:szCs w:val="28"/>
        </w:rPr>
        <w:t>gobernad</w:t>
      </w:r>
      <w:r w:rsidRPr="005D36F1">
        <w:rPr>
          <w:rFonts w:ascii="Times New Roman" w:eastAsia="Times New Roman" w:hAnsi="Times New Roman" w:cs="Times New Roman"/>
          <w:sz w:val="28"/>
          <w:szCs w:val="28"/>
        </w:rPr>
        <w:t>as</w:t>
      </w:r>
      <w:r w:rsidRPr="005D36F1">
        <w:rPr>
          <w:rFonts w:ascii="Times New Roman" w:eastAsia="Times New Roman" w:hAnsi="Times New Roman" w:cs="Times New Roman"/>
          <w:sz w:val="28"/>
          <w:szCs w:val="28"/>
        </w:rPr>
        <w:t xml:space="preserve"> por el principio de solidaridad, incluso cuando el vínculo matrimonial se ha extinguido. No todas las relaciones de pareja concluyen de la misma forma y, por ello, la legislación deberá considerar </w:t>
      </w:r>
      <w:r w:rsidRPr="005D36F1">
        <w:rPr>
          <w:rFonts w:ascii="Times New Roman" w:eastAsia="Times New Roman" w:hAnsi="Times New Roman" w:cs="Times New Roman"/>
          <w:sz w:val="28"/>
          <w:szCs w:val="28"/>
        </w:rPr>
        <w:t>el contexto</w:t>
      </w:r>
      <w:r w:rsidRPr="005D36F1">
        <w:rPr>
          <w:rFonts w:ascii="Times New Roman" w:eastAsia="Times New Roman" w:hAnsi="Times New Roman" w:cs="Times New Roman"/>
          <w:sz w:val="28"/>
          <w:szCs w:val="28"/>
        </w:rPr>
        <w:t xml:space="preserve"> bajo el cual</w:t>
      </w:r>
      <w:r w:rsidRPr="005D36F1">
        <w:rPr>
          <w:rFonts w:ascii="Times New Roman" w:eastAsia="Times New Roman" w:hAnsi="Times New Roman" w:cs="Times New Roman"/>
          <w:sz w:val="28"/>
          <w:szCs w:val="28"/>
        </w:rPr>
        <w:t xml:space="preserve"> la terminación tiene lugar, </w:t>
      </w:r>
      <w:r w:rsidRPr="005D36F1">
        <w:rPr>
          <w:rFonts w:ascii="Times New Roman" w:eastAsia="Times New Roman" w:hAnsi="Times New Roman" w:cs="Times New Roman"/>
          <w:sz w:val="28"/>
          <w:szCs w:val="28"/>
        </w:rPr>
        <w:t>así</w:t>
      </w:r>
      <w:r w:rsidRPr="005D36F1">
        <w:rPr>
          <w:rFonts w:ascii="Times New Roman" w:eastAsia="Times New Roman" w:hAnsi="Times New Roman" w:cs="Times New Roman"/>
          <w:sz w:val="28"/>
          <w:szCs w:val="28"/>
        </w:rPr>
        <w:t xml:space="preserve"> como </w:t>
      </w:r>
      <w:r w:rsidRPr="005D36F1">
        <w:rPr>
          <w:rFonts w:ascii="Times New Roman" w:eastAsia="Times New Roman" w:hAnsi="Times New Roman" w:cs="Times New Roman"/>
          <w:sz w:val="28"/>
          <w:szCs w:val="28"/>
        </w:rPr>
        <w:t>la situación</w:t>
      </w:r>
      <w:r w:rsidRPr="005D36F1">
        <w:rPr>
          <w:rFonts w:ascii="Times New Roman" w:eastAsia="Times New Roman" w:hAnsi="Times New Roman" w:cs="Times New Roman"/>
          <w:sz w:val="28"/>
          <w:szCs w:val="28"/>
        </w:rPr>
        <w:t xml:space="preserve"> en la que</w:t>
      </w:r>
      <w:r w:rsidRPr="005D36F1">
        <w:rPr>
          <w:rFonts w:ascii="Times New Roman" w:eastAsia="Times New Roman" w:hAnsi="Times New Roman" w:cs="Times New Roman"/>
          <w:sz w:val="28"/>
          <w:szCs w:val="28"/>
        </w:rPr>
        <w:t xml:space="preserve"> se encuentran sus integrantes. </w:t>
      </w:r>
      <w:r w:rsidRPr="005D36F1">
        <w:rPr>
          <w:rFonts w:ascii="Times New Roman" w:eastAsia="Times New Roman" w:hAnsi="Times New Roman" w:cs="Times New Roman"/>
          <w:sz w:val="28"/>
          <w:szCs w:val="28"/>
        </w:rPr>
        <w:t xml:space="preserve">El enfoque de género será siempre imprescindible. </w:t>
      </w:r>
    </w:p>
    <w:p w:rsidR="00F41497" w:rsidRPr="005D36F1" w:rsidRDefault="005D36F1" w:rsidP="00F41497">
      <w:pPr>
        <w:pStyle w:val="Prrafodelista"/>
        <w:rPr>
          <w:rFonts w:ascii="Times New Roman" w:eastAsia="Times New Roman" w:hAnsi="Times New Roman" w:cs="Times New Roman"/>
          <w:sz w:val="28"/>
          <w:szCs w:val="28"/>
        </w:rPr>
      </w:pPr>
    </w:p>
    <w:p w:rsidR="00CC627E" w:rsidRPr="005D36F1" w:rsidRDefault="005D36F1" w:rsidP="00B91CCE">
      <w:pPr>
        <w:pStyle w:val="Prrafodelista"/>
        <w:numPr>
          <w:ilvl w:val="0"/>
          <w:numId w:val="9"/>
        </w:numPr>
        <w:tabs>
          <w:tab w:val="left" w:pos="284"/>
        </w:tabs>
        <w:ind w:left="0" w:right="-234" w:firstLine="0"/>
        <w:jc w:val="both"/>
        <w:rPr>
          <w:rFonts w:ascii="Times New Roman" w:eastAsia="Times New Roman" w:hAnsi="Times New Roman" w:cs="Times New Roman"/>
          <w:sz w:val="28"/>
          <w:szCs w:val="28"/>
        </w:rPr>
      </w:pPr>
      <w:r w:rsidRPr="005D36F1">
        <w:rPr>
          <w:rFonts w:ascii="Times New Roman" w:eastAsia="Times New Roman" w:hAnsi="Times New Roman" w:cs="Times New Roman"/>
          <w:sz w:val="28"/>
          <w:szCs w:val="28"/>
        </w:rPr>
        <w:t>Es por ello que u</w:t>
      </w:r>
      <w:r w:rsidRPr="005D36F1">
        <w:rPr>
          <w:rFonts w:ascii="Times New Roman" w:eastAsia="Times New Roman" w:hAnsi="Times New Roman" w:cs="Times New Roman"/>
          <w:sz w:val="28"/>
          <w:szCs w:val="28"/>
        </w:rPr>
        <w:t>n régimen de divorcio sin causales no se opone, en modo alguno, a la</w:t>
      </w:r>
      <w:r w:rsidRPr="005D36F1">
        <w:rPr>
          <w:rFonts w:ascii="Times New Roman" w:eastAsia="Times New Roman" w:hAnsi="Times New Roman" w:cs="Times New Roman"/>
          <w:sz w:val="28"/>
          <w:szCs w:val="28"/>
        </w:rPr>
        <w:t xml:space="preserve"> fijación</w:t>
      </w:r>
      <w:r w:rsidRPr="005D36F1">
        <w:rPr>
          <w:rFonts w:ascii="Times New Roman" w:eastAsia="Times New Roman" w:hAnsi="Times New Roman" w:cs="Times New Roman"/>
          <w:sz w:val="28"/>
          <w:szCs w:val="28"/>
        </w:rPr>
        <w:t xml:space="preserve"> de medidas de protección que</w:t>
      </w:r>
      <w:r w:rsidRPr="005D36F1">
        <w:rPr>
          <w:rFonts w:ascii="Times New Roman" w:eastAsia="Times New Roman" w:hAnsi="Times New Roman" w:cs="Times New Roman"/>
          <w:sz w:val="28"/>
          <w:szCs w:val="28"/>
        </w:rPr>
        <w:t xml:space="preserve"> amparen</w:t>
      </w:r>
      <w:r w:rsidRPr="005D36F1">
        <w:rPr>
          <w:rFonts w:ascii="Times New Roman" w:eastAsia="Times New Roman" w:hAnsi="Times New Roman" w:cs="Times New Roman"/>
          <w:sz w:val="28"/>
          <w:szCs w:val="28"/>
        </w:rPr>
        <w:t xml:space="preserve"> a todas las personas que integran la familia. Se trata de un dilema que en realidad no existe. La libertad, la protección de la familia y la solidaridad pueden coexistir plenamente</w:t>
      </w:r>
      <w:r w:rsidRPr="005D36F1">
        <w:rPr>
          <w:rFonts w:ascii="Times New Roman" w:eastAsia="Times New Roman" w:hAnsi="Times New Roman" w:cs="Times New Roman"/>
          <w:sz w:val="28"/>
          <w:szCs w:val="28"/>
        </w:rPr>
        <w:t xml:space="preserve">. </w:t>
      </w:r>
      <w:r w:rsidRPr="005D36F1">
        <w:rPr>
          <w:rFonts w:ascii="Times New Roman" w:eastAsia="Times New Roman" w:hAnsi="Times New Roman" w:cs="Times New Roman"/>
          <w:sz w:val="28"/>
          <w:szCs w:val="28"/>
        </w:rPr>
        <w:t>Estoy convencido que la Constitución hace posible</w:t>
      </w:r>
      <w:r w:rsidRPr="005D36F1">
        <w:rPr>
          <w:rFonts w:ascii="Times New Roman" w:eastAsia="Times New Roman" w:hAnsi="Times New Roman" w:cs="Times New Roman"/>
          <w:sz w:val="28"/>
          <w:szCs w:val="28"/>
        </w:rPr>
        <w:t xml:space="preserve"> considerar</w:t>
      </w:r>
      <w:r w:rsidRPr="005D36F1">
        <w:rPr>
          <w:rFonts w:ascii="Times New Roman" w:eastAsia="Times New Roman" w:hAnsi="Times New Roman" w:cs="Times New Roman"/>
          <w:sz w:val="28"/>
          <w:szCs w:val="28"/>
        </w:rPr>
        <w:t xml:space="preserve"> otro sistema</w:t>
      </w:r>
      <w:r w:rsidRPr="005D36F1">
        <w:rPr>
          <w:rFonts w:ascii="Times New Roman" w:eastAsia="Times New Roman" w:hAnsi="Times New Roman" w:cs="Times New Roman"/>
          <w:sz w:val="28"/>
          <w:szCs w:val="28"/>
        </w:rPr>
        <w:t xml:space="preserve">. </w:t>
      </w:r>
      <w:r w:rsidRPr="005D36F1">
        <w:rPr>
          <w:rFonts w:ascii="Times New Roman" w:eastAsia="Times New Roman" w:hAnsi="Times New Roman" w:cs="Times New Roman"/>
          <w:sz w:val="28"/>
          <w:szCs w:val="28"/>
        </w:rPr>
        <w:t>La experiencia hist</w:t>
      </w:r>
      <w:r w:rsidRPr="005D36F1">
        <w:rPr>
          <w:rFonts w:ascii="Times New Roman" w:eastAsia="Times New Roman" w:hAnsi="Times New Roman" w:cs="Times New Roman"/>
          <w:sz w:val="28"/>
          <w:szCs w:val="28"/>
        </w:rPr>
        <w:t>ó</w:t>
      </w:r>
      <w:r w:rsidRPr="005D36F1">
        <w:rPr>
          <w:rFonts w:ascii="Times New Roman" w:eastAsia="Times New Roman" w:hAnsi="Times New Roman" w:cs="Times New Roman"/>
          <w:sz w:val="28"/>
          <w:szCs w:val="28"/>
        </w:rPr>
        <w:t>ri</w:t>
      </w:r>
      <w:r w:rsidRPr="005D36F1">
        <w:rPr>
          <w:rFonts w:ascii="Times New Roman" w:eastAsia="Times New Roman" w:hAnsi="Times New Roman" w:cs="Times New Roman"/>
          <w:sz w:val="28"/>
          <w:szCs w:val="28"/>
        </w:rPr>
        <w:t>c</w:t>
      </w:r>
      <w:r w:rsidRPr="005D36F1">
        <w:rPr>
          <w:rFonts w:ascii="Times New Roman" w:eastAsia="Times New Roman" w:hAnsi="Times New Roman" w:cs="Times New Roman"/>
          <w:sz w:val="28"/>
          <w:szCs w:val="28"/>
        </w:rPr>
        <w:t>a y la tradición</w:t>
      </w:r>
      <w:r w:rsidRPr="005D36F1">
        <w:rPr>
          <w:rFonts w:ascii="Times New Roman" w:eastAsia="Times New Roman" w:hAnsi="Times New Roman" w:cs="Times New Roman"/>
          <w:sz w:val="28"/>
          <w:szCs w:val="28"/>
        </w:rPr>
        <w:t xml:space="preserve"> vertida en el Código Civil </w:t>
      </w:r>
      <w:r w:rsidRPr="005D36F1">
        <w:rPr>
          <w:rFonts w:ascii="Times New Roman" w:eastAsia="Times New Roman" w:hAnsi="Times New Roman" w:cs="Times New Roman"/>
          <w:sz w:val="28"/>
          <w:szCs w:val="28"/>
        </w:rPr>
        <w:t xml:space="preserve">ofrecen valiosos instrumentos para la interpretación constitucional. Sin embargo, los cambios sociales exigen renovadas visiones que permitan asegurar que la Constitución pueda responder </w:t>
      </w:r>
      <w:r w:rsidRPr="005D36F1">
        <w:rPr>
          <w:rFonts w:ascii="Times New Roman" w:eastAsia="Times New Roman" w:hAnsi="Times New Roman" w:cs="Times New Roman"/>
          <w:sz w:val="28"/>
          <w:szCs w:val="28"/>
        </w:rPr>
        <w:t>adecuadamente a ell</w:t>
      </w:r>
      <w:r w:rsidRPr="005D36F1">
        <w:rPr>
          <w:rFonts w:ascii="Times New Roman" w:eastAsia="Times New Roman" w:hAnsi="Times New Roman" w:cs="Times New Roman"/>
          <w:sz w:val="28"/>
          <w:szCs w:val="28"/>
        </w:rPr>
        <w:t>o</w:t>
      </w:r>
      <w:r w:rsidRPr="005D36F1">
        <w:rPr>
          <w:rFonts w:ascii="Times New Roman" w:eastAsia="Times New Roman" w:hAnsi="Times New Roman" w:cs="Times New Roman"/>
          <w:sz w:val="28"/>
          <w:szCs w:val="28"/>
        </w:rPr>
        <w:t>s. Fijar la mirada en el pasado</w:t>
      </w:r>
      <w:r w:rsidRPr="005D36F1">
        <w:rPr>
          <w:rFonts w:ascii="Times New Roman" w:eastAsia="Times New Roman" w:hAnsi="Times New Roman" w:cs="Times New Roman"/>
          <w:sz w:val="28"/>
          <w:szCs w:val="28"/>
        </w:rPr>
        <w:t xml:space="preserve"> y pretender </w:t>
      </w:r>
      <w:r w:rsidRPr="005D36F1">
        <w:rPr>
          <w:rFonts w:ascii="Times New Roman" w:eastAsia="Times New Roman" w:hAnsi="Times New Roman" w:cs="Times New Roman"/>
          <w:sz w:val="28"/>
          <w:szCs w:val="28"/>
        </w:rPr>
        <w:t xml:space="preserve">encontrar en él la única opción, no favorece la aspiración de una Constitución </w:t>
      </w:r>
      <w:r w:rsidRPr="005D36F1">
        <w:rPr>
          <w:rFonts w:ascii="Times New Roman" w:eastAsia="Times New Roman" w:hAnsi="Times New Roman" w:cs="Times New Roman"/>
          <w:sz w:val="28"/>
          <w:szCs w:val="28"/>
        </w:rPr>
        <w:t xml:space="preserve">cuyas cláusulas procuran </w:t>
      </w:r>
      <w:r w:rsidRPr="005D36F1">
        <w:rPr>
          <w:rFonts w:ascii="Times New Roman" w:eastAsia="Times New Roman" w:hAnsi="Times New Roman" w:cs="Times New Roman"/>
          <w:sz w:val="28"/>
          <w:szCs w:val="28"/>
        </w:rPr>
        <w:t>respond</w:t>
      </w:r>
      <w:r w:rsidRPr="005D36F1">
        <w:rPr>
          <w:rFonts w:ascii="Times New Roman" w:eastAsia="Times New Roman" w:hAnsi="Times New Roman" w:cs="Times New Roman"/>
          <w:sz w:val="28"/>
          <w:szCs w:val="28"/>
        </w:rPr>
        <w:t>er</w:t>
      </w:r>
      <w:r w:rsidRPr="005D36F1">
        <w:rPr>
          <w:rFonts w:ascii="Times New Roman" w:eastAsia="Times New Roman" w:hAnsi="Times New Roman" w:cs="Times New Roman"/>
          <w:sz w:val="28"/>
          <w:szCs w:val="28"/>
        </w:rPr>
        <w:t>, adecuadamente, a realidades ciertamente diferentes</w:t>
      </w:r>
      <w:r w:rsidRPr="005D36F1">
        <w:rPr>
          <w:rFonts w:ascii="Times New Roman" w:eastAsia="Times New Roman" w:hAnsi="Times New Roman" w:cs="Times New Roman"/>
          <w:sz w:val="28"/>
          <w:szCs w:val="28"/>
        </w:rPr>
        <w:t xml:space="preserve"> y cada vez más complejas</w:t>
      </w:r>
      <w:r w:rsidRPr="005D36F1">
        <w:rPr>
          <w:rFonts w:ascii="Times New Roman" w:eastAsia="Times New Roman" w:hAnsi="Times New Roman" w:cs="Times New Roman"/>
          <w:sz w:val="28"/>
          <w:szCs w:val="28"/>
        </w:rPr>
        <w:t xml:space="preserve">. </w:t>
      </w:r>
      <w:r w:rsidRPr="005D36F1">
        <w:rPr>
          <w:rFonts w:ascii="Times New Roman" w:eastAsia="Times New Roman" w:hAnsi="Times New Roman" w:cs="Times New Roman"/>
          <w:sz w:val="28"/>
          <w:szCs w:val="28"/>
        </w:rPr>
        <w:t xml:space="preserve">Espero, como lo indique en el año 2019, que exista una </w:t>
      </w:r>
      <w:r w:rsidRPr="005D36F1">
        <w:rPr>
          <w:rFonts w:ascii="Times New Roman" w:eastAsia="Times New Roman" w:hAnsi="Times New Roman" w:cs="Times New Roman"/>
          <w:sz w:val="28"/>
          <w:szCs w:val="28"/>
        </w:rPr>
        <w:t xml:space="preserve">nueva </w:t>
      </w:r>
      <w:r w:rsidRPr="005D36F1">
        <w:rPr>
          <w:rFonts w:ascii="Times New Roman" w:eastAsia="Times New Roman" w:hAnsi="Times New Roman" w:cs="Times New Roman"/>
          <w:sz w:val="28"/>
          <w:szCs w:val="28"/>
        </w:rPr>
        <w:t>oportunidad para</w:t>
      </w:r>
      <w:r w:rsidRPr="005D36F1">
        <w:rPr>
          <w:rFonts w:ascii="Times New Roman" w:eastAsia="Times New Roman" w:hAnsi="Times New Roman" w:cs="Times New Roman"/>
          <w:sz w:val="28"/>
          <w:szCs w:val="28"/>
        </w:rPr>
        <w:t xml:space="preserve"> discutir</w:t>
      </w:r>
      <w:r w:rsidRPr="005D36F1">
        <w:rPr>
          <w:rFonts w:ascii="Times New Roman" w:eastAsia="Times New Roman" w:hAnsi="Times New Roman" w:cs="Times New Roman"/>
          <w:sz w:val="28"/>
          <w:szCs w:val="28"/>
        </w:rPr>
        <w:t xml:space="preserve"> esta</w:t>
      </w:r>
      <w:r w:rsidRPr="005D36F1">
        <w:rPr>
          <w:rFonts w:ascii="Times New Roman" w:eastAsia="Times New Roman" w:hAnsi="Times New Roman" w:cs="Times New Roman"/>
          <w:sz w:val="28"/>
          <w:szCs w:val="28"/>
        </w:rPr>
        <w:t xml:space="preserve"> materia</w:t>
      </w:r>
      <w:r w:rsidRPr="005D36F1">
        <w:rPr>
          <w:rFonts w:ascii="Times New Roman" w:eastAsia="Times New Roman" w:hAnsi="Times New Roman" w:cs="Times New Roman"/>
          <w:sz w:val="28"/>
          <w:szCs w:val="28"/>
        </w:rPr>
        <w:t>.</w:t>
      </w:r>
    </w:p>
    <w:p w:rsidR="009C2063" w:rsidRPr="005D36F1" w:rsidRDefault="005D36F1" w:rsidP="00CC627E">
      <w:pPr>
        <w:tabs>
          <w:tab w:val="left" w:pos="284"/>
        </w:tabs>
        <w:jc w:val="both"/>
        <w:rPr>
          <w:rFonts w:ascii="Times New Roman" w:hAnsi="Times New Roman" w:cs="Times New Roman"/>
          <w:bCs/>
          <w:sz w:val="28"/>
          <w:szCs w:val="28"/>
          <w:lang w:eastAsia="zh-CN"/>
        </w:rPr>
      </w:pPr>
    </w:p>
    <w:p w:rsidR="00C00ED4" w:rsidRPr="005D36F1" w:rsidRDefault="005D36F1">
      <w:pPr>
        <w:rPr>
          <w:rFonts w:ascii="Times New Roman" w:hAnsi="Times New Roman" w:cs="Times New Roman"/>
          <w:sz w:val="28"/>
          <w:szCs w:val="28"/>
        </w:rPr>
      </w:pPr>
    </w:p>
    <w:p w:rsidR="00C00ED4" w:rsidRPr="005D36F1" w:rsidRDefault="005D36F1">
      <w:pPr>
        <w:rPr>
          <w:rFonts w:ascii="Times New Roman" w:hAnsi="Times New Roman" w:cs="Times New Roman"/>
          <w:sz w:val="28"/>
          <w:szCs w:val="28"/>
        </w:rPr>
      </w:pPr>
    </w:p>
    <w:p w:rsidR="00C00ED4" w:rsidRPr="005D36F1" w:rsidRDefault="005D36F1" w:rsidP="00676569">
      <w:pPr>
        <w:spacing w:after="0" w:line="240" w:lineRule="auto"/>
        <w:jc w:val="center"/>
        <w:rPr>
          <w:rFonts w:ascii="Times New Roman" w:hAnsi="Times New Roman" w:cs="Times New Roman"/>
          <w:b/>
          <w:bCs/>
          <w:sz w:val="28"/>
          <w:szCs w:val="28"/>
        </w:rPr>
      </w:pPr>
      <w:r w:rsidRPr="005D36F1">
        <w:rPr>
          <w:rFonts w:ascii="Times New Roman" w:hAnsi="Times New Roman" w:cs="Times New Roman"/>
          <w:b/>
          <w:bCs/>
          <w:sz w:val="28"/>
          <w:szCs w:val="28"/>
        </w:rPr>
        <w:t>JOSE FERNANDO REYES CUARTAS</w:t>
      </w:r>
    </w:p>
    <w:p w:rsidR="00C00ED4" w:rsidRPr="005D36F1" w:rsidRDefault="005D36F1" w:rsidP="00676569">
      <w:pPr>
        <w:spacing w:after="0" w:line="240" w:lineRule="auto"/>
        <w:jc w:val="center"/>
        <w:rPr>
          <w:rFonts w:ascii="Times New Roman" w:hAnsi="Times New Roman" w:cs="Times New Roman"/>
          <w:b/>
          <w:bCs/>
          <w:sz w:val="28"/>
          <w:szCs w:val="28"/>
        </w:rPr>
      </w:pPr>
      <w:r w:rsidRPr="005D36F1">
        <w:rPr>
          <w:rFonts w:ascii="Times New Roman" w:hAnsi="Times New Roman" w:cs="Times New Roman"/>
          <w:b/>
          <w:bCs/>
          <w:sz w:val="28"/>
          <w:szCs w:val="28"/>
        </w:rPr>
        <w:t>Magistrado</w:t>
      </w:r>
    </w:p>
    <w:p w:rsidR="00EC23E3" w:rsidRPr="005D36F1" w:rsidRDefault="005D36F1" w:rsidP="007C1443">
      <w:pPr>
        <w:pStyle w:val="Textoindependiente"/>
        <w:ind w:right="-376"/>
        <w:jc w:val="center"/>
        <w:rPr>
          <w:rFonts w:ascii="Times New Roman" w:hAnsi="Times New Roman" w:cs="Times New Roman"/>
          <w:b/>
          <w:bCs/>
          <w:sz w:val="28"/>
          <w:szCs w:val="28"/>
          <w:lang w:val="es-ES_tradnl"/>
        </w:rPr>
      </w:pPr>
      <w:r w:rsidRPr="005D36F1">
        <w:rPr>
          <w:rFonts w:ascii="Times New Roman" w:hAnsi="Times New Roman" w:cs="Times New Roman"/>
          <w:b/>
          <w:bCs/>
          <w:sz w:val="28"/>
          <w:szCs w:val="28"/>
          <w:lang w:val="es-ES_tradnl"/>
        </w:rPr>
        <w:t>SALVAMENTO PARCIAL</w:t>
      </w:r>
      <w:r w:rsidRPr="005D36F1">
        <w:rPr>
          <w:rFonts w:ascii="Times New Roman" w:hAnsi="Times New Roman" w:cs="Times New Roman"/>
          <w:b/>
          <w:bCs/>
          <w:sz w:val="28"/>
          <w:szCs w:val="28"/>
          <w:lang w:val="es-ES_tradnl"/>
        </w:rPr>
        <w:t xml:space="preserve"> </w:t>
      </w:r>
      <w:r w:rsidRPr="005D36F1">
        <w:rPr>
          <w:rFonts w:ascii="Times New Roman" w:hAnsi="Times New Roman" w:cs="Times New Roman"/>
          <w:b/>
          <w:bCs/>
          <w:sz w:val="28"/>
          <w:szCs w:val="28"/>
          <w:lang w:val="es-ES_tradnl"/>
        </w:rPr>
        <w:t xml:space="preserve">DE VOTO DEL MAGISTRADO </w:t>
      </w:r>
    </w:p>
    <w:p w:rsidR="00E74152" w:rsidRPr="005D36F1" w:rsidRDefault="005D36F1" w:rsidP="007C1443">
      <w:pPr>
        <w:pStyle w:val="Textoindependiente"/>
        <w:ind w:right="-376"/>
        <w:jc w:val="center"/>
        <w:rPr>
          <w:rFonts w:ascii="Times New Roman" w:hAnsi="Times New Roman" w:cs="Times New Roman"/>
          <w:b/>
          <w:sz w:val="28"/>
          <w:szCs w:val="28"/>
          <w:lang w:val="es-ES_tradnl"/>
        </w:rPr>
      </w:pPr>
      <w:r w:rsidRPr="005D36F1">
        <w:rPr>
          <w:rFonts w:ascii="Times New Roman" w:hAnsi="Times New Roman" w:cs="Times New Roman"/>
          <w:b/>
          <w:sz w:val="28"/>
          <w:szCs w:val="28"/>
          <w:lang w:val="es-ES_tradnl"/>
        </w:rPr>
        <w:t xml:space="preserve">VLADIMIR FERNÁNDEZ ANDRADE </w:t>
      </w:r>
    </w:p>
    <w:p w:rsidR="00F30CCC" w:rsidRPr="005D36F1" w:rsidRDefault="005D36F1" w:rsidP="007C1443">
      <w:pPr>
        <w:pStyle w:val="Textoindependiente"/>
        <w:ind w:right="-376"/>
        <w:jc w:val="center"/>
        <w:rPr>
          <w:rFonts w:ascii="Times New Roman" w:hAnsi="Times New Roman" w:cs="Times New Roman"/>
          <w:b/>
          <w:sz w:val="28"/>
          <w:szCs w:val="28"/>
          <w:lang w:val="es-ES_tradnl"/>
        </w:rPr>
      </w:pPr>
      <w:r w:rsidRPr="005D36F1">
        <w:rPr>
          <w:rFonts w:ascii="Times New Roman" w:hAnsi="Times New Roman" w:cs="Times New Roman"/>
          <w:b/>
          <w:sz w:val="28"/>
          <w:szCs w:val="28"/>
          <w:lang w:val="es-ES_tradnl"/>
        </w:rPr>
        <w:t>A</w:t>
      </w:r>
      <w:r w:rsidRPr="005D36F1">
        <w:rPr>
          <w:rFonts w:ascii="Times New Roman" w:hAnsi="Times New Roman" w:cs="Times New Roman"/>
          <w:b/>
          <w:sz w:val="28"/>
          <w:szCs w:val="28"/>
          <w:lang w:val="es-ES_tradnl"/>
        </w:rPr>
        <w:t xml:space="preserve"> </w:t>
      </w:r>
      <w:r w:rsidRPr="005D36F1">
        <w:rPr>
          <w:rFonts w:ascii="Times New Roman" w:hAnsi="Times New Roman" w:cs="Times New Roman"/>
          <w:b/>
          <w:sz w:val="28"/>
          <w:szCs w:val="28"/>
          <w:lang w:val="es-ES_tradnl"/>
        </w:rPr>
        <w:t>L</w:t>
      </w:r>
      <w:r w:rsidRPr="005D36F1">
        <w:rPr>
          <w:rFonts w:ascii="Times New Roman" w:hAnsi="Times New Roman" w:cs="Times New Roman"/>
          <w:b/>
          <w:sz w:val="28"/>
          <w:szCs w:val="28"/>
          <w:lang w:val="es-ES_tradnl"/>
        </w:rPr>
        <w:t>A SENTENCIA C-</w:t>
      </w:r>
      <w:r w:rsidRPr="005D36F1">
        <w:rPr>
          <w:rFonts w:ascii="Times New Roman" w:hAnsi="Times New Roman" w:cs="Times New Roman"/>
          <w:b/>
          <w:sz w:val="28"/>
          <w:szCs w:val="28"/>
          <w:lang w:val="es-ES_tradnl"/>
        </w:rPr>
        <w:t>096</w:t>
      </w:r>
      <w:r w:rsidRPr="005D36F1">
        <w:rPr>
          <w:rFonts w:ascii="Times New Roman" w:hAnsi="Times New Roman" w:cs="Times New Roman"/>
          <w:b/>
          <w:sz w:val="28"/>
          <w:szCs w:val="28"/>
          <w:lang w:val="es-ES_tradnl"/>
        </w:rPr>
        <w:t>/</w:t>
      </w:r>
      <w:r w:rsidRPr="005D36F1">
        <w:rPr>
          <w:rFonts w:ascii="Times New Roman" w:hAnsi="Times New Roman" w:cs="Times New Roman"/>
          <w:b/>
          <w:sz w:val="28"/>
          <w:szCs w:val="28"/>
          <w:lang w:val="es-ES_tradnl"/>
        </w:rPr>
        <w:t>2</w:t>
      </w:r>
      <w:r w:rsidRPr="005D36F1">
        <w:rPr>
          <w:rFonts w:ascii="Times New Roman" w:hAnsi="Times New Roman" w:cs="Times New Roman"/>
          <w:b/>
          <w:sz w:val="28"/>
          <w:szCs w:val="28"/>
          <w:lang w:val="es-ES_tradnl"/>
        </w:rPr>
        <w:t>4</w:t>
      </w:r>
    </w:p>
    <w:p w:rsidR="000E2E60" w:rsidRPr="005D36F1" w:rsidRDefault="005D36F1" w:rsidP="002F577E">
      <w:pPr>
        <w:pStyle w:val="Textoindependiente"/>
        <w:ind w:right="-376"/>
        <w:jc w:val="both"/>
        <w:rPr>
          <w:rFonts w:ascii="Times New Roman" w:hAnsi="Times New Roman" w:cs="Times New Roman"/>
          <w:b/>
          <w:sz w:val="28"/>
          <w:szCs w:val="28"/>
          <w:lang w:val="es-ES_tradnl"/>
        </w:rPr>
      </w:pPr>
    </w:p>
    <w:p w:rsidR="006466C6" w:rsidRPr="005D36F1" w:rsidRDefault="005D36F1" w:rsidP="002F577E">
      <w:pPr>
        <w:pStyle w:val="Textoindependiente"/>
        <w:ind w:right="-376"/>
        <w:jc w:val="both"/>
        <w:rPr>
          <w:rFonts w:ascii="Times New Roman" w:hAnsi="Times New Roman" w:cs="Times New Roman"/>
          <w:b/>
          <w:sz w:val="28"/>
          <w:szCs w:val="28"/>
          <w:lang w:val="es-ES_tradnl"/>
        </w:rPr>
      </w:pPr>
    </w:p>
    <w:p w:rsidR="002805D4" w:rsidRPr="005D36F1" w:rsidRDefault="005D36F1" w:rsidP="00E74152">
      <w:pPr>
        <w:pStyle w:val="Textoindependiente"/>
        <w:ind w:left="3969" w:right="-374"/>
        <w:jc w:val="both"/>
        <w:rPr>
          <w:rFonts w:ascii="Times New Roman" w:hAnsi="Times New Roman" w:cs="Times New Roman"/>
          <w:sz w:val="28"/>
          <w:szCs w:val="28"/>
          <w:shd w:val="clear" w:color="auto" w:fill="FFFFFF"/>
          <w:lang w:val="es-ES_tradnl"/>
        </w:rPr>
      </w:pPr>
      <w:r w:rsidRPr="005D36F1">
        <w:rPr>
          <w:rFonts w:ascii="Times New Roman" w:hAnsi="Times New Roman" w:cs="Times New Roman"/>
          <w:sz w:val="28"/>
          <w:szCs w:val="28"/>
          <w:shd w:val="clear" w:color="auto" w:fill="FFFFFF"/>
          <w:lang w:val="es-ES_tradnl"/>
        </w:rPr>
        <w:t>Referencia</w:t>
      </w:r>
      <w:r w:rsidRPr="005D36F1">
        <w:rPr>
          <w:rFonts w:ascii="Times New Roman" w:hAnsi="Times New Roman" w:cs="Times New Roman"/>
          <w:sz w:val="28"/>
          <w:szCs w:val="28"/>
          <w:shd w:val="clear" w:color="auto" w:fill="FFFFFF"/>
          <w:lang w:val="es-ES_tradnl"/>
        </w:rPr>
        <w:t>:</w:t>
      </w:r>
      <w:r w:rsidRPr="005D36F1">
        <w:rPr>
          <w:rFonts w:ascii="Times New Roman" w:hAnsi="Times New Roman" w:cs="Times New Roman"/>
          <w:sz w:val="28"/>
          <w:szCs w:val="28"/>
          <w:shd w:val="clear" w:color="auto" w:fill="FFFFFF"/>
          <w:lang w:val="es-ES_tradnl"/>
        </w:rPr>
        <w:t xml:space="preserve"> </w:t>
      </w:r>
      <w:r w:rsidRPr="005D36F1">
        <w:rPr>
          <w:rFonts w:ascii="Times New Roman" w:hAnsi="Times New Roman" w:cs="Times New Roman"/>
          <w:color w:val="000000" w:themeColor="text1"/>
          <w:sz w:val="28"/>
          <w:szCs w:val="28"/>
        </w:rPr>
        <w:t>Expediente D-15.432</w:t>
      </w:r>
    </w:p>
    <w:p w:rsidR="006D4901" w:rsidRPr="005D36F1" w:rsidRDefault="005D36F1" w:rsidP="00E74152">
      <w:pPr>
        <w:pStyle w:val="Textoindependiente"/>
        <w:ind w:left="3969" w:right="-374"/>
        <w:jc w:val="both"/>
        <w:rPr>
          <w:rFonts w:ascii="Times New Roman" w:hAnsi="Times New Roman" w:cs="Times New Roman"/>
          <w:sz w:val="28"/>
          <w:szCs w:val="28"/>
          <w:shd w:val="clear" w:color="auto" w:fill="FFFFFF"/>
          <w:lang w:val="es-ES_tradnl"/>
        </w:rPr>
      </w:pPr>
    </w:p>
    <w:p w:rsidR="00A048AE" w:rsidRPr="005D36F1" w:rsidRDefault="005D36F1" w:rsidP="00E74152">
      <w:pPr>
        <w:ind w:left="3969"/>
        <w:jc w:val="both"/>
        <w:rPr>
          <w:rFonts w:ascii="Times New Roman" w:hAnsi="Times New Roman" w:cs="Times New Roman"/>
          <w:color w:val="000000" w:themeColor="text1"/>
          <w:sz w:val="28"/>
          <w:szCs w:val="28"/>
          <w:lang w:val="es-MX"/>
        </w:rPr>
      </w:pPr>
      <w:r w:rsidRPr="005D36F1">
        <w:rPr>
          <w:rFonts w:ascii="Times New Roman" w:hAnsi="Times New Roman" w:cs="Times New Roman"/>
          <w:sz w:val="28"/>
          <w:szCs w:val="28"/>
          <w:shd w:val="clear" w:color="auto" w:fill="FFFFFF"/>
          <w:lang w:val="es-ES_tradnl"/>
        </w:rPr>
        <w:t xml:space="preserve">Asunto: </w:t>
      </w:r>
      <w:r w:rsidRPr="005D36F1">
        <w:rPr>
          <w:rFonts w:ascii="Times New Roman" w:hAnsi="Times New Roman" w:cs="Times New Roman"/>
          <w:color w:val="000000" w:themeColor="text1"/>
          <w:sz w:val="28"/>
          <w:szCs w:val="28"/>
        </w:rPr>
        <w:t xml:space="preserve">Demanda de inconstitucionalidad contra el </w:t>
      </w:r>
      <w:r w:rsidRPr="005D36F1">
        <w:rPr>
          <w:rFonts w:ascii="Times New Roman" w:hAnsi="Times New Roman" w:cs="Times New Roman"/>
          <w:color w:val="000000" w:themeColor="text1"/>
          <w:sz w:val="28"/>
          <w:szCs w:val="28"/>
          <w:lang w:val="es-MX"/>
        </w:rPr>
        <w:t>numeral quinto del artículo 154 del Código Civil</w:t>
      </w:r>
    </w:p>
    <w:p w:rsidR="006D4901" w:rsidRPr="005D36F1" w:rsidRDefault="005D36F1" w:rsidP="00E74152">
      <w:pPr>
        <w:ind w:left="3969" w:right="51"/>
        <w:contextualSpacing/>
        <w:jc w:val="both"/>
        <w:rPr>
          <w:rFonts w:ascii="Times New Roman" w:hAnsi="Times New Roman" w:cs="Times New Roman"/>
          <w:color w:val="000000"/>
          <w:sz w:val="28"/>
          <w:szCs w:val="28"/>
        </w:rPr>
      </w:pPr>
    </w:p>
    <w:p w:rsidR="00F30CCC" w:rsidRPr="005D36F1" w:rsidRDefault="005D36F1" w:rsidP="00E74152">
      <w:pPr>
        <w:tabs>
          <w:tab w:val="left" w:pos="8789"/>
          <w:tab w:val="left" w:pos="8835"/>
        </w:tabs>
        <w:ind w:left="3969" w:right="49"/>
        <w:jc w:val="both"/>
        <w:rPr>
          <w:rFonts w:ascii="Times New Roman" w:hAnsi="Times New Roman" w:cs="Times New Roman"/>
          <w:sz w:val="28"/>
          <w:szCs w:val="28"/>
          <w:lang w:val="es-ES_tradnl"/>
        </w:rPr>
      </w:pPr>
      <w:r w:rsidRPr="005D36F1">
        <w:rPr>
          <w:rFonts w:ascii="Times New Roman" w:hAnsi="Times New Roman" w:cs="Times New Roman"/>
          <w:sz w:val="28"/>
          <w:szCs w:val="28"/>
          <w:lang w:val="es-ES_tradnl"/>
        </w:rPr>
        <w:t>Magistrad</w:t>
      </w:r>
      <w:r w:rsidRPr="005D36F1">
        <w:rPr>
          <w:rFonts w:ascii="Times New Roman" w:hAnsi="Times New Roman" w:cs="Times New Roman"/>
          <w:sz w:val="28"/>
          <w:szCs w:val="28"/>
          <w:lang w:val="es-ES_tradnl"/>
        </w:rPr>
        <w:t>a</w:t>
      </w:r>
      <w:r w:rsidRPr="005D36F1">
        <w:rPr>
          <w:rFonts w:ascii="Times New Roman" w:hAnsi="Times New Roman" w:cs="Times New Roman"/>
          <w:sz w:val="28"/>
          <w:szCs w:val="28"/>
          <w:lang w:val="es-ES_tradnl"/>
        </w:rPr>
        <w:t xml:space="preserve"> </w:t>
      </w:r>
      <w:r w:rsidRPr="005D36F1">
        <w:rPr>
          <w:rFonts w:ascii="Times New Roman" w:hAnsi="Times New Roman" w:cs="Times New Roman"/>
          <w:sz w:val="28"/>
          <w:szCs w:val="28"/>
          <w:lang w:val="es-ES_tradnl"/>
        </w:rPr>
        <w:t>p</w:t>
      </w:r>
      <w:r w:rsidRPr="005D36F1">
        <w:rPr>
          <w:rFonts w:ascii="Times New Roman" w:hAnsi="Times New Roman" w:cs="Times New Roman"/>
          <w:sz w:val="28"/>
          <w:szCs w:val="28"/>
          <w:lang w:val="es-ES_tradnl"/>
        </w:rPr>
        <w:t>onente:</w:t>
      </w:r>
    </w:p>
    <w:p w:rsidR="009D544A" w:rsidRPr="005D36F1" w:rsidRDefault="005D36F1" w:rsidP="00E74152">
      <w:pPr>
        <w:tabs>
          <w:tab w:val="left" w:pos="8789"/>
          <w:tab w:val="left" w:pos="8835"/>
        </w:tabs>
        <w:ind w:left="3969" w:right="49"/>
        <w:jc w:val="both"/>
        <w:rPr>
          <w:rFonts w:ascii="Times New Roman" w:hAnsi="Times New Roman" w:cs="Times New Roman"/>
          <w:sz w:val="28"/>
          <w:szCs w:val="28"/>
          <w:shd w:val="clear" w:color="auto" w:fill="FFFFFF"/>
          <w:lang w:val="es-ES_tradnl"/>
        </w:rPr>
      </w:pPr>
      <w:r w:rsidRPr="005D36F1">
        <w:rPr>
          <w:rFonts w:ascii="Times New Roman" w:hAnsi="Times New Roman" w:cs="Times New Roman"/>
          <w:sz w:val="28"/>
          <w:szCs w:val="28"/>
          <w:shd w:val="clear" w:color="auto" w:fill="FFFFFF"/>
          <w:lang w:val="es-ES_tradnl"/>
        </w:rPr>
        <w:t>Paola Andrea Meneses Mosquera</w:t>
      </w:r>
    </w:p>
    <w:p w:rsidR="002F1FF9" w:rsidRPr="005D36F1" w:rsidRDefault="005D36F1" w:rsidP="002D094E">
      <w:pPr>
        <w:pStyle w:val="Prrafodelista"/>
        <w:jc w:val="both"/>
        <w:rPr>
          <w:rFonts w:ascii="Times New Roman" w:hAnsi="Times New Roman" w:cs="Times New Roman"/>
          <w:sz w:val="28"/>
          <w:szCs w:val="28"/>
          <w:shd w:val="clear" w:color="auto" w:fill="FFFFFF"/>
          <w:lang w:val="pt-PT" w:eastAsia="en-US"/>
        </w:rPr>
      </w:pPr>
    </w:p>
    <w:p w:rsidR="00E74152" w:rsidRPr="005D36F1" w:rsidRDefault="005D36F1" w:rsidP="002D094E">
      <w:pPr>
        <w:pStyle w:val="Prrafodelista"/>
        <w:jc w:val="both"/>
        <w:rPr>
          <w:rFonts w:ascii="Times New Roman" w:hAnsi="Times New Roman" w:cs="Times New Roman"/>
          <w:sz w:val="28"/>
          <w:szCs w:val="28"/>
          <w:shd w:val="clear" w:color="auto" w:fill="FFFFFF"/>
          <w:lang w:val="pt-PT" w:eastAsia="en-US"/>
        </w:rPr>
      </w:pPr>
    </w:p>
    <w:p w:rsidR="00696AB1" w:rsidRPr="005D36F1" w:rsidRDefault="005D36F1" w:rsidP="009426B1">
      <w:pPr>
        <w:pStyle w:val="Prrafodelista"/>
        <w:ind w:left="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En la Sentencia C</w:t>
      </w:r>
      <w:r w:rsidRPr="005D36F1">
        <w:rPr>
          <w:rFonts w:ascii="Times New Roman" w:hAnsi="Times New Roman" w:cs="Times New Roman"/>
          <w:color w:val="000000" w:themeColor="text1"/>
          <w:sz w:val="28"/>
          <w:szCs w:val="28"/>
        </w:rPr>
        <w:t>-096 de 2024 la mayoría</w:t>
      </w:r>
      <w:r w:rsidRPr="005D36F1">
        <w:rPr>
          <w:rFonts w:ascii="Times New Roman" w:hAnsi="Times New Roman" w:cs="Times New Roman"/>
          <w:color w:val="000000" w:themeColor="text1"/>
          <w:sz w:val="28"/>
          <w:szCs w:val="28"/>
        </w:rPr>
        <w:t xml:space="preserve"> de la Sala</w:t>
      </w:r>
      <w:r w:rsidRPr="005D36F1">
        <w:rPr>
          <w:rFonts w:ascii="Times New Roman" w:hAnsi="Times New Roman" w:cs="Times New Roman"/>
          <w:color w:val="000000" w:themeColor="text1"/>
          <w:sz w:val="28"/>
          <w:szCs w:val="28"/>
        </w:rPr>
        <w:t xml:space="preserve"> decidió “[d]</w:t>
      </w:r>
      <w:r w:rsidRPr="005D36F1">
        <w:rPr>
          <w:rFonts w:ascii="Times New Roman" w:hAnsi="Times New Roman" w:cs="Times New Roman"/>
          <w:color w:val="000000" w:themeColor="text1"/>
          <w:sz w:val="28"/>
          <w:szCs w:val="28"/>
        </w:rPr>
        <w:t>eclarar </w:t>
      </w:r>
      <w:r w:rsidRPr="005D36F1">
        <w:rPr>
          <w:rFonts w:ascii="Times New Roman" w:hAnsi="Times New Roman" w:cs="Times New Roman"/>
          <w:b/>
          <w:bCs/>
          <w:color w:val="000000" w:themeColor="text1"/>
          <w:sz w:val="28"/>
          <w:szCs w:val="28"/>
        </w:rPr>
        <w:t>EXEQUIBLE</w:t>
      </w:r>
      <w:r w:rsidRPr="005D36F1">
        <w:rPr>
          <w:rFonts w:ascii="Times New Roman" w:hAnsi="Times New Roman" w:cs="Times New Roman"/>
          <w:color w:val="000000" w:themeColor="text1"/>
          <w:sz w:val="28"/>
          <w:szCs w:val="28"/>
        </w:rPr>
        <w:t xml:space="preserve"> por el cargo analizado, el numeral quinto del artículo 154 del Código Civil, subrogado por el artículo sexto de la Ley 25 de 1992, </w:t>
      </w:r>
      <w:r w:rsidRPr="005D36F1">
        <w:rPr>
          <w:rFonts w:ascii="Times New Roman" w:hAnsi="Times New Roman" w:cs="Times New Roman"/>
          <w:i/>
          <w:iCs/>
          <w:color w:val="000000" w:themeColor="text1"/>
          <w:sz w:val="28"/>
          <w:szCs w:val="28"/>
        </w:rPr>
        <w:t>en el entendido de que no da lugar al pago de alimentos previsto en el numeral 4 del artículo 411 del Código Civil ni a la r</w:t>
      </w:r>
      <w:r w:rsidRPr="005D36F1">
        <w:rPr>
          <w:rFonts w:ascii="Times New Roman" w:hAnsi="Times New Roman" w:cs="Times New Roman"/>
          <w:i/>
          <w:iCs/>
          <w:color w:val="000000" w:themeColor="text1"/>
          <w:sz w:val="28"/>
          <w:szCs w:val="28"/>
        </w:rPr>
        <w:t>evocación de las donaciones que hubiere hecho por causa del matrimonio el cónyuge que reclama la disolución del vínculo matrimonial, prevista en el artículo 162 del Código Civil</w:t>
      </w:r>
      <w:r w:rsidRPr="005D36F1">
        <w:rPr>
          <w:rFonts w:ascii="Times New Roman" w:hAnsi="Times New Roman" w:cs="Times New Roman"/>
          <w:color w:val="000000" w:themeColor="text1"/>
          <w:sz w:val="28"/>
          <w:szCs w:val="28"/>
        </w:rPr>
        <w:t xml:space="preserve">”. </w:t>
      </w:r>
      <w:r w:rsidRPr="005D36F1">
        <w:rPr>
          <w:rFonts w:ascii="Times New Roman" w:hAnsi="Times New Roman" w:cs="Times New Roman"/>
          <w:color w:val="000000" w:themeColor="text1"/>
          <w:sz w:val="28"/>
          <w:szCs w:val="28"/>
        </w:rPr>
        <w:t xml:space="preserve">Al respecto, salvé parcialmente mi voto </w:t>
      </w:r>
      <w:r w:rsidRPr="005D36F1">
        <w:rPr>
          <w:rFonts w:ascii="Times New Roman" w:hAnsi="Times New Roman" w:cs="Times New Roman"/>
          <w:color w:val="000000" w:themeColor="text1"/>
          <w:sz w:val="28"/>
          <w:szCs w:val="28"/>
        </w:rPr>
        <w:t>pues</w:t>
      </w:r>
      <w:r w:rsidRPr="005D36F1">
        <w:rPr>
          <w:rFonts w:ascii="Times New Roman" w:hAnsi="Times New Roman" w:cs="Times New Roman"/>
          <w:color w:val="000000" w:themeColor="text1"/>
          <w:sz w:val="28"/>
          <w:szCs w:val="28"/>
        </w:rPr>
        <w:t>,</w:t>
      </w:r>
      <w:r w:rsidRPr="005D36F1">
        <w:rPr>
          <w:rFonts w:ascii="Times New Roman" w:hAnsi="Times New Roman" w:cs="Times New Roman"/>
          <w:color w:val="000000" w:themeColor="text1"/>
          <w:sz w:val="28"/>
          <w:szCs w:val="28"/>
        </w:rPr>
        <w:t xml:space="preserve"> aunque compart</w:t>
      </w:r>
      <w:r w:rsidRPr="005D36F1">
        <w:rPr>
          <w:rFonts w:ascii="Times New Roman" w:hAnsi="Times New Roman" w:cs="Times New Roman"/>
          <w:color w:val="000000" w:themeColor="text1"/>
          <w:sz w:val="28"/>
          <w:szCs w:val="28"/>
        </w:rPr>
        <w:t>í</w:t>
      </w:r>
      <w:r w:rsidRPr="005D36F1">
        <w:rPr>
          <w:rFonts w:ascii="Times New Roman" w:hAnsi="Times New Roman" w:cs="Times New Roman"/>
          <w:color w:val="000000" w:themeColor="text1"/>
          <w:sz w:val="28"/>
          <w:szCs w:val="28"/>
        </w:rPr>
        <w:t xml:space="preserve"> la posibilidad de terminar el vínculo matrimonial a partir de la causal cuestionada</w:t>
      </w:r>
      <w:r w:rsidRPr="005D36F1">
        <w:rPr>
          <w:rFonts w:ascii="Times New Roman" w:hAnsi="Times New Roman" w:cs="Times New Roman"/>
          <w:color w:val="000000" w:themeColor="text1"/>
          <w:sz w:val="28"/>
          <w:szCs w:val="28"/>
        </w:rPr>
        <w:t xml:space="preserve"> en el numeral quinto del artículo 154 del Código Civil,</w:t>
      </w:r>
      <w:r w:rsidRPr="005D36F1">
        <w:rPr>
          <w:rFonts w:ascii="Times New Roman" w:hAnsi="Times New Roman" w:cs="Times New Roman"/>
          <w:color w:val="000000" w:themeColor="text1"/>
          <w:sz w:val="28"/>
          <w:szCs w:val="28"/>
        </w:rPr>
        <w:t xml:space="preserve"> cuestio</w:t>
      </w:r>
      <w:r w:rsidRPr="005D36F1">
        <w:rPr>
          <w:rFonts w:ascii="Times New Roman" w:hAnsi="Times New Roman" w:cs="Times New Roman"/>
          <w:color w:val="000000" w:themeColor="text1"/>
          <w:sz w:val="28"/>
          <w:szCs w:val="28"/>
        </w:rPr>
        <w:t>né</w:t>
      </w:r>
      <w:r w:rsidRPr="005D36F1">
        <w:rPr>
          <w:rFonts w:ascii="Times New Roman" w:hAnsi="Times New Roman" w:cs="Times New Roman"/>
          <w:color w:val="000000" w:themeColor="text1"/>
          <w:sz w:val="28"/>
          <w:szCs w:val="28"/>
        </w:rPr>
        <w:t xml:space="preserve"> el remedio constitucional adoptado como condicionamiento,</w:t>
      </w:r>
      <w:r w:rsidRPr="005D36F1">
        <w:rPr>
          <w:rFonts w:ascii="Times New Roman" w:hAnsi="Times New Roman" w:cs="Times New Roman"/>
          <w:color w:val="000000" w:themeColor="text1"/>
          <w:sz w:val="28"/>
          <w:szCs w:val="28"/>
        </w:rPr>
        <w:t xml:space="preserve"> </w:t>
      </w:r>
      <w:r w:rsidRPr="005D36F1">
        <w:rPr>
          <w:rFonts w:ascii="Times New Roman" w:hAnsi="Times New Roman" w:cs="Times New Roman"/>
          <w:color w:val="000000" w:themeColor="text1"/>
          <w:sz w:val="28"/>
          <w:szCs w:val="28"/>
        </w:rPr>
        <w:t xml:space="preserve">esencialmente, </w:t>
      </w:r>
      <w:r w:rsidRPr="005D36F1">
        <w:rPr>
          <w:rFonts w:ascii="Times New Roman" w:hAnsi="Times New Roman" w:cs="Times New Roman"/>
          <w:color w:val="000000" w:themeColor="text1"/>
          <w:sz w:val="28"/>
          <w:szCs w:val="28"/>
        </w:rPr>
        <w:t>por dos razones</w:t>
      </w:r>
      <w:r w:rsidRPr="005D36F1">
        <w:rPr>
          <w:rFonts w:ascii="Times New Roman" w:hAnsi="Times New Roman" w:cs="Times New Roman"/>
          <w:color w:val="000000" w:themeColor="text1"/>
          <w:sz w:val="28"/>
          <w:szCs w:val="28"/>
        </w:rPr>
        <w:t>:</w:t>
      </w:r>
      <w:r w:rsidRPr="005D36F1">
        <w:rPr>
          <w:rFonts w:ascii="Times New Roman" w:hAnsi="Times New Roman" w:cs="Times New Roman"/>
          <w:color w:val="000000" w:themeColor="text1"/>
          <w:sz w:val="28"/>
          <w:szCs w:val="28"/>
        </w:rPr>
        <w:t xml:space="preserve"> </w:t>
      </w:r>
    </w:p>
    <w:p w:rsidR="00696AB1" w:rsidRPr="005D36F1" w:rsidRDefault="005D36F1" w:rsidP="00696AB1">
      <w:pPr>
        <w:pStyle w:val="Prrafodelista"/>
        <w:rPr>
          <w:rFonts w:ascii="Times New Roman" w:hAnsi="Times New Roman" w:cs="Times New Roman"/>
          <w:color w:val="000000" w:themeColor="text1"/>
          <w:sz w:val="28"/>
          <w:szCs w:val="28"/>
        </w:rPr>
      </w:pPr>
    </w:p>
    <w:p w:rsidR="000239C4" w:rsidRPr="005D36F1" w:rsidRDefault="005D36F1" w:rsidP="009426B1">
      <w:pPr>
        <w:pStyle w:val="Prrafodelista"/>
        <w:ind w:left="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En primer lug</w:t>
      </w:r>
      <w:r w:rsidRPr="005D36F1">
        <w:rPr>
          <w:rFonts w:ascii="Times New Roman" w:hAnsi="Times New Roman" w:cs="Times New Roman"/>
          <w:color w:val="000000" w:themeColor="text1"/>
          <w:sz w:val="28"/>
          <w:szCs w:val="28"/>
        </w:rPr>
        <w:t xml:space="preserve">ar, porque lo atinente a los efectos patrimoniales del divorcio fue un asunto </w:t>
      </w:r>
      <w:r w:rsidRPr="005D36F1">
        <w:rPr>
          <w:rFonts w:ascii="Times New Roman" w:hAnsi="Times New Roman" w:cs="Times New Roman"/>
          <w:i/>
          <w:iCs/>
          <w:color w:val="000000" w:themeColor="text1"/>
          <w:sz w:val="28"/>
          <w:szCs w:val="28"/>
        </w:rPr>
        <w:t>expresamente excluido</w:t>
      </w:r>
      <w:r w:rsidRPr="005D36F1">
        <w:rPr>
          <w:rFonts w:ascii="Times New Roman" w:hAnsi="Times New Roman" w:cs="Times New Roman"/>
          <w:color w:val="000000" w:themeColor="text1"/>
          <w:sz w:val="28"/>
          <w:szCs w:val="28"/>
        </w:rPr>
        <w:t xml:space="preserve"> del cargo planteado a la Corte siendo claro, desde el comienzo del proceso de constitucionalidad, el objeto del debate que </w:t>
      </w:r>
      <w:r w:rsidRPr="005D36F1">
        <w:rPr>
          <w:rFonts w:ascii="Times New Roman" w:hAnsi="Times New Roman" w:cs="Times New Roman"/>
          <w:color w:val="000000" w:themeColor="text1"/>
          <w:sz w:val="28"/>
          <w:szCs w:val="28"/>
        </w:rPr>
        <w:t>este tribunal debía resolver</w:t>
      </w:r>
      <w:r w:rsidRPr="005D36F1">
        <w:rPr>
          <w:rFonts w:ascii="Times New Roman" w:hAnsi="Times New Roman" w:cs="Times New Roman"/>
          <w:color w:val="000000" w:themeColor="text1"/>
          <w:sz w:val="28"/>
          <w:szCs w:val="28"/>
        </w:rPr>
        <w:t xml:space="preserve">. </w:t>
      </w:r>
      <w:r w:rsidRPr="005D36F1">
        <w:rPr>
          <w:rFonts w:ascii="Times New Roman" w:hAnsi="Times New Roman" w:cs="Times New Roman"/>
          <w:color w:val="000000" w:themeColor="text1"/>
          <w:sz w:val="28"/>
          <w:szCs w:val="28"/>
        </w:rPr>
        <w:t>A m</w:t>
      </w:r>
      <w:r w:rsidRPr="005D36F1">
        <w:rPr>
          <w:rFonts w:ascii="Times New Roman" w:hAnsi="Times New Roman" w:cs="Times New Roman"/>
          <w:color w:val="000000" w:themeColor="text1"/>
          <w:sz w:val="28"/>
          <w:szCs w:val="28"/>
        </w:rPr>
        <w:t>i juicio</w:t>
      </w:r>
      <w:r w:rsidRPr="005D36F1">
        <w:rPr>
          <w:rFonts w:ascii="Times New Roman" w:hAnsi="Times New Roman" w:cs="Times New Roman"/>
          <w:color w:val="000000" w:themeColor="text1"/>
          <w:sz w:val="28"/>
          <w:szCs w:val="28"/>
        </w:rPr>
        <w:t>,</w:t>
      </w:r>
      <w:r w:rsidRPr="005D36F1">
        <w:rPr>
          <w:rFonts w:ascii="Times New Roman" w:hAnsi="Times New Roman" w:cs="Times New Roman"/>
          <w:color w:val="000000" w:themeColor="text1"/>
          <w:sz w:val="28"/>
          <w:szCs w:val="28"/>
        </w:rPr>
        <w:t xml:space="preserve"> el condicionamiento en los t</w:t>
      </w:r>
      <w:r w:rsidRPr="005D36F1">
        <w:rPr>
          <w:rFonts w:ascii="Times New Roman" w:hAnsi="Times New Roman" w:cs="Times New Roman"/>
          <w:color w:val="000000" w:themeColor="text1"/>
          <w:sz w:val="28"/>
          <w:szCs w:val="28"/>
        </w:rPr>
        <w:t>é</w:t>
      </w:r>
      <w:r w:rsidRPr="005D36F1">
        <w:rPr>
          <w:rFonts w:ascii="Times New Roman" w:hAnsi="Times New Roman" w:cs="Times New Roman"/>
          <w:color w:val="000000" w:themeColor="text1"/>
          <w:sz w:val="28"/>
          <w:szCs w:val="28"/>
        </w:rPr>
        <w:t xml:space="preserve">rminos </w:t>
      </w:r>
      <w:r w:rsidRPr="005D36F1">
        <w:rPr>
          <w:rFonts w:ascii="Times New Roman" w:hAnsi="Times New Roman" w:cs="Times New Roman"/>
          <w:color w:val="000000" w:themeColor="text1"/>
          <w:sz w:val="28"/>
          <w:szCs w:val="28"/>
        </w:rPr>
        <w:t>señalados</w:t>
      </w:r>
      <w:r w:rsidRPr="005D36F1">
        <w:rPr>
          <w:rFonts w:ascii="Times New Roman" w:hAnsi="Times New Roman" w:cs="Times New Roman"/>
          <w:color w:val="000000" w:themeColor="text1"/>
          <w:sz w:val="28"/>
          <w:szCs w:val="28"/>
        </w:rPr>
        <w:t xml:space="preserve"> en la Sentencia C-096 de 2024</w:t>
      </w:r>
      <w:r w:rsidRPr="005D36F1">
        <w:rPr>
          <w:rFonts w:ascii="Times New Roman" w:hAnsi="Times New Roman" w:cs="Times New Roman"/>
          <w:color w:val="000000" w:themeColor="text1"/>
          <w:sz w:val="28"/>
          <w:szCs w:val="28"/>
        </w:rPr>
        <w:t xml:space="preserve">, </w:t>
      </w:r>
      <w:r w:rsidRPr="005D36F1">
        <w:rPr>
          <w:rFonts w:ascii="Times New Roman" w:hAnsi="Times New Roman" w:cs="Times New Roman"/>
          <w:color w:val="000000" w:themeColor="text1"/>
          <w:sz w:val="28"/>
          <w:szCs w:val="28"/>
        </w:rPr>
        <w:t xml:space="preserve">afectó el carácter participativo del juicio de constitucionalidad al no permitir a los intervinientes pronunciarse sobre la validez de los contenidos legales que </w:t>
      </w:r>
      <w:r w:rsidRPr="005D36F1">
        <w:rPr>
          <w:rFonts w:ascii="Times New Roman" w:hAnsi="Times New Roman" w:cs="Times New Roman"/>
          <w:color w:val="000000" w:themeColor="text1"/>
          <w:sz w:val="28"/>
          <w:szCs w:val="28"/>
        </w:rPr>
        <w:t xml:space="preserve">al </w:t>
      </w:r>
      <w:r w:rsidRPr="005D36F1">
        <w:rPr>
          <w:rFonts w:ascii="Times New Roman" w:hAnsi="Times New Roman" w:cs="Times New Roman"/>
          <w:color w:val="000000" w:themeColor="text1"/>
          <w:sz w:val="28"/>
          <w:szCs w:val="28"/>
        </w:rPr>
        <w:t>final terminaron</w:t>
      </w:r>
      <w:r w:rsidRPr="005D36F1">
        <w:rPr>
          <w:rFonts w:ascii="Times New Roman" w:hAnsi="Times New Roman" w:cs="Times New Roman"/>
          <w:color w:val="000000" w:themeColor="text1"/>
          <w:sz w:val="28"/>
          <w:szCs w:val="28"/>
        </w:rPr>
        <w:t xml:space="preserve"> </w:t>
      </w:r>
      <w:r w:rsidRPr="005D36F1">
        <w:rPr>
          <w:rFonts w:ascii="Times New Roman" w:hAnsi="Times New Roman" w:cs="Times New Roman"/>
          <w:color w:val="000000" w:themeColor="text1"/>
          <w:sz w:val="28"/>
          <w:szCs w:val="28"/>
        </w:rPr>
        <w:t xml:space="preserve">siendo </w:t>
      </w:r>
      <w:r w:rsidRPr="005D36F1">
        <w:rPr>
          <w:rFonts w:ascii="Times New Roman" w:hAnsi="Times New Roman" w:cs="Times New Roman"/>
          <w:color w:val="000000" w:themeColor="text1"/>
          <w:sz w:val="28"/>
          <w:szCs w:val="28"/>
        </w:rPr>
        <w:t xml:space="preserve">vinculados </w:t>
      </w:r>
      <w:r w:rsidRPr="005D36F1">
        <w:rPr>
          <w:rFonts w:ascii="Times New Roman" w:hAnsi="Times New Roman" w:cs="Times New Roman"/>
          <w:color w:val="000000" w:themeColor="text1"/>
          <w:sz w:val="28"/>
          <w:szCs w:val="28"/>
        </w:rPr>
        <w:t>en</w:t>
      </w:r>
      <w:r w:rsidRPr="005D36F1">
        <w:rPr>
          <w:rFonts w:ascii="Times New Roman" w:hAnsi="Times New Roman" w:cs="Times New Roman"/>
          <w:color w:val="000000" w:themeColor="text1"/>
          <w:sz w:val="28"/>
          <w:szCs w:val="28"/>
        </w:rPr>
        <w:t xml:space="preserve"> la decisión, al tiempo que, pudo implicar un control oficioso sobre esas disposiciones </w:t>
      </w:r>
      <w:r w:rsidRPr="005D36F1">
        <w:rPr>
          <w:rFonts w:ascii="Times New Roman" w:hAnsi="Times New Roman" w:cs="Times New Roman"/>
          <w:color w:val="000000" w:themeColor="text1"/>
          <w:sz w:val="28"/>
          <w:szCs w:val="28"/>
        </w:rPr>
        <w:t>legales</w:t>
      </w:r>
      <w:r w:rsidRPr="005D36F1">
        <w:rPr>
          <w:rFonts w:ascii="Times New Roman" w:hAnsi="Times New Roman" w:cs="Times New Roman"/>
          <w:color w:val="000000" w:themeColor="text1"/>
          <w:sz w:val="28"/>
          <w:szCs w:val="28"/>
        </w:rPr>
        <w:t>,</w:t>
      </w:r>
      <w:r w:rsidRPr="005D36F1">
        <w:rPr>
          <w:rFonts w:ascii="Times New Roman" w:hAnsi="Times New Roman" w:cs="Times New Roman"/>
          <w:color w:val="000000" w:themeColor="text1"/>
          <w:sz w:val="28"/>
          <w:szCs w:val="28"/>
        </w:rPr>
        <w:t xml:space="preserve"> no contenidas en la demanda </w:t>
      </w:r>
      <w:r w:rsidRPr="005D36F1">
        <w:rPr>
          <w:rFonts w:ascii="Times New Roman" w:hAnsi="Times New Roman" w:cs="Times New Roman"/>
          <w:color w:val="000000" w:themeColor="text1"/>
          <w:sz w:val="28"/>
          <w:szCs w:val="28"/>
        </w:rPr>
        <w:t>y menos aun</w:t>
      </w:r>
      <w:r w:rsidRPr="005D36F1">
        <w:rPr>
          <w:rFonts w:ascii="Times New Roman" w:hAnsi="Times New Roman" w:cs="Times New Roman"/>
          <w:color w:val="000000" w:themeColor="text1"/>
          <w:sz w:val="28"/>
          <w:szCs w:val="28"/>
        </w:rPr>
        <w:t>, en</w:t>
      </w:r>
      <w:r w:rsidRPr="005D36F1">
        <w:rPr>
          <w:rFonts w:ascii="Times New Roman" w:hAnsi="Times New Roman" w:cs="Times New Roman"/>
          <w:color w:val="000000" w:themeColor="text1"/>
          <w:sz w:val="28"/>
          <w:szCs w:val="28"/>
        </w:rPr>
        <w:t xml:space="preserve"> el debate de constitucionalidad</w:t>
      </w:r>
      <w:r w:rsidRPr="005D36F1">
        <w:rPr>
          <w:rFonts w:ascii="Times New Roman" w:hAnsi="Times New Roman" w:cs="Times New Roman"/>
          <w:color w:val="000000" w:themeColor="text1"/>
          <w:sz w:val="28"/>
          <w:szCs w:val="28"/>
        </w:rPr>
        <w:t>.</w:t>
      </w:r>
      <w:r w:rsidRPr="005D36F1">
        <w:rPr>
          <w:rFonts w:ascii="Times New Roman" w:hAnsi="Times New Roman" w:cs="Times New Roman"/>
          <w:color w:val="000000" w:themeColor="text1"/>
          <w:sz w:val="28"/>
          <w:szCs w:val="28"/>
        </w:rPr>
        <w:t xml:space="preserve"> </w:t>
      </w:r>
    </w:p>
    <w:p w:rsidR="000239C4" w:rsidRPr="005D36F1" w:rsidRDefault="005D36F1" w:rsidP="000239C4">
      <w:pPr>
        <w:pStyle w:val="Prrafodelista"/>
        <w:rPr>
          <w:rFonts w:ascii="Times New Roman" w:hAnsi="Times New Roman" w:cs="Times New Roman"/>
          <w:color w:val="000000" w:themeColor="text1"/>
          <w:sz w:val="28"/>
          <w:szCs w:val="28"/>
        </w:rPr>
      </w:pPr>
    </w:p>
    <w:p w:rsidR="002A5FB6" w:rsidRPr="005D36F1" w:rsidRDefault="005D36F1" w:rsidP="009426B1">
      <w:pPr>
        <w:pStyle w:val="Prrafodelista"/>
        <w:ind w:left="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El</w:t>
      </w:r>
      <w:r w:rsidRPr="005D36F1">
        <w:rPr>
          <w:rFonts w:ascii="Times New Roman" w:hAnsi="Times New Roman" w:cs="Times New Roman"/>
          <w:color w:val="000000" w:themeColor="text1"/>
          <w:sz w:val="28"/>
          <w:szCs w:val="28"/>
        </w:rPr>
        <w:t xml:space="preserve"> control </w:t>
      </w:r>
      <w:r w:rsidRPr="005D36F1">
        <w:rPr>
          <w:rFonts w:ascii="Times New Roman" w:hAnsi="Times New Roman" w:cs="Times New Roman"/>
          <w:color w:val="000000" w:themeColor="text1"/>
          <w:sz w:val="28"/>
          <w:szCs w:val="28"/>
        </w:rPr>
        <w:t>abstracto de constitucionalidad</w:t>
      </w:r>
      <w:r w:rsidRPr="005D36F1">
        <w:rPr>
          <w:rFonts w:ascii="Times New Roman" w:hAnsi="Times New Roman" w:cs="Times New Roman"/>
          <w:color w:val="000000" w:themeColor="text1"/>
          <w:sz w:val="28"/>
          <w:szCs w:val="28"/>
        </w:rPr>
        <w:t xml:space="preserve"> </w:t>
      </w:r>
      <w:r w:rsidRPr="005D36F1">
        <w:rPr>
          <w:rFonts w:ascii="Times New Roman" w:hAnsi="Times New Roman" w:cs="Times New Roman"/>
          <w:color w:val="000000" w:themeColor="text1"/>
          <w:sz w:val="28"/>
          <w:szCs w:val="28"/>
        </w:rPr>
        <w:t xml:space="preserve">es </w:t>
      </w:r>
      <w:r w:rsidRPr="005D36F1">
        <w:rPr>
          <w:rFonts w:ascii="Times New Roman" w:hAnsi="Times New Roman" w:cs="Times New Roman"/>
          <w:color w:val="000000" w:themeColor="text1"/>
          <w:sz w:val="28"/>
          <w:szCs w:val="28"/>
        </w:rPr>
        <w:t xml:space="preserve">un juicio de compatibilidad entre Constitución y ley. </w:t>
      </w:r>
      <w:r w:rsidRPr="005D36F1">
        <w:rPr>
          <w:rFonts w:ascii="Times New Roman" w:hAnsi="Times New Roman" w:cs="Times New Roman"/>
          <w:color w:val="000000" w:themeColor="text1"/>
          <w:sz w:val="28"/>
          <w:szCs w:val="28"/>
        </w:rPr>
        <w:t>Por lo que</w:t>
      </w:r>
      <w:r w:rsidRPr="005D36F1">
        <w:rPr>
          <w:rFonts w:ascii="Times New Roman" w:hAnsi="Times New Roman" w:cs="Times New Roman"/>
          <w:color w:val="000000" w:themeColor="text1"/>
          <w:sz w:val="28"/>
          <w:szCs w:val="28"/>
        </w:rPr>
        <w:t>, en algunos casos, l</w:t>
      </w:r>
      <w:r w:rsidRPr="005D36F1">
        <w:rPr>
          <w:rFonts w:ascii="Times New Roman" w:hAnsi="Times New Roman" w:cs="Times New Roman"/>
          <w:color w:val="000000" w:themeColor="text1"/>
          <w:sz w:val="28"/>
          <w:szCs w:val="28"/>
        </w:rPr>
        <w:t xml:space="preserve">a </w:t>
      </w:r>
      <w:r w:rsidRPr="005D36F1">
        <w:rPr>
          <w:rFonts w:ascii="Times New Roman" w:hAnsi="Times New Roman" w:cs="Times New Roman"/>
          <w:color w:val="000000" w:themeColor="text1"/>
          <w:sz w:val="28"/>
          <w:szCs w:val="28"/>
        </w:rPr>
        <w:t xml:space="preserve">Corte está </w:t>
      </w:r>
      <w:r w:rsidRPr="005D36F1">
        <w:rPr>
          <w:rFonts w:ascii="Times New Roman" w:hAnsi="Times New Roman" w:cs="Times New Roman"/>
          <w:color w:val="000000" w:themeColor="text1"/>
          <w:sz w:val="28"/>
          <w:szCs w:val="28"/>
        </w:rPr>
        <w:t>llamada a expulsa</w:t>
      </w:r>
      <w:r w:rsidRPr="005D36F1">
        <w:rPr>
          <w:rFonts w:ascii="Times New Roman" w:hAnsi="Times New Roman" w:cs="Times New Roman"/>
          <w:color w:val="000000" w:themeColor="text1"/>
          <w:sz w:val="28"/>
          <w:szCs w:val="28"/>
        </w:rPr>
        <w:t>r</w:t>
      </w:r>
      <w:r w:rsidRPr="005D36F1">
        <w:rPr>
          <w:rFonts w:ascii="Times New Roman" w:hAnsi="Times New Roman" w:cs="Times New Roman"/>
          <w:color w:val="000000" w:themeColor="text1"/>
          <w:sz w:val="28"/>
          <w:szCs w:val="28"/>
        </w:rPr>
        <w:t xml:space="preserve"> </w:t>
      </w:r>
      <w:r w:rsidRPr="005D36F1">
        <w:rPr>
          <w:rFonts w:ascii="Times New Roman" w:hAnsi="Times New Roman" w:cs="Times New Roman"/>
          <w:color w:val="000000" w:themeColor="text1"/>
          <w:sz w:val="28"/>
          <w:szCs w:val="28"/>
        </w:rPr>
        <w:t>del ordenamiento una regla incompatibl</w:t>
      </w:r>
      <w:r w:rsidRPr="005D36F1">
        <w:rPr>
          <w:rFonts w:ascii="Times New Roman" w:hAnsi="Times New Roman" w:cs="Times New Roman"/>
          <w:color w:val="000000" w:themeColor="text1"/>
          <w:sz w:val="28"/>
          <w:szCs w:val="28"/>
        </w:rPr>
        <w:t xml:space="preserve">e con el Texto Superior. </w:t>
      </w:r>
      <w:r w:rsidRPr="005D36F1">
        <w:rPr>
          <w:rFonts w:ascii="Times New Roman" w:hAnsi="Times New Roman" w:cs="Times New Roman"/>
          <w:color w:val="000000" w:themeColor="text1"/>
          <w:sz w:val="28"/>
          <w:szCs w:val="28"/>
        </w:rPr>
        <w:t xml:space="preserve">Desde esta óptica, el condicionamiento es un </w:t>
      </w:r>
      <w:r w:rsidRPr="005D36F1">
        <w:rPr>
          <w:rFonts w:ascii="Times New Roman" w:hAnsi="Times New Roman" w:cs="Times New Roman"/>
          <w:i/>
          <w:iCs/>
          <w:color w:val="000000" w:themeColor="text1"/>
          <w:sz w:val="28"/>
          <w:szCs w:val="28"/>
        </w:rPr>
        <w:t>remedio excepcional</w:t>
      </w:r>
      <w:r w:rsidRPr="005D36F1">
        <w:rPr>
          <w:rFonts w:ascii="Times New Roman" w:hAnsi="Times New Roman" w:cs="Times New Roman"/>
          <w:color w:val="000000" w:themeColor="text1"/>
          <w:sz w:val="28"/>
          <w:szCs w:val="28"/>
        </w:rPr>
        <w:t xml:space="preserve"> y</w:t>
      </w:r>
      <w:r w:rsidRPr="005D36F1">
        <w:rPr>
          <w:rFonts w:ascii="Times New Roman" w:hAnsi="Times New Roman" w:cs="Times New Roman"/>
          <w:color w:val="000000" w:themeColor="text1"/>
          <w:sz w:val="28"/>
          <w:szCs w:val="28"/>
        </w:rPr>
        <w:t xml:space="preserve"> se jus</w:t>
      </w:r>
      <w:r w:rsidRPr="005D36F1">
        <w:rPr>
          <w:rFonts w:ascii="Times New Roman" w:hAnsi="Times New Roman" w:cs="Times New Roman"/>
          <w:color w:val="000000" w:themeColor="text1"/>
          <w:sz w:val="28"/>
          <w:szCs w:val="28"/>
        </w:rPr>
        <w:t xml:space="preserve">tifica cuando (a) la disposición admite más de una interpretación razonable, (b) una de esas interpretaciones es inconstitucional, y (c) otra es plausible y constitucional, de modo </w:t>
      </w:r>
      <w:r w:rsidRPr="005D36F1">
        <w:rPr>
          <w:rFonts w:ascii="Times New Roman" w:hAnsi="Times New Roman" w:cs="Times New Roman"/>
          <w:color w:val="000000" w:themeColor="text1"/>
          <w:sz w:val="28"/>
          <w:szCs w:val="28"/>
        </w:rPr>
        <w:t>que el tribunal constitucional</w:t>
      </w:r>
      <w:r w:rsidRPr="005D36F1">
        <w:rPr>
          <w:rFonts w:ascii="Times New Roman" w:hAnsi="Times New Roman" w:cs="Times New Roman"/>
          <w:color w:val="000000" w:themeColor="text1"/>
          <w:sz w:val="28"/>
          <w:szCs w:val="28"/>
        </w:rPr>
        <w:t xml:space="preserve"> preserva la norma bajo </w:t>
      </w:r>
      <w:r w:rsidRPr="005D36F1">
        <w:rPr>
          <w:rFonts w:ascii="Times New Roman" w:hAnsi="Times New Roman" w:cs="Times New Roman"/>
          <w:color w:val="000000" w:themeColor="text1"/>
          <w:sz w:val="28"/>
          <w:szCs w:val="28"/>
        </w:rPr>
        <w:t>una</w:t>
      </w:r>
      <w:r w:rsidRPr="005D36F1">
        <w:rPr>
          <w:rFonts w:ascii="Times New Roman" w:hAnsi="Times New Roman" w:cs="Times New Roman"/>
          <w:color w:val="000000" w:themeColor="text1"/>
          <w:sz w:val="28"/>
          <w:szCs w:val="28"/>
        </w:rPr>
        <w:t xml:space="preserve"> lectura conforme.</w:t>
      </w:r>
      <w:r w:rsidRPr="005D36F1">
        <w:rPr>
          <w:rFonts w:ascii="Times New Roman" w:hAnsi="Times New Roman" w:cs="Times New Roman"/>
          <w:color w:val="000000" w:themeColor="text1"/>
          <w:sz w:val="28"/>
          <w:szCs w:val="28"/>
        </w:rPr>
        <w:t xml:space="preserve"> </w:t>
      </w:r>
      <w:r w:rsidRPr="005D36F1">
        <w:rPr>
          <w:rFonts w:ascii="Times New Roman" w:hAnsi="Times New Roman" w:cs="Times New Roman"/>
          <w:color w:val="000000" w:themeColor="text1"/>
          <w:sz w:val="28"/>
          <w:szCs w:val="28"/>
        </w:rPr>
        <w:t>En este sentido,</w:t>
      </w:r>
      <w:r w:rsidRPr="005D36F1">
        <w:rPr>
          <w:rFonts w:ascii="Times New Roman" w:hAnsi="Times New Roman" w:cs="Times New Roman"/>
          <w:color w:val="000000" w:themeColor="text1"/>
          <w:sz w:val="28"/>
          <w:szCs w:val="28"/>
        </w:rPr>
        <w:t xml:space="preserve"> l</w:t>
      </w:r>
      <w:r w:rsidRPr="005D36F1">
        <w:rPr>
          <w:rFonts w:ascii="Times New Roman" w:hAnsi="Times New Roman" w:cs="Times New Roman"/>
          <w:color w:val="000000" w:themeColor="text1"/>
          <w:sz w:val="28"/>
          <w:szCs w:val="28"/>
        </w:rPr>
        <w:t xml:space="preserve">o problemático </w:t>
      </w:r>
      <w:r w:rsidRPr="005D36F1">
        <w:rPr>
          <w:rFonts w:ascii="Times New Roman" w:hAnsi="Times New Roman" w:cs="Times New Roman"/>
          <w:color w:val="000000" w:themeColor="text1"/>
          <w:sz w:val="28"/>
          <w:szCs w:val="28"/>
        </w:rPr>
        <w:t>resulta ser</w:t>
      </w:r>
      <w:r w:rsidRPr="005D36F1">
        <w:rPr>
          <w:rFonts w:ascii="Times New Roman" w:hAnsi="Times New Roman" w:cs="Times New Roman"/>
          <w:color w:val="000000" w:themeColor="text1"/>
          <w:sz w:val="28"/>
          <w:szCs w:val="28"/>
        </w:rPr>
        <w:t xml:space="preserve"> cuando el condicionamiento deja de ser una operación hermenéutica</w:t>
      </w:r>
      <w:r w:rsidRPr="005D36F1">
        <w:rPr>
          <w:rFonts w:ascii="Times New Roman" w:hAnsi="Times New Roman" w:cs="Times New Roman"/>
          <w:color w:val="000000" w:themeColor="text1"/>
          <w:sz w:val="28"/>
          <w:szCs w:val="28"/>
        </w:rPr>
        <w:t xml:space="preserve"> constitucional</w:t>
      </w:r>
      <w:r w:rsidRPr="005D36F1">
        <w:rPr>
          <w:rFonts w:ascii="Times New Roman" w:hAnsi="Times New Roman" w:cs="Times New Roman"/>
          <w:color w:val="000000" w:themeColor="text1"/>
          <w:sz w:val="28"/>
          <w:szCs w:val="28"/>
        </w:rPr>
        <w:t xml:space="preserve"> sobre la norma controlada y se convierte en una </w:t>
      </w:r>
      <w:r w:rsidRPr="005D36F1">
        <w:rPr>
          <w:rFonts w:ascii="Times New Roman" w:hAnsi="Times New Roman" w:cs="Times New Roman"/>
          <w:color w:val="000000" w:themeColor="text1"/>
          <w:sz w:val="28"/>
          <w:szCs w:val="28"/>
        </w:rPr>
        <w:t>operación de ingeniería normativa</w:t>
      </w:r>
      <w:r w:rsidRPr="005D36F1">
        <w:rPr>
          <w:rFonts w:ascii="Times New Roman" w:hAnsi="Times New Roman" w:cs="Times New Roman"/>
          <w:color w:val="000000" w:themeColor="text1"/>
          <w:sz w:val="28"/>
          <w:szCs w:val="28"/>
        </w:rPr>
        <w:t>, de forma que</w:t>
      </w:r>
      <w:r w:rsidRPr="005D36F1">
        <w:rPr>
          <w:rFonts w:ascii="Times New Roman" w:hAnsi="Times New Roman" w:cs="Times New Roman"/>
          <w:color w:val="000000" w:themeColor="text1"/>
          <w:sz w:val="28"/>
          <w:szCs w:val="28"/>
        </w:rPr>
        <w:t xml:space="preserve"> el juez ya no selecciona una inte</w:t>
      </w:r>
      <w:r w:rsidRPr="005D36F1">
        <w:rPr>
          <w:rFonts w:ascii="Times New Roman" w:hAnsi="Times New Roman" w:cs="Times New Roman"/>
          <w:color w:val="000000" w:themeColor="text1"/>
          <w:sz w:val="28"/>
          <w:szCs w:val="28"/>
        </w:rPr>
        <w:t>rpretación posible del texto acusado, sino que incorpora elementos normativos externos, reordena consecuencias y</w:t>
      </w:r>
      <w:r w:rsidRPr="005D36F1">
        <w:rPr>
          <w:rFonts w:ascii="Times New Roman" w:hAnsi="Times New Roman" w:cs="Times New Roman"/>
          <w:color w:val="000000" w:themeColor="text1"/>
          <w:sz w:val="28"/>
          <w:szCs w:val="28"/>
        </w:rPr>
        <w:t xml:space="preserve"> </w:t>
      </w:r>
      <w:r w:rsidRPr="005D36F1">
        <w:rPr>
          <w:rFonts w:ascii="Times New Roman" w:hAnsi="Times New Roman" w:cs="Times New Roman"/>
          <w:color w:val="000000" w:themeColor="text1"/>
          <w:sz w:val="28"/>
          <w:szCs w:val="28"/>
        </w:rPr>
        <w:t>produce una regla nueva.</w:t>
      </w:r>
    </w:p>
    <w:p w:rsidR="002A5FB6" w:rsidRPr="005D36F1" w:rsidRDefault="005D36F1" w:rsidP="002A5FB6">
      <w:pPr>
        <w:pStyle w:val="Prrafodelista"/>
        <w:rPr>
          <w:rFonts w:ascii="Times New Roman" w:hAnsi="Times New Roman" w:cs="Times New Roman"/>
          <w:color w:val="000000" w:themeColor="text1"/>
          <w:sz w:val="28"/>
          <w:szCs w:val="28"/>
        </w:rPr>
      </w:pPr>
    </w:p>
    <w:p w:rsidR="001C0F58" w:rsidRPr="005D36F1" w:rsidRDefault="005D36F1" w:rsidP="009426B1">
      <w:pPr>
        <w:pStyle w:val="Prrafodelista"/>
        <w:ind w:left="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 xml:space="preserve">El </w:t>
      </w:r>
      <w:r w:rsidRPr="005D36F1">
        <w:rPr>
          <w:rFonts w:ascii="Times New Roman" w:hAnsi="Times New Roman" w:cs="Times New Roman"/>
          <w:color w:val="000000" w:themeColor="text1"/>
          <w:sz w:val="28"/>
          <w:szCs w:val="28"/>
        </w:rPr>
        <w:t>condicionamiento</w:t>
      </w:r>
      <w:r w:rsidRPr="005D36F1">
        <w:rPr>
          <w:rFonts w:ascii="Times New Roman" w:hAnsi="Times New Roman" w:cs="Times New Roman"/>
          <w:color w:val="000000" w:themeColor="text1"/>
          <w:sz w:val="28"/>
          <w:szCs w:val="28"/>
        </w:rPr>
        <w:t xml:space="preserve"> </w:t>
      </w:r>
      <w:r w:rsidRPr="005D36F1">
        <w:rPr>
          <w:rFonts w:ascii="Times New Roman" w:hAnsi="Times New Roman" w:cs="Times New Roman"/>
          <w:color w:val="000000" w:themeColor="text1"/>
          <w:sz w:val="28"/>
          <w:szCs w:val="28"/>
        </w:rPr>
        <w:t>señalado en esta sentencia</w:t>
      </w:r>
      <w:r w:rsidRPr="005D36F1">
        <w:rPr>
          <w:rFonts w:ascii="Times New Roman" w:hAnsi="Times New Roman" w:cs="Times New Roman"/>
          <w:color w:val="000000" w:themeColor="text1"/>
          <w:sz w:val="28"/>
          <w:szCs w:val="28"/>
        </w:rPr>
        <w:t xml:space="preserve">, más allá de desprenderse de una lectura constitucional de la causal </w:t>
      </w:r>
      <w:r w:rsidRPr="005D36F1">
        <w:rPr>
          <w:rFonts w:ascii="Times New Roman" w:hAnsi="Times New Roman" w:cs="Times New Roman"/>
          <w:color w:val="000000" w:themeColor="text1"/>
          <w:sz w:val="28"/>
          <w:szCs w:val="28"/>
        </w:rPr>
        <w:t>demanda</w:t>
      </w:r>
      <w:r w:rsidRPr="005D36F1">
        <w:rPr>
          <w:rFonts w:ascii="Times New Roman" w:hAnsi="Times New Roman" w:cs="Times New Roman"/>
          <w:color w:val="000000" w:themeColor="text1"/>
          <w:sz w:val="28"/>
          <w:szCs w:val="28"/>
        </w:rPr>
        <w:t>da</w:t>
      </w:r>
      <w:r w:rsidRPr="005D36F1">
        <w:rPr>
          <w:rFonts w:ascii="Times New Roman" w:hAnsi="Times New Roman" w:cs="Times New Roman"/>
          <w:color w:val="000000" w:themeColor="text1"/>
          <w:sz w:val="28"/>
          <w:szCs w:val="28"/>
        </w:rPr>
        <w:t xml:space="preserve">, </w:t>
      </w:r>
      <w:r w:rsidRPr="005D36F1">
        <w:rPr>
          <w:rFonts w:ascii="Times New Roman" w:hAnsi="Times New Roman" w:cs="Times New Roman"/>
          <w:color w:val="000000" w:themeColor="text1"/>
          <w:sz w:val="28"/>
          <w:szCs w:val="28"/>
        </w:rPr>
        <w:t>termin</w:t>
      </w:r>
      <w:r w:rsidRPr="005D36F1">
        <w:rPr>
          <w:rFonts w:ascii="Times New Roman" w:hAnsi="Times New Roman" w:cs="Times New Roman"/>
          <w:color w:val="000000" w:themeColor="text1"/>
          <w:sz w:val="28"/>
          <w:szCs w:val="28"/>
        </w:rPr>
        <w:t>a</w:t>
      </w:r>
      <w:r w:rsidRPr="005D36F1">
        <w:rPr>
          <w:rFonts w:ascii="Times New Roman" w:hAnsi="Times New Roman" w:cs="Times New Roman"/>
          <w:color w:val="000000" w:themeColor="text1"/>
          <w:sz w:val="28"/>
          <w:szCs w:val="28"/>
        </w:rPr>
        <w:t xml:space="preserve"> proyectándose como una </w:t>
      </w:r>
      <w:r w:rsidRPr="005D36F1">
        <w:rPr>
          <w:rFonts w:ascii="Times New Roman" w:hAnsi="Times New Roman" w:cs="Times New Roman"/>
          <w:i/>
          <w:iCs/>
          <w:color w:val="000000" w:themeColor="text1"/>
          <w:sz w:val="28"/>
          <w:szCs w:val="28"/>
        </w:rPr>
        <w:t>fu</w:t>
      </w:r>
      <w:r w:rsidRPr="005D36F1">
        <w:rPr>
          <w:rFonts w:ascii="Times New Roman" w:hAnsi="Times New Roman" w:cs="Times New Roman"/>
          <w:i/>
          <w:iCs/>
          <w:color w:val="000000" w:themeColor="text1"/>
          <w:sz w:val="28"/>
          <w:szCs w:val="28"/>
        </w:rPr>
        <w:t>s</w:t>
      </w:r>
      <w:r w:rsidRPr="005D36F1">
        <w:rPr>
          <w:rFonts w:ascii="Times New Roman" w:hAnsi="Times New Roman" w:cs="Times New Roman"/>
          <w:i/>
          <w:iCs/>
          <w:color w:val="000000" w:themeColor="text1"/>
          <w:sz w:val="28"/>
          <w:szCs w:val="28"/>
        </w:rPr>
        <w:t>ión de normas de rango legal</w:t>
      </w:r>
      <w:r w:rsidRPr="005D36F1">
        <w:rPr>
          <w:rFonts w:ascii="Times New Roman" w:hAnsi="Times New Roman" w:cs="Times New Roman"/>
          <w:color w:val="000000" w:themeColor="text1"/>
          <w:sz w:val="28"/>
          <w:szCs w:val="28"/>
        </w:rPr>
        <w:t xml:space="preserve">, sin un debate adecuado en el trámite de constitucionalidad. </w:t>
      </w:r>
      <w:r w:rsidRPr="005D36F1">
        <w:rPr>
          <w:rFonts w:ascii="Times New Roman" w:hAnsi="Times New Roman" w:cs="Times New Roman"/>
          <w:color w:val="000000" w:themeColor="text1"/>
          <w:sz w:val="28"/>
          <w:szCs w:val="28"/>
        </w:rPr>
        <w:t xml:space="preserve">Así, </w:t>
      </w:r>
      <w:r w:rsidRPr="005D36F1">
        <w:rPr>
          <w:rFonts w:ascii="Times New Roman" w:hAnsi="Times New Roman" w:cs="Times New Roman"/>
          <w:color w:val="000000" w:themeColor="text1"/>
          <w:sz w:val="28"/>
          <w:szCs w:val="28"/>
        </w:rPr>
        <w:t>el remedio mayoritario excedió el alcance del control abstracto, porque el entendimiento fijado</w:t>
      </w:r>
      <w:r w:rsidRPr="005D36F1">
        <w:rPr>
          <w:rFonts w:ascii="Times New Roman" w:hAnsi="Times New Roman" w:cs="Times New Roman"/>
          <w:color w:val="000000" w:themeColor="text1"/>
          <w:sz w:val="28"/>
          <w:szCs w:val="28"/>
        </w:rPr>
        <w:t xml:space="preserve"> </w:t>
      </w:r>
      <w:r w:rsidRPr="005D36F1">
        <w:rPr>
          <w:rFonts w:ascii="Times New Roman" w:hAnsi="Times New Roman" w:cs="Times New Roman"/>
          <w:color w:val="000000" w:themeColor="text1"/>
          <w:sz w:val="28"/>
          <w:szCs w:val="28"/>
        </w:rPr>
        <w:t>(e</w:t>
      </w:r>
      <w:r w:rsidRPr="005D36F1">
        <w:rPr>
          <w:rFonts w:ascii="Times New Roman" w:hAnsi="Times New Roman" w:cs="Times New Roman"/>
          <w:color w:val="000000" w:themeColor="text1"/>
          <w:sz w:val="28"/>
          <w:szCs w:val="28"/>
        </w:rPr>
        <w:t>n el sentido de ex</w:t>
      </w:r>
      <w:r w:rsidRPr="005D36F1">
        <w:rPr>
          <w:rFonts w:ascii="Times New Roman" w:hAnsi="Times New Roman" w:cs="Times New Roman"/>
          <w:color w:val="000000" w:themeColor="text1"/>
          <w:sz w:val="28"/>
          <w:szCs w:val="28"/>
        </w:rPr>
        <w:t>cluir, en todos los casos, (i) el pago de alimentos del numeral 4 del artículo 411 del Código Civil y (ii) la revocación de donaciones por causa de matrimonio prevista en el artículo 162 del mismo estatuto</w:t>
      </w:r>
      <w:r w:rsidRPr="005D36F1">
        <w:rPr>
          <w:rFonts w:ascii="Times New Roman" w:hAnsi="Times New Roman" w:cs="Times New Roman"/>
          <w:color w:val="000000" w:themeColor="text1"/>
          <w:sz w:val="28"/>
          <w:szCs w:val="28"/>
        </w:rPr>
        <w:t>),</w:t>
      </w:r>
      <w:r w:rsidRPr="005D36F1">
        <w:rPr>
          <w:rFonts w:ascii="Times New Roman" w:hAnsi="Times New Roman" w:cs="Times New Roman"/>
          <w:color w:val="000000" w:themeColor="text1"/>
          <w:sz w:val="28"/>
          <w:szCs w:val="28"/>
        </w:rPr>
        <w:t xml:space="preserve"> no </w:t>
      </w:r>
      <w:r w:rsidRPr="005D36F1">
        <w:rPr>
          <w:rFonts w:ascii="Times New Roman" w:hAnsi="Times New Roman" w:cs="Times New Roman"/>
          <w:color w:val="000000" w:themeColor="text1"/>
          <w:sz w:val="28"/>
          <w:szCs w:val="28"/>
        </w:rPr>
        <w:t xml:space="preserve">necesariamente </w:t>
      </w:r>
      <w:r w:rsidRPr="005D36F1">
        <w:rPr>
          <w:rFonts w:ascii="Times New Roman" w:hAnsi="Times New Roman" w:cs="Times New Roman"/>
          <w:color w:val="000000" w:themeColor="text1"/>
          <w:sz w:val="28"/>
          <w:szCs w:val="28"/>
        </w:rPr>
        <w:t xml:space="preserve">se muestra </w:t>
      </w:r>
      <w:r w:rsidRPr="005D36F1">
        <w:rPr>
          <w:rFonts w:ascii="Times New Roman" w:hAnsi="Times New Roman" w:cs="Times New Roman"/>
          <w:color w:val="000000" w:themeColor="text1"/>
          <w:sz w:val="28"/>
          <w:szCs w:val="28"/>
        </w:rPr>
        <w:t xml:space="preserve">como un significado plausible o intrínseco de la </w:t>
      </w:r>
      <w:r w:rsidRPr="005D36F1">
        <w:rPr>
          <w:rFonts w:ascii="Times New Roman" w:hAnsi="Times New Roman" w:cs="Times New Roman"/>
          <w:i/>
          <w:iCs/>
          <w:color w:val="000000" w:themeColor="text1"/>
          <w:sz w:val="28"/>
          <w:szCs w:val="28"/>
        </w:rPr>
        <w:t>causal de divorcio</w:t>
      </w:r>
      <w:r w:rsidRPr="005D36F1">
        <w:rPr>
          <w:rFonts w:ascii="Times New Roman" w:hAnsi="Times New Roman" w:cs="Times New Roman"/>
          <w:color w:val="000000" w:themeColor="text1"/>
          <w:sz w:val="28"/>
          <w:szCs w:val="28"/>
        </w:rPr>
        <w:t xml:space="preserve"> sometida a </w:t>
      </w:r>
      <w:r w:rsidRPr="005D36F1">
        <w:rPr>
          <w:rFonts w:ascii="Times New Roman" w:hAnsi="Times New Roman" w:cs="Times New Roman"/>
          <w:color w:val="000000" w:themeColor="text1"/>
          <w:sz w:val="28"/>
          <w:szCs w:val="28"/>
        </w:rPr>
        <w:t>debate</w:t>
      </w:r>
      <w:r w:rsidRPr="005D36F1">
        <w:rPr>
          <w:rFonts w:ascii="Times New Roman" w:hAnsi="Times New Roman" w:cs="Times New Roman"/>
          <w:color w:val="000000" w:themeColor="text1"/>
          <w:sz w:val="28"/>
          <w:szCs w:val="28"/>
        </w:rPr>
        <w:t xml:space="preserve">. </w:t>
      </w:r>
      <w:r w:rsidRPr="005D36F1">
        <w:rPr>
          <w:rFonts w:ascii="Times New Roman" w:hAnsi="Times New Roman" w:cs="Times New Roman"/>
          <w:color w:val="000000" w:themeColor="text1"/>
          <w:sz w:val="28"/>
          <w:szCs w:val="28"/>
        </w:rPr>
        <w:t>Así,</w:t>
      </w:r>
      <w:r w:rsidRPr="005D36F1">
        <w:rPr>
          <w:rFonts w:ascii="Times New Roman" w:hAnsi="Times New Roman" w:cs="Times New Roman"/>
          <w:color w:val="000000" w:themeColor="text1"/>
          <w:sz w:val="28"/>
          <w:szCs w:val="28"/>
        </w:rPr>
        <w:t xml:space="preserve"> el</w:t>
      </w:r>
      <w:r w:rsidRPr="005D36F1">
        <w:rPr>
          <w:rFonts w:ascii="Times New Roman" w:hAnsi="Times New Roman" w:cs="Times New Roman"/>
          <w:color w:val="000000" w:themeColor="text1"/>
          <w:sz w:val="28"/>
          <w:szCs w:val="28"/>
        </w:rPr>
        <w:t xml:space="preserve"> condicionamiento </w:t>
      </w:r>
      <w:r w:rsidRPr="005D36F1">
        <w:rPr>
          <w:rFonts w:ascii="Times New Roman" w:hAnsi="Times New Roman" w:cs="Times New Roman"/>
          <w:color w:val="000000" w:themeColor="text1"/>
          <w:sz w:val="28"/>
          <w:szCs w:val="28"/>
        </w:rPr>
        <w:t>reordenó</w:t>
      </w:r>
      <w:r w:rsidRPr="005D36F1">
        <w:rPr>
          <w:rFonts w:ascii="Times New Roman" w:hAnsi="Times New Roman" w:cs="Times New Roman"/>
          <w:color w:val="000000" w:themeColor="text1"/>
          <w:sz w:val="28"/>
          <w:szCs w:val="28"/>
        </w:rPr>
        <w:t>,</w:t>
      </w:r>
      <w:r w:rsidRPr="005D36F1">
        <w:rPr>
          <w:rFonts w:ascii="Times New Roman" w:hAnsi="Times New Roman" w:cs="Times New Roman"/>
          <w:color w:val="000000" w:themeColor="text1"/>
          <w:sz w:val="28"/>
          <w:szCs w:val="28"/>
        </w:rPr>
        <w:t xml:space="preserve"> </w:t>
      </w:r>
      <w:r w:rsidRPr="005D36F1">
        <w:rPr>
          <w:rFonts w:ascii="Times New Roman" w:hAnsi="Times New Roman" w:cs="Times New Roman"/>
          <w:color w:val="000000" w:themeColor="text1"/>
          <w:sz w:val="28"/>
          <w:szCs w:val="28"/>
        </w:rPr>
        <w:t xml:space="preserve">más allá de lo que le corresponde a la Corte, </w:t>
      </w:r>
      <w:r w:rsidRPr="005D36F1">
        <w:rPr>
          <w:rFonts w:ascii="Times New Roman" w:hAnsi="Times New Roman" w:cs="Times New Roman"/>
          <w:color w:val="000000" w:themeColor="text1"/>
          <w:sz w:val="28"/>
          <w:szCs w:val="28"/>
        </w:rPr>
        <w:t>el derecho legal</w:t>
      </w:r>
      <w:r w:rsidRPr="005D36F1">
        <w:rPr>
          <w:rFonts w:ascii="Times New Roman" w:hAnsi="Times New Roman" w:cs="Times New Roman"/>
          <w:color w:val="000000" w:themeColor="text1"/>
          <w:sz w:val="28"/>
          <w:szCs w:val="28"/>
        </w:rPr>
        <w:t>.</w:t>
      </w:r>
    </w:p>
    <w:p w:rsidR="00672AA9" w:rsidRPr="005D36F1" w:rsidRDefault="005D36F1" w:rsidP="0038537C">
      <w:pPr>
        <w:rPr>
          <w:rFonts w:ascii="Times New Roman" w:hAnsi="Times New Roman" w:cs="Times New Roman"/>
          <w:color w:val="000000" w:themeColor="text1"/>
          <w:sz w:val="28"/>
          <w:szCs w:val="28"/>
        </w:rPr>
      </w:pPr>
    </w:p>
    <w:p w:rsidR="00446611" w:rsidRPr="005D36F1" w:rsidRDefault="005D36F1" w:rsidP="009426B1">
      <w:pPr>
        <w:pStyle w:val="Prrafodelista"/>
        <w:ind w:left="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En</w:t>
      </w:r>
      <w:r w:rsidRPr="005D36F1">
        <w:rPr>
          <w:rFonts w:ascii="Times New Roman" w:hAnsi="Times New Roman" w:cs="Times New Roman"/>
          <w:color w:val="000000" w:themeColor="text1"/>
          <w:sz w:val="28"/>
          <w:szCs w:val="28"/>
        </w:rPr>
        <w:t xml:space="preserve"> esta misma línea y en</w:t>
      </w:r>
      <w:r w:rsidRPr="005D36F1">
        <w:rPr>
          <w:rFonts w:ascii="Times New Roman" w:hAnsi="Times New Roman" w:cs="Times New Roman"/>
          <w:color w:val="000000" w:themeColor="text1"/>
          <w:sz w:val="28"/>
          <w:szCs w:val="28"/>
        </w:rPr>
        <w:t xml:space="preserve"> segundo lugar, </w:t>
      </w:r>
      <w:r w:rsidRPr="005D36F1">
        <w:rPr>
          <w:rFonts w:ascii="Times New Roman" w:hAnsi="Times New Roman" w:cs="Times New Roman"/>
          <w:color w:val="000000" w:themeColor="text1"/>
          <w:sz w:val="28"/>
          <w:szCs w:val="28"/>
        </w:rPr>
        <w:t>me</w:t>
      </w:r>
      <w:r w:rsidRPr="005D36F1">
        <w:rPr>
          <w:rFonts w:ascii="Times New Roman" w:hAnsi="Times New Roman" w:cs="Times New Roman"/>
          <w:color w:val="000000" w:themeColor="text1"/>
          <w:sz w:val="28"/>
          <w:szCs w:val="28"/>
        </w:rPr>
        <w:t xml:space="preserve"> aparté</w:t>
      </w:r>
      <w:r w:rsidRPr="005D36F1">
        <w:rPr>
          <w:rFonts w:ascii="Times New Roman" w:hAnsi="Times New Roman" w:cs="Times New Roman"/>
          <w:color w:val="000000" w:themeColor="text1"/>
          <w:sz w:val="28"/>
          <w:szCs w:val="28"/>
        </w:rPr>
        <w:t xml:space="preserve"> parcialmente de la Sentencia C-096 de 2024</w:t>
      </w:r>
      <w:r w:rsidRPr="005D36F1">
        <w:rPr>
          <w:rFonts w:ascii="Times New Roman" w:hAnsi="Times New Roman" w:cs="Times New Roman"/>
          <w:color w:val="000000" w:themeColor="text1"/>
          <w:sz w:val="28"/>
          <w:szCs w:val="28"/>
        </w:rPr>
        <w:t xml:space="preserve"> al advertir</w:t>
      </w:r>
      <w:r w:rsidRPr="005D36F1">
        <w:rPr>
          <w:rFonts w:ascii="Times New Roman" w:hAnsi="Times New Roman" w:cs="Times New Roman"/>
          <w:color w:val="000000" w:themeColor="text1"/>
          <w:sz w:val="28"/>
          <w:szCs w:val="28"/>
        </w:rPr>
        <w:t xml:space="preserve"> que el</w:t>
      </w:r>
      <w:r w:rsidRPr="005D36F1">
        <w:rPr>
          <w:rFonts w:ascii="Times New Roman" w:hAnsi="Times New Roman" w:cs="Times New Roman"/>
          <w:color w:val="000000" w:themeColor="text1"/>
          <w:sz w:val="28"/>
          <w:szCs w:val="28"/>
        </w:rPr>
        <w:t xml:space="preserve"> condicionamiento </w:t>
      </w:r>
      <w:r w:rsidRPr="005D36F1">
        <w:rPr>
          <w:rFonts w:ascii="Times New Roman" w:hAnsi="Times New Roman" w:cs="Times New Roman"/>
          <w:color w:val="000000" w:themeColor="text1"/>
          <w:sz w:val="28"/>
          <w:szCs w:val="28"/>
        </w:rPr>
        <w:t>objeto de mi disentimiento,</w:t>
      </w:r>
      <w:r w:rsidRPr="005D36F1">
        <w:rPr>
          <w:rFonts w:ascii="Times New Roman" w:hAnsi="Times New Roman" w:cs="Times New Roman"/>
          <w:color w:val="000000" w:themeColor="text1"/>
          <w:sz w:val="28"/>
          <w:szCs w:val="28"/>
        </w:rPr>
        <w:t xml:space="preserve"> </w:t>
      </w:r>
      <w:r w:rsidRPr="005D36F1">
        <w:rPr>
          <w:rFonts w:ascii="Times New Roman" w:hAnsi="Times New Roman" w:cs="Times New Roman"/>
          <w:color w:val="000000" w:themeColor="text1"/>
          <w:sz w:val="28"/>
          <w:szCs w:val="28"/>
        </w:rPr>
        <w:t>termina limitándo</w:t>
      </w:r>
      <w:r w:rsidRPr="005D36F1">
        <w:rPr>
          <w:rFonts w:ascii="Times New Roman" w:hAnsi="Times New Roman" w:cs="Times New Roman"/>
          <w:color w:val="000000" w:themeColor="text1"/>
          <w:sz w:val="28"/>
          <w:szCs w:val="28"/>
        </w:rPr>
        <w:t xml:space="preserve"> el</w:t>
      </w:r>
      <w:r w:rsidRPr="005D36F1">
        <w:rPr>
          <w:rFonts w:ascii="Times New Roman" w:hAnsi="Times New Roman" w:cs="Times New Roman"/>
          <w:color w:val="000000" w:themeColor="text1"/>
          <w:sz w:val="28"/>
          <w:szCs w:val="28"/>
        </w:rPr>
        <w:t xml:space="preserve"> ejercicio de las competencias constitucionales del juez de familia quien es</w:t>
      </w:r>
      <w:r w:rsidRPr="005D36F1">
        <w:rPr>
          <w:rFonts w:ascii="Times New Roman" w:hAnsi="Times New Roman" w:cs="Times New Roman"/>
          <w:color w:val="000000" w:themeColor="text1"/>
          <w:sz w:val="28"/>
          <w:szCs w:val="28"/>
        </w:rPr>
        <w:t xml:space="preserve"> y debe ser</w:t>
      </w:r>
      <w:r w:rsidRPr="005D36F1">
        <w:rPr>
          <w:rFonts w:ascii="Times New Roman" w:hAnsi="Times New Roman" w:cs="Times New Roman"/>
          <w:color w:val="000000" w:themeColor="text1"/>
          <w:sz w:val="28"/>
          <w:szCs w:val="28"/>
        </w:rPr>
        <w:t xml:space="preserve"> el llamado a definir la aplicación y los</w:t>
      </w:r>
      <w:r w:rsidRPr="005D36F1">
        <w:rPr>
          <w:rFonts w:ascii="Times New Roman" w:hAnsi="Times New Roman" w:cs="Times New Roman"/>
          <w:color w:val="000000" w:themeColor="text1"/>
          <w:sz w:val="28"/>
          <w:szCs w:val="28"/>
        </w:rPr>
        <w:t xml:space="preserve"> efectos específicos de </w:t>
      </w:r>
      <w:r w:rsidRPr="005D36F1">
        <w:rPr>
          <w:rFonts w:ascii="Times New Roman" w:hAnsi="Times New Roman" w:cs="Times New Roman"/>
          <w:color w:val="000000" w:themeColor="text1"/>
          <w:sz w:val="28"/>
          <w:szCs w:val="28"/>
        </w:rPr>
        <w:t>cada</w:t>
      </w:r>
      <w:r w:rsidRPr="005D36F1">
        <w:rPr>
          <w:rFonts w:ascii="Times New Roman" w:hAnsi="Times New Roman" w:cs="Times New Roman"/>
          <w:color w:val="000000" w:themeColor="text1"/>
          <w:sz w:val="28"/>
          <w:szCs w:val="28"/>
        </w:rPr>
        <w:t xml:space="preserve"> causal de divorcio</w:t>
      </w:r>
      <w:r w:rsidRPr="005D36F1">
        <w:rPr>
          <w:rFonts w:ascii="Times New Roman" w:hAnsi="Times New Roman" w:cs="Times New Roman"/>
          <w:color w:val="000000" w:themeColor="text1"/>
          <w:sz w:val="28"/>
          <w:szCs w:val="28"/>
        </w:rPr>
        <w:t>,</w:t>
      </w:r>
      <w:r w:rsidRPr="005D36F1">
        <w:rPr>
          <w:rFonts w:ascii="Times New Roman" w:hAnsi="Times New Roman" w:cs="Times New Roman"/>
          <w:color w:val="000000" w:themeColor="text1"/>
          <w:sz w:val="28"/>
          <w:szCs w:val="28"/>
        </w:rPr>
        <w:t xml:space="preserve"> </w:t>
      </w:r>
      <w:r w:rsidRPr="005D36F1">
        <w:rPr>
          <w:rFonts w:ascii="Times New Roman" w:hAnsi="Times New Roman" w:cs="Times New Roman"/>
          <w:color w:val="000000" w:themeColor="text1"/>
          <w:sz w:val="28"/>
          <w:szCs w:val="28"/>
        </w:rPr>
        <w:t xml:space="preserve">a la luz de </w:t>
      </w:r>
      <w:r w:rsidRPr="005D36F1">
        <w:rPr>
          <w:rFonts w:ascii="Times New Roman" w:hAnsi="Times New Roman" w:cs="Times New Roman"/>
          <w:color w:val="000000" w:themeColor="text1"/>
          <w:sz w:val="28"/>
          <w:szCs w:val="28"/>
        </w:rPr>
        <w:t>cada caso concreto</w:t>
      </w:r>
      <w:r w:rsidRPr="005D36F1">
        <w:rPr>
          <w:rFonts w:ascii="Times New Roman" w:hAnsi="Times New Roman" w:cs="Times New Roman"/>
          <w:color w:val="000000" w:themeColor="text1"/>
          <w:sz w:val="28"/>
          <w:szCs w:val="28"/>
        </w:rPr>
        <w:t>. Lo anterior,</w:t>
      </w:r>
      <w:r w:rsidRPr="005D36F1">
        <w:rPr>
          <w:rFonts w:ascii="Times New Roman" w:hAnsi="Times New Roman" w:cs="Times New Roman"/>
          <w:color w:val="000000" w:themeColor="text1"/>
          <w:sz w:val="28"/>
          <w:szCs w:val="28"/>
        </w:rPr>
        <w:t xml:space="preserve"> en el marco de las garantías propias del </w:t>
      </w:r>
      <w:r w:rsidRPr="005D36F1">
        <w:rPr>
          <w:rFonts w:ascii="Times New Roman" w:hAnsi="Times New Roman" w:cs="Times New Roman"/>
          <w:color w:val="000000" w:themeColor="text1"/>
          <w:sz w:val="28"/>
          <w:szCs w:val="28"/>
        </w:rPr>
        <w:t xml:space="preserve">derecho fundamental al </w:t>
      </w:r>
      <w:r w:rsidRPr="005D36F1">
        <w:rPr>
          <w:rFonts w:ascii="Times New Roman" w:hAnsi="Times New Roman" w:cs="Times New Roman"/>
          <w:color w:val="000000" w:themeColor="text1"/>
          <w:sz w:val="28"/>
          <w:szCs w:val="28"/>
        </w:rPr>
        <w:t>debido proceso, la obligación de velar por el bienestar pleno de los niños y niñas y la garantía e</w:t>
      </w:r>
      <w:r w:rsidRPr="005D36F1">
        <w:rPr>
          <w:rFonts w:ascii="Times New Roman" w:hAnsi="Times New Roman" w:cs="Times New Roman"/>
          <w:color w:val="000000" w:themeColor="text1"/>
          <w:sz w:val="28"/>
          <w:szCs w:val="28"/>
        </w:rPr>
        <w:t>fectiva del derecho de la mujer a una vida libre de violencias.</w:t>
      </w:r>
      <w:r w:rsidRPr="005D36F1">
        <w:rPr>
          <w:rFonts w:ascii="Times New Roman" w:hAnsi="Times New Roman" w:cs="Times New Roman"/>
          <w:color w:val="000000" w:themeColor="text1"/>
          <w:sz w:val="28"/>
          <w:szCs w:val="28"/>
        </w:rPr>
        <w:t xml:space="preserve"> </w:t>
      </w:r>
    </w:p>
    <w:p w:rsidR="00446611" w:rsidRPr="005D36F1" w:rsidRDefault="005D36F1" w:rsidP="00446611">
      <w:pPr>
        <w:pStyle w:val="Prrafodelista"/>
        <w:ind w:left="0"/>
        <w:jc w:val="both"/>
        <w:rPr>
          <w:rFonts w:ascii="Times New Roman" w:hAnsi="Times New Roman" w:cs="Times New Roman"/>
          <w:color w:val="000000" w:themeColor="text1"/>
          <w:sz w:val="28"/>
          <w:szCs w:val="28"/>
        </w:rPr>
      </w:pPr>
    </w:p>
    <w:p w:rsidR="006C4E1B" w:rsidRPr="005D36F1" w:rsidRDefault="005D36F1" w:rsidP="009426B1">
      <w:pPr>
        <w:pStyle w:val="Prrafodelista"/>
        <w:ind w:left="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 xml:space="preserve">A mi juicio, </w:t>
      </w:r>
      <w:r w:rsidRPr="005D36F1">
        <w:rPr>
          <w:rFonts w:ascii="Times New Roman" w:hAnsi="Times New Roman" w:cs="Times New Roman"/>
          <w:color w:val="000000" w:themeColor="text1"/>
          <w:sz w:val="28"/>
          <w:szCs w:val="28"/>
        </w:rPr>
        <w:t xml:space="preserve">la </w:t>
      </w:r>
      <w:r w:rsidRPr="005D36F1">
        <w:rPr>
          <w:rFonts w:ascii="Times New Roman" w:hAnsi="Times New Roman" w:cs="Times New Roman"/>
          <w:color w:val="000000" w:themeColor="text1"/>
          <w:sz w:val="28"/>
          <w:szCs w:val="28"/>
        </w:rPr>
        <w:t xml:space="preserve">determinación de los efectos concretos del divorcio, por su naturaleza, está llamada a realizarse en el marco del proceso judicial, en el que el juez </w:t>
      </w:r>
      <w:r w:rsidRPr="005D36F1">
        <w:rPr>
          <w:rFonts w:ascii="Times New Roman" w:hAnsi="Times New Roman" w:cs="Times New Roman"/>
          <w:color w:val="000000" w:themeColor="text1"/>
          <w:sz w:val="28"/>
          <w:szCs w:val="28"/>
        </w:rPr>
        <w:t>natural</w:t>
      </w:r>
      <w:r w:rsidRPr="005D36F1">
        <w:rPr>
          <w:rFonts w:ascii="Times New Roman" w:hAnsi="Times New Roman" w:cs="Times New Roman"/>
          <w:color w:val="000000" w:themeColor="text1"/>
          <w:sz w:val="28"/>
          <w:szCs w:val="28"/>
        </w:rPr>
        <w:t xml:space="preserve"> </w:t>
      </w:r>
      <w:r w:rsidRPr="005D36F1">
        <w:rPr>
          <w:rFonts w:ascii="Times New Roman" w:hAnsi="Times New Roman" w:cs="Times New Roman"/>
          <w:color w:val="000000" w:themeColor="text1"/>
          <w:sz w:val="28"/>
          <w:szCs w:val="28"/>
        </w:rPr>
        <w:t xml:space="preserve">(como juez </w:t>
      </w:r>
      <w:r w:rsidRPr="005D36F1">
        <w:rPr>
          <w:rFonts w:ascii="Times New Roman" w:hAnsi="Times New Roman" w:cs="Times New Roman"/>
          <w:color w:val="000000" w:themeColor="text1"/>
          <w:sz w:val="28"/>
          <w:szCs w:val="28"/>
        </w:rPr>
        <w:t>constitucional) garanti</w:t>
      </w:r>
      <w:r w:rsidRPr="005D36F1">
        <w:rPr>
          <w:rFonts w:ascii="Times New Roman" w:hAnsi="Times New Roman" w:cs="Times New Roman"/>
          <w:color w:val="000000" w:themeColor="text1"/>
          <w:sz w:val="28"/>
          <w:szCs w:val="28"/>
        </w:rPr>
        <w:t>za</w:t>
      </w:r>
      <w:r w:rsidRPr="005D36F1">
        <w:rPr>
          <w:rFonts w:ascii="Times New Roman" w:hAnsi="Times New Roman" w:cs="Times New Roman"/>
          <w:color w:val="000000" w:themeColor="text1"/>
          <w:sz w:val="28"/>
          <w:szCs w:val="28"/>
        </w:rPr>
        <w:t xml:space="preserve"> la contradicción, la prueba y la motivación, </w:t>
      </w:r>
      <w:r w:rsidRPr="005D36F1">
        <w:rPr>
          <w:rFonts w:ascii="Times New Roman" w:hAnsi="Times New Roman" w:cs="Times New Roman"/>
          <w:color w:val="000000" w:themeColor="text1"/>
          <w:sz w:val="28"/>
          <w:szCs w:val="28"/>
        </w:rPr>
        <w:t>y adopt</w:t>
      </w:r>
      <w:r w:rsidRPr="005D36F1">
        <w:rPr>
          <w:rFonts w:ascii="Times New Roman" w:hAnsi="Times New Roman" w:cs="Times New Roman"/>
          <w:color w:val="000000" w:themeColor="text1"/>
          <w:sz w:val="28"/>
          <w:szCs w:val="28"/>
        </w:rPr>
        <w:t>a</w:t>
      </w:r>
      <w:r w:rsidRPr="005D36F1">
        <w:rPr>
          <w:rFonts w:ascii="Times New Roman" w:hAnsi="Times New Roman" w:cs="Times New Roman"/>
          <w:color w:val="000000" w:themeColor="text1"/>
          <w:sz w:val="28"/>
          <w:szCs w:val="28"/>
        </w:rPr>
        <w:t xml:space="preserve"> decisiones ajustadas al caso concreto. </w:t>
      </w:r>
      <w:r w:rsidRPr="005D36F1">
        <w:rPr>
          <w:rFonts w:ascii="Times New Roman" w:hAnsi="Times New Roman" w:cs="Times New Roman"/>
          <w:color w:val="000000" w:themeColor="text1"/>
          <w:sz w:val="28"/>
          <w:szCs w:val="28"/>
        </w:rPr>
        <w:t>En el marco de sus competencias, el juez de familia, está llamado a</w:t>
      </w:r>
      <w:r w:rsidRPr="005D36F1">
        <w:rPr>
          <w:rFonts w:ascii="Times New Roman" w:hAnsi="Times New Roman" w:cs="Times New Roman"/>
          <w:color w:val="000000" w:themeColor="text1"/>
          <w:sz w:val="28"/>
          <w:szCs w:val="28"/>
        </w:rPr>
        <w:t xml:space="preserve"> evaluar el contexto familiar, la distribución de cargas, la situación</w:t>
      </w:r>
      <w:r w:rsidRPr="005D36F1">
        <w:rPr>
          <w:rFonts w:ascii="Times New Roman" w:hAnsi="Times New Roman" w:cs="Times New Roman"/>
          <w:color w:val="000000" w:themeColor="text1"/>
          <w:sz w:val="28"/>
          <w:szCs w:val="28"/>
        </w:rPr>
        <w:t xml:space="preserve"> de necesidad, la dependencia económica, y las circunstancias específicas que rodean la ruptura </w:t>
      </w:r>
      <w:r w:rsidRPr="005D36F1">
        <w:rPr>
          <w:rFonts w:ascii="Times New Roman" w:hAnsi="Times New Roman" w:cs="Times New Roman"/>
          <w:color w:val="000000" w:themeColor="text1"/>
          <w:sz w:val="28"/>
          <w:szCs w:val="28"/>
        </w:rPr>
        <w:t xml:space="preserve">concreta y específica </w:t>
      </w:r>
      <w:r w:rsidRPr="005D36F1">
        <w:rPr>
          <w:rFonts w:ascii="Times New Roman" w:hAnsi="Times New Roman" w:cs="Times New Roman"/>
          <w:color w:val="000000" w:themeColor="text1"/>
          <w:sz w:val="28"/>
          <w:szCs w:val="28"/>
        </w:rPr>
        <w:t>del vínculo</w:t>
      </w:r>
      <w:r w:rsidRPr="005D36F1">
        <w:rPr>
          <w:rFonts w:ascii="Times New Roman" w:hAnsi="Times New Roman" w:cs="Times New Roman"/>
          <w:color w:val="000000" w:themeColor="text1"/>
          <w:sz w:val="28"/>
          <w:szCs w:val="28"/>
        </w:rPr>
        <w:t xml:space="preserve"> matrimonial</w:t>
      </w:r>
      <w:r w:rsidRPr="005D36F1">
        <w:rPr>
          <w:rFonts w:ascii="Times New Roman" w:hAnsi="Times New Roman" w:cs="Times New Roman"/>
          <w:color w:val="000000" w:themeColor="text1"/>
          <w:sz w:val="28"/>
          <w:szCs w:val="28"/>
        </w:rPr>
        <w:t xml:space="preserve">. </w:t>
      </w:r>
      <w:r w:rsidRPr="005D36F1">
        <w:rPr>
          <w:rFonts w:ascii="Times New Roman" w:hAnsi="Times New Roman" w:cs="Times New Roman"/>
          <w:color w:val="000000" w:themeColor="text1"/>
          <w:sz w:val="28"/>
          <w:szCs w:val="28"/>
        </w:rPr>
        <w:t>De manera que, cuando la mayoría de la Sala</w:t>
      </w:r>
      <w:r w:rsidRPr="005D36F1">
        <w:rPr>
          <w:rFonts w:ascii="Times New Roman" w:hAnsi="Times New Roman" w:cs="Times New Roman"/>
          <w:color w:val="000000" w:themeColor="text1"/>
          <w:sz w:val="28"/>
          <w:szCs w:val="28"/>
        </w:rPr>
        <w:t xml:space="preserve"> excluye </w:t>
      </w:r>
      <w:r w:rsidRPr="005D36F1">
        <w:rPr>
          <w:rFonts w:ascii="Times New Roman" w:hAnsi="Times New Roman" w:cs="Times New Roman"/>
          <w:i/>
          <w:iCs/>
          <w:color w:val="000000" w:themeColor="text1"/>
          <w:sz w:val="28"/>
          <w:szCs w:val="28"/>
        </w:rPr>
        <w:t>ex ante</w:t>
      </w:r>
      <w:r w:rsidRPr="005D36F1">
        <w:rPr>
          <w:rFonts w:ascii="Times New Roman" w:hAnsi="Times New Roman" w:cs="Times New Roman"/>
          <w:color w:val="000000" w:themeColor="text1"/>
          <w:sz w:val="28"/>
          <w:szCs w:val="28"/>
        </w:rPr>
        <w:t xml:space="preserve"> y de manera general efectos patrimoniales determinado</w:t>
      </w:r>
      <w:r w:rsidRPr="005D36F1">
        <w:rPr>
          <w:rFonts w:ascii="Times New Roman" w:hAnsi="Times New Roman" w:cs="Times New Roman"/>
          <w:color w:val="000000" w:themeColor="text1"/>
          <w:sz w:val="28"/>
          <w:szCs w:val="28"/>
        </w:rPr>
        <w:t xml:space="preserve">s, </w:t>
      </w:r>
      <w:r w:rsidRPr="005D36F1">
        <w:rPr>
          <w:rFonts w:ascii="Times New Roman" w:hAnsi="Times New Roman" w:cs="Times New Roman"/>
          <w:color w:val="000000" w:themeColor="text1"/>
          <w:sz w:val="28"/>
          <w:szCs w:val="28"/>
        </w:rPr>
        <w:t>reduce el espacio de decisión</w:t>
      </w:r>
      <w:r w:rsidRPr="005D36F1">
        <w:rPr>
          <w:rFonts w:ascii="Times New Roman" w:hAnsi="Times New Roman" w:cs="Times New Roman"/>
          <w:color w:val="000000" w:themeColor="text1"/>
          <w:sz w:val="28"/>
          <w:szCs w:val="28"/>
        </w:rPr>
        <w:t xml:space="preserve"> del juez de familia y anticipa, en abstracto, una conclusión que </w:t>
      </w:r>
      <w:r w:rsidRPr="005D36F1">
        <w:rPr>
          <w:rFonts w:ascii="Times New Roman" w:hAnsi="Times New Roman" w:cs="Times New Roman"/>
          <w:color w:val="000000" w:themeColor="text1"/>
          <w:sz w:val="28"/>
          <w:szCs w:val="28"/>
        </w:rPr>
        <w:t xml:space="preserve">– en el marco del Estado Social y democrático de Derecho, se le </w:t>
      </w:r>
      <w:r w:rsidRPr="005D36F1">
        <w:rPr>
          <w:rFonts w:ascii="Times New Roman" w:hAnsi="Times New Roman" w:cs="Times New Roman"/>
          <w:color w:val="000000" w:themeColor="text1"/>
          <w:sz w:val="28"/>
          <w:szCs w:val="28"/>
        </w:rPr>
        <w:t xml:space="preserve">asigna a </w:t>
      </w:r>
      <w:r w:rsidRPr="005D36F1">
        <w:rPr>
          <w:rFonts w:ascii="Times New Roman" w:hAnsi="Times New Roman" w:cs="Times New Roman"/>
          <w:color w:val="000000" w:themeColor="text1"/>
          <w:sz w:val="28"/>
          <w:szCs w:val="28"/>
        </w:rPr>
        <w:t>una</w:t>
      </w:r>
      <w:r w:rsidRPr="005D36F1">
        <w:rPr>
          <w:rFonts w:ascii="Times New Roman" w:hAnsi="Times New Roman" w:cs="Times New Roman"/>
          <w:color w:val="000000" w:themeColor="text1"/>
          <w:sz w:val="28"/>
          <w:szCs w:val="28"/>
        </w:rPr>
        <w:t xml:space="preserve"> definición judicial concreta.</w:t>
      </w:r>
    </w:p>
    <w:p w:rsidR="006C4E1B" w:rsidRPr="005D36F1" w:rsidRDefault="005D36F1" w:rsidP="006C4E1B">
      <w:pPr>
        <w:pStyle w:val="Prrafodelista"/>
        <w:rPr>
          <w:rFonts w:ascii="Times New Roman" w:hAnsi="Times New Roman" w:cs="Times New Roman"/>
          <w:color w:val="000000" w:themeColor="text1"/>
          <w:sz w:val="28"/>
          <w:szCs w:val="28"/>
        </w:rPr>
      </w:pPr>
    </w:p>
    <w:p w:rsidR="00C718B6" w:rsidRPr="005D36F1" w:rsidRDefault="005D36F1" w:rsidP="009426B1">
      <w:pPr>
        <w:pStyle w:val="Prrafodelista"/>
        <w:ind w:left="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El</w:t>
      </w:r>
      <w:r w:rsidRPr="005D36F1">
        <w:rPr>
          <w:rFonts w:ascii="Times New Roman" w:hAnsi="Times New Roman" w:cs="Times New Roman"/>
          <w:color w:val="000000" w:themeColor="text1"/>
          <w:sz w:val="28"/>
          <w:szCs w:val="28"/>
        </w:rPr>
        <w:t xml:space="preserve"> </w:t>
      </w:r>
      <w:r w:rsidRPr="005D36F1">
        <w:rPr>
          <w:rFonts w:ascii="Times New Roman" w:hAnsi="Times New Roman" w:cs="Times New Roman"/>
          <w:color w:val="000000" w:themeColor="text1"/>
          <w:sz w:val="28"/>
          <w:szCs w:val="28"/>
        </w:rPr>
        <w:t xml:space="preserve">condicionamiento </w:t>
      </w:r>
      <w:r w:rsidRPr="005D36F1">
        <w:rPr>
          <w:rFonts w:ascii="Times New Roman" w:hAnsi="Times New Roman" w:cs="Times New Roman"/>
          <w:color w:val="000000" w:themeColor="text1"/>
          <w:sz w:val="28"/>
          <w:szCs w:val="28"/>
        </w:rPr>
        <w:t>adoptado en esta oportunidad</w:t>
      </w:r>
      <w:r w:rsidRPr="005D36F1">
        <w:rPr>
          <w:rFonts w:ascii="Times New Roman" w:hAnsi="Times New Roman" w:cs="Times New Roman"/>
          <w:color w:val="000000" w:themeColor="text1"/>
          <w:sz w:val="28"/>
          <w:szCs w:val="28"/>
        </w:rPr>
        <w:t xml:space="preserve">, </w:t>
      </w:r>
      <w:r w:rsidRPr="005D36F1">
        <w:rPr>
          <w:rFonts w:ascii="Times New Roman" w:hAnsi="Times New Roman" w:cs="Times New Roman"/>
          <w:color w:val="000000" w:themeColor="text1"/>
          <w:sz w:val="28"/>
          <w:szCs w:val="28"/>
        </w:rPr>
        <w:t xml:space="preserve">aplicado sin mediación del análisis probatorio y contextual propio del juez natural, </w:t>
      </w:r>
      <w:r w:rsidRPr="005D36F1">
        <w:rPr>
          <w:rFonts w:ascii="Times New Roman" w:hAnsi="Times New Roman" w:cs="Times New Roman"/>
          <w:color w:val="000000" w:themeColor="text1"/>
          <w:sz w:val="28"/>
          <w:szCs w:val="28"/>
        </w:rPr>
        <w:t>dificulta</w:t>
      </w:r>
      <w:r w:rsidRPr="005D36F1">
        <w:rPr>
          <w:rFonts w:ascii="Times New Roman" w:hAnsi="Times New Roman" w:cs="Times New Roman"/>
          <w:color w:val="000000" w:themeColor="text1"/>
          <w:sz w:val="28"/>
          <w:szCs w:val="28"/>
        </w:rPr>
        <w:t xml:space="preserve"> la articulación de respuestas integrales y la satisfacción del deber de protección reforzada, precisamente porque inhibe de manera general la valoración judicial de las consecuencias patrimoniales en cada caso</w:t>
      </w:r>
      <w:r w:rsidRPr="005D36F1">
        <w:rPr>
          <w:rFonts w:ascii="Times New Roman" w:hAnsi="Times New Roman" w:cs="Times New Roman"/>
          <w:color w:val="000000" w:themeColor="text1"/>
          <w:sz w:val="28"/>
          <w:szCs w:val="28"/>
        </w:rPr>
        <w:t xml:space="preserve"> concreto</w:t>
      </w:r>
      <w:r w:rsidRPr="005D36F1">
        <w:rPr>
          <w:rFonts w:ascii="Times New Roman" w:hAnsi="Times New Roman" w:cs="Times New Roman"/>
          <w:color w:val="000000" w:themeColor="text1"/>
          <w:sz w:val="28"/>
          <w:szCs w:val="28"/>
        </w:rPr>
        <w:t xml:space="preserve">, dentro de las garantías </w:t>
      </w:r>
      <w:r w:rsidRPr="005D36F1">
        <w:rPr>
          <w:rFonts w:ascii="Times New Roman" w:hAnsi="Times New Roman" w:cs="Times New Roman"/>
          <w:color w:val="000000" w:themeColor="text1"/>
          <w:sz w:val="28"/>
          <w:szCs w:val="28"/>
        </w:rPr>
        <w:t xml:space="preserve">propias </w:t>
      </w:r>
      <w:r w:rsidRPr="005D36F1">
        <w:rPr>
          <w:rFonts w:ascii="Times New Roman" w:hAnsi="Times New Roman" w:cs="Times New Roman"/>
          <w:color w:val="000000" w:themeColor="text1"/>
          <w:sz w:val="28"/>
          <w:szCs w:val="28"/>
        </w:rPr>
        <w:t>del</w:t>
      </w:r>
      <w:r w:rsidRPr="005D36F1">
        <w:rPr>
          <w:rFonts w:ascii="Times New Roman" w:hAnsi="Times New Roman" w:cs="Times New Roman"/>
          <w:color w:val="000000" w:themeColor="text1"/>
          <w:sz w:val="28"/>
          <w:szCs w:val="28"/>
        </w:rPr>
        <w:t xml:space="preserve"> </w:t>
      </w:r>
      <w:r w:rsidRPr="005D36F1">
        <w:rPr>
          <w:rFonts w:ascii="Times New Roman" w:hAnsi="Times New Roman" w:cs="Times New Roman"/>
          <w:color w:val="000000" w:themeColor="text1"/>
          <w:sz w:val="28"/>
          <w:szCs w:val="28"/>
        </w:rPr>
        <w:t xml:space="preserve">derecho fundamental al </w:t>
      </w:r>
      <w:r w:rsidRPr="005D36F1">
        <w:rPr>
          <w:rFonts w:ascii="Times New Roman" w:hAnsi="Times New Roman" w:cs="Times New Roman"/>
          <w:color w:val="000000" w:themeColor="text1"/>
          <w:sz w:val="28"/>
          <w:szCs w:val="28"/>
        </w:rPr>
        <w:t>debido proceso.</w:t>
      </w:r>
    </w:p>
    <w:p w:rsidR="00C718B6" w:rsidRPr="005D36F1" w:rsidRDefault="005D36F1" w:rsidP="00C718B6">
      <w:pPr>
        <w:pStyle w:val="Prrafodelista"/>
        <w:rPr>
          <w:rFonts w:ascii="Times New Roman" w:hAnsi="Times New Roman" w:cs="Times New Roman"/>
          <w:color w:val="000000" w:themeColor="text1"/>
          <w:sz w:val="28"/>
          <w:szCs w:val="28"/>
        </w:rPr>
      </w:pPr>
    </w:p>
    <w:p w:rsidR="00521CFA" w:rsidRPr="005D36F1" w:rsidRDefault="005D36F1" w:rsidP="009426B1">
      <w:pPr>
        <w:pStyle w:val="Prrafodelista"/>
        <w:ind w:left="0"/>
        <w:jc w:val="both"/>
        <w:rPr>
          <w:rFonts w:ascii="Times New Roman" w:hAnsi="Times New Roman" w:cs="Times New Roman"/>
          <w:color w:val="000000" w:themeColor="text1"/>
          <w:sz w:val="28"/>
          <w:szCs w:val="28"/>
        </w:rPr>
      </w:pPr>
      <w:r w:rsidRPr="005D36F1">
        <w:rPr>
          <w:rFonts w:ascii="Times New Roman" w:hAnsi="Times New Roman" w:cs="Times New Roman"/>
          <w:color w:val="000000" w:themeColor="text1"/>
          <w:sz w:val="28"/>
          <w:szCs w:val="28"/>
        </w:rPr>
        <w:t xml:space="preserve">En estos términos, </w:t>
      </w:r>
      <w:r w:rsidRPr="005D36F1">
        <w:rPr>
          <w:rFonts w:ascii="Times New Roman" w:hAnsi="Times New Roman" w:cs="Times New Roman"/>
          <w:color w:val="000000" w:themeColor="text1"/>
          <w:sz w:val="28"/>
          <w:szCs w:val="28"/>
        </w:rPr>
        <w:t xml:space="preserve">aunque </w:t>
      </w:r>
      <w:r w:rsidRPr="005D36F1">
        <w:rPr>
          <w:rFonts w:ascii="Times New Roman" w:hAnsi="Times New Roman" w:cs="Times New Roman"/>
          <w:color w:val="000000" w:themeColor="text1"/>
          <w:sz w:val="28"/>
          <w:szCs w:val="28"/>
        </w:rPr>
        <w:t xml:space="preserve">compartí </w:t>
      </w:r>
      <w:r w:rsidRPr="005D36F1">
        <w:rPr>
          <w:rFonts w:ascii="Times New Roman" w:hAnsi="Times New Roman" w:cs="Times New Roman"/>
          <w:color w:val="000000" w:themeColor="text1"/>
          <w:sz w:val="28"/>
          <w:szCs w:val="28"/>
        </w:rPr>
        <w:t xml:space="preserve">que la causal demandada </w:t>
      </w:r>
      <w:r w:rsidRPr="005D36F1">
        <w:rPr>
          <w:rFonts w:ascii="Times New Roman" w:hAnsi="Times New Roman" w:cs="Times New Roman"/>
          <w:color w:val="000000" w:themeColor="text1"/>
          <w:sz w:val="28"/>
          <w:szCs w:val="28"/>
        </w:rPr>
        <w:t>sirva</w:t>
      </w:r>
      <w:r w:rsidRPr="005D36F1">
        <w:rPr>
          <w:rFonts w:ascii="Times New Roman" w:hAnsi="Times New Roman" w:cs="Times New Roman"/>
          <w:color w:val="000000" w:themeColor="text1"/>
          <w:sz w:val="28"/>
          <w:szCs w:val="28"/>
        </w:rPr>
        <w:t xml:space="preserve"> para terminar el vínculo matrimonial —en línea con la dignidad humana</w:t>
      </w:r>
      <w:r w:rsidRPr="005D36F1">
        <w:rPr>
          <w:rFonts w:ascii="Times New Roman" w:hAnsi="Times New Roman" w:cs="Times New Roman"/>
          <w:color w:val="000000" w:themeColor="text1"/>
          <w:sz w:val="28"/>
          <w:szCs w:val="28"/>
        </w:rPr>
        <w:t>, la autonomía</w:t>
      </w:r>
      <w:r w:rsidRPr="005D36F1">
        <w:rPr>
          <w:rFonts w:ascii="Times New Roman" w:hAnsi="Times New Roman" w:cs="Times New Roman"/>
          <w:color w:val="000000" w:themeColor="text1"/>
          <w:sz w:val="28"/>
          <w:szCs w:val="28"/>
        </w:rPr>
        <w:t xml:space="preserve"> y el libre desarrollo de la personalidad, que impiden la permanenc</w:t>
      </w:r>
      <w:r w:rsidRPr="005D36F1">
        <w:rPr>
          <w:rFonts w:ascii="Times New Roman" w:hAnsi="Times New Roman" w:cs="Times New Roman"/>
          <w:color w:val="000000" w:themeColor="text1"/>
          <w:sz w:val="28"/>
          <w:szCs w:val="28"/>
        </w:rPr>
        <w:t>ia coactiva en una comunidad de vida inexistente—, me apart</w:t>
      </w:r>
      <w:r w:rsidRPr="005D36F1">
        <w:rPr>
          <w:rFonts w:ascii="Times New Roman" w:hAnsi="Times New Roman" w:cs="Times New Roman"/>
          <w:color w:val="000000" w:themeColor="text1"/>
          <w:sz w:val="28"/>
          <w:szCs w:val="28"/>
        </w:rPr>
        <w:t>é</w:t>
      </w:r>
      <w:r w:rsidRPr="005D36F1">
        <w:rPr>
          <w:rFonts w:ascii="Times New Roman" w:hAnsi="Times New Roman" w:cs="Times New Roman"/>
          <w:color w:val="000000" w:themeColor="text1"/>
          <w:sz w:val="28"/>
          <w:szCs w:val="28"/>
        </w:rPr>
        <w:t xml:space="preserve"> del remedio de exequibilidad condicionada</w:t>
      </w:r>
      <w:r w:rsidRPr="005D36F1">
        <w:rPr>
          <w:rFonts w:ascii="Times New Roman" w:hAnsi="Times New Roman" w:cs="Times New Roman"/>
          <w:color w:val="000000" w:themeColor="text1"/>
          <w:sz w:val="28"/>
          <w:szCs w:val="28"/>
        </w:rPr>
        <w:t>,</w:t>
      </w:r>
      <w:r w:rsidRPr="005D36F1">
        <w:rPr>
          <w:rFonts w:ascii="Times New Roman" w:hAnsi="Times New Roman" w:cs="Times New Roman"/>
          <w:color w:val="000000" w:themeColor="text1"/>
          <w:sz w:val="28"/>
          <w:szCs w:val="28"/>
        </w:rPr>
        <w:t xml:space="preserve"> en los términos fijados por la mayoría</w:t>
      </w:r>
      <w:r w:rsidRPr="005D36F1">
        <w:rPr>
          <w:rFonts w:ascii="Times New Roman" w:hAnsi="Times New Roman" w:cs="Times New Roman"/>
          <w:color w:val="000000" w:themeColor="text1"/>
          <w:sz w:val="28"/>
          <w:szCs w:val="28"/>
        </w:rPr>
        <w:t xml:space="preserve"> de la Sala</w:t>
      </w:r>
      <w:r w:rsidRPr="005D36F1">
        <w:rPr>
          <w:rFonts w:ascii="Times New Roman" w:hAnsi="Times New Roman" w:cs="Times New Roman"/>
          <w:color w:val="000000" w:themeColor="text1"/>
          <w:sz w:val="28"/>
          <w:szCs w:val="28"/>
        </w:rPr>
        <w:t xml:space="preserve">, porque (i) </w:t>
      </w:r>
      <w:r w:rsidRPr="005D36F1">
        <w:rPr>
          <w:rFonts w:ascii="Times New Roman" w:hAnsi="Times New Roman" w:cs="Times New Roman"/>
          <w:color w:val="000000" w:themeColor="text1"/>
          <w:sz w:val="28"/>
          <w:szCs w:val="28"/>
        </w:rPr>
        <w:t xml:space="preserve">a mi juicio, </w:t>
      </w:r>
      <w:r w:rsidRPr="005D36F1">
        <w:rPr>
          <w:rFonts w:ascii="Times New Roman" w:hAnsi="Times New Roman" w:cs="Times New Roman"/>
          <w:color w:val="000000" w:themeColor="text1"/>
          <w:sz w:val="28"/>
          <w:szCs w:val="28"/>
        </w:rPr>
        <w:t>el entendimiento adoptado no constituye una interpretación conforme de la cau</w:t>
      </w:r>
      <w:r w:rsidRPr="005D36F1">
        <w:rPr>
          <w:rFonts w:ascii="Times New Roman" w:hAnsi="Times New Roman" w:cs="Times New Roman"/>
          <w:color w:val="000000" w:themeColor="text1"/>
          <w:sz w:val="28"/>
          <w:szCs w:val="28"/>
        </w:rPr>
        <w:t>sal</w:t>
      </w:r>
      <w:r w:rsidRPr="005D36F1">
        <w:rPr>
          <w:rFonts w:ascii="Times New Roman" w:hAnsi="Times New Roman" w:cs="Times New Roman"/>
          <w:color w:val="000000" w:themeColor="text1"/>
          <w:sz w:val="28"/>
          <w:szCs w:val="28"/>
        </w:rPr>
        <w:t xml:space="preserve"> de divorcio</w:t>
      </w:r>
      <w:r w:rsidRPr="005D36F1">
        <w:rPr>
          <w:rFonts w:ascii="Times New Roman" w:hAnsi="Times New Roman" w:cs="Times New Roman"/>
          <w:color w:val="000000" w:themeColor="text1"/>
          <w:sz w:val="28"/>
          <w:szCs w:val="28"/>
        </w:rPr>
        <w:t xml:space="preserve">, sino una </w:t>
      </w:r>
      <w:r w:rsidRPr="005D36F1">
        <w:rPr>
          <w:rFonts w:ascii="Times New Roman" w:hAnsi="Times New Roman" w:cs="Times New Roman"/>
          <w:color w:val="000000" w:themeColor="text1"/>
          <w:sz w:val="28"/>
          <w:szCs w:val="28"/>
        </w:rPr>
        <w:t xml:space="preserve">fusión </w:t>
      </w:r>
      <w:r w:rsidRPr="005D36F1">
        <w:rPr>
          <w:rFonts w:ascii="Times New Roman" w:hAnsi="Times New Roman" w:cs="Times New Roman"/>
          <w:color w:val="000000" w:themeColor="text1"/>
          <w:sz w:val="28"/>
          <w:szCs w:val="28"/>
        </w:rPr>
        <w:t xml:space="preserve">y </w:t>
      </w:r>
      <w:r w:rsidRPr="005D36F1">
        <w:rPr>
          <w:rFonts w:ascii="Times New Roman" w:hAnsi="Times New Roman" w:cs="Times New Roman"/>
          <w:color w:val="000000" w:themeColor="text1"/>
          <w:sz w:val="28"/>
          <w:szCs w:val="28"/>
        </w:rPr>
        <w:t xml:space="preserve">organización </w:t>
      </w:r>
      <w:r w:rsidRPr="005D36F1">
        <w:rPr>
          <w:rFonts w:ascii="Times New Roman" w:hAnsi="Times New Roman" w:cs="Times New Roman"/>
          <w:color w:val="000000" w:themeColor="text1"/>
          <w:sz w:val="28"/>
          <w:szCs w:val="28"/>
        </w:rPr>
        <w:t>normativa</w:t>
      </w:r>
      <w:r w:rsidRPr="005D36F1">
        <w:rPr>
          <w:rFonts w:ascii="Times New Roman" w:hAnsi="Times New Roman" w:cs="Times New Roman"/>
          <w:color w:val="000000" w:themeColor="text1"/>
          <w:sz w:val="28"/>
          <w:szCs w:val="28"/>
        </w:rPr>
        <w:t xml:space="preserve"> entre disposiciones de </w:t>
      </w:r>
      <w:r w:rsidRPr="005D36F1">
        <w:rPr>
          <w:rFonts w:ascii="Times New Roman" w:hAnsi="Times New Roman" w:cs="Times New Roman"/>
          <w:i/>
          <w:iCs/>
          <w:color w:val="000000" w:themeColor="text1"/>
          <w:sz w:val="28"/>
          <w:szCs w:val="28"/>
        </w:rPr>
        <w:t>rango legal</w:t>
      </w:r>
      <w:r w:rsidRPr="005D36F1">
        <w:rPr>
          <w:rFonts w:ascii="Times New Roman" w:hAnsi="Times New Roman" w:cs="Times New Roman"/>
          <w:color w:val="000000" w:themeColor="text1"/>
          <w:sz w:val="28"/>
          <w:szCs w:val="28"/>
        </w:rPr>
        <w:t xml:space="preserve">, y (ii) limita injustificadamente la competencia del juez </w:t>
      </w:r>
      <w:r w:rsidRPr="005D36F1">
        <w:rPr>
          <w:rFonts w:ascii="Times New Roman" w:hAnsi="Times New Roman" w:cs="Times New Roman"/>
          <w:color w:val="000000" w:themeColor="text1"/>
          <w:sz w:val="28"/>
          <w:szCs w:val="28"/>
        </w:rPr>
        <w:t>natural</w:t>
      </w:r>
      <w:r w:rsidRPr="005D36F1">
        <w:rPr>
          <w:rFonts w:ascii="Times New Roman" w:hAnsi="Times New Roman" w:cs="Times New Roman"/>
          <w:color w:val="000000" w:themeColor="text1"/>
          <w:sz w:val="28"/>
          <w:szCs w:val="28"/>
        </w:rPr>
        <w:t xml:space="preserve"> para definir, en el caso concreto y con </w:t>
      </w:r>
      <w:r w:rsidRPr="005D36F1">
        <w:rPr>
          <w:rFonts w:ascii="Times New Roman" w:hAnsi="Times New Roman" w:cs="Times New Roman"/>
          <w:color w:val="000000" w:themeColor="text1"/>
          <w:sz w:val="28"/>
          <w:szCs w:val="28"/>
        </w:rPr>
        <w:t>el pleno de las garantías propias del</w:t>
      </w:r>
      <w:r w:rsidRPr="005D36F1">
        <w:rPr>
          <w:rFonts w:ascii="Times New Roman" w:hAnsi="Times New Roman" w:cs="Times New Roman"/>
          <w:color w:val="000000" w:themeColor="text1"/>
          <w:sz w:val="28"/>
          <w:szCs w:val="28"/>
        </w:rPr>
        <w:t xml:space="preserve"> debido proceso, los efectos de la causal</w:t>
      </w:r>
      <w:r w:rsidRPr="005D36F1">
        <w:rPr>
          <w:rFonts w:ascii="Times New Roman" w:hAnsi="Times New Roman" w:cs="Times New Roman"/>
          <w:color w:val="000000" w:themeColor="text1"/>
          <w:sz w:val="28"/>
          <w:szCs w:val="28"/>
        </w:rPr>
        <w:t xml:space="preserve"> cuestionada</w:t>
      </w:r>
      <w:r w:rsidRPr="005D36F1">
        <w:rPr>
          <w:rFonts w:ascii="Times New Roman" w:hAnsi="Times New Roman" w:cs="Times New Roman"/>
          <w:color w:val="000000" w:themeColor="text1"/>
          <w:sz w:val="28"/>
          <w:szCs w:val="28"/>
        </w:rPr>
        <w:t xml:space="preserve">, con especial atención al bienestar de </w:t>
      </w:r>
      <w:r w:rsidRPr="005D36F1">
        <w:rPr>
          <w:rFonts w:ascii="Times New Roman" w:hAnsi="Times New Roman" w:cs="Times New Roman"/>
          <w:color w:val="000000" w:themeColor="text1"/>
          <w:sz w:val="28"/>
          <w:szCs w:val="28"/>
        </w:rPr>
        <w:t>las niñas y los niños</w:t>
      </w:r>
      <w:r w:rsidRPr="005D36F1">
        <w:rPr>
          <w:rFonts w:ascii="Times New Roman" w:hAnsi="Times New Roman" w:cs="Times New Roman"/>
          <w:color w:val="000000" w:themeColor="text1"/>
          <w:sz w:val="28"/>
          <w:szCs w:val="28"/>
        </w:rPr>
        <w:t>, así como</w:t>
      </w:r>
      <w:r w:rsidRPr="005D36F1">
        <w:rPr>
          <w:rFonts w:ascii="Times New Roman" w:hAnsi="Times New Roman" w:cs="Times New Roman"/>
          <w:color w:val="000000" w:themeColor="text1"/>
          <w:sz w:val="28"/>
          <w:szCs w:val="28"/>
        </w:rPr>
        <w:t xml:space="preserve"> la garantía efectiva del derecho de las mujeres a una vida libre de violencias.</w:t>
      </w:r>
    </w:p>
    <w:p w:rsidR="004D5D80" w:rsidRPr="005D36F1" w:rsidRDefault="005D36F1" w:rsidP="004D5D80">
      <w:pPr>
        <w:pStyle w:val="Prrafodelista"/>
        <w:rPr>
          <w:rFonts w:ascii="Times New Roman" w:hAnsi="Times New Roman" w:cs="Times New Roman"/>
          <w:color w:val="000000" w:themeColor="text1"/>
          <w:sz w:val="28"/>
          <w:szCs w:val="28"/>
        </w:rPr>
      </w:pPr>
    </w:p>
    <w:p w:rsidR="00FF2FF9" w:rsidRPr="005D36F1" w:rsidRDefault="005D36F1" w:rsidP="00FF2FF9">
      <w:pPr>
        <w:pStyle w:val="Prrafodelista"/>
        <w:shd w:val="clear" w:color="auto" w:fill="FFFFFF" w:themeFill="background1"/>
        <w:tabs>
          <w:tab w:val="left" w:pos="0"/>
          <w:tab w:val="left" w:pos="142"/>
          <w:tab w:val="left" w:pos="180"/>
          <w:tab w:val="left" w:pos="426"/>
        </w:tabs>
        <w:autoSpaceDE w:val="0"/>
        <w:autoSpaceDN w:val="0"/>
        <w:adjustRightInd w:val="0"/>
        <w:ind w:left="0" w:right="18"/>
        <w:rPr>
          <w:rFonts w:ascii="Times New Roman" w:hAnsi="Times New Roman" w:cs="Times New Roman"/>
          <w:sz w:val="28"/>
          <w:szCs w:val="28"/>
          <w:lang w:val="es-ES"/>
        </w:rPr>
      </w:pPr>
      <w:r w:rsidRPr="005D36F1">
        <w:rPr>
          <w:rFonts w:ascii="Times New Roman" w:hAnsi="Times New Roman" w:cs="Times New Roman"/>
          <w:sz w:val="28"/>
          <w:szCs w:val="28"/>
          <w:lang w:val="es-ES"/>
        </w:rPr>
        <w:t>Por las razones expuestas</w:t>
      </w:r>
      <w:r w:rsidRPr="005D36F1">
        <w:rPr>
          <w:rFonts w:ascii="Times New Roman" w:hAnsi="Times New Roman" w:cs="Times New Roman"/>
          <w:sz w:val="28"/>
          <w:szCs w:val="28"/>
          <w:lang w:val="es-ES"/>
        </w:rPr>
        <w:t xml:space="preserve"> y con el acostumbrado respeto por las decisiones de la mayoría de la Sala</w:t>
      </w:r>
      <w:r w:rsidRPr="005D36F1">
        <w:rPr>
          <w:rFonts w:ascii="Times New Roman" w:hAnsi="Times New Roman" w:cs="Times New Roman"/>
          <w:sz w:val="28"/>
          <w:szCs w:val="28"/>
          <w:lang w:val="es-ES"/>
        </w:rPr>
        <w:t xml:space="preserve"> Plena</w:t>
      </w:r>
      <w:r w:rsidRPr="005D36F1">
        <w:rPr>
          <w:rFonts w:ascii="Times New Roman" w:hAnsi="Times New Roman" w:cs="Times New Roman"/>
          <w:sz w:val="28"/>
          <w:szCs w:val="28"/>
          <w:lang w:val="es-ES"/>
        </w:rPr>
        <w:t xml:space="preserve">, </w:t>
      </w:r>
      <w:r w:rsidRPr="005D36F1">
        <w:rPr>
          <w:rFonts w:ascii="Times New Roman" w:hAnsi="Times New Roman" w:cs="Times New Roman"/>
          <w:sz w:val="28"/>
          <w:szCs w:val="28"/>
          <w:lang w:val="es-ES"/>
        </w:rPr>
        <w:t xml:space="preserve">salvo parcialmente mi voto. </w:t>
      </w:r>
    </w:p>
    <w:p w:rsidR="00FF2FF9" w:rsidRPr="005D36F1" w:rsidRDefault="005D36F1" w:rsidP="00FF2FF9">
      <w:pPr>
        <w:shd w:val="clear" w:color="auto" w:fill="FFFFFF" w:themeFill="background1"/>
        <w:ind w:right="49"/>
        <w:rPr>
          <w:rFonts w:ascii="Times New Roman" w:hAnsi="Times New Roman" w:cs="Times New Roman"/>
          <w:sz w:val="28"/>
          <w:szCs w:val="28"/>
          <w:lang w:val="es-ES" w:eastAsia="es-ES_tradnl"/>
        </w:rPr>
      </w:pPr>
    </w:p>
    <w:p w:rsidR="00FF2FF9" w:rsidRPr="005D36F1" w:rsidRDefault="005D36F1" w:rsidP="00FF2FF9">
      <w:pPr>
        <w:shd w:val="clear" w:color="auto" w:fill="FFFFFF" w:themeFill="background1"/>
        <w:ind w:right="49"/>
        <w:rPr>
          <w:rFonts w:ascii="Times New Roman" w:hAnsi="Times New Roman" w:cs="Times New Roman"/>
          <w:sz w:val="28"/>
          <w:szCs w:val="28"/>
          <w:lang w:val="es-ES" w:eastAsia="es-ES_tradnl"/>
        </w:rPr>
      </w:pPr>
      <w:r w:rsidRPr="005D36F1">
        <w:rPr>
          <w:rFonts w:ascii="Times New Roman" w:hAnsi="Times New Roman" w:cs="Times New Roman"/>
          <w:sz w:val="28"/>
          <w:szCs w:val="28"/>
          <w:lang w:val="es-ES" w:eastAsia="es-ES_tradnl"/>
        </w:rPr>
        <w:t xml:space="preserve">Fecha ut </w:t>
      </w:r>
      <w:r w:rsidRPr="005D36F1">
        <w:rPr>
          <w:rFonts w:ascii="Times New Roman" w:hAnsi="Times New Roman" w:cs="Times New Roman"/>
          <w:i/>
          <w:iCs/>
          <w:sz w:val="28"/>
          <w:szCs w:val="28"/>
          <w:lang w:val="es-ES" w:eastAsia="es-ES_tradnl"/>
        </w:rPr>
        <w:t>supra</w:t>
      </w:r>
      <w:r w:rsidRPr="005D36F1">
        <w:rPr>
          <w:rFonts w:ascii="Times New Roman" w:hAnsi="Times New Roman" w:cs="Times New Roman"/>
          <w:sz w:val="28"/>
          <w:szCs w:val="28"/>
          <w:lang w:val="es-ES" w:eastAsia="es-ES_tradnl"/>
        </w:rPr>
        <w:t>,</w:t>
      </w:r>
    </w:p>
    <w:p w:rsidR="00134564" w:rsidRPr="005D36F1" w:rsidRDefault="005D36F1" w:rsidP="00FF2FF9">
      <w:pPr>
        <w:pStyle w:val="Prrafodelista"/>
        <w:ind w:left="0"/>
        <w:jc w:val="both"/>
        <w:rPr>
          <w:rFonts w:ascii="Times New Roman" w:hAnsi="Times New Roman" w:cs="Times New Roman"/>
          <w:sz w:val="28"/>
          <w:szCs w:val="28"/>
          <w:lang w:val="es-ES_tradnl"/>
        </w:rPr>
      </w:pPr>
    </w:p>
    <w:p w:rsidR="00133E34" w:rsidRPr="005D36F1" w:rsidRDefault="005D36F1" w:rsidP="00FF2FF9">
      <w:pPr>
        <w:pStyle w:val="Prrafodelista"/>
        <w:ind w:left="0"/>
        <w:jc w:val="both"/>
        <w:rPr>
          <w:rFonts w:ascii="Times New Roman" w:hAnsi="Times New Roman" w:cs="Times New Roman"/>
          <w:sz w:val="28"/>
          <w:szCs w:val="28"/>
          <w:lang w:val="es-ES_tradnl"/>
        </w:rPr>
      </w:pPr>
    </w:p>
    <w:p w:rsidR="008E0591" w:rsidRPr="005D36F1" w:rsidRDefault="005D36F1" w:rsidP="00FF2FF9">
      <w:pPr>
        <w:pStyle w:val="Prrafodelista"/>
        <w:ind w:left="0"/>
        <w:jc w:val="both"/>
        <w:rPr>
          <w:rFonts w:ascii="Times New Roman" w:hAnsi="Times New Roman" w:cs="Times New Roman"/>
          <w:sz w:val="28"/>
          <w:szCs w:val="28"/>
          <w:lang w:val="es-ES_tradnl"/>
        </w:rPr>
      </w:pPr>
    </w:p>
    <w:p w:rsidR="008E0591" w:rsidRPr="005D36F1" w:rsidRDefault="005D36F1" w:rsidP="008E0591">
      <w:pPr>
        <w:pStyle w:val="Prrafodelista"/>
        <w:ind w:left="0"/>
        <w:jc w:val="center"/>
        <w:rPr>
          <w:rFonts w:ascii="Times New Roman" w:hAnsi="Times New Roman" w:cs="Times New Roman"/>
          <w:b/>
          <w:bCs/>
          <w:sz w:val="28"/>
          <w:szCs w:val="28"/>
          <w:lang w:val="es-ES_tradnl"/>
        </w:rPr>
      </w:pPr>
      <w:r w:rsidRPr="005D36F1">
        <w:rPr>
          <w:rFonts w:ascii="Times New Roman" w:hAnsi="Times New Roman" w:cs="Times New Roman"/>
          <w:b/>
          <w:bCs/>
          <w:sz w:val="28"/>
          <w:szCs w:val="28"/>
          <w:lang w:val="es-ES_tradnl"/>
        </w:rPr>
        <w:t>VLADIMIR FERNÁNDEZ ANDRADE</w:t>
      </w:r>
    </w:p>
    <w:p w:rsidR="008E0591" w:rsidRPr="005D36F1" w:rsidRDefault="005D36F1" w:rsidP="008E0591">
      <w:pPr>
        <w:pStyle w:val="Prrafodelista"/>
        <w:ind w:left="0"/>
        <w:jc w:val="center"/>
        <w:rPr>
          <w:rFonts w:ascii="Times New Roman" w:hAnsi="Times New Roman" w:cs="Times New Roman"/>
          <w:b/>
          <w:bCs/>
          <w:sz w:val="28"/>
          <w:szCs w:val="28"/>
          <w:lang w:val="es-ES_tradnl"/>
        </w:rPr>
      </w:pPr>
      <w:r w:rsidRPr="005D36F1">
        <w:rPr>
          <w:rFonts w:ascii="Times New Roman" w:hAnsi="Times New Roman" w:cs="Times New Roman"/>
          <w:b/>
          <w:bCs/>
          <w:sz w:val="28"/>
          <w:szCs w:val="28"/>
          <w:lang w:val="es-ES_tradnl"/>
        </w:rPr>
        <w:t>Magistrado</w:t>
      </w:r>
    </w:p>
    <w:sectPr w:rsidR="008E0591" w:rsidRPr="005D36F1">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D36F1">
      <w:pPr>
        <w:spacing w:after="0" w:line="240" w:lineRule="auto"/>
      </w:pPr>
      <w:r>
        <w:separator/>
      </w:r>
    </w:p>
  </w:endnote>
  <w:endnote w:type="continuationSeparator" w:id="0">
    <w:p w:rsidR="00000000" w:rsidRDefault="005D36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D36F1">
      <w:pPr>
        <w:spacing w:after="0" w:line="240" w:lineRule="auto"/>
      </w:pPr>
      <w:r>
        <w:separator/>
      </w:r>
    </w:p>
  </w:footnote>
  <w:footnote w:type="continuationSeparator" w:id="0">
    <w:p w:rsidR="00000000" w:rsidRDefault="005D36F1">
      <w:pPr>
        <w:spacing w:after="0" w:line="240" w:lineRule="auto"/>
      </w:pPr>
      <w:r>
        <w:continuationSeparator/>
      </w:r>
    </w:p>
  </w:footnote>
  <w:footnote w:id="1">
    <w:p w:rsidR="00B5075E" w:rsidRPr="00C01D69" w:rsidRDefault="005D36F1">
      <w:pPr>
        <w:pStyle w:val="Textonotapie"/>
        <w:rPr>
          <w:lang w:val="es-ES_tradnl"/>
        </w:rPr>
      </w:pPr>
      <w:r w:rsidRPr="00C01D69">
        <w:rPr>
          <w:rStyle w:val="Refdenotaalpie"/>
        </w:rPr>
        <w:footnoteRef/>
      </w:r>
      <w:r w:rsidRPr="00C01D69">
        <w:t xml:space="preserve"> </w:t>
      </w:r>
      <w:r w:rsidRPr="00C01D69">
        <w:rPr>
          <w:lang w:val="es-ES_tradnl"/>
        </w:rPr>
        <w:t>La síntesis que se presenta a continuación es una versión ampliada del resumen que se</w:t>
      </w:r>
      <w:r w:rsidRPr="00C01D69">
        <w:rPr>
          <w:lang w:val="es-ES_tradnl"/>
        </w:rPr>
        <w:t xml:space="preserve"> presentó en el comunicado de prensa n.° 12.</w:t>
      </w:r>
    </w:p>
  </w:footnote>
  <w:footnote w:id="2">
    <w:p w:rsidR="00B5075E" w:rsidRPr="00C01D69" w:rsidRDefault="005D36F1" w:rsidP="00894FB7">
      <w:pPr>
        <w:pStyle w:val="Textonotapie"/>
        <w:rPr>
          <w:lang w:val="es-ES_tradnl"/>
        </w:rPr>
      </w:pPr>
      <w:r w:rsidRPr="00C01D69">
        <w:rPr>
          <w:rStyle w:val="Refdenotaalpie"/>
        </w:rPr>
        <w:footnoteRef/>
      </w:r>
      <w:r w:rsidRPr="00C01D69">
        <w:t xml:space="preserve"> Numeral quinto del artículo 154 del Código Civil. </w:t>
      </w:r>
    </w:p>
  </w:footnote>
  <w:footnote w:id="3">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Escrito de demanda, folio 9. </w:t>
      </w:r>
    </w:p>
  </w:footnote>
  <w:footnote w:id="4">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 xml:space="preserve">. </w:t>
      </w:r>
    </w:p>
  </w:footnote>
  <w:footnote w:id="5">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Auto admisorio, folio 6. </w:t>
      </w:r>
    </w:p>
  </w:footnote>
  <w:footnote w:id="6">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Escrito de corrección de demanda, folio 12. </w:t>
      </w:r>
    </w:p>
  </w:footnote>
  <w:footnote w:id="7">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 xml:space="preserve">, folio 13. </w:t>
      </w:r>
    </w:p>
  </w:footnote>
  <w:footnote w:id="8">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w:t>
      </w:r>
    </w:p>
  </w:footnote>
  <w:footnote w:id="9">
    <w:p w:rsidR="00B5075E" w:rsidRPr="00C01D69" w:rsidRDefault="005D36F1" w:rsidP="00894FB7">
      <w:pPr>
        <w:pStyle w:val="Textonotapie"/>
        <w:rPr>
          <w:lang w:val="es-CO"/>
        </w:rPr>
      </w:pPr>
      <w:r w:rsidRPr="00C01D69">
        <w:rPr>
          <w:rStyle w:val="Refdenotaalpie"/>
        </w:rPr>
        <w:footnoteRef/>
      </w:r>
      <w:r w:rsidRPr="00C01D69">
        <w:t xml:space="preserve"> </w:t>
      </w:r>
      <w:r w:rsidRPr="00C01D69">
        <w:rPr>
          <w:lang w:val="es-CO"/>
        </w:rPr>
        <w:t>El día 3 de o</w:t>
      </w:r>
      <w:r w:rsidRPr="00C01D69">
        <w:rPr>
          <w:lang w:val="es-CO"/>
        </w:rPr>
        <w:t>ctubre de 2023, vencido el término de fijación en lista, las siguientes instituciones enviaron sus intervenciones en el proceso de la referencia: Instituto Colombiano de Bienestar Familiar, Universidad del Norte, Universidad de la Sabana, Universidad Santo</w:t>
      </w:r>
      <w:r w:rsidRPr="00C01D69">
        <w:rPr>
          <w:lang w:val="es-CO"/>
        </w:rPr>
        <w:t xml:space="preserve"> Tomás, Universidad Libre de Colombia y Universidad Externado de Colombia. En atención a que los memoriales fueron remitidos fuera del término establecido, no serán considerados por esta corporación.</w:t>
      </w:r>
    </w:p>
  </w:footnote>
  <w:footnote w:id="10">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El memorial fue suscrito por Miguel Ángel González Cha</w:t>
      </w:r>
      <w:r w:rsidRPr="00C01D69">
        <w:rPr>
          <w:lang w:val="es-ES_tradnl"/>
        </w:rPr>
        <w:t xml:space="preserve">ves, director de Desarrollo del Derecho y del Ordenamiento Jurídico del ministerio. </w:t>
      </w:r>
    </w:p>
  </w:footnote>
  <w:footnote w:id="11">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Intervención presentada por el </w:t>
      </w:r>
      <w:r w:rsidRPr="00C01D69">
        <w:rPr>
          <w:lang w:val="es-CO"/>
        </w:rPr>
        <w:t xml:space="preserve">Ministerio de Justicia y del Derecho, folio 6. </w:t>
      </w:r>
    </w:p>
  </w:footnote>
  <w:footnote w:id="12">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Intervención presentada por </w:t>
      </w:r>
      <w:r w:rsidRPr="00C01D69">
        <w:rPr>
          <w:lang w:val="es-CO"/>
        </w:rPr>
        <w:t>Nicolás Mateus Polanco</w:t>
      </w:r>
      <w:r w:rsidRPr="00C01D69">
        <w:rPr>
          <w:lang w:val="es-ES_tradnl"/>
        </w:rPr>
        <w:t xml:space="preserve">, folio 1. </w:t>
      </w:r>
    </w:p>
  </w:footnote>
  <w:footnote w:id="13">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 xml:space="preserve">, folio 2. </w:t>
      </w:r>
    </w:p>
  </w:footnote>
  <w:footnote w:id="14">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El memorial fue recibido el </w:t>
      </w:r>
      <w:r w:rsidRPr="00C01D69">
        <w:rPr>
          <w:lang w:val="es-CO"/>
        </w:rPr>
        <w:t>15 de septiembre de 2023.</w:t>
      </w:r>
    </w:p>
  </w:footnote>
  <w:footnote w:id="15">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Intervención presentada por Pablo Andrés Chacón Luna, folio 2. </w:t>
      </w:r>
    </w:p>
  </w:footnote>
  <w:footnote w:id="16">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 xml:space="preserve">, folio 3. </w:t>
      </w:r>
    </w:p>
  </w:footnote>
  <w:footnote w:id="17">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Intervención presentada por</w:t>
      </w:r>
      <w:r w:rsidRPr="00C01D69">
        <w:rPr>
          <w:lang w:val="es-CO"/>
        </w:rPr>
        <w:t xml:space="preserve"> Ricardo Isaac Noriega Hernández, folio 4.</w:t>
      </w:r>
    </w:p>
  </w:footnote>
  <w:footnote w:id="18">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Intervención presentada por</w:t>
      </w:r>
      <w:r w:rsidRPr="00C01D69">
        <w:rPr>
          <w:lang w:val="es-CO"/>
        </w:rPr>
        <w:t xml:space="preserve"> Santiago Palacio</w:t>
      </w:r>
      <w:r w:rsidRPr="00C01D69">
        <w:rPr>
          <w:lang w:val="es-CO"/>
        </w:rPr>
        <w:t xml:space="preserve"> Núñez, folio 2.</w:t>
      </w:r>
    </w:p>
  </w:footnote>
  <w:footnote w:id="19">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Intervención presentada por </w:t>
      </w:r>
      <w:r w:rsidRPr="00C01D69">
        <w:rPr>
          <w:lang w:val="es-CO"/>
        </w:rPr>
        <w:t>Harold Eduardo Sua Montaña, folio 1.</w:t>
      </w:r>
    </w:p>
  </w:footnote>
  <w:footnote w:id="20">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 folio 2.</w:t>
      </w:r>
    </w:p>
  </w:footnote>
  <w:footnote w:id="21">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w:t>
      </w:r>
    </w:p>
  </w:footnote>
  <w:footnote w:id="22">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w:t>
      </w:r>
    </w:p>
  </w:footnote>
  <w:footnote w:id="23">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El ciudadano informó que la intervención fue presentada en su calidad de coordinador del grupo de investigación de Constitucionalismo Dis</w:t>
      </w:r>
      <w:r w:rsidRPr="00C01D69">
        <w:rPr>
          <w:lang w:val="es-ES_tradnl"/>
        </w:rPr>
        <w:t xml:space="preserve">ruptivo «Pedro Agustín Díaz Afernas», de la Universidad Agraria de Colombia. </w:t>
      </w:r>
    </w:p>
  </w:footnote>
  <w:footnote w:id="24">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Intervención presentada por </w:t>
      </w:r>
      <w:r w:rsidRPr="00C01D69">
        <w:rPr>
          <w:lang w:val="es-CO"/>
        </w:rPr>
        <w:t>Jairo Alberto Delgado Beltrán, folio 2.</w:t>
      </w:r>
    </w:p>
  </w:footnote>
  <w:footnote w:id="25">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El memorial fue suscrito por Gloria María Miranda Espitia, directora de Política de Drogas y Actividades R</w:t>
      </w:r>
      <w:r w:rsidRPr="00C01D69">
        <w:rPr>
          <w:lang w:val="es-ES_tradnl"/>
        </w:rPr>
        <w:t>elacionadas del Ministerio de Justicia y del Derecho.</w:t>
      </w:r>
    </w:p>
  </w:footnote>
  <w:footnote w:id="26">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Intervención presentada por la Dirección de Política de Drogas y Actividades Relacionadas del Ministerio de Justicia y del Derecho, folio 5.</w:t>
      </w:r>
    </w:p>
  </w:footnote>
  <w:footnote w:id="27">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Intervención presentada por la Dirección de la Política d</w:t>
      </w:r>
      <w:r w:rsidRPr="00C01D69">
        <w:rPr>
          <w:lang w:val="es-ES_tradnl"/>
        </w:rPr>
        <w:t>e Drogas y Actividades Relacionadas del Ministerio de Justicia y del Derecho, folio 5.</w:t>
      </w:r>
    </w:p>
  </w:footnote>
  <w:footnote w:id="28">
    <w:p w:rsidR="00B5075E" w:rsidRPr="00C01D69" w:rsidRDefault="005D36F1" w:rsidP="00894FB7">
      <w:pPr>
        <w:pStyle w:val="Textonotapie"/>
        <w:rPr>
          <w:lang w:val="en-US"/>
        </w:rPr>
      </w:pPr>
      <w:r w:rsidRPr="00C01D69">
        <w:rPr>
          <w:rStyle w:val="Refdenotaalpie"/>
        </w:rPr>
        <w:footnoteRef/>
      </w:r>
      <w:r w:rsidRPr="00C01D69">
        <w:rPr>
          <w:lang w:val="en-US"/>
        </w:rPr>
        <w:t xml:space="preserve"> </w:t>
      </w:r>
      <w:r w:rsidRPr="00C01D69">
        <w:rPr>
          <w:i/>
          <w:iCs/>
          <w:lang w:val="en-US"/>
        </w:rPr>
        <w:t>Idem</w:t>
      </w:r>
      <w:r w:rsidRPr="00C01D69">
        <w:rPr>
          <w:lang w:val="en-US"/>
        </w:rPr>
        <w:t xml:space="preserve">. </w:t>
      </w:r>
    </w:p>
  </w:footnote>
  <w:footnote w:id="29">
    <w:p w:rsidR="00B5075E" w:rsidRPr="00C01D69" w:rsidRDefault="005D36F1" w:rsidP="00894FB7">
      <w:pPr>
        <w:pStyle w:val="Textonotapie"/>
        <w:rPr>
          <w:lang w:val="en-US"/>
        </w:rPr>
      </w:pPr>
      <w:r w:rsidRPr="00C01D69">
        <w:rPr>
          <w:rStyle w:val="Refdenotaalpie"/>
        </w:rPr>
        <w:footnoteRef/>
      </w:r>
      <w:r w:rsidRPr="00C01D69">
        <w:rPr>
          <w:lang w:val="en-US"/>
        </w:rPr>
        <w:t xml:space="preserve"> </w:t>
      </w:r>
      <w:r w:rsidRPr="00C01D69">
        <w:rPr>
          <w:i/>
          <w:iCs/>
          <w:lang w:val="en-US"/>
        </w:rPr>
        <w:t>Idem</w:t>
      </w:r>
      <w:r w:rsidRPr="00C01D69">
        <w:rPr>
          <w:lang w:val="en-US"/>
        </w:rPr>
        <w:t xml:space="preserve">. </w:t>
      </w:r>
    </w:p>
  </w:footnote>
  <w:footnote w:id="30">
    <w:p w:rsidR="00B5075E" w:rsidRPr="00C01D69" w:rsidRDefault="005D36F1" w:rsidP="00894FB7">
      <w:pPr>
        <w:pStyle w:val="Textonotapie"/>
        <w:rPr>
          <w:lang w:val="en-US"/>
        </w:rPr>
      </w:pPr>
      <w:r w:rsidRPr="00C01D69">
        <w:rPr>
          <w:rStyle w:val="Refdenotaalpie"/>
        </w:rPr>
        <w:footnoteRef/>
      </w:r>
      <w:r w:rsidRPr="00C01D69">
        <w:rPr>
          <w:lang w:val="en-US"/>
        </w:rPr>
        <w:t xml:space="preserve"> </w:t>
      </w:r>
      <w:r w:rsidRPr="00C01D69">
        <w:rPr>
          <w:i/>
          <w:iCs/>
          <w:lang w:val="en-US"/>
        </w:rPr>
        <w:t>Idem</w:t>
      </w:r>
      <w:r w:rsidRPr="00C01D69">
        <w:rPr>
          <w:lang w:val="en-US"/>
        </w:rPr>
        <w:t>.</w:t>
      </w:r>
    </w:p>
  </w:footnote>
  <w:footnote w:id="31">
    <w:p w:rsidR="00B5075E" w:rsidRPr="00C01D69" w:rsidRDefault="005D36F1" w:rsidP="00894FB7">
      <w:pPr>
        <w:pStyle w:val="Textonotapie"/>
        <w:rPr>
          <w:lang w:val="en-US"/>
        </w:rPr>
      </w:pPr>
      <w:r w:rsidRPr="00C01D69">
        <w:rPr>
          <w:rStyle w:val="Refdenotaalpie"/>
        </w:rPr>
        <w:footnoteRef/>
      </w:r>
      <w:r w:rsidRPr="00C01D69">
        <w:rPr>
          <w:lang w:val="en-US"/>
        </w:rPr>
        <w:t xml:space="preserve"> </w:t>
      </w:r>
      <w:r w:rsidRPr="00C01D69">
        <w:rPr>
          <w:i/>
          <w:iCs/>
          <w:lang w:val="en-US"/>
        </w:rPr>
        <w:t>Idem</w:t>
      </w:r>
      <w:r w:rsidRPr="00C01D69">
        <w:rPr>
          <w:lang w:val="en-US"/>
        </w:rPr>
        <w:t>.</w:t>
      </w:r>
    </w:p>
  </w:footnote>
  <w:footnote w:id="32">
    <w:p w:rsidR="00B5075E" w:rsidRPr="00C01D69" w:rsidRDefault="005D36F1" w:rsidP="00894FB7">
      <w:pPr>
        <w:pStyle w:val="Textonotapie"/>
        <w:rPr>
          <w:lang w:val="en-US"/>
        </w:rPr>
      </w:pPr>
      <w:r w:rsidRPr="00C01D69">
        <w:rPr>
          <w:rStyle w:val="Refdenotaalpie"/>
        </w:rPr>
        <w:footnoteRef/>
      </w:r>
      <w:r w:rsidRPr="00C01D69">
        <w:rPr>
          <w:lang w:val="en-US"/>
        </w:rPr>
        <w:t xml:space="preserve"> </w:t>
      </w:r>
      <w:r w:rsidRPr="00C01D69">
        <w:rPr>
          <w:i/>
          <w:iCs/>
          <w:lang w:val="en-US"/>
        </w:rPr>
        <w:t>Idem</w:t>
      </w:r>
      <w:r w:rsidRPr="00C01D69">
        <w:rPr>
          <w:lang w:val="en-US"/>
        </w:rPr>
        <w:t>.</w:t>
      </w:r>
    </w:p>
  </w:footnote>
  <w:footnote w:id="33">
    <w:p w:rsidR="00B5075E" w:rsidRPr="00C01D69" w:rsidRDefault="005D36F1" w:rsidP="00894FB7">
      <w:pPr>
        <w:pStyle w:val="Textonotapie"/>
        <w:rPr>
          <w:lang w:val="es-ES_tradnl"/>
        </w:rPr>
      </w:pPr>
      <w:r w:rsidRPr="00C01D69">
        <w:rPr>
          <w:rStyle w:val="Refdenotaalpie"/>
        </w:rPr>
        <w:footnoteRef/>
      </w:r>
      <w:r w:rsidRPr="00C01D69">
        <w:t xml:space="preserve"> Intervención presentada por </w:t>
      </w:r>
      <w:r w:rsidRPr="00C01D69">
        <w:rPr>
          <w:color w:val="000000" w:themeColor="text1"/>
        </w:rPr>
        <w:t xml:space="preserve">Alejandra León Gómez, folio 4. </w:t>
      </w:r>
    </w:p>
  </w:footnote>
  <w:footnote w:id="34">
    <w:p w:rsidR="00B5075E" w:rsidRPr="00C01D69" w:rsidRDefault="005D36F1" w:rsidP="00894FB7">
      <w:pPr>
        <w:pStyle w:val="Textonotapie"/>
        <w:rPr>
          <w:i/>
          <w:iCs/>
          <w:lang w:val="es-ES_tradnl"/>
        </w:rPr>
      </w:pPr>
      <w:r w:rsidRPr="00C01D69">
        <w:rPr>
          <w:rStyle w:val="Refdenotaalpie"/>
        </w:rPr>
        <w:footnoteRef/>
      </w:r>
      <w:r w:rsidRPr="00C01D69">
        <w:t xml:space="preserve"> </w:t>
      </w:r>
      <w:r w:rsidRPr="00C01D69">
        <w:rPr>
          <w:i/>
          <w:iCs/>
          <w:lang w:val="es-ES_tradnl"/>
        </w:rPr>
        <w:t>Idem.</w:t>
      </w:r>
    </w:p>
  </w:footnote>
  <w:footnote w:id="35">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 folio 5.</w:t>
      </w:r>
    </w:p>
  </w:footnote>
  <w:footnote w:id="36">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Intervención presentada por Alejandro Mican Vanegas, folio 1. </w:t>
      </w:r>
    </w:p>
  </w:footnote>
  <w:footnote w:id="37">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Intervención presentada por Ana María Caro Cabuyo, folio 4.</w:t>
      </w:r>
    </w:p>
  </w:footnote>
  <w:footnote w:id="38">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Concepto de la Procuraduría General de la Nación, folio 2. </w:t>
      </w:r>
    </w:p>
  </w:footnote>
  <w:footnote w:id="39">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 xml:space="preserve">, folio 3. </w:t>
      </w:r>
    </w:p>
  </w:footnote>
  <w:footnote w:id="40">
    <w:p w:rsidR="00B5075E" w:rsidRPr="00C01D69" w:rsidRDefault="005D36F1" w:rsidP="00605EDD">
      <w:pPr>
        <w:pStyle w:val="Textonotapie"/>
        <w:rPr>
          <w:lang w:val="es-ES_tradnl"/>
        </w:rPr>
      </w:pPr>
      <w:r w:rsidRPr="00C01D69">
        <w:rPr>
          <w:rStyle w:val="Refdenotaalpie"/>
        </w:rPr>
        <w:footnoteRef/>
      </w:r>
      <w:r w:rsidRPr="00C01D69">
        <w:t xml:space="preserve"> </w:t>
      </w:r>
      <w:r w:rsidRPr="00C01D69">
        <w:rPr>
          <w:lang w:val="es-ES_tradnl"/>
        </w:rPr>
        <w:t xml:space="preserve">Intervención presentada por el ciudadano Harold </w:t>
      </w:r>
      <w:r w:rsidRPr="00C01D69">
        <w:rPr>
          <w:lang w:val="es-ES_tradnl"/>
        </w:rPr>
        <w:t>Sua Montaña, folio 1.</w:t>
      </w:r>
    </w:p>
  </w:footnote>
  <w:footnote w:id="41">
    <w:p w:rsidR="00B5075E" w:rsidRPr="00C01D69" w:rsidRDefault="005D36F1" w:rsidP="00605EDD">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 folio 2.</w:t>
      </w:r>
    </w:p>
  </w:footnote>
  <w:footnote w:id="42">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Intervención presentada por el Ministerio de Justicia y del Derecho, folio 4. </w:t>
      </w:r>
    </w:p>
  </w:footnote>
  <w:footnote w:id="43">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 xml:space="preserve">. </w:t>
      </w:r>
    </w:p>
  </w:footnote>
  <w:footnote w:id="44">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Sentencia C-1052 de 2001. </w:t>
      </w:r>
    </w:p>
  </w:footnote>
  <w:footnote w:id="45">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w:t>
      </w:r>
    </w:p>
  </w:footnote>
  <w:footnote w:id="46">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Escrito de corrección de demanda, folio 16.</w:t>
      </w:r>
    </w:p>
  </w:footnote>
  <w:footnote w:id="47">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w:t>
      </w:r>
    </w:p>
  </w:footnote>
  <w:footnote w:id="48">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w:t>
      </w:r>
    </w:p>
  </w:footnote>
  <w:footnote w:id="49">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 folio 6.</w:t>
      </w:r>
    </w:p>
  </w:footnote>
  <w:footnote w:id="50">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Sentencia C-461 de 2023. </w:t>
      </w:r>
    </w:p>
  </w:footnote>
  <w:footnote w:id="51">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Sentencia C-120 de 2023. </w:t>
      </w:r>
    </w:p>
  </w:footnote>
  <w:footnote w:id="52">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CO"/>
        </w:rPr>
        <w:t>Sentencia C-489 de 2023.</w:t>
      </w:r>
    </w:p>
  </w:footnote>
  <w:footnote w:id="53">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Intervención presentada por el Ministerio de Justicia y del Derecho, folio 6.</w:t>
      </w:r>
    </w:p>
  </w:footnote>
  <w:footnote w:id="54">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 xml:space="preserve">. </w:t>
      </w:r>
    </w:p>
  </w:footnote>
  <w:footnote w:id="55">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CO"/>
        </w:rPr>
        <w:t>Sentencia C-489 de 2023.</w:t>
      </w:r>
    </w:p>
  </w:footnote>
  <w:footnote w:id="56">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w:t>
      </w:r>
    </w:p>
  </w:footnote>
  <w:footnote w:id="57">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Sentencia C-1052 de 2001.</w:t>
      </w:r>
    </w:p>
  </w:footnote>
  <w:footnote w:id="58">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Sentencia C-221 de 1994. </w:t>
      </w:r>
    </w:p>
  </w:footnote>
  <w:footnote w:id="59">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Artículo 154.5 del Código Civil. </w:t>
      </w:r>
    </w:p>
  </w:footnote>
  <w:footnote w:id="60">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Sentencia C-221 de 1994.</w:t>
      </w:r>
    </w:p>
  </w:footnote>
  <w:footnote w:id="61">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color w:val="2D2D2D"/>
          <w:shd w:val="clear" w:color="auto" w:fill="FFFFFF"/>
        </w:rPr>
        <w:t>Sentencia C-246 de 2017.</w:t>
      </w:r>
    </w:p>
  </w:footnote>
  <w:footnote w:id="62">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Sentencia C-221 de 1994.</w:t>
      </w:r>
    </w:p>
  </w:footnote>
  <w:footnote w:id="63">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Sentencia C-370 de 2021.</w:t>
      </w:r>
    </w:p>
  </w:footnote>
  <w:footnote w:id="64">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color w:val="2D2D2D"/>
          <w:shd w:val="clear" w:color="auto" w:fill="FFFFFF"/>
        </w:rPr>
        <w:t>Sentencia C-309 de 1997.</w:t>
      </w:r>
    </w:p>
  </w:footnote>
  <w:footnote w:id="65">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 xml:space="preserve">. </w:t>
      </w:r>
    </w:p>
  </w:footnote>
  <w:footnote w:id="66">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Sentencia C-040 de 2006. Sobre el particular, en</w:t>
      </w:r>
      <w:r w:rsidRPr="00C01D69">
        <w:rPr>
          <w:lang w:val="es-ES_tradnl"/>
        </w:rPr>
        <w:t xml:space="preserve"> la Sentencia C-309 de 1997, la Sala Plena declaró que «</w:t>
      </w:r>
      <w:r w:rsidRPr="00C01D69">
        <w:rPr>
          <w:lang w:val="es-CO"/>
        </w:rPr>
        <w:t>[u]na legítima medida de protección de los intereses de la propia persona se trueca en un ilegítimo perfeccionismo cuando las prohibiciones ya no se limitan a proteger al individuo frente a situacione</w:t>
      </w:r>
      <w:r w:rsidRPr="00C01D69">
        <w:rPr>
          <w:lang w:val="es-CO"/>
        </w:rPr>
        <w:t xml:space="preserve">s de incompetencia o de debilidad de voluntad, sino que se traducen en la prohibición de actividades que no afectan derechos de terceros y que constituyen para la persona elementos vitales de realización personal». </w:t>
      </w:r>
    </w:p>
  </w:footnote>
  <w:footnote w:id="67">
    <w:p w:rsidR="00B5075E" w:rsidRPr="00C01D69" w:rsidRDefault="005D36F1" w:rsidP="00894FB7">
      <w:pPr>
        <w:pStyle w:val="Textonotapie"/>
        <w:rPr>
          <w:lang w:val="es-ES_tradnl"/>
        </w:rPr>
      </w:pPr>
      <w:r w:rsidRPr="00C01D69">
        <w:rPr>
          <w:rStyle w:val="Refdenotaalpie"/>
        </w:rPr>
        <w:footnoteRef/>
      </w:r>
      <w:r w:rsidRPr="00C01D69">
        <w:t xml:space="preserve"> Helvecio, Claude-Adrien, </w:t>
      </w:r>
      <w:r w:rsidRPr="00C01D69">
        <w:rPr>
          <w:i/>
          <w:iCs/>
        </w:rPr>
        <w:t>Del espíritu,</w:t>
      </w:r>
      <w:r w:rsidRPr="00C01D69">
        <w:rPr>
          <w:i/>
          <w:iCs/>
        </w:rPr>
        <w:t xml:space="preserve"> </w:t>
      </w:r>
      <w:r w:rsidRPr="00C01D69">
        <w:rPr>
          <w:lang w:val="es-ES_tradnl"/>
        </w:rPr>
        <w:t xml:space="preserve">Discurso I, capítulo IV, </w:t>
      </w:r>
    </w:p>
  </w:footnote>
  <w:footnote w:id="68">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Artículo 16 de la Constitución.</w:t>
      </w:r>
    </w:p>
  </w:footnote>
  <w:footnote w:id="69">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Sentencia C-221 de 1994. </w:t>
      </w:r>
    </w:p>
  </w:footnote>
  <w:footnote w:id="70">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Sentencia T-124 de 1998, reiterada, entre otras, en las sentencias C-273 de 2002 y C-350 de 2009. </w:t>
      </w:r>
    </w:p>
  </w:footnote>
  <w:footnote w:id="71">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Sentencia T-565 de 2013.</w:t>
      </w:r>
    </w:p>
  </w:footnote>
  <w:footnote w:id="72">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 xml:space="preserve">. </w:t>
      </w:r>
    </w:p>
  </w:footnote>
  <w:footnote w:id="73">
    <w:p w:rsidR="00B5075E" w:rsidRPr="00C01D69" w:rsidRDefault="005D36F1" w:rsidP="00894FB7">
      <w:pPr>
        <w:pStyle w:val="Textonotapie"/>
        <w:rPr>
          <w:lang w:val="es-ES_tradnl"/>
        </w:rPr>
      </w:pPr>
      <w:r w:rsidRPr="00C01D69">
        <w:rPr>
          <w:rStyle w:val="Refdenotaalpie"/>
        </w:rPr>
        <w:footnoteRef/>
      </w:r>
      <w:r w:rsidRPr="00C01D69">
        <w:t xml:space="preserve"> En la Sentencia T-881 de 2002, esta corporación manifestó lo siguiente: «</w:t>
      </w:r>
      <w:r w:rsidRPr="00C01D69">
        <w:rPr>
          <w:lang w:val="es-CO"/>
        </w:rPr>
        <w:t>Al tener como punto de vista el objeto de protección del enunciado normativo “dignidad humana”, la Sala ha identificado a lo largo de la jurisprudencia de la Corte, tres lineamientos</w:t>
      </w:r>
      <w:r w:rsidRPr="00C01D69">
        <w:rPr>
          <w:lang w:val="es-CO"/>
        </w:rPr>
        <w:t xml:space="preserve"> claros y diferenciables: (i) La dignidad humana entendida como autonomía o como posibilidad de diseñar un plan vital y de determinarse según sus características (vivir como quiera). (ii) La dignidad humana entendida como ciertas condiciones materiales con</w:t>
      </w:r>
      <w:r w:rsidRPr="00C01D69">
        <w:rPr>
          <w:lang w:val="es-CO"/>
        </w:rPr>
        <w:t>cretas de existencia (vivir bien). Y (iii) la dignidad humana entendida como intangibilidad de los bienes no patrimoniales, integridad física e integridad moral (vivir sin humillaciones)». Más recientemente, la Sala Plena ha reformulado los términos que re</w:t>
      </w:r>
      <w:r w:rsidRPr="00C01D69">
        <w:rPr>
          <w:lang w:val="es-CO"/>
        </w:rPr>
        <w:t>fieren el contenido del derecho. Su contenido, pese al ajuste formal, sigue siendo el mismo: «De este principio rector se derivan tres dimensiones: (i) la autonomía o posibilidad de diseñar un plan vital según el proyecto de vida que cada persona juzgue ad</w:t>
      </w:r>
      <w:r w:rsidRPr="00C01D69">
        <w:rPr>
          <w:lang w:val="es-CO"/>
        </w:rPr>
        <w:t>ecuado, (ii) la dignidad humana entendida como algunas condiciones materiales que permiten vivir bien, y (iii) la intangibilidad de bienes no patrimoniales para vivir sin humillaciones» (Sentencia C-164 de 2022).</w:t>
      </w:r>
    </w:p>
  </w:footnote>
  <w:footnote w:id="74">
    <w:p w:rsidR="00B5075E" w:rsidRPr="00C01D69" w:rsidRDefault="005D36F1" w:rsidP="00894FB7">
      <w:pPr>
        <w:pStyle w:val="Textonotapie"/>
        <w:rPr>
          <w:lang w:val="es-ES_tradnl"/>
        </w:rPr>
      </w:pPr>
      <w:r w:rsidRPr="00C01D69">
        <w:rPr>
          <w:rStyle w:val="Refdenotaalpie"/>
        </w:rPr>
        <w:footnoteRef/>
      </w:r>
      <w:r w:rsidRPr="00C01D69">
        <w:t xml:space="preserve"> Sentencia T-062 de 2018.</w:t>
      </w:r>
    </w:p>
  </w:footnote>
  <w:footnote w:id="75">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CO"/>
        </w:rPr>
        <w:t xml:space="preserve">Sentencia C-221 de 1994. </w:t>
      </w:r>
    </w:p>
  </w:footnote>
  <w:footnote w:id="76">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CO"/>
        </w:rPr>
        <w:t>Sentencia C-574 de 2011.</w:t>
      </w:r>
    </w:p>
  </w:footnote>
  <w:footnote w:id="77">
    <w:p w:rsidR="00B5075E" w:rsidRPr="00C01D69" w:rsidRDefault="005D36F1" w:rsidP="00894FB7">
      <w:pPr>
        <w:pStyle w:val="Textonotapie"/>
        <w:rPr>
          <w:i/>
          <w:iCs/>
          <w:lang w:val="es-ES_tradnl"/>
        </w:rPr>
      </w:pPr>
      <w:r w:rsidRPr="00C01D69">
        <w:rPr>
          <w:rStyle w:val="Refdenotaalpie"/>
        </w:rPr>
        <w:footnoteRef/>
      </w:r>
      <w:r w:rsidRPr="00C01D69">
        <w:t xml:space="preserve"> </w:t>
      </w:r>
      <w:r w:rsidRPr="00C01D69">
        <w:rPr>
          <w:i/>
          <w:iCs/>
          <w:lang w:val="es-ES_tradnl"/>
        </w:rPr>
        <w:t xml:space="preserve">Idem. </w:t>
      </w:r>
    </w:p>
  </w:footnote>
  <w:footnote w:id="78">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CO"/>
        </w:rPr>
        <w:t>Sentencia C-491 de 2012.</w:t>
      </w:r>
    </w:p>
  </w:footnote>
  <w:footnote w:id="79">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p>
  </w:footnote>
  <w:footnote w:id="80">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p>
  </w:footnote>
  <w:footnote w:id="81">
    <w:p w:rsidR="00B5075E" w:rsidRPr="00C01D69" w:rsidRDefault="005D36F1" w:rsidP="00894FB7">
      <w:pPr>
        <w:pStyle w:val="Textonotapie"/>
      </w:pPr>
      <w:r w:rsidRPr="00C01D69">
        <w:rPr>
          <w:rStyle w:val="Refdenotaalpie"/>
        </w:rPr>
        <w:footnoteRef/>
      </w:r>
      <w:r w:rsidRPr="00C01D69">
        <w:t xml:space="preserve"> </w:t>
      </w:r>
      <w:r w:rsidRPr="00C01D69">
        <w:rPr>
          <w:lang w:val="es-CO"/>
        </w:rPr>
        <w:t>Sentencia C-252 de 2003.</w:t>
      </w:r>
    </w:p>
  </w:footnote>
  <w:footnote w:id="82">
    <w:p w:rsidR="00B5075E" w:rsidRPr="00C01D69" w:rsidRDefault="005D36F1" w:rsidP="00894FB7">
      <w:pPr>
        <w:pStyle w:val="Textonotapie"/>
      </w:pPr>
      <w:r w:rsidRPr="00C01D69">
        <w:rPr>
          <w:rStyle w:val="Refdenotaalpie"/>
        </w:rPr>
        <w:footnoteRef/>
      </w:r>
      <w:r w:rsidRPr="00C01D69">
        <w:t xml:space="preserve"> </w:t>
      </w:r>
      <w:r w:rsidRPr="00C01D69">
        <w:rPr>
          <w:i/>
          <w:iCs/>
        </w:rPr>
        <w:t>Idem</w:t>
      </w:r>
      <w:r w:rsidRPr="00C01D69">
        <w:t xml:space="preserve">. </w:t>
      </w:r>
    </w:p>
  </w:footnote>
  <w:footnote w:id="83">
    <w:p w:rsidR="00B5075E" w:rsidRPr="00C01D69" w:rsidRDefault="005D36F1" w:rsidP="00894FB7">
      <w:pPr>
        <w:pStyle w:val="Textonotapie"/>
      </w:pPr>
      <w:r w:rsidRPr="00C01D69">
        <w:rPr>
          <w:rStyle w:val="Refdenotaalpie"/>
        </w:rPr>
        <w:footnoteRef/>
      </w:r>
      <w:r w:rsidRPr="00C01D69">
        <w:t xml:space="preserve"> </w:t>
      </w:r>
      <w:r w:rsidRPr="00C01D69">
        <w:rPr>
          <w:lang w:val="es-CO"/>
        </w:rPr>
        <w:t>Sentencia C-431 de 2004.</w:t>
      </w:r>
    </w:p>
  </w:footnote>
  <w:footnote w:id="84">
    <w:p w:rsidR="00B5075E" w:rsidRPr="00C01D69" w:rsidRDefault="005D36F1" w:rsidP="00894FB7">
      <w:pPr>
        <w:pStyle w:val="Textonotapie"/>
      </w:pPr>
      <w:r w:rsidRPr="00C01D69">
        <w:rPr>
          <w:rStyle w:val="Refdenotaalpie"/>
        </w:rPr>
        <w:footnoteRef/>
      </w:r>
      <w:r w:rsidRPr="00C01D69">
        <w:t xml:space="preserve"> </w:t>
      </w:r>
      <w:r w:rsidRPr="00C01D69">
        <w:rPr>
          <w:i/>
          <w:iCs/>
        </w:rPr>
        <w:t>Idem</w:t>
      </w:r>
      <w:r w:rsidRPr="00C01D69">
        <w:t xml:space="preserve">. </w:t>
      </w:r>
    </w:p>
  </w:footnote>
  <w:footnote w:id="85">
    <w:p w:rsidR="00B5075E" w:rsidRPr="00C01D69" w:rsidRDefault="005D36F1" w:rsidP="00894FB7">
      <w:pPr>
        <w:pStyle w:val="Textonotapie"/>
      </w:pPr>
      <w:r w:rsidRPr="00C01D69">
        <w:rPr>
          <w:rStyle w:val="Refdenotaalpie"/>
        </w:rPr>
        <w:footnoteRef/>
      </w:r>
      <w:r w:rsidRPr="00C01D69">
        <w:t xml:space="preserve"> </w:t>
      </w:r>
      <w:r w:rsidRPr="00C01D69">
        <w:rPr>
          <w:i/>
          <w:iCs/>
        </w:rPr>
        <w:t>Idem</w:t>
      </w:r>
      <w:r w:rsidRPr="00C01D69">
        <w:t>.</w:t>
      </w:r>
    </w:p>
  </w:footnote>
  <w:footnote w:id="86">
    <w:p w:rsidR="00B5075E" w:rsidRPr="00C01D69" w:rsidRDefault="005D36F1" w:rsidP="00894FB7">
      <w:pPr>
        <w:pStyle w:val="Textonotapie"/>
      </w:pPr>
      <w:r w:rsidRPr="00C01D69">
        <w:rPr>
          <w:rStyle w:val="Refdenotaalpie"/>
        </w:rPr>
        <w:footnoteRef/>
      </w:r>
      <w:r w:rsidRPr="00C01D69">
        <w:t xml:space="preserve"> </w:t>
      </w:r>
      <w:r w:rsidRPr="00C01D69">
        <w:rPr>
          <w:i/>
          <w:iCs/>
        </w:rPr>
        <w:t>Idem</w:t>
      </w:r>
      <w:r w:rsidRPr="00C01D69">
        <w:t>.</w:t>
      </w:r>
    </w:p>
  </w:footnote>
  <w:footnote w:id="87">
    <w:p w:rsidR="00B5075E" w:rsidRPr="00C01D69" w:rsidRDefault="005D36F1" w:rsidP="00894FB7">
      <w:pPr>
        <w:pStyle w:val="Textonotapie"/>
      </w:pPr>
      <w:r w:rsidRPr="00C01D69">
        <w:rPr>
          <w:rStyle w:val="Refdenotaalpie"/>
        </w:rPr>
        <w:footnoteRef/>
      </w:r>
      <w:r w:rsidRPr="00C01D69">
        <w:t xml:space="preserve"> </w:t>
      </w:r>
      <w:r w:rsidRPr="00C01D69">
        <w:rPr>
          <w:lang w:val="es-CO"/>
        </w:rPr>
        <w:t>Sentencia C-636 de 2016.</w:t>
      </w:r>
    </w:p>
  </w:footnote>
  <w:footnote w:id="88">
    <w:p w:rsidR="00B5075E" w:rsidRPr="00C01D69" w:rsidRDefault="005D36F1" w:rsidP="00894FB7">
      <w:pPr>
        <w:pStyle w:val="Textonotapie"/>
      </w:pPr>
      <w:r w:rsidRPr="00C01D69">
        <w:rPr>
          <w:rStyle w:val="Refdenotaalpie"/>
        </w:rPr>
        <w:footnoteRef/>
      </w:r>
      <w:r w:rsidRPr="00C01D69">
        <w:t xml:space="preserve"> </w:t>
      </w:r>
      <w:r w:rsidRPr="00C01D69">
        <w:rPr>
          <w:i/>
          <w:iCs/>
        </w:rPr>
        <w:t>Idem</w:t>
      </w:r>
      <w:r w:rsidRPr="00C01D69">
        <w:t xml:space="preserve">. </w:t>
      </w:r>
    </w:p>
  </w:footnote>
  <w:footnote w:id="89">
    <w:p w:rsidR="00B5075E" w:rsidRPr="00C01D69" w:rsidRDefault="005D36F1" w:rsidP="00894FB7">
      <w:pPr>
        <w:pStyle w:val="Textonotapie"/>
      </w:pPr>
      <w:r w:rsidRPr="00C01D69">
        <w:rPr>
          <w:rStyle w:val="Refdenotaalpie"/>
        </w:rPr>
        <w:footnoteRef/>
      </w:r>
      <w:r w:rsidRPr="00C01D69">
        <w:t xml:space="preserve"> </w:t>
      </w:r>
      <w:r w:rsidRPr="00C01D69">
        <w:rPr>
          <w:i/>
          <w:iCs/>
        </w:rPr>
        <w:t>Idem</w:t>
      </w:r>
      <w:r w:rsidRPr="00C01D69">
        <w:t>.</w:t>
      </w:r>
    </w:p>
  </w:footnote>
  <w:footnote w:id="90">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Artículo 33 de la</w:t>
      </w:r>
      <w:r w:rsidRPr="00C01D69">
        <w:rPr>
          <w:lang w:val="es-ES_tradnl"/>
        </w:rPr>
        <w:t xml:space="preserve"> Ley </w:t>
      </w:r>
      <w:r w:rsidRPr="00C01D69">
        <w:rPr>
          <w:lang w:val="es-CO"/>
        </w:rPr>
        <w:t>801 de 2016.</w:t>
      </w:r>
    </w:p>
  </w:footnote>
  <w:footnote w:id="91">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Artículo 140 de la Ley </w:t>
      </w:r>
      <w:r w:rsidRPr="00C01D69">
        <w:rPr>
          <w:lang w:val="es-CO"/>
        </w:rPr>
        <w:t>801 de 2016.</w:t>
      </w:r>
    </w:p>
  </w:footnote>
  <w:footnote w:id="92">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CO"/>
        </w:rPr>
        <w:t>Sentencia C-253 de 2019.</w:t>
      </w:r>
    </w:p>
  </w:footnote>
  <w:footnote w:id="93">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 xml:space="preserve">. </w:t>
      </w:r>
    </w:p>
  </w:footnote>
  <w:footnote w:id="94">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Artículo primero de la Ley 2000 de 2019. </w:t>
      </w:r>
    </w:p>
  </w:footnote>
  <w:footnote w:id="95">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CO"/>
        </w:rPr>
        <w:t>Sentencia C-127 de 2023.</w:t>
      </w:r>
    </w:p>
  </w:footnote>
  <w:footnote w:id="96">
    <w:p w:rsidR="00B5075E" w:rsidRPr="00C01D69" w:rsidRDefault="005D36F1" w:rsidP="00894FB7">
      <w:pPr>
        <w:pStyle w:val="Textonotapie"/>
        <w:rPr>
          <w:i/>
          <w:iCs/>
          <w:lang w:val="es-ES_tradnl"/>
        </w:rPr>
      </w:pPr>
      <w:r w:rsidRPr="00C01D69">
        <w:rPr>
          <w:rStyle w:val="Refdenotaalpie"/>
        </w:rPr>
        <w:footnoteRef/>
      </w:r>
      <w:r w:rsidRPr="00C01D69">
        <w:t xml:space="preserve"> </w:t>
      </w:r>
      <w:r w:rsidRPr="00C01D69">
        <w:rPr>
          <w:i/>
          <w:iCs/>
          <w:lang w:val="es-ES_tradnl"/>
        </w:rPr>
        <w:t xml:space="preserve">Idem. </w:t>
      </w:r>
    </w:p>
  </w:footnote>
  <w:footnote w:id="97">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p>
  </w:footnote>
  <w:footnote w:id="98">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 xml:space="preserve">, orden cuarta de la parte resolutiva. </w:t>
      </w:r>
    </w:p>
  </w:footnote>
  <w:footnote w:id="99">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Sentencias C-131 de 2014, </w:t>
      </w:r>
      <w:r w:rsidRPr="00C01D69">
        <w:rPr>
          <w:lang w:val="es-ES_tradnl"/>
        </w:rPr>
        <w:t>C-821 de 2005 y T-813 de 2000.</w:t>
      </w:r>
    </w:p>
  </w:footnote>
  <w:footnote w:id="100">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En cuanto a sus consecuencias jurídicas, en la Sentencia C-821 de 2005, la Sala Plena advirtió que «</w:t>
      </w:r>
      <w:r w:rsidRPr="00C01D69">
        <w:rPr>
          <w:lang w:val="es-CO"/>
        </w:rPr>
        <w:t>el contrato matrimonial produce dos tipos de efectos: (i) los efectos de orden personal, que tienen que ver con los derecho</w:t>
      </w:r>
      <w:r w:rsidRPr="00C01D69">
        <w:rPr>
          <w:lang w:val="es-CO"/>
        </w:rPr>
        <w:t>s y obligaciones que surgen entre los cónyuges y en relación con los hijos, y (ii) los efectos de orden patrimonial, consecuencia de la existencia de la sociedad conyugal o comunidad de bienes que se forma con ocasión del matrimonio».</w:t>
      </w:r>
    </w:p>
  </w:footnote>
  <w:footnote w:id="101">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Sentencia C-394 de </w:t>
      </w:r>
      <w:r w:rsidRPr="00C01D69">
        <w:rPr>
          <w:lang w:val="es-ES_tradnl"/>
        </w:rPr>
        <w:t>2017. En esta providencia, la Sala Plena manifestó lo siguiente: «</w:t>
      </w:r>
      <w:r w:rsidRPr="00C01D69">
        <w:rPr>
          <w:lang w:val="es-CO"/>
        </w:rPr>
        <w:t>La jurisprudencia constitucional ha reconocido que el matrimonio civil es un contrato solemne que genera derechos e impone deberes recíprocos a los cónyuges, es decir, es “es un acto constit</w:t>
      </w:r>
      <w:r w:rsidRPr="00C01D69">
        <w:rPr>
          <w:lang w:val="es-CO"/>
        </w:rPr>
        <w:t>utivo de familia que genera deberes en cabeza de los cónyuges”. Ello es así en tanto el artículo 113 del Código Civil dota de naturaleza contractual al matrimonio, asignándole un alcance bilateral habida cuenta [de] que los consortes acuden a él de forma l</w:t>
      </w:r>
      <w:r w:rsidRPr="00C01D69">
        <w:rPr>
          <w:lang w:val="es-CO"/>
        </w:rPr>
        <w:t>ibre y se unen por mutuo consentimiento con la finalidad de vivir juntos, procrear y auxiliarse».</w:t>
      </w:r>
    </w:p>
  </w:footnote>
  <w:footnote w:id="102">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Sentencia C-821 de 2005</w:t>
      </w:r>
    </w:p>
  </w:footnote>
  <w:footnote w:id="103">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Sentencia C-394 de 2017.</w:t>
      </w:r>
    </w:p>
  </w:footnote>
  <w:footnote w:id="104">
    <w:p w:rsidR="00B5075E" w:rsidRPr="00C01D69" w:rsidRDefault="005D36F1" w:rsidP="00894FB7">
      <w:pPr>
        <w:pStyle w:val="Textonotapie"/>
        <w:rPr>
          <w:lang w:val="es-CO"/>
        </w:rPr>
      </w:pPr>
      <w:r w:rsidRPr="00C01D69">
        <w:rPr>
          <w:rStyle w:val="Refdenotaalpie"/>
        </w:rPr>
        <w:footnoteRef/>
      </w:r>
      <w:r w:rsidRPr="00C01D69">
        <w:t xml:space="preserve"> </w:t>
      </w:r>
      <w:r w:rsidRPr="00C01D69">
        <w:rPr>
          <w:lang w:val="es-ES_tradnl"/>
        </w:rPr>
        <w:t>En el mismo sentido, en la Sentencia C-507 de 2004, la Sala Plena declaró que «</w:t>
      </w:r>
      <w:r w:rsidRPr="00C01D69">
        <w:rPr>
          <w:color w:val="2D2D2D"/>
          <w:shd w:val="clear" w:color="auto" w:fill="FFFFFF"/>
        </w:rPr>
        <w:t>[e]</w:t>
      </w:r>
      <w:r w:rsidRPr="00C01D69">
        <w:rPr>
          <w:lang w:val="es-CO"/>
        </w:rPr>
        <w:t>l dere</w:t>
      </w:r>
      <w:r w:rsidRPr="00C01D69">
        <w:rPr>
          <w:lang w:val="es-CO"/>
        </w:rPr>
        <w:softHyphen/>
        <w:t xml:space="preserve">cho a </w:t>
      </w:r>
      <w:r w:rsidRPr="00C01D69">
        <w:rPr>
          <w:lang w:val="es-CO"/>
        </w:rPr>
        <w:t>“contraer matrimonio” es </w:t>
      </w:r>
      <w:r w:rsidRPr="00C01D69">
        <w:rPr>
          <w:i/>
          <w:iCs/>
          <w:lang w:val="es-CO"/>
        </w:rPr>
        <w:t>constitucional</w:t>
      </w:r>
      <w:r w:rsidRPr="00C01D69">
        <w:rPr>
          <w:lang w:val="es-CO"/>
        </w:rPr>
        <w:t> y es </w:t>
      </w:r>
      <w:r w:rsidRPr="00C01D69">
        <w:rPr>
          <w:i/>
          <w:iCs/>
          <w:lang w:val="es-CO"/>
        </w:rPr>
        <w:t>funda</w:t>
      </w:r>
      <w:r w:rsidRPr="00C01D69">
        <w:rPr>
          <w:i/>
          <w:iCs/>
          <w:lang w:val="es-CO"/>
        </w:rPr>
        <w:softHyphen/>
        <w:t>mental</w:t>
      </w:r>
      <w:r w:rsidRPr="00C01D69">
        <w:rPr>
          <w:lang w:val="es-CO"/>
        </w:rPr>
        <w:t>. Además, constituye una de las formas más importantes de ejercer la libertad de fundar una familia».</w:t>
      </w:r>
    </w:p>
  </w:footnote>
  <w:footnote w:id="105">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Sentencia C-131 de 2014. En el mismo sentido, sentencias C-577 de 2011 y C-875 de 2005. </w:t>
      </w:r>
    </w:p>
  </w:footnote>
  <w:footnote w:id="106">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Sent</w:t>
      </w:r>
      <w:r w:rsidRPr="00C01D69">
        <w:rPr>
          <w:lang w:val="es-ES_tradnl"/>
        </w:rPr>
        <w:t xml:space="preserve">encia T-813 de 2000. </w:t>
      </w:r>
    </w:p>
  </w:footnote>
  <w:footnote w:id="107">
    <w:p w:rsidR="00B5075E" w:rsidRPr="00C01D69" w:rsidRDefault="005D36F1" w:rsidP="00894FB7">
      <w:pPr>
        <w:pStyle w:val="Textonotapie"/>
        <w:rPr>
          <w:lang w:val="es-ES_tradnl"/>
        </w:rPr>
      </w:pPr>
      <w:r w:rsidRPr="00C01D69">
        <w:rPr>
          <w:rStyle w:val="Refdenotaalpie"/>
        </w:rPr>
        <w:footnoteRef/>
      </w:r>
      <w:r w:rsidRPr="00C01D69">
        <w:t xml:space="preserve"> Sobre el particular, en la Sentencia C-394 de 2017, la Sala Plena manifestó lo siguiente: «</w:t>
      </w:r>
      <w:r w:rsidRPr="00C01D69">
        <w:rPr>
          <w:lang w:val="es-CO"/>
        </w:rPr>
        <w:t>[L]a Constitución asigna a la ley el cometido de regular la disolución del vínculo conyugal, para lo cual debe tener en cuenta las especiales</w:t>
      </w:r>
      <w:r w:rsidRPr="00C01D69">
        <w:rPr>
          <w:lang w:val="es-CO"/>
        </w:rPr>
        <w:t xml:space="preserve"> consideraciones sobre las características de la institución familiar en el ordenamiento superior y la especial naturaleza que rige al contrato de matrimonio, por lo cual, los principios de dignidad humana, libre desarrollo de la personalidad y la inaliena</w:t>
      </w:r>
      <w:r w:rsidRPr="00C01D69">
        <w:rPr>
          <w:lang w:val="es-CO"/>
        </w:rPr>
        <w:t>bilidad de los derechos de los cónyuges, se constituyen en criterios orientadores para diseñar el modelo legal en donde aquel no se torne en inamovible».</w:t>
      </w:r>
    </w:p>
  </w:footnote>
  <w:footnote w:id="108">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Sentencia C-746 de 2011. Sobre este mismo asunto, en la Sentencia C-821 de 2005, la Sala Plena manif</w:t>
      </w:r>
      <w:r w:rsidRPr="00C01D69">
        <w:rPr>
          <w:lang w:val="es-ES_tradnl"/>
        </w:rPr>
        <w:t>estó que «</w:t>
      </w:r>
      <w:r w:rsidRPr="00C01D69">
        <w:t>el artículo 42 de la [c]arta faculta expresamente al [L]egislador para regular todo lo referente al matrimonio, esto es, las formas del mismo, la edad y capacidad para contraerlo, los deberes y derechos de los cónyuges y, en particular, lo que se</w:t>
      </w:r>
      <w:r w:rsidRPr="00C01D69">
        <w:t xml:space="preserve"> relaciona con sus condiciones de validez y con la separación, disolución y la cesación de los efectos civiles por divorcio». </w:t>
      </w:r>
    </w:p>
  </w:footnote>
  <w:footnote w:id="109">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Sentencia C-821 de 2005.</w:t>
      </w:r>
    </w:p>
  </w:footnote>
  <w:footnote w:id="110">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Sentencia C-660 de 2000. En esta misma providencia, la Sala destacó que el desarrollo legal de las i</w:t>
      </w:r>
      <w:r w:rsidRPr="00C01D69">
        <w:rPr>
          <w:lang w:val="es-ES_tradnl"/>
        </w:rPr>
        <w:t>nstituciones del matrimonio y del divorcio deben consultar los principios consignados en el artículo 42 superior: «</w:t>
      </w:r>
      <w:r w:rsidRPr="00C01D69">
        <w:rPr>
          <w:lang w:val="es-CO"/>
        </w:rPr>
        <w:t xml:space="preserve">Respecto de la familia surgen para el Estado precisos cometidos de preservación y protección que se orientan a garantizar la existencia y el </w:t>
      </w:r>
      <w:r w:rsidRPr="00C01D69">
        <w:rPr>
          <w:lang w:val="es-CO"/>
        </w:rPr>
        <w:t>desarrollo de esta institución como básica de la sociedad. Y entre las potestades que el ordenamiento superior le asigna al Legislador está la de regular las formas de disolución del acuerdo matrimonial. De esta manera, habrá de entenderse que las potestad</w:t>
      </w:r>
      <w:r w:rsidRPr="00C01D69">
        <w:rPr>
          <w:lang w:val="es-CO"/>
        </w:rPr>
        <w:t>es normativas que consagren el régimen legal matrimonial deben condicionarse, además de lo que en este aspecto prevé expresamente la Constitución, a la naturaleza y características que el ordenamiento superior asigna a la familia».</w:t>
      </w:r>
    </w:p>
  </w:footnote>
  <w:footnote w:id="111">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Sentencia C-246 de 200</w:t>
      </w:r>
      <w:r w:rsidRPr="00C01D69">
        <w:rPr>
          <w:lang w:val="es-ES_tradnl"/>
        </w:rPr>
        <w:t>2.</w:t>
      </w:r>
    </w:p>
  </w:footnote>
  <w:footnote w:id="112">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En la Sentencia C-746 de 2011, la Sala Plena enlistó los aludidos lineamientos, que se erigen en requerimientos y límites a la configuración normativa del Congreso: «</w:t>
      </w:r>
      <w:r w:rsidRPr="00C01D69">
        <w:rPr>
          <w:lang w:val="es-CO"/>
        </w:rPr>
        <w:t xml:space="preserve">la Constitución Política fijó unos principios y parámetros generales que enmarcan el </w:t>
      </w:r>
      <w:r w:rsidRPr="00C01D69">
        <w:rPr>
          <w:lang w:val="es-CO"/>
        </w:rPr>
        <w:t xml:space="preserve">ejercicio de la potestad legislativa en materia de familia y matrimonio, como los siguientes: la familia es “el núcleo fundamental de la sociedad” (CP; art. 42.1); La “protección integral de la familia” es deber del Estado y la sociedad (CP, art 42.2); la </w:t>
      </w:r>
      <w:r w:rsidRPr="00C01D69">
        <w:rPr>
          <w:lang w:val="es-CO"/>
        </w:rPr>
        <w:t>familia se constituye “por la decisión libre de un hombre y una mujer de contraer matrimonio” (CP, art. 42.1); las relaciones familiares deben regularse, basadas en “la igualdad de derechos y deberes de la pareja” y en “el respeto recíproco” entre todos su</w:t>
      </w:r>
      <w:r w:rsidRPr="00C01D69">
        <w:rPr>
          <w:lang w:val="es-CO"/>
        </w:rPr>
        <w:t>s integrantes (art. 42.4, CP); deberá tenerse en cuenta que la “honra, la dignidad y la intimidad de la familia son inviolables” (art. 42.3, CP) y que “cualquier forma de violencia en la familia se considera destructiva de su armonía y unidad” y debe ser s</w:t>
      </w:r>
      <w:r w:rsidRPr="00C01D69">
        <w:rPr>
          <w:lang w:val="es-CO"/>
        </w:rPr>
        <w:t xml:space="preserve">ancionada por la ley (art. 42.5, CP); en materia de paternidad y maternidad, el Congreso de la República está compelido a reglamentar la progenitura “responsable” (art. 42-7, CP); y respecto de los efectos civiles derivados del divorcio, la ley civil debe </w:t>
      </w:r>
      <w:r w:rsidRPr="00C01D69">
        <w:rPr>
          <w:lang w:val="es-CO"/>
        </w:rPr>
        <w:t>regularlos para “todo matrimonio” (art. 42-11, CP). En igual sentido, la Convención Americana de Derechos Humanos -art. 17.4- reconoce en el Legislador la responsabilidad de tomar “medidas apropiadas para asegurar la igualdad de derechos y la adecuada equi</w:t>
      </w:r>
      <w:r w:rsidRPr="00C01D69">
        <w:rPr>
          <w:lang w:val="es-CO"/>
        </w:rPr>
        <w:t>valencia de responsabilidades de los cónyuges”, “en cuanto al matrimonio”, “durante el matrimonio” y “en la disolución del matrimonio”».</w:t>
      </w:r>
      <w:r w:rsidRPr="00C01D69">
        <w:rPr>
          <w:lang w:val="es-ES_tradnl"/>
        </w:rPr>
        <w:t xml:space="preserve"> </w:t>
      </w:r>
    </w:p>
  </w:footnote>
  <w:footnote w:id="113">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Sentencia C-482 de 2003. Sobre este mismo asunto, en la Sentencia C-246 de 2002, la Sala Plena argumentó que el Legi</w:t>
      </w:r>
      <w:r w:rsidRPr="00C01D69">
        <w:rPr>
          <w:lang w:val="es-ES_tradnl"/>
        </w:rPr>
        <w:t xml:space="preserve">slador </w:t>
      </w:r>
      <w:r w:rsidRPr="00C01D69">
        <w:rPr>
          <w:lang w:val="es-CO"/>
        </w:rPr>
        <w:t>«no puede en el ejercicio de la competencia de configuración legislativa desproteger un derecho o un principio constitucional, ni desproteger la protección de los derechos fundamentales como la igualdad o la autonomía. Tampoco puede establecer una c</w:t>
      </w:r>
      <w:r w:rsidRPr="00C01D69">
        <w:rPr>
          <w:lang w:val="es-CO"/>
        </w:rPr>
        <w:t>arga excesivamente gravosa sobre un derecho con el fin de maximizar el cumplimiento de un deber. Además, si hay limitación específica de un derecho ella debe ser razonable».</w:t>
      </w:r>
    </w:p>
  </w:footnote>
  <w:footnote w:id="114">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Sentencia C-111 de 2022.</w:t>
      </w:r>
    </w:p>
  </w:footnote>
  <w:footnote w:id="115">
    <w:p w:rsidR="00B5075E" w:rsidRPr="00C01D69" w:rsidRDefault="005D36F1" w:rsidP="00894FB7">
      <w:pPr>
        <w:pStyle w:val="Textonotapie"/>
        <w:rPr>
          <w:lang w:val="es-CO"/>
        </w:rPr>
      </w:pPr>
      <w:r w:rsidRPr="00C01D69">
        <w:rPr>
          <w:rStyle w:val="Refdenotaalpie"/>
        </w:rPr>
        <w:footnoteRef/>
      </w:r>
      <w:r w:rsidRPr="00C01D69">
        <w:t xml:space="preserve"> </w:t>
      </w:r>
      <w:r w:rsidRPr="00C01D69">
        <w:rPr>
          <w:lang w:val="es-ES_tradnl"/>
        </w:rPr>
        <w:t>Al respecto, en la Sentencia C-394 de 2017, la Sala P</w:t>
      </w:r>
      <w:r w:rsidRPr="00C01D69">
        <w:rPr>
          <w:lang w:val="es-ES_tradnl"/>
        </w:rPr>
        <w:t>lena advirtió que «</w:t>
      </w:r>
      <w:r w:rsidRPr="00C01D69">
        <w:t>Las </w:t>
      </w:r>
      <w:r w:rsidRPr="00C01D69">
        <w:rPr>
          <w:b/>
          <w:bCs/>
          <w:i/>
          <w:iCs/>
        </w:rPr>
        <w:t>causales objetivas</w:t>
      </w:r>
      <w:r w:rsidRPr="00C01D69">
        <w:t> se relacionan con la ruptura de los lazos afectivos que motivan el matrimonio, lo que conduce al divorcio </w:t>
      </w:r>
      <w:r w:rsidRPr="00C01D69">
        <w:rPr>
          <w:i/>
          <w:iCs/>
        </w:rPr>
        <w:t>“(…) como mejor remedio para las situaciones vividas”.</w:t>
      </w:r>
      <w:r w:rsidRPr="00C01D69">
        <w:t> Las causales pueden ser invocadas en cualquier tiempo</w:t>
      </w:r>
      <w:r w:rsidRPr="00C01D69">
        <w:t xml:space="preserve"> por cualquiera de los cónyuges, y el juez que conoce de la demanda no requiere valorar la conducta alegada; debe respetar el deseo de uno o los dos cónyuges de disolver el vínculo matrimonial. A esta categoría pertenecen las causales establecidas en los n</w:t>
      </w:r>
      <w:r w:rsidRPr="00C01D69">
        <w:t>umerales 6, 8 y 9 del artículo 154 del Código Civil (modificado), las cuales por su naturaleza han sido denominadas como </w:t>
      </w:r>
      <w:r w:rsidRPr="00C01D69">
        <w:rPr>
          <w:i/>
          <w:iCs/>
        </w:rPr>
        <w:t>“divorcio remedio”.</w:t>
      </w:r>
      <w:r w:rsidRPr="00C01D69">
        <w:rPr>
          <w:lang w:val="es-CO"/>
        </w:rPr>
        <w:t xml:space="preserve"> </w:t>
      </w:r>
    </w:p>
  </w:footnote>
  <w:footnote w:id="116">
    <w:p w:rsidR="00B5075E" w:rsidRPr="00C01D69" w:rsidRDefault="005D36F1" w:rsidP="00894FB7">
      <w:pPr>
        <w:pStyle w:val="Textonotapie"/>
        <w:rPr>
          <w:lang w:val="es-ES_tradnl"/>
        </w:rPr>
      </w:pPr>
      <w:r w:rsidRPr="00C01D69">
        <w:rPr>
          <w:rStyle w:val="Refdenotaalpie"/>
        </w:rPr>
        <w:footnoteRef/>
      </w:r>
      <w:r w:rsidRPr="00C01D69">
        <w:t xml:space="preserve"> Sentencia </w:t>
      </w:r>
      <w:r w:rsidRPr="00C01D69">
        <w:rPr>
          <w:lang w:val="es-CO"/>
        </w:rPr>
        <w:t>C-1495 de 2000.</w:t>
      </w:r>
    </w:p>
  </w:footnote>
  <w:footnote w:id="117">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 xml:space="preserve">. </w:t>
      </w:r>
    </w:p>
  </w:footnote>
  <w:footnote w:id="118">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Sentencia C-985 de 2010. </w:t>
      </w:r>
    </w:p>
  </w:footnote>
  <w:footnote w:id="119">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Sentencia C-589 de 2019.</w:t>
      </w:r>
    </w:p>
  </w:footnote>
  <w:footnote w:id="120">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Sentencia C-985 de 2</w:t>
      </w:r>
      <w:r w:rsidRPr="00C01D69">
        <w:rPr>
          <w:lang w:val="es-ES_tradnl"/>
        </w:rPr>
        <w:t>010.</w:t>
      </w:r>
    </w:p>
  </w:footnote>
  <w:footnote w:id="121">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w:t>
      </w:r>
    </w:p>
  </w:footnote>
  <w:footnote w:id="122">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 Sobre el particular, en la Sentencia C-394 de 2017, el plenario indicó que este «</w:t>
      </w:r>
      <w:r w:rsidRPr="00C01D69">
        <w:rPr>
          <w:lang w:val="es-CO"/>
        </w:rPr>
        <w:t>grupo [s]e identifica como </w:t>
      </w:r>
      <w:r w:rsidRPr="00C01D69">
        <w:rPr>
          <w:i/>
          <w:iCs/>
          <w:lang w:val="es-CO"/>
        </w:rPr>
        <w:t>causales subjetivas</w:t>
      </w:r>
      <w:r w:rsidRPr="00C01D69">
        <w:rPr>
          <w:lang w:val="es-CO"/>
        </w:rPr>
        <w:t>, que se relacionan con el incumplimiento de los deberes conyugales y por ello pueden ser invocadas solament</w:t>
      </w:r>
      <w:r w:rsidRPr="00C01D69">
        <w:rPr>
          <w:lang w:val="es-CO"/>
        </w:rPr>
        <w:t>e por el cónyuge ofendido que con su actuar no haya dado lugar a los hechos que motivan la causal, y debe invocarla dentro de un término de caducidad, con la finalidad de obtener el divorcio a título de censura. De allí que se le conozca en la doctrina com</w:t>
      </w:r>
      <w:r w:rsidRPr="00C01D69">
        <w:rPr>
          <w:lang w:val="es-CO"/>
        </w:rPr>
        <w:t>o </w:t>
      </w:r>
      <w:r w:rsidRPr="00C01D69">
        <w:rPr>
          <w:i/>
          <w:iCs/>
          <w:lang w:val="es-CO"/>
        </w:rPr>
        <w:t>“</w:t>
      </w:r>
      <w:r w:rsidRPr="00C01D69">
        <w:rPr>
          <w:lang w:val="es-CO"/>
        </w:rPr>
        <w:t>divorcio sanción”».</w:t>
      </w:r>
    </w:p>
  </w:footnote>
  <w:footnote w:id="123">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De manera reciente, en la Sentencia C-111 de 2022, la Sala Plena reiteró la clasificación que hasta ahora se ha propuesto. Según esta ordenación, los supuestos de hecho de las causales objetivas son los siguientes: «</w:t>
      </w:r>
      <w:r w:rsidRPr="00C01D69">
        <w:rPr>
          <w:lang w:val="es-CO"/>
        </w:rPr>
        <w:t>(i) la enfermed</w:t>
      </w:r>
      <w:r w:rsidRPr="00C01D69">
        <w:rPr>
          <w:lang w:val="es-CO"/>
        </w:rPr>
        <w:t>ad grave e incurable de uno de los cónyuges que ponga en riesgo la vida marital (numeral 6º); (ii) la separación de cuerpos por un tiempo prolongado (numeral 8º); y, (iii) la voluntad de ambos consortes de terminar el vínculo (numeral 9º)». Por su parte, l</w:t>
      </w:r>
      <w:r w:rsidRPr="00C01D69">
        <w:rPr>
          <w:lang w:val="es-CO"/>
        </w:rPr>
        <w:t>os hechos configurativos de las causales de orden subjetivo son los que siguen: «</w:t>
      </w:r>
      <w:r w:rsidRPr="00C01D69">
        <w:rPr>
          <w:color w:val="2D2D2D"/>
          <w:sz w:val="28"/>
          <w:szCs w:val="28"/>
          <w:lang w:eastAsia="es-MX"/>
        </w:rPr>
        <w:t xml:space="preserve"> </w:t>
      </w:r>
      <w:r w:rsidRPr="00C01D69">
        <w:rPr>
          <w:lang w:val="es-CO"/>
        </w:rPr>
        <w:t>las relaciones sexuales extramatrimoniales de uno de los cónyuges (numeral 1º); el grave e injustificado incumplimiento de los deberes conyugales o parentales de uno de los c</w:t>
      </w:r>
      <w:r w:rsidRPr="00C01D69">
        <w:rPr>
          <w:lang w:val="es-CO"/>
        </w:rPr>
        <w:t>onsortes (numeral 2º); el maltrato (numeral 3º); la embriaguez habitual (numeral 4º); el uso constante de sustancias psicoactivas, sin orden médica (numeral 5º); y, las conductas conducentes a pervertir a cualquiera de los miembros de la familia (numeral 7</w:t>
      </w:r>
      <w:r w:rsidRPr="00C01D69">
        <w:rPr>
          <w:lang w:val="es-CO"/>
        </w:rPr>
        <w:t xml:space="preserve">º)».  </w:t>
      </w:r>
    </w:p>
  </w:footnote>
  <w:footnote w:id="124">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CO"/>
        </w:rPr>
        <w:t>Sentencia C-246 de 2002.</w:t>
      </w:r>
    </w:p>
  </w:footnote>
  <w:footnote w:id="125">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w:t>
      </w:r>
    </w:p>
  </w:footnote>
  <w:footnote w:id="126">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 numeral único de la parte resolutiva.</w:t>
      </w:r>
    </w:p>
  </w:footnote>
  <w:footnote w:id="127">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Sentencia C-821 de 2005. Al respecto, en la Sentencia C-660 de 2000, la Corte manifestó lo siguiente: «</w:t>
      </w:r>
      <w:r w:rsidRPr="00C01D69">
        <w:rPr>
          <w:lang w:val="es-CO"/>
        </w:rPr>
        <w:t xml:space="preserve">El reconocimiento que hace la Constitución Nacional de la </w:t>
      </w:r>
      <w:r w:rsidRPr="00C01D69">
        <w:rPr>
          <w:lang w:val="es-CO"/>
        </w:rPr>
        <w:t xml:space="preserve">familia como fundamento de la nacionalidad por su natural tendencia a la unidad, afinidad, coherencia y estabilidad, no permite, antes, por el contrario, proscribe, la utilización de mecanismos coactivos para imponer la permanencia de la pareja. Según los </w:t>
      </w:r>
      <w:r w:rsidRPr="00C01D69">
        <w:rPr>
          <w:lang w:val="es-CO"/>
        </w:rPr>
        <w:t>principios, reglas y orientaciones de la Carta Política, es la estabilidad del grupo familiar, más no la duración del matrimonio, la que permite la realización humana de sus integrantes y por ende la que persigue el orden superior». </w:t>
      </w:r>
    </w:p>
  </w:footnote>
  <w:footnote w:id="128">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 xml:space="preserve">. </w:t>
      </w:r>
    </w:p>
  </w:footnote>
  <w:footnote w:id="129">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rPr>
        <w:t>Idem</w:t>
      </w:r>
      <w:r w:rsidRPr="00C01D69">
        <w:t xml:space="preserve">. </w:t>
      </w:r>
    </w:p>
  </w:footnote>
  <w:footnote w:id="130">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CO"/>
        </w:rPr>
        <w:t>So</w:t>
      </w:r>
      <w:r w:rsidRPr="00C01D69">
        <w:rPr>
          <w:lang w:val="es-CO"/>
        </w:rPr>
        <w:t>bre el particular, la Sala Plena ha manifestado que «[e]n atención a los derechos y obligaciones que surgen del contrato matrimonial, el artículo 154 del C.C., tal como fue modificado por el artículo 6° de la Ley 25 de 1992, consagra las causales de divorc</w:t>
      </w:r>
      <w:r w:rsidRPr="00C01D69">
        <w:rPr>
          <w:lang w:val="es-CO"/>
        </w:rPr>
        <w:t>io, a través de las cuales se habilita a los cónyuges para promover la disolución del matrimonio o la cesación de sus efectos civiles (tratándose de los matrimonios religiosos), en el caso de llegar a considerar, como protagonistas de las situaciones vivid</w:t>
      </w:r>
      <w:r w:rsidRPr="00C01D69">
        <w:rPr>
          <w:lang w:val="es-CO"/>
        </w:rPr>
        <w:t xml:space="preserve">as en su condición de esposos, que no es posible continuar la convivencia o lograr el restablecimiento de la unidad de vida». Sentencia C-821 de 2005. </w:t>
      </w:r>
    </w:p>
  </w:footnote>
  <w:footnote w:id="131">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Entre otras disposiciones, sobresalen los artículos 5, 13, 15, 28, 44.</w:t>
      </w:r>
    </w:p>
  </w:footnote>
  <w:footnote w:id="132">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 xml:space="preserve">. </w:t>
      </w:r>
    </w:p>
  </w:footnote>
  <w:footnote w:id="133">
    <w:p w:rsidR="00B5075E" w:rsidRPr="00C01D69" w:rsidRDefault="005D36F1" w:rsidP="00894FB7">
      <w:pPr>
        <w:pStyle w:val="Textonotapie"/>
        <w:rPr>
          <w:lang w:val="es-CO"/>
        </w:rPr>
      </w:pPr>
      <w:r w:rsidRPr="00C01D69">
        <w:rPr>
          <w:rStyle w:val="Refdenotaalpie"/>
        </w:rPr>
        <w:footnoteRef/>
      </w:r>
      <w:r w:rsidRPr="00C01D69">
        <w:t xml:space="preserve"> </w:t>
      </w:r>
      <w:r w:rsidRPr="00C01D69">
        <w:rPr>
          <w:lang w:val="es-ES_tradnl"/>
        </w:rPr>
        <w:t>Sentencia C-746 de 2</w:t>
      </w:r>
      <w:r w:rsidRPr="00C01D69">
        <w:rPr>
          <w:lang w:val="es-ES_tradnl"/>
        </w:rPr>
        <w:t>011. Sobre el particular, en la Sentencia C-746 de 2011, la Sala Plena declaró lo siguiente: «</w:t>
      </w:r>
      <w:r w:rsidRPr="00C01D69">
        <w:t>[M]</w:t>
      </w:r>
      <w:r w:rsidRPr="00C01D69">
        <w:rPr>
          <w:lang w:val="es-CO"/>
        </w:rPr>
        <w:t>ientras la familia y el matrimonio son objeto de desarrollos constitucionales a través de normas consagratorias de principios jurídicos y valores sociales, la </w:t>
      </w:r>
      <w:r w:rsidRPr="00C01D69">
        <w:rPr>
          <w:lang w:val="es-CO"/>
        </w:rPr>
        <w:t>“separación” y la “disolución del vínculo” le está atribuida al Congreso de la República sin que la Constitución Política preestablezca causales, términos o supuestos fácticos específicos. Así, en materia de causales de divorcio, de separación de los cónyu</w:t>
      </w:r>
      <w:r w:rsidRPr="00C01D69">
        <w:rPr>
          <w:lang w:val="es-CO"/>
        </w:rPr>
        <w:t>ges o del estado civil de los mismos, el margen de configuración que expresamente le asigna el Constituyente al Legislador es bastante amplio, exento de precisas regulaciones constitucionales que prefiguren la tarea legislativa».</w:t>
      </w:r>
    </w:p>
  </w:footnote>
  <w:footnote w:id="134">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rPr>
        <w:t>Idem</w:t>
      </w:r>
      <w:r w:rsidRPr="00C01D69">
        <w:t xml:space="preserve">. </w:t>
      </w:r>
    </w:p>
  </w:footnote>
  <w:footnote w:id="135">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 xml:space="preserve">. </w:t>
      </w:r>
    </w:p>
  </w:footnote>
  <w:footnote w:id="136">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Sobre </w:t>
      </w:r>
      <w:r w:rsidRPr="00C01D69">
        <w:rPr>
          <w:lang w:val="es-ES_tradnl"/>
        </w:rPr>
        <w:t>el particular, en la Sentencia C-821 de 2005, la Sala Plena manifestó que «</w:t>
      </w:r>
      <w:r w:rsidRPr="00C01D69">
        <w:rPr>
          <w:color w:val="auto"/>
          <w:lang w:val="es-CO" w:eastAsia="es-MX"/>
        </w:rPr>
        <w:t>[e]</w:t>
      </w:r>
      <w:r w:rsidRPr="00C01D69">
        <w:rPr>
          <w:lang w:val="es-CO"/>
        </w:rPr>
        <w:t xml:space="preserve">n la medida en que tales objetivos no se cumplan en el seno del grupo familiar y, por el contrario, se presenten episodios de irrespeto, discriminación o violencia, es obvio que </w:t>
      </w:r>
      <w:r w:rsidRPr="00C01D69">
        <w:rPr>
          <w:lang w:val="es-CO"/>
        </w:rPr>
        <w:t>desaparecen los presupuestos éticos, sociales y jurídicos que amparan el matrimonio y la familia como institución básica de la sociedad, resultando constitucionalmente admisible que se permita a los cónyuges considerar la opción de una ruptura».</w:t>
      </w:r>
    </w:p>
  </w:footnote>
  <w:footnote w:id="137">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Sentenci</w:t>
      </w:r>
      <w:r w:rsidRPr="00C01D69">
        <w:rPr>
          <w:lang w:val="es-ES_tradnl"/>
        </w:rPr>
        <w:t xml:space="preserve">a C-821 de 2005. </w:t>
      </w:r>
    </w:p>
  </w:footnote>
  <w:footnote w:id="138">
    <w:p w:rsidR="00B5075E" w:rsidRPr="00C01D69" w:rsidRDefault="005D36F1" w:rsidP="00894FB7">
      <w:pPr>
        <w:pStyle w:val="Textonotapie"/>
        <w:rPr>
          <w:lang w:val="es-CO"/>
        </w:rPr>
      </w:pPr>
      <w:r w:rsidRPr="00C01D69">
        <w:rPr>
          <w:rStyle w:val="Refdenotaalpie"/>
        </w:rPr>
        <w:footnoteRef/>
      </w:r>
      <w:r w:rsidRPr="00C01D69">
        <w:t xml:space="preserve"> </w:t>
      </w:r>
      <w:r w:rsidRPr="00C01D69">
        <w:rPr>
          <w:lang w:val="es-ES_tradnl"/>
        </w:rPr>
        <w:t>El plenario declaró que «[l]</w:t>
      </w:r>
      <w:r w:rsidRPr="00C01D69">
        <w:rPr>
          <w:lang w:val="es-CO"/>
        </w:rPr>
        <w:t>a institución familiar persigue la estabilidad del grupo familiar como presupuesto del sistema social y como lugar propicio para el desarrollo integral de los hombres y mujeres que la integran, en todos los ó</w:t>
      </w:r>
      <w:r w:rsidRPr="00C01D69">
        <w:rPr>
          <w:lang w:val="es-CO"/>
        </w:rPr>
        <w:t>rdenes; de ahí que si el vínculo existente entre la pareja no garantiza sino que, por el contrario, perturba la estabilidad familiar, desaparecen los intereses éticos, sociales y jurídicos que justifican su permanencia. Tampoco pueden invocarse estos argum</w:t>
      </w:r>
      <w:r w:rsidRPr="00C01D69">
        <w:rPr>
          <w:lang w:val="es-CO"/>
        </w:rPr>
        <w:t>entos como válidos en interés de los hijos menores, en razón a que si los padres involucrados en un conflicto conyugal solicitan, individual o conjuntamente el divorcio, es porque, como intérpretes reales de las circunstancias vividas, consideran que a los</w:t>
      </w:r>
      <w:r w:rsidRPr="00C01D69">
        <w:rPr>
          <w:lang w:val="es-CO"/>
        </w:rPr>
        <w:t xml:space="preserve"> hijos les resulta mejor enfrentarse a la realidad de una ruptura que verse abocados a crecer en un ambiente hostil»</w:t>
      </w:r>
      <w:r w:rsidRPr="00C01D69">
        <w:rPr>
          <w:i/>
          <w:iCs/>
          <w:lang w:val="es-CO"/>
        </w:rPr>
        <w:t>.</w:t>
      </w:r>
    </w:p>
  </w:footnote>
  <w:footnote w:id="139">
    <w:p w:rsidR="00B5075E" w:rsidRPr="00C01D69" w:rsidRDefault="005D36F1" w:rsidP="00894FB7">
      <w:pPr>
        <w:pStyle w:val="Textonotapie"/>
        <w:rPr>
          <w:i/>
          <w:iCs/>
          <w:lang w:val="es-ES_tradnl"/>
        </w:rPr>
      </w:pPr>
      <w:r w:rsidRPr="00C01D69">
        <w:rPr>
          <w:rStyle w:val="Refdenotaalpie"/>
        </w:rPr>
        <w:footnoteRef/>
      </w:r>
      <w:r w:rsidRPr="00C01D69">
        <w:t xml:space="preserve"> </w:t>
      </w:r>
      <w:r w:rsidRPr="00C01D69">
        <w:rPr>
          <w:i/>
          <w:iCs/>
          <w:lang w:val="es-ES_tradnl"/>
        </w:rPr>
        <w:t>Idem.</w:t>
      </w:r>
    </w:p>
  </w:footnote>
  <w:footnote w:id="140">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 xml:space="preserve">. </w:t>
      </w:r>
    </w:p>
  </w:footnote>
  <w:footnote w:id="141">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 xml:space="preserve">. </w:t>
      </w:r>
    </w:p>
  </w:footnote>
  <w:footnote w:id="142">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w:t>
      </w:r>
    </w:p>
  </w:footnote>
  <w:footnote w:id="143">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CO"/>
        </w:rPr>
        <w:t xml:space="preserve">Numeral quinto del artículo 154 del Código Civil. </w:t>
      </w:r>
    </w:p>
  </w:footnote>
  <w:footnote w:id="144">
    <w:p w:rsidR="00B5075E" w:rsidRPr="00C01D69" w:rsidRDefault="005D36F1" w:rsidP="00894FB7">
      <w:pPr>
        <w:pStyle w:val="Textonotapie"/>
        <w:rPr>
          <w:lang w:val="es-ES_tradnl"/>
        </w:rPr>
      </w:pPr>
      <w:r w:rsidRPr="00C01D69">
        <w:rPr>
          <w:rStyle w:val="Refdenotaalpie"/>
        </w:rPr>
        <w:footnoteRef/>
      </w:r>
      <w:r w:rsidRPr="00C01D69">
        <w:t xml:space="preserve"> Anales del Congreso. Año XXXV No. 13 miércoles 5 de febrero de 1992. Página 13</w:t>
      </w:r>
      <w:r w:rsidRPr="00C01D69">
        <w:rPr>
          <w:lang w:val="es-MX"/>
        </w:rPr>
        <w:t xml:space="preserve">. </w:t>
      </w:r>
    </w:p>
  </w:footnote>
  <w:footnote w:id="145">
    <w:p w:rsidR="00B5075E" w:rsidRPr="00C01D69" w:rsidRDefault="005D36F1" w:rsidP="00894FB7">
      <w:pPr>
        <w:pStyle w:val="Textonotapie"/>
        <w:rPr>
          <w:lang w:val="es-ES_tradnl"/>
        </w:rPr>
      </w:pPr>
      <w:r w:rsidRPr="00C01D69">
        <w:rPr>
          <w:rStyle w:val="Refdenotaalpie"/>
        </w:rPr>
        <w:footnoteRef/>
      </w:r>
      <w:r w:rsidRPr="00C01D69">
        <w:t xml:space="preserve"> La sinestesia es un estado extraordinario en el que los sentidos que normalmente se perciben por separado se mezclan, con lo que una persona que escucha un sonido puede ver</w:t>
      </w:r>
      <w:r w:rsidRPr="00C01D69">
        <w:t xml:space="preserve"> un color asociado (por ejemplo, escuchar un color) [cita incluida en el texto original].</w:t>
      </w:r>
    </w:p>
  </w:footnote>
  <w:footnote w:id="146">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Oficina de las Naciones Unidas contra la Droga y el Delito, </w:t>
      </w:r>
      <w:r w:rsidRPr="00C01D69">
        <w:rPr>
          <w:i/>
          <w:iCs/>
          <w:lang w:val="es-ES_tradnl"/>
        </w:rPr>
        <w:t>Terminología e información sobre drogas</w:t>
      </w:r>
      <w:r w:rsidRPr="00C01D69">
        <w:rPr>
          <w:lang w:val="es-ES_tradnl"/>
        </w:rPr>
        <w:t xml:space="preserve">, tercera edición, Nueva York, 2018, folio 59. </w:t>
      </w:r>
    </w:p>
  </w:footnote>
  <w:footnote w:id="147">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rPr>
        <w:t>Idem</w:t>
      </w:r>
      <w:r w:rsidRPr="00C01D69">
        <w:t xml:space="preserve">, </w:t>
      </w:r>
      <w:r w:rsidRPr="00C01D69">
        <w:rPr>
          <w:lang w:val="es-ES_tradnl"/>
        </w:rPr>
        <w:t>Folio 75.</w:t>
      </w:r>
    </w:p>
  </w:footnote>
  <w:footnote w:id="148">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 xml:space="preserve">. </w:t>
      </w:r>
    </w:p>
  </w:footnote>
  <w:footnote w:id="149">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w:t>
      </w:r>
    </w:p>
  </w:footnote>
  <w:footnote w:id="150">
    <w:p w:rsidR="00B5075E" w:rsidRPr="00C01D69" w:rsidRDefault="005D36F1" w:rsidP="00894FB7">
      <w:pPr>
        <w:pStyle w:val="Textonotapie"/>
        <w:rPr>
          <w:lang w:val="es-ES_tradnl"/>
        </w:rPr>
      </w:pPr>
      <w:r w:rsidRPr="00C01D69">
        <w:rPr>
          <w:rStyle w:val="Refdenotaalpie"/>
        </w:rPr>
        <w:footnoteRef/>
      </w:r>
      <w:r w:rsidRPr="00C01D69">
        <w:t xml:space="preserve"> El documento fue elaborado por Carolina Pinzón Gómez, investigadora afiliada del </w:t>
      </w:r>
      <w:r w:rsidRPr="00C01D69">
        <w:rPr>
          <w:lang w:val="es-CO"/>
        </w:rPr>
        <w:t>Centro de Estudios sobre Seguridad y Drogas de la Universidad de los Andes.</w:t>
      </w:r>
    </w:p>
  </w:footnote>
  <w:footnote w:id="151">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Intervención presentada por el </w:t>
      </w:r>
      <w:r w:rsidRPr="00C01D69">
        <w:rPr>
          <w:lang w:val="es-CO"/>
        </w:rPr>
        <w:t>Centro de Estudios sobre Seguridad y Drogas de</w:t>
      </w:r>
      <w:r w:rsidRPr="00C01D69">
        <w:rPr>
          <w:lang w:val="es-CO"/>
        </w:rPr>
        <w:t xml:space="preserve"> la Universidad de los Andes, folio 3.</w:t>
      </w:r>
    </w:p>
  </w:footnote>
  <w:footnote w:id="152">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CO"/>
        </w:rPr>
        <w:t xml:space="preserve">Organización Panamericana de la Salud, </w:t>
      </w:r>
      <w:r w:rsidRPr="00C01D69">
        <w:rPr>
          <w:i/>
          <w:iCs/>
          <w:lang w:val="es-CO"/>
        </w:rPr>
        <w:t>Abuso de sustancias</w:t>
      </w:r>
      <w:r w:rsidRPr="00C01D69">
        <w:rPr>
          <w:lang w:val="es-CO"/>
        </w:rPr>
        <w:t xml:space="preserve">, </w:t>
      </w:r>
      <w:r w:rsidRPr="00C01D69">
        <w:t>https://www.paho.org/es/temas/abuso-sustancias.</w:t>
      </w:r>
    </w:p>
  </w:footnote>
  <w:footnote w:id="153">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 xml:space="preserve">. </w:t>
      </w:r>
    </w:p>
  </w:footnote>
  <w:footnote w:id="154">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 Sobre la tipología de estas sustancias, el Instituto Nacional de Medicina Legal y Ciencias</w:t>
      </w:r>
      <w:r w:rsidRPr="00C01D69">
        <w:rPr>
          <w:lang w:val="es-ES_tradnl"/>
        </w:rPr>
        <w:t xml:space="preserve"> Forenses declaró lo siguiente: «La clasificación de sustancias psicoactivas, de acuerdo con su efecto en el sistema nervioso central pueden ser: [i)] Estimulantes: son aquellas que excitan la actividad psíquica y del sistema nervioso central y adicionalme</w:t>
      </w:r>
      <w:r w:rsidRPr="00C01D69">
        <w:rPr>
          <w:lang w:val="es-ES_tradnl"/>
        </w:rPr>
        <w:t>nte incrementan el ritmo de otros órganos y sistemas orgánicos; [ii)] Depresoras: disminuyen el ritmo de las funciones corporales, de la actividad psíquica y del sistema nervioso central. Estas sustancias son también llamadas psicoléticas; [iii)] Alucinóge</w:t>
      </w:r>
      <w:r w:rsidRPr="00C01D69">
        <w:rPr>
          <w:lang w:val="es-ES_tradnl"/>
        </w:rPr>
        <w:t xml:space="preserve">nas: capaces de alterar y distorsionar la percepción sensorial del individuo, interferir su estado de conciencia y sus facultades cognitivas, pueden generar alucinaciones». Folio 6.   </w:t>
      </w:r>
      <w:r w:rsidRPr="00C01D69">
        <w:rPr>
          <w:lang w:val="es-CO"/>
        </w:rPr>
        <w:t xml:space="preserve"> </w:t>
      </w:r>
    </w:p>
  </w:footnote>
  <w:footnote w:id="155">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Ministerio de Salud y Protección Social (2015). «Eje1. Herramientas </w:t>
      </w:r>
      <w:r w:rsidRPr="00C01D69">
        <w:rPr>
          <w:lang w:val="es-ES_tradnl"/>
        </w:rPr>
        <w:t>para hacer prevención y mitigación. Módulo 1: Prevención y mitigación como estrategias de trabajo juvenil».</w:t>
      </w:r>
    </w:p>
  </w:footnote>
  <w:footnote w:id="156">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Folios 11 y 12.</w:t>
      </w:r>
    </w:p>
  </w:footnote>
  <w:footnote w:id="157">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Concepto enviado por la Secretaría de Salud del Distrito Capital, folio 8. </w:t>
      </w:r>
    </w:p>
  </w:footnote>
  <w:footnote w:id="158">
    <w:p w:rsidR="00B5075E" w:rsidRPr="00C01D69" w:rsidRDefault="005D36F1" w:rsidP="00894FB7">
      <w:pPr>
        <w:pStyle w:val="Textonotapie"/>
        <w:rPr>
          <w:lang w:val="es-ES_tradnl"/>
        </w:rPr>
      </w:pPr>
      <w:r w:rsidRPr="00C01D69">
        <w:rPr>
          <w:rStyle w:val="Refdenotaalpie"/>
          <w:lang w:val="es-ES_tradnl"/>
        </w:rPr>
        <w:footnoteRef/>
      </w:r>
      <w:r w:rsidRPr="00C01D69">
        <w:rPr>
          <w:lang w:val="es-ES_tradnl"/>
        </w:rPr>
        <w:t xml:space="preserve"> De manera concordante con las anteriores definicio</w:t>
      </w:r>
      <w:r w:rsidRPr="00C01D69">
        <w:rPr>
          <w:lang w:val="es-ES_tradnl"/>
        </w:rPr>
        <w:t xml:space="preserve">nes, la Oficina de las Naciones Unidas contra la Droga y el Delito ha establecido que el consumidor habitual «tiene una droga de preferencia (quizás después de probar una o dos drogas diferentes), tiene un refuerzo permanente y un gusto por lo que siente. </w:t>
      </w:r>
      <w:r w:rsidRPr="00C01D69">
        <w:rPr>
          <w:lang w:val="es-ES_tradnl"/>
        </w:rPr>
        <w:t>La droga juega un papel importante en su vida y cumple funciones cada vez que la consume, por lo que es muy probable que lo haga repetidamente». Problemáticas de las Drogas. Orientaciones Generales. Prevención del uso indebido de Drogas 2015 página 53. Cit</w:t>
      </w:r>
      <w:r w:rsidRPr="00C01D69">
        <w:rPr>
          <w:lang w:val="es-ES_tradnl"/>
        </w:rPr>
        <w:t xml:space="preserve">a:  UNODC Colombia. </w:t>
      </w:r>
      <w:r w:rsidRPr="00C01D69">
        <w:rPr>
          <w:i/>
          <w:iCs/>
          <w:lang w:val="es-ES_tradnl"/>
        </w:rPr>
        <w:t>La prevención en manos de las y los jóvenes: Herramientas pedagógicas en prevención del consumo de drogas psicoactivas y mitigación del impacto para líderes de organizaciones juveniles</w:t>
      </w:r>
      <w:r w:rsidRPr="00C01D69">
        <w:rPr>
          <w:lang w:val="es-ES_tradnl"/>
        </w:rPr>
        <w:t>, 2010, p. 30.</w:t>
      </w:r>
    </w:p>
  </w:footnote>
  <w:footnote w:id="159">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Folio 3. </w:t>
      </w:r>
    </w:p>
  </w:footnote>
  <w:footnote w:id="160">
    <w:p w:rsidR="00B5075E" w:rsidRPr="00C01D69" w:rsidRDefault="005D36F1" w:rsidP="00894FB7">
      <w:pPr>
        <w:pStyle w:val="Textonotapie"/>
        <w:rPr>
          <w:lang w:val="es-ES_tradnl"/>
        </w:rPr>
      </w:pPr>
      <w:r w:rsidRPr="00C01D69">
        <w:rPr>
          <w:rStyle w:val="Refdenotaalpie"/>
        </w:rPr>
        <w:footnoteRef/>
      </w:r>
      <w:r w:rsidRPr="00C01D69">
        <w:t xml:space="preserve"> El documento fue elabor</w:t>
      </w:r>
      <w:r w:rsidRPr="00C01D69">
        <w:t xml:space="preserve">ado por Eddy Alexander Arévalo Cárdenas, jefe de Asuntos Jurídicos de la Dirección de Antinarcóticos.  </w:t>
      </w:r>
    </w:p>
  </w:footnote>
  <w:footnote w:id="161">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Folio 6. </w:t>
      </w:r>
    </w:p>
  </w:footnote>
  <w:footnote w:id="162">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 folio 7.</w:t>
      </w:r>
    </w:p>
  </w:footnote>
  <w:footnote w:id="163">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 xml:space="preserve">Idem, </w:t>
      </w:r>
      <w:r w:rsidRPr="00C01D69">
        <w:rPr>
          <w:lang w:val="es-ES_tradnl"/>
        </w:rPr>
        <w:t>folio 4.</w:t>
      </w:r>
    </w:p>
  </w:footnote>
  <w:footnote w:id="164">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CO"/>
        </w:rPr>
        <w:t>Sentencia C-985 de 2010.</w:t>
      </w:r>
    </w:p>
  </w:footnote>
  <w:footnote w:id="165">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Sentencia T-172 de 2023. </w:t>
      </w:r>
    </w:p>
  </w:footnote>
  <w:footnote w:id="166">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Entre ellos, sobresalen la Convención sobe Eliminación de Todas las Formas de Discriminación contra la Mujer y la Convención Interamericana para Prevenir, Sancionar y Erradicar la Violencia contra la Mujer, </w:t>
      </w:r>
      <w:r w:rsidRPr="00C01D69">
        <w:rPr>
          <w:i/>
          <w:iCs/>
          <w:lang w:val="es-ES_tradnl"/>
        </w:rPr>
        <w:t>Belem do Pará</w:t>
      </w:r>
      <w:r w:rsidRPr="00C01D69">
        <w:rPr>
          <w:lang w:val="es-ES_tradnl"/>
        </w:rPr>
        <w:t xml:space="preserve">. </w:t>
      </w:r>
    </w:p>
  </w:footnote>
  <w:footnote w:id="167">
    <w:p w:rsidR="00B5075E" w:rsidRPr="00C01D69" w:rsidRDefault="005D36F1">
      <w:pPr>
        <w:pStyle w:val="Textonotapie"/>
        <w:rPr>
          <w:lang w:val="es-ES_tradnl"/>
        </w:rPr>
      </w:pPr>
      <w:r w:rsidRPr="00C01D69">
        <w:rPr>
          <w:rStyle w:val="Refdenotaalpie"/>
        </w:rPr>
        <w:footnoteRef/>
      </w:r>
      <w:r w:rsidRPr="00C01D69">
        <w:t xml:space="preserve"> Sobre el particular, ver Senten</w:t>
      </w:r>
      <w:r w:rsidRPr="00C01D69">
        <w:t>cias C-170 de 2004, C-118 de 2006 y C-058 de 2018.</w:t>
      </w:r>
    </w:p>
  </w:footnote>
  <w:footnote w:id="168">
    <w:p w:rsidR="00B5075E" w:rsidRPr="00C01D69" w:rsidRDefault="005D36F1" w:rsidP="00894FB7">
      <w:pPr>
        <w:pStyle w:val="Textonotapie"/>
        <w:rPr>
          <w:i/>
          <w:iCs/>
          <w:lang w:val="es-CO"/>
        </w:rPr>
      </w:pPr>
      <w:r w:rsidRPr="00C01D69">
        <w:rPr>
          <w:rStyle w:val="Refdenotaalpie"/>
        </w:rPr>
        <w:footnoteRef/>
      </w:r>
      <w:r w:rsidRPr="00C01D69">
        <w:t xml:space="preserve"> Conviene recordar que, desde la </w:t>
      </w:r>
      <w:r w:rsidRPr="00C01D69">
        <w:rPr>
          <w:lang w:val="es-CO"/>
        </w:rPr>
        <w:t>Sentencia C-221 de 1994, esta corporación ha señalado que la educación es la vía más adecuada para prevenir el consumo de sustancias psicoactivas. En dicha ocasión, la Sal</w:t>
      </w:r>
      <w:r w:rsidRPr="00C01D69">
        <w:rPr>
          <w:lang w:val="es-CO"/>
        </w:rPr>
        <w:t xml:space="preserve">a Plena declaró que «la única vía adecuada y compatible con los principios que el propio Estado se ha comprometido a respetar y a promover, consiste en brindar al conglomerado que constituye su pueblo, las posibilidades de educarse». </w:t>
      </w:r>
    </w:p>
  </w:footnote>
  <w:footnote w:id="169">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CO"/>
        </w:rPr>
        <w:t>Observación general</w:t>
      </w:r>
      <w:r w:rsidRPr="00C01D69">
        <w:rPr>
          <w:lang w:val="es-CO"/>
        </w:rPr>
        <w:t xml:space="preserve"> n.° 15 (2013), sobre el derecho del niño al disfrute del más alto nivel posible de salud (artículo 24).</w:t>
      </w:r>
    </w:p>
  </w:footnote>
  <w:footnote w:id="170">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 xml:space="preserve">. </w:t>
      </w:r>
    </w:p>
  </w:footnote>
  <w:footnote w:id="171">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Artículo 411.4 del Código Civil. </w:t>
      </w:r>
    </w:p>
  </w:footnote>
  <w:footnote w:id="172">
    <w:p w:rsidR="00B5075E" w:rsidRPr="00C01D69" w:rsidRDefault="005D36F1" w:rsidP="00894FB7">
      <w:pPr>
        <w:pStyle w:val="Textonotapie"/>
        <w:rPr>
          <w:lang w:val="es-ES_tradnl"/>
        </w:rPr>
      </w:pPr>
      <w:r w:rsidRPr="00C01D69">
        <w:rPr>
          <w:rStyle w:val="Refdenotaalpie"/>
        </w:rPr>
        <w:footnoteRef/>
      </w:r>
      <w:r w:rsidRPr="00C01D69">
        <w:t xml:space="preserve"> Sentencia T-622 de 1995, reiterada en la Sentencia T-474 de 2014. </w:t>
      </w:r>
    </w:p>
  </w:footnote>
  <w:footnote w:id="173">
    <w:p w:rsidR="00B5075E" w:rsidRPr="00C01D69" w:rsidRDefault="005D36F1" w:rsidP="00894FB7">
      <w:pPr>
        <w:pStyle w:val="Textonotapie"/>
        <w:rPr>
          <w:lang w:val="es-ES_tradnl"/>
        </w:rPr>
      </w:pPr>
      <w:r w:rsidRPr="00C01D69">
        <w:rPr>
          <w:rStyle w:val="Refdenotaalpie"/>
        </w:rPr>
        <w:footnoteRef/>
      </w:r>
      <w:r w:rsidRPr="00C01D69">
        <w:t xml:space="preserve"> Concepto remitido por el </w:t>
      </w:r>
      <w:r w:rsidRPr="00C01D69">
        <w:rPr>
          <w:lang w:val="es-CO"/>
        </w:rPr>
        <w:t xml:space="preserve">Centro de </w:t>
      </w:r>
      <w:r w:rsidRPr="00C01D69">
        <w:rPr>
          <w:lang w:val="es-CO"/>
        </w:rPr>
        <w:t>Estudios sobre Seguridad y Drogas de la Universidad de los Andes, folio 7. Una declaración en idéntico sentido fue realizada por la Secretaría Distrital de Salud de Bogotá.</w:t>
      </w:r>
    </w:p>
  </w:footnote>
  <w:footnote w:id="174">
    <w:p w:rsidR="00B5075E" w:rsidRPr="00C01D69" w:rsidRDefault="005D36F1" w:rsidP="00894FB7">
      <w:pPr>
        <w:pStyle w:val="Textonotapie"/>
        <w:rPr>
          <w:lang w:val="es-ES_tradnl"/>
        </w:rPr>
      </w:pPr>
      <w:r w:rsidRPr="00C01D69">
        <w:rPr>
          <w:rStyle w:val="Refdenotaalpie"/>
        </w:rPr>
        <w:footnoteRef/>
      </w:r>
      <w:r w:rsidRPr="00C01D69">
        <w:t xml:space="preserve"> El </w:t>
      </w:r>
      <w:r w:rsidRPr="00C01D69">
        <w:rPr>
          <w:lang w:val="es-CO"/>
        </w:rPr>
        <w:t>Centro de Estudios sobre Seguridad y Drogas de la Universidad de los Andes señ</w:t>
      </w:r>
      <w:r w:rsidRPr="00C01D69">
        <w:rPr>
          <w:lang w:val="es-CO"/>
        </w:rPr>
        <w:t xml:space="preserve">aló que «[e]l consumo de sustancias puede ser entendido como un </w:t>
      </w:r>
      <w:r w:rsidRPr="00C01D69">
        <w:rPr>
          <w:i/>
          <w:iCs/>
          <w:lang w:val="es-CO"/>
        </w:rPr>
        <w:t>continuum</w:t>
      </w:r>
      <w:r w:rsidRPr="00C01D69">
        <w:rPr>
          <w:lang w:val="es-CO"/>
        </w:rPr>
        <w:t xml:space="preserve">, En este </w:t>
      </w:r>
      <w:r w:rsidRPr="00C01D69">
        <w:rPr>
          <w:i/>
          <w:iCs/>
          <w:lang w:val="es-CO"/>
        </w:rPr>
        <w:t xml:space="preserve">continuum </w:t>
      </w:r>
      <w:r w:rsidRPr="00C01D69">
        <w:rPr>
          <w:lang w:val="es-CO"/>
        </w:rPr>
        <w:t xml:space="preserve">las personas pueden transitar por diferentes tipos de consumo, </w:t>
      </w:r>
      <w:r w:rsidRPr="00C01D69">
        <w:rPr>
          <w:i/>
          <w:iCs/>
          <w:lang w:val="es-CO"/>
        </w:rPr>
        <w:t>sin que esto quiera decir que necesariamente terminará en un consumo problemático o dependiente</w:t>
      </w:r>
      <w:r w:rsidRPr="00C01D69">
        <w:rPr>
          <w:lang w:val="es-CO"/>
        </w:rPr>
        <w:t>» [én</w:t>
      </w:r>
      <w:r w:rsidRPr="00C01D69">
        <w:rPr>
          <w:lang w:val="es-CO"/>
        </w:rPr>
        <w:t xml:space="preserve">fasis fuera de texto]. Folio 8.  </w:t>
      </w:r>
    </w:p>
  </w:footnote>
  <w:footnote w:id="175">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Folios 11 y 12.</w:t>
      </w:r>
    </w:p>
  </w:footnote>
  <w:footnote w:id="176">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La Secretaría Distrital de Salud de Bogotá argumentó que </w:t>
      </w:r>
      <w:r w:rsidRPr="00C01D69">
        <w:rPr>
          <w:lang w:val="es-CO"/>
        </w:rPr>
        <w:t>«[c]on base en la Organización Mundial para la Salud (OMS) tanto los riesgos como los daños derivados del consumo de sustancias psicoactivas a co</w:t>
      </w:r>
      <w:r w:rsidRPr="00C01D69">
        <w:rPr>
          <w:lang w:val="es-CO"/>
        </w:rPr>
        <w:t xml:space="preserve">rto y largo plazo, </w:t>
      </w:r>
      <w:r w:rsidRPr="00C01D69">
        <w:rPr>
          <w:i/>
          <w:iCs/>
          <w:lang w:val="es-CO"/>
        </w:rPr>
        <w:t>dependen de la interacción de un conjunto de factores</w:t>
      </w:r>
      <w:r w:rsidRPr="00C01D69">
        <w:rPr>
          <w:lang w:val="es-CO"/>
        </w:rPr>
        <w:t xml:space="preserve"> tales como el tipo de sustancia, la forma de consumo, las características individuales del usuario (físicas y psicológicas) y las condiciones del contexto de consumo. Es así, como los</w:t>
      </w:r>
      <w:r w:rsidRPr="00C01D69">
        <w:rPr>
          <w:lang w:val="es-CO"/>
        </w:rPr>
        <w:t xml:space="preserve"> posibles riesgos o daños sobre el entorno próximo del consumidor dependerán de factores protectores y de riesgo de cada usuario de las sustancias. </w:t>
      </w:r>
      <w:r w:rsidRPr="00C01D69">
        <w:rPr>
          <w:i/>
          <w:iCs/>
          <w:lang w:val="es-CO"/>
        </w:rPr>
        <w:t>Lo anterior se refleja en que no todas las personas que usan sustancias psicoactivas presentan un consumo pr</w:t>
      </w:r>
      <w:r w:rsidRPr="00C01D69">
        <w:rPr>
          <w:i/>
          <w:iCs/>
          <w:lang w:val="es-CO"/>
        </w:rPr>
        <w:t>oblemático</w:t>
      </w:r>
      <w:r w:rsidRPr="00C01D69">
        <w:rPr>
          <w:lang w:val="es-CO"/>
        </w:rPr>
        <w:t>».</w:t>
      </w:r>
    </w:p>
  </w:footnote>
  <w:footnote w:id="177">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Sentencia T-565 de 2013.</w:t>
      </w:r>
    </w:p>
  </w:footnote>
  <w:footnote w:id="178">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Sentencia C-821 de 2005.</w:t>
      </w:r>
    </w:p>
  </w:footnote>
  <w:footnote w:id="179">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i/>
          <w:iCs/>
          <w:lang w:val="es-ES_tradnl"/>
        </w:rPr>
        <w:t>Idem</w:t>
      </w:r>
      <w:r w:rsidRPr="00C01D69">
        <w:rPr>
          <w:lang w:val="es-ES_tradnl"/>
        </w:rPr>
        <w:t xml:space="preserve">. </w:t>
      </w:r>
    </w:p>
  </w:footnote>
  <w:footnote w:id="180">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Sentencia C-985 de 2010.</w:t>
      </w:r>
    </w:p>
  </w:footnote>
  <w:footnote w:id="181">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Sentencia C-345 de 2019. </w:t>
      </w:r>
    </w:p>
  </w:footnote>
  <w:footnote w:id="182">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Sentencia C-345 de 2019.</w:t>
      </w:r>
    </w:p>
  </w:footnote>
  <w:footnote w:id="183">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Sentencia C-589 de 2019.</w:t>
      </w:r>
    </w:p>
  </w:footnote>
  <w:footnote w:id="184">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Sentencia C-345 de 2019. </w:t>
      </w:r>
    </w:p>
  </w:footnote>
  <w:footnote w:id="185">
    <w:p w:rsidR="00B5075E" w:rsidRPr="00C01D69" w:rsidRDefault="005D36F1" w:rsidP="00894FB7">
      <w:pPr>
        <w:pStyle w:val="Textonotapie"/>
        <w:rPr>
          <w:lang w:val="es-ES_tradnl"/>
        </w:rPr>
      </w:pPr>
      <w:r w:rsidRPr="00C01D69">
        <w:rPr>
          <w:rStyle w:val="Refdenotaalpie"/>
        </w:rPr>
        <w:footnoteRef/>
      </w:r>
      <w:r w:rsidRPr="00C01D69">
        <w:t xml:space="preserve"> </w:t>
      </w:r>
      <w:r w:rsidRPr="00C01D69">
        <w:rPr>
          <w:lang w:val="es-ES_tradnl"/>
        </w:rPr>
        <w:t xml:space="preserve">Sentencia C-985 de 2010. </w:t>
      </w:r>
    </w:p>
  </w:footnote>
  <w:footnote w:id="186">
    <w:p w:rsidR="00B5075E" w:rsidRPr="00A42A17" w:rsidRDefault="005D36F1" w:rsidP="00894FB7">
      <w:pPr>
        <w:pStyle w:val="Textonotapie"/>
        <w:rPr>
          <w:lang w:val="es-ES_tradnl"/>
        </w:rPr>
      </w:pPr>
      <w:r w:rsidRPr="00C01D69">
        <w:rPr>
          <w:rStyle w:val="Refdenotaalpie"/>
        </w:rPr>
        <w:footnoteRef/>
      </w:r>
      <w:r w:rsidRPr="00C01D69">
        <w:t xml:space="preserve"> </w:t>
      </w:r>
      <w:r w:rsidRPr="00C01D69">
        <w:rPr>
          <w:lang w:val="es-CO"/>
        </w:rPr>
        <w:t xml:space="preserve">Sentencia </w:t>
      </w:r>
      <w:r w:rsidRPr="00C01D69">
        <w:rPr>
          <w:lang w:val="es-CO"/>
        </w:rPr>
        <w:t>C-985 de 2010.</w:t>
      </w:r>
      <w:r>
        <w:rPr>
          <w:lang w:val="es-CO"/>
        </w:rPr>
        <w:t xml:space="preserve"> </w:t>
      </w:r>
    </w:p>
  </w:footnote>
  <w:footnote w:id="187">
    <w:p w:rsidR="00263B23" w:rsidRDefault="005D36F1" w:rsidP="008B6685">
      <w:pPr>
        <w:pStyle w:val="Textonotapie"/>
      </w:pPr>
      <w:r>
        <w:rPr>
          <w:vertAlign w:val="superscript"/>
        </w:rPr>
        <w:footnoteRef/>
      </w:r>
      <w:r>
        <w:t xml:space="preserve"> </w:t>
      </w:r>
      <w:r w:rsidRPr="00033B17">
        <w:rPr>
          <w:color w:val="000000" w:themeColor="text1"/>
        </w:rPr>
        <w:t>De acuerdo con la O</w:t>
      </w:r>
      <w:r>
        <w:rPr>
          <w:color w:val="000000" w:themeColor="text1"/>
        </w:rPr>
        <w:t xml:space="preserve">rganización </w:t>
      </w:r>
      <w:r w:rsidRPr="00033B17">
        <w:rPr>
          <w:color w:val="000000" w:themeColor="text1"/>
        </w:rPr>
        <w:t>M</w:t>
      </w:r>
      <w:r>
        <w:rPr>
          <w:color w:val="000000" w:themeColor="text1"/>
        </w:rPr>
        <w:t xml:space="preserve">undial de la </w:t>
      </w:r>
      <w:r w:rsidRPr="00033B17">
        <w:rPr>
          <w:color w:val="000000" w:themeColor="text1"/>
        </w:rPr>
        <w:t>S</w:t>
      </w:r>
      <w:r>
        <w:rPr>
          <w:color w:val="000000" w:themeColor="text1"/>
        </w:rPr>
        <w:t>alud (OMS)</w:t>
      </w:r>
      <w:r w:rsidRPr="00033B17">
        <w:rPr>
          <w:color w:val="000000" w:themeColor="text1"/>
        </w:rPr>
        <w:t xml:space="preserve"> las sustancias alucinógenas </w:t>
      </w:r>
      <w:r w:rsidRPr="00033B17">
        <w:rPr>
          <w:i/>
          <w:iCs/>
          <w:color w:val="000000" w:themeColor="text1"/>
        </w:rPr>
        <w:t>“Son sustancias psicoactivas que al ser ingeridas alteran la percepción de la realidad, las emociones y el pensamiento de quien las consume. Las drogas a</w:t>
      </w:r>
      <w:r w:rsidRPr="00033B17">
        <w:rPr>
          <w:i/>
          <w:iCs/>
          <w:color w:val="000000" w:themeColor="text1"/>
        </w:rPr>
        <w:t xml:space="preserve">lucinógenas son capaces de modificar las sensaciones y los sentidos, pudiendo generar alucinaciones y alteraciones sensoriales.” </w:t>
      </w:r>
      <w:r w:rsidRPr="00033B17">
        <w:rPr>
          <w:color w:val="000000" w:themeColor="text1"/>
        </w:rPr>
        <w:t xml:space="preserve">Y los estupefacientes son </w:t>
      </w:r>
      <w:r w:rsidRPr="00033B17">
        <w:rPr>
          <w:i/>
          <w:iCs/>
          <w:color w:val="000000" w:themeColor="text1"/>
        </w:rPr>
        <w:t>“son aquellas sustancias que actúan sobre el sistema nervioso central, ya sea excitándolo o deprimién</w:t>
      </w:r>
      <w:r w:rsidRPr="00033B17">
        <w:rPr>
          <w:i/>
          <w:iCs/>
          <w:color w:val="000000" w:themeColor="text1"/>
        </w:rPr>
        <w:t>dolo”.</w:t>
      </w:r>
    </w:p>
  </w:footnote>
  <w:footnote w:id="188">
    <w:p w:rsidR="00263B23" w:rsidRDefault="005D36F1" w:rsidP="005662ED">
      <w:pPr>
        <w:pStyle w:val="Textonotapie"/>
      </w:pPr>
      <w:r>
        <w:rPr>
          <w:vertAlign w:val="superscript"/>
        </w:rPr>
        <w:footnoteRef/>
      </w:r>
      <w:r>
        <w:t xml:space="preserve"> En la Sentencia T-228 de 2023, l</w:t>
      </w:r>
      <w:r w:rsidRPr="005662ED">
        <w:t xml:space="preserve">a Corte dijo: </w:t>
      </w:r>
      <w:r w:rsidRPr="005662ED">
        <w:rPr>
          <w:i/>
          <w:iCs/>
        </w:rPr>
        <w:t>“[e]s abiertamente contrario a la Constitución que la señora Robles de Rodríguez sea castigada con la pérdida de la sustitución de la asignación de retiro por una circunstancia que no sólo no les imput</w:t>
      </w:r>
      <w:r w:rsidRPr="005662ED">
        <w:rPr>
          <w:i/>
          <w:iCs/>
        </w:rPr>
        <w:t>able, sino de la que también fue víctima: el incumplimiento de las obligaciones maritales de su esposo a causa de la adicción al alcohol.”</w:t>
      </w:r>
      <w:r w:rsidRPr="005662ED">
        <w:t xml:space="preserve"> </w:t>
      </w:r>
      <w:r>
        <w:t xml:space="preserve">Igualmente, en la Sentencia SU 108 de 2020, </w:t>
      </w:r>
      <w:r w:rsidRPr="005662ED">
        <w:t xml:space="preserve">observó que </w:t>
      </w:r>
      <w:r w:rsidRPr="005662ED">
        <w:rPr>
          <w:i/>
          <w:iCs/>
        </w:rPr>
        <w:t xml:space="preserve">“la posible configuración de justa causa fue alegada </w:t>
      </w:r>
      <w:r w:rsidRPr="005662ED">
        <w:rPr>
          <w:i/>
          <w:iCs/>
        </w:rPr>
        <w:t>expresamente por la accionante (...) quien adujo que “en ningún momento se configuró culpa de la viuda, pues fueron muchos los años y padecimientos soportados por [ella] a causa de la adicción de su esposo”. Asimismo, (...) afirmó que no hizo vida en común</w:t>
      </w:r>
      <w:r w:rsidRPr="005662ED">
        <w:rPr>
          <w:i/>
          <w:iCs/>
        </w:rPr>
        <w:t xml:space="preserve"> con el causante “por culpa de él”, por su “vicio al alcohol”, “su comportamiento (…) de padre negligente e irresponsable”, y que, en todo caso, el causante “nunca dejó de sostener[la] económicamente”.”</w:t>
      </w:r>
    </w:p>
  </w:footnote>
  <w:footnote w:id="189">
    <w:p w:rsidR="00263B23" w:rsidRDefault="005D36F1" w:rsidP="00652A3F">
      <w:pPr>
        <w:pStyle w:val="Textonotapie"/>
      </w:pPr>
      <w:r>
        <w:rPr>
          <w:vertAlign w:val="superscript"/>
        </w:rPr>
        <w:footnoteRef/>
      </w:r>
      <w:r>
        <w:t xml:space="preserve"> Corte Suprema de Justicia, Sala de Casación Laboral</w:t>
      </w:r>
      <w:r>
        <w:t xml:space="preserve">, </w:t>
      </w:r>
      <w:r w:rsidRPr="00652A3F">
        <w:t>Sentencia SL1130-2022 Radicación No. 74857 del 22 de marzo de 2022</w:t>
      </w:r>
      <w:r>
        <w:t xml:space="preserve">. En la decisión, la Sala sostuvo: </w:t>
      </w:r>
      <w:r w:rsidRPr="00652A3F">
        <w:rPr>
          <w:i/>
          <w:iCs/>
        </w:rPr>
        <w:t>“</w:t>
      </w:r>
      <w:r w:rsidRPr="00652A3F">
        <w:t>[d]</w:t>
      </w:r>
      <w:r w:rsidRPr="00652A3F">
        <w:rPr>
          <w:i/>
          <w:iCs/>
        </w:rPr>
        <w:t>e lo contrario, sería un absoluto contrasentido y violatorio de todo rozamiento lógico y humano, exigirle a quien es sujeto de vejámenes contra su in</w:t>
      </w:r>
      <w:r w:rsidRPr="00652A3F">
        <w:rPr>
          <w:i/>
          <w:iCs/>
        </w:rPr>
        <w:t>tegridad física y moral, someterse a una continua tortura, con el único objeto de obtener el reconocimiento de un derecho prestacional, pues ello resulta una intelección aislada, exegética e inversa a los principios constitucionales y legales que gobiernan</w:t>
      </w:r>
      <w:r w:rsidRPr="00652A3F">
        <w:rPr>
          <w:i/>
          <w:iCs/>
        </w:rPr>
        <w:t xml:space="preserve"> la garantía fundamental de la seguridad social.”</w:t>
      </w:r>
      <w:r>
        <w:rPr>
          <w:i/>
          <w:iCs/>
        </w:rPr>
        <w:t xml:space="preserve"> </w:t>
      </w:r>
      <w:r>
        <w:t xml:space="preserve">Además, recordó el contexto fáctico así: </w:t>
      </w:r>
      <w:r w:rsidRPr="006D2AF1">
        <w:rPr>
          <w:i/>
          <w:iCs/>
        </w:rPr>
        <w:t xml:space="preserve">“el 8 de agosto del 2011, la pareja tuvo un altercado y estando en su lugar de residencia el de cujus la agredió, tan es así que «la amenazó con una navaja y […] le </w:t>
      </w:r>
      <w:r w:rsidRPr="006D2AF1">
        <w:rPr>
          <w:i/>
          <w:iCs/>
        </w:rPr>
        <w:t xml:space="preserve">pegó unos planazos con un machete en las piernas», razón por la cual y en aras de proteger su vida, así como la de su descendiente, decidió irse a la casa de su progenitora.” (...) Recordó que, el 10 de agosto del 2011, el señor Moreno Gutiérrez tenía una </w:t>
      </w:r>
      <w:r w:rsidRPr="006D2AF1">
        <w:rPr>
          <w:i/>
          <w:iCs/>
        </w:rPr>
        <w:t>cirugía, a la que acudió para autorizar los procedimientos en calidad de compañera permanente e incluso lo acompañó durante todo el proceso, espacio en el que aquél se disculpó por lo ocurrido. También, le sostuvo que se iba a rehabilitar, toda vez que con</w:t>
      </w:r>
      <w:r w:rsidRPr="006D2AF1">
        <w:rPr>
          <w:i/>
          <w:iCs/>
        </w:rPr>
        <w:t>sumía marihuana, lo que generaba que llegara tarde a la casa, no comiera, tuviera episodios de ira y saliera a altas horas de la noche (f.° 1 a 8, cuaderno principal).”</w:t>
      </w:r>
    </w:p>
  </w:footnote>
  <w:footnote w:id="190">
    <w:p w:rsidR="00263B23" w:rsidRDefault="005D36F1" w:rsidP="002C269D">
      <w:pPr>
        <w:pStyle w:val="Textonotapie"/>
      </w:pPr>
      <w:r>
        <w:rPr>
          <w:vertAlign w:val="superscript"/>
        </w:rPr>
        <w:footnoteRef/>
      </w:r>
      <w:r>
        <w:t xml:space="preserve"> </w:t>
      </w:r>
      <w:r>
        <w:t xml:space="preserve">Corte Suprema de Justicia, Sala de Casación Penal, </w:t>
      </w:r>
      <w:r w:rsidRPr="002C269D">
        <w:t>Sentencia SP3574-2022 Radicación N</w:t>
      </w:r>
      <w:r w:rsidRPr="002C269D">
        <w:t>o. 54189 del 5 de octubre de 2022</w:t>
      </w:r>
      <w:r>
        <w:t xml:space="preserve">. En ese caso, la Sala relató lo siguiente: </w:t>
      </w:r>
      <w:r w:rsidRPr="002C269D">
        <w:rPr>
          <w:i/>
          <w:iCs/>
        </w:rPr>
        <w:t>““</w:t>
      </w:r>
      <w:r w:rsidRPr="002C269D">
        <w:t>[e]</w:t>
      </w:r>
      <w:r w:rsidRPr="002C269D">
        <w:rPr>
          <w:i/>
          <w:iCs/>
        </w:rPr>
        <w:t>ntrando en detalles sobre lo ocurrido el 30 de octubre de 2011, punto de partida para eventos semejantes repetidos en el futuro, relató: El 30 de octubre de 2011, YONNY llega</w:t>
      </w:r>
      <w:r w:rsidRPr="002C269D">
        <w:rPr>
          <w:i/>
          <w:iCs/>
        </w:rPr>
        <w:t xml:space="preserve"> en la mañana. Estaba yo con la niña en el apartamento. Inició, como había pasado un par de veces antes, a forzarme a tener relaciones sexuales con él; en esa ocasión me resistí un poco, la niña también empezó a llorar, me empezó a golpear la espalda, a de</w:t>
      </w:r>
      <w:r w:rsidRPr="002C269D">
        <w:rPr>
          <w:i/>
          <w:iCs/>
        </w:rPr>
        <w:t>cirle que por favor no me hiciera daño. Sus palabras decía no moleste a mamá. Ese día cuando él termina de hacer la agresión sexual y enojado porque me resistí, porque le pedí, porque le imploré, porque le dije que me dolía, porque la niña estaba presente…</w:t>
      </w:r>
      <w:r w:rsidRPr="002C269D">
        <w:rPr>
          <w:i/>
          <w:iCs/>
        </w:rPr>
        <w:t xml:space="preserve"> se enojó mucho, sacó su arma del armario donde compartíamos la ropa, la cargó con un disparo, salió del cuarto, cerró la puerta y se fue hacia el patio del apartamento, estando allá disparó el arma, por supuesto estaba yo muy asustada… Cuando regresé nuev</w:t>
      </w:r>
      <w:r w:rsidRPr="002C269D">
        <w:rPr>
          <w:i/>
          <w:iCs/>
        </w:rPr>
        <w:t xml:space="preserve">amente al cuarto me dice pues que la situación está difícil, que se siente mal. Vuelve a cargar el arma con las balas que tenía y se acuesta en la cama con el arma a su lado y se queda dormido.52   El empleo de un arma de fuego para expresar su </w:t>
      </w:r>
      <w:r w:rsidRPr="008D5AF9">
        <w:rPr>
          <w:i/>
          <w:iCs/>
          <w:color w:val="000000" w:themeColor="text1"/>
        </w:rPr>
        <w:t>inconformid</w:t>
      </w:r>
      <w:r w:rsidRPr="008D5AF9">
        <w:rPr>
          <w:i/>
          <w:iCs/>
          <w:color w:val="000000" w:themeColor="text1"/>
        </w:rPr>
        <w:t>ad ante la repulsa ofrecida por su cónyuge ante sus propósitos de conjunción sexual, representó para ella, a partir de ese momento, una amenaza latente, evocación que explica su miedo, que confluyó en la materialización sexual sin su consentimiento.”</w:t>
      </w:r>
    </w:p>
  </w:footnote>
  <w:footnote w:id="191">
    <w:p w:rsidR="00263B23" w:rsidRDefault="005D36F1" w:rsidP="00202AB5">
      <w:pPr>
        <w:jc w:val="both"/>
      </w:pPr>
      <w:r w:rsidRPr="008D5AF9">
        <w:rPr>
          <w:color w:val="000000" w:themeColor="text1"/>
          <w:sz w:val="20"/>
          <w:vertAlign w:val="superscript"/>
        </w:rPr>
        <w:footnoteRef/>
      </w:r>
      <w:r w:rsidRPr="008D5AF9">
        <w:rPr>
          <w:color w:val="000000" w:themeColor="text1"/>
          <w:sz w:val="20"/>
        </w:rPr>
        <w:t xml:space="preserve"> Org</w:t>
      </w:r>
      <w:r w:rsidRPr="008D5AF9">
        <w:rPr>
          <w:color w:val="000000" w:themeColor="text1"/>
          <w:sz w:val="20"/>
        </w:rPr>
        <w:t xml:space="preserve">anización Panamericana de la Salud (OPS), </w:t>
      </w:r>
      <w:r w:rsidRPr="008D5AF9">
        <w:rPr>
          <w:i/>
          <w:iCs/>
          <w:color w:val="000000" w:themeColor="text1"/>
          <w:sz w:val="20"/>
        </w:rPr>
        <w:t xml:space="preserve">“El brindis infeliz: el consumo de alcohol y la agresión entre parejas en las Américas,” </w:t>
      </w:r>
      <w:r w:rsidRPr="008D5AF9">
        <w:rPr>
          <w:color w:val="000000" w:themeColor="text1"/>
          <w:sz w:val="20"/>
        </w:rPr>
        <w:t xml:space="preserve">2010, disponible en el siguiente link: </w:t>
      </w:r>
      <w:hyperlink r:id="rId1" w:history="1">
        <w:r w:rsidRPr="008D5AF9">
          <w:rPr>
            <w:rStyle w:val="Hipervnculo"/>
            <w:color w:val="000000" w:themeColor="text1"/>
            <w:sz w:val="20"/>
          </w:rPr>
          <w:t>https://iris.paho.org/bitstream/handle/10665.2/2829/9789275316313_Spa.pdf?sequence=13&amp;isAllowed=y</w:t>
        </w:r>
      </w:hyperlink>
      <w:r w:rsidRPr="008D5AF9">
        <w:rPr>
          <w:color w:val="000000" w:themeColor="text1"/>
          <w:sz w:val="20"/>
        </w:rPr>
        <w:t xml:space="preserve"> </w:t>
      </w:r>
    </w:p>
  </w:footnote>
  <w:footnote w:id="192">
    <w:p w:rsidR="00263B23" w:rsidRDefault="005D36F1" w:rsidP="008D5AF9">
      <w:pPr>
        <w:jc w:val="both"/>
      </w:pPr>
      <w:r w:rsidRPr="008D5AF9">
        <w:rPr>
          <w:color w:val="000000" w:themeColor="text1"/>
          <w:sz w:val="20"/>
          <w:vertAlign w:val="superscript"/>
        </w:rPr>
        <w:footnoteRef/>
      </w:r>
      <w:r w:rsidRPr="008D5AF9">
        <w:rPr>
          <w:color w:val="000000" w:themeColor="text1"/>
          <w:sz w:val="20"/>
        </w:rPr>
        <w:t xml:space="preserve"> </w:t>
      </w:r>
      <w:r>
        <w:rPr>
          <w:color w:val="000000" w:themeColor="text1"/>
          <w:sz w:val="20"/>
        </w:rPr>
        <w:t>Ídem.</w:t>
      </w:r>
    </w:p>
  </w:footnote>
  <w:footnote w:id="193">
    <w:p w:rsidR="00263B23" w:rsidRDefault="005D36F1" w:rsidP="008D5AF9">
      <w:pPr>
        <w:jc w:val="both"/>
      </w:pPr>
      <w:r w:rsidRPr="008D5AF9">
        <w:rPr>
          <w:color w:val="000000" w:themeColor="text1"/>
          <w:sz w:val="20"/>
          <w:vertAlign w:val="superscript"/>
        </w:rPr>
        <w:footnoteRef/>
      </w:r>
      <w:r w:rsidRPr="008D5AF9">
        <w:rPr>
          <w:color w:val="000000" w:themeColor="text1"/>
          <w:sz w:val="20"/>
        </w:rPr>
        <w:t xml:space="preserve"> Organización Mundial de la Salud (O</w:t>
      </w:r>
      <w:r w:rsidRPr="008D5AF9">
        <w:rPr>
          <w:color w:val="000000" w:themeColor="text1"/>
          <w:sz w:val="20"/>
        </w:rPr>
        <w:t xml:space="preserve">MS), </w:t>
      </w:r>
      <w:r w:rsidRPr="008D5AF9">
        <w:rPr>
          <w:i/>
          <w:iCs/>
          <w:color w:val="000000" w:themeColor="text1"/>
          <w:sz w:val="20"/>
        </w:rPr>
        <w:t>“Violencia contra la mujer,”</w:t>
      </w:r>
      <w:r w:rsidRPr="008D5AF9">
        <w:rPr>
          <w:color w:val="000000" w:themeColor="text1"/>
          <w:sz w:val="20"/>
        </w:rPr>
        <w:t xml:space="preserve"> marzo del 2021, disponible en el siguiente link:</w:t>
      </w:r>
      <w:r w:rsidRPr="008D5AF9">
        <w:rPr>
          <w:color w:val="000000" w:themeColor="text1"/>
          <w:sz w:val="20"/>
        </w:rPr>
        <w:t xml:space="preserve"> </w:t>
      </w:r>
      <w:hyperlink r:id="rId2">
        <w:r w:rsidRPr="008D5AF9">
          <w:rPr>
            <w:rStyle w:val="Hipervnculo"/>
            <w:color w:val="000000" w:themeColor="text1"/>
            <w:sz w:val="20"/>
          </w:rPr>
          <w:t>https://www.who.int/es/news-room/fact-sheets/detail/violence-against-women</w:t>
        </w:r>
      </w:hyperlink>
      <w:r w:rsidRPr="008D5AF9">
        <w:rPr>
          <w:color w:val="000000" w:themeColor="text1"/>
          <w:sz w:val="20"/>
        </w:rPr>
        <w:t xml:space="preserve"> </w:t>
      </w:r>
    </w:p>
  </w:footnote>
  <w:footnote w:id="194">
    <w:p w:rsidR="00263B23" w:rsidRDefault="005D36F1" w:rsidP="00DD288B">
      <w:pPr>
        <w:ind w:left="-20" w:right="-20"/>
        <w:jc w:val="both"/>
      </w:pPr>
      <w:r w:rsidRPr="008D5AF9">
        <w:rPr>
          <w:color w:val="000000" w:themeColor="text1"/>
          <w:sz w:val="20"/>
          <w:vertAlign w:val="superscript"/>
        </w:rPr>
        <w:footnoteRef/>
      </w:r>
      <w:r w:rsidRPr="008D5AF9">
        <w:rPr>
          <w:color w:val="000000" w:themeColor="text1"/>
          <w:sz w:val="20"/>
        </w:rPr>
        <w:t xml:space="preserve"> L</w:t>
      </w:r>
      <w:r w:rsidRPr="008D5AF9">
        <w:rPr>
          <w:color w:val="000000" w:themeColor="text1"/>
          <w:sz w:val="20"/>
        </w:rPr>
        <w:t xml:space="preserve">lopis Giménez, C., Rodríguez García, M.I., &amp; Hernández Mancha, I.. (2014). </w:t>
      </w:r>
      <w:r w:rsidRPr="008D5AF9">
        <w:rPr>
          <w:color w:val="000000" w:themeColor="text1"/>
          <w:sz w:val="20"/>
        </w:rPr>
        <w:t>“</w:t>
      </w:r>
      <w:r w:rsidRPr="008D5AF9">
        <w:rPr>
          <w:i/>
          <w:iCs/>
          <w:color w:val="000000" w:themeColor="text1"/>
          <w:sz w:val="20"/>
        </w:rPr>
        <w:t>Relación entre el consumo abusivo de alcohol y la violencia ejercida por el hombre contra su pareja en la unidad de valoración integral de violencia de género (UVIVG) de Sevilla</w:t>
      </w:r>
      <w:r w:rsidRPr="008D5AF9">
        <w:rPr>
          <w:i/>
          <w:iCs/>
          <w:color w:val="000000" w:themeColor="text1"/>
          <w:sz w:val="20"/>
        </w:rPr>
        <w:t>,”</w:t>
      </w:r>
      <w:r w:rsidRPr="008D5AF9">
        <w:rPr>
          <w:color w:val="000000" w:themeColor="text1"/>
          <w:sz w:val="20"/>
        </w:rPr>
        <w:t xml:space="preserve"> </w:t>
      </w:r>
      <w:r w:rsidRPr="00391FE0">
        <w:rPr>
          <w:i/>
          <w:iCs/>
          <w:color w:val="000000" w:themeColor="text1"/>
          <w:sz w:val="20"/>
        </w:rPr>
        <w:t>Cuadernos de Medicina Forense</w:t>
      </w:r>
      <w:r w:rsidRPr="00391FE0">
        <w:rPr>
          <w:color w:val="000000" w:themeColor="text1"/>
          <w:sz w:val="20"/>
        </w:rPr>
        <w:t xml:space="preserve">, </w:t>
      </w:r>
      <w:r w:rsidRPr="00391FE0">
        <w:rPr>
          <w:i/>
          <w:iCs/>
          <w:color w:val="000000" w:themeColor="text1"/>
          <w:sz w:val="20"/>
        </w:rPr>
        <w:t>20</w:t>
      </w:r>
      <w:r w:rsidRPr="00391FE0">
        <w:rPr>
          <w:color w:val="000000" w:themeColor="text1"/>
          <w:sz w:val="20"/>
        </w:rPr>
        <w:t>(4), 151-169.</w:t>
      </w:r>
    </w:p>
  </w:footnote>
  <w:footnote w:id="195">
    <w:p w:rsidR="00263B23" w:rsidRDefault="005D36F1" w:rsidP="00DD288B">
      <w:pPr>
        <w:ind w:left="-20" w:right="-20"/>
        <w:jc w:val="both"/>
      </w:pPr>
      <w:r w:rsidRPr="008D5AF9">
        <w:rPr>
          <w:vertAlign w:val="superscript"/>
        </w:rPr>
        <w:footnoteRef/>
      </w:r>
      <w:r w:rsidRPr="002F339E">
        <w:rPr>
          <w:lang w:val="en-US"/>
        </w:rPr>
        <w:t xml:space="preserve"> </w:t>
      </w:r>
      <w:r w:rsidRPr="002F339E">
        <w:rPr>
          <w:color w:val="000000" w:themeColor="text1"/>
          <w:sz w:val="20"/>
          <w:lang w:val="en-US"/>
        </w:rPr>
        <w:t>United Nations International Drug Control Programme, Regional Office for South Asia</w:t>
      </w:r>
      <w:r>
        <w:rPr>
          <w:color w:val="000000" w:themeColor="text1"/>
          <w:sz w:val="20"/>
          <w:lang w:val="en-US"/>
        </w:rPr>
        <w:t xml:space="preserve">, </w:t>
      </w:r>
      <w:r w:rsidRPr="008D5AF9">
        <w:rPr>
          <w:i/>
          <w:iCs/>
          <w:color w:val="000000" w:themeColor="text1"/>
          <w:sz w:val="20"/>
          <w:lang w:val="en-US"/>
        </w:rPr>
        <w:t>“</w:t>
      </w:r>
      <w:r w:rsidRPr="008D5AF9">
        <w:rPr>
          <w:i/>
          <w:iCs/>
          <w:sz w:val="20"/>
          <w:lang w:val="en-US"/>
        </w:rPr>
        <w:t>Women and Drug Abuse: The Problem in India</w:t>
      </w:r>
      <w:r w:rsidRPr="008D5AF9">
        <w:rPr>
          <w:i/>
          <w:iCs/>
          <w:sz w:val="20"/>
          <w:lang w:val="en-US"/>
        </w:rPr>
        <w:t>,”</w:t>
      </w:r>
      <w:r>
        <w:rPr>
          <w:sz w:val="20"/>
          <w:lang w:val="en-US"/>
        </w:rPr>
        <w:t xml:space="preserve"> 2002.</w:t>
      </w:r>
    </w:p>
  </w:footnote>
  <w:footnote w:id="196">
    <w:p w:rsidR="00263B23" w:rsidRDefault="005D36F1" w:rsidP="00DD288B">
      <w:pPr>
        <w:jc w:val="both"/>
      </w:pPr>
      <w:r w:rsidRPr="00CA2E4D">
        <w:rPr>
          <w:sz w:val="20"/>
          <w:vertAlign w:val="superscript"/>
        </w:rPr>
        <w:footnoteRef/>
      </w:r>
      <w:r w:rsidRPr="00CA2E4D">
        <w:rPr>
          <w:sz w:val="20"/>
          <w:lang w:val="en-US"/>
        </w:rPr>
        <w:t xml:space="preserve"> </w:t>
      </w:r>
      <w:r w:rsidRPr="00CA2E4D">
        <w:rPr>
          <w:color w:val="000000" w:themeColor="text1"/>
          <w:sz w:val="20"/>
          <w:lang w:val="en-US"/>
        </w:rPr>
        <w:t xml:space="preserve">Pagani, L.S., Tremblay, R. E., Nagin, D., Zoccolillo, M., Vitaro, </w:t>
      </w:r>
      <w:r w:rsidRPr="00CA2E4D">
        <w:rPr>
          <w:color w:val="000000" w:themeColor="text1"/>
          <w:sz w:val="20"/>
          <w:lang w:val="en-US"/>
        </w:rPr>
        <w:t>M., Mcduff, P</w:t>
      </w:r>
      <w:r>
        <w:rPr>
          <w:color w:val="000000" w:themeColor="text1"/>
          <w:sz w:val="20"/>
          <w:lang w:val="en-US"/>
        </w:rPr>
        <w:t xml:space="preserve">, </w:t>
      </w:r>
      <w:r w:rsidRPr="00CA2E4D">
        <w:rPr>
          <w:i/>
          <w:iCs/>
          <w:color w:val="000000" w:themeColor="text1"/>
          <w:sz w:val="20"/>
          <w:lang w:val="en-US"/>
        </w:rPr>
        <w:t>“</w:t>
      </w:r>
      <w:r w:rsidRPr="00CA2E4D">
        <w:rPr>
          <w:i/>
          <w:iCs/>
          <w:color w:val="000000" w:themeColor="text1"/>
          <w:sz w:val="20"/>
          <w:lang w:val="en-US"/>
        </w:rPr>
        <w:t>Risk factor models for adolescent verbal and physical aggression toward mothers</w:t>
      </w:r>
      <w:r w:rsidRPr="00CA2E4D">
        <w:rPr>
          <w:i/>
          <w:iCs/>
          <w:color w:val="000000" w:themeColor="text1"/>
          <w:sz w:val="20"/>
          <w:lang w:val="en-US"/>
        </w:rPr>
        <w:t>,”</w:t>
      </w:r>
      <w:r w:rsidRPr="00CA2E4D">
        <w:rPr>
          <w:i/>
          <w:iCs/>
          <w:color w:val="000000" w:themeColor="text1"/>
          <w:sz w:val="20"/>
          <w:lang w:val="en-US"/>
        </w:rPr>
        <w:t xml:space="preserve"> </w:t>
      </w:r>
      <w:r w:rsidRPr="00391FE0">
        <w:rPr>
          <w:color w:val="000000" w:themeColor="text1"/>
          <w:sz w:val="20"/>
          <w:lang w:val="en-GB"/>
        </w:rPr>
        <w:t>International Journal of Behavioral Development, 28 (6)</w:t>
      </w:r>
      <w:r w:rsidRPr="00391FE0">
        <w:rPr>
          <w:color w:val="000000" w:themeColor="text1"/>
          <w:sz w:val="20"/>
          <w:lang w:val="en-GB"/>
        </w:rPr>
        <w:t>, 2004.</w:t>
      </w:r>
    </w:p>
  </w:footnote>
  <w:footnote w:id="197">
    <w:p w:rsidR="00263B23" w:rsidRDefault="005D36F1">
      <w:pPr>
        <w:pStyle w:val="Textonotapie"/>
      </w:pPr>
      <w:r>
        <w:rPr>
          <w:vertAlign w:val="superscript"/>
        </w:rPr>
        <w:footnoteRef/>
      </w:r>
      <w:r>
        <w:t xml:space="preserve"> </w:t>
      </w:r>
      <w:r>
        <w:rPr>
          <w:i/>
        </w:rPr>
        <w:t xml:space="preserve">Cfr. </w:t>
      </w:r>
      <w:r>
        <w:t>Corte Constitucional, Sentencia T-462 de 2018.</w:t>
      </w:r>
    </w:p>
  </w:footnote>
  <w:footnote w:id="198">
    <w:p w:rsidR="00263B23" w:rsidRDefault="005D36F1" w:rsidP="00B77D10">
      <w:pPr>
        <w:pStyle w:val="Textonotapie"/>
      </w:pPr>
      <w:r>
        <w:rPr>
          <w:vertAlign w:val="superscript"/>
        </w:rPr>
        <w:footnoteRef/>
      </w:r>
      <w:r>
        <w:t xml:space="preserve"> </w:t>
      </w:r>
      <w:r>
        <w:t xml:space="preserve">Universidad Autónoma de Nuevo León de México, </w:t>
      </w:r>
      <w:r w:rsidRPr="00B77D10">
        <w:rPr>
          <w:i/>
          <w:iCs/>
        </w:rPr>
        <w:t>“Causas y consecuencias de la violencia familiar, caso Nuevo León “Gráfica No 18 Comisión de algún delito como consecuencia de la violencia.”</w:t>
      </w:r>
    </w:p>
  </w:footnote>
  <w:footnote w:id="199">
    <w:p w:rsidR="00263B23" w:rsidRDefault="005D36F1">
      <w:pPr>
        <w:pStyle w:val="Textonotapie"/>
      </w:pPr>
      <w:r>
        <w:rPr>
          <w:vertAlign w:val="superscript"/>
        </w:rPr>
        <w:footnoteRef/>
      </w:r>
      <w:r>
        <w:t xml:space="preserve"> </w:t>
      </w:r>
      <w:r>
        <w:rPr>
          <w:i/>
          <w:iCs/>
        </w:rPr>
        <w:t xml:space="preserve">Cfr. </w:t>
      </w:r>
      <w:r>
        <w:t xml:space="preserve">Corte Constitucional, </w:t>
      </w:r>
      <w:r w:rsidRPr="00655C8B">
        <w:t>Sentencia T-967 de 2014</w:t>
      </w:r>
      <w:r>
        <w:t>.</w:t>
      </w:r>
    </w:p>
  </w:footnote>
  <w:footnote w:id="200">
    <w:p w:rsidR="00263B23" w:rsidRDefault="005D36F1" w:rsidP="00515540">
      <w:pPr>
        <w:pStyle w:val="Textonotapie"/>
      </w:pPr>
      <w:r>
        <w:rPr>
          <w:vertAlign w:val="superscript"/>
        </w:rPr>
        <w:footnoteRef/>
      </w:r>
      <w:r>
        <w:t xml:space="preserve"> </w:t>
      </w:r>
      <w:r w:rsidRPr="00515540">
        <w:t>Secretaría d</w:t>
      </w:r>
      <w:r w:rsidRPr="00515540">
        <w:t>e Salud de Bogotá y la Facultad de Enfermería de la Pontificia Universidad Javeriana</w:t>
      </w:r>
      <w:r>
        <w:t>. P</w:t>
      </w:r>
      <w:r w:rsidRPr="00515540">
        <w:t>rograma Formación Ciudadana y Preparación para la Maternidad</w:t>
      </w:r>
      <w:r>
        <w:t xml:space="preserve">, </w:t>
      </w:r>
      <w:r w:rsidRPr="00515540">
        <w:rPr>
          <w:i/>
          <w:iCs/>
        </w:rPr>
        <w:t>“</w:t>
      </w:r>
      <w:r w:rsidRPr="00515540">
        <w:rPr>
          <w:i/>
          <w:iCs/>
          <w:color w:val="000000" w:themeColor="text1"/>
          <w:szCs w:val="28"/>
        </w:rPr>
        <w:t>Violencia intrafamiliar y social bajo la influencia del alcohol y las drogas</w:t>
      </w:r>
      <w:r>
        <w:rPr>
          <w:i/>
          <w:iCs/>
          <w:color w:val="000000" w:themeColor="text1"/>
          <w:szCs w:val="28"/>
        </w:rPr>
        <w:t>.</w:t>
      </w:r>
      <w:r w:rsidRPr="00515540">
        <w:rPr>
          <w:i/>
          <w:iCs/>
          <w:color w:val="000000" w:themeColor="text1"/>
          <w:szCs w:val="28"/>
        </w:rPr>
        <w:t>”</w:t>
      </w:r>
    </w:p>
  </w:footnote>
  <w:footnote w:id="201">
    <w:p w:rsidR="00263B23" w:rsidRDefault="005D36F1">
      <w:pPr>
        <w:pStyle w:val="Textonotapie"/>
      </w:pPr>
      <w:r>
        <w:rPr>
          <w:vertAlign w:val="superscript"/>
        </w:rPr>
        <w:footnoteRef/>
      </w:r>
      <w:r>
        <w:t xml:space="preserve"> </w:t>
      </w:r>
      <w:r>
        <w:t xml:space="preserve">Instituto Nacional de Medicina Legal y Ciencias Forenses, </w:t>
      </w:r>
      <w:r w:rsidRPr="00F273D5">
        <w:rPr>
          <w:i/>
          <w:iCs/>
        </w:rPr>
        <w:t>“Violencia intrafamiliar.”</w:t>
      </w:r>
    </w:p>
  </w:footnote>
  <w:footnote w:id="202">
    <w:p w:rsidR="00263B23" w:rsidRDefault="005D36F1">
      <w:pPr>
        <w:pStyle w:val="Textonotapie"/>
      </w:pPr>
      <w:r>
        <w:rPr>
          <w:vertAlign w:val="superscript"/>
        </w:rPr>
        <w:footnoteRef/>
      </w:r>
      <w:r>
        <w:t xml:space="preserve"> </w:t>
      </w:r>
      <w:r>
        <w:t>Artículo 33.</w:t>
      </w:r>
    </w:p>
  </w:footnote>
  <w:footnote w:id="203">
    <w:p w:rsidR="00263B23" w:rsidRDefault="005D36F1">
      <w:pPr>
        <w:pStyle w:val="Textonotapie"/>
      </w:pPr>
      <w:r>
        <w:rPr>
          <w:vertAlign w:val="superscript"/>
        </w:rPr>
        <w:footnoteRef/>
      </w:r>
      <w:r>
        <w:t xml:space="preserve"> </w:t>
      </w:r>
      <w:r>
        <w:t xml:space="preserve">Comité de los Derechos del Niño, Observación General No. 4 de 2003, </w:t>
      </w:r>
      <w:r w:rsidRPr="00F71F63">
        <w:rPr>
          <w:i/>
          <w:iCs/>
        </w:rPr>
        <w:t>“La salud y el desarrollo de los adolescentes en el contexto de la Convenci</w:t>
      </w:r>
      <w:r>
        <w:rPr>
          <w:i/>
          <w:iCs/>
        </w:rPr>
        <w:t>ó</w:t>
      </w:r>
      <w:r w:rsidRPr="00F71F63">
        <w:rPr>
          <w:i/>
          <w:iCs/>
        </w:rPr>
        <w:t xml:space="preserve">n sobre </w:t>
      </w:r>
      <w:r w:rsidRPr="00F71F63">
        <w:rPr>
          <w:i/>
          <w:iCs/>
        </w:rPr>
        <w:t>los Derechos del Niño</w:t>
      </w:r>
      <w:r>
        <w:rPr>
          <w:i/>
          <w:iCs/>
        </w:rPr>
        <w:t>.</w:t>
      </w:r>
      <w:r w:rsidRPr="00F71F63">
        <w:rPr>
          <w:i/>
          <w:iC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82DF2"/>
    <w:multiLevelType w:val="hybridMultilevel"/>
    <w:tmpl w:val="63785EA0"/>
    <w:lvl w:ilvl="0" w:tplc="47584E40">
      <w:start w:val="1"/>
      <w:numFmt w:val="lowerRoman"/>
      <w:lvlText w:val="(%1)"/>
      <w:lvlJc w:val="left"/>
      <w:pPr>
        <w:ind w:left="720" w:hanging="720"/>
      </w:pPr>
      <w:rPr>
        <w:rFonts w:cs="Times New Roman" w:hint="default"/>
        <w:b/>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1" w15:restartNumberingAfterBreak="0">
    <w:nsid w:val="127C5678"/>
    <w:multiLevelType w:val="hybridMultilevel"/>
    <w:tmpl w:val="CAA0DDDC"/>
    <w:lvl w:ilvl="0" w:tplc="BB4CF932">
      <w:start w:val="1"/>
      <w:numFmt w:val="decimal"/>
      <w:lvlText w:val="%1."/>
      <w:lvlJc w:val="left"/>
      <w:pPr>
        <w:ind w:left="720" w:hanging="360"/>
      </w:pPr>
      <w:rPr>
        <w:rFonts w:hint="default"/>
        <w:b w:val="0"/>
        <w:sz w:val="28"/>
        <w:szCs w:val="2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C242ACE"/>
    <w:multiLevelType w:val="multilevel"/>
    <w:tmpl w:val="A2CACE16"/>
    <w:lvl w:ilvl="0">
      <w:start w:val="1"/>
      <w:numFmt w:val="decimal"/>
      <w:lvlText w:val="%1."/>
      <w:lvlJc w:val="left"/>
      <w:pPr>
        <w:ind w:left="360" w:hanging="360"/>
      </w:pPr>
      <w:rPr>
        <w:rFonts w:cs="Times New Roman"/>
        <w:b/>
        <w:bCs/>
        <w:i w:val="0"/>
        <w:iCs w:val="0"/>
      </w:rPr>
    </w:lvl>
    <w:lvl w:ilvl="1">
      <w:start w:val="1"/>
      <w:numFmt w:val="decimal"/>
      <w:lvlText w:val="%1.%2."/>
      <w:lvlJc w:val="left"/>
      <w:pPr>
        <w:ind w:left="432" w:hanging="432"/>
      </w:pPr>
      <w:rPr>
        <w:rFonts w:cs="Times New Roman"/>
        <w:b/>
        <w:i w:val="0"/>
        <w:iCs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15:restartNumberingAfterBreak="0">
    <w:nsid w:val="3EBC6315"/>
    <w:multiLevelType w:val="hybridMultilevel"/>
    <w:tmpl w:val="85CEA0B6"/>
    <w:lvl w:ilvl="0" w:tplc="DDD0FF02">
      <w:start w:val="1"/>
      <w:numFmt w:val="decimal"/>
      <w:pStyle w:val="Normal1"/>
      <w:lvlText w:val="%1."/>
      <w:lvlJc w:val="left"/>
      <w:pPr>
        <w:ind w:left="4330" w:hanging="360"/>
      </w:pPr>
      <w:rPr>
        <w:rFonts w:ascii="Times New Roman" w:hAnsi="Times New Roman" w:cs="Times New Roman" w:hint="default"/>
        <w:b w:val="0"/>
        <w:i w:val="0"/>
        <w:sz w:val="28"/>
        <w:szCs w:val="2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BC634EE"/>
    <w:multiLevelType w:val="multilevel"/>
    <w:tmpl w:val="81C62E36"/>
    <w:lvl w:ilvl="0">
      <w:start w:val="1"/>
      <w:numFmt w:val="decimal"/>
      <w:lvlText w:val="%1."/>
      <w:lvlJc w:val="left"/>
      <w:pPr>
        <w:ind w:left="3479" w:hanging="360"/>
      </w:pPr>
      <w:rPr>
        <w:b w:val="0"/>
        <w:i w:val="0"/>
        <w:color w:val="000000"/>
        <w:sz w:val="28"/>
        <w:szCs w:val="28"/>
        <w:vertAlign w:val="baseline"/>
        <w:lang w:val="es-CO"/>
      </w:rPr>
    </w:lvl>
    <w:lvl w:ilvl="1">
      <w:start w:val="1"/>
      <w:numFmt w:val="decimal"/>
      <w:lvlText w:val="%1.%2."/>
      <w:lvlJc w:val="left"/>
      <w:pPr>
        <w:ind w:left="792" w:hanging="432"/>
      </w:pPr>
      <w:rPr>
        <w:b w:val="0"/>
        <w:i w:val="0"/>
        <w:color w:val="000000"/>
        <w:vertAlign w:val="baseline"/>
      </w:rPr>
    </w:lvl>
    <w:lvl w:ilvl="2">
      <w:start w:val="1"/>
      <w:numFmt w:val="decimal"/>
      <w:lvlText w:val="%1.%2.%3."/>
      <w:lvlJc w:val="left"/>
      <w:pPr>
        <w:ind w:left="1224" w:hanging="504"/>
      </w:pPr>
      <w:rPr>
        <w:i w:val="0"/>
        <w:vertAlign w:val="baseline"/>
      </w:rPr>
    </w:lvl>
    <w:lvl w:ilvl="3">
      <w:start w:val="1"/>
      <w:numFmt w:val="decimal"/>
      <w:lvlText w:val="%1.%2.%3.%4."/>
      <w:lvlJc w:val="left"/>
      <w:pPr>
        <w:ind w:left="1728" w:hanging="647"/>
      </w:pPr>
      <w:rPr>
        <w:i w:val="0"/>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5" w15:restartNumberingAfterBreak="0">
    <w:nsid w:val="4D446E39"/>
    <w:multiLevelType w:val="hybridMultilevel"/>
    <w:tmpl w:val="AAF8635A"/>
    <w:lvl w:ilvl="0" w:tplc="080A001B">
      <w:start w:val="1"/>
      <w:numFmt w:val="low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5B3F4124"/>
    <w:multiLevelType w:val="hybridMultilevel"/>
    <w:tmpl w:val="E4B48296"/>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5E122D14"/>
    <w:multiLevelType w:val="multilevel"/>
    <w:tmpl w:val="48A8CE2E"/>
    <w:lvl w:ilvl="0">
      <w:start w:val="1"/>
      <w:numFmt w:val="upperRoman"/>
      <w:lvlText w:val="%1."/>
      <w:lvlJc w:val="left"/>
      <w:pPr>
        <w:ind w:left="720" w:hanging="720"/>
      </w:pPr>
      <w:rPr>
        <w:rFonts w:hint="default"/>
        <w:b/>
      </w:rPr>
    </w:lvl>
    <w:lvl w:ilvl="1">
      <w:start w:val="4"/>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8" w15:restartNumberingAfterBreak="0">
    <w:nsid w:val="7DFB4C8B"/>
    <w:multiLevelType w:val="hybridMultilevel"/>
    <w:tmpl w:val="591A9944"/>
    <w:lvl w:ilvl="0" w:tplc="70AE30A2">
      <w:start w:val="1"/>
      <w:numFmt w:val="lowerRoman"/>
      <w:lvlText w:val="(%1)"/>
      <w:lvlJc w:val="right"/>
      <w:pPr>
        <w:ind w:left="720" w:hanging="360"/>
      </w:pPr>
      <w:rPr>
        <w:rFonts w:cs="Times New Roman" w:hint="default"/>
        <w:b/>
        <w:bCs/>
        <w:i/>
      </w:rPr>
    </w:lvl>
    <w:lvl w:ilvl="1" w:tplc="040A0019" w:tentative="1">
      <w:start w:val="1"/>
      <w:numFmt w:val="lowerLetter"/>
      <w:lvlText w:val="%2."/>
      <w:lvlJc w:val="left"/>
      <w:pPr>
        <w:ind w:left="1440" w:hanging="360"/>
      </w:pPr>
      <w:rPr>
        <w:rFonts w:cs="Times New Roman"/>
      </w:rPr>
    </w:lvl>
    <w:lvl w:ilvl="2" w:tplc="040A001B" w:tentative="1">
      <w:start w:val="1"/>
      <w:numFmt w:val="lowerRoman"/>
      <w:lvlText w:val="%3."/>
      <w:lvlJc w:val="right"/>
      <w:pPr>
        <w:ind w:left="2160" w:hanging="180"/>
      </w:pPr>
      <w:rPr>
        <w:rFonts w:cs="Times New Roman"/>
      </w:rPr>
    </w:lvl>
    <w:lvl w:ilvl="3" w:tplc="040A000F" w:tentative="1">
      <w:start w:val="1"/>
      <w:numFmt w:val="decimal"/>
      <w:lvlText w:val="%4."/>
      <w:lvlJc w:val="left"/>
      <w:pPr>
        <w:ind w:left="2880" w:hanging="360"/>
      </w:pPr>
      <w:rPr>
        <w:rFonts w:cs="Times New Roman"/>
      </w:rPr>
    </w:lvl>
    <w:lvl w:ilvl="4" w:tplc="040A0019" w:tentative="1">
      <w:start w:val="1"/>
      <w:numFmt w:val="lowerLetter"/>
      <w:lvlText w:val="%5."/>
      <w:lvlJc w:val="left"/>
      <w:pPr>
        <w:ind w:left="3600" w:hanging="360"/>
      </w:pPr>
      <w:rPr>
        <w:rFonts w:cs="Times New Roman"/>
      </w:rPr>
    </w:lvl>
    <w:lvl w:ilvl="5" w:tplc="040A001B" w:tentative="1">
      <w:start w:val="1"/>
      <w:numFmt w:val="lowerRoman"/>
      <w:lvlText w:val="%6."/>
      <w:lvlJc w:val="right"/>
      <w:pPr>
        <w:ind w:left="4320" w:hanging="180"/>
      </w:pPr>
      <w:rPr>
        <w:rFonts w:cs="Times New Roman"/>
      </w:rPr>
    </w:lvl>
    <w:lvl w:ilvl="6" w:tplc="040A000F" w:tentative="1">
      <w:start w:val="1"/>
      <w:numFmt w:val="decimal"/>
      <w:lvlText w:val="%7."/>
      <w:lvlJc w:val="left"/>
      <w:pPr>
        <w:ind w:left="5040" w:hanging="360"/>
      </w:pPr>
      <w:rPr>
        <w:rFonts w:cs="Times New Roman"/>
      </w:rPr>
    </w:lvl>
    <w:lvl w:ilvl="7" w:tplc="040A0019" w:tentative="1">
      <w:start w:val="1"/>
      <w:numFmt w:val="lowerLetter"/>
      <w:lvlText w:val="%8."/>
      <w:lvlJc w:val="left"/>
      <w:pPr>
        <w:ind w:left="5760" w:hanging="360"/>
      </w:pPr>
      <w:rPr>
        <w:rFonts w:cs="Times New Roman"/>
      </w:rPr>
    </w:lvl>
    <w:lvl w:ilvl="8" w:tplc="040A001B" w:tentative="1">
      <w:start w:val="1"/>
      <w:numFmt w:val="lowerRoman"/>
      <w:lvlText w:val="%9."/>
      <w:lvlJc w:val="right"/>
      <w:pPr>
        <w:ind w:left="6480" w:hanging="180"/>
      </w:pPr>
      <w:rPr>
        <w:rFonts w:cs="Times New Roman"/>
      </w:rPr>
    </w:lvl>
  </w:abstractNum>
  <w:num w:numId="1">
    <w:abstractNumId w:val="3"/>
  </w:num>
  <w:num w:numId="2">
    <w:abstractNumId w:val="4"/>
  </w:num>
  <w:num w:numId="3">
    <w:abstractNumId w:val="7"/>
  </w:num>
  <w:num w:numId="4">
    <w:abstractNumId w:val="5"/>
  </w:num>
  <w:num w:numId="5">
    <w:abstractNumId w:val="2"/>
  </w:num>
  <w:num w:numId="6">
    <w:abstractNumId w:val="6"/>
  </w:num>
  <w:num w:numId="7">
    <w:abstractNumId w:val="8"/>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156D"/>
    <w:rsid w:val="00263B23"/>
    <w:rsid w:val="0036156D"/>
    <w:rsid w:val="005D36F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8ECA20F3-346D-4D0F-B335-A8140FA17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6E7869"/>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eastAsia="zh-CN"/>
    </w:rPr>
  </w:style>
  <w:style w:type="paragraph" w:styleId="Ttulo2">
    <w:name w:val="heading 2"/>
    <w:basedOn w:val="Normal"/>
    <w:next w:val="Normal"/>
    <w:link w:val="Ttulo2Car"/>
    <w:uiPriority w:val="9"/>
    <w:semiHidden/>
    <w:unhideWhenUsed/>
    <w:qFormat/>
    <w:rsid w:val="00D84E5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link w:val="Ttulo3Car"/>
    <w:uiPriority w:val="9"/>
    <w:qFormat/>
    <w:rsid w:val="00894FB7"/>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894FB7"/>
    <w:rPr>
      <w:rFonts w:ascii="Times New Roman" w:eastAsia="Times New Roman" w:hAnsi="Times New Roman" w:cs="Times New Roman"/>
      <w:b/>
      <w:bCs/>
      <w:kern w:val="0"/>
      <w:sz w:val="27"/>
      <w:szCs w:val="27"/>
      <w:lang w:eastAsia="es-MX"/>
    </w:rPr>
  </w:style>
  <w:style w:type="paragraph" w:styleId="Textonotapie">
    <w:name w:val="footnote text"/>
    <w:aliases w:val="Ref. de nota al pie1,Footnote Reference Char3,Fago Fußnotenzeichen,Footnote Text Char Char Char Char Char,Footnote Text Char Char Char Char,FA Fu,Footnote Text Char,FA Fu C,texto de nota al pie,Ref. de nota al pie11,ft,Footnote Te,Ca"/>
    <w:basedOn w:val="Normal"/>
    <w:link w:val="TextonotapieCar"/>
    <w:uiPriority w:val="99"/>
    <w:unhideWhenUsed/>
    <w:qFormat/>
    <w:rsid w:val="00894FB7"/>
    <w:pPr>
      <w:widowControl w:val="0"/>
      <w:jc w:val="both"/>
    </w:pPr>
    <w:rPr>
      <w:color w:val="000000"/>
      <w:sz w:val="20"/>
      <w:szCs w:val="20"/>
      <w:lang w:val="es-ES" w:eastAsia="es-ES"/>
    </w:rPr>
  </w:style>
  <w:style w:type="character" w:customStyle="1" w:styleId="TextonotapieCar">
    <w:name w:val="Texto nota pie Car"/>
    <w:aliases w:val="Ref. de nota al pie1 Car,Footnote Reference Char3 Car,Fago Fußnotenzeichen Car,Footnote Text Char Char Char Char Char Car1,Footnote Text Char Char Char Char Car1,FA Fu Car1,Footnote Text Char Car1,FA Fu C Car,texto de nota al pie Car1"/>
    <w:basedOn w:val="Fuentedeprrafopredeter"/>
    <w:link w:val="Textonotapie"/>
    <w:uiPriority w:val="99"/>
    <w:qFormat/>
    <w:rsid w:val="00894FB7"/>
    <w:rPr>
      <w:rFonts w:ascii="Times New Roman" w:eastAsia="Times New Roman" w:hAnsi="Times New Roman" w:cs="Times New Roman"/>
      <w:color w:val="000000"/>
      <w:kern w:val="0"/>
      <w:sz w:val="20"/>
      <w:szCs w:val="20"/>
      <w:lang w:val="es-ES" w:eastAsia="es-ES"/>
    </w:rPr>
  </w:style>
  <w:style w:type="character" w:styleId="Refdenotaalpie">
    <w:name w:val="footnote reference"/>
    <w:aliases w:val="Ref. de nota al pie 2,Texto de nota al pie,Appel note de bas de page,Footnotes refss,Footnote number,referencia nota al pie,BVI fnr,f,4_G,16 Point,Superscript 6 Point,Texto nota al pie,Pie de Página,FC,Texto de nota al pi,Pie de P_gi"/>
    <w:link w:val="4GChar"/>
    <w:uiPriority w:val="99"/>
    <w:unhideWhenUsed/>
    <w:qFormat/>
    <w:rsid w:val="00894FB7"/>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894FB7"/>
    <w:pPr>
      <w:jc w:val="both"/>
    </w:pPr>
    <w:rPr>
      <w:rFonts w:eastAsiaTheme="minorHAnsi"/>
      <w:kern w:val="2"/>
      <w:vertAlign w:val="superscript"/>
      <w:lang w:eastAsia="en-US"/>
    </w:rPr>
  </w:style>
  <w:style w:type="paragraph" w:styleId="Encabezado">
    <w:name w:val="header"/>
    <w:basedOn w:val="Normal"/>
    <w:link w:val="EncabezadoCar"/>
    <w:uiPriority w:val="99"/>
    <w:unhideWhenUsed/>
    <w:rsid w:val="00894FB7"/>
    <w:pPr>
      <w:tabs>
        <w:tab w:val="center" w:pos="4419"/>
        <w:tab w:val="right" w:pos="8838"/>
      </w:tabs>
    </w:pPr>
  </w:style>
  <w:style w:type="character" w:customStyle="1" w:styleId="EncabezadoCar">
    <w:name w:val="Encabezado Car"/>
    <w:basedOn w:val="Fuentedeprrafopredeter"/>
    <w:link w:val="Encabezado"/>
    <w:uiPriority w:val="99"/>
    <w:rsid w:val="00894FB7"/>
    <w:rPr>
      <w:rFonts w:ascii="Times New Roman" w:eastAsia="Times New Roman" w:hAnsi="Times New Roman" w:cs="Times New Roman"/>
      <w:kern w:val="0"/>
      <w:lang w:eastAsia="es-MX"/>
    </w:rPr>
  </w:style>
  <w:style w:type="paragraph" w:styleId="Piedepgina">
    <w:name w:val="footer"/>
    <w:basedOn w:val="Normal"/>
    <w:link w:val="PiedepginaCar"/>
    <w:uiPriority w:val="99"/>
    <w:unhideWhenUsed/>
    <w:rsid w:val="00894FB7"/>
    <w:pPr>
      <w:tabs>
        <w:tab w:val="center" w:pos="4419"/>
        <w:tab w:val="right" w:pos="8838"/>
      </w:tabs>
    </w:pPr>
  </w:style>
  <w:style w:type="character" w:customStyle="1" w:styleId="PiedepginaCar">
    <w:name w:val="Pie de página Car"/>
    <w:basedOn w:val="Fuentedeprrafopredeter"/>
    <w:link w:val="Piedepgina"/>
    <w:uiPriority w:val="99"/>
    <w:rsid w:val="00894FB7"/>
    <w:rPr>
      <w:rFonts w:ascii="Times New Roman" w:eastAsia="Times New Roman" w:hAnsi="Times New Roman" w:cs="Times New Roman"/>
      <w:kern w:val="0"/>
      <w:lang w:eastAsia="es-MX"/>
    </w:rPr>
  </w:style>
  <w:style w:type="paragraph" w:customStyle="1" w:styleId="Normal1">
    <w:name w:val="Normal 1"/>
    <w:basedOn w:val="Lista"/>
    <w:link w:val="Normal1Car"/>
    <w:qFormat/>
    <w:rsid w:val="00894FB7"/>
    <w:pPr>
      <w:numPr>
        <w:numId w:val="1"/>
      </w:numPr>
      <w:tabs>
        <w:tab w:val="left" w:pos="0"/>
        <w:tab w:val="left" w:pos="567"/>
      </w:tabs>
      <w:ind w:left="0" w:firstLine="0"/>
      <w:jc w:val="both"/>
    </w:pPr>
    <w:rPr>
      <w:rFonts w:eastAsia="Calibri"/>
      <w:sz w:val="28"/>
      <w:szCs w:val="28"/>
      <w:lang w:val="es-ES_tradnl" w:eastAsia="en-US"/>
    </w:rPr>
  </w:style>
  <w:style w:type="character" w:customStyle="1" w:styleId="Normal1Car">
    <w:name w:val="Normal 1 Car"/>
    <w:basedOn w:val="Fuentedeprrafopredeter"/>
    <w:link w:val="Normal1"/>
    <w:rsid w:val="00894FB7"/>
    <w:rPr>
      <w:rFonts w:ascii="Times New Roman" w:eastAsia="Calibri" w:hAnsi="Times New Roman" w:cs="Times New Roman"/>
      <w:kern w:val="0"/>
      <w:sz w:val="28"/>
      <w:szCs w:val="28"/>
      <w:lang w:val="es-ES_tradnl"/>
    </w:rPr>
  </w:style>
  <w:style w:type="paragraph" w:styleId="Lista">
    <w:name w:val="List"/>
    <w:basedOn w:val="Normal"/>
    <w:uiPriority w:val="99"/>
    <w:semiHidden/>
    <w:unhideWhenUsed/>
    <w:rsid w:val="00894FB7"/>
    <w:pPr>
      <w:ind w:left="283" w:hanging="283"/>
      <w:contextualSpacing/>
    </w:pPr>
  </w:style>
  <w:style w:type="paragraph" w:styleId="Prrafodelista">
    <w:name w:val="List Paragraph"/>
    <w:aliases w:val="Colorful List - Accent 11,Ha,List Paragraph1,lp1,Footnote,List Paragraph2"/>
    <w:basedOn w:val="Normal"/>
    <w:link w:val="PrrafodelistaCar"/>
    <w:uiPriority w:val="34"/>
    <w:qFormat/>
    <w:rsid w:val="00894FB7"/>
    <w:pPr>
      <w:ind w:left="720"/>
      <w:contextualSpacing/>
    </w:pPr>
  </w:style>
  <w:style w:type="character" w:customStyle="1" w:styleId="PrrafodelistaCar">
    <w:name w:val="Párrafo de lista Car"/>
    <w:aliases w:val="Colorful List - Accent 11 Car,Ha Car,List Paragraph1 Car,lp1 Car,Footnote Car,List Paragraph2 Car"/>
    <w:link w:val="Prrafodelista"/>
    <w:uiPriority w:val="34"/>
    <w:locked/>
    <w:rsid w:val="00894FB7"/>
    <w:rPr>
      <w:rFonts w:ascii="Times New Roman" w:eastAsia="Times New Roman" w:hAnsi="Times New Roman" w:cs="Times New Roman"/>
      <w:kern w:val="0"/>
      <w:lang w:eastAsia="es-MX"/>
    </w:rPr>
  </w:style>
  <w:style w:type="character" w:styleId="Hipervnculo">
    <w:name w:val="Hyperlink"/>
    <w:basedOn w:val="Fuentedeprrafopredeter"/>
    <w:uiPriority w:val="99"/>
    <w:unhideWhenUsed/>
    <w:rsid w:val="00894FB7"/>
    <w:rPr>
      <w:color w:val="0563C1" w:themeColor="hyperlink"/>
      <w:u w:val="single"/>
    </w:rPr>
  </w:style>
  <w:style w:type="character" w:customStyle="1" w:styleId="Mencinsinresolver1">
    <w:name w:val="Mención sin resolver1"/>
    <w:basedOn w:val="Fuentedeprrafopredeter"/>
    <w:uiPriority w:val="99"/>
    <w:semiHidden/>
    <w:unhideWhenUsed/>
    <w:rsid w:val="00894FB7"/>
    <w:rPr>
      <w:color w:val="605E5C"/>
      <w:shd w:val="clear" w:color="auto" w:fill="E1DFDD"/>
    </w:rPr>
  </w:style>
  <w:style w:type="paragraph" w:customStyle="1" w:styleId="sangradetindependiente">
    <w:name w:val="sangradetindependiente"/>
    <w:basedOn w:val="Normal"/>
    <w:rsid w:val="00894FB7"/>
    <w:pPr>
      <w:spacing w:before="100" w:beforeAutospacing="1" w:after="100" w:afterAutospacing="1"/>
    </w:pPr>
  </w:style>
  <w:style w:type="paragraph" w:styleId="NormalWeb">
    <w:name w:val="Normal (Web)"/>
    <w:basedOn w:val="Normal"/>
    <w:uiPriority w:val="99"/>
    <w:semiHidden/>
    <w:unhideWhenUsed/>
    <w:rsid w:val="00894FB7"/>
    <w:pPr>
      <w:spacing w:before="100" w:beforeAutospacing="1" w:after="100" w:afterAutospacing="1"/>
    </w:pPr>
  </w:style>
  <w:style w:type="character" w:styleId="Hipervnculovisitado">
    <w:name w:val="FollowedHyperlink"/>
    <w:basedOn w:val="Fuentedeprrafopredeter"/>
    <w:uiPriority w:val="99"/>
    <w:semiHidden/>
    <w:unhideWhenUsed/>
    <w:rsid w:val="00894FB7"/>
    <w:rPr>
      <w:color w:val="954F72" w:themeColor="followedHyperlink"/>
      <w:u w:val="single"/>
    </w:rPr>
  </w:style>
  <w:style w:type="paragraph" w:styleId="Textoindependiente2">
    <w:name w:val="Body Text 2"/>
    <w:basedOn w:val="Normal"/>
    <w:link w:val="Textoindependiente2Car"/>
    <w:uiPriority w:val="99"/>
    <w:semiHidden/>
    <w:unhideWhenUsed/>
    <w:rsid w:val="00894FB7"/>
    <w:pPr>
      <w:spacing w:after="120" w:line="480" w:lineRule="auto"/>
    </w:pPr>
  </w:style>
  <w:style w:type="character" w:customStyle="1" w:styleId="Textoindependiente2Car">
    <w:name w:val="Texto independiente 2 Car"/>
    <w:basedOn w:val="Fuentedeprrafopredeter"/>
    <w:link w:val="Textoindependiente2"/>
    <w:uiPriority w:val="99"/>
    <w:semiHidden/>
    <w:rsid w:val="00894FB7"/>
    <w:rPr>
      <w:rFonts w:ascii="Times New Roman" w:eastAsia="Times New Roman" w:hAnsi="Times New Roman" w:cs="Times New Roman"/>
      <w:kern w:val="0"/>
      <w:lang w:eastAsia="es-MX"/>
    </w:rPr>
  </w:style>
  <w:style w:type="paragraph" w:styleId="Textoindependiente">
    <w:name w:val="Body Text"/>
    <w:basedOn w:val="Normal"/>
    <w:link w:val="TextoindependienteCar"/>
    <w:uiPriority w:val="99"/>
    <w:semiHidden/>
    <w:unhideWhenUsed/>
    <w:rsid w:val="00894FB7"/>
    <w:pPr>
      <w:spacing w:after="120"/>
    </w:pPr>
  </w:style>
  <w:style w:type="character" w:customStyle="1" w:styleId="TextoindependienteCar">
    <w:name w:val="Texto independiente Car"/>
    <w:basedOn w:val="Fuentedeprrafopredeter"/>
    <w:link w:val="Textoindependiente"/>
    <w:uiPriority w:val="99"/>
    <w:semiHidden/>
    <w:rsid w:val="00894FB7"/>
    <w:rPr>
      <w:rFonts w:ascii="Times New Roman" w:eastAsia="Times New Roman" w:hAnsi="Times New Roman" w:cs="Times New Roman"/>
      <w:kern w:val="0"/>
      <w:lang w:eastAsia="es-MX"/>
    </w:rPr>
  </w:style>
  <w:style w:type="paragraph" w:customStyle="1" w:styleId="centrado">
    <w:name w:val="centrado"/>
    <w:basedOn w:val="Normal"/>
    <w:rsid w:val="00894FB7"/>
    <w:pPr>
      <w:spacing w:before="100" w:beforeAutospacing="1" w:after="100" w:afterAutospacing="1"/>
    </w:pPr>
  </w:style>
  <w:style w:type="character" w:customStyle="1" w:styleId="baj">
    <w:name w:val="b_aj"/>
    <w:basedOn w:val="Fuentedeprrafopredeter"/>
    <w:rsid w:val="00894FB7"/>
  </w:style>
  <w:style w:type="table" w:styleId="Tablaconcuadrcula">
    <w:name w:val="Table Grid"/>
    <w:basedOn w:val="Tablanormal"/>
    <w:uiPriority w:val="39"/>
    <w:rsid w:val="00894F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1">
    <w:name w:val="Plain Table 1"/>
    <w:basedOn w:val="Tablanormal"/>
    <w:uiPriority w:val="41"/>
    <w:rsid w:val="00894FB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894FB7"/>
    <w:rPr>
      <w:sz w:val="16"/>
      <w:szCs w:val="16"/>
    </w:rPr>
  </w:style>
  <w:style w:type="paragraph" w:styleId="Textocomentario">
    <w:name w:val="annotation text"/>
    <w:basedOn w:val="Normal"/>
    <w:link w:val="TextocomentarioCar"/>
    <w:uiPriority w:val="99"/>
    <w:semiHidden/>
    <w:unhideWhenUsed/>
    <w:rsid w:val="00894FB7"/>
    <w:rPr>
      <w:sz w:val="20"/>
      <w:szCs w:val="20"/>
    </w:rPr>
  </w:style>
  <w:style w:type="character" w:customStyle="1" w:styleId="TextocomentarioCar">
    <w:name w:val="Texto comentario Car"/>
    <w:basedOn w:val="Fuentedeprrafopredeter"/>
    <w:link w:val="Textocomentario"/>
    <w:uiPriority w:val="99"/>
    <w:semiHidden/>
    <w:rsid w:val="00894FB7"/>
    <w:rPr>
      <w:rFonts w:ascii="Times New Roman" w:eastAsia="Times New Roman" w:hAnsi="Times New Roman" w:cs="Times New Roman"/>
      <w:kern w:val="0"/>
      <w:sz w:val="20"/>
      <w:szCs w:val="20"/>
      <w:lang w:eastAsia="es-MX"/>
    </w:rPr>
  </w:style>
  <w:style w:type="paragraph" w:styleId="Asuntodelcomentario">
    <w:name w:val="annotation subject"/>
    <w:basedOn w:val="Textocomentario"/>
    <w:next w:val="Textocomentario"/>
    <w:link w:val="AsuntodelcomentarioCar"/>
    <w:uiPriority w:val="99"/>
    <w:semiHidden/>
    <w:unhideWhenUsed/>
    <w:rsid w:val="00894FB7"/>
    <w:rPr>
      <w:b/>
      <w:bCs/>
    </w:rPr>
  </w:style>
  <w:style w:type="character" w:customStyle="1" w:styleId="AsuntodelcomentarioCar">
    <w:name w:val="Asunto del comentario Car"/>
    <w:basedOn w:val="TextocomentarioCar"/>
    <w:link w:val="Asuntodelcomentario"/>
    <w:uiPriority w:val="99"/>
    <w:semiHidden/>
    <w:rsid w:val="00894FB7"/>
    <w:rPr>
      <w:rFonts w:ascii="Times New Roman" w:eastAsia="Times New Roman" w:hAnsi="Times New Roman" w:cs="Times New Roman"/>
      <w:b/>
      <w:bCs/>
      <w:kern w:val="0"/>
      <w:sz w:val="20"/>
      <w:szCs w:val="20"/>
      <w:lang w:eastAsia="es-MX"/>
    </w:rPr>
  </w:style>
  <w:style w:type="table" w:styleId="Tabladecuadrcula1clara">
    <w:name w:val="Grid Table 1 Light"/>
    <w:basedOn w:val="Tablanormal"/>
    <w:uiPriority w:val="46"/>
    <w:rsid w:val="00894FB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894FB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894FB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894FB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normal"/>
    <w:uiPriority w:val="42"/>
    <w:rsid w:val="00894FB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Cuadrculadetablaclara">
    <w:name w:val="Grid Table Light"/>
    <w:basedOn w:val="Tablanormal"/>
    <w:uiPriority w:val="40"/>
    <w:rsid w:val="00894FB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cuadrcula2-nfasis3">
    <w:name w:val="Grid Table 2 Accent 3"/>
    <w:basedOn w:val="Tablanormal"/>
    <w:uiPriority w:val="47"/>
    <w:rsid w:val="00894FB7"/>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ediumshading1-accent11">
    <w:name w:val="mediumshading1-accent11"/>
    <w:basedOn w:val="Normal"/>
    <w:rsid w:val="00894FB7"/>
    <w:pPr>
      <w:spacing w:before="100" w:beforeAutospacing="1" w:after="100" w:afterAutospacing="1"/>
    </w:pPr>
  </w:style>
  <w:style w:type="paragraph" w:styleId="Revisin">
    <w:name w:val="Revision"/>
    <w:hidden/>
    <w:uiPriority w:val="99"/>
    <w:semiHidden/>
    <w:rsid w:val="00894FB7"/>
    <w:rPr>
      <w:rFonts w:ascii="Times New Roman" w:eastAsia="Times New Roman" w:hAnsi="Times New Roman" w:cs="Times New Roman"/>
      <w:lang w:eastAsia="es-MX"/>
    </w:rPr>
  </w:style>
  <w:style w:type="paragraph" w:styleId="Textodeglobo">
    <w:name w:val="Balloon Text"/>
    <w:basedOn w:val="Normal"/>
    <w:link w:val="TextodegloboCar"/>
    <w:uiPriority w:val="99"/>
    <w:semiHidden/>
    <w:unhideWhenUsed/>
    <w:rsid w:val="00894FB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94FB7"/>
    <w:rPr>
      <w:rFonts w:ascii="Segoe UI" w:eastAsia="Times New Roman" w:hAnsi="Segoe UI" w:cs="Segoe UI"/>
      <w:kern w:val="0"/>
      <w:sz w:val="18"/>
      <w:szCs w:val="18"/>
      <w:lang w:eastAsia="es-MX"/>
    </w:rPr>
  </w:style>
  <w:style w:type="paragraph" w:customStyle="1" w:styleId="Default">
    <w:name w:val="Default"/>
    <w:rsid w:val="00894FB7"/>
    <w:pPr>
      <w:autoSpaceDE w:val="0"/>
      <w:autoSpaceDN w:val="0"/>
      <w:adjustRightInd w:val="0"/>
    </w:pPr>
    <w:rPr>
      <w:rFonts w:ascii="Times New Roman" w:hAnsi="Times New Roman" w:cs="Times New Roman"/>
      <w:color w:val="000000"/>
      <w:lang w:val="es-MX"/>
    </w:rPr>
  </w:style>
  <w:style w:type="paragraph" w:styleId="Sinespaciado">
    <w:name w:val="No Spacing"/>
    <w:uiPriority w:val="1"/>
    <w:qFormat/>
    <w:rsid w:val="00000B7D"/>
    <w:pPr>
      <w:spacing w:after="0" w:line="240" w:lineRule="auto"/>
    </w:pPr>
    <w:rPr>
      <w:rFonts w:ascii="Times New Roman" w:hAnsi="Times New Roman" w:cs="Times New Roman"/>
      <w:sz w:val="24"/>
      <w:szCs w:val="24"/>
      <w:lang w:val="es-ES" w:eastAsia="es-ES"/>
    </w:rPr>
  </w:style>
  <w:style w:type="character" w:styleId="Nmerodepgina">
    <w:name w:val="page number"/>
    <w:basedOn w:val="Fuentedeprrafopredeter"/>
    <w:uiPriority w:val="99"/>
    <w:semiHidden/>
    <w:unhideWhenUsed/>
    <w:rsid w:val="00000B7D"/>
    <w:rPr>
      <w:rFonts w:cs="Times New Roman"/>
    </w:rPr>
  </w:style>
  <w:style w:type="character" w:customStyle="1" w:styleId="normaltextrun">
    <w:name w:val="normaltextrun"/>
    <w:basedOn w:val="Fuentedeprrafopredeter"/>
    <w:rsid w:val="00000B7D"/>
    <w:rPr>
      <w:rFonts w:cs="Times New Roman"/>
    </w:rPr>
  </w:style>
  <w:style w:type="character" w:customStyle="1" w:styleId="superscript">
    <w:name w:val="superscript"/>
    <w:basedOn w:val="Fuentedeprrafopredeter"/>
    <w:rsid w:val="00077D0F"/>
    <w:rPr>
      <w:rFonts w:cs="Times New Roman"/>
    </w:rPr>
  </w:style>
  <w:style w:type="character" w:customStyle="1" w:styleId="eop">
    <w:name w:val="eop"/>
    <w:basedOn w:val="Fuentedeprrafopredeter"/>
    <w:rsid w:val="00077D0F"/>
    <w:rPr>
      <w:rFonts w:cs="Times New Roman"/>
    </w:rPr>
  </w:style>
  <w:style w:type="paragraph" w:customStyle="1" w:styleId="paragraph">
    <w:name w:val="paragraph"/>
    <w:basedOn w:val="Normal"/>
    <w:rsid w:val="00415F9F"/>
    <w:pPr>
      <w:spacing w:before="100" w:beforeAutospacing="1" w:after="100" w:afterAutospacing="1"/>
    </w:pPr>
    <w:rPr>
      <w:szCs w:val="24"/>
      <w:lang w:eastAsia="es-ES_tradnl"/>
    </w:rPr>
  </w:style>
  <w:style w:type="character" w:customStyle="1" w:styleId="apple-converted-space">
    <w:name w:val="apple-converted-space"/>
    <w:basedOn w:val="Fuentedeprrafopredeter"/>
    <w:rsid w:val="00325B7D"/>
    <w:rPr>
      <w:rFonts w:cs="Times New Roman"/>
    </w:rPr>
  </w:style>
  <w:style w:type="character" w:customStyle="1" w:styleId="Ttulo1Car">
    <w:name w:val="Título 1 Car"/>
    <w:basedOn w:val="Fuentedeprrafopredeter"/>
    <w:link w:val="Ttulo1"/>
    <w:rsid w:val="006E7869"/>
    <w:rPr>
      <w:rFonts w:asciiTheme="majorHAnsi" w:eastAsiaTheme="majorEastAsia" w:hAnsiTheme="majorHAnsi" w:cstheme="majorBidi"/>
      <w:color w:val="2E74B5" w:themeColor="accent1" w:themeShade="BF"/>
      <w:sz w:val="32"/>
      <w:szCs w:val="32"/>
      <w:lang w:eastAsia="zh-CN"/>
    </w:rPr>
  </w:style>
  <w:style w:type="paragraph" w:styleId="Subttulo">
    <w:name w:val="Subtitle"/>
    <w:basedOn w:val="Normal"/>
    <w:link w:val="SubttuloCar"/>
    <w:qFormat/>
    <w:rsid w:val="006E7869"/>
    <w:pPr>
      <w:autoSpaceDN w:val="0"/>
      <w:spacing w:after="0" w:line="240" w:lineRule="auto"/>
      <w:jc w:val="center"/>
    </w:pPr>
    <w:rPr>
      <w:rFonts w:ascii="Times New Roman" w:eastAsia="Times New Roman" w:hAnsi="Times New Roman" w:cs="Times New Roman"/>
      <w:b/>
      <w:sz w:val="28"/>
      <w:szCs w:val="20"/>
      <w:lang w:eastAsia="zh-CN"/>
    </w:rPr>
  </w:style>
  <w:style w:type="character" w:customStyle="1" w:styleId="SubttuloCar">
    <w:name w:val="Subtítulo Car"/>
    <w:basedOn w:val="Fuentedeprrafopredeter"/>
    <w:link w:val="Subttulo"/>
    <w:rsid w:val="006E7869"/>
    <w:rPr>
      <w:rFonts w:ascii="Times New Roman" w:eastAsia="Times New Roman" w:hAnsi="Times New Roman" w:cs="Times New Roman"/>
      <w:b/>
      <w:sz w:val="28"/>
      <w:szCs w:val="20"/>
      <w:lang w:eastAsia="zh-CN"/>
    </w:rPr>
  </w:style>
  <w:style w:type="character" w:customStyle="1" w:styleId="fontstyle52">
    <w:name w:val="fontstyle52"/>
    <w:basedOn w:val="Fuentedeprrafopredeter"/>
    <w:rsid w:val="00823C20"/>
  </w:style>
  <w:style w:type="character" w:customStyle="1" w:styleId="TextonotapieCar3">
    <w:name w:val="Texto nota pie Car3"/>
    <w:aliases w:val="Footnote Text Char Char Char Char Char Car,Footnote Text Char Char Char Char Car,Footnote reference Car,FA Fu Car,texto de nota al pie Car,Footnote Text Char Char Char Car,Footnote Text Char Car,texto de nota al p Car"/>
    <w:uiPriority w:val="99"/>
    <w:locked/>
    <w:rsid w:val="00C42579"/>
    <w:rPr>
      <w:rFonts w:eastAsia="Calibri" w:cs="Times New Roman"/>
      <w:sz w:val="20"/>
      <w:szCs w:val="20"/>
      <w:lang w:eastAsia="es-ES"/>
    </w:rPr>
  </w:style>
  <w:style w:type="paragraph" w:customStyle="1" w:styleId="Piedepagina">
    <w:name w:val="Pie de pagina"/>
    <w:aliases w:val="Ref. de nota al pie2"/>
    <w:basedOn w:val="Normal"/>
    <w:uiPriority w:val="99"/>
    <w:qFormat/>
    <w:rsid w:val="00C42579"/>
    <w:pPr>
      <w:spacing w:line="240" w:lineRule="exact"/>
    </w:pPr>
    <w:rPr>
      <w:vertAlign w:val="superscript"/>
      <w:lang w:eastAsia="es-ES_tradnl"/>
    </w:rPr>
  </w:style>
  <w:style w:type="character" w:customStyle="1" w:styleId="ui-provider">
    <w:name w:val="ui-provider"/>
    <w:basedOn w:val="Fuentedeprrafopredeter"/>
    <w:rsid w:val="001A07FF"/>
  </w:style>
  <w:style w:type="character" w:customStyle="1" w:styleId="fui-primitive">
    <w:name w:val="fui-primitive"/>
    <w:basedOn w:val="Fuentedeprrafopredeter"/>
    <w:rsid w:val="00210143"/>
  </w:style>
  <w:style w:type="character" w:customStyle="1" w:styleId="fui-chatmessage">
    <w:name w:val="fui-chatmessage"/>
    <w:basedOn w:val="Fuentedeprrafopredeter"/>
    <w:rsid w:val="00210143"/>
  </w:style>
  <w:style w:type="character" w:styleId="Textoennegrita">
    <w:name w:val="Strong"/>
    <w:basedOn w:val="Fuentedeprrafopredeter"/>
    <w:uiPriority w:val="22"/>
    <w:qFormat/>
    <w:rsid w:val="00210143"/>
    <w:rPr>
      <w:b/>
      <w:bCs/>
    </w:rPr>
  </w:style>
  <w:style w:type="character" w:customStyle="1" w:styleId="fui-chatmessageauthor">
    <w:name w:val="fui-chatmessage__author"/>
    <w:basedOn w:val="Fuentedeprrafopredeter"/>
    <w:rsid w:val="00210143"/>
  </w:style>
  <w:style w:type="character" w:styleId="nfasis">
    <w:name w:val="Emphasis"/>
    <w:basedOn w:val="Fuentedeprrafopredeter"/>
    <w:uiPriority w:val="20"/>
    <w:qFormat/>
    <w:rsid w:val="00C0294B"/>
    <w:rPr>
      <w:i/>
      <w:iCs/>
    </w:rPr>
  </w:style>
  <w:style w:type="character" w:customStyle="1" w:styleId="Ttulo2Car">
    <w:name w:val="Título 2 Car"/>
    <w:basedOn w:val="Fuentedeprrafopredeter"/>
    <w:link w:val="Ttulo2"/>
    <w:uiPriority w:val="9"/>
    <w:semiHidden/>
    <w:rsid w:val="00D84E59"/>
    <w:rPr>
      <w:rFonts w:asciiTheme="majorHAnsi" w:eastAsiaTheme="majorEastAsia" w:hAnsiTheme="majorHAnsi" w:cstheme="majorBidi"/>
      <w:color w:val="2E74B5" w:themeColor="accent1" w:themeShade="BF"/>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who.int/es/news-room/fact-sheets/detail/violence-against-women" TargetMode="External"/><Relationship Id="rId1" Type="http://schemas.openxmlformats.org/officeDocument/2006/relationships/hyperlink" Target="https://iris.paho.org/bitstream/handle/10665.2/2829/9789275316313_Spa.pdf?sequence=13&amp;isAllowed=y"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35285</Words>
  <Characters>194071</Characters>
  <Application>Microsoft Office Word</Application>
  <DocSecurity>0</DocSecurity>
  <Lines>1617</Lines>
  <Paragraphs>457</Paragraphs>
  <ScaleCrop>false</ScaleCrop>
  <Company/>
  <LinksUpToDate>false</LinksUpToDate>
  <CharactersWithSpaces>228899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Saenz</dc:creator>
  <cp:keywords/>
  <dc:description/>
  <cp:lastModifiedBy>Isaac Saenz</cp:lastModifiedBy>
  <cp:revision>2</cp:revision>
  <dcterms:created xsi:type="dcterms:W3CDTF">2026-02-23T17:24:00Z</dcterms:created>
  <dcterms:modified xsi:type="dcterms:W3CDTF">2026-02-23T17:24:00Z</dcterms:modified>
</cp:coreProperties>
</file>