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4370" w:rsidRPr="005D08AD" w:rsidRDefault="00A815BD">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5D08AD">
        <w:rPr>
          <w:rFonts w:ascii="Times New Roman" w:hAnsi="Times New Roman" w:cs="Times New Roman"/>
          <w:sz w:val="28"/>
          <w:szCs w:val="24"/>
        </w:rPr>
        <w:t xml:space="preserve"> </w:t>
      </w:r>
    </w:p>
    <w:p w:rsidR="00D94370" w:rsidRPr="005D08AD" w:rsidRDefault="00D94370">
      <w:pPr>
        <w:widowControl w:val="0"/>
        <w:autoSpaceDE w:val="0"/>
        <w:autoSpaceDN w:val="0"/>
        <w:adjustRightInd w:val="0"/>
        <w:spacing w:after="0" w:line="240" w:lineRule="auto"/>
        <w:rPr>
          <w:rFonts w:ascii="Times New Roman" w:hAnsi="Times New Roman" w:cs="Times New Roman"/>
          <w:sz w:val="28"/>
          <w:szCs w:val="28"/>
        </w:rPr>
      </w:pPr>
    </w:p>
    <w:p w:rsidR="00D94370" w:rsidRPr="005D08AD" w:rsidRDefault="00A815BD">
      <w:pPr>
        <w:widowControl w:val="0"/>
        <w:autoSpaceDE w:val="0"/>
        <w:autoSpaceDN w:val="0"/>
        <w:adjustRightInd w:val="0"/>
        <w:spacing w:after="0" w:line="240" w:lineRule="auto"/>
        <w:jc w:val="center"/>
        <w:rPr>
          <w:rFonts w:ascii="Times New Roman" w:hAnsi="Times New Roman" w:cs="Times New Roman"/>
          <w:b/>
          <w:bCs/>
          <w:sz w:val="28"/>
          <w:szCs w:val="28"/>
        </w:rPr>
      </w:pPr>
      <w:r w:rsidRPr="005D08AD">
        <w:rPr>
          <w:rFonts w:ascii="Times New Roman" w:hAnsi="Times New Roman" w:cs="Times New Roman"/>
          <w:b/>
          <w:bCs/>
          <w:sz w:val="28"/>
          <w:szCs w:val="28"/>
        </w:rPr>
        <w:t xml:space="preserve">TEMAS-SUBTEMAS </w:t>
      </w:r>
    </w:p>
    <w:p w:rsidR="00D94370" w:rsidRPr="005D08AD" w:rsidRDefault="00D94370">
      <w:pPr>
        <w:widowControl w:val="0"/>
        <w:autoSpaceDE w:val="0"/>
        <w:autoSpaceDN w:val="0"/>
        <w:adjustRightInd w:val="0"/>
        <w:spacing w:after="0" w:line="240" w:lineRule="auto"/>
        <w:jc w:val="center"/>
        <w:rPr>
          <w:rFonts w:ascii="Times New Roman" w:hAnsi="Times New Roman" w:cs="Times New Roman"/>
          <w:b/>
          <w:bCs/>
          <w:sz w:val="28"/>
          <w:szCs w:val="28"/>
        </w:rPr>
      </w:pPr>
    </w:p>
    <w:p w:rsidR="00D94370" w:rsidRPr="005D08AD" w:rsidRDefault="00A815BD">
      <w:pPr>
        <w:widowControl w:val="0"/>
        <w:autoSpaceDE w:val="0"/>
        <w:autoSpaceDN w:val="0"/>
        <w:adjustRightInd w:val="0"/>
        <w:spacing w:after="0" w:line="240" w:lineRule="auto"/>
        <w:jc w:val="center"/>
        <w:rPr>
          <w:rFonts w:ascii="Times New Roman" w:hAnsi="Times New Roman" w:cs="Times New Roman"/>
          <w:sz w:val="28"/>
          <w:szCs w:val="28"/>
        </w:rPr>
      </w:pPr>
      <w:r w:rsidRPr="005D08AD">
        <w:rPr>
          <w:rFonts w:ascii="Times New Roman" w:hAnsi="Times New Roman" w:cs="Times New Roman"/>
          <w:b/>
          <w:bCs/>
          <w:sz w:val="28"/>
          <w:szCs w:val="28"/>
        </w:rPr>
        <w:t xml:space="preserve">Sentencia C-097/26 </w:t>
      </w:r>
    </w:p>
    <w:p w:rsidR="00D94370" w:rsidRPr="005D08AD" w:rsidRDefault="00D94370">
      <w:pPr>
        <w:widowControl w:val="0"/>
        <w:autoSpaceDE w:val="0"/>
        <w:autoSpaceDN w:val="0"/>
        <w:adjustRightInd w:val="0"/>
        <w:spacing w:after="0" w:line="240" w:lineRule="auto"/>
        <w:jc w:val="both"/>
        <w:rPr>
          <w:rFonts w:ascii="Times New Roman" w:hAnsi="Times New Roman" w:cs="Times New Roman"/>
          <w:sz w:val="28"/>
          <w:szCs w:val="28"/>
        </w:rPr>
      </w:pPr>
    </w:p>
    <w:p w:rsidR="00D94370" w:rsidRPr="005D08AD" w:rsidRDefault="00A815BD">
      <w:pPr>
        <w:widowControl w:val="0"/>
        <w:autoSpaceDE w:val="0"/>
        <w:autoSpaceDN w:val="0"/>
        <w:adjustRightInd w:val="0"/>
        <w:spacing w:after="0" w:line="240" w:lineRule="auto"/>
        <w:jc w:val="both"/>
        <w:rPr>
          <w:rFonts w:ascii="Times New Roman" w:hAnsi="Times New Roman" w:cs="Times New Roman"/>
          <w:sz w:val="28"/>
          <w:szCs w:val="28"/>
        </w:rPr>
      </w:pPr>
      <w:r w:rsidRPr="005D08AD">
        <w:rPr>
          <w:rFonts w:ascii="Times New Roman" w:hAnsi="Times New Roman" w:cs="Times New Roman"/>
          <w:b/>
          <w:bCs/>
          <w:sz w:val="28"/>
          <w:szCs w:val="28"/>
        </w:rPr>
        <w:t>PRINCIPIOS DE LEGALIDAD Y CERTEZA TRIBUTARIA</w:t>
      </w:r>
      <w:r w:rsidRPr="005D08AD">
        <w:rPr>
          <w:rFonts w:ascii="Times New Roman" w:hAnsi="Times New Roman" w:cs="Times New Roman"/>
          <w:sz w:val="28"/>
          <w:szCs w:val="28"/>
        </w:rPr>
        <w:t>-No se vulneran porque hecho generador del impuesto es determinable</w:t>
      </w:r>
    </w:p>
    <w:p w:rsidR="00D94370" w:rsidRPr="005D08AD" w:rsidRDefault="00D94370">
      <w:pPr>
        <w:widowControl w:val="0"/>
        <w:autoSpaceDE w:val="0"/>
        <w:autoSpaceDN w:val="0"/>
        <w:adjustRightInd w:val="0"/>
        <w:spacing w:after="0" w:line="240" w:lineRule="auto"/>
        <w:jc w:val="both"/>
        <w:rPr>
          <w:rFonts w:ascii="Times New Roman" w:hAnsi="Times New Roman" w:cs="Times New Roman"/>
          <w:sz w:val="28"/>
          <w:szCs w:val="28"/>
        </w:rPr>
      </w:pPr>
    </w:p>
    <w:p w:rsidR="00D94370" w:rsidRPr="005D08AD" w:rsidRDefault="00A815BD">
      <w:pPr>
        <w:widowControl w:val="0"/>
        <w:autoSpaceDE w:val="0"/>
        <w:autoSpaceDN w:val="0"/>
        <w:adjustRightInd w:val="0"/>
        <w:spacing w:after="0" w:line="240" w:lineRule="auto"/>
        <w:jc w:val="both"/>
        <w:rPr>
          <w:rFonts w:ascii="Times New Roman" w:hAnsi="Times New Roman" w:cs="Times New Roman"/>
          <w:sz w:val="28"/>
          <w:szCs w:val="28"/>
        </w:rPr>
      </w:pPr>
      <w:r w:rsidRPr="005D08AD">
        <w:rPr>
          <w:rFonts w:ascii="Times New Roman" w:hAnsi="Times New Roman" w:cs="Times New Roman"/>
          <w:i/>
          <w:iCs/>
          <w:sz w:val="28"/>
          <w:szCs w:val="28"/>
        </w:rPr>
        <w:t>(...) la disposición demandada es exequible, pues el hecho generador del tributo es determinable y corresponde a la compra autorizada de municiones y explosivos. Por lo tanto, la aparente falta de claridad advertida por el demandante no configura una indeterminación real del elemento esencial de la obligación tributaria, sino una dificultad superable dentro del marco constitucional.</w:t>
      </w:r>
    </w:p>
    <w:p w:rsidR="00D94370" w:rsidRPr="005D08AD" w:rsidRDefault="00D94370">
      <w:pPr>
        <w:widowControl w:val="0"/>
        <w:autoSpaceDE w:val="0"/>
        <w:autoSpaceDN w:val="0"/>
        <w:adjustRightInd w:val="0"/>
        <w:spacing w:after="0" w:line="240" w:lineRule="auto"/>
        <w:jc w:val="both"/>
        <w:rPr>
          <w:rFonts w:ascii="Times New Roman" w:hAnsi="Times New Roman" w:cs="Times New Roman"/>
          <w:sz w:val="28"/>
          <w:szCs w:val="28"/>
        </w:rPr>
      </w:pPr>
    </w:p>
    <w:p w:rsidR="00D94370" w:rsidRPr="005D08AD" w:rsidRDefault="00A815BD">
      <w:pPr>
        <w:widowControl w:val="0"/>
        <w:autoSpaceDE w:val="0"/>
        <w:autoSpaceDN w:val="0"/>
        <w:adjustRightInd w:val="0"/>
        <w:spacing w:after="0" w:line="240" w:lineRule="auto"/>
        <w:jc w:val="both"/>
        <w:rPr>
          <w:rFonts w:ascii="Times New Roman" w:hAnsi="Times New Roman" w:cs="Times New Roman"/>
          <w:sz w:val="28"/>
          <w:szCs w:val="28"/>
        </w:rPr>
      </w:pPr>
      <w:r w:rsidRPr="005D08AD">
        <w:rPr>
          <w:rFonts w:ascii="Times New Roman" w:hAnsi="Times New Roman" w:cs="Times New Roman"/>
          <w:b/>
          <w:bCs/>
          <w:sz w:val="28"/>
          <w:szCs w:val="28"/>
        </w:rPr>
        <w:t>COSA JUZGADA CONSTITUCIONAL</w:t>
      </w:r>
      <w:r w:rsidRPr="005D08AD">
        <w:rPr>
          <w:rFonts w:ascii="Times New Roman" w:hAnsi="Times New Roman" w:cs="Times New Roman"/>
          <w:sz w:val="28"/>
          <w:szCs w:val="28"/>
        </w:rPr>
        <w:t>-Alcance y efectos</w:t>
      </w:r>
    </w:p>
    <w:p w:rsidR="00D94370" w:rsidRPr="005D08AD" w:rsidRDefault="00D94370">
      <w:pPr>
        <w:widowControl w:val="0"/>
        <w:autoSpaceDE w:val="0"/>
        <w:autoSpaceDN w:val="0"/>
        <w:adjustRightInd w:val="0"/>
        <w:spacing w:after="0" w:line="240" w:lineRule="auto"/>
        <w:jc w:val="both"/>
        <w:rPr>
          <w:rFonts w:ascii="Times New Roman" w:hAnsi="Times New Roman" w:cs="Times New Roman"/>
          <w:sz w:val="28"/>
          <w:szCs w:val="28"/>
        </w:rPr>
      </w:pPr>
    </w:p>
    <w:p w:rsidR="00D94370" w:rsidRPr="005D08AD" w:rsidRDefault="00A815BD">
      <w:pPr>
        <w:widowControl w:val="0"/>
        <w:autoSpaceDE w:val="0"/>
        <w:autoSpaceDN w:val="0"/>
        <w:adjustRightInd w:val="0"/>
        <w:spacing w:after="0" w:line="240" w:lineRule="auto"/>
        <w:jc w:val="both"/>
        <w:rPr>
          <w:rFonts w:ascii="Times New Roman" w:hAnsi="Times New Roman" w:cs="Times New Roman"/>
          <w:sz w:val="28"/>
          <w:szCs w:val="28"/>
        </w:rPr>
      </w:pPr>
      <w:r w:rsidRPr="005D08AD">
        <w:rPr>
          <w:rFonts w:ascii="Times New Roman" w:hAnsi="Times New Roman" w:cs="Times New Roman"/>
          <w:i/>
          <w:iCs/>
          <w:sz w:val="28"/>
          <w:szCs w:val="28"/>
        </w:rPr>
        <w:t>(...) la cosa juzgada constitucional tiene por efecto, en principio, impedir que el juez constitucional vuelva a conocer o decidir sobre un aspecto ya decidido. Lo anterior con la finalidad de proteger la seguridad jurídica respecto de las reglas que rigen la actuación de las autoridades y ciudadanos, salvaguardar la buena fe en punto a la consistencia de las decisiones de la Corte y garantizar la autonomía judicial de forma que se impida que luego de estudiado un asunto por el juez competente y siguiendo las reglas vigentes este sea nuevamente decidido.</w:t>
      </w:r>
    </w:p>
    <w:p w:rsidR="00D94370" w:rsidRPr="005D08AD" w:rsidRDefault="00D94370">
      <w:pPr>
        <w:widowControl w:val="0"/>
        <w:autoSpaceDE w:val="0"/>
        <w:autoSpaceDN w:val="0"/>
        <w:adjustRightInd w:val="0"/>
        <w:spacing w:after="0" w:line="240" w:lineRule="auto"/>
        <w:jc w:val="both"/>
        <w:rPr>
          <w:rFonts w:ascii="Times New Roman" w:hAnsi="Times New Roman" w:cs="Times New Roman"/>
          <w:sz w:val="28"/>
          <w:szCs w:val="28"/>
        </w:rPr>
      </w:pPr>
    </w:p>
    <w:p w:rsidR="00D94370" w:rsidRPr="005D08AD" w:rsidRDefault="00A815BD">
      <w:pPr>
        <w:widowControl w:val="0"/>
        <w:autoSpaceDE w:val="0"/>
        <w:autoSpaceDN w:val="0"/>
        <w:adjustRightInd w:val="0"/>
        <w:spacing w:after="0" w:line="240" w:lineRule="auto"/>
        <w:jc w:val="both"/>
        <w:rPr>
          <w:rFonts w:ascii="Times New Roman" w:hAnsi="Times New Roman" w:cs="Times New Roman"/>
          <w:sz w:val="28"/>
          <w:szCs w:val="28"/>
        </w:rPr>
      </w:pPr>
      <w:r w:rsidRPr="005D08AD">
        <w:rPr>
          <w:rFonts w:ascii="Times New Roman" w:hAnsi="Times New Roman" w:cs="Times New Roman"/>
          <w:b/>
          <w:bCs/>
          <w:sz w:val="28"/>
          <w:szCs w:val="28"/>
        </w:rPr>
        <w:t>COSA JUZGADA CONSTITUCIONAL</w:t>
      </w:r>
      <w:r w:rsidRPr="005D08AD">
        <w:rPr>
          <w:rFonts w:ascii="Times New Roman" w:hAnsi="Times New Roman" w:cs="Times New Roman"/>
          <w:sz w:val="28"/>
          <w:szCs w:val="28"/>
        </w:rPr>
        <w:t>-Elementos</w:t>
      </w:r>
    </w:p>
    <w:p w:rsidR="00D94370" w:rsidRPr="005D08AD" w:rsidRDefault="00D94370">
      <w:pPr>
        <w:widowControl w:val="0"/>
        <w:autoSpaceDE w:val="0"/>
        <w:autoSpaceDN w:val="0"/>
        <w:adjustRightInd w:val="0"/>
        <w:spacing w:after="0" w:line="240" w:lineRule="auto"/>
        <w:jc w:val="both"/>
        <w:rPr>
          <w:rFonts w:ascii="Times New Roman" w:hAnsi="Times New Roman" w:cs="Times New Roman"/>
          <w:sz w:val="28"/>
          <w:szCs w:val="28"/>
        </w:rPr>
      </w:pPr>
    </w:p>
    <w:p w:rsidR="00D94370" w:rsidRPr="005D08AD" w:rsidRDefault="00A815BD">
      <w:pPr>
        <w:widowControl w:val="0"/>
        <w:autoSpaceDE w:val="0"/>
        <w:autoSpaceDN w:val="0"/>
        <w:adjustRightInd w:val="0"/>
        <w:spacing w:after="0" w:line="240" w:lineRule="auto"/>
        <w:jc w:val="both"/>
        <w:rPr>
          <w:rFonts w:ascii="Times New Roman" w:hAnsi="Times New Roman" w:cs="Times New Roman"/>
          <w:sz w:val="28"/>
          <w:szCs w:val="28"/>
        </w:rPr>
      </w:pPr>
      <w:r w:rsidRPr="005D08AD">
        <w:rPr>
          <w:rFonts w:ascii="Times New Roman" w:hAnsi="Times New Roman" w:cs="Times New Roman"/>
          <w:i/>
          <w:iCs/>
          <w:sz w:val="28"/>
          <w:szCs w:val="28"/>
        </w:rPr>
        <w:t>(...) la cosa juzgada constitucional se determina a partir de tres elementos, a saber: (i) identidad de objeto, es decir la acusación se propone sobre el mismo contenido normativo que ya fue estudiado en una sentencia anterior; (ii) identidad de cargos, esto es, que el análisis propuesto sea por las mimas razones o cuestionamientos analizados en la decisión antecedente y; (iii) identidad en el parámetro de control constitucional.</w:t>
      </w:r>
    </w:p>
    <w:p w:rsidR="00D94370" w:rsidRPr="005D08AD" w:rsidRDefault="00D94370">
      <w:pPr>
        <w:widowControl w:val="0"/>
        <w:autoSpaceDE w:val="0"/>
        <w:autoSpaceDN w:val="0"/>
        <w:adjustRightInd w:val="0"/>
        <w:spacing w:after="0" w:line="240" w:lineRule="auto"/>
        <w:jc w:val="both"/>
        <w:rPr>
          <w:rFonts w:ascii="Times New Roman" w:hAnsi="Times New Roman" w:cs="Times New Roman"/>
          <w:sz w:val="28"/>
          <w:szCs w:val="28"/>
        </w:rPr>
      </w:pPr>
    </w:p>
    <w:p w:rsidR="00D94370" w:rsidRPr="005D08AD" w:rsidRDefault="00A815BD">
      <w:pPr>
        <w:widowControl w:val="0"/>
        <w:autoSpaceDE w:val="0"/>
        <w:autoSpaceDN w:val="0"/>
        <w:adjustRightInd w:val="0"/>
        <w:spacing w:after="0" w:line="240" w:lineRule="auto"/>
        <w:jc w:val="both"/>
        <w:rPr>
          <w:rFonts w:ascii="Times New Roman" w:hAnsi="Times New Roman" w:cs="Times New Roman"/>
          <w:sz w:val="28"/>
          <w:szCs w:val="28"/>
        </w:rPr>
      </w:pPr>
      <w:r w:rsidRPr="005D08AD">
        <w:rPr>
          <w:rFonts w:ascii="Times New Roman" w:hAnsi="Times New Roman" w:cs="Times New Roman"/>
          <w:b/>
          <w:bCs/>
          <w:sz w:val="28"/>
          <w:szCs w:val="28"/>
        </w:rPr>
        <w:t>COSA JUZGADA CONSTITUCIONAL</w:t>
      </w:r>
      <w:r w:rsidRPr="005D08AD">
        <w:rPr>
          <w:rFonts w:ascii="Times New Roman" w:hAnsi="Times New Roman" w:cs="Times New Roman"/>
          <w:sz w:val="28"/>
          <w:szCs w:val="28"/>
        </w:rPr>
        <w:t xml:space="preserve">-Inexistencia </w:t>
      </w:r>
    </w:p>
    <w:p w:rsidR="00D94370" w:rsidRPr="005D08AD" w:rsidRDefault="00D94370">
      <w:pPr>
        <w:widowControl w:val="0"/>
        <w:autoSpaceDE w:val="0"/>
        <w:autoSpaceDN w:val="0"/>
        <w:adjustRightInd w:val="0"/>
        <w:spacing w:after="0" w:line="240" w:lineRule="auto"/>
        <w:jc w:val="both"/>
        <w:rPr>
          <w:rFonts w:ascii="Times New Roman" w:hAnsi="Times New Roman" w:cs="Times New Roman"/>
          <w:sz w:val="28"/>
          <w:szCs w:val="28"/>
        </w:rPr>
      </w:pPr>
    </w:p>
    <w:p w:rsidR="00D94370" w:rsidRPr="005D08AD" w:rsidRDefault="00A815BD">
      <w:pPr>
        <w:widowControl w:val="0"/>
        <w:autoSpaceDE w:val="0"/>
        <w:autoSpaceDN w:val="0"/>
        <w:adjustRightInd w:val="0"/>
        <w:spacing w:after="0" w:line="240" w:lineRule="auto"/>
        <w:jc w:val="both"/>
        <w:rPr>
          <w:rFonts w:ascii="Times New Roman" w:hAnsi="Times New Roman" w:cs="Times New Roman"/>
          <w:sz w:val="28"/>
          <w:szCs w:val="28"/>
        </w:rPr>
      </w:pPr>
      <w:r w:rsidRPr="005D08AD">
        <w:rPr>
          <w:rFonts w:ascii="Times New Roman" w:hAnsi="Times New Roman" w:cs="Times New Roman"/>
          <w:b/>
          <w:bCs/>
          <w:sz w:val="28"/>
          <w:szCs w:val="28"/>
        </w:rPr>
        <w:t>PRINCIPIOS DE LEGALIDAD Y CERTEZA TRIBUTARIA</w:t>
      </w:r>
      <w:r w:rsidRPr="005D08AD">
        <w:rPr>
          <w:rFonts w:ascii="Times New Roman" w:hAnsi="Times New Roman" w:cs="Times New Roman"/>
          <w:sz w:val="28"/>
          <w:szCs w:val="28"/>
        </w:rPr>
        <w:t xml:space="preserve">-Alcance </w:t>
      </w:r>
    </w:p>
    <w:p w:rsidR="00D94370" w:rsidRPr="005D08AD" w:rsidRDefault="00D94370">
      <w:pPr>
        <w:widowControl w:val="0"/>
        <w:autoSpaceDE w:val="0"/>
        <w:autoSpaceDN w:val="0"/>
        <w:adjustRightInd w:val="0"/>
        <w:spacing w:after="0" w:line="240" w:lineRule="auto"/>
        <w:jc w:val="both"/>
        <w:rPr>
          <w:rFonts w:ascii="Times New Roman" w:hAnsi="Times New Roman" w:cs="Times New Roman"/>
          <w:sz w:val="28"/>
          <w:szCs w:val="28"/>
        </w:rPr>
      </w:pPr>
    </w:p>
    <w:p w:rsidR="00D94370" w:rsidRPr="005D08AD" w:rsidRDefault="00A815BD">
      <w:pPr>
        <w:widowControl w:val="0"/>
        <w:autoSpaceDE w:val="0"/>
        <w:autoSpaceDN w:val="0"/>
        <w:adjustRightInd w:val="0"/>
        <w:spacing w:after="0" w:line="240" w:lineRule="auto"/>
        <w:jc w:val="both"/>
        <w:rPr>
          <w:rFonts w:ascii="Times New Roman" w:hAnsi="Times New Roman" w:cs="Times New Roman"/>
          <w:sz w:val="28"/>
          <w:szCs w:val="28"/>
        </w:rPr>
      </w:pPr>
      <w:r w:rsidRPr="005D08AD">
        <w:rPr>
          <w:rFonts w:ascii="Times New Roman" w:hAnsi="Times New Roman" w:cs="Times New Roman"/>
          <w:b/>
          <w:bCs/>
          <w:sz w:val="28"/>
          <w:szCs w:val="28"/>
        </w:rPr>
        <w:t>PRINCIPIO DE CERTEZA TRIBUTARIA</w:t>
      </w:r>
      <w:r w:rsidRPr="005D08AD">
        <w:rPr>
          <w:rFonts w:ascii="Times New Roman" w:hAnsi="Times New Roman" w:cs="Times New Roman"/>
          <w:sz w:val="28"/>
          <w:szCs w:val="28"/>
        </w:rPr>
        <w:t>-Se deriva del principio de legalidad tributaria</w:t>
      </w:r>
    </w:p>
    <w:p w:rsidR="00D94370" w:rsidRPr="005D08AD" w:rsidRDefault="00D94370">
      <w:pPr>
        <w:widowControl w:val="0"/>
        <w:autoSpaceDE w:val="0"/>
        <w:autoSpaceDN w:val="0"/>
        <w:adjustRightInd w:val="0"/>
        <w:spacing w:after="0" w:line="240" w:lineRule="auto"/>
        <w:jc w:val="both"/>
        <w:rPr>
          <w:rFonts w:ascii="Times New Roman" w:hAnsi="Times New Roman" w:cs="Times New Roman"/>
          <w:sz w:val="28"/>
          <w:szCs w:val="28"/>
        </w:rPr>
      </w:pPr>
    </w:p>
    <w:p w:rsidR="00D94370" w:rsidRPr="005D08AD" w:rsidRDefault="00A815BD">
      <w:pPr>
        <w:widowControl w:val="0"/>
        <w:autoSpaceDE w:val="0"/>
        <w:autoSpaceDN w:val="0"/>
        <w:adjustRightInd w:val="0"/>
        <w:spacing w:after="0" w:line="240" w:lineRule="auto"/>
        <w:jc w:val="both"/>
        <w:rPr>
          <w:rFonts w:ascii="Times New Roman" w:hAnsi="Times New Roman" w:cs="Times New Roman"/>
          <w:sz w:val="28"/>
          <w:szCs w:val="28"/>
        </w:rPr>
      </w:pPr>
      <w:r w:rsidRPr="005D08AD">
        <w:rPr>
          <w:rFonts w:ascii="Times New Roman" w:hAnsi="Times New Roman" w:cs="Times New Roman"/>
          <w:i/>
          <w:iCs/>
          <w:sz w:val="28"/>
          <w:szCs w:val="28"/>
        </w:rPr>
        <w:t>(...) el principio de certeza tributaria, como proyección del principio de legalidad, implica que las corporaciones de representación popular no solo tienen el deber de crear el tributo, sino también deben definir de manera razonable, clara y precisa sus elementos esenciales â€”sujeto activo, sujeto pasivo, hecho generador, base gravable y tarifaâ€” En consecuencia, ha reiterado la Corte, cuando una norma establece una obligación tributaria sin definir dichos elementos, o cuando estos no son determinables, no puede entenderse válidamente configurado el tributo.</w:t>
      </w:r>
    </w:p>
    <w:p w:rsidR="00D94370" w:rsidRPr="005D08AD" w:rsidRDefault="00D94370">
      <w:pPr>
        <w:widowControl w:val="0"/>
        <w:autoSpaceDE w:val="0"/>
        <w:autoSpaceDN w:val="0"/>
        <w:adjustRightInd w:val="0"/>
        <w:spacing w:after="0" w:line="240" w:lineRule="auto"/>
        <w:jc w:val="both"/>
        <w:rPr>
          <w:rFonts w:ascii="Times New Roman" w:hAnsi="Times New Roman" w:cs="Times New Roman"/>
          <w:sz w:val="28"/>
          <w:szCs w:val="28"/>
        </w:rPr>
      </w:pPr>
    </w:p>
    <w:p w:rsidR="00D94370" w:rsidRPr="005D08AD" w:rsidRDefault="00A815BD">
      <w:pPr>
        <w:widowControl w:val="0"/>
        <w:autoSpaceDE w:val="0"/>
        <w:autoSpaceDN w:val="0"/>
        <w:adjustRightInd w:val="0"/>
        <w:spacing w:after="0" w:line="240" w:lineRule="auto"/>
        <w:jc w:val="both"/>
        <w:rPr>
          <w:rFonts w:ascii="Times New Roman" w:hAnsi="Times New Roman" w:cs="Times New Roman"/>
          <w:sz w:val="28"/>
          <w:szCs w:val="28"/>
        </w:rPr>
      </w:pPr>
      <w:r w:rsidRPr="005D08AD">
        <w:rPr>
          <w:rFonts w:ascii="Times New Roman" w:hAnsi="Times New Roman" w:cs="Times New Roman"/>
          <w:b/>
          <w:bCs/>
          <w:sz w:val="28"/>
          <w:szCs w:val="28"/>
        </w:rPr>
        <w:t>PRINCIPIO DE CERTEZA TRIBUTARIA</w:t>
      </w:r>
      <w:r w:rsidRPr="005D08AD">
        <w:rPr>
          <w:rFonts w:ascii="Times New Roman" w:hAnsi="Times New Roman" w:cs="Times New Roman"/>
          <w:sz w:val="28"/>
          <w:szCs w:val="28"/>
        </w:rPr>
        <w:t>-Características</w:t>
      </w:r>
    </w:p>
    <w:p w:rsidR="00D94370" w:rsidRPr="005D08AD" w:rsidRDefault="00D94370">
      <w:pPr>
        <w:widowControl w:val="0"/>
        <w:autoSpaceDE w:val="0"/>
        <w:autoSpaceDN w:val="0"/>
        <w:adjustRightInd w:val="0"/>
        <w:spacing w:after="0" w:line="240" w:lineRule="auto"/>
        <w:jc w:val="both"/>
        <w:rPr>
          <w:rFonts w:ascii="Times New Roman" w:hAnsi="Times New Roman" w:cs="Times New Roman"/>
          <w:sz w:val="28"/>
          <w:szCs w:val="28"/>
        </w:rPr>
      </w:pPr>
    </w:p>
    <w:p w:rsidR="00D94370" w:rsidRPr="005D08AD" w:rsidRDefault="00A815BD">
      <w:pPr>
        <w:widowControl w:val="0"/>
        <w:autoSpaceDE w:val="0"/>
        <w:autoSpaceDN w:val="0"/>
        <w:adjustRightInd w:val="0"/>
        <w:spacing w:after="0" w:line="240" w:lineRule="auto"/>
        <w:jc w:val="both"/>
        <w:rPr>
          <w:rFonts w:ascii="Times New Roman" w:hAnsi="Times New Roman" w:cs="Times New Roman"/>
          <w:sz w:val="28"/>
          <w:szCs w:val="28"/>
        </w:rPr>
      </w:pPr>
      <w:r w:rsidRPr="005D08AD">
        <w:rPr>
          <w:rFonts w:ascii="Times New Roman" w:hAnsi="Times New Roman" w:cs="Times New Roman"/>
          <w:i/>
          <w:iCs/>
          <w:sz w:val="28"/>
          <w:szCs w:val="28"/>
        </w:rPr>
        <w:t>Sobre las características del principio de certeza tributaria, de acuerdo con la jurisprudencia, este tiene dos rasgos principales. En primer lugar, no es un principio absoluto, pues su alcance no exige que los elementos del tributo se definan con una precisión que desconozca las dificultades propias del lenguaje ordinario, ni que imponga a los órganos colegiados un estándar irrealizable. En segundo lugar, tiene un carácter relativo, de manera que el estándar de precisión en los elementos del tributo tiene “niveles diferenciados”, dependiendo del tipo de tributo y el elemento esencial de la obligación tributaria de que se trate.</w:t>
      </w:r>
    </w:p>
    <w:p w:rsidR="00D94370" w:rsidRPr="005D08AD" w:rsidRDefault="00D94370">
      <w:pPr>
        <w:widowControl w:val="0"/>
        <w:autoSpaceDE w:val="0"/>
        <w:autoSpaceDN w:val="0"/>
        <w:adjustRightInd w:val="0"/>
        <w:spacing w:after="0" w:line="240" w:lineRule="auto"/>
        <w:jc w:val="both"/>
        <w:rPr>
          <w:rFonts w:ascii="Times New Roman" w:hAnsi="Times New Roman" w:cs="Times New Roman"/>
          <w:sz w:val="28"/>
          <w:szCs w:val="28"/>
        </w:rPr>
      </w:pPr>
    </w:p>
    <w:p w:rsidR="00D94370" w:rsidRPr="005D08AD" w:rsidRDefault="00A815BD">
      <w:pPr>
        <w:widowControl w:val="0"/>
        <w:autoSpaceDE w:val="0"/>
        <w:autoSpaceDN w:val="0"/>
        <w:adjustRightInd w:val="0"/>
        <w:spacing w:after="0" w:line="240" w:lineRule="auto"/>
        <w:jc w:val="both"/>
        <w:rPr>
          <w:rFonts w:ascii="Times New Roman" w:hAnsi="Times New Roman" w:cs="Times New Roman"/>
          <w:sz w:val="28"/>
          <w:szCs w:val="28"/>
        </w:rPr>
      </w:pPr>
      <w:r w:rsidRPr="005D08AD">
        <w:rPr>
          <w:rFonts w:ascii="Times New Roman" w:hAnsi="Times New Roman" w:cs="Times New Roman"/>
          <w:b/>
          <w:bCs/>
          <w:sz w:val="28"/>
          <w:szCs w:val="28"/>
        </w:rPr>
        <w:t>OBLIGACIÓN TRIBUTARIA</w:t>
      </w:r>
      <w:r w:rsidRPr="005D08AD">
        <w:rPr>
          <w:rFonts w:ascii="Times New Roman" w:hAnsi="Times New Roman" w:cs="Times New Roman"/>
          <w:sz w:val="28"/>
          <w:szCs w:val="28"/>
        </w:rPr>
        <w:t>-Concepto</w:t>
      </w:r>
    </w:p>
    <w:p w:rsidR="00D94370" w:rsidRPr="005D08AD" w:rsidRDefault="00D94370">
      <w:pPr>
        <w:widowControl w:val="0"/>
        <w:autoSpaceDE w:val="0"/>
        <w:autoSpaceDN w:val="0"/>
        <w:adjustRightInd w:val="0"/>
        <w:spacing w:after="0" w:line="240" w:lineRule="auto"/>
        <w:jc w:val="both"/>
        <w:rPr>
          <w:rFonts w:ascii="Times New Roman" w:hAnsi="Times New Roman" w:cs="Times New Roman"/>
          <w:sz w:val="28"/>
          <w:szCs w:val="28"/>
        </w:rPr>
      </w:pPr>
    </w:p>
    <w:p w:rsidR="00D94370" w:rsidRPr="005D08AD" w:rsidRDefault="00A815BD">
      <w:pPr>
        <w:widowControl w:val="0"/>
        <w:autoSpaceDE w:val="0"/>
        <w:autoSpaceDN w:val="0"/>
        <w:adjustRightInd w:val="0"/>
        <w:spacing w:after="0" w:line="240" w:lineRule="auto"/>
        <w:jc w:val="both"/>
        <w:rPr>
          <w:rFonts w:ascii="Times New Roman" w:hAnsi="Times New Roman" w:cs="Times New Roman"/>
          <w:sz w:val="28"/>
          <w:szCs w:val="28"/>
        </w:rPr>
      </w:pPr>
      <w:r w:rsidRPr="005D08AD">
        <w:rPr>
          <w:rFonts w:ascii="Times New Roman" w:hAnsi="Times New Roman" w:cs="Times New Roman"/>
          <w:i/>
          <w:iCs/>
          <w:sz w:val="28"/>
          <w:szCs w:val="28"/>
        </w:rPr>
        <w:t>(...) las obligaciones tributarias se definen como el vínculo jurídico entre el Estado y las personas, en virtud del cual estas deben cumplir, frente a aquel una prestación.</w:t>
      </w:r>
    </w:p>
    <w:p w:rsidR="00D94370" w:rsidRPr="005D08AD" w:rsidRDefault="00D94370">
      <w:pPr>
        <w:widowControl w:val="0"/>
        <w:autoSpaceDE w:val="0"/>
        <w:autoSpaceDN w:val="0"/>
        <w:adjustRightInd w:val="0"/>
        <w:spacing w:after="0" w:line="240" w:lineRule="auto"/>
        <w:jc w:val="both"/>
        <w:rPr>
          <w:rFonts w:ascii="Times New Roman" w:hAnsi="Times New Roman" w:cs="Times New Roman"/>
          <w:sz w:val="28"/>
          <w:szCs w:val="28"/>
        </w:rPr>
      </w:pPr>
    </w:p>
    <w:p w:rsidR="00D94370" w:rsidRPr="005D08AD" w:rsidRDefault="00A815BD">
      <w:pPr>
        <w:widowControl w:val="0"/>
        <w:autoSpaceDE w:val="0"/>
        <w:autoSpaceDN w:val="0"/>
        <w:adjustRightInd w:val="0"/>
        <w:spacing w:after="0" w:line="240" w:lineRule="auto"/>
        <w:jc w:val="both"/>
        <w:rPr>
          <w:rFonts w:ascii="Times New Roman" w:hAnsi="Times New Roman" w:cs="Times New Roman"/>
          <w:sz w:val="28"/>
          <w:szCs w:val="28"/>
        </w:rPr>
      </w:pPr>
      <w:r w:rsidRPr="005D08AD">
        <w:rPr>
          <w:rFonts w:ascii="Times New Roman" w:hAnsi="Times New Roman" w:cs="Times New Roman"/>
          <w:b/>
          <w:bCs/>
          <w:sz w:val="28"/>
          <w:szCs w:val="28"/>
        </w:rPr>
        <w:t>OBLIGACIÓN TRIBUTARIA</w:t>
      </w:r>
      <w:r w:rsidRPr="005D08AD">
        <w:rPr>
          <w:rFonts w:ascii="Times New Roman" w:hAnsi="Times New Roman" w:cs="Times New Roman"/>
          <w:sz w:val="28"/>
          <w:szCs w:val="28"/>
        </w:rPr>
        <w:t>-Clasificación</w:t>
      </w:r>
    </w:p>
    <w:p w:rsidR="00D94370" w:rsidRPr="005D08AD" w:rsidRDefault="00D94370">
      <w:pPr>
        <w:widowControl w:val="0"/>
        <w:autoSpaceDE w:val="0"/>
        <w:autoSpaceDN w:val="0"/>
        <w:adjustRightInd w:val="0"/>
        <w:spacing w:after="0" w:line="240" w:lineRule="auto"/>
        <w:jc w:val="both"/>
        <w:rPr>
          <w:rFonts w:ascii="Times New Roman" w:hAnsi="Times New Roman" w:cs="Times New Roman"/>
          <w:sz w:val="28"/>
          <w:szCs w:val="28"/>
        </w:rPr>
      </w:pPr>
    </w:p>
    <w:p w:rsidR="00D94370" w:rsidRPr="005D08AD" w:rsidRDefault="00A815BD">
      <w:pPr>
        <w:widowControl w:val="0"/>
        <w:autoSpaceDE w:val="0"/>
        <w:autoSpaceDN w:val="0"/>
        <w:adjustRightInd w:val="0"/>
        <w:spacing w:after="0" w:line="240" w:lineRule="auto"/>
        <w:jc w:val="both"/>
        <w:rPr>
          <w:rFonts w:ascii="Times New Roman" w:hAnsi="Times New Roman" w:cs="Times New Roman"/>
          <w:sz w:val="28"/>
          <w:szCs w:val="28"/>
        </w:rPr>
      </w:pPr>
      <w:r w:rsidRPr="005D08AD">
        <w:rPr>
          <w:rFonts w:ascii="Times New Roman" w:hAnsi="Times New Roman" w:cs="Times New Roman"/>
          <w:i/>
          <w:iCs/>
          <w:sz w:val="28"/>
          <w:szCs w:val="28"/>
        </w:rPr>
        <w:t>Las obligaciones tributarias sustanciales, es decir, las que tienen por objeto el pago del tributo cuando el sujeto cumple con los presupuestos fácticos y jurídicos previstos en la ley como hechos generadores y se fundamentan, principalmente en el artículo 95.9 de la Constitución. Por su parte, las obligaciones formales que apuntan a asegurar el cumplimiento de la obligación tributaria sustancial, entre otras, con el fin de evitar la evasión del pago.</w:t>
      </w:r>
    </w:p>
    <w:p w:rsidR="00D94370" w:rsidRPr="005D08AD" w:rsidRDefault="00D94370">
      <w:pPr>
        <w:widowControl w:val="0"/>
        <w:autoSpaceDE w:val="0"/>
        <w:autoSpaceDN w:val="0"/>
        <w:adjustRightInd w:val="0"/>
        <w:spacing w:after="0" w:line="240" w:lineRule="auto"/>
        <w:jc w:val="both"/>
        <w:rPr>
          <w:rFonts w:ascii="Times New Roman" w:hAnsi="Times New Roman" w:cs="Times New Roman"/>
          <w:sz w:val="28"/>
          <w:szCs w:val="28"/>
        </w:rPr>
      </w:pPr>
    </w:p>
    <w:p w:rsidR="00D94370" w:rsidRPr="005D08AD" w:rsidRDefault="00A815BD">
      <w:pPr>
        <w:widowControl w:val="0"/>
        <w:autoSpaceDE w:val="0"/>
        <w:autoSpaceDN w:val="0"/>
        <w:adjustRightInd w:val="0"/>
        <w:spacing w:after="0" w:line="240" w:lineRule="auto"/>
        <w:jc w:val="both"/>
        <w:rPr>
          <w:rFonts w:ascii="Times New Roman" w:hAnsi="Times New Roman" w:cs="Times New Roman"/>
          <w:sz w:val="28"/>
          <w:szCs w:val="28"/>
        </w:rPr>
      </w:pPr>
      <w:r w:rsidRPr="005D08AD">
        <w:rPr>
          <w:rFonts w:ascii="Times New Roman" w:hAnsi="Times New Roman" w:cs="Times New Roman"/>
          <w:b/>
          <w:bCs/>
          <w:sz w:val="28"/>
          <w:szCs w:val="28"/>
        </w:rPr>
        <w:t>OBLIGACIÓN TRIBUTARIA SUSTANCIAL</w:t>
      </w:r>
      <w:r w:rsidRPr="005D08AD">
        <w:rPr>
          <w:rFonts w:ascii="Times New Roman" w:hAnsi="Times New Roman" w:cs="Times New Roman"/>
          <w:sz w:val="28"/>
          <w:szCs w:val="28"/>
        </w:rPr>
        <w:t>-Características</w:t>
      </w:r>
    </w:p>
    <w:p w:rsidR="00D94370" w:rsidRPr="005D08AD" w:rsidRDefault="00D94370">
      <w:pPr>
        <w:widowControl w:val="0"/>
        <w:autoSpaceDE w:val="0"/>
        <w:autoSpaceDN w:val="0"/>
        <w:adjustRightInd w:val="0"/>
        <w:spacing w:after="0" w:line="240" w:lineRule="auto"/>
        <w:jc w:val="both"/>
        <w:rPr>
          <w:rFonts w:ascii="Times New Roman" w:hAnsi="Times New Roman" w:cs="Times New Roman"/>
          <w:sz w:val="28"/>
          <w:szCs w:val="28"/>
        </w:rPr>
      </w:pPr>
    </w:p>
    <w:p w:rsidR="00D94370" w:rsidRPr="005D08AD" w:rsidRDefault="00A815BD">
      <w:pPr>
        <w:widowControl w:val="0"/>
        <w:autoSpaceDE w:val="0"/>
        <w:autoSpaceDN w:val="0"/>
        <w:adjustRightInd w:val="0"/>
        <w:spacing w:after="0" w:line="240" w:lineRule="auto"/>
        <w:jc w:val="both"/>
        <w:rPr>
          <w:rFonts w:ascii="Times New Roman" w:hAnsi="Times New Roman" w:cs="Times New Roman"/>
          <w:sz w:val="28"/>
          <w:szCs w:val="28"/>
        </w:rPr>
      </w:pPr>
      <w:r w:rsidRPr="005D08AD">
        <w:rPr>
          <w:rFonts w:ascii="Times New Roman" w:hAnsi="Times New Roman" w:cs="Times New Roman"/>
          <w:i/>
          <w:iCs/>
          <w:sz w:val="28"/>
          <w:szCs w:val="28"/>
        </w:rPr>
        <w:t>En relación con las obligaciones sustanciales, es importante destacar que estas se componen por lo que se ha denominado como los elementos esenciales del tributo, a saber: (i) sujeto activo; (ii) sujeto pasivo; (iii) base gravable; (iv) tarifa y; (v) hecho generador.</w:t>
      </w:r>
    </w:p>
    <w:p w:rsidR="00D94370" w:rsidRPr="005D08AD" w:rsidRDefault="00D94370">
      <w:pPr>
        <w:widowControl w:val="0"/>
        <w:autoSpaceDE w:val="0"/>
        <w:autoSpaceDN w:val="0"/>
        <w:adjustRightInd w:val="0"/>
        <w:spacing w:after="0" w:line="240" w:lineRule="auto"/>
        <w:jc w:val="both"/>
        <w:rPr>
          <w:rFonts w:ascii="Times New Roman" w:hAnsi="Times New Roman" w:cs="Times New Roman"/>
          <w:sz w:val="28"/>
          <w:szCs w:val="28"/>
        </w:rPr>
      </w:pPr>
    </w:p>
    <w:p w:rsidR="00D94370" w:rsidRPr="005D08AD" w:rsidRDefault="00A815BD">
      <w:pPr>
        <w:widowControl w:val="0"/>
        <w:autoSpaceDE w:val="0"/>
        <w:autoSpaceDN w:val="0"/>
        <w:adjustRightInd w:val="0"/>
        <w:spacing w:after="0" w:line="240" w:lineRule="auto"/>
        <w:jc w:val="both"/>
        <w:rPr>
          <w:rFonts w:ascii="Times New Roman" w:hAnsi="Times New Roman" w:cs="Times New Roman"/>
          <w:sz w:val="28"/>
          <w:szCs w:val="28"/>
        </w:rPr>
      </w:pPr>
      <w:r w:rsidRPr="005D08AD">
        <w:rPr>
          <w:rFonts w:ascii="Times New Roman" w:hAnsi="Times New Roman" w:cs="Times New Roman"/>
          <w:b/>
          <w:bCs/>
          <w:sz w:val="28"/>
          <w:szCs w:val="28"/>
        </w:rPr>
        <w:t>OBLIGACIÓN TRIBUTARIA</w:t>
      </w:r>
      <w:r w:rsidRPr="005D08AD">
        <w:rPr>
          <w:rFonts w:ascii="Times New Roman" w:hAnsi="Times New Roman" w:cs="Times New Roman"/>
          <w:sz w:val="28"/>
          <w:szCs w:val="28"/>
        </w:rPr>
        <w:t>-Hecho generador</w:t>
      </w:r>
    </w:p>
    <w:p w:rsidR="00D94370" w:rsidRPr="005D08AD" w:rsidRDefault="00D94370">
      <w:pPr>
        <w:widowControl w:val="0"/>
        <w:autoSpaceDE w:val="0"/>
        <w:autoSpaceDN w:val="0"/>
        <w:adjustRightInd w:val="0"/>
        <w:spacing w:after="0" w:line="240" w:lineRule="auto"/>
        <w:jc w:val="both"/>
        <w:rPr>
          <w:rFonts w:ascii="Times New Roman" w:hAnsi="Times New Roman" w:cs="Times New Roman"/>
          <w:sz w:val="28"/>
          <w:szCs w:val="28"/>
        </w:rPr>
      </w:pPr>
    </w:p>
    <w:p w:rsidR="00D94370" w:rsidRPr="005D08AD" w:rsidRDefault="00A815BD">
      <w:pPr>
        <w:widowControl w:val="0"/>
        <w:autoSpaceDE w:val="0"/>
        <w:autoSpaceDN w:val="0"/>
        <w:adjustRightInd w:val="0"/>
        <w:spacing w:after="0" w:line="240" w:lineRule="auto"/>
        <w:jc w:val="both"/>
        <w:rPr>
          <w:rFonts w:ascii="Times New Roman" w:hAnsi="Times New Roman" w:cs="Times New Roman"/>
          <w:sz w:val="28"/>
          <w:szCs w:val="28"/>
        </w:rPr>
      </w:pPr>
      <w:r w:rsidRPr="005D08AD">
        <w:rPr>
          <w:rFonts w:ascii="Times New Roman" w:hAnsi="Times New Roman" w:cs="Times New Roman"/>
          <w:i/>
          <w:iCs/>
          <w:sz w:val="28"/>
          <w:szCs w:val="28"/>
        </w:rPr>
        <w:t>(...)  el hecho generador responde al supuesto fáctico previsto en abstracto por la ley cuya realización da nacimiento a la obligación tributaria sustancial y está conformado por dos elementos uno objetivo y otro subjetivo. La validez constitucional del tributo no depende de que cada uno de esos aspectos aparezca siempre formulado de manera expresa en la ley, sino que sea posible establecer las circunstancias objetivas que originan la obligación tributaria, sea a partir de su tenor literal y expreso o mediante las herramientas ordinarias de interpretación jurídica.</w:t>
      </w:r>
    </w:p>
    <w:p w:rsidR="00D94370" w:rsidRPr="005D08AD" w:rsidRDefault="00D94370">
      <w:pPr>
        <w:widowControl w:val="0"/>
        <w:autoSpaceDE w:val="0"/>
        <w:autoSpaceDN w:val="0"/>
        <w:adjustRightInd w:val="0"/>
        <w:spacing w:after="0" w:line="240" w:lineRule="auto"/>
        <w:jc w:val="both"/>
        <w:rPr>
          <w:rFonts w:ascii="Times New Roman" w:hAnsi="Times New Roman" w:cs="Times New Roman"/>
          <w:sz w:val="28"/>
          <w:szCs w:val="28"/>
        </w:rPr>
      </w:pPr>
    </w:p>
    <w:p w:rsidR="00D94370" w:rsidRPr="005D08AD" w:rsidRDefault="00A815BD">
      <w:pPr>
        <w:widowControl w:val="0"/>
        <w:autoSpaceDE w:val="0"/>
        <w:autoSpaceDN w:val="0"/>
        <w:adjustRightInd w:val="0"/>
        <w:spacing w:after="0" w:line="240" w:lineRule="auto"/>
        <w:jc w:val="both"/>
        <w:rPr>
          <w:rFonts w:ascii="Times New Roman" w:hAnsi="Times New Roman" w:cs="Times New Roman"/>
          <w:sz w:val="28"/>
          <w:szCs w:val="28"/>
        </w:rPr>
      </w:pPr>
      <w:r w:rsidRPr="005D08AD">
        <w:rPr>
          <w:rFonts w:ascii="Times New Roman" w:hAnsi="Times New Roman" w:cs="Times New Roman"/>
          <w:b/>
          <w:bCs/>
          <w:sz w:val="28"/>
          <w:szCs w:val="28"/>
        </w:rPr>
        <w:t>HECHO GENERADOR</w:t>
      </w:r>
      <w:r w:rsidRPr="005D08AD">
        <w:rPr>
          <w:rFonts w:ascii="Times New Roman" w:hAnsi="Times New Roman" w:cs="Times New Roman"/>
          <w:sz w:val="28"/>
          <w:szCs w:val="28"/>
        </w:rPr>
        <w:t>-Elemento objetivo</w:t>
      </w:r>
    </w:p>
    <w:p w:rsidR="00D94370" w:rsidRPr="005D08AD" w:rsidRDefault="00D94370">
      <w:pPr>
        <w:widowControl w:val="0"/>
        <w:autoSpaceDE w:val="0"/>
        <w:autoSpaceDN w:val="0"/>
        <w:adjustRightInd w:val="0"/>
        <w:spacing w:after="0" w:line="240" w:lineRule="auto"/>
        <w:jc w:val="both"/>
        <w:rPr>
          <w:rFonts w:ascii="Times New Roman" w:hAnsi="Times New Roman" w:cs="Times New Roman"/>
          <w:sz w:val="28"/>
          <w:szCs w:val="28"/>
        </w:rPr>
      </w:pPr>
    </w:p>
    <w:p w:rsidR="00D94370" w:rsidRPr="005D08AD" w:rsidRDefault="00A815BD">
      <w:pPr>
        <w:widowControl w:val="0"/>
        <w:autoSpaceDE w:val="0"/>
        <w:autoSpaceDN w:val="0"/>
        <w:adjustRightInd w:val="0"/>
        <w:spacing w:after="0" w:line="240" w:lineRule="auto"/>
        <w:jc w:val="both"/>
        <w:rPr>
          <w:rFonts w:ascii="Times New Roman" w:hAnsi="Times New Roman" w:cs="Times New Roman"/>
          <w:sz w:val="28"/>
          <w:szCs w:val="28"/>
        </w:rPr>
      </w:pPr>
      <w:r w:rsidRPr="005D08AD">
        <w:rPr>
          <w:rFonts w:ascii="Times New Roman" w:hAnsi="Times New Roman" w:cs="Times New Roman"/>
          <w:i/>
          <w:iCs/>
          <w:sz w:val="28"/>
          <w:szCs w:val="28"/>
        </w:rPr>
        <w:t xml:space="preserve">El elemento objetivo corresponde al hecho en sí mismo y se determina a partir de cuatro aspectos, a saber: el primero corresponde al aspecto material, que consiste en la descripción abstracta del hecho, el cual puede ser un acto, un negocio jurídico, un estado o una situación de una persona. El segundo es el aspecto espacial, que alude al vínculo entre un ámbito territorial específico y la ocurrencia del hecho gravable. El tercer aspecto es el temporal, que indica el momento en el que ocurre el hecho gravable y, por tanto, cuándo nace la obligación y cuándo resulta exigible. El cuarto es el aspecto cuantitativo, que corresponde a la magnitud del hecho generador. </w:t>
      </w:r>
    </w:p>
    <w:p w:rsidR="00D94370" w:rsidRPr="005D08AD" w:rsidRDefault="00D94370">
      <w:pPr>
        <w:widowControl w:val="0"/>
        <w:autoSpaceDE w:val="0"/>
        <w:autoSpaceDN w:val="0"/>
        <w:adjustRightInd w:val="0"/>
        <w:spacing w:after="0" w:line="240" w:lineRule="auto"/>
        <w:jc w:val="both"/>
        <w:rPr>
          <w:rFonts w:ascii="Times New Roman" w:hAnsi="Times New Roman" w:cs="Times New Roman"/>
          <w:sz w:val="28"/>
          <w:szCs w:val="28"/>
        </w:rPr>
      </w:pPr>
    </w:p>
    <w:p w:rsidR="00D94370" w:rsidRPr="005D08AD" w:rsidRDefault="00A815BD">
      <w:pPr>
        <w:widowControl w:val="0"/>
        <w:autoSpaceDE w:val="0"/>
        <w:autoSpaceDN w:val="0"/>
        <w:adjustRightInd w:val="0"/>
        <w:spacing w:after="0" w:line="240" w:lineRule="auto"/>
        <w:jc w:val="both"/>
        <w:rPr>
          <w:rFonts w:ascii="Times New Roman" w:hAnsi="Times New Roman" w:cs="Times New Roman"/>
          <w:sz w:val="28"/>
          <w:szCs w:val="28"/>
        </w:rPr>
      </w:pPr>
      <w:r w:rsidRPr="005D08AD">
        <w:rPr>
          <w:rFonts w:ascii="Times New Roman" w:hAnsi="Times New Roman" w:cs="Times New Roman"/>
          <w:b/>
          <w:bCs/>
          <w:sz w:val="28"/>
          <w:szCs w:val="28"/>
        </w:rPr>
        <w:t>MONOPOLIO ESTATAL SOBRE LAS ARMAS</w:t>
      </w:r>
      <w:r w:rsidRPr="005D08AD">
        <w:rPr>
          <w:rFonts w:ascii="Times New Roman" w:hAnsi="Times New Roman" w:cs="Times New Roman"/>
          <w:sz w:val="28"/>
          <w:szCs w:val="28"/>
        </w:rPr>
        <w:t xml:space="preserve">-Alcance </w:t>
      </w:r>
    </w:p>
    <w:p w:rsidR="00D94370" w:rsidRPr="005D08AD" w:rsidRDefault="00D94370">
      <w:pPr>
        <w:widowControl w:val="0"/>
        <w:autoSpaceDE w:val="0"/>
        <w:autoSpaceDN w:val="0"/>
        <w:adjustRightInd w:val="0"/>
        <w:spacing w:after="0" w:line="240" w:lineRule="auto"/>
        <w:jc w:val="both"/>
        <w:rPr>
          <w:rFonts w:ascii="Times New Roman" w:hAnsi="Times New Roman" w:cs="Times New Roman"/>
          <w:sz w:val="28"/>
          <w:szCs w:val="28"/>
        </w:rPr>
      </w:pPr>
    </w:p>
    <w:p w:rsidR="00D94370" w:rsidRPr="005D08AD" w:rsidRDefault="005D08AD">
      <w:pPr>
        <w:widowControl w:val="0"/>
        <w:autoSpaceDE w:val="0"/>
        <w:autoSpaceDN w:val="0"/>
        <w:adjustRightInd w:val="0"/>
        <w:spacing w:after="0" w:line="240" w:lineRule="auto"/>
        <w:jc w:val="both"/>
        <w:rPr>
          <w:rFonts w:ascii="Times New Roman" w:hAnsi="Times New Roman" w:cs="Times New Roman"/>
          <w:sz w:val="28"/>
        </w:rPr>
      </w:pPr>
      <w:r w:rsidRPr="005D08AD">
        <w:rPr>
          <w:rFonts w:ascii="Times New Roman" w:hAnsi="Times New Roman" w:cs="Times New Roman"/>
          <w:sz w:val="28"/>
          <w:szCs w:val="28"/>
        </w:rPr>
        <w:pict>
          <v:rect id="_x0000_i1025" style="width:0;height:1.5pt" o:hralign="center" o:hrstd="t" o:hr="t" fillcolor="#a0a0a0" stroked="f"/>
        </w:pict>
      </w:r>
    </w:p>
    <w:p w:rsidR="0013118C" w:rsidRPr="005D08AD" w:rsidRDefault="005D08AD" w:rsidP="001677DF">
      <w:pPr>
        <w:pStyle w:val="Encabezado"/>
        <w:tabs>
          <w:tab w:val="clear" w:pos="4419"/>
          <w:tab w:val="center" w:pos="0"/>
        </w:tabs>
        <w:contextualSpacing/>
        <w:mirrorIndents/>
        <w:jc w:val="center"/>
        <w:rPr>
          <w:rFonts w:ascii="Times New Roman" w:hAnsi="Times New Roman" w:cs="Times New Roman"/>
          <w:b/>
          <w:bCs/>
          <w:szCs w:val="28"/>
          <w:lang w:val="es-CO"/>
        </w:rPr>
      </w:pPr>
      <w:r w:rsidRPr="005D08AD">
        <w:rPr>
          <w:rFonts w:ascii="Times New Roman" w:hAnsi="Times New Roman" w:cs="Times New Roman"/>
          <w:b/>
          <w:bCs/>
          <w:szCs w:val="28"/>
          <w:lang w:val="es-CO"/>
        </w:rPr>
        <w:t>REPÚBLICA DE COLOMBIA</w:t>
      </w:r>
    </w:p>
    <w:p w:rsidR="0013118C" w:rsidRPr="005D08AD" w:rsidRDefault="005D08AD" w:rsidP="001677DF">
      <w:pPr>
        <w:pStyle w:val="Encabezado"/>
        <w:tabs>
          <w:tab w:val="clear" w:pos="4419"/>
          <w:tab w:val="center" w:pos="0"/>
        </w:tabs>
        <w:contextualSpacing/>
        <w:mirrorIndents/>
        <w:jc w:val="center"/>
        <w:rPr>
          <w:rFonts w:ascii="Times New Roman" w:hAnsi="Times New Roman" w:cs="Times New Roman"/>
          <w:b/>
          <w:bCs/>
          <w:szCs w:val="28"/>
          <w:lang w:val="es-CO"/>
        </w:rPr>
      </w:pPr>
      <w:r w:rsidRPr="005D08AD">
        <w:rPr>
          <w:rFonts w:ascii="Times New Roman" w:hAnsi="Times New Roman" w:cs="Times New Roman"/>
          <w:b/>
          <w:noProof/>
          <w:szCs w:val="28"/>
          <w:lang w:val="es-CO" w:eastAsia="es-CO"/>
        </w:rPr>
        <w:drawing>
          <wp:inline distT="0" distB="0" distL="0" distR="0" wp14:anchorId="5E5C2F01" wp14:editId="11842CC2">
            <wp:extent cx="790575" cy="790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p w:rsidR="0013118C" w:rsidRPr="005D08AD" w:rsidRDefault="005D08AD" w:rsidP="001677DF">
      <w:pPr>
        <w:pStyle w:val="Encabezado"/>
        <w:tabs>
          <w:tab w:val="clear" w:pos="4419"/>
          <w:tab w:val="center" w:pos="8789"/>
        </w:tabs>
        <w:contextualSpacing/>
        <w:mirrorIndents/>
        <w:jc w:val="center"/>
        <w:rPr>
          <w:rFonts w:ascii="Times New Roman" w:hAnsi="Times New Roman" w:cs="Times New Roman"/>
          <w:b/>
          <w:bCs/>
          <w:szCs w:val="28"/>
          <w:lang w:val="pt-PT"/>
        </w:rPr>
      </w:pPr>
      <w:r w:rsidRPr="005D08AD">
        <w:rPr>
          <w:rFonts w:ascii="Times New Roman" w:hAnsi="Times New Roman" w:cs="Times New Roman"/>
          <w:b/>
          <w:bCs/>
          <w:szCs w:val="28"/>
          <w:lang w:val="pt-PT"/>
        </w:rPr>
        <w:t>CORTE CONSTITUCIONAL</w:t>
      </w:r>
    </w:p>
    <w:p w:rsidR="0013118C" w:rsidRPr="005D08AD" w:rsidRDefault="005D08AD" w:rsidP="001677DF">
      <w:pPr>
        <w:pStyle w:val="Encabezado"/>
        <w:tabs>
          <w:tab w:val="clear" w:pos="4419"/>
        </w:tabs>
        <w:contextualSpacing/>
        <w:mirrorIndents/>
        <w:jc w:val="center"/>
        <w:rPr>
          <w:rFonts w:ascii="Times New Roman" w:hAnsi="Times New Roman" w:cs="Times New Roman"/>
          <w:b/>
          <w:bCs/>
          <w:szCs w:val="28"/>
          <w:lang w:val="pt-PT"/>
        </w:rPr>
      </w:pPr>
      <w:r w:rsidRPr="005D08AD">
        <w:rPr>
          <w:rFonts w:ascii="Times New Roman" w:hAnsi="Times New Roman" w:cs="Times New Roman"/>
          <w:b/>
          <w:bCs/>
          <w:szCs w:val="28"/>
          <w:lang w:val="pt-PT"/>
        </w:rPr>
        <w:t>-Sala Plena-</w:t>
      </w:r>
    </w:p>
    <w:p w:rsidR="0013118C" w:rsidRPr="005D08AD" w:rsidRDefault="005D08AD" w:rsidP="001677DF">
      <w:pPr>
        <w:contextualSpacing/>
        <w:mirrorIndents/>
        <w:jc w:val="center"/>
        <w:rPr>
          <w:rFonts w:ascii="Times New Roman" w:hAnsi="Times New Roman" w:cs="Times New Roman"/>
          <w:b/>
          <w:sz w:val="28"/>
          <w:szCs w:val="28"/>
          <w:lang w:val="pt-PT"/>
        </w:rPr>
      </w:pPr>
    </w:p>
    <w:p w:rsidR="0013118C" w:rsidRPr="005D08AD" w:rsidRDefault="005D08AD" w:rsidP="001677DF">
      <w:pPr>
        <w:contextualSpacing/>
        <w:mirrorIndents/>
        <w:jc w:val="center"/>
        <w:rPr>
          <w:rFonts w:ascii="Times New Roman" w:hAnsi="Times New Roman" w:cs="Times New Roman"/>
          <w:b/>
          <w:sz w:val="28"/>
          <w:szCs w:val="28"/>
          <w:lang w:val="pt-PT"/>
        </w:rPr>
      </w:pPr>
      <w:r w:rsidRPr="005D08AD">
        <w:rPr>
          <w:rFonts w:ascii="Times New Roman" w:hAnsi="Times New Roman" w:cs="Times New Roman"/>
          <w:b/>
          <w:sz w:val="28"/>
          <w:szCs w:val="28"/>
          <w:lang w:val="pt-PT"/>
        </w:rPr>
        <w:t xml:space="preserve">SENTENCIA </w:t>
      </w:r>
      <w:r w:rsidRPr="005D08AD">
        <w:rPr>
          <w:rFonts w:ascii="Times New Roman" w:hAnsi="Times New Roman" w:cs="Times New Roman"/>
          <w:b/>
          <w:sz w:val="28"/>
          <w:szCs w:val="28"/>
          <w:lang w:val="pt-PT"/>
        </w:rPr>
        <w:t>C-</w:t>
      </w:r>
      <w:r w:rsidRPr="005D08AD">
        <w:rPr>
          <w:rFonts w:ascii="Times New Roman" w:hAnsi="Times New Roman" w:cs="Times New Roman"/>
          <w:b/>
          <w:sz w:val="28"/>
          <w:szCs w:val="28"/>
          <w:lang w:val="pt-PT"/>
        </w:rPr>
        <w:t xml:space="preserve">097 </w:t>
      </w:r>
      <w:r w:rsidRPr="005D08AD">
        <w:rPr>
          <w:rFonts w:ascii="Times New Roman" w:hAnsi="Times New Roman" w:cs="Times New Roman"/>
          <w:b/>
          <w:sz w:val="28"/>
          <w:szCs w:val="28"/>
          <w:lang w:val="pt-PT"/>
        </w:rPr>
        <w:t>DE 202</w:t>
      </w:r>
      <w:r w:rsidRPr="005D08AD">
        <w:rPr>
          <w:rFonts w:ascii="Times New Roman" w:hAnsi="Times New Roman" w:cs="Times New Roman"/>
          <w:b/>
          <w:sz w:val="28"/>
          <w:szCs w:val="28"/>
          <w:lang w:val="pt-PT"/>
        </w:rPr>
        <w:t>6</w:t>
      </w:r>
    </w:p>
    <w:p w:rsidR="0013118C" w:rsidRPr="005D08AD" w:rsidRDefault="005D08AD" w:rsidP="001677DF">
      <w:pPr>
        <w:contextualSpacing/>
        <w:mirrorIndents/>
        <w:jc w:val="both"/>
        <w:rPr>
          <w:rFonts w:ascii="Times New Roman" w:hAnsi="Times New Roman" w:cs="Times New Roman"/>
          <w:b/>
          <w:sz w:val="28"/>
          <w:szCs w:val="28"/>
          <w:lang w:val="pt-PT"/>
        </w:rPr>
      </w:pPr>
    </w:p>
    <w:p w:rsidR="0013118C" w:rsidRPr="005D08AD" w:rsidRDefault="005D08AD" w:rsidP="00EF3501">
      <w:pPr>
        <w:ind w:left="3540"/>
        <w:contextualSpacing/>
        <w:mirrorIndents/>
        <w:jc w:val="both"/>
        <w:rPr>
          <w:rFonts w:ascii="Times New Roman" w:hAnsi="Times New Roman" w:cs="Times New Roman"/>
          <w:sz w:val="28"/>
          <w:szCs w:val="28"/>
        </w:rPr>
      </w:pPr>
      <w:r w:rsidRPr="005D08AD">
        <w:rPr>
          <w:rFonts w:ascii="Times New Roman" w:hAnsi="Times New Roman" w:cs="Times New Roman"/>
          <w:b/>
          <w:sz w:val="28"/>
          <w:szCs w:val="28"/>
        </w:rPr>
        <w:t xml:space="preserve">Referencia: </w:t>
      </w:r>
      <w:r w:rsidRPr="005D08AD">
        <w:rPr>
          <w:rFonts w:ascii="Times New Roman" w:hAnsi="Times New Roman" w:cs="Times New Roman"/>
          <w:bCs/>
          <w:sz w:val="28"/>
          <w:szCs w:val="28"/>
        </w:rPr>
        <w:t>Expediente D-16929</w:t>
      </w:r>
    </w:p>
    <w:p w:rsidR="0013118C" w:rsidRPr="005D08AD" w:rsidRDefault="005D08AD" w:rsidP="00EF3501">
      <w:pPr>
        <w:ind w:left="3540"/>
        <w:contextualSpacing/>
        <w:mirrorIndents/>
        <w:jc w:val="both"/>
        <w:rPr>
          <w:rFonts w:ascii="Times New Roman" w:hAnsi="Times New Roman" w:cs="Times New Roman"/>
          <w:sz w:val="28"/>
          <w:szCs w:val="28"/>
        </w:rPr>
      </w:pPr>
    </w:p>
    <w:p w:rsidR="004608D4" w:rsidRPr="005D08AD" w:rsidRDefault="005D08AD" w:rsidP="00EF3501">
      <w:pPr>
        <w:ind w:left="3540"/>
        <w:contextualSpacing/>
        <w:mirrorIndents/>
        <w:jc w:val="both"/>
        <w:rPr>
          <w:rFonts w:ascii="Times New Roman" w:hAnsi="Times New Roman" w:cs="Times New Roman"/>
          <w:bCs/>
          <w:sz w:val="28"/>
          <w:szCs w:val="28"/>
        </w:rPr>
      </w:pPr>
      <w:r w:rsidRPr="005D08AD">
        <w:rPr>
          <w:rFonts w:ascii="Times New Roman" w:hAnsi="Times New Roman" w:cs="Times New Roman"/>
          <w:b/>
          <w:sz w:val="28"/>
          <w:szCs w:val="28"/>
        </w:rPr>
        <w:t xml:space="preserve">Asunto: </w:t>
      </w:r>
      <w:r w:rsidRPr="005D08AD">
        <w:rPr>
          <w:rFonts w:ascii="Times New Roman" w:hAnsi="Times New Roman" w:cs="Times New Roman"/>
          <w:color w:val="000000" w:themeColor="text1"/>
          <w:sz w:val="28"/>
          <w:szCs w:val="28"/>
        </w:rPr>
        <w:t xml:space="preserve">Demanda </w:t>
      </w:r>
      <w:bookmarkStart w:id="1" w:name="_Hlk117676866"/>
      <w:r w:rsidRPr="005D08AD">
        <w:rPr>
          <w:rFonts w:ascii="Times New Roman" w:hAnsi="Times New Roman" w:cs="Times New Roman"/>
          <w:color w:val="000000" w:themeColor="text1"/>
          <w:sz w:val="28"/>
          <w:szCs w:val="28"/>
        </w:rPr>
        <w:t xml:space="preserve">de inconstitucionalidad </w:t>
      </w:r>
      <w:r w:rsidRPr="005D08AD">
        <w:rPr>
          <w:rFonts w:ascii="Times New Roman" w:hAnsi="Times New Roman" w:cs="Times New Roman"/>
          <w:color w:val="000000" w:themeColor="text1"/>
          <w:kern w:val="1"/>
          <w:sz w:val="28"/>
          <w:szCs w:val="28"/>
        </w:rPr>
        <w:t xml:space="preserve">contra </w:t>
      </w:r>
      <w:bookmarkEnd w:id="1"/>
      <w:r w:rsidRPr="005D08AD">
        <w:rPr>
          <w:rFonts w:ascii="Times New Roman" w:hAnsi="Times New Roman" w:cs="Times New Roman"/>
          <w:color w:val="000000" w:themeColor="text1"/>
          <w:sz w:val="28"/>
          <w:szCs w:val="28"/>
        </w:rPr>
        <w:t xml:space="preserve">el artículo 48 </w:t>
      </w:r>
      <w:r w:rsidRPr="005D08AD">
        <w:rPr>
          <w:rFonts w:ascii="Times New Roman" w:hAnsi="Times New Roman" w:cs="Times New Roman"/>
          <w:color w:val="000000" w:themeColor="text1"/>
          <w:sz w:val="28"/>
          <w:szCs w:val="28"/>
        </w:rPr>
        <w:t>(parcial) de la Ley 1438 de 2011</w:t>
      </w:r>
      <w:r w:rsidRPr="005D08AD">
        <w:rPr>
          <w:rStyle w:val="Refdenotaalpie"/>
          <w:rFonts w:ascii="Times New Roman" w:hAnsi="Times New Roman"/>
          <w:color w:val="000000" w:themeColor="text1"/>
          <w:sz w:val="28"/>
          <w:szCs w:val="28"/>
        </w:rPr>
        <w:footnoteReference w:id="1"/>
      </w:r>
      <w:r w:rsidRPr="005D08AD">
        <w:rPr>
          <w:rFonts w:ascii="Times New Roman" w:hAnsi="Times New Roman" w:cs="Times New Roman"/>
          <w:color w:val="000000" w:themeColor="text1"/>
          <w:sz w:val="28"/>
          <w:szCs w:val="28"/>
        </w:rPr>
        <w:t xml:space="preserve"> </w:t>
      </w:r>
    </w:p>
    <w:p w:rsidR="004608D4" w:rsidRPr="005D08AD" w:rsidRDefault="005D08AD" w:rsidP="00EF3501">
      <w:pPr>
        <w:ind w:left="3540"/>
        <w:contextualSpacing/>
        <w:mirrorIndents/>
        <w:jc w:val="both"/>
        <w:rPr>
          <w:rFonts w:ascii="Times New Roman" w:hAnsi="Times New Roman" w:cs="Times New Roman"/>
          <w:b/>
          <w:sz w:val="28"/>
          <w:szCs w:val="28"/>
          <w:lang w:val="pt-PT"/>
        </w:rPr>
      </w:pPr>
    </w:p>
    <w:p w:rsidR="0059481F" w:rsidRPr="005D08AD" w:rsidRDefault="005D08AD" w:rsidP="00EF3501">
      <w:pPr>
        <w:ind w:left="3540"/>
        <w:contextualSpacing/>
        <w:mirrorIndents/>
        <w:jc w:val="both"/>
        <w:rPr>
          <w:rFonts w:ascii="Times New Roman" w:hAnsi="Times New Roman" w:cs="Times New Roman"/>
          <w:color w:val="000000" w:themeColor="text1"/>
          <w:sz w:val="28"/>
          <w:szCs w:val="28"/>
        </w:rPr>
      </w:pPr>
      <w:r w:rsidRPr="005D08AD">
        <w:rPr>
          <w:rFonts w:ascii="Times New Roman" w:hAnsi="Times New Roman" w:cs="Times New Roman"/>
          <w:b/>
          <w:sz w:val="28"/>
          <w:szCs w:val="28"/>
          <w:lang w:val="pt-PT"/>
        </w:rPr>
        <w:t>Demandante</w:t>
      </w:r>
      <w:r w:rsidRPr="005D08AD">
        <w:rPr>
          <w:rFonts w:ascii="Times New Roman" w:hAnsi="Times New Roman" w:cs="Times New Roman"/>
          <w:b/>
          <w:sz w:val="28"/>
          <w:szCs w:val="28"/>
          <w:lang w:val="pt-PT"/>
        </w:rPr>
        <w:t>s</w:t>
      </w:r>
      <w:r w:rsidRPr="005D08AD">
        <w:rPr>
          <w:rFonts w:ascii="Times New Roman" w:hAnsi="Times New Roman" w:cs="Times New Roman"/>
          <w:b/>
          <w:sz w:val="28"/>
          <w:szCs w:val="28"/>
          <w:lang w:val="pt-PT"/>
        </w:rPr>
        <w:t xml:space="preserve">: </w:t>
      </w:r>
      <w:bookmarkStart w:id="2" w:name="_Hlk210040423"/>
      <w:r w:rsidRPr="005D08AD">
        <w:rPr>
          <w:rFonts w:ascii="Times New Roman" w:hAnsi="Times New Roman" w:cs="Times New Roman"/>
          <w:color w:val="000000" w:themeColor="text1"/>
          <w:sz w:val="28"/>
          <w:szCs w:val="28"/>
        </w:rPr>
        <w:t xml:space="preserve">Juan Israel Casallas Romero y </w:t>
      </w:r>
    </w:p>
    <w:p w:rsidR="004608D4" w:rsidRPr="005D08AD" w:rsidRDefault="005D08AD" w:rsidP="00EF3501">
      <w:pPr>
        <w:ind w:left="3540"/>
        <w:contextualSpacing/>
        <w:mirrorIndents/>
        <w:jc w:val="both"/>
        <w:rPr>
          <w:rFonts w:ascii="Times New Roman" w:hAnsi="Times New Roman" w:cs="Times New Roman"/>
          <w:bCs/>
          <w:sz w:val="28"/>
          <w:szCs w:val="28"/>
        </w:rPr>
      </w:pPr>
      <w:r w:rsidRPr="005D08AD">
        <w:rPr>
          <w:rFonts w:ascii="Times New Roman" w:hAnsi="Times New Roman" w:cs="Times New Roman"/>
          <w:color w:val="000000" w:themeColor="text1"/>
          <w:sz w:val="28"/>
          <w:szCs w:val="28"/>
        </w:rPr>
        <w:t>José Fernando Rengifo Contreras</w:t>
      </w:r>
    </w:p>
    <w:bookmarkEnd w:id="2"/>
    <w:p w:rsidR="0013118C" w:rsidRPr="005D08AD" w:rsidRDefault="005D08AD" w:rsidP="00EF3501">
      <w:pPr>
        <w:ind w:left="3540"/>
        <w:contextualSpacing/>
        <w:mirrorIndents/>
        <w:jc w:val="both"/>
        <w:rPr>
          <w:rFonts w:ascii="Times New Roman" w:hAnsi="Times New Roman" w:cs="Times New Roman"/>
          <w:sz w:val="28"/>
          <w:szCs w:val="28"/>
          <w:lang w:val="pt-PT"/>
        </w:rPr>
      </w:pPr>
    </w:p>
    <w:p w:rsidR="00860108" w:rsidRPr="005D08AD" w:rsidRDefault="005D08AD" w:rsidP="00EF3501">
      <w:pPr>
        <w:ind w:left="3540"/>
        <w:contextualSpacing/>
        <w:mirrorIndents/>
        <w:jc w:val="both"/>
        <w:rPr>
          <w:rFonts w:ascii="Times New Roman" w:hAnsi="Times New Roman" w:cs="Times New Roman"/>
          <w:bCs/>
          <w:sz w:val="28"/>
          <w:szCs w:val="28"/>
          <w:lang w:val="pt-PT"/>
        </w:rPr>
      </w:pPr>
      <w:r w:rsidRPr="005D08AD">
        <w:rPr>
          <w:rFonts w:ascii="Times New Roman" w:hAnsi="Times New Roman" w:cs="Times New Roman"/>
          <w:b/>
          <w:sz w:val="28"/>
          <w:szCs w:val="28"/>
          <w:lang w:val="pt-PT"/>
        </w:rPr>
        <w:t>Magistrado ponente:</w:t>
      </w:r>
      <w:r w:rsidRPr="005D08AD">
        <w:rPr>
          <w:rFonts w:ascii="Times New Roman" w:hAnsi="Times New Roman" w:cs="Times New Roman"/>
          <w:b/>
          <w:sz w:val="28"/>
          <w:szCs w:val="28"/>
          <w:lang w:val="pt-PT"/>
        </w:rPr>
        <w:t xml:space="preserve"> </w:t>
      </w:r>
      <w:r w:rsidRPr="005D08AD">
        <w:rPr>
          <w:rFonts w:ascii="Times New Roman" w:hAnsi="Times New Roman" w:cs="Times New Roman"/>
          <w:bCs/>
          <w:sz w:val="28"/>
          <w:szCs w:val="28"/>
          <w:lang w:val="pt-PT"/>
        </w:rPr>
        <w:t>V</w:t>
      </w:r>
      <w:r w:rsidRPr="005D08AD">
        <w:rPr>
          <w:rFonts w:ascii="Times New Roman" w:hAnsi="Times New Roman" w:cs="Times New Roman"/>
          <w:bCs/>
          <w:sz w:val="28"/>
          <w:szCs w:val="28"/>
          <w:lang w:val="pt-PT"/>
        </w:rPr>
        <w:t>ladimir</w:t>
      </w:r>
      <w:r w:rsidRPr="005D08AD">
        <w:rPr>
          <w:rFonts w:ascii="Times New Roman" w:hAnsi="Times New Roman" w:cs="Times New Roman"/>
          <w:bCs/>
          <w:sz w:val="28"/>
          <w:szCs w:val="28"/>
          <w:lang w:val="pt-PT"/>
        </w:rPr>
        <w:t xml:space="preserve"> </w:t>
      </w:r>
      <w:r w:rsidRPr="005D08AD">
        <w:rPr>
          <w:rFonts w:ascii="Times New Roman" w:hAnsi="Times New Roman" w:cs="Times New Roman"/>
          <w:bCs/>
          <w:sz w:val="28"/>
          <w:szCs w:val="28"/>
          <w:lang w:val="pt-PT"/>
        </w:rPr>
        <w:t>F</w:t>
      </w:r>
      <w:r w:rsidRPr="005D08AD">
        <w:rPr>
          <w:rFonts w:ascii="Times New Roman" w:hAnsi="Times New Roman" w:cs="Times New Roman"/>
          <w:bCs/>
          <w:sz w:val="28"/>
          <w:szCs w:val="28"/>
          <w:lang w:val="pt-PT"/>
        </w:rPr>
        <w:t>ernández</w:t>
      </w:r>
      <w:r w:rsidRPr="005D08AD">
        <w:rPr>
          <w:rFonts w:ascii="Times New Roman" w:hAnsi="Times New Roman" w:cs="Times New Roman"/>
          <w:bCs/>
          <w:sz w:val="28"/>
          <w:szCs w:val="28"/>
          <w:lang w:val="pt-PT"/>
        </w:rPr>
        <w:t xml:space="preserve"> A</w:t>
      </w:r>
      <w:r w:rsidRPr="005D08AD">
        <w:rPr>
          <w:rFonts w:ascii="Times New Roman" w:hAnsi="Times New Roman" w:cs="Times New Roman"/>
          <w:bCs/>
          <w:sz w:val="28"/>
          <w:szCs w:val="28"/>
          <w:lang w:val="pt-PT"/>
        </w:rPr>
        <w:t>ndrade</w:t>
      </w:r>
    </w:p>
    <w:p w:rsidR="00927ACF" w:rsidRPr="005D08AD" w:rsidRDefault="005D08AD" w:rsidP="001677DF">
      <w:pPr>
        <w:contextualSpacing/>
        <w:mirrorIndents/>
        <w:jc w:val="both"/>
        <w:rPr>
          <w:rFonts w:ascii="Times New Roman" w:hAnsi="Times New Roman" w:cs="Times New Roman"/>
          <w:sz w:val="28"/>
          <w:szCs w:val="28"/>
        </w:rPr>
      </w:pPr>
    </w:p>
    <w:p w:rsidR="00927ACF" w:rsidRPr="005D08AD" w:rsidRDefault="005D08AD" w:rsidP="005F72BB">
      <w:pPr>
        <w:contextualSpacing/>
        <w:mirrorIndents/>
        <w:jc w:val="both"/>
        <w:rPr>
          <w:rFonts w:ascii="Times New Roman" w:hAnsi="Times New Roman" w:cs="Times New Roman"/>
          <w:sz w:val="28"/>
          <w:szCs w:val="28"/>
        </w:rPr>
      </w:pPr>
      <w:r w:rsidRPr="005D08AD">
        <w:rPr>
          <w:rFonts w:ascii="Times New Roman" w:hAnsi="Times New Roman" w:cs="Times New Roman"/>
          <w:sz w:val="28"/>
          <w:szCs w:val="28"/>
        </w:rPr>
        <w:t xml:space="preserve">Bogotá, D. C., </w:t>
      </w:r>
      <w:r w:rsidRPr="005D08AD">
        <w:rPr>
          <w:rFonts w:ascii="Times New Roman" w:hAnsi="Times New Roman" w:cs="Times New Roman"/>
          <w:sz w:val="28"/>
          <w:szCs w:val="28"/>
        </w:rPr>
        <w:t>veintidós</w:t>
      </w:r>
      <w:r w:rsidRPr="005D08AD">
        <w:rPr>
          <w:rFonts w:ascii="Times New Roman" w:hAnsi="Times New Roman" w:cs="Times New Roman"/>
          <w:sz w:val="28"/>
          <w:szCs w:val="28"/>
        </w:rPr>
        <w:t xml:space="preserve"> (</w:t>
      </w:r>
      <w:r w:rsidRPr="005D08AD">
        <w:rPr>
          <w:rFonts w:ascii="Times New Roman" w:hAnsi="Times New Roman" w:cs="Times New Roman"/>
          <w:sz w:val="28"/>
          <w:szCs w:val="28"/>
        </w:rPr>
        <w:t>22</w:t>
      </w:r>
      <w:r w:rsidRPr="005D08AD">
        <w:rPr>
          <w:rFonts w:ascii="Times New Roman" w:hAnsi="Times New Roman" w:cs="Times New Roman"/>
          <w:sz w:val="28"/>
          <w:szCs w:val="28"/>
        </w:rPr>
        <w:t xml:space="preserve">) de </w:t>
      </w:r>
      <w:r w:rsidRPr="005D08AD">
        <w:rPr>
          <w:rFonts w:ascii="Times New Roman" w:hAnsi="Times New Roman" w:cs="Times New Roman"/>
          <w:sz w:val="28"/>
          <w:szCs w:val="28"/>
        </w:rPr>
        <w:t>abril</w:t>
      </w:r>
      <w:r w:rsidRPr="005D08AD">
        <w:rPr>
          <w:rFonts w:ascii="Times New Roman" w:hAnsi="Times New Roman" w:cs="Times New Roman"/>
          <w:sz w:val="28"/>
          <w:szCs w:val="28"/>
        </w:rPr>
        <w:t xml:space="preserve"> de dos mil veintiséis (2026)</w:t>
      </w:r>
    </w:p>
    <w:p w:rsidR="00927ACF" w:rsidRPr="005D08AD" w:rsidRDefault="005D08AD" w:rsidP="005F72BB">
      <w:pPr>
        <w:contextualSpacing/>
        <w:mirrorIndents/>
        <w:jc w:val="both"/>
        <w:rPr>
          <w:rFonts w:ascii="Times New Roman" w:hAnsi="Times New Roman" w:cs="Times New Roman"/>
          <w:sz w:val="28"/>
          <w:szCs w:val="28"/>
        </w:rPr>
      </w:pPr>
    </w:p>
    <w:p w:rsidR="00927ACF" w:rsidRPr="005D08AD" w:rsidRDefault="005D08AD" w:rsidP="005F72BB">
      <w:pPr>
        <w:contextualSpacing/>
        <w:mirrorIndents/>
        <w:jc w:val="both"/>
        <w:rPr>
          <w:rFonts w:ascii="Times New Roman" w:hAnsi="Times New Roman" w:cs="Times New Roman"/>
          <w:sz w:val="28"/>
          <w:szCs w:val="28"/>
          <w:shd w:val="clear" w:color="auto" w:fill="FFFFFF"/>
        </w:rPr>
      </w:pPr>
      <w:r w:rsidRPr="005D08AD">
        <w:rPr>
          <w:rFonts w:ascii="Times New Roman" w:hAnsi="Times New Roman" w:cs="Times New Roman"/>
          <w:sz w:val="28"/>
          <w:szCs w:val="28"/>
          <w:shd w:val="clear" w:color="auto" w:fill="FFFFFF"/>
        </w:rPr>
        <w:t xml:space="preserve">La Sala Plena de la Corte </w:t>
      </w:r>
      <w:r w:rsidRPr="005D08AD">
        <w:rPr>
          <w:rFonts w:ascii="Times New Roman" w:hAnsi="Times New Roman" w:cs="Times New Roman"/>
          <w:sz w:val="28"/>
          <w:szCs w:val="28"/>
          <w:shd w:val="clear" w:color="auto" w:fill="FFFFFF"/>
        </w:rPr>
        <w:t>Constitucional en ejercicio de sus competencias constitucionales y, en cumplimiento de los requisitos y trámites establecidos en el Decreto Ley 2067 de 1991, profiere la siguiente</w:t>
      </w:r>
    </w:p>
    <w:p w:rsidR="0013118C" w:rsidRPr="005D08AD" w:rsidRDefault="005D08AD" w:rsidP="005F72BB">
      <w:pPr>
        <w:contextualSpacing/>
        <w:mirrorIndents/>
        <w:jc w:val="both"/>
        <w:rPr>
          <w:rFonts w:ascii="Times New Roman" w:hAnsi="Times New Roman" w:cs="Times New Roman"/>
          <w:sz w:val="28"/>
          <w:szCs w:val="28"/>
          <w:shd w:val="clear" w:color="auto" w:fill="FFFFFF"/>
        </w:rPr>
      </w:pPr>
    </w:p>
    <w:p w:rsidR="0013118C" w:rsidRPr="005D08AD" w:rsidRDefault="005D08AD" w:rsidP="005F72BB">
      <w:pPr>
        <w:contextualSpacing/>
        <w:mirrorIndents/>
        <w:jc w:val="center"/>
        <w:rPr>
          <w:rFonts w:ascii="Times New Roman" w:hAnsi="Times New Roman" w:cs="Times New Roman"/>
          <w:b/>
          <w:sz w:val="28"/>
          <w:szCs w:val="28"/>
        </w:rPr>
      </w:pPr>
      <w:r w:rsidRPr="005D08AD">
        <w:rPr>
          <w:rFonts w:ascii="Times New Roman" w:hAnsi="Times New Roman" w:cs="Times New Roman"/>
          <w:b/>
          <w:sz w:val="28"/>
          <w:szCs w:val="28"/>
        </w:rPr>
        <w:t>SENTENCIA</w:t>
      </w:r>
    </w:p>
    <w:p w:rsidR="00927ACF" w:rsidRPr="005D08AD" w:rsidRDefault="005D08AD" w:rsidP="005F72BB">
      <w:pPr>
        <w:contextualSpacing/>
        <w:mirrorIndents/>
        <w:jc w:val="center"/>
        <w:rPr>
          <w:rFonts w:ascii="Times New Roman" w:hAnsi="Times New Roman" w:cs="Times New Roman"/>
          <w:b/>
          <w:sz w:val="28"/>
          <w:szCs w:val="28"/>
        </w:rPr>
      </w:pPr>
    </w:p>
    <w:p w:rsidR="00927ACF" w:rsidRPr="005D08AD" w:rsidRDefault="005D08AD" w:rsidP="005F72BB">
      <w:pPr>
        <w:pStyle w:val="Prrafodelista"/>
        <w:tabs>
          <w:tab w:val="left" w:pos="284"/>
        </w:tabs>
        <w:spacing w:after="0" w:line="240" w:lineRule="auto"/>
        <w:ind w:left="0"/>
        <w:mirrorIndents/>
        <w:jc w:val="both"/>
        <w:outlineLvl w:val="0"/>
        <w:rPr>
          <w:rFonts w:ascii="Times New Roman" w:hAnsi="Times New Roman" w:cs="Times New Roman"/>
          <w:bCs/>
          <w:szCs w:val="28"/>
          <w:lang w:val="es-CO"/>
        </w:rPr>
      </w:pPr>
      <w:r w:rsidRPr="005D08AD">
        <w:rPr>
          <w:rFonts w:ascii="Times New Roman" w:hAnsi="Times New Roman" w:cs="Times New Roman"/>
          <w:b/>
          <w:szCs w:val="28"/>
        </w:rPr>
        <w:t>Síntesis de la decisión</w:t>
      </w:r>
      <w:r w:rsidRPr="005D08AD">
        <w:rPr>
          <w:rFonts w:ascii="Times New Roman" w:hAnsi="Times New Roman" w:cs="Times New Roman"/>
          <w:bCs/>
          <w:szCs w:val="28"/>
          <w:lang w:val="es-CO"/>
        </w:rPr>
        <w:t xml:space="preserve"> </w:t>
      </w:r>
    </w:p>
    <w:p w:rsidR="00927ACF" w:rsidRPr="005D08AD" w:rsidRDefault="005D08AD" w:rsidP="005F72BB">
      <w:pPr>
        <w:pStyle w:val="Prrafodelista"/>
        <w:tabs>
          <w:tab w:val="left" w:pos="284"/>
        </w:tabs>
        <w:spacing w:after="0" w:line="240" w:lineRule="auto"/>
        <w:ind w:left="0"/>
        <w:mirrorIndents/>
        <w:jc w:val="both"/>
        <w:rPr>
          <w:rFonts w:ascii="Times New Roman" w:hAnsi="Times New Roman" w:cs="Times New Roman"/>
          <w:bCs/>
          <w:szCs w:val="28"/>
          <w:lang w:val="es-CO"/>
        </w:rPr>
      </w:pPr>
    </w:p>
    <w:p w:rsidR="005F72BB" w:rsidRPr="005D08AD" w:rsidRDefault="005D08AD" w:rsidP="005F72BB">
      <w:pPr>
        <w:tabs>
          <w:tab w:val="left" w:pos="567"/>
        </w:tabs>
        <w:contextualSpacing/>
        <w:mirrorIndents/>
        <w:jc w:val="both"/>
        <w:rPr>
          <w:rFonts w:ascii="Times New Roman" w:hAnsi="Times New Roman" w:cs="Times New Roman"/>
          <w:bCs/>
          <w:sz w:val="28"/>
          <w:szCs w:val="28"/>
          <w:lang w:eastAsia="en-US"/>
        </w:rPr>
      </w:pPr>
      <w:r w:rsidRPr="005D08AD">
        <w:rPr>
          <w:rFonts w:ascii="Times New Roman" w:hAnsi="Times New Roman" w:cs="Times New Roman"/>
          <w:sz w:val="28"/>
        </w:rPr>
        <w:t xml:space="preserve">La Sala Plena estudió una demanda contra el impuesto social </w:t>
      </w:r>
      <w:r w:rsidRPr="005D08AD">
        <w:rPr>
          <w:rFonts w:ascii="Times New Roman" w:hAnsi="Times New Roman" w:cs="Times New Roman"/>
          <w:bCs/>
          <w:sz w:val="28"/>
          <w:szCs w:val="28"/>
          <w:lang w:eastAsia="en-US"/>
        </w:rPr>
        <w:t>a las</w:t>
      </w:r>
      <w:r w:rsidRPr="005D08AD">
        <w:rPr>
          <w:rFonts w:ascii="Times New Roman" w:hAnsi="Times New Roman" w:cs="Times New Roman"/>
          <w:sz w:val="28"/>
        </w:rPr>
        <w:t xml:space="preserve"> municiones y explosivos</w:t>
      </w:r>
      <w:r w:rsidRPr="005D08AD">
        <w:rPr>
          <w:rFonts w:ascii="Times New Roman" w:hAnsi="Times New Roman" w:cs="Times New Roman"/>
          <w:bCs/>
          <w:sz w:val="28"/>
          <w:szCs w:val="28"/>
          <w:lang w:eastAsia="en-US"/>
        </w:rPr>
        <w:t>, por</w:t>
      </w:r>
      <w:r w:rsidRPr="005D08AD">
        <w:rPr>
          <w:rFonts w:ascii="Times New Roman" w:hAnsi="Times New Roman" w:cs="Times New Roman"/>
          <w:sz w:val="28"/>
        </w:rPr>
        <w:t xml:space="preserve"> la </w:t>
      </w:r>
      <w:r w:rsidRPr="005D08AD">
        <w:rPr>
          <w:rFonts w:ascii="Times New Roman" w:hAnsi="Times New Roman" w:cs="Times New Roman"/>
          <w:bCs/>
          <w:sz w:val="28"/>
          <w:szCs w:val="28"/>
          <w:lang w:eastAsia="en-US"/>
        </w:rPr>
        <w:t>presunta vulneración</w:t>
      </w:r>
      <w:r w:rsidRPr="005D08AD">
        <w:rPr>
          <w:rFonts w:ascii="Times New Roman" w:hAnsi="Times New Roman" w:cs="Times New Roman"/>
          <w:sz w:val="28"/>
        </w:rPr>
        <w:t xml:space="preserve"> del principio de </w:t>
      </w:r>
      <w:r w:rsidRPr="005D08AD">
        <w:rPr>
          <w:rFonts w:ascii="Times New Roman" w:hAnsi="Times New Roman" w:cs="Times New Roman"/>
          <w:bCs/>
          <w:sz w:val="28"/>
          <w:szCs w:val="28"/>
          <w:lang w:eastAsia="en-US"/>
        </w:rPr>
        <w:t xml:space="preserve">legalidad y </w:t>
      </w:r>
      <w:r w:rsidRPr="005D08AD">
        <w:rPr>
          <w:rFonts w:ascii="Times New Roman" w:hAnsi="Times New Roman" w:cs="Times New Roman"/>
          <w:sz w:val="28"/>
        </w:rPr>
        <w:t>certeza tributaria</w:t>
      </w:r>
      <w:r w:rsidRPr="005D08AD">
        <w:rPr>
          <w:rFonts w:ascii="Times New Roman" w:hAnsi="Times New Roman" w:cs="Times New Roman"/>
          <w:bCs/>
          <w:sz w:val="28"/>
          <w:szCs w:val="28"/>
          <w:lang w:eastAsia="en-US"/>
        </w:rPr>
        <w:t>. Según la demanda, la disposición demandada</w:t>
      </w:r>
      <w:r w:rsidRPr="005D08AD">
        <w:rPr>
          <w:rFonts w:ascii="Times New Roman" w:hAnsi="Times New Roman" w:cs="Times New Roman"/>
          <w:bCs/>
          <w:sz w:val="28"/>
          <w:szCs w:val="28"/>
          <w:lang w:eastAsia="en-US"/>
        </w:rPr>
        <w:t>, contenida en el artículo 48 de la Ley 1438 d</w:t>
      </w:r>
      <w:r w:rsidRPr="005D08AD">
        <w:rPr>
          <w:rFonts w:ascii="Times New Roman" w:hAnsi="Times New Roman" w:cs="Times New Roman"/>
          <w:bCs/>
          <w:sz w:val="28"/>
          <w:szCs w:val="28"/>
          <w:lang w:eastAsia="en-US"/>
        </w:rPr>
        <w:t>e 2011,</w:t>
      </w:r>
      <w:r w:rsidRPr="005D08AD">
        <w:rPr>
          <w:rFonts w:ascii="Times New Roman" w:hAnsi="Times New Roman" w:cs="Times New Roman"/>
          <w:bCs/>
          <w:sz w:val="28"/>
          <w:szCs w:val="28"/>
          <w:lang w:eastAsia="en-US"/>
        </w:rPr>
        <w:t xml:space="preserve"> desconoce el artículo 338 de la Constitución, </w:t>
      </w:r>
      <w:r w:rsidRPr="005D08AD">
        <w:rPr>
          <w:rFonts w:ascii="Times New Roman" w:hAnsi="Times New Roman" w:cs="Times New Roman"/>
          <w:bCs/>
          <w:sz w:val="28"/>
          <w:szCs w:val="28"/>
          <w:lang w:eastAsia="en-US"/>
        </w:rPr>
        <w:t xml:space="preserve">al </w:t>
      </w:r>
      <w:r w:rsidRPr="005D08AD">
        <w:rPr>
          <w:rFonts w:ascii="Times New Roman" w:hAnsi="Times New Roman" w:cs="Times New Roman"/>
          <w:bCs/>
          <w:sz w:val="28"/>
          <w:szCs w:val="28"/>
          <w:lang w:eastAsia="en-US"/>
        </w:rPr>
        <w:t>no determinar expresamente</w:t>
      </w:r>
      <w:r w:rsidRPr="005D08AD">
        <w:rPr>
          <w:rFonts w:ascii="Times New Roman" w:hAnsi="Times New Roman" w:cs="Times New Roman"/>
          <w:sz w:val="28"/>
        </w:rPr>
        <w:t xml:space="preserve"> el hecho generador del tributo.</w:t>
      </w:r>
      <w:r w:rsidRPr="005D08AD">
        <w:rPr>
          <w:rFonts w:ascii="Times New Roman" w:hAnsi="Times New Roman" w:cs="Times New Roman"/>
          <w:bCs/>
          <w:sz w:val="28"/>
          <w:szCs w:val="28"/>
          <w:lang w:eastAsia="en-US"/>
        </w:rPr>
        <w:t xml:space="preserve"> </w:t>
      </w:r>
    </w:p>
    <w:p w:rsidR="000F460E" w:rsidRPr="005D08AD" w:rsidRDefault="005D08AD" w:rsidP="005F72BB">
      <w:pPr>
        <w:tabs>
          <w:tab w:val="left" w:pos="567"/>
        </w:tabs>
        <w:contextualSpacing/>
        <w:mirrorIndents/>
        <w:jc w:val="both"/>
        <w:rPr>
          <w:rFonts w:ascii="Times New Roman" w:hAnsi="Times New Roman" w:cs="Times New Roman"/>
          <w:sz w:val="28"/>
        </w:rPr>
      </w:pPr>
    </w:p>
    <w:p w:rsidR="005F72BB" w:rsidRPr="005D08AD" w:rsidRDefault="005D08AD" w:rsidP="005F72BB">
      <w:pPr>
        <w:tabs>
          <w:tab w:val="left" w:pos="567"/>
        </w:tabs>
        <w:contextualSpacing/>
        <w:mirrorIndents/>
        <w:jc w:val="both"/>
        <w:rPr>
          <w:rFonts w:ascii="Times New Roman" w:hAnsi="Times New Roman" w:cs="Times New Roman"/>
          <w:bCs/>
          <w:sz w:val="28"/>
          <w:szCs w:val="28"/>
          <w:lang w:eastAsia="en-US"/>
        </w:rPr>
      </w:pPr>
      <w:r w:rsidRPr="005D08AD">
        <w:rPr>
          <w:rFonts w:ascii="Times New Roman" w:hAnsi="Times New Roman" w:cs="Times New Roman"/>
          <w:bCs/>
          <w:sz w:val="28"/>
          <w:szCs w:val="28"/>
          <w:lang w:eastAsia="en-US"/>
        </w:rPr>
        <w:t xml:space="preserve">Como cuestión previa, la Sala estableció que la Sentencia C-390 de 1996, configura </w:t>
      </w:r>
      <w:r w:rsidRPr="005D08AD">
        <w:rPr>
          <w:rFonts w:ascii="Times New Roman" w:hAnsi="Times New Roman" w:cs="Times New Roman"/>
          <w:bCs/>
          <w:sz w:val="28"/>
          <w:szCs w:val="28"/>
          <w:lang w:eastAsia="en-US"/>
        </w:rPr>
        <w:t>el fenómeno</w:t>
      </w:r>
      <w:r w:rsidRPr="005D08AD">
        <w:rPr>
          <w:rFonts w:ascii="Times New Roman" w:hAnsi="Times New Roman" w:cs="Times New Roman"/>
          <w:bCs/>
          <w:sz w:val="28"/>
          <w:szCs w:val="28"/>
          <w:lang w:eastAsia="en-US"/>
        </w:rPr>
        <w:t xml:space="preserve"> de </w:t>
      </w:r>
      <w:r w:rsidRPr="005D08AD">
        <w:rPr>
          <w:rFonts w:ascii="Times New Roman" w:hAnsi="Times New Roman" w:cs="Times New Roman"/>
          <w:bCs/>
          <w:i/>
          <w:iCs/>
          <w:sz w:val="28"/>
          <w:szCs w:val="28"/>
          <w:lang w:eastAsia="en-US"/>
        </w:rPr>
        <w:t>cosa juzgada aparente</w:t>
      </w:r>
      <w:r w:rsidRPr="005D08AD">
        <w:rPr>
          <w:rFonts w:ascii="Times New Roman" w:hAnsi="Times New Roman" w:cs="Times New Roman"/>
          <w:bCs/>
          <w:sz w:val="28"/>
          <w:szCs w:val="28"/>
          <w:lang w:eastAsia="en-US"/>
        </w:rPr>
        <w:t xml:space="preserve">. En este sentido, </w:t>
      </w:r>
      <w:r w:rsidRPr="005D08AD">
        <w:rPr>
          <w:rFonts w:ascii="Times New Roman" w:hAnsi="Times New Roman" w:cs="Times New Roman"/>
          <w:bCs/>
          <w:sz w:val="28"/>
          <w:szCs w:val="28"/>
          <w:lang w:eastAsia="en-US"/>
        </w:rPr>
        <w:t xml:space="preserve">aunque formalmente hay coincidencia de norma, cargo y parámetro de control, esa providencia no identificó cuál era el hecho generador del impuesto a municiones y explosivos, ni explicó por qué la norma lo preveía. En este sentido, aun cuando esa sentencia </w:t>
      </w:r>
      <w:r w:rsidRPr="005D08AD">
        <w:rPr>
          <w:rFonts w:ascii="Times New Roman" w:hAnsi="Times New Roman" w:cs="Times New Roman"/>
          <w:bCs/>
          <w:sz w:val="28"/>
          <w:szCs w:val="28"/>
          <w:lang w:eastAsia="en-US"/>
        </w:rPr>
        <w:t>incluyera consideraciones materiales relevantes sobre el tributo, no evidenció un examen real sobre ese elemento específico de la obligación tributaria</w:t>
      </w:r>
      <w:r w:rsidRPr="005D08AD">
        <w:rPr>
          <w:rFonts w:ascii="Times New Roman" w:hAnsi="Times New Roman" w:cs="Times New Roman"/>
          <w:bCs/>
          <w:sz w:val="28"/>
          <w:szCs w:val="28"/>
          <w:lang w:eastAsia="en-US"/>
        </w:rPr>
        <w:t xml:space="preserve"> sustancial</w:t>
      </w:r>
      <w:r w:rsidRPr="005D08AD">
        <w:rPr>
          <w:rFonts w:ascii="Times New Roman" w:hAnsi="Times New Roman" w:cs="Times New Roman"/>
          <w:bCs/>
          <w:sz w:val="28"/>
          <w:szCs w:val="28"/>
          <w:lang w:eastAsia="en-US"/>
        </w:rPr>
        <w:t xml:space="preserve">. Respecto de la Sentencia C-608 de 2012, la Sala precisó que esta configura una </w:t>
      </w:r>
      <w:r w:rsidRPr="005D08AD">
        <w:rPr>
          <w:rFonts w:ascii="Times New Roman" w:hAnsi="Times New Roman" w:cs="Times New Roman"/>
          <w:bCs/>
          <w:i/>
          <w:iCs/>
          <w:sz w:val="28"/>
          <w:szCs w:val="28"/>
          <w:lang w:eastAsia="en-US"/>
        </w:rPr>
        <w:t xml:space="preserve">cosa juzgada </w:t>
      </w:r>
      <w:r w:rsidRPr="005D08AD">
        <w:rPr>
          <w:rFonts w:ascii="Times New Roman" w:hAnsi="Times New Roman" w:cs="Times New Roman"/>
          <w:bCs/>
          <w:i/>
          <w:iCs/>
          <w:sz w:val="28"/>
          <w:szCs w:val="28"/>
          <w:lang w:eastAsia="en-US"/>
        </w:rPr>
        <w:t>relativa</w:t>
      </w:r>
      <w:r w:rsidRPr="005D08AD">
        <w:rPr>
          <w:rFonts w:ascii="Times New Roman" w:hAnsi="Times New Roman" w:cs="Times New Roman"/>
          <w:bCs/>
          <w:sz w:val="28"/>
          <w:szCs w:val="28"/>
          <w:lang w:eastAsia="en-US"/>
        </w:rPr>
        <w:t xml:space="preserve">, </w:t>
      </w:r>
      <w:r w:rsidRPr="005D08AD">
        <w:rPr>
          <w:rFonts w:ascii="Times New Roman" w:hAnsi="Times New Roman" w:cs="Times New Roman"/>
          <w:bCs/>
          <w:sz w:val="28"/>
          <w:szCs w:val="28"/>
          <w:lang w:eastAsia="en-US"/>
        </w:rPr>
        <w:t>pues en esa oportunidad</w:t>
      </w:r>
      <w:r w:rsidRPr="005D08AD">
        <w:rPr>
          <w:rFonts w:ascii="Times New Roman" w:hAnsi="Times New Roman" w:cs="Times New Roman"/>
          <w:bCs/>
          <w:sz w:val="28"/>
          <w:szCs w:val="28"/>
          <w:lang w:eastAsia="en-US"/>
        </w:rPr>
        <w:t xml:space="preserve"> el examen </w:t>
      </w:r>
      <w:r w:rsidRPr="005D08AD">
        <w:rPr>
          <w:rFonts w:ascii="Times New Roman" w:hAnsi="Times New Roman" w:cs="Times New Roman"/>
          <w:bCs/>
          <w:sz w:val="28"/>
          <w:szCs w:val="28"/>
          <w:lang w:eastAsia="en-US"/>
        </w:rPr>
        <w:t xml:space="preserve">de constitucionalidad </w:t>
      </w:r>
      <w:r w:rsidRPr="005D08AD">
        <w:rPr>
          <w:rFonts w:ascii="Times New Roman" w:hAnsi="Times New Roman" w:cs="Times New Roman"/>
          <w:bCs/>
          <w:sz w:val="28"/>
          <w:szCs w:val="28"/>
          <w:lang w:eastAsia="en-US"/>
        </w:rPr>
        <w:t>versó sobre la competencia para el recaudo, la liquidación, la determinación, la discusión, la administración y el procedimiento del tributo.</w:t>
      </w:r>
    </w:p>
    <w:p w:rsidR="005F72BB" w:rsidRPr="005D08AD" w:rsidRDefault="005D08AD" w:rsidP="000F460E">
      <w:pPr>
        <w:tabs>
          <w:tab w:val="left" w:pos="567"/>
        </w:tabs>
        <w:contextualSpacing/>
        <w:mirrorIndents/>
        <w:jc w:val="both"/>
        <w:rPr>
          <w:rFonts w:ascii="Times New Roman" w:hAnsi="Times New Roman" w:cs="Times New Roman"/>
          <w:sz w:val="28"/>
        </w:rPr>
      </w:pPr>
    </w:p>
    <w:p w:rsidR="005F72BB" w:rsidRPr="005D08AD" w:rsidRDefault="005D08AD" w:rsidP="005F72BB">
      <w:pPr>
        <w:tabs>
          <w:tab w:val="left" w:pos="567"/>
        </w:tabs>
        <w:contextualSpacing/>
        <w:mirrorIndents/>
        <w:jc w:val="both"/>
        <w:rPr>
          <w:rFonts w:ascii="Times New Roman" w:hAnsi="Times New Roman" w:cs="Times New Roman"/>
          <w:sz w:val="28"/>
        </w:rPr>
      </w:pPr>
      <w:r w:rsidRPr="005D08AD">
        <w:rPr>
          <w:rFonts w:ascii="Times New Roman" w:hAnsi="Times New Roman" w:cs="Times New Roman"/>
          <w:sz w:val="28"/>
        </w:rPr>
        <w:t xml:space="preserve">De </w:t>
      </w:r>
      <w:r w:rsidRPr="005D08AD">
        <w:rPr>
          <w:rFonts w:ascii="Times New Roman" w:hAnsi="Times New Roman" w:cs="Times New Roman"/>
          <w:bCs/>
          <w:sz w:val="28"/>
          <w:szCs w:val="28"/>
          <w:lang w:eastAsia="en-US"/>
        </w:rPr>
        <w:t>acuerdo con lo anterior, la Sala procedió co</w:t>
      </w:r>
      <w:r w:rsidRPr="005D08AD">
        <w:rPr>
          <w:rFonts w:ascii="Times New Roman" w:hAnsi="Times New Roman" w:cs="Times New Roman"/>
          <w:bCs/>
          <w:sz w:val="28"/>
          <w:szCs w:val="28"/>
          <w:lang w:eastAsia="en-US"/>
        </w:rPr>
        <w:t>n el análisis</w:t>
      </w:r>
      <w:r w:rsidRPr="005D08AD">
        <w:rPr>
          <w:rFonts w:ascii="Times New Roman" w:hAnsi="Times New Roman" w:cs="Times New Roman"/>
          <w:sz w:val="28"/>
        </w:rPr>
        <w:t xml:space="preserve"> de fondo </w:t>
      </w:r>
      <w:r w:rsidRPr="005D08AD">
        <w:rPr>
          <w:rFonts w:ascii="Times New Roman" w:hAnsi="Times New Roman" w:cs="Times New Roman"/>
          <w:bCs/>
          <w:sz w:val="28"/>
          <w:szCs w:val="28"/>
          <w:lang w:eastAsia="en-US"/>
        </w:rPr>
        <w:t xml:space="preserve">con el fin de examinar la presunta indeterminación del hecho generador. Al respecto, recordó que el </w:t>
      </w:r>
      <w:r w:rsidRPr="005D08AD">
        <w:rPr>
          <w:rFonts w:ascii="Times New Roman" w:hAnsi="Times New Roman" w:cs="Times New Roman"/>
          <w:sz w:val="28"/>
        </w:rPr>
        <w:t xml:space="preserve">artículo </w:t>
      </w:r>
      <w:r w:rsidRPr="005D08AD">
        <w:rPr>
          <w:rFonts w:ascii="Times New Roman" w:hAnsi="Times New Roman" w:cs="Times New Roman"/>
          <w:bCs/>
          <w:sz w:val="28"/>
          <w:szCs w:val="28"/>
          <w:lang w:eastAsia="en-US"/>
        </w:rPr>
        <w:t xml:space="preserve">338 superior no exige una formulación exhaustiva, sino que el hecho generador sea </w:t>
      </w:r>
      <w:r w:rsidRPr="005D08AD">
        <w:rPr>
          <w:rFonts w:ascii="Times New Roman" w:hAnsi="Times New Roman" w:cs="Times New Roman"/>
          <w:bCs/>
          <w:i/>
          <w:iCs/>
          <w:sz w:val="28"/>
          <w:szCs w:val="28"/>
          <w:lang w:eastAsia="en-US"/>
        </w:rPr>
        <w:t>determinable</w:t>
      </w:r>
      <w:r w:rsidRPr="005D08AD">
        <w:rPr>
          <w:rFonts w:ascii="Times New Roman" w:hAnsi="Times New Roman" w:cs="Times New Roman"/>
          <w:bCs/>
          <w:sz w:val="28"/>
          <w:szCs w:val="28"/>
          <w:lang w:eastAsia="en-US"/>
        </w:rPr>
        <w:t xml:space="preserve"> mediante una interpretación objetiva y razonable. Reiteró que el </w:t>
      </w:r>
      <w:r w:rsidRPr="005D08AD">
        <w:rPr>
          <w:rFonts w:ascii="Times New Roman" w:hAnsi="Times New Roman" w:cs="Times New Roman"/>
          <w:sz w:val="28"/>
        </w:rPr>
        <w:t xml:space="preserve">principio de </w:t>
      </w:r>
      <w:r w:rsidRPr="005D08AD">
        <w:rPr>
          <w:rFonts w:ascii="Times New Roman" w:hAnsi="Times New Roman" w:cs="Times New Roman"/>
          <w:bCs/>
          <w:sz w:val="28"/>
          <w:szCs w:val="28"/>
          <w:lang w:eastAsia="en-US"/>
        </w:rPr>
        <w:t>legalidad</w:t>
      </w:r>
      <w:r w:rsidRPr="005D08AD">
        <w:rPr>
          <w:rFonts w:ascii="Times New Roman" w:hAnsi="Times New Roman" w:cs="Times New Roman"/>
          <w:sz w:val="28"/>
        </w:rPr>
        <w:t xml:space="preserve"> tributaria exige que los elementos esenciales del tributo estén determinados o sean determinables</w:t>
      </w:r>
      <w:r w:rsidRPr="005D08AD">
        <w:rPr>
          <w:rFonts w:ascii="Times New Roman" w:hAnsi="Times New Roman" w:cs="Times New Roman"/>
          <w:bCs/>
          <w:sz w:val="28"/>
          <w:szCs w:val="28"/>
          <w:lang w:eastAsia="en-US"/>
        </w:rPr>
        <w:t>, y que la sola presencia de una dificultad interpretativa no torna in</w:t>
      </w:r>
      <w:r w:rsidRPr="005D08AD">
        <w:rPr>
          <w:rFonts w:ascii="Times New Roman" w:hAnsi="Times New Roman" w:cs="Times New Roman"/>
          <w:bCs/>
          <w:sz w:val="28"/>
          <w:szCs w:val="28"/>
          <w:lang w:eastAsia="en-US"/>
        </w:rPr>
        <w:t>constitucional la norma</w:t>
      </w:r>
      <w:r w:rsidRPr="005D08AD">
        <w:rPr>
          <w:rFonts w:ascii="Times New Roman" w:hAnsi="Times New Roman" w:cs="Times New Roman"/>
          <w:bCs/>
          <w:sz w:val="28"/>
          <w:szCs w:val="28"/>
          <w:lang w:eastAsia="en-US"/>
        </w:rPr>
        <w:t>; s</w:t>
      </w:r>
      <w:r w:rsidRPr="005D08AD">
        <w:rPr>
          <w:rFonts w:ascii="Times New Roman" w:hAnsi="Times New Roman" w:cs="Times New Roman"/>
          <w:bCs/>
          <w:sz w:val="28"/>
          <w:szCs w:val="28"/>
          <w:lang w:eastAsia="en-US"/>
        </w:rPr>
        <w:t>olo cuando la oscuridad sea insuperable procede expulsarla del ordenamiento jurídico</w:t>
      </w:r>
      <w:r w:rsidRPr="005D08AD">
        <w:rPr>
          <w:rFonts w:ascii="Times New Roman" w:hAnsi="Times New Roman" w:cs="Times New Roman"/>
          <w:sz w:val="28"/>
        </w:rPr>
        <w:t>.</w:t>
      </w:r>
    </w:p>
    <w:p w:rsidR="005F72BB" w:rsidRPr="005D08AD" w:rsidRDefault="005D08AD" w:rsidP="005F72BB">
      <w:pPr>
        <w:tabs>
          <w:tab w:val="left" w:pos="567"/>
        </w:tabs>
        <w:contextualSpacing/>
        <w:mirrorIndents/>
        <w:jc w:val="both"/>
        <w:rPr>
          <w:rFonts w:ascii="Times New Roman" w:hAnsi="Times New Roman" w:cs="Times New Roman"/>
          <w:sz w:val="28"/>
        </w:rPr>
      </w:pPr>
    </w:p>
    <w:p w:rsidR="005F72BB" w:rsidRPr="005D08AD" w:rsidRDefault="005D08AD" w:rsidP="005F72BB">
      <w:pPr>
        <w:tabs>
          <w:tab w:val="left" w:pos="567"/>
        </w:tabs>
        <w:contextualSpacing/>
        <w:mirrorIndents/>
        <w:jc w:val="both"/>
        <w:rPr>
          <w:rFonts w:ascii="Times New Roman" w:hAnsi="Times New Roman" w:cs="Times New Roman"/>
          <w:bCs/>
          <w:sz w:val="28"/>
          <w:szCs w:val="28"/>
          <w:lang w:eastAsia="en-US"/>
        </w:rPr>
      </w:pPr>
      <w:r w:rsidRPr="005D08AD">
        <w:rPr>
          <w:rFonts w:ascii="Times New Roman" w:hAnsi="Times New Roman" w:cs="Times New Roman"/>
          <w:bCs/>
          <w:sz w:val="28"/>
          <w:szCs w:val="28"/>
          <w:lang w:eastAsia="en-US"/>
        </w:rPr>
        <w:t>En este contexto</w:t>
      </w:r>
      <w:r w:rsidRPr="005D08AD">
        <w:rPr>
          <w:rFonts w:ascii="Times New Roman" w:hAnsi="Times New Roman" w:cs="Times New Roman"/>
          <w:sz w:val="28"/>
        </w:rPr>
        <w:t xml:space="preserve">, </w:t>
      </w:r>
      <w:r w:rsidRPr="005D08AD">
        <w:rPr>
          <w:rFonts w:ascii="Times New Roman" w:hAnsi="Times New Roman" w:cs="Times New Roman"/>
          <w:sz w:val="28"/>
        </w:rPr>
        <w:t xml:space="preserve">la Sala </w:t>
      </w:r>
      <w:r w:rsidRPr="005D08AD">
        <w:rPr>
          <w:rFonts w:ascii="Times New Roman" w:hAnsi="Times New Roman" w:cs="Times New Roman"/>
          <w:bCs/>
          <w:sz w:val="28"/>
          <w:szCs w:val="28"/>
          <w:lang w:eastAsia="en-US"/>
        </w:rPr>
        <w:t>concluyó la exequibilidad de la norma demandada</w:t>
      </w:r>
      <w:r w:rsidRPr="005D08AD">
        <w:rPr>
          <w:rFonts w:ascii="Times New Roman" w:hAnsi="Times New Roman" w:cs="Times New Roman"/>
          <w:bCs/>
          <w:sz w:val="28"/>
          <w:szCs w:val="28"/>
          <w:lang w:eastAsia="en-US"/>
        </w:rPr>
        <w:t xml:space="preserve">. </w:t>
      </w:r>
      <w:r w:rsidRPr="005D08AD">
        <w:rPr>
          <w:rFonts w:ascii="Times New Roman" w:hAnsi="Times New Roman" w:cs="Times New Roman"/>
          <w:bCs/>
          <w:sz w:val="28"/>
          <w:szCs w:val="28"/>
          <w:lang w:eastAsia="en-US"/>
        </w:rPr>
        <w:t>En este sentido</w:t>
      </w:r>
      <w:r w:rsidRPr="005D08AD">
        <w:rPr>
          <w:rFonts w:ascii="Times New Roman" w:hAnsi="Times New Roman" w:cs="Times New Roman"/>
          <w:bCs/>
          <w:sz w:val="28"/>
          <w:szCs w:val="28"/>
          <w:lang w:eastAsia="en-US"/>
        </w:rPr>
        <w:t>,</w:t>
      </w:r>
      <w:r w:rsidRPr="005D08AD">
        <w:rPr>
          <w:rFonts w:ascii="Times New Roman" w:hAnsi="Times New Roman" w:cs="Times New Roman"/>
          <w:bCs/>
          <w:sz w:val="28"/>
          <w:szCs w:val="28"/>
          <w:lang w:eastAsia="en-US"/>
        </w:rPr>
        <w:t xml:space="preserve"> </w:t>
      </w:r>
      <w:r w:rsidRPr="005D08AD">
        <w:rPr>
          <w:rFonts w:ascii="Times New Roman" w:hAnsi="Times New Roman" w:cs="Times New Roman"/>
          <w:bCs/>
          <w:sz w:val="28"/>
          <w:szCs w:val="28"/>
          <w:lang w:eastAsia="en-US"/>
        </w:rPr>
        <w:t>consideró que</w:t>
      </w:r>
      <w:r w:rsidRPr="005D08AD">
        <w:rPr>
          <w:rFonts w:ascii="Times New Roman" w:hAnsi="Times New Roman" w:cs="Times New Roman"/>
          <w:sz w:val="28"/>
        </w:rPr>
        <w:t xml:space="preserve"> </w:t>
      </w:r>
      <w:r w:rsidRPr="005D08AD">
        <w:rPr>
          <w:rFonts w:ascii="Times New Roman" w:hAnsi="Times New Roman" w:cs="Times New Roman"/>
          <w:sz w:val="28"/>
        </w:rPr>
        <w:t xml:space="preserve">el </w:t>
      </w:r>
      <w:r w:rsidRPr="005D08AD">
        <w:rPr>
          <w:rFonts w:ascii="Times New Roman" w:hAnsi="Times New Roman" w:cs="Times New Roman"/>
          <w:bCs/>
          <w:sz w:val="28"/>
          <w:szCs w:val="28"/>
          <w:lang w:eastAsia="en-US"/>
        </w:rPr>
        <w:t>legislador sí definió el hecho gen</w:t>
      </w:r>
      <w:r w:rsidRPr="005D08AD">
        <w:rPr>
          <w:rFonts w:ascii="Times New Roman" w:hAnsi="Times New Roman" w:cs="Times New Roman"/>
          <w:bCs/>
          <w:sz w:val="28"/>
          <w:szCs w:val="28"/>
          <w:lang w:eastAsia="en-US"/>
        </w:rPr>
        <w:t>erador</w:t>
      </w:r>
      <w:r w:rsidRPr="005D08AD">
        <w:rPr>
          <w:rFonts w:ascii="Times New Roman" w:hAnsi="Times New Roman" w:cs="Times New Roman"/>
          <w:bCs/>
          <w:sz w:val="28"/>
          <w:szCs w:val="28"/>
          <w:lang w:eastAsia="en-US"/>
        </w:rPr>
        <w:t xml:space="preserve"> teniendo en cuenta el</w:t>
      </w:r>
      <w:r w:rsidRPr="005D08AD">
        <w:rPr>
          <w:rFonts w:ascii="Times New Roman" w:hAnsi="Times New Roman" w:cs="Times New Roman"/>
          <w:bCs/>
          <w:sz w:val="28"/>
          <w:szCs w:val="28"/>
          <w:lang w:eastAsia="en-US"/>
        </w:rPr>
        <w:t xml:space="preserve"> </w:t>
      </w:r>
      <w:r w:rsidRPr="005D08AD">
        <w:rPr>
          <w:rFonts w:ascii="Times New Roman" w:hAnsi="Times New Roman" w:cs="Times New Roman"/>
          <w:bCs/>
          <w:sz w:val="28"/>
          <w:szCs w:val="28"/>
          <w:lang w:eastAsia="en-US"/>
        </w:rPr>
        <w:t>contexto normativo</w:t>
      </w:r>
      <w:r w:rsidRPr="005D08AD">
        <w:rPr>
          <w:rFonts w:ascii="Times New Roman" w:hAnsi="Times New Roman" w:cs="Times New Roman"/>
          <w:bCs/>
          <w:sz w:val="28"/>
          <w:szCs w:val="28"/>
          <w:lang w:eastAsia="en-US"/>
        </w:rPr>
        <w:t xml:space="preserve"> de la disposición acusada</w:t>
      </w:r>
      <w:r w:rsidRPr="005D08AD">
        <w:rPr>
          <w:rFonts w:ascii="Times New Roman" w:hAnsi="Times New Roman" w:cs="Times New Roman"/>
          <w:bCs/>
          <w:sz w:val="28"/>
          <w:szCs w:val="28"/>
          <w:lang w:eastAsia="en-US"/>
        </w:rPr>
        <w:t xml:space="preserve">, en particular, </w:t>
      </w:r>
      <w:r w:rsidRPr="005D08AD">
        <w:rPr>
          <w:rFonts w:ascii="Times New Roman" w:hAnsi="Times New Roman" w:cs="Times New Roman"/>
          <w:bCs/>
          <w:sz w:val="28"/>
          <w:szCs w:val="28"/>
          <w:lang w:eastAsia="en-US"/>
        </w:rPr>
        <w:t xml:space="preserve">el </w:t>
      </w:r>
      <w:r w:rsidRPr="005D08AD">
        <w:rPr>
          <w:rFonts w:ascii="Times New Roman" w:hAnsi="Times New Roman" w:cs="Times New Roman"/>
          <w:bCs/>
          <w:sz w:val="28"/>
          <w:szCs w:val="28"/>
          <w:lang w:eastAsia="en-US"/>
        </w:rPr>
        <w:t>régimen jurídico especial de armas,</w:t>
      </w:r>
      <w:r w:rsidRPr="005D08AD">
        <w:rPr>
          <w:rFonts w:ascii="Times New Roman" w:hAnsi="Times New Roman" w:cs="Times New Roman"/>
          <w:sz w:val="28"/>
        </w:rPr>
        <w:t xml:space="preserve"> municiones y explosivos</w:t>
      </w:r>
      <w:r w:rsidRPr="005D08AD">
        <w:rPr>
          <w:rFonts w:ascii="Times New Roman" w:hAnsi="Times New Roman" w:cs="Times New Roman"/>
          <w:bCs/>
          <w:sz w:val="28"/>
          <w:szCs w:val="28"/>
          <w:lang w:eastAsia="en-US"/>
        </w:rPr>
        <w:t xml:space="preserve">. Sobre esa base, </w:t>
      </w:r>
      <w:r w:rsidRPr="005D08AD">
        <w:rPr>
          <w:rFonts w:ascii="Times New Roman" w:hAnsi="Times New Roman" w:cs="Times New Roman"/>
          <w:bCs/>
          <w:sz w:val="28"/>
          <w:szCs w:val="28"/>
          <w:lang w:eastAsia="en-US"/>
        </w:rPr>
        <w:t xml:space="preserve">indicó que </w:t>
      </w:r>
      <w:r w:rsidRPr="005D08AD">
        <w:rPr>
          <w:rFonts w:ascii="Times New Roman" w:hAnsi="Times New Roman" w:cs="Times New Roman"/>
          <w:bCs/>
          <w:sz w:val="28"/>
          <w:szCs w:val="28"/>
          <w:lang w:eastAsia="en-US"/>
        </w:rPr>
        <w:t>la disposición demandada debe leerse</w:t>
      </w:r>
      <w:r w:rsidRPr="005D08AD">
        <w:rPr>
          <w:rFonts w:ascii="Times New Roman" w:hAnsi="Times New Roman" w:cs="Times New Roman"/>
          <w:sz w:val="28"/>
        </w:rPr>
        <w:t xml:space="preserve"> de manera </w:t>
      </w:r>
      <w:r w:rsidRPr="005D08AD">
        <w:rPr>
          <w:rFonts w:ascii="Times New Roman" w:hAnsi="Times New Roman" w:cs="Times New Roman"/>
          <w:bCs/>
          <w:sz w:val="28"/>
          <w:szCs w:val="28"/>
          <w:lang w:eastAsia="en-US"/>
        </w:rPr>
        <w:t xml:space="preserve">conjunta con el </w:t>
      </w:r>
      <w:r w:rsidRPr="005D08AD">
        <w:rPr>
          <w:rFonts w:ascii="Times New Roman" w:hAnsi="Times New Roman" w:cs="Times New Roman"/>
          <w:sz w:val="28"/>
        </w:rPr>
        <w:t>monopolio es</w:t>
      </w:r>
      <w:r w:rsidRPr="005D08AD">
        <w:rPr>
          <w:rFonts w:ascii="Times New Roman" w:hAnsi="Times New Roman" w:cs="Times New Roman"/>
          <w:sz w:val="28"/>
        </w:rPr>
        <w:t xml:space="preserve">tatal </w:t>
      </w:r>
      <w:r w:rsidRPr="005D08AD">
        <w:rPr>
          <w:rFonts w:ascii="Times New Roman" w:hAnsi="Times New Roman" w:cs="Times New Roman"/>
          <w:bCs/>
          <w:sz w:val="28"/>
          <w:szCs w:val="28"/>
          <w:lang w:eastAsia="en-US"/>
        </w:rPr>
        <w:t>sobre armas, municiones y explosivos previsto en el artículo 223 de la Constitución;</w:t>
      </w:r>
      <w:r w:rsidRPr="005D08AD">
        <w:rPr>
          <w:rFonts w:ascii="Times New Roman" w:hAnsi="Times New Roman" w:cs="Times New Roman"/>
          <w:sz w:val="28"/>
        </w:rPr>
        <w:t xml:space="preserve"> el Decreto Ley </w:t>
      </w:r>
      <w:r w:rsidRPr="005D08AD">
        <w:rPr>
          <w:rFonts w:ascii="Times New Roman" w:hAnsi="Times New Roman" w:cs="Times New Roman"/>
          <w:bCs/>
          <w:sz w:val="28"/>
          <w:szCs w:val="28"/>
          <w:lang w:eastAsia="en-US"/>
        </w:rPr>
        <w:t>2535 de 1993, norma con fuerza material</w:t>
      </w:r>
      <w:r w:rsidRPr="005D08AD">
        <w:rPr>
          <w:rFonts w:ascii="Times New Roman" w:hAnsi="Times New Roman" w:cs="Times New Roman"/>
          <w:sz w:val="28"/>
        </w:rPr>
        <w:t xml:space="preserve"> de </w:t>
      </w:r>
      <w:r w:rsidRPr="005D08AD">
        <w:rPr>
          <w:rFonts w:ascii="Times New Roman" w:hAnsi="Times New Roman" w:cs="Times New Roman"/>
          <w:bCs/>
          <w:sz w:val="28"/>
          <w:szCs w:val="28"/>
          <w:lang w:eastAsia="en-US"/>
        </w:rPr>
        <w:t>ley que regula su circulación</w:t>
      </w:r>
      <w:r w:rsidRPr="005D08AD">
        <w:rPr>
          <w:rFonts w:ascii="Times New Roman" w:hAnsi="Times New Roman" w:cs="Times New Roman"/>
          <w:sz w:val="28"/>
        </w:rPr>
        <w:t xml:space="preserve"> y </w:t>
      </w:r>
      <w:r w:rsidRPr="005D08AD">
        <w:rPr>
          <w:rFonts w:ascii="Times New Roman" w:hAnsi="Times New Roman" w:cs="Times New Roman"/>
          <w:bCs/>
          <w:sz w:val="28"/>
          <w:szCs w:val="28"/>
          <w:lang w:eastAsia="en-US"/>
        </w:rPr>
        <w:t>permisos; y</w:t>
      </w:r>
      <w:r w:rsidRPr="005D08AD">
        <w:rPr>
          <w:rFonts w:ascii="Times New Roman" w:hAnsi="Times New Roman" w:cs="Times New Roman"/>
          <w:sz w:val="28"/>
        </w:rPr>
        <w:t xml:space="preserve"> las expresiones “</w:t>
      </w:r>
      <w:r w:rsidRPr="005D08AD">
        <w:rPr>
          <w:rFonts w:ascii="Times New Roman" w:hAnsi="Times New Roman" w:cs="Times New Roman"/>
          <w:i/>
          <w:iCs/>
          <w:sz w:val="28"/>
        </w:rPr>
        <w:t>ad valorem</w:t>
      </w:r>
      <w:r w:rsidRPr="005D08AD">
        <w:rPr>
          <w:rFonts w:ascii="Times New Roman" w:hAnsi="Times New Roman" w:cs="Times New Roman"/>
          <w:sz w:val="28"/>
        </w:rPr>
        <w:t>” y “</w:t>
      </w:r>
      <w:r w:rsidRPr="005D08AD">
        <w:rPr>
          <w:rFonts w:ascii="Times New Roman" w:hAnsi="Times New Roman" w:cs="Times New Roman"/>
          <w:i/>
          <w:iCs/>
          <w:sz w:val="28"/>
        </w:rPr>
        <w:t>cobrará</w:t>
      </w:r>
      <w:r w:rsidRPr="005D08AD">
        <w:rPr>
          <w:rFonts w:ascii="Times New Roman" w:hAnsi="Times New Roman" w:cs="Times New Roman"/>
          <w:bCs/>
          <w:sz w:val="28"/>
          <w:szCs w:val="28"/>
          <w:lang w:eastAsia="en-US"/>
        </w:rPr>
        <w:t>”</w:t>
      </w:r>
      <w:r w:rsidRPr="005D08AD">
        <w:rPr>
          <w:rFonts w:ascii="Times New Roman" w:hAnsi="Times New Roman" w:cs="Times New Roman"/>
          <w:bCs/>
          <w:sz w:val="28"/>
          <w:szCs w:val="28"/>
          <w:lang w:eastAsia="en-US"/>
        </w:rPr>
        <w:t xml:space="preserve"> indicadas en el artículo 48 de la Ley 1438 de 2011</w:t>
      </w:r>
      <w:r w:rsidRPr="005D08AD">
        <w:rPr>
          <w:rFonts w:ascii="Times New Roman" w:hAnsi="Times New Roman" w:cs="Times New Roman"/>
          <w:bCs/>
          <w:sz w:val="28"/>
          <w:szCs w:val="28"/>
          <w:lang w:eastAsia="en-US"/>
        </w:rPr>
        <w:t>, que, leídas</w:t>
      </w:r>
      <w:r w:rsidRPr="005D08AD">
        <w:rPr>
          <w:rFonts w:ascii="Times New Roman" w:hAnsi="Times New Roman" w:cs="Times New Roman"/>
          <w:sz w:val="28"/>
        </w:rPr>
        <w:t xml:space="preserve"> no de manera aislada</w:t>
      </w:r>
      <w:r w:rsidRPr="005D08AD">
        <w:rPr>
          <w:rFonts w:ascii="Times New Roman" w:hAnsi="Times New Roman" w:cs="Times New Roman"/>
          <w:bCs/>
          <w:sz w:val="28"/>
          <w:szCs w:val="28"/>
          <w:lang w:eastAsia="en-US"/>
        </w:rPr>
        <w:t>,</w:t>
      </w:r>
      <w:r w:rsidRPr="005D08AD">
        <w:rPr>
          <w:rFonts w:ascii="Times New Roman" w:hAnsi="Times New Roman" w:cs="Times New Roman"/>
          <w:sz w:val="28"/>
        </w:rPr>
        <w:t xml:space="preserve"> sino dentro </w:t>
      </w:r>
      <w:r w:rsidRPr="005D08AD">
        <w:rPr>
          <w:rFonts w:ascii="Times New Roman" w:hAnsi="Times New Roman" w:cs="Times New Roman"/>
          <w:bCs/>
          <w:sz w:val="28"/>
          <w:szCs w:val="28"/>
          <w:lang w:eastAsia="en-US"/>
        </w:rPr>
        <w:t>de un mismo</w:t>
      </w:r>
      <w:r w:rsidRPr="005D08AD">
        <w:rPr>
          <w:rFonts w:ascii="Times New Roman" w:hAnsi="Times New Roman" w:cs="Times New Roman"/>
          <w:sz w:val="28"/>
        </w:rPr>
        <w:t xml:space="preserve"> contexto </w:t>
      </w:r>
      <w:r w:rsidRPr="005D08AD">
        <w:rPr>
          <w:rFonts w:ascii="Times New Roman" w:hAnsi="Times New Roman" w:cs="Times New Roman"/>
          <w:bCs/>
          <w:sz w:val="28"/>
          <w:szCs w:val="28"/>
          <w:lang w:eastAsia="en-US"/>
        </w:rPr>
        <w:t xml:space="preserve">normativo, presuponen una operación con valor económico o con precio. A partir de </w:t>
      </w:r>
      <w:r w:rsidRPr="005D08AD">
        <w:rPr>
          <w:rFonts w:ascii="Times New Roman" w:hAnsi="Times New Roman" w:cs="Times New Roman"/>
          <w:bCs/>
          <w:sz w:val="28"/>
          <w:szCs w:val="28"/>
          <w:lang w:eastAsia="en-US"/>
        </w:rPr>
        <w:t xml:space="preserve">esa </w:t>
      </w:r>
      <w:r w:rsidRPr="005D08AD">
        <w:rPr>
          <w:rFonts w:ascii="Times New Roman" w:hAnsi="Times New Roman" w:cs="Times New Roman"/>
          <w:bCs/>
          <w:sz w:val="28"/>
          <w:szCs w:val="28"/>
          <w:lang w:eastAsia="en-US"/>
        </w:rPr>
        <w:t>lectura sistemática, la Sala</w:t>
      </w:r>
      <w:r w:rsidRPr="005D08AD">
        <w:rPr>
          <w:rFonts w:ascii="Times New Roman" w:hAnsi="Times New Roman" w:cs="Times New Roman"/>
          <w:bCs/>
          <w:sz w:val="28"/>
          <w:szCs w:val="28"/>
          <w:lang w:eastAsia="en-US"/>
        </w:rPr>
        <w:t xml:space="preserve"> constató</w:t>
      </w:r>
      <w:r w:rsidRPr="005D08AD">
        <w:rPr>
          <w:rFonts w:ascii="Times New Roman" w:hAnsi="Times New Roman" w:cs="Times New Roman"/>
          <w:sz w:val="28"/>
        </w:rPr>
        <w:t xml:space="preserve"> que el hecho</w:t>
      </w:r>
      <w:r w:rsidRPr="005D08AD">
        <w:rPr>
          <w:rFonts w:ascii="Times New Roman" w:hAnsi="Times New Roman" w:cs="Times New Roman"/>
          <w:sz w:val="28"/>
        </w:rPr>
        <w:t xml:space="preserve"> generador del </w:t>
      </w:r>
      <w:r w:rsidRPr="005D08AD">
        <w:rPr>
          <w:rFonts w:ascii="Times New Roman" w:hAnsi="Times New Roman" w:cs="Times New Roman"/>
          <w:bCs/>
          <w:sz w:val="28"/>
          <w:szCs w:val="28"/>
          <w:lang w:eastAsia="en-US"/>
        </w:rPr>
        <w:t>tributo es determinable y corresponde</w:t>
      </w:r>
      <w:r w:rsidRPr="005D08AD">
        <w:rPr>
          <w:rFonts w:ascii="Times New Roman" w:hAnsi="Times New Roman" w:cs="Times New Roman"/>
          <w:sz w:val="28"/>
        </w:rPr>
        <w:t xml:space="preserve"> a la compra </w:t>
      </w:r>
      <w:r w:rsidRPr="005D08AD">
        <w:rPr>
          <w:rFonts w:ascii="Times New Roman" w:hAnsi="Times New Roman" w:cs="Times New Roman"/>
          <w:bCs/>
          <w:sz w:val="28"/>
          <w:szCs w:val="28"/>
          <w:lang w:eastAsia="en-US"/>
        </w:rPr>
        <w:t xml:space="preserve">autorizada </w:t>
      </w:r>
      <w:r w:rsidRPr="005D08AD">
        <w:rPr>
          <w:rFonts w:ascii="Times New Roman" w:hAnsi="Times New Roman" w:cs="Times New Roman"/>
          <w:sz w:val="28"/>
        </w:rPr>
        <w:t>de municiones y explosivos</w:t>
      </w:r>
      <w:r w:rsidRPr="005D08AD">
        <w:rPr>
          <w:rFonts w:ascii="Times New Roman" w:hAnsi="Times New Roman" w:cs="Times New Roman"/>
          <w:bCs/>
          <w:sz w:val="28"/>
          <w:szCs w:val="28"/>
          <w:lang w:eastAsia="en-US"/>
        </w:rPr>
        <w:t xml:space="preserve">, </w:t>
      </w:r>
      <w:r w:rsidRPr="005D08AD">
        <w:rPr>
          <w:rFonts w:ascii="Times New Roman" w:hAnsi="Times New Roman" w:cs="Times New Roman"/>
          <w:bCs/>
          <w:sz w:val="28"/>
          <w:szCs w:val="28"/>
          <w:lang w:eastAsia="en-US"/>
        </w:rPr>
        <w:t xml:space="preserve">acto </w:t>
      </w:r>
      <w:r w:rsidRPr="005D08AD">
        <w:rPr>
          <w:rFonts w:ascii="Times New Roman" w:hAnsi="Times New Roman" w:cs="Times New Roman"/>
          <w:bCs/>
          <w:sz w:val="28"/>
          <w:szCs w:val="28"/>
          <w:lang w:eastAsia="en-US"/>
        </w:rPr>
        <w:t>en el que</w:t>
      </w:r>
      <w:r w:rsidRPr="005D08AD">
        <w:rPr>
          <w:rFonts w:ascii="Times New Roman" w:hAnsi="Times New Roman" w:cs="Times New Roman"/>
          <w:bCs/>
          <w:sz w:val="28"/>
          <w:szCs w:val="28"/>
          <w:lang w:eastAsia="en-US"/>
        </w:rPr>
        <w:t xml:space="preserve"> confluyen razonablemente el acceso legítimo al bien, </w:t>
      </w:r>
      <w:r w:rsidRPr="005D08AD">
        <w:rPr>
          <w:rFonts w:ascii="Times New Roman" w:hAnsi="Times New Roman" w:cs="Times New Roman"/>
          <w:bCs/>
          <w:sz w:val="28"/>
          <w:szCs w:val="28"/>
          <w:lang w:eastAsia="en-US"/>
        </w:rPr>
        <w:t xml:space="preserve">el respectivo </w:t>
      </w:r>
      <w:r w:rsidRPr="005D08AD">
        <w:rPr>
          <w:rFonts w:ascii="Times New Roman" w:hAnsi="Times New Roman" w:cs="Times New Roman"/>
          <w:bCs/>
          <w:sz w:val="28"/>
          <w:szCs w:val="28"/>
          <w:lang w:eastAsia="en-US"/>
        </w:rPr>
        <w:t xml:space="preserve">permiso y el valor económico sobre el </w:t>
      </w:r>
      <w:r w:rsidRPr="005D08AD">
        <w:rPr>
          <w:rFonts w:ascii="Times New Roman" w:hAnsi="Times New Roman" w:cs="Times New Roman"/>
          <w:sz w:val="28"/>
        </w:rPr>
        <w:t xml:space="preserve">cual </w:t>
      </w:r>
      <w:r w:rsidRPr="005D08AD">
        <w:rPr>
          <w:rFonts w:ascii="Times New Roman" w:hAnsi="Times New Roman" w:cs="Times New Roman"/>
          <w:bCs/>
          <w:sz w:val="28"/>
          <w:szCs w:val="28"/>
          <w:lang w:eastAsia="en-US"/>
        </w:rPr>
        <w:t xml:space="preserve">recae el </w:t>
      </w:r>
      <w:r w:rsidRPr="005D08AD">
        <w:rPr>
          <w:rFonts w:ascii="Times New Roman" w:hAnsi="Times New Roman" w:cs="Times New Roman"/>
          <w:bCs/>
          <w:sz w:val="28"/>
          <w:szCs w:val="28"/>
          <w:lang w:eastAsia="en-US"/>
        </w:rPr>
        <w:t>tributo</w:t>
      </w:r>
      <w:r w:rsidRPr="005D08AD">
        <w:rPr>
          <w:rFonts w:ascii="Times New Roman" w:hAnsi="Times New Roman" w:cs="Times New Roman"/>
          <w:bCs/>
          <w:sz w:val="28"/>
          <w:szCs w:val="28"/>
          <w:lang w:eastAsia="en-US"/>
        </w:rPr>
        <w:t>.</w:t>
      </w:r>
      <w:r w:rsidRPr="005D08AD">
        <w:rPr>
          <w:rFonts w:ascii="Times New Roman" w:hAnsi="Times New Roman" w:cs="Times New Roman"/>
          <w:bCs/>
          <w:sz w:val="28"/>
          <w:szCs w:val="28"/>
          <w:lang w:eastAsia="en-US"/>
        </w:rPr>
        <w:t xml:space="preserve"> </w:t>
      </w:r>
    </w:p>
    <w:p w:rsidR="005A26A7" w:rsidRPr="005D08AD" w:rsidRDefault="005D08AD" w:rsidP="005F72BB">
      <w:pPr>
        <w:contextualSpacing/>
        <w:mirrorIndents/>
        <w:jc w:val="both"/>
        <w:rPr>
          <w:rFonts w:ascii="Times New Roman" w:hAnsi="Times New Roman" w:cs="Times New Roman"/>
          <w:bCs/>
          <w:sz w:val="28"/>
          <w:szCs w:val="28"/>
          <w:lang w:eastAsia="en-US"/>
        </w:rPr>
      </w:pPr>
    </w:p>
    <w:p w:rsidR="0013118C" w:rsidRPr="005D08AD" w:rsidRDefault="005D08AD" w:rsidP="005F72BB">
      <w:pPr>
        <w:contextualSpacing/>
        <w:mirrorIndents/>
        <w:jc w:val="both"/>
        <w:rPr>
          <w:rFonts w:ascii="Times New Roman" w:hAnsi="Times New Roman" w:cs="Times New Roman"/>
          <w:sz w:val="28"/>
          <w:szCs w:val="28"/>
        </w:rPr>
      </w:pPr>
    </w:p>
    <w:p w:rsidR="0013118C" w:rsidRPr="005D08AD" w:rsidRDefault="005D08AD" w:rsidP="005F72BB">
      <w:pPr>
        <w:pStyle w:val="Ttulo1"/>
        <w:ind w:left="0" w:firstLine="0"/>
        <w:contextualSpacing/>
        <w:mirrorIndents/>
        <w:rPr>
          <w:rFonts w:ascii="Times New Roman" w:hAnsi="Times New Roman" w:cs="Times New Roman"/>
        </w:rPr>
      </w:pPr>
      <w:r w:rsidRPr="005D08AD">
        <w:rPr>
          <w:rFonts w:ascii="Times New Roman" w:hAnsi="Times New Roman" w:cs="Times New Roman"/>
        </w:rPr>
        <w:t>ANTECEDENTES</w:t>
      </w:r>
    </w:p>
    <w:p w:rsidR="0052571C" w:rsidRPr="005D08AD" w:rsidRDefault="005D08AD" w:rsidP="005F72BB">
      <w:pPr>
        <w:contextualSpacing/>
        <w:mirrorIndents/>
        <w:jc w:val="both"/>
        <w:rPr>
          <w:rFonts w:ascii="Times New Roman" w:hAnsi="Times New Roman" w:cs="Times New Roman"/>
          <w:b/>
          <w:sz w:val="28"/>
        </w:rPr>
      </w:pPr>
    </w:p>
    <w:p w:rsidR="007F405C" w:rsidRPr="005D08AD" w:rsidRDefault="005D08AD" w:rsidP="005F72BB">
      <w:pPr>
        <w:pStyle w:val="Prrafodelista"/>
        <w:numPr>
          <w:ilvl w:val="0"/>
          <w:numId w:val="4"/>
        </w:numPr>
        <w:tabs>
          <w:tab w:val="left" w:pos="567"/>
          <w:tab w:val="left" w:pos="709"/>
        </w:tabs>
        <w:adjustRightInd w:val="0"/>
        <w:spacing w:after="0" w:line="240" w:lineRule="auto"/>
        <w:mirrorIndents/>
        <w:jc w:val="both"/>
        <w:rPr>
          <w:rFonts w:ascii="Times New Roman" w:hAnsi="Times New Roman" w:cs="Times New Roman"/>
          <w:szCs w:val="28"/>
        </w:rPr>
      </w:pPr>
      <w:r w:rsidRPr="005D08AD">
        <w:rPr>
          <w:rFonts w:ascii="Times New Roman" w:hAnsi="Times New Roman" w:cs="Times New Roman"/>
          <w:szCs w:val="28"/>
        </w:rPr>
        <w:t xml:space="preserve">Juan </w:t>
      </w:r>
      <w:r w:rsidRPr="005D08AD">
        <w:rPr>
          <w:rFonts w:ascii="Times New Roman" w:hAnsi="Times New Roman" w:cs="Times New Roman"/>
          <w:color w:val="000000" w:themeColor="text1"/>
          <w:kern w:val="1"/>
          <w:szCs w:val="28"/>
        </w:rPr>
        <w:t>Israel Casallas Romero y José Fernando Rengifo Contreras</w:t>
      </w:r>
      <w:r w:rsidRPr="005D08AD">
        <w:rPr>
          <w:rFonts w:ascii="Times New Roman" w:hAnsi="Times New Roman" w:cs="Times New Roman"/>
          <w:color w:val="000000" w:themeColor="text1"/>
          <w:szCs w:val="28"/>
        </w:rPr>
        <w:t xml:space="preserve">, en ejercicio de la acción pública prevista en los artículos 40.6, 241 y 242 de la Constitución Política, </w:t>
      </w:r>
      <w:r w:rsidRPr="005D08AD">
        <w:rPr>
          <w:rFonts w:ascii="Times New Roman" w:hAnsi="Times New Roman" w:cs="Times New Roman"/>
          <w:color w:val="000000" w:themeColor="text1"/>
          <w:kern w:val="1"/>
          <w:szCs w:val="28"/>
        </w:rPr>
        <w:t xml:space="preserve">presentaron una demanda de inconstitucionalidad </w:t>
      </w:r>
      <w:r w:rsidRPr="005D08AD">
        <w:rPr>
          <w:rFonts w:ascii="Times New Roman" w:hAnsi="Times New Roman" w:cs="Times New Roman"/>
          <w:color w:val="000000" w:themeColor="text1"/>
          <w:kern w:val="1"/>
          <w:szCs w:val="28"/>
        </w:rPr>
        <w:t xml:space="preserve">en </w:t>
      </w:r>
      <w:r w:rsidRPr="005D08AD">
        <w:rPr>
          <w:rFonts w:ascii="Times New Roman" w:hAnsi="Times New Roman" w:cs="Times New Roman"/>
          <w:color w:val="000000" w:themeColor="text1"/>
          <w:kern w:val="1"/>
          <w:szCs w:val="28"/>
        </w:rPr>
        <w:t xml:space="preserve">contra </w:t>
      </w:r>
      <w:r w:rsidRPr="005D08AD">
        <w:rPr>
          <w:rFonts w:ascii="Times New Roman" w:hAnsi="Times New Roman" w:cs="Times New Roman"/>
          <w:color w:val="000000" w:themeColor="text1"/>
          <w:kern w:val="1"/>
          <w:szCs w:val="28"/>
        </w:rPr>
        <w:t>d</w:t>
      </w:r>
      <w:r w:rsidRPr="005D08AD">
        <w:rPr>
          <w:rFonts w:ascii="Times New Roman" w:hAnsi="Times New Roman" w:cs="Times New Roman"/>
          <w:color w:val="000000" w:themeColor="text1"/>
          <w:kern w:val="1"/>
          <w:szCs w:val="28"/>
        </w:rPr>
        <w:t xml:space="preserve">el artículo 48 </w:t>
      </w:r>
      <w:r w:rsidRPr="005D08AD">
        <w:rPr>
          <w:rFonts w:ascii="Times New Roman" w:hAnsi="Times New Roman" w:cs="Times New Roman"/>
          <w:color w:val="000000" w:themeColor="text1"/>
          <w:kern w:val="1"/>
          <w:szCs w:val="28"/>
        </w:rPr>
        <w:t>(parcial) de la</w:t>
      </w:r>
      <w:r w:rsidRPr="005D08AD">
        <w:rPr>
          <w:rFonts w:ascii="Times New Roman" w:hAnsi="Times New Roman" w:cs="Times New Roman"/>
          <w:color w:val="000000" w:themeColor="text1"/>
          <w:szCs w:val="28"/>
        </w:rPr>
        <w:t xml:space="preserve"> Ley 1438 de 2011</w:t>
      </w:r>
      <w:r w:rsidRPr="005D08AD">
        <w:rPr>
          <w:rFonts w:ascii="Times New Roman" w:hAnsi="Times New Roman" w:cs="Times New Roman"/>
          <w:color w:val="000000" w:themeColor="text1"/>
          <w:szCs w:val="28"/>
        </w:rPr>
        <w:t xml:space="preserve"> “por medio de la cual se reforma el Sistema General de Seguridad Social en Salud y se dictan otras disposiciones”</w:t>
      </w:r>
      <w:r w:rsidRPr="005D08AD">
        <w:rPr>
          <w:rFonts w:ascii="Times New Roman" w:hAnsi="Times New Roman" w:cs="Times New Roman"/>
          <w:color w:val="000000" w:themeColor="text1"/>
          <w:szCs w:val="28"/>
        </w:rPr>
        <w:t xml:space="preserve">. </w:t>
      </w:r>
    </w:p>
    <w:p w:rsidR="00B43560" w:rsidRPr="005D08AD" w:rsidRDefault="005D08AD" w:rsidP="005F72BB">
      <w:pPr>
        <w:pStyle w:val="Prrafodelista"/>
        <w:tabs>
          <w:tab w:val="left" w:pos="567"/>
          <w:tab w:val="left" w:pos="709"/>
        </w:tabs>
        <w:adjustRightInd w:val="0"/>
        <w:spacing w:after="0" w:line="240" w:lineRule="auto"/>
        <w:ind w:left="0"/>
        <w:mirrorIndents/>
        <w:jc w:val="both"/>
        <w:rPr>
          <w:rFonts w:ascii="Times New Roman" w:hAnsi="Times New Roman" w:cs="Times New Roman"/>
          <w:szCs w:val="28"/>
        </w:rPr>
      </w:pPr>
    </w:p>
    <w:p w:rsidR="00D0081D" w:rsidRPr="005D08AD" w:rsidRDefault="005D08AD" w:rsidP="005F72BB">
      <w:pPr>
        <w:pStyle w:val="Prrafodelista"/>
        <w:numPr>
          <w:ilvl w:val="0"/>
          <w:numId w:val="4"/>
        </w:numPr>
        <w:tabs>
          <w:tab w:val="left" w:pos="567"/>
          <w:tab w:val="left" w:pos="709"/>
        </w:tabs>
        <w:adjustRightInd w:val="0"/>
        <w:spacing w:after="0" w:line="240" w:lineRule="auto"/>
        <w:mirrorIndents/>
        <w:jc w:val="both"/>
        <w:rPr>
          <w:rFonts w:ascii="Times New Roman" w:hAnsi="Times New Roman" w:cs="Times New Roman"/>
          <w:szCs w:val="28"/>
        </w:rPr>
      </w:pPr>
      <w:r w:rsidRPr="005D08AD">
        <w:rPr>
          <w:rFonts w:ascii="Times New Roman" w:hAnsi="Times New Roman" w:cs="Times New Roman"/>
          <w:color w:val="000000" w:themeColor="text1"/>
          <w:szCs w:val="28"/>
        </w:rPr>
        <w:t xml:space="preserve">En </w:t>
      </w:r>
      <w:r w:rsidRPr="005D08AD">
        <w:rPr>
          <w:rFonts w:ascii="Times New Roman" w:hAnsi="Times New Roman" w:cs="Times New Roman"/>
          <w:color w:val="000000" w:themeColor="text1"/>
          <w:szCs w:val="28"/>
        </w:rPr>
        <w:t>A</w:t>
      </w:r>
      <w:r w:rsidRPr="005D08AD">
        <w:rPr>
          <w:rFonts w:ascii="Times New Roman" w:hAnsi="Times New Roman" w:cs="Times New Roman"/>
          <w:color w:val="000000" w:themeColor="text1"/>
          <w:szCs w:val="28"/>
        </w:rPr>
        <w:t>uto del 3 de octubre de 2025</w:t>
      </w:r>
      <w:r w:rsidRPr="005D08AD">
        <w:rPr>
          <w:rStyle w:val="Refdenotaalpie"/>
          <w:rFonts w:ascii="Times New Roman" w:hAnsi="Times New Roman"/>
          <w:color w:val="000000" w:themeColor="text1"/>
          <w:szCs w:val="28"/>
        </w:rPr>
        <w:footnoteReference w:id="2"/>
      </w:r>
      <w:r w:rsidRPr="005D08AD">
        <w:rPr>
          <w:rFonts w:ascii="Times New Roman" w:hAnsi="Times New Roman" w:cs="Times New Roman"/>
          <w:color w:val="000000" w:themeColor="text1"/>
          <w:szCs w:val="28"/>
        </w:rPr>
        <w:t xml:space="preserve"> el magistrado sustanciador admitió la dema</w:t>
      </w:r>
      <w:r w:rsidRPr="005D08AD">
        <w:rPr>
          <w:rFonts w:ascii="Times New Roman" w:hAnsi="Times New Roman" w:cs="Times New Roman"/>
          <w:color w:val="000000" w:themeColor="text1"/>
          <w:szCs w:val="28"/>
        </w:rPr>
        <w:t>nda y ordenó (i) correr trasla</w:t>
      </w:r>
      <w:r w:rsidRPr="005D08AD">
        <w:rPr>
          <w:rFonts w:ascii="Times New Roman" w:hAnsi="Times New Roman" w:cs="Times New Roman"/>
          <w:color w:val="000000" w:themeColor="text1"/>
          <w:szCs w:val="28"/>
        </w:rPr>
        <w:t>do del expediente a</w:t>
      </w:r>
      <w:r w:rsidRPr="005D08AD">
        <w:rPr>
          <w:rFonts w:ascii="Times New Roman" w:hAnsi="Times New Roman" w:cs="Times New Roman"/>
          <w:color w:val="000000" w:themeColor="text1"/>
          <w:szCs w:val="28"/>
        </w:rPr>
        <w:t>l</w:t>
      </w:r>
      <w:r w:rsidRPr="005D08AD">
        <w:rPr>
          <w:rFonts w:ascii="Times New Roman" w:hAnsi="Times New Roman" w:cs="Times New Roman"/>
          <w:color w:val="000000" w:themeColor="text1"/>
          <w:szCs w:val="28"/>
        </w:rPr>
        <w:t xml:space="preserve"> Procurador General de la Nación para que rindiera el concepto </w:t>
      </w:r>
      <w:r w:rsidRPr="005D08AD">
        <w:rPr>
          <w:rFonts w:ascii="Times New Roman" w:hAnsi="Times New Roman" w:cs="Times New Roman"/>
          <w:color w:val="000000" w:themeColor="text1"/>
          <w:szCs w:val="28"/>
        </w:rPr>
        <w:t>de rigor</w:t>
      </w:r>
      <w:r w:rsidRPr="005D08AD">
        <w:rPr>
          <w:rStyle w:val="Refdenotaalpie"/>
          <w:rFonts w:ascii="Times New Roman" w:hAnsi="Times New Roman"/>
          <w:color w:val="000000" w:themeColor="text1"/>
          <w:szCs w:val="28"/>
        </w:rPr>
        <w:footnoteReference w:id="3"/>
      </w:r>
      <w:r w:rsidRPr="005D08AD">
        <w:rPr>
          <w:rFonts w:ascii="Times New Roman" w:hAnsi="Times New Roman" w:cs="Times New Roman"/>
          <w:color w:val="000000" w:themeColor="text1"/>
          <w:szCs w:val="28"/>
        </w:rPr>
        <w:t>; (ii) fijar en lista el proceso, en aras de permitir la intervención ciudadana</w:t>
      </w:r>
      <w:r w:rsidRPr="005D08AD">
        <w:rPr>
          <w:rStyle w:val="Refdenotaalpie"/>
          <w:rFonts w:ascii="Times New Roman" w:hAnsi="Times New Roman"/>
          <w:color w:val="000000" w:themeColor="text1"/>
          <w:szCs w:val="28"/>
        </w:rPr>
        <w:footnoteReference w:id="4"/>
      </w:r>
      <w:r w:rsidRPr="005D08AD">
        <w:rPr>
          <w:rFonts w:ascii="Times New Roman" w:hAnsi="Times New Roman" w:cs="Times New Roman"/>
          <w:color w:val="000000" w:themeColor="text1"/>
          <w:szCs w:val="28"/>
        </w:rPr>
        <w:t xml:space="preserve">; (iii) </w:t>
      </w:r>
      <w:r w:rsidRPr="005D08AD">
        <w:rPr>
          <w:rFonts w:ascii="Times New Roman" w:hAnsi="Times New Roman" w:cs="Times New Roman"/>
          <w:color w:val="000000" w:themeColor="text1"/>
          <w:szCs w:val="28"/>
        </w:rPr>
        <w:t>comunicar del presente proceso al Congreso</w:t>
      </w:r>
      <w:r w:rsidRPr="005D08AD">
        <w:rPr>
          <w:rFonts w:ascii="Times New Roman" w:hAnsi="Times New Roman" w:cs="Times New Roman"/>
          <w:color w:val="000000" w:themeColor="text1"/>
          <w:szCs w:val="28"/>
        </w:rPr>
        <w:t xml:space="preserve"> de la República</w:t>
      </w:r>
      <w:r w:rsidRPr="005D08AD">
        <w:rPr>
          <w:rFonts w:ascii="Times New Roman" w:hAnsi="Times New Roman" w:cs="Times New Roman"/>
          <w:color w:val="000000" w:themeColor="text1"/>
          <w:szCs w:val="28"/>
        </w:rPr>
        <w:t>, al Ministerio de</w:t>
      </w:r>
      <w:r w:rsidRPr="005D08AD">
        <w:rPr>
          <w:rFonts w:ascii="Times New Roman" w:hAnsi="Times New Roman" w:cs="Times New Roman"/>
          <w:color w:val="000000" w:themeColor="text1"/>
          <w:szCs w:val="28"/>
        </w:rPr>
        <w:t xml:space="preserve"> Hacienda</w:t>
      </w:r>
      <w:r w:rsidRPr="005D08AD">
        <w:rPr>
          <w:rFonts w:ascii="Times New Roman" w:hAnsi="Times New Roman" w:cs="Times New Roman"/>
          <w:color w:val="000000" w:themeColor="text1"/>
          <w:szCs w:val="28"/>
        </w:rPr>
        <w:t xml:space="preserve"> y Crédito Público</w:t>
      </w:r>
      <w:r w:rsidRPr="005D08AD">
        <w:rPr>
          <w:rFonts w:ascii="Times New Roman" w:hAnsi="Times New Roman" w:cs="Times New Roman"/>
          <w:color w:val="000000" w:themeColor="text1"/>
          <w:szCs w:val="28"/>
        </w:rPr>
        <w:t xml:space="preserve">, al Ministerio de Salud y Protección Social, </w:t>
      </w:r>
      <w:r w:rsidRPr="005D08AD">
        <w:rPr>
          <w:rFonts w:ascii="Times New Roman" w:hAnsi="Times New Roman" w:cs="Times New Roman"/>
          <w:color w:val="000000" w:themeColor="text1"/>
          <w:szCs w:val="28"/>
        </w:rPr>
        <w:t xml:space="preserve">al </w:t>
      </w:r>
      <w:r w:rsidRPr="005D08AD">
        <w:rPr>
          <w:rFonts w:ascii="Times New Roman" w:hAnsi="Times New Roman" w:cs="Times New Roman"/>
          <w:color w:val="000000" w:themeColor="text1"/>
          <w:szCs w:val="28"/>
        </w:rPr>
        <w:t>Ministerio de Defensa Nacional y a la Dirección de Impuestos y Aduanas (DIAN)</w:t>
      </w:r>
      <w:r w:rsidRPr="005D08AD">
        <w:rPr>
          <w:rStyle w:val="Refdenotaalpie"/>
          <w:rFonts w:ascii="Times New Roman" w:hAnsi="Times New Roman"/>
          <w:color w:val="000000" w:themeColor="text1"/>
          <w:szCs w:val="28"/>
        </w:rPr>
        <w:footnoteReference w:id="5"/>
      </w:r>
      <w:r w:rsidRPr="005D08AD">
        <w:rPr>
          <w:rFonts w:ascii="Times New Roman" w:hAnsi="Times New Roman" w:cs="Times New Roman"/>
          <w:color w:val="000000" w:themeColor="text1"/>
          <w:szCs w:val="28"/>
        </w:rPr>
        <w:t>. Asimismo, dispuso</w:t>
      </w:r>
      <w:r w:rsidRPr="005D08AD">
        <w:rPr>
          <w:rFonts w:ascii="Times New Roman" w:hAnsi="Times New Roman" w:cs="Times New Roman"/>
          <w:color w:val="000000" w:themeColor="text1"/>
          <w:szCs w:val="28"/>
        </w:rPr>
        <w:t xml:space="preserve"> (iv) invitar a varias entidades, asociaciones, universidades, con el fin de que pr</w:t>
      </w:r>
      <w:r w:rsidRPr="005D08AD">
        <w:rPr>
          <w:rFonts w:ascii="Times New Roman" w:hAnsi="Times New Roman" w:cs="Times New Roman"/>
          <w:color w:val="000000" w:themeColor="text1"/>
          <w:szCs w:val="28"/>
        </w:rPr>
        <w:t>esentaran su opinión sobre la materia objeto de controversia</w:t>
      </w:r>
      <w:r w:rsidRPr="005D08AD">
        <w:rPr>
          <w:rStyle w:val="Refdenotaalpie"/>
          <w:rFonts w:ascii="Times New Roman" w:hAnsi="Times New Roman"/>
          <w:color w:val="000000" w:themeColor="text1"/>
          <w:szCs w:val="28"/>
        </w:rPr>
        <w:footnoteReference w:id="6"/>
      </w:r>
      <w:r w:rsidRPr="005D08AD">
        <w:rPr>
          <w:rFonts w:ascii="Times New Roman" w:hAnsi="Times New Roman" w:cs="Times New Roman"/>
          <w:color w:val="000000" w:themeColor="text1"/>
          <w:szCs w:val="28"/>
        </w:rPr>
        <w:t>.</w:t>
      </w:r>
    </w:p>
    <w:p w:rsidR="00FE0D3C" w:rsidRPr="005D08AD" w:rsidRDefault="005D08AD" w:rsidP="005F72BB">
      <w:pPr>
        <w:pStyle w:val="Prrafodelista"/>
        <w:tabs>
          <w:tab w:val="left" w:pos="567"/>
          <w:tab w:val="left" w:pos="709"/>
        </w:tabs>
        <w:adjustRightInd w:val="0"/>
        <w:spacing w:after="0" w:line="240" w:lineRule="auto"/>
        <w:ind w:left="0"/>
        <w:mirrorIndents/>
        <w:jc w:val="both"/>
        <w:rPr>
          <w:rFonts w:ascii="Times New Roman" w:hAnsi="Times New Roman" w:cs="Times New Roman"/>
          <w:szCs w:val="28"/>
        </w:rPr>
      </w:pPr>
    </w:p>
    <w:p w:rsidR="00FE0D3C" w:rsidRPr="005D08AD" w:rsidRDefault="005D08AD" w:rsidP="005F72BB">
      <w:pPr>
        <w:pStyle w:val="Prrafodelista"/>
        <w:numPr>
          <w:ilvl w:val="0"/>
          <w:numId w:val="4"/>
        </w:numPr>
        <w:tabs>
          <w:tab w:val="left" w:pos="567"/>
          <w:tab w:val="left" w:pos="709"/>
        </w:tabs>
        <w:adjustRightInd w:val="0"/>
        <w:spacing w:after="0" w:line="240" w:lineRule="auto"/>
        <w:mirrorIndents/>
        <w:jc w:val="both"/>
        <w:rPr>
          <w:rFonts w:ascii="Times New Roman" w:hAnsi="Times New Roman" w:cs="Times New Roman"/>
          <w:szCs w:val="28"/>
        </w:rPr>
      </w:pPr>
      <w:r w:rsidRPr="005D08AD">
        <w:rPr>
          <w:rFonts w:ascii="Times New Roman" w:hAnsi="Times New Roman" w:cs="Times New Roman"/>
          <w:szCs w:val="28"/>
        </w:rPr>
        <w:t>Cumplido</w:t>
      </w:r>
      <w:r w:rsidRPr="005D08AD">
        <w:rPr>
          <w:rFonts w:ascii="Times New Roman" w:hAnsi="Times New Roman" w:cs="Times New Roman"/>
          <w:szCs w:val="28"/>
        </w:rPr>
        <w:t>s</w:t>
      </w:r>
      <w:r w:rsidRPr="005D08AD">
        <w:rPr>
          <w:rFonts w:ascii="Times New Roman" w:hAnsi="Times New Roman" w:cs="Times New Roman"/>
          <w:szCs w:val="28"/>
        </w:rPr>
        <w:t xml:space="preserve"> los trámites previstos en el artículo 242 de la Constitución </w:t>
      </w:r>
      <w:r w:rsidRPr="005D08AD">
        <w:rPr>
          <w:rFonts w:ascii="Times New Roman" w:hAnsi="Times New Roman" w:cs="Times New Roman"/>
          <w:szCs w:val="28"/>
        </w:rPr>
        <w:t xml:space="preserve">y en el Decreto Ley 2067 de 1991, la </w:t>
      </w:r>
      <w:r w:rsidRPr="005D08AD">
        <w:rPr>
          <w:rFonts w:ascii="Times New Roman" w:hAnsi="Times New Roman" w:cs="Times New Roman"/>
          <w:szCs w:val="28"/>
        </w:rPr>
        <w:t>Sala Plena procede</w:t>
      </w:r>
      <w:r w:rsidRPr="005D08AD">
        <w:rPr>
          <w:rFonts w:ascii="Times New Roman" w:hAnsi="Times New Roman" w:cs="Times New Roman"/>
          <w:szCs w:val="28"/>
        </w:rPr>
        <w:t xml:space="preserve"> a decidir la demanda de la referencia. </w:t>
      </w:r>
    </w:p>
    <w:p w:rsidR="000D33AA" w:rsidRPr="005D08AD" w:rsidRDefault="005D08AD" w:rsidP="005F72BB">
      <w:pPr>
        <w:pStyle w:val="Prrafodelista"/>
        <w:tabs>
          <w:tab w:val="left" w:pos="567"/>
          <w:tab w:val="left" w:pos="709"/>
        </w:tabs>
        <w:adjustRightInd w:val="0"/>
        <w:spacing w:after="0" w:line="240" w:lineRule="auto"/>
        <w:ind w:left="0"/>
        <w:mirrorIndents/>
        <w:jc w:val="both"/>
        <w:rPr>
          <w:rFonts w:ascii="Times New Roman" w:hAnsi="Times New Roman" w:cs="Times New Roman"/>
          <w:szCs w:val="28"/>
        </w:rPr>
      </w:pPr>
    </w:p>
    <w:p w:rsidR="0013118C" w:rsidRPr="005D08AD" w:rsidRDefault="005D08AD" w:rsidP="005F72BB">
      <w:pPr>
        <w:pStyle w:val="Prrafodelista"/>
        <w:widowControl w:val="0"/>
        <w:numPr>
          <w:ilvl w:val="0"/>
          <w:numId w:val="5"/>
        </w:numPr>
        <w:spacing w:after="0" w:line="240" w:lineRule="auto"/>
        <w:ind w:left="0" w:firstLine="0"/>
        <w:mirrorIndents/>
        <w:jc w:val="both"/>
        <w:outlineLvl w:val="1"/>
        <w:rPr>
          <w:rFonts w:ascii="Times New Roman" w:hAnsi="Times New Roman" w:cs="Times New Roman"/>
          <w:b/>
          <w:szCs w:val="28"/>
          <w:lang w:val="es-CO"/>
        </w:rPr>
      </w:pPr>
      <w:r w:rsidRPr="005D08AD">
        <w:rPr>
          <w:rFonts w:ascii="Times New Roman" w:hAnsi="Times New Roman" w:cs="Times New Roman"/>
          <w:b/>
          <w:bCs/>
          <w:lang w:val="es-CO"/>
        </w:rPr>
        <w:t xml:space="preserve">La </w:t>
      </w:r>
      <w:r w:rsidRPr="005D08AD">
        <w:rPr>
          <w:rFonts w:ascii="Times New Roman" w:hAnsi="Times New Roman" w:cs="Times New Roman"/>
          <w:b/>
          <w:bCs/>
          <w:lang w:val="es-CO"/>
        </w:rPr>
        <w:t>n</w:t>
      </w:r>
      <w:r w:rsidRPr="005D08AD">
        <w:rPr>
          <w:rFonts w:ascii="Times New Roman" w:hAnsi="Times New Roman" w:cs="Times New Roman"/>
          <w:b/>
          <w:bCs/>
          <w:lang w:val="es-CO"/>
        </w:rPr>
        <w:t xml:space="preserve">orma </w:t>
      </w:r>
      <w:r w:rsidRPr="005D08AD">
        <w:rPr>
          <w:rFonts w:ascii="Times New Roman" w:hAnsi="Times New Roman" w:cs="Times New Roman"/>
          <w:b/>
          <w:bCs/>
          <w:lang w:val="es-CO"/>
        </w:rPr>
        <w:t>d</w:t>
      </w:r>
      <w:r w:rsidRPr="005D08AD">
        <w:rPr>
          <w:rFonts w:ascii="Times New Roman" w:hAnsi="Times New Roman" w:cs="Times New Roman"/>
          <w:b/>
          <w:bCs/>
          <w:lang w:val="es-CO"/>
        </w:rPr>
        <w:t>emandada</w:t>
      </w:r>
    </w:p>
    <w:p w:rsidR="006F560F" w:rsidRPr="005D08AD" w:rsidRDefault="005D08AD" w:rsidP="005F72BB">
      <w:pPr>
        <w:pStyle w:val="Prrafodelista"/>
        <w:widowControl w:val="0"/>
        <w:spacing w:after="0" w:line="240" w:lineRule="auto"/>
        <w:ind w:left="0"/>
        <w:mirrorIndents/>
        <w:jc w:val="both"/>
        <w:rPr>
          <w:rFonts w:ascii="Times New Roman" w:hAnsi="Times New Roman" w:cs="Times New Roman"/>
          <w:b/>
          <w:szCs w:val="28"/>
          <w:lang w:val="es-CO"/>
        </w:rPr>
      </w:pPr>
    </w:p>
    <w:p w:rsidR="00D03BD8" w:rsidRPr="005D08AD" w:rsidRDefault="005D08AD" w:rsidP="005F72BB">
      <w:pPr>
        <w:pStyle w:val="Prrafodelista"/>
        <w:numPr>
          <w:ilvl w:val="0"/>
          <w:numId w:val="4"/>
        </w:numPr>
        <w:tabs>
          <w:tab w:val="left" w:pos="567"/>
        </w:tabs>
        <w:spacing w:after="0" w:line="240" w:lineRule="auto"/>
        <w:mirrorIndents/>
        <w:jc w:val="both"/>
        <w:rPr>
          <w:rFonts w:ascii="Times New Roman" w:hAnsi="Times New Roman" w:cs="Times New Roman"/>
          <w:bCs/>
        </w:rPr>
      </w:pPr>
      <w:r w:rsidRPr="005D08AD">
        <w:rPr>
          <w:rFonts w:ascii="Times New Roman" w:hAnsi="Times New Roman" w:cs="Times New Roman"/>
          <w:szCs w:val="28"/>
          <w:shd w:val="clear" w:color="auto" w:fill="FFFFFF"/>
        </w:rPr>
        <w:t xml:space="preserve">A </w:t>
      </w:r>
      <w:r w:rsidRPr="005D08AD">
        <w:rPr>
          <w:rFonts w:ascii="Times New Roman" w:hAnsi="Times New Roman" w:cs="Times New Roman"/>
          <w:szCs w:val="28"/>
        </w:rPr>
        <w:t>continuación,</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se </w:t>
      </w:r>
      <w:r w:rsidRPr="005D08AD">
        <w:rPr>
          <w:rFonts w:ascii="Times New Roman" w:hAnsi="Times New Roman" w:cs="Times New Roman"/>
          <w:szCs w:val="28"/>
          <w:shd w:val="clear" w:color="auto" w:fill="FFFFFF"/>
        </w:rPr>
        <w:t>transcribe el texto demandado</w:t>
      </w:r>
      <w:r w:rsidRPr="005D08AD">
        <w:rPr>
          <w:rFonts w:ascii="Times New Roman" w:hAnsi="Times New Roman" w:cs="Times New Roman"/>
          <w:szCs w:val="28"/>
          <w:shd w:val="clear" w:color="auto" w:fill="FFFFFF"/>
        </w:rPr>
        <w:t xml:space="preserve">. Los apartes acusados por los demandantes están señalados en </w:t>
      </w:r>
      <w:r w:rsidRPr="005D08AD">
        <w:rPr>
          <w:rFonts w:ascii="Times New Roman" w:hAnsi="Times New Roman" w:cs="Times New Roman"/>
          <w:szCs w:val="28"/>
          <w:shd w:val="clear" w:color="auto" w:fill="FFFFFF"/>
        </w:rPr>
        <w:t xml:space="preserve">negrilla y subrayados en el texto: </w:t>
      </w:r>
      <w:r w:rsidRPr="005D08AD">
        <w:rPr>
          <w:rFonts w:ascii="Times New Roman" w:hAnsi="Times New Roman" w:cs="Times New Roman"/>
          <w:szCs w:val="28"/>
          <w:shd w:val="clear" w:color="auto" w:fill="FFFFFF"/>
        </w:rPr>
        <w:t xml:space="preserve"> </w:t>
      </w:r>
    </w:p>
    <w:p w:rsidR="0051332F" w:rsidRPr="005D08AD" w:rsidRDefault="005D08AD" w:rsidP="005F72BB">
      <w:pPr>
        <w:pStyle w:val="Prrafodelista"/>
        <w:tabs>
          <w:tab w:val="left" w:pos="567"/>
        </w:tabs>
        <w:spacing w:after="0" w:line="240" w:lineRule="auto"/>
        <w:ind w:left="0"/>
        <w:mirrorIndents/>
        <w:jc w:val="both"/>
        <w:rPr>
          <w:rFonts w:ascii="Times New Roman" w:hAnsi="Times New Roman" w:cs="Times New Roman"/>
          <w:bCs/>
        </w:rPr>
      </w:pPr>
    </w:p>
    <w:tbl>
      <w:tblPr>
        <w:tblStyle w:val="Tablaconcuadrcula"/>
        <w:tblW w:w="0" w:type="auto"/>
        <w:tblLook w:val="04A0" w:firstRow="1" w:lastRow="0" w:firstColumn="1" w:lastColumn="0" w:noHBand="0" w:noVBand="1"/>
      </w:tblPr>
      <w:tblGrid>
        <w:gridCol w:w="8828"/>
      </w:tblGrid>
      <w:tr w:rsidR="00B409FE" w:rsidRPr="005D08AD" w:rsidTr="00B409FE">
        <w:tc>
          <w:tcPr>
            <w:tcW w:w="8828" w:type="dxa"/>
          </w:tcPr>
          <w:p w:rsidR="00B409FE" w:rsidRPr="005D08AD" w:rsidRDefault="005D08AD" w:rsidP="005F72BB">
            <w:pPr>
              <w:contextualSpacing/>
              <w:mirrorIndents/>
              <w:jc w:val="center"/>
              <w:rPr>
                <w:i/>
                <w:iCs/>
                <w:color w:val="000000" w:themeColor="text1"/>
                <w:sz w:val="28"/>
                <w:szCs w:val="18"/>
              </w:rPr>
            </w:pPr>
            <w:r w:rsidRPr="005D08AD">
              <w:rPr>
                <w:color w:val="000000" w:themeColor="text1"/>
                <w:sz w:val="28"/>
                <w:szCs w:val="18"/>
              </w:rPr>
              <w:t>“</w:t>
            </w:r>
            <w:r w:rsidRPr="005D08AD">
              <w:rPr>
                <w:i/>
                <w:iCs/>
                <w:color w:val="000000" w:themeColor="text1"/>
                <w:sz w:val="28"/>
                <w:szCs w:val="18"/>
              </w:rPr>
              <w:t>LEY 1438 DE 2011</w:t>
            </w:r>
          </w:p>
          <w:p w:rsidR="00B409FE" w:rsidRPr="005D08AD" w:rsidRDefault="005D08AD" w:rsidP="005F72BB">
            <w:pPr>
              <w:contextualSpacing/>
              <w:mirrorIndents/>
              <w:jc w:val="center"/>
              <w:rPr>
                <w:i/>
                <w:iCs/>
                <w:color w:val="000000" w:themeColor="text1"/>
                <w:sz w:val="28"/>
                <w:szCs w:val="18"/>
              </w:rPr>
            </w:pPr>
            <w:r w:rsidRPr="005D08AD">
              <w:rPr>
                <w:i/>
                <w:iCs/>
                <w:color w:val="000000" w:themeColor="text1"/>
                <w:sz w:val="28"/>
                <w:szCs w:val="18"/>
              </w:rPr>
              <w:t>(enero 19)</w:t>
            </w:r>
          </w:p>
          <w:p w:rsidR="00B409FE" w:rsidRPr="005D08AD" w:rsidRDefault="005D08AD" w:rsidP="005F72BB">
            <w:pPr>
              <w:contextualSpacing/>
              <w:mirrorIndents/>
              <w:jc w:val="center"/>
              <w:rPr>
                <w:i/>
                <w:iCs/>
                <w:color w:val="000000" w:themeColor="text1"/>
                <w:sz w:val="28"/>
                <w:szCs w:val="18"/>
              </w:rPr>
            </w:pPr>
            <w:r w:rsidRPr="005D08AD">
              <w:rPr>
                <w:i/>
                <w:iCs/>
                <w:color w:val="000000" w:themeColor="text1"/>
                <w:sz w:val="28"/>
                <w:szCs w:val="18"/>
              </w:rPr>
              <w:t>por medio de la cual se reforma el Sistema General de Seguridad Social en Salud y</w:t>
            </w:r>
            <w:r w:rsidRPr="005D08AD">
              <w:rPr>
                <w:i/>
                <w:iCs/>
                <w:color w:val="000000" w:themeColor="text1"/>
                <w:sz w:val="28"/>
                <w:szCs w:val="18"/>
              </w:rPr>
              <w:t xml:space="preserve"> se dictan otras disposiciones.</w:t>
            </w:r>
          </w:p>
          <w:p w:rsidR="006649A8" w:rsidRPr="005D08AD" w:rsidRDefault="005D08AD" w:rsidP="005F72BB">
            <w:pPr>
              <w:contextualSpacing/>
              <w:mirrorIndents/>
              <w:jc w:val="center"/>
              <w:rPr>
                <w:i/>
                <w:iCs/>
                <w:color w:val="000000" w:themeColor="text1"/>
                <w:sz w:val="28"/>
                <w:szCs w:val="18"/>
              </w:rPr>
            </w:pPr>
          </w:p>
          <w:p w:rsidR="00B409FE" w:rsidRPr="005D08AD" w:rsidRDefault="005D08AD" w:rsidP="005F72BB">
            <w:pPr>
              <w:contextualSpacing/>
              <w:mirrorIndents/>
              <w:jc w:val="center"/>
              <w:rPr>
                <w:i/>
                <w:iCs/>
                <w:color w:val="000000" w:themeColor="text1"/>
                <w:sz w:val="28"/>
                <w:szCs w:val="18"/>
              </w:rPr>
            </w:pPr>
            <w:r w:rsidRPr="005D08AD">
              <w:rPr>
                <w:i/>
                <w:iCs/>
                <w:color w:val="000000" w:themeColor="text1"/>
                <w:sz w:val="28"/>
                <w:szCs w:val="18"/>
              </w:rPr>
              <w:t>El Congreso de Colombia</w:t>
            </w:r>
          </w:p>
          <w:p w:rsidR="00B409FE" w:rsidRPr="005D08AD" w:rsidRDefault="005D08AD" w:rsidP="005F72BB">
            <w:pPr>
              <w:contextualSpacing/>
              <w:mirrorIndents/>
              <w:jc w:val="center"/>
              <w:rPr>
                <w:b/>
                <w:bCs/>
                <w:i/>
                <w:iCs/>
                <w:color w:val="000000" w:themeColor="text1"/>
                <w:sz w:val="28"/>
                <w:szCs w:val="18"/>
              </w:rPr>
            </w:pPr>
          </w:p>
          <w:p w:rsidR="00B409FE" w:rsidRPr="005D08AD" w:rsidRDefault="005D08AD" w:rsidP="005F72BB">
            <w:pPr>
              <w:contextualSpacing/>
              <w:mirrorIndents/>
              <w:jc w:val="center"/>
              <w:rPr>
                <w:i/>
                <w:iCs/>
                <w:color w:val="000000" w:themeColor="text1"/>
                <w:sz w:val="28"/>
                <w:szCs w:val="18"/>
              </w:rPr>
            </w:pPr>
            <w:r w:rsidRPr="005D08AD">
              <w:rPr>
                <w:i/>
                <w:iCs/>
                <w:color w:val="000000" w:themeColor="text1"/>
                <w:sz w:val="28"/>
                <w:szCs w:val="18"/>
              </w:rPr>
              <w:t>DECRETA:</w:t>
            </w:r>
          </w:p>
          <w:p w:rsidR="00B409FE" w:rsidRPr="005D08AD" w:rsidRDefault="005D08AD" w:rsidP="005F72BB">
            <w:pPr>
              <w:contextualSpacing/>
              <w:mirrorIndents/>
              <w:jc w:val="center"/>
              <w:rPr>
                <w:color w:val="000000" w:themeColor="text1"/>
                <w:sz w:val="28"/>
                <w:szCs w:val="18"/>
              </w:rPr>
            </w:pPr>
            <w:r w:rsidRPr="005D08AD">
              <w:rPr>
                <w:color w:val="000000" w:themeColor="text1"/>
                <w:sz w:val="28"/>
                <w:szCs w:val="18"/>
              </w:rPr>
              <w:t>(…)</w:t>
            </w:r>
          </w:p>
          <w:p w:rsidR="00B409FE" w:rsidRPr="005D08AD" w:rsidRDefault="005D08AD" w:rsidP="005F72BB">
            <w:pPr>
              <w:contextualSpacing/>
              <w:mirrorIndents/>
              <w:jc w:val="center"/>
              <w:rPr>
                <w:color w:val="000000" w:themeColor="text1"/>
                <w:sz w:val="28"/>
                <w:szCs w:val="18"/>
              </w:rPr>
            </w:pPr>
          </w:p>
          <w:p w:rsidR="00B409FE" w:rsidRPr="005D08AD" w:rsidRDefault="005D08AD" w:rsidP="005F72BB">
            <w:pPr>
              <w:contextualSpacing/>
              <w:mirrorIndents/>
              <w:jc w:val="both"/>
              <w:rPr>
                <w:b/>
                <w:bCs/>
                <w:i/>
                <w:iCs/>
                <w:color w:val="000000" w:themeColor="text1"/>
                <w:sz w:val="28"/>
                <w:szCs w:val="18"/>
              </w:rPr>
            </w:pPr>
            <w:r w:rsidRPr="005D08AD">
              <w:rPr>
                <w:i/>
                <w:iCs/>
                <w:color w:val="000000" w:themeColor="text1"/>
                <w:sz w:val="28"/>
                <w:szCs w:val="18"/>
              </w:rPr>
              <w:t>Artículo 48.</w:t>
            </w:r>
            <w:r w:rsidRPr="005D08AD">
              <w:rPr>
                <w:b/>
                <w:bCs/>
                <w:i/>
                <w:iCs/>
                <w:color w:val="000000" w:themeColor="text1"/>
                <w:sz w:val="28"/>
                <w:szCs w:val="18"/>
              </w:rPr>
              <w:t xml:space="preserve"> </w:t>
            </w:r>
            <w:r w:rsidRPr="005D08AD">
              <w:rPr>
                <w:color w:val="000000" w:themeColor="text1"/>
                <w:sz w:val="28"/>
                <w:szCs w:val="18"/>
              </w:rPr>
              <w:t>Impuesto social a las armas y municiones. Modifíquese el artículo 224 de la Ley 100 de 1993, el cual quedará de la siguiente manera:</w:t>
            </w:r>
          </w:p>
          <w:p w:rsidR="00B409FE" w:rsidRPr="005D08AD" w:rsidRDefault="005D08AD" w:rsidP="005F72BB">
            <w:pPr>
              <w:contextualSpacing/>
              <w:mirrorIndents/>
              <w:jc w:val="both"/>
              <w:rPr>
                <w:b/>
                <w:bCs/>
                <w:i/>
                <w:iCs/>
                <w:color w:val="000000" w:themeColor="text1"/>
                <w:sz w:val="28"/>
                <w:szCs w:val="18"/>
              </w:rPr>
            </w:pPr>
          </w:p>
          <w:p w:rsidR="00B409FE" w:rsidRPr="005D08AD" w:rsidRDefault="005D08AD" w:rsidP="005F72BB">
            <w:pPr>
              <w:contextualSpacing/>
              <w:mirrorIndents/>
              <w:jc w:val="both"/>
              <w:rPr>
                <w:color w:val="000000" w:themeColor="text1"/>
                <w:sz w:val="28"/>
                <w:szCs w:val="18"/>
              </w:rPr>
            </w:pPr>
            <w:r w:rsidRPr="005D08AD">
              <w:rPr>
                <w:color w:val="000000" w:themeColor="text1"/>
                <w:sz w:val="28"/>
                <w:szCs w:val="18"/>
              </w:rPr>
              <w:t>"</w:t>
            </w:r>
            <w:r w:rsidRPr="005D08AD">
              <w:rPr>
                <w:i/>
                <w:iCs/>
                <w:color w:val="000000" w:themeColor="text1"/>
                <w:sz w:val="28"/>
                <w:szCs w:val="18"/>
              </w:rPr>
              <w:t>Artículo 224</w:t>
            </w:r>
            <w:r w:rsidRPr="005D08AD">
              <w:rPr>
                <w:b/>
                <w:bCs/>
                <w:color w:val="000000" w:themeColor="text1"/>
                <w:sz w:val="28"/>
                <w:szCs w:val="18"/>
              </w:rPr>
              <w:t>.</w:t>
            </w:r>
            <w:r w:rsidRPr="005D08AD">
              <w:rPr>
                <w:color w:val="000000" w:themeColor="text1"/>
                <w:sz w:val="28"/>
                <w:szCs w:val="18"/>
              </w:rPr>
              <w:t xml:space="preserve"> Impuesto social a las </w:t>
            </w:r>
            <w:r w:rsidRPr="005D08AD">
              <w:rPr>
                <w:color w:val="000000" w:themeColor="text1"/>
                <w:sz w:val="28"/>
                <w:szCs w:val="18"/>
              </w:rPr>
              <w:t>armas y municiones. A partir del 1° de enero de 1996, créase el impuesto social a las armas de fuego que será pagado por quienes las porten en el territorio nacional, y que será cobrado con la expedición o renovación del respectivo permiso y por el término</w:t>
            </w:r>
            <w:r w:rsidRPr="005D08AD">
              <w:rPr>
                <w:color w:val="000000" w:themeColor="text1"/>
                <w:sz w:val="28"/>
                <w:szCs w:val="18"/>
              </w:rPr>
              <w:t xml:space="preserve"> de este. El recaudo de este impuesto se destinará al fondo de solidaridad previsto en el artículo 221 de esta ley. El impuesto tendrá un monto equivalente al 30% de un salario mínimo mensual. </w:t>
            </w:r>
            <w:r w:rsidRPr="005D08AD">
              <w:rPr>
                <w:b/>
                <w:bCs/>
                <w:color w:val="000000" w:themeColor="text1"/>
                <w:sz w:val="28"/>
                <w:szCs w:val="18"/>
                <w:u w:val="single"/>
              </w:rPr>
              <w:t>Igualmente, créase el impuesto social a las municiones y explos</w:t>
            </w:r>
            <w:r w:rsidRPr="005D08AD">
              <w:rPr>
                <w:b/>
                <w:bCs/>
                <w:color w:val="000000" w:themeColor="text1"/>
                <w:sz w:val="28"/>
                <w:szCs w:val="18"/>
                <w:u w:val="single"/>
              </w:rPr>
              <w:t>ivos, que se cobrará como un impuesto ad valórem con una tasa del 20%. El gobierno reglamentará los mecanismos de pago y el uso de estos recursos: el Plan de Beneficios, los beneficiarios y los procedimientos necesarios para su operación.</w:t>
            </w:r>
            <w:r w:rsidRPr="005D08AD">
              <w:rPr>
                <w:color w:val="000000" w:themeColor="text1"/>
                <w:sz w:val="28"/>
                <w:szCs w:val="18"/>
              </w:rPr>
              <w:t xml:space="preserve"> </w:t>
            </w:r>
          </w:p>
          <w:p w:rsidR="00B409FE" w:rsidRPr="005D08AD" w:rsidRDefault="005D08AD" w:rsidP="005F72BB">
            <w:pPr>
              <w:contextualSpacing/>
              <w:mirrorIndents/>
              <w:jc w:val="both"/>
              <w:rPr>
                <w:color w:val="000000" w:themeColor="text1"/>
                <w:sz w:val="28"/>
                <w:szCs w:val="18"/>
              </w:rPr>
            </w:pPr>
          </w:p>
          <w:p w:rsidR="00B409FE" w:rsidRPr="005D08AD" w:rsidRDefault="005D08AD" w:rsidP="005F72BB">
            <w:pPr>
              <w:tabs>
                <w:tab w:val="left" w:pos="567"/>
              </w:tabs>
              <w:contextualSpacing/>
              <w:mirrorIndents/>
              <w:jc w:val="both"/>
              <w:rPr>
                <w:bCs/>
                <w:sz w:val="28"/>
              </w:rPr>
            </w:pPr>
            <w:r w:rsidRPr="005D08AD">
              <w:rPr>
                <w:i/>
                <w:iCs/>
                <w:color w:val="000000" w:themeColor="text1"/>
                <w:sz w:val="28"/>
                <w:szCs w:val="18"/>
              </w:rPr>
              <w:t>Parágrafo.</w:t>
            </w:r>
            <w:r w:rsidRPr="005D08AD">
              <w:rPr>
                <w:color w:val="000000" w:themeColor="text1"/>
                <w:sz w:val="28"/>
                <w:szCs w:val="18"/>
              </w:rPr>
              <w:t xml:space="preserve"> Se exceptúan de este impuesto las armas de fuego y municiones y explosivos que posean las Fuerzas Armadas y de Policía y las entidades de seguridad del Estado.”</w:t>
            </w:r>
          </w:p>
        </w:tc>
      </w:tr>
    </w:tbl>
    <w:p w:rsidR="008B7748" w:rsidRPr="005D08AD" w:rsidRDefault="005D08AD" w:rsidP="005F72BB">
      <w:pPr>
        <w:pStyle w:val="Sinespaciado1"/>
        <w:contextualSpacing/>
        <w:mirrorIndents/>
        <w:jc w:val="both"/>
        <w:rPr>
          <w:rFonts w:ascii="Times New Roman" w:hAnsi="Times New Roman" w:cs="Times New Roman"/>
          <w:sz w:val="28"/>
          <w:szCs w:val="28"/>
        </w:rPr>
      </w:pPr>
    </w:p>
    <w:p w:rsidR="00ED78A1" w:rsidRPr="005D08AD" w:rsidRDefault="005D08AD" w:rsidP="005F72BB">
      <w:pPr>
        <w:pStyle w:val="Prrafodelista"/>
        <w:widowControl w:val="0"/>
        <w:numPr>
          <w:ilvl w:val="0"/>
          <w:numId w:val="5"/>
        </w:numPr>
        <w:spacing w:after="0" w:line="240" w:lineRule="auto"/>
        <w:ind w:left="0" w:firstLine="0"/>
        <w:mirrorIndents/>
        <w:jc w:val="both"/>
        <w:outlineLvl w:val="1"/>
        <w:rPr>
          <w:rFonts w:ascii="Times New Roman" w:hAnsi="Times New Roman" w:cs="Times New Roman"/>
          <w:b/>
          <w:szCs w:val="28"/>
        </w:rPr>
      </w:pPr>
      <w:r w:rsidRPr="005D08AD">
        <w:rPr>
          <w:rFonts w:ascii="Times New Roman" w:hAnsi="Times New Roman" w:cs="Times New Roman"/>
          <w:b/>
          <w:szCs w:val="28"/>
        </w:rPr>
        <w:t>La</w:t>
      </w:r>
      <w:r w:rsidRPr="005D08AD">
        <w:rPr>
          <w:rFonts w:ascii="Times New Roman" w:hAnsi="Times New Roman" w:cs="Times New Roman"/>
          <w:b/>
          <w:szCs w:val="28"/>
        </w:rPr>
        <w:t xml:space="preserve"> demand</w:t>
      </w:r>
      <w:r w:rsidRPr="005D08AD">
        <w:rPr>
          <w:rFonts w:ascii="Times New Roman" w:hAnsi="Times New Roman" w:cs="Times New Roman"/>
          <w:b/>
          <w:szCs w:val="28"/>
        </w:rPr>
        <w:t>a</w:t>
      </w:r>
      <w:r w:rsidRPr="005D08AD">
        <w:rPr>
          <w:rStyle w:val="Refdenotaalpie"/>
          <w:rFonts w:ascii="Times New Roman" w:hAnsi="Times New Roman"/>
          <w:b/>
          <w:szCs w:val="28"/>
        </w:rPr>
        <w:footnoteReference w:id="7"/>
      </w:r>
    </w:p>
    <w:p w:rsidR="00ED78A1" w:rsidRPr="005D08AD" w:rsidRDefault="005D08AD" w:rsidP="005F72BB">
      <w:pPr>
        <w:contextualSpacing/>
        <w:mirrorIndents/>
        <w:rPr>
          <w:rFonts w:ascii="Times New Roman" w:hAnsi="Times New Roman" w:cs="Times New Roman"/>
          <w:b/>
          <w:sz w:val="28"/>
          <w:szCs w:val="28"/>
        </w:rPr>
      </w:pPr>
    </w:p>
    <w:p w:rsidR="009F6FB0" w:rsidRPr="005D08AD" w:rsidRDefault="005D08AD" w:rsidP="005F72BB">
      <w:pPr>
        <w:pStyle w:val="Prrafodelista"/>
        <w:widowControl w:val="0"/>
        <w:numPr>
          <w:ilvl w:val="0"/>
          <w:numId w:val="4"/>
        </w:numPr>
        <w:spacing w:after="0" w:line="240" w:lineRule="auto"/>
        <w:mirrorIndents/>
        <w:jc w:val="both"/>
        <w:rPr>
          <w:rFonts w:ascii="Times New Roman" w:hAnsi="Times New Roman" w:cs="Times New Roman"/>
          <w:color w:val="000000" w:themeColor="text1"/>
          <w:szCs w:val="28"/>
        </w:rPr>
      </w:pPr>
      <w:r w:rsidRPr="005D08AD">
        <w:rPr>
          <w:rFonts w:ascii="Times New Roman" w:hAnsi="Times New Roman" w:cs="Times New Roman"/>
          <w:color w:val="000000" w:themeColor="text1"/>
          <w:szCs w:val="28"/>
        </w:rPr>
        <w:t xml:space="preserve">Para </w:t>
      </w:r>
      <w:r w:rsidRPr="005D08AD">
        <w:rPr>
          <w:rFonts w:ascii="Times New Roman" w:hAnsi="Times New Roman" w:cs="Times New Roman"/>
          <w:color w:val="000000" w:themeColor="text1"/>
          <w:szCs w:val="28"/>
        </w:rPr>
        <w:t>los demandantes</w:t>
      </w:r>
      <w:r w:rsidRPr="005D08AD">
        <w:rPr>
          <w:rFonts w:ascii="Times New Roman" w:hAnsi="Times New Roman" w:cs="Times New Roman"/>
          <w:color w:val="000000" w:themeColor="text1"/>
          <w:szCs w:val="28"/>
        </w:rPr>
        <w:t xml:space="preserve"> </w:t>
      </w:r>
      <w:r w:rsidRPr="005D08AD">
        <w:rPr>
          <w:rFonts w:ascii="Times New Roman" w:hAnsi="Times New Roman" w:cs="Times New Roman"/>
          <w:color w:val="000000" w:themeColor="text1"/>
          <w:szCs w:val="28"/>
        </w:rPr>
        <w:t xml:space="preserve">el aparte acusado vulnera el principio de legalidad en </w:t>
      </w:r>
      <w:r w:rsidRPr="005D08AD">
        <w:rPr>
          <w:rFonts w:ascii="Times New Roman" w:hAnsi="Times New Roman" w:cs="Times New Roman"/>
          <w:color w:val="000000" w:themeColor="text1"/>
          <w:szCs w:val="28"/>
        </w:rPr>
        <w:t>materia tributaria pues, a su juicio, la norma no define el hecho generador del impuesto a las municiones y explosivos. En ese sentido, solicitan que se declare la inexequibilidad de la norma acusada y, subsidiariamente, su exequibilidad condicionada en el</w:t>
      </w:r>
      <w:r w:rsidRPr="005D08AD">
        <w:rPr>
          <w:rFonts w:ascii="Times New Roman" w:hAnsi="Times New Roman" w:cs="Times New Roman"/>
          <w:color w:val="000000" w:themeColor="text1"/>
          <w:szCs w:val="28"/>
        </w:rPr>
        <w:t xml:space="preserve"> entendido de que este elemento se refier</w:t>
      </w:r>
      <w:r w:rsidRPr="005D08AD">
        <w:rPr>
          <w:rFonts w:ascii="Times New Roman" w:hAnsi="Times New Roman" w:cs="Times New Roman"/>
          <w:color w:val="000000" w:themeColor="text1"/>
          <w:szCs w:val="28"/>
        </w:rPr>
        <w:t>e</w:t>
      </w:r>
      <w:r w:rsidRPr="005D08AD">
        <w:rPr>
          <w:rFonts w:ascii="Times New Roman" w:hAnsi="Times New Roman" w:cs="Times New Roman"/>
          <w:color w:val="000000" w:themeColor="text1"/>
          <w:szCs w:val="28"/>
        </w:rPr>
        <w:t xml:space="preserve"> al </w:t>
      </w:r>
      <w:r w:rsidRPr="005D08AD">
        <w:rPr>
          <w:rFonts w:ascii="Times New Roman" w:hAnsi="Times New Roman" w:cs="Times New Roman"/>
          <w:color w:val="000000" w:themeColor="text1"/>
          <w:szCs w:val="28"/>
        </w:rPr>
        <w:t>“</w:t>
      </w:r>
      <w:r w:rsidRPr="005D08AD">
        <w:rPr>
          <w:rFonts w:ascii="Times New Roman" w:hAnsi="Times New Roman" w:cs="Times New Roman"/>
          <w:color w:val="000000" w:themeColor="text1"/>
          <w:szCs w:val="28"/>
        </w:rPr>
        <w:t>porte</w:t>
      </w:r>
      <w:r w:rsidRPr="005D08AD">
        <w:rPr>
          <w:rFonts w:ascii="Times New Roman" w:hAnsi="Times New Roman" w:cs="Times New Roman"/>
          <w:color w:val="000000" w:themeColor="text1"/>
          <w:szCs w:val="28"/>
        </w:rPr>
        <w:t>”</w:t>
      </w:r>
      <w:r w:rsidRPr="005D08AD">
        <w:rPr>
          <w:rFonts w:ascii="Times New Roman" w:hAnsi="Times New Roman" w:cs="Times New Roman"/>
          <w:color w:val="000000" w:themeColor="text1"/>
          <w:szCs w:val="28"/>
        </w:rPr>
        <w:t xml:space="preserve"> como hecho generador. </w:t>
      </w:r>
    </w:p>
    <w:p w:rsidR="009F6FB0" w:rsidRPr="005D08AD" w:rsidRDefault="005D08AD" w:rsidP="005F72BB">
      <w:pPr>
        <w:pStyle w:val="Prrafodelista"/>
        <w:widowControl w:val="0"/>
        <w:spacing w:after="0" w:line="240" w:lineRule="auto"/>
        <w:ind w:left="0"/>
        <w:mirrorIndents/>
        <w:jc w:val="both"/>
        <w:rPr>
          <w:rFonts w:ascii="Times New Roman" w:hAnsi="Times New Roman" w:cs="Times New Roman"/>
          <w:color w:val="000000" w:themeColor="text1"/>
          <w:szCs w:val="28"/>
        </w:rPr>
      </w:pPr>
    </w:p>
    <w:p w:rsidR="009F6FB0" w:rsidRPr="005D08AD" w:rsidRDefault="005D08AD" w:rsidP="005F72BB">
      <w:pPr>
        <w:pStyle w:val="Prrafodelista"/>
        <w:widowControl w:val="0"/>
        <w:numPr>
          <w:ilvl w:val="0"/>
          <w:numId w:val="4"/>
        </w:numPr>
        <w:spacing w:after="0" w:line="240" w:lineRule="auto"/>
        <w:mirrorIndents/>
        <w:jc w:val="both"/>
        <w:rPr>
          <w:rFonts w:ascii="Times New Roman" w:hAnsi="Times New Roman" w:cs="Times New Roman"/>
          <w:i/>
          <w:iCs/>
          <w:color w:val="000000" w:themeColor="text1"/>
          <w:szCs w:val="28"/>
        </w:rPr>
      </w:pPr>
      <w:r w:rsidRPr="005D08AD">
        <w:rPr>
          <w:rFonts w:ascii="Times New Roman" w:hAnsi="Times New Roman" w:cs="Times New Roman"/>
          <w:color w:val="000000" w:themeColor="text1"/>
          <w:szCs w:val="28"/>
        </w:rPr>
        <w:t xml:space="preserve">Para los accionantes el aparte acusado no tiene un definición clara, autónoma e inequívoca sobre el hecho generador del impuesto a las municiones y explosivos. Con base en las </w:t>
      </w:r>
      <w:r w:rsidRPr="005D08AD">
        <w:rPr>
          <w:rFonts w:ascii="Times New Roman" w:hAnsi="Times New Roman" w:cs="Times New Roman"/>
          <w:color w:val="000000" w:themeColor="text1"/>
          <w:szCs w:val="28"/>
        </w:rPr>
        <w:t>sentencias C-891 de 2012, C-550 de 2019 y C-101 de 2022</w:t>
      </w:r>
      <w:r w:rsidRPr="005D08AD">
        <w:rPr>
          <w:rFonts w:ascii="Times New Roman" w:hAnsi="Times New Roman" w:cs="Times New Roman"/>
          <w:color w:val="000000" w:themeColor="text1"/>
          <w:szCs w:val="28"/>
        </w:rPr>
        <w:t>,</w:t>
      </w:r>
      <w:r w:rsidRPr="005D08AD">
        <w:rPr>
          <w:rFonts w:ascii="Times New Roman" w:hAnsi="Times New Roman" w:cs="Times New Roman"/>
          <w:color w:val="000000" w:themeColor="text1"/>
          <w:szCs w:val="28"/>
        </w:rPr>
        <w:t xml:space="preserve"> </w:t>
      </w:r>
      <w:r w:rsidRPr="005D08AD">
        <w:rPr>
          <w:rFonts w:ascii="Times New Roman" w:hAnsi="Times New Roman" w:cs="Times New Roman"/>
          <w:color w:val="000000" w:themeColor="text1"/>
          <w:szCs w:val="28"/>
        </w:rPr>
        <w:t>indican</w:t>
      </w:r>
      <w:r w:rsidRPr="005D08AD">
        <w:rPr>
          <w:rFonts w:ascii="Times New Roman" w:hAnsi="Times New Roman" w:cs="Times New Roman"/>
          <w:color w:val="000000" w:themeColor="text1"/>
          <w:szCs w:val="28"/>
        </w:rPr>
        <w:t xml:space="preserve"> que el principio de legalidad tributaria exige al legislador definir con claridad y precisión los elementos estructurales del tributo -esto es, sujeto activo, sujeto pasivo, hecho generador, </w:t>
      </w:r>
      <w:r w:rsidRPr="005D08AD">
        <w:rPr>
          <w:rFonts w:ascii="Times New Roman" w:hAnsi="Times New Roman" w:cs="Times New Roman"/>
          <w:color w:val="000000" w:themeColor="text1"/>
          <w:szCs w:val="28"/>
        </w:rPr>
        <w:t>base gravable y tarifa-. En ese sentido, “si existe una indeterminación normativa que afecte los elementos esenciales del tributo, se vulneran los principios constitucionales que rigen el sistema tributario colombiano”</w:t>
      </w:r>
      <w:r w:rsidRPr="005D08AD">
        <w:rPr>
          <w:rFonts w:ascii="Times New Roman" w:hAnsi="Times New Roman" w:cs="Times New Roman"/>
          <w:color w:val="000000" w:themeColor="text1"/>
          <w:szCs w:val="28"/>
        </w:rPr>
        <w:t>.</w:t>
      </w:r>
    </w:p>
    <w:p w:rsidR="009F6FB0" w:rsidRPr="005D08AD" w:rsidRDefault="005D08AD" w:rsidP="005F72BB">
      <w:pPr>
        <w:pStyle w:val="Prrafodelista"/>
        <w:widowControl w:val="0"/>
        <w:spacing w:after="0" w:line="240" w:lineRule="auto"/>
        <w:ind w:left="0"/>
        <w:mirrorIndents/>
        <w:jc w:val="both"/>
        <w:rPr>
          <w:rFonts w:ascii="Times New Roman" w:hAnsi="Times New Roman" w:cs="Times New Roman"/>
          <w:color w:val="000000" w:themeColor="text1"/>
          <w:szCs w:val="28"/>
          <w:lang w:val="es-CO"/>
        </w:rPr>
      </w:pPr>
    </w:p>
    <w:p w:rsidR="009F6FB0" w:rsidRPr="005D08AD" w:rsidRDefault="005D08AD" w:rsidP="005F72BB">
      <w:pPr>
        <w:pStyle w:val="Prrafodelista"/>
        <w:widowControl w:val="0"/>
        <w:numPr>
          <w:ilvl w:val="0"/>
          <w:numId w:val="4"/>
        </w:numPr>
        <w:spacing w:after="0" w:line="240" w:lineRule="auto"/>
        <w:mirrorIndents/>
        <w:jc w:val="both"/>
        <w:rPr>
          <w:rFonts w:ascii="Times New Roman" w:hAnsi="Times New Roman" w:cs="Times New Roman"/>
          <w:color w:val="000000" w:themeColor="text1"/>
          <w:szCs w:val="28"/>
        </w:rPr>
      </w:pPr>
      <w:r w:rsidRPr="005D08AD">
        <w:rPr>
          <w:rFonts w:ascii="Times New Roman" w:hAnsi="Times New Roman" w:cs="Times New Roman"/>
          <w:color w:val="000000" w:themeColor="text1"/>
          <w:szCs w:val="28"/>
        </w:rPr>
        <w:t>En su criterio, la disposición acus</w:t>
      </w:r>
      <w:r w:rsidRPr="005D08AD">
        <w:rPr>
          <w:rFonts w:ascii="Times New Roman" w:hAnsi="Times New Roman" w:cs="Times New Roman"/>
          <w:color w:val="000000" w:themeColor="text1"/>
          <w:szCs w:val="28"/>
        </w:rPr>
        <w:t xml:space="preserve">ada no permite establecer con claridad si el hecho generador del impuesto </w:t>
      </w:r>
      <w:r w:rsidRPr="005D08AD">
        <w:rPr>
          <w:rFonts w:ascii="Times New Roman" w:hAnsi="Times New Roman" w:cs="Times New Roman"/>
          <w:color w:val="000000" w:themeColor="text1"/>
          <w:szCs w:val="28"/>
        </w:rPr>
        <w:t>es la fabricación, venta, importación, y/o posesión de municiones y explosivos</w:t>
      </w:r>
      <w:r w:rsidRPr="005D08AD">
        <w:rPr>
          <w:rFonts w:ascii="Times New Roman" w:hAnsi="Times New Roman" w:cs="Times New Roman"/>
          <w:color w:val="000000" w:themeColor="text1"/>
          <w:szCs w:val="28"/>
        </w:rPr>
        <w:t xml:space="preserve">; tampoco </w:t>
      </w:r>
      <w:r w:rsidRPr="005D08AD">
        <w:rPr>
          <w:rFonts w:ascii="Times New Roman" w:hAnsi="Times New Roman" w:cs="Times New Roman"/>
          <w:color w:val="000000" w:themeColor="text1"/>
          <w:szCs w:val="28"/>
        </w:rPr>
        <w:t xml:space="preserve">remite a </w:t>
      </w:r>
      <w:r w:rsidRPr="005D08AD">
        <w:rPr>
          <w:rFonts w:ascii="Times New Roman" w:hAnsi="Times New Roman" w:cs="Times New Roman"/>
          <w:color w:val="000000" w:themeColor="text1"/>
        </w:rPr>
        <w:t xml:space="preserve">otra </w:t>
      </w:r>
      <w:r w:rsidRPr="005D08AD">
        <w:rPr>
          <w:rFonts w:ascii="Times New Roman" w:hAnsi="Times New Roman" w:cs="Times New Roman"/>
          <w:color w:val="000000" w:themeColor="text1"/>
          <w:szCs w:val="28"/>
        </w:rPr>
        <w:t xml:space="preserve">norma </w:t>
      </w:r>
      <w:r w:rsidRPr="005D08AD">
        <w:rPr>
          <w:rFonts w:ascii="Times New Roman" w:hAnsi="Times New Roman" w:cs="Times New Roman"/>
          <w:color w:val="000000" w:themeColor="text1"/>
          <w:szCs w:val="28"/>
        </w:rPr>
        <w:t>para aclarar este punto, ni su redacción permite inferirlo con certeza. Pa</w:t>
      </w:r>
      <w:r w:rsidRPr="005D08AD">
        <w:rPr>
          <w:rFonts w:ascii="Times New Roman" w:hAnsi="Times New Roman" w:cs="Times New Roman"/>
          <w:color w:val="000000" w:themeColor="text1"/>
          <w:szCs w:val="28"/>
        </w:rPr>
        <w:t>ra los demandantes,</w:t>
      </w:r>
      <w:r w:rsidRPr="005D08AD">
        <w:rPr>
          <w:rFonts w:ascii="Times New Roman" w:hAnsi="Times New Roman" w:cs="Times New Roman"/>
          <w:color w:val="000000" w:themeColor="text1"/>
          <w:szCs w:val="28"/>
        </w:rPr>
        <w:t xml:space="preserve"> aunque el hecho generador no necesariamente debe estar contenido explícitamente en la norma que lo crea</w:t>
      </w:r>
      <w:r w:rsidRPr="005D08AD">
        <w:rPr>
          <w:rFonts w:ascii="Times New Roman" w:hAnsi="Times New Roman" w:cs="Times New Roman"/>
          <w:color w:val="000000" w:themeColor="text1"/>
          <w:szCs w:val="28"/>
        </w:rPr>
        <w:t>,</w:t>
      </w:r>
      <w:r w:rsidRPr="005D08AD">
        <w:rPr>
          <w:rFonts w:ascii="Times New Roman" w:hAnsi="Times New Roman" w:cs="Times New Roman"/>
          <w:color w:val="000000" w:themeColor="text1"/>
          <w:szCs w:val="28"/>
        </w:rPr>
        <w:t xml:space="preserve"> este debe poderse inferir de manera implícita. </w:t>
      </w:r>
    </w:p>
    <w:p w:rsidR="009F6FB0" w:rsidRPr="005D08AD" w:rsidRDefault="005D08AD" w:rsidP="005F72BB">
      <w:pPr>
        <w:pStyle w:val="Prrafodelista"/>
        <w:widowControl w:val="0"/>
        <w:spacing w:after="0" w:line="240" w:lineRule="auto"/>
        <w:ind w:left="0"/>
        <w:mirrorIndents/>
        <w:jc w:val="both"/>
        <w:rPr>
          <w:rFonts w:ascii="Times New Roman" w:hAnsi="Times New Roman" w:cs="Times New Roman"/>
          <w:color w:val="000000" w:themeColor="text1"/>
          <w:szCs w:val="28"/>
        </w:rPr>
      </w:pPr>
    </w:p>
    <w:p w:rsidR="009F6FB0" w:rsidRPr="005D08AD" w:rsidRDefault="005D08AD" w:rsidP="005F72BB">
      <w:pPr>
        <w:pStyle w:val="Prrafodelista"/>
        <w:widowControl w:val="0"/>
        <w:numPr>
          <w:ilvl w:val="0"/>
          <w:numId w:val="4"/>
        </w:numPr>
        <w:spacing w:after="0" w:line="240" w:lineRule="auto"/>
        <w:mirrorIndents/>
        <w:jc w:val="both"/>
        <w:rPr>
          <w:rFonts w:ascii="Times New Roman" w:hAnsi="Times New Roman" w:cs="Times New Roman"/>
          <w:color w:val="000000" w:themeColor="text1"/>
          <w:szCs w:val="28"/>
        </w:rPr>
      </w:pPr>
      <w:r w:rsidRPr="005D08AD">
        <w:rPr>
          <w:rFonts w:ascii="Times New Roman" w:hAnsi="Times New Roman" w:cs="Times New Roman"/>
          <w:color w:val="000000" w:themeColor="text1"/>
          <w:szCs w:val="28"/>
        </w:rPr>
        <w:t>Al respecto, sostienen que de la lectura de la segunda parte del artículo 48 de la</w:t>
      </w:r>
      <w:r w:rsidRPr="005D08AD">
        <w:rPr>
          <w:rFonts w:ascii="Times New Roman" w:hAnsi="Times New Roman" w:cs="Times New Roman"/>
          <w:color w:val="000000" w:themeColor="text1"/>
          <w:szCs w:val="28"/>
        </w:rPr>
        <w:t xml:space="preserve"> Ley 1438 de 2011 por medio del cual se consagra el impuesto a las municiones y explosivos, se evidencia que i) no contiene disposición expresa sobre cuál es el hecho generador y ii) si bien no la contiene, </w:t>
      </w:r>
      <w:r w:rsidRPr="005D08AD">
        <w:rPr>
          <w:rFonts w:ascii="Times New Roman" w:hAnsi="Times New Roman" w:cs="Times New Roman"/>
          <w:color w:val="000000" w:themeColor="text1"/>
          <w:szCs w:val="28"/>
        </w:rPr>
        <w:t>tampoco</w:t>
      </w:r>
      <w:r w:rsidRPr="005D08AD">
        <w:rPr>
          <w:rFonts w:ascii="Times New Roman" w:hAnsi="Times New Roman" w:cs="Times New Roman"/>
          <w:color w:val="000000" w:themeColor="text1"/>
          <w:szCs w:val="28"/>
        </w:rPr>
        <w:t xml:space="preserve"> es posible determinarla a partir de un ra</w:t>
      </w:r>
      <w:r w:rsidRPr="005D08AD">
        <w:rPr>
          <w:rFonts w:ascii="Times New Roman" w:hAnsi="Times New Roman" w:cs="Times New Roman"/>
          <w:color w:val="000000" w:themeColor="text1"/>
          <w:szCs w:val="28"/>
        </w:rPr>
        <w:t xml:space="preserve">zonamiento inferencial. </w:t>
      </w:r>
      <w:bookmarkStart w:id="3" w:name="_Hlk219283360"/>
      <w:r w:rsidRPr="005D08AD">
        <w:rPr>
          <w:rFonts w:ascii="Times New Roman" w:hAnsi="Times New Roman" w:cs="Times New Roman"/>
          <w:color w:val="000000" w:themeColor="text1"/>
          <w:szCs w:val="28"/>
        </w:rPr>
        <w:t>Agregan que la expresión “igualmente” no aclara si esta implica que, el hecho generador del impuesto a las armas de fuego se extiende al impuesto sobre explosivos y municiones y, que, al delegarse la reglamentación de este impuesto</w:t>
      </w:r>
      <w:r w:rsidRPr="005D08AD">
        <w:rPr>
          <w:rFonts w:ascii="Times New Roman" w:hAnsi="Times New Roman" w:cs="Times New Roman"/>
          <w:color w:val="000000" w:themeColor="text1"/>
          <w:szCs w:val="28"/>
        </w:rPr>
        <w:t>,</w:t>
      </w:r>
      <w:r w:rsidRPr="005D08AD">
        <w:rPr>
          <w:rFonts w:ascii="Times New Roman" w:hAnsi="Times New Roman" w:cs="Times New Roman"/>
          <w:color w:val="000000" w:themeColor="text1"/>
          <w:szCs w:val="28"/>
        </w:rPr>
        <w:t xml:space="preserve"> sin que la ley defina sus elementos esenciales, la norma excede los límites constitucionales</w:t>
      </w:r>
      <w:bookmarkEnd w:id="3"/>
      <w:r w:rsidRPr="005D08AD">
        <w:rPr>
          <w:rFonts w:ascii="Times New Roman" w:hAnsi="Times New Roman" w:cs="Times New Roman"/>
          <w:color w:val="000000" w:themeColor="text1"/>
          <w:szCs w:val="28"/>
        </w:rPr>
        <w:t xml:space="preserve"> </w:t>
      </w:r>
      <w:r w:rsidRPr="005D08AD">
        <w:rPr>
          <w:rFonts w:ascii="Times New Roman" w:hAnsi="Times New Roman" w:cs="Times New Roman"/>
          <w:color w:val="000000" w:themeColor="text1"/>
          <w:szCs w:val="28"/>
        </w:rPr>
        <w:t>(</w:t>
      </w:r>
      <w:r w:rsidRPr="005D08AD">
        <w:rPr>
          <w:rFonts w:ascii="Times New Roman" w:hAnsi="Times New Roman" w:cs="Times New Roman"/>
          <w:color w:val="000000" w:themeColor="text1"/>
          <w:szCs w:val="28"/>
        </w:rPr>
        <w:t>al no definir uno de los elementos esenciales del tributo, esto es, el hecho generador</w:t>
      </w:r>
      <w:r w:rsidRPr="005D08AD">
        <w:rPr>
          <w:rFonts w:ascii="Times New Roman" w:hAnsi="Times New Roman" w:cs="Times New Roman"/>
          <w:color w:val="000000" w:themeColor="text1"/>
          <w:szCs w:val="28"/>
        </w:rPr>
        <w:t>)</w:t>
      </w:r>
      <w:r w:rsidRPr="005D08AD">
        <w:rPr>
          <w:rFonts w:ascii="Times New Roman" w:hAnsi="Times New Roman" w:cs="Times New Roman"/>
          <w:color w:val="000000" w:themeColor="text1"/>
          <w:szCs w:val="28"/>
        </w:rPr>
        <w:t>.</w:t>
      </w:r>
    </w:p>
    <w:p w:rsidR="009F6FB0" w:rsidRPr="005D08AD" w:rsidRDefault="005D08AD" w:rsidP="005F72BB">
      <w:pPr>
        <w:pStyle w:val="Prrafodelista"/>
        <w:widowControl w:val="0"/>
        <w:spacing w:after="0" w:line="240" w:lineRule="auto"/>
        <w:ind w:left="0"/>
        <w:mirrorIndents/>
        <w:jc w:val="both"/>
        <w:rPr>
          <w:rFonts w:ascii="Times New Roman" w:hAnsi="Times New Roman" w:cs="Times New Roman"/>
          <w:color w:val="000000" w:themeColor="text1"/>
          <w:szCs w:val="28"/>
        </w:rPr>
      </w:pPr>
    </w:p>
    <w:p w:rsidR="009F6FB0" w:rsidRPr="005D08AD" w:rsidRDefault="005D08AD" w:rsidP="005F72BB">
      <w:pPr>
        <w:pStyle w:val="Prrafodelista"/>
        <w:widowControl w:val="0"/>
        <w:numPr>
          <w:ilvl w:val="0"/>
          <w:numId w:val="4"/>
        </w:numPr>
        <w:spacing w:after="0" w:line="240" w:lineRule="auto"/>
        <w:mirrorIndents/>
        <w:jc w:val="both"/>
        <w:rPr>
          <w:rFonts w:ascii="Times New Roman" w:hAnsi="Times New Roman" w:cs="Times New Roman"/>
          <w:color w:val="000000" w:themeColor="text1"/>
          <w:szCs w:val="28"/>
        </w:rPr>
      </w:pPr>
      <w:r w:rsidRPr="005D08AD">
        <w:rPr>
          <w:rFonts w:ascii="Times New Roman" w:hAnsi="Times New Roman" w:cs="Times New Roman"/>
          <w:color w:val="000000" w:themeColor="text1"/>
          <w:szCs w:val="28"/>
        </w:rPr>
        <w:t xml:space="preserve">Por otro lado, a juicio de los demandantes, las sentencias C-390 de 1996 y C-608 de 2012 no se pronunciaron sobre el hecho generador del impuesto a las municiones y explosivos. En la primera sentencia, </w:t>
      </w:r>
      <w:r w:rsidRPr="005D08AD">
        <w:rPr>
          <w:rFonts w:ascii="Times New Roman" w:hAnsi="Times New Roman" w:cs="Times New Roman"/>
          <w:color w:val="000000" w:themeColor="text1"/>
          <w:szCs w:val="28"/>
        </w:rPr>
        <w:t xml:space="preserve">explicaron que </w:t>
      </w:r>
      <w:r w:rsidRPr="005D08AD">
        <w:rPr>
          <w:rFonts w:ascii="Times New Roman" w:hAnsi="Times New Roman" w:cs="Times New Roman"/>
          <w:color w:val="000000" w:themeColor="text1"/>
          <w:szCs w:val="28"/>
        </w:rPr>
        <w:t>la Corte efectuó una interpretación sis</w:t>
      </w:r>
      <w:r w:rsidRPr="005D08AD">
        <w:rPr>
          <w:rFonts w:ascii="Times New Roman" w:hAnsi="Times New Roman" w:cs="Times New Roman"/>
          <w:color w:val="000000" w:themeColor="text1"/>
          <w:szCs w:val="28"/>
        </w:rPr>
        <w:t xml:space="preserve">temática de la norma para indicar que los sujetos pasivos del tributo son los tenedores y que su base gravable corresponde a los elementos que se porten, sin referirse al hecho generador del tributo. Asimismo, en la segunda sentencia, </w:t>
      </w:r>
      <w:r w:rsidRPr="005D08AD">
        <w:rPr>
          <w:rFonts w:ascii="Times New Roman" w:hAnsi="Times New Roman" w:cs="Times New Roman"/>
          <w:color w:val="000000" w:themeColor="text1"/>
          <w:szCs w:val="28"/>
        </w:rPr>
        <w:t xml:space="preserve">se </w:t>
      </w:r>
      <w:r w:rsidRPr="005D08AD">
        <w:rPr>
          <w:rFonts w:ascii="Times New Roman" w:hAnsi="Times New Roman" w:cs="Times New Roman"/>
          <w:color w:val="000000" w:themeColor="text1"/>
          <w:szCs w:val="28"/>
        </w:rPr>
        <w:t>concluyó que la no</w:t>
      </w:r>
      <w:r w:rsidRPr="005D08AD">
        <w:rPr>
          <w:rFonts w:ascii="Times New Roman" w:hAnsi="Times New Roman" w:cs="Times New Roman"/>
          <w:color w:val="000000" w:themeColor="text1"/>
          <w:szCs w:val="28"/>
        </w:rPr>
        <w:t xml:space="preserve">rma determinaba todos los elementos de la obligación tributaria sin </w:t>
      </w:r>
      <w:r w:rsidRPr="005D08AD">
        <w:rPr>
          <w:rFonts w:ascii="Times New Roman" w:hAnsi="Times New Roman" w:cs="Times New Roman"/>
          <w:color w:val="000000" w:themeColor="text1"/>
          <w:szCs w:val="28"/>
        </w:rPr>
        <w:t>aludir al</w:t>
      </w:r>
      <w:r w:rsidRPr="005D08AD">
        <w:rPr>
          <w:rFonts w:ascii="Times New Roman" w:hAnsi="Times New Roman" w:cs="Times New Roman"/>
          <w:color w:val="000000" w:themeColor="text1"/>
          <w:szCs w:val="28"/>
        </w:rPr>
        <w:t xml:space="preserve"> referido elemento. </w:t>
      </w:r>
    </w:p>
    <w:p w:rsidR="009F6FB0" w:rsidRPr="005D08AD" w:rsidRDefault="005D08AD" w:rsidP="005F72BB">
      <w:pPr>
        <w:pStyle w:val="Prrafodelista"/>
        <w:widowControl w:val="0"/>
        <w:spacing w:after="0" w:line="240" w:lineRule="auto"/>
        <w:ind w:left="0"/>
        <w:mirrorIndents/>
        <w:jc w:val="both"/>
        <w:rPr>
          <w:rFonts w:ascii="Times New Roman" w:hAnsi="Times New Roman" w:cs="Times New Roman"/>
          <w:color w:val="000000" w:themeColor="text1"/>
          <w:szCs w:val="28"/>
          <w:lang w:val="es-CO"/>
        </w:rPr>
      </w:pPr>
    </w:p>
    <w:p w:rsidR="009F6FB0" w:rsidRPr="005D08AD" w:rsidRDefault="005D08AD" w:rsidP="005F72BB">
      <w:pPr>
        <w:pStyle w:val="Prrafodelista"/>
        <w:widowControl w:val="0"/>
        <w:numPr>
          <w:ilvl w:val="0"/>
          <w:numId w:val="4"/>
        </w:numPr>
        <w:spacing w:after="0" w:line="240" w:lineRule="auto"/>
        <w:mirrorIndents/>
        <w:jc w:val="both"/>
        <w:rPr>
          <w:rFonts w:ascii="Times New Roman" w:hAnsi="Times New Roman" w:cs="Times New Roman"/>
          <w:color w:val="000000" w:themeColor="text1"/>
          <w:szCs w:val="28"/>
        </w:rPr>
      </w:pPr>
      <w:r w:rsidRPr="005D08AD">
        <w:rPr>
          <w:rFonts w:ascii="Times New Roman" w:hAnsi="Times New Roman" w:cs="Times New Roman"/>
          <w:color w:val="000000" w:themeColor="text1"/>
          <w:szCs w:val="28"/>
        </w:rPr>
        <w:t xml:space="preserve"> Finalmente, según la demanda, el Consejo de Estado y la DIAN han sostenido interpretaciones contrarias y confusas en relación con el hecho generador del imp</w:t>
      </w:r>
      <w:r w:rsidRPr="005D08AD">
        <w:rPr>
          <w:rFonts w:ascii="Times New Roman" w:hAnsi="Times New Roman" w:cs="Times New Roman"/>
          <w:color w:val="000000" w:themeColor="text1"/>
          <w:szCs w:val="28"/>
        </w:rPr>
        <w:t>uesto a las municiones y explosivos. En cuanto a la interpretación del Consejo de Estado mencionan que “el hecho generador del impuesto social a las municiones y explosivos es la venta de los mismos. En otras ocasiones</w:t>
      </w:r>
      <w:r w:rsidRPr="005D08AD">
        <w:rPr>
          <w:rFonts w:ascii="Times New Roman" w:hAnsi="Times New Roman" w:cs="Times New Roman"/>
          <w:color w:val="000000" w:themeColor="text1"/>
          <w:szCs w:val="28"/>
        </w:rPr>
        <w:t>, [</w:t>
      </w:r>
      <w:r w:rsidRPr="005D08AD">
        <w:rPr>
          <w:rFonts w:ascii="Times New Roman" w:hAnsi="Times New Roman" w:cs="Times New Roman"/>
          <w:color w:val="000000" w:themeColor="text1"/>
          <w:szCs w:val="28"/>
        </w:rPr>
        <w:t>esa Corporación</w:t>
      </w:r>
      <w:r w:rsidRPr="005D08AD">
        <w:rPr>
          <w:rFonts w:ascii="Times New Roman" w:hAnsi="Times New Roman" w:cs="Times New Roman"/>
          <w:color w:val="000000" w:themeColor="text1"/>
          <w:szCs w:val="28"/>
        </w:rPr>
        <w:t>]</w:t>
      </w:r>
      <w:r w:rsidRPr="005D08AD">
        <w:rPr>
          <w:rFonts w:ascii="Times New Roman" w:hAnsi="Times New Roman" w:cs="Times New Roman"/>
          <w:color w:val="000000" w:themeColor="text1"/>
          <w:szCs w:val="28"/>
        </w:rPr>
        <w:t xml:space="preserve"> </w:t>
      </w:r>
      <w:r w:rsidRPr="005D08AD">
        <w:rPr>
          <w:rFonts w:ascii="Times New Roman" w:hAnsi="Times New Roman" w:cs="Times New Roman"/>
          <w:color w:val="000000" w:themeColor="text1"/>
          <w:szCs w:val="28"/>
        </w:rPr>
        <w:t>ha dicho que el he</w:t>
      </w:r>
      <w:r w:rsidRPr="005D08AD">
        <w:rPr>
          <w:rFonts w:ascii="Times New Roman" w:hAnsi="Times New Roman" w:cs="Times New Roman"/>
          <w:color w:val="000000" w:themeColor="text1"/>
          <w:szCs w:val="28"/>
        </w:rPr>
        <w:t>cho generador recae sobre la totalidad de la transacción que se realiza sobre los explosivos, incluyendo sus accesorios, el servicio de escolta, y la designación de la persona para su control, en su conjunto”. Por su parte, señalan que la administración de</w:t>
      </w:r>
      <w:r w:rsidRPr="005D08AD">
        <w:rPr>
          <w:rFonts w:ascii="Times New Roman" w:hAnsi="Times New Roman" w:cs="Times New Roman"/>
          <w:color w:val="000000" w:themeColor="text1"/>
          <w:szCs w:val="28"/>
        </w:rPr>
        <w:t xml:space="preserve"> impuesto</w:t>
      </w:r>
      <w:r w:rsidRPr="005D08AD">
        <w:rPr>
          <w:rFonts w:ascii="Times New Roman" w:hAnsi="Times New Roman" w:cs="Times New Roman"/>
          <w:color w:val="000000" w:themeColor="text1"/>
          <w:szCs w:val="28"/>
        </w:rPr>
        <w:t>s</w:t>
      </w:r>
      <w:r w:rsidRPr="005D08AD">
        <w:rPr>
          <w:rFonts w:ascii="Times New Roman" w:hAnsi="Times New Roman" w:cs="Times New Roman"/>
          <w:color w:val="000000" w:themeColor="text1"/>
          <w:szCs w:val="28"/>
        </w:rPr>
        <w:t xml:space="preserve"> “ha indicado en su doctrina oficial que el hecho generador del impuesto a las municiones y explosivos corresponde a la tenencia de los mismos”.</w:t>
      </w:r>
    </w:p>
    <w:p w:rsidR="00D0081D" w:rsidRPr="005D08AD" w:rsidRDefault="005D08AD" w:rsidP="005F72BB">
      <w:pPr>
        <w:pStyle w:val="Prrafodelista"/>
        <w:widowControl w:val="0"/>
        <w:spacing w:after="0" w:line="240" w:lineRule="auto"/>
        <w:ind w:left="0"/>
        <w:mirrorIndents/>
        <w:jc w:val="both"/>
        <w:rPr>
          <w:rFonts w:ascii="Times New Roman" w:hAnsi="Times New Roman" w:cs="Times New Roman"/>
          <w:szCs w:val="28"/>
        </w:rPr>
      </w:pPr>
    </w:p>
    <w:p w:rsidR="0013118C" w:rsidRPr="005D08AD" w:rsidRDefault="005D08AD" w:rsidP="005F72BB">
      <w:pPr>
        <w:pStyle w:val="Prrafodelista"/>
        <w:widowControl w:val="0"/>
        <w:numPr>
          <w:ilvl w:val="0"/>
          <w:numId w:val="5"/>
        </w:numPr>
        <w:spacing w:after="0" w:line="240" w:lineRule="auto"/>
        <w:ind w:left="0" w:firstLine="0"/>
        <w:mirrorIndents/>
        <w:jc w:val="both"/>
        <w:outlineLvl w:val="1"/>
        <w:rPr>
          <w:rFonts w:ascii="Times New Roman" w:hAnsi="Times New Roman" w:cs="Times New Roman"/>
          <w:b/>
          <w:szCs w:val="28"/>
        </w:rPr>
      </w:pPr>
      <w:r w:rsidRPr="005D08AD">
        <w:rPr>
          <w:rFonts w:ascii="Times New Roman" w:hAnsi="Times New Roman" w:cs="Times New Roman"/>
          <w:b/>
          <w:szCs w:val="28"/>
        </w:rPr>
        <w:t xml:space="preserve">Intervenciones </w:t>
      </w:r>
    </w:p>
    <w:p w:rsidR="00C56086" w:rsidRPr="005D08AD" w:rsidRDefault="005D08AD" w:rsidP="005F72BB">
      <w:pPr>
        <w:pStyle w:val="Prrafodelista"/>
        <w:widowControl w:val="0"/>
        <w:spacing w:after="0" w:line="240" w:lineRule="auto"/>
        <w:ind w:left="0"/>
        <w:mirrorIndents/>
        <w:jc w:val="both"/>
        <w:rPr>
          <w:rFonts w:ascii="Times New Roman" w:hAnsi="Times New Roman" w:cs="Times New Roman"/>
          <w:b/>
          <w:szCs w:val="28"/>
        </w:rPr>
      </w:pPr>
    </w:p>
    <w:p w:rsidR="0013118C" w:rsidRPr="005D08AD" w:rsidRDefault="005D08AD" w:rsidP="005F72BB">
      <w:pPr>
        <w:pStyle w:val="Sombreadovistoso-nfasis31"/>
        <w:numPr>
          <w:ilvl w:val="0"/>
          <w:numId w:val="4"/>
        </w:numPr>
        <w:mirrorIndents/>
        <w:rPr>
          <w:rFonts w:ascii="Times New Roman" w:hAnsi="Times New Roman" w:cs="Times New Roman"/>
          <w:bCs/>
          <w:color w:val="auto"/>
          <w:lang w:val="es-CO"/>
        </w:rPr>
      </w:pPr>
      <w:r w:rsidRPr="005D08AD">
        <w:rPr>
          <w:rFonts w:ascii="Times New Roman" w:hAnsi="Times New Roman" w:cs="Times New Roman"/>
          <w:bCs/>
          <w:color w:val="auto"/>
          <w:lang w:val="es-CO"/>
        </w:rPr>
        <w:t xml:space="preserve">Durante el término </w:t>
      </w:r>
      <w:r w:rsidRPr="005D08AD">
        <w:rPr>
          <w:rFonts w:ascii="Times New Roman" w:hAnsi="Times New Roman" w:cs="Times New Roman"/>
          <w:bCs/>
          <w:color w:val="auto"/>
          <w:lang w:val="es-CO"/>
        </w:rPr>
        <w:t>procesal</w:t>
      </w:r>
      <w:r w:rsidRPr="005D08AD">
        <w:rPr>
          <w:rStyle w:val="Refdenotaalpie"/>
          <w:rFonts w:ascii="Times New Roman" w:hAnsi="Times New Roman"/>
          <w:bCs/>
          <w:color w:val="auto"/>
          <w:lang w:val="es-CO"/>
        </w:rPr>
        <w:footnoteReference w:id="8"/>
      </w:r>
      <w:r w:rsidRPr="005D08AD">
        <w:rPr>
          <w:rFonts w:ascii="Times New Roman" w:hAnsi="Times New Roman" w:cs="Times New Roman"/>
          <w:bCs/>
          <w:color w:val="auto"/>
          <w:lang w:val="es-CO"/>
        </w:rPr>
        <w:t xml:space="preserve"> se recibieron oportunamente </w:t>
      </w:r>
      <w:r w:rsidRPr="005D08AD">
        <w:rPr>
          <w:rFonts w:ascii="Times New Roman" w:hAnsi="Times New Roman" w:cs="Times New Roman"/>
          <w:bCs/>
          <w:color w:val="auto"/>
          <w:lang w:val="es-CO"/>
        </w:rPr>
        <w:t>1</w:t>
      </w:r>
      <w:r w:rsidRPr="005D08AD">
        <w:rPr>
          <w:rFonts w:ascii="Times New Roman" w:hAnsi="Times New Roman" w:cs="Times New Roman"/>
          <w:bCs/>
          <w:color w:val="auto"/>
          <w:lang w:val="es-CO"/>
        </w:rPr>
        <w:t>4</w:t>
      </w:r>
      <w:r w:rsidRPr="005D08AD">
        <w:rPr>
          <w:rFonts w:ascii="Times New Roman" w:hAnsi="Times New Roman" w:cs="Times New Roman"/>
          <w:bCs/>
          <w:color w:val="auto"/>
          <w:lang w:val="es-CO"/>
        </w:rPr>
        <w:t xml:space="preserve"> intervenciones</w:t>
      </w:r>
      <w:r w:rsidRPr="005D08AD">
        <w:rPr>
          <w:rStyle w:val="Refdenotaalpie"/>
          <w:rFonts w:ascii="Times New Roman" w:hAnsi="Times New Roman"/>
          <w:bCs/>
          <w:color w:val="auto"/>
          <w:lang w:val="es-CO"/>
        </w:rPr>
        <w:footnoteReference w:id="9"/>
      </w:r>
      <w:r w:rsidRPr="005D08AD">
        <w:rPr>
          <w:rFonts w:ascii="Times New Roman" w:hAnsi="Times New Roman" w:cs="Times New Roman"/>
          <w:bCs/>
          <w:color w:val="auto"/>
          <w:lang w:val="es-CO"/>
        </w:rPr>
        <w:t xml:space="preserve"> y otras</w:t>
      </w:r>
      <w:r w:rsidRPr="005D08AD">
        <w:rPr>
          <w:rFonts w:ascii="Times New Roman" w:hAnsi="Times New Roman" w:cs="Times New Roman"/>
          <w:bCs/>
          <w:color w:val="auto"/>
          <w:lang w:val="es-CO"/>
        </w:rPr>
        <w:t xml:space="preserve"> </w:t>
      </w:r>
      <w:r w:rsidRPr="005D08AD">
        <w:rPr>
          <w:rFonts w:ascii="Times New Roman" w:hAnsi="Times New Roman" w:cs="Times New Roman"/>
          <w:bCs/>
          <w:color w:val="auto"/>
          <w:lang w:val="es-CO"/>
        </w:rPr>
        <w:t>2</w:t>
      </w:r>
      <w:r w:rsidRPr="005D08AD">
        <w:rPr>
          <w:rFonts w:ascii="Times New Roman" w:hAnsi="Times New Roman" w:cs="Times New Roman"/>
          <w:bCs/>
          <w:color w:val="auto"/>
          <w:lang w:val="es-CO"/>
        </w:rPr>
        <w:t xml:space="preserve"> </w:t>
      </w:r>
      <w:r w:rsidRPr="005D08AD">
        <w:rPr>
          <w:rFonts w:ascii="Times New Roman" w:hAnsi="Times New Roman" w:cs="Times New Roman"/>
          <w:bCs/>
          <w:color w:val="auto"/>
          <w:lang w:val="es-CO"/>
        </w:rPr>
        <w:t>de manera extemporánea</w:t>
      </w:r>
      <w:r w:rsidRPr="005D08AD">
        <w:rPr>
          <w:rStyle w:val="Refdenotaalpie"/>
          <w:rFonts w:ascii="Times New Roman" w:hAnsi="Times New Roman"/>
          <w:bCs/>
          <w:color w:val="auto"/>
          <w:lang w:val="es-CO"/>
        </w:rPr>
        <w:footnoteReference w:id="10"/>
      </w:r>
      <w:r w:rsidRPr="005D08AD">
        <w:rPr>
          <w:rFonts w:ascii="Times New Roman" w:hAnsi="Times New Roman" w:cs="Times New Roman"/>
          <w:bCs/>
          <w:color w:val="auto"/>
          <w:lang w:val="es-CO"/>
        </w:rPr>
        <w:t xml:space="preserve">, </w:t>
      </w:r>
      <w:r w:rsidRPr="005D08AD">
        <w:rPr>
          <w:rFonts w:ascii="Times New Roman" w:hAnsi="Times New Roman" w:cs="Times New Roman"/>
          <w:bCs/>
          <w:color w:val="auto"/>
          <w:lang w:val="es-CO"/>
        </w:rPr>
        <w:t>así</w:t>
      </w:r>
      <w:r w:rsidRPr="005D08AD">
        <w:rPr>
          <w:rFonts w:ascii="Times New Roman" w:hAnsi="Times New Roman" w:cs="Times New Roman"/>
          <w:bCs/>
          <w:color w:val="auto"/>
          <w:lang w:val="es-CO"/>
        </w:rPr>
        <w:t>:</w:t>
      </w:r>
      <w:r w:rsidRPr="005D08AD">
        <w:rPr>
          <w:rFonts w:ascii="Times New Roman" w:hAnsi="Times New Roman" w:cs="Times New Roman"/>
          <w:bCs/>
          <w:color w:val="auto"/>
          <w:lang w:val="es-CO"/>
        </w:rPr>
        <w:t xml:space="preserve"> </w:t>
      </w:r>
    </w:p>
    <w:p w:rsidR="00F538AE" w:rsidRPr="005D08AD" w:rsidRDefault="005D08AD" w:rsidP="005F72BB">
      <w:pPr>
        <w:pStyle w:val="Sombreadovistoso-nfasis31"/>
        <w:ind w:left="0"/>
        <w:mirrorIndents/>
        <w:rPr>
          <w:rFonts w:ascii="Times New Roman" w:hAnsi="Times New Roman" w:cs="Times New Roman"/>
          <w:bCs/>
          <w:color w:val="auto"/>
          <w:lang w:val="es-CO"/>
        </w:rPr>
      </w:pPr>
    </w:p>
    <w:tbl>
      <w:tblPr>
        <w:tblStyle w:val="Tablaconcuadrcula"/>
        <w:tblW w:w="0" w:type="auto"/>
        <w:tblLook w:val="04A0" w:firstRow="1" w:lastRow="0" w:firstColumn="1" w:lastColumn="0" w:noHBand="0" w:noVBand="1"/>
      </w:tblPr>
      <w:tblGrid>
        <w:gridCol w:w="1891"/>
        <w:gridCol w:w="5010"/>
        <w:gridCol w:w="1927"/>
      </w:tblGrid>
      <w:tr w:rsidR="0051332F" w:rsidRPr="005D08AD" w:rsidTr="00E165C7">
        <w:tc>
          <w:tcPr>
            <w:tcW w:w="8828" w:type="dxa"/>
            <w:gridSpan w:val="3"/>
            <w:shd w:val="clear" w:color="auto" w:fill="D0CECE" w:themeFill="background2" w:themeFillShade="E6"/>
          </w:tcPr>
          <w:p w:rsidR="0051332F" w:rsidRPr="005D08AD" w:rsidRDefault="005D08AD" w:rsidP="005F72BB">
            <w:pPr>
              <w:pStyle w:val="Sombreadovistoso-nfasis31"/>
              <w:ind w:left="0"/>
              <w:mirrorIndents/>
              <w:jc w:val="center"/>
              <w:rPr>
                <w:b/>
                <w:color w:val="auto"/>
                <w:szCs w:val="20"/>
                <w:lang w:val="es-CO"/>
              </w:rPr>
            </w:pPr>
            <w:r w:rsidRPr="005D08AD">
              <w:rPr>
                <w:b/>
                <w:color w:val="auto"/>
                <w:szCs w:val="20"/>
                <w:lang w:val="es-CO"/>
              </w:rPr>
              <w:t>Intervenciones presentadas en el expediente D-16929</w:t>
            </w:r>
          </w:p>
        </w:tc>
      </w:tr>
      <w:tr w:rsidR="0051332F" w:rsidRPr="005D08AD" w:rsidTr="00E165C7">
        <w:tc>
          <w:tcPr>
            <w:tcW w:w="1830" w:type="dxa"/>
            <w:shd w:val="clear" w:color="auto" w:fill="D0CECE" w:themeFill="background2" w:themeFillShade="E6"/>
          </w:tcPr>
          <w:p w:rsidR="0051332F" w:rsidRPr="005D08AD" w:rsidRDefault="005D08AD" w:rsidP="005F72BB">
            <w:pPr>
              <w:pStyle w:val="Sombreadovistoso-nfasis31"/>
              <w:ind w:left="0"/>
              <w:mirrorIndents/>
              <w:jc w:val="center"/>
              <w:rPr>
                <w:b/>
                <w:color w:val="auto"/>
                <w:szCs w:val="20"/>
                <w:lang w:val="es-CO"/>
              </w:rPr>
            </w:pPr>
            <w:r w:rsidRPr="005D08AD">
              <w:rPr>
                <w:b/>
                <w:color w:val="auto"/>
                <w:szCs w:val="20"/>
                <w:lang w:val="es-CO"/>
              </w:rPr>
              <w:t>Interviniente</w:t>
            </w:r>
          </w:p>
        </w:tc>
        <w:tc>
          <w:tcPr>
            <w:tcW w:w="5315" w:type="dxa"/>
            <w:shd w:val="clear" w:color="auto" w:fill="D0CECE" w:themeFill="background2" w:themeFillShade="E6"/>
          </w:tcPr>
          <w:p w:rsidR="0051332F" w:rsidRPr="005D08AD" w:rsidRDefault="005D08AD" w:rsidP="005F72BB">
            <w:pPr>
              <w:pStyle w:val="Sombreadovistoso-nfasis31"/>
              <w:ind w:left="0"/>
              <w:mirrorIndents/>
              <w:jc w:val="center"/>
              <w:rPr>
                <w:b/>
                <w:color w:val="auto"/>
                <w:szCs w:val="20"/>
                <w:lang w:val="es-CO"/>
              </w:rPr>
            </w:pPr>
            <w:r w:rsidRPr="005D08AD">
              <w:rPr>
                <w:b/>
                <w:color w:val="auto"/>
                <w:szCs w:val="20"/>
                <w:lang w:val="es-CO"/>
              </w:rPr>
              <w:t>Resumen</w:t>
            </w:r>
          </w:p>
        </w:tc>
        <w:tc>
          <w:tcPr>
            <w:tcW w:w="1683" w:type="dxa"/>
            <w:shd w:val="clear" w:color="auto" w:fill="D0CECE" w:themeFill="background2" w:themeFillShade="E6"/>
          </w:tcPr>
          <w:p w:rsidR="0051332F" w:rsidRPr="005D08AD" w:rsidRDefault="005D08AD" w:rsidP="005F72BB">
            <w:pPr>
              <w:pStyle w:val="Sombreadovistoso-nfasis31"/>
              <w:ind w:left="0"/>
              <w:mirrorIndents/>
              <w:jc w:val="center"/>
              <w:rPr>
                <w:b/>
                <w:color w:val="auto"/>
                <w:szCs w:val="20"/>
                <w:lang w:val="es-CO"/>
              </w:rPr>
            </w:pPr>
            <w:r w:rsidRPr="005D08AD">
              <w:rPr>
                <w:b/>
                <w:color w:val="auto"/>
                <w:szCs w:val="20"/>
                <w:lang w:val="es-CO"/>
              </w:rPr>
              <w:t>Solicitud</w:t>
            </w:r>
          </w:p>
        </w:tc>
      </w:tr>
      <w:tr w:rsidR="0051332F" w:rsidRPr="005D08AD" w:rsidTr="00E165C7">
        <w:tc>
          <w:tcPr>
            <w:tcW w:w="1830" w:type="dxa"/>
          </w:tcPr>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 xml:space="preserve">Administradora de los Recursos del Sistema General de la Seguridad Social en Salud- </w:t>
            </w:r>
          </w:p>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ADRES</w:t>
            </w:r>
            <w:r w:rsidRPr="005D08AD">
              <w:rPr>
                <w:rStyle w:val="Refdenotaalpie"/>
                <w:bCs/>
                <w:color w:val="auto"/>
                <w:szCs w:val="20"/>
                <w:lang w:val="es-CO"/>
              </w:rPr>
              <w:footnoteReference w:id="11"/>
            </w:r>
          </w:p>
        </w:tc>
        <w:tc>
          <w:tcPr>
            <w:tcW w:w="5315" w:type="dxa"/>
          </w:tcPr>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 xml:space="preserve">La entidad indicó que la demanda desconoce </w:t>
            </w:r>
            <w:r w:rsidRPr="005D08AD">
              <w:rPr>
                <w:bCs/>
                <w:color w:val="auto"/>
                <w:szCs w:val="20"/>
                <w:lang w:val="es-CO"/>
              </w:rPr>
              <w:t>que es el término “</w:t>
            </w:r>
            <w:r w:rsidRPr="005D08AD">
              <w:rPr>
                <w:bCs/>
                <w:i/>
                <w:iCs/>
                <w:color w:val="auto"/>
                <w:szCs w:val="20"/>
                <w:lang w:val="es-CO"/>
              </w:rPr>
              <w:t>ad valorem</w:t>
            </w:r>
            <w:r w:rsidRPr="005D08AD">
              <w:rPr>
                <w:bCs/>
                <w:color w:val="auto"/>
                <w:szCs w:val="20"/>
                <w:lang w:val="es-CO"/>
              </w:rPr>
              <w:t>”</w:t>
            </w:r>
            <w:r w:rsidRPr="005D08AD">
              <w:rPr>
                <w:bCs/>
                <w:color w:val="auto"/>
                <w:szCs w:val="20"/>
                <w:lang w:val="es-CO"/>
              </w:rPr>
              <w:t xml:space="preserve"> </w:t>
            </w:r>
            <w:r w:rsidRPr="005D08AD">
              <w:rPr>
                <w:bCs/>
                <w:color w:val="auto"/>
                <w:szCs w:val="20"/>
                <w:lang w:val="es-CO"/>
              </w:rPr>
              <w:t xml:space="preserve">el que permite establecer el hecho generador. En su criterio, esa expresión implica que el impuesto se calcula sobre el valor comercial del bien lo que lleva a que el hecho gravable esté vinculado a una transacción económica </w:t>
            </w:r>
            <w:r w:rsidRPr="005D08AD">
              <w:rPr>
                <w:bCs/>
                <w:color w:val="auto"/>
                <w:szCs w:val="20"/>
                <w:lang w:val="es-CO"/>
              </w:rPr>
              <w:t xml:space="preserve">como la venta o importación. </w:t>
            </w:r>
          </w:p>
        </w:tc>
        <w:tc>
          <w:tcPr>
            <w:tcW w:w="1683" w:type="dxa"/>
          </w:tcPr>
          <w:p w:rsidR="0051332F" w:rsidRPr="005D08AD" w:rsidRDefault="005D08AD" w:rsidP="005F72BB">
            <w:pPr>
              <w:pStyle w:val="Sombreadovistoso-nfasis31"/>
              <w:ind w:left="0"/>
              <w:mirrorIndents/>
              <w:jc w:val="center"/>
              <w:rPr>
                <w:bCs/>
                <w:i/>
                <w:iCs/>
                <w:color w:val="auto"/>
                <w:szCs w:val="20"/>
                <w:lang w:val="es-CO"/>
              </w:rPr>
            </w:pPr>
            <w:r w:rsidRPr="005D08AD">
              <w:rPr>
                <w:bCs/>
                <w:i/>
                <w:iCs/>
                <w:color w:val="auto"/>
                <w:szCs w:val="20"/>
                <w:lang w:val="es-CO"/>
              </w:rPr>
              <w:t>Exequibilidad</w:t>
            </w:r>
          </w:p>
        </w:tc>
      </w:tr>
      <w:tr w:rsidR="0051332F" w:rsidRPr="005D08AD" w:rsidTr="00E165C7">
        <w:tc>
          <w:tcPr>
            <w:tcW w:w="1830" w:type="dxa"/>
          </w:tcPr>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Industrial Militar de Colombia- INDUMIL</w:t>
            </w:r>
            <w:r w:rsidRPr="005D08AD">
              <w:rPr>
                <w:rStyle w:val="Refdenotaalpie"/>
                <w:bCs/>
                <w:color w:val="auto"/>
                <w:szCs w:val="20"/>
                <w:lang w:val="es-CO"/>
              </w:rPr>
              <w:footnoteReference w:id="12"/>
            </w:r>
          </w:p>
        </w:tc>
        <w:tc>
          <w:tcPr>
            <w:tcW w:w="5315" w:type="dxa"/>
          </w:tcPr>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 xml:space="preserve">La entidad señaló que el impuesto a las municiones y explosivos no vulnera los principios consagrados en el artículo 338 </w:t>
            </w:r>
            <w:r w:rsidRPr="005D08AD">
              <w:rPr>
                <w:bCs/>
                <w:color w:val="auto"/>
                <w:szCs w:val="20"/>
                <w:lang w:val="es-CO"/>
              </w:rPr>
              <w:t>de la Constitución</w:t>
            </w:r>
            <w:r w:rsidRPr="005D08AD">
              <w:rPr>
                <w:bCs/>
                <w:color w:val="auto"/>
                <w:szCs w:val="20"/>
                <w:lang w:val="es-CO"/>
              </w:rPr>
              <w:t xml:space="preserve"> “toda vez que: 1) no existe una omisión que afecte la seguridad jurídica, el debido proceso y la certeza tributaria; 2) el texto precisa que la causa del gravamen es por la venta de municiones o explosivos; 3) no se presenta</w:t>
            </w:r>
            <w:r w:rsidRPr="005D08AD">
              <w:rPr>
                <w:bCs/>
                <w:color w:val="auto"/>
                <w:szCs w:val="20"/>
                <w:lang w:val="es-CO"/>
              </w:rPr>
              <w:t>[n]</w:t>
            </w:r>
            <w:r w:rsidRPr="005D08AD">
              <w:rPr>
                <w:bCs/>
                <w:color w:val="auto"/>
                <w:szCs w:val="20"/>
                <w:lang w:val="es-CO"/>
              </w:rPr>
              <w:t xml:space="preserve"> ambigüedades insuperables e</w:t>
            </w:r>
            <w:r w:rsidRPr="005D08AD">
              <w:rPr>
                <w:bCs/>
                <w:color w:val="auto"/>
                <w:szCs w:val="20"/>
                <w:lang w:val="es-CO"/>
              </w:rPr>
              <w:t>n la definición del hecho generador del tributo y 4) los autos de inadmisión de la Corte Constitucional no reconocen la falta de claridad normativa sobre el hecho generador”</w:t>
            </w:r>
            <w:r w:rsidRPr="005D08AD">
              <w:rPr>
                <w:bCs/>
                <w:color w:val="auto"/>
                <w:szCs w:val="20"/>
                <w:lang w:val="es-CO"/>
              </w:rPr>
              <w:t>.</w:t>
            </w:r>
          </w:p>
          <w:p w:rsidR="0051332F" w:rsidRPr="005D08AD" w:rsidRDefault="005D08AD" w:rsidP="005F72BB">
            <w:pPr>
              <w:pStyle w:val="Sombreadovistoso-nfasis31"/>
              <w:ind w:left="0"/>
              <w:mirrorIndents/>
              <w:rPr>
                <w:bCs/>
                <w:color w:val="auto"/>
                <w:szCs w:val="20"/>
                <w:lang w:val="es-CO"/>
              </w:rPr>
            </w:pPr>
          </w:p>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Indica que, par</w:t>
            </w:r>
            <w:r w:rsidRPr="005D08AD">
              <w:rPr>
                <w:bCs/>
                <w:color w:val="auto"/>
                <w:szCs w:val="20"/>
                <w:lang w:val="es-CO"/>
              </w:rPr>
              <w:t>a entender el cobro del impuesto sobre la venta de explosivos</w:t>
            </w:r>
            <w:r w:rsidRPr="005D08AD">
              <w:rPr>
                <w:bCs/>
                <w:color w:val="auto"/>
                <w:szCs w:val="20"/>
                <w:lang w:val="es-CO"/>
              </w:rPr>
              <w:t>,</w:t>
            </w:r>
            <w:r w:rsidRPr="005D08AD">
              <w:rPr>
                <w:bCs/>
                <w:color w:val="auto"/>
                <w:szCs w:val="20"/>
                <w:lang w:val="es-CO"/>
              </w:rPr>
              <w:t xml:space="preserve"> es</w:t>
            </w:r>
            <w:r w:rsidRPr="005D08AD">
              <w:rPr>
                <w:bCs/>
                <w:color w:val="auto"/>
                <w:szCs w:val="20"/>
                <w:lang w:val="es-CO"/>
              </w:rPr>
              <w:t xml:space="preserve"> necesario remitirse al artículo 32 del Decreto 2535 de 1993 sobre los permisos relacionados con las armas, municiones y explosivos, según el cual se configuran tres situaciones que requieren un permiso: (i) el permiso para el porte de armas; (ii) el permi</w:t>
            </w:r>
            <w:r w:rsidRPr="005D08AD">
              <w:rPr>
                <w:bCs/>
                <w:color w:val="auto"/>
                <w:szCs w:val="20"/>
                <w:lang w:val="es-CO"/>
              </w:rPr>
              <w:t>so para la tenencia de armas y; (iii) el permiso (autorización de cupo) sobre la venta de municiones y explosivos. En ese sentido, la demanda, al no tener en cuenta el referido artículo 32 desconoce que no hay ningún escenario en el que se requiera un perm</w:t>
            </w:r>
            <w:r w:rsidRPr="005D08AD">
              <w:rPr>
                <w:bCs/>
                <w:color w:val="auto"/>
                <w:szCs w:val="20"/>
                <w:lang w:val="es-CO"/>
              </w:rPr>
              <w:t xml:space="preserve">iso para el </w:t>
            </w:r>
            <w:r w:rsidRPr="005D08AD">
              <w:rPr>
                <w:bCs/>
                <w:i/>
                <w:iCs/>
                <w:color w:val="auto"/>
                <w:szCs w:val="20"/>
                <w:lang w:val="es-CO"/>
              </w:rPr>
              <w:t>porte</w:t>
            </w:r>
            <w:r w:rsidRPr="005D08AD">
              <w:rPr>
                <w:bCs/>
                <w:color w:val="auto"/>
                <w:szCs w:val="20"/>
                <w:lang w:val="es-CO"/>
              </w:rPr>
              <w:t xml:space="preserve"> de explosivos. </w:t>
            </w:r>
          </w:p>
          <w:p w:rsidR="0051332F" w:rsidRPr="005D08AD" w:rsidRDefault="005D08AD" w:rsidP="005F72BB">
            <w:pPr>
              <w:pStyle w:val="Sombreadovistoso-nfasis31"/>
              <w:ind w:left="0"/>
              <w:mirrorIndents/>
              <w:rPr>
                <w:bCs/>
                <w:color w:val="auto"/>
                <w:szCs w:val="20"/>
                <w:lang w:val="es-CO"/>
              </w:rPr>
            </w:pPr>
          </w:p>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 xml:space="preserve">En </w:t>
            </w:r>
            <w:r w:rsidRPr="005D08AD">
              <w:rPr>
                <w:bCs/>
                <w:color w:val="auto"/>
                <w:szCs w:val="20"/>
                <w:lang w:val="es-CO"/>
              </w:rPr>
              <w:t>este contexto</w:t>
            </w:r>
            <w:r w:rsidRPr="005D08AD">
              <w:rPr>
                <w:bCs/>
                <w:color w:val="auto"/>
                <w:szCs w:val="20"/>
                <w:lang w:val="es-CO"/>
              </w:rPr>
              <w:t xml:space="preserve">, el permiso de porte de armas es diferente al permiso de venta de explosivos por la naturaleza de cada elemento. Mientras los explosivos son bienes fungibles y consumibles y pasan a ser propiedad del </w:t>
            </w:r>
            <w:r w:rsidRPr="005D08AD">
              <w:rPr>
                <w:bCs/>
                <w:color w:val="auto"/>
                <w:szCs w:val="20"/>
                <w:lang w:val="es-CO"/>
              </w:rPr>
              <w:t>cliente una vez se adquieren, las armas no tienen ese derecho a la propiedad, por tanto, su titularidad se encuentra en cabeza del Estado. “[M]ientras que la razón de ser del porte es el permiso de uso sobre el arma al particular de la cual es titular la N</w:t>
            </w:r>
            <w:r w:rsidRPr="005D08AD">
              <w:rPr>
                <w:bCs/>
                <w:color w:val="auto"/>
                <w:szCs w:val="20"/>
                <w:lang w:val="es-CO"/>
              </w:rPr>
              <w:t>ación, un bien no fungible y consumible, el Estado se reserva la titularidad del derecho, mientras que los explosivos sí son titulares de los clientes. Por tal razón no resultaría aplicar el permiso para armas a los explosivos ya que se tratan de asuntos c</w:t>
            </w:r>
            <w:r w:rsidRPr="005D08AD">
              <w:rPr>
                <w:bCs/>
                <w:color w:val="auto"/>
                <w:szCs w:val="20"/>
                <w:lang w:val="es-CO"/>
              </w:rPr>
              <w:t>ompletamente diferentes y con tratos diferentes por razones de peso”.</w:t>
            </w:r>
          </w:p>
          <w:p w:rsidR="0051332F" w:rsidRPr="005D08AD" w:rsidRDefault="005D08AD" w:rsidP="005F72BB">
            <w:pPr>
              <w:pStyle w:val="Sombreadovistoso-nfasis31"/>
              <w:ind w:left="0"/>
              <w:mirrorIndents/>
              <w:rPr>
                <w:bCs/>
                <w:color w:val="auto"/>
                <w:szCs w:val="20"/>
                <w:lang w:val="es-CO"/>
              </w:rPr>
            </w:pPr>
          </w:p>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 xml:space="preserve">Por otro lado, el </w:t>
            </w:r>
            <w:r w:rsidRPr="005D08AD">
              <w:rPr>
                <w:bCs/>
                <w:color w:val="auto"/>
                <w:szCs w:val="20"/>
                <w:lang w:val="es-CO"/>
              </w:rPr>
              <w:t xml:space="preserve">denominado </w:t>
            </w:r>
            <w:r w:rsidRPr="005D08AD">
              <w:rPr>
                <w:bCs/>
                <w:color w:val="auto"/>
                <w:szCs w:val="20"/>
                <w:lang w:val="es-CO"/>
              </w:rPr>
              <w:t xml:space="preserve">impuesto social tiene dos escenarios distintos, el de armas de fuego y el de municiones y explosivos, los cuales exigen que la autoridad competente otorgue </w:t>
            </w:r>
            <w:r w:rsidRPr="005D08AD">
              <w:rPr>
                <w:bCs/>
                <w:color w:val="auto"/>
                <w:szCs w:val="20"/>
                <w:lang w:val="es-CO"/>
              </w:rPr>
              <w:t>el respectivo permiso. Así, dado que no existe el porte de explosivos, el cobro del impuesto, en criterio de la entidad, se concreta en su venta en los términos de los artículos 32 y 51 del Decreto 2535 de 1993, por la naturaleza del elemento gravado.</w:t>
            </w:r>
          </w:p>
          <w:p w:rsidR="0051332F" w:rsidRPr="005D08AD" w:rsidRDefault="005D08AD" w:rsidP="005F72BB">
            <w:pPr>
              <w:pStyle w:val="Sombreadovistoso-nfasis31"/>
              <w:ind w:left="0"/>
              <w:mirrorIndents/>
              <w:rPr>
                <w:bCs/>
                <w:color w:val="auto"/>
                <w:szCs w:val="20"/>
                <w:lang w:val="es-CO"/>
              </w:rPr>
            </w:pPr>
          </w:p>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Sob</w:t>
            </w:r>
            <w:r w:rsidRPr="005D08AD">
              <w:rPr>
                <w:bCs/>
                <w:color w:val="auto"/>
                <w:szCs w:val="20"/>
                <w:lang w:val="es-CO"/>
              </w:rPr>
              <w:t xml:space="preserve">re la inexistencia de ambigüedad en la norma cuestionada, </w:t>
            </w:r>
            <w:r w:rsidRPr="005D08AD">
              <w:rPr>
                <w:bCs/>
                <w:color w:val="auto"/>
                <w:szCs w:val="20"/>
                <w:lang w:val="es-CO"/>
              </w:rPr>
              <w:t xml:space="preserve">la entidad </w:t>
            </w:r>
            <w:r w:rsidRPr="005D08AD">
              <w:rPr>
                <w:bCs/>
                <w:color w:val="auto"/>
                <w:szCs w:val="20"/>
                <w:lang w:val="es-CO"/>
              </w:rPr>
              <w:t>consideró que, si bien la norma “es compleja, no es ininteligible, y tal interpretación no es un ejercicio especulativo o de creación normativa, todo lo contrario, es integral a la normat</w:t>
            </w:r>
            <w:r w:rsidRPr="005D08AD">
              <w:rPr>
                <w:bCs/>
                <w:color w:val="auto"/>
                <w:szCs w:val="20"/>
                <w:lang w:val="es-CO"/>
              </w:rPr>
              <w:t xml:space="preserve">iva legal y al monopolio constitucional del Estado”. </w:t>
            </w:r>
            <w:r w:rsidRPr="005D08AD">
              <w:rPr>
                <w:bCs/>
                <w:color w:val="auto"/>
                <w:szCs w:val="20"/>
                <w:lang w:val="es-CO"/>
              </w:rPr>
              <w:t>Agregó</w:t>
            </w:r>
            <w:r w:rsidRPr="005D08AD">
              <w:rPr>
                <w:bCs/>
                <w:color w:val="auto"/>
                <w:szCs w:val="20"/>
                <w:lang w:val="es-CO"/>
              </w:rPr>
              <w:t xml:space="preserve"> que según </w:t>
            </w:r>
            <w:r w:rsidRPr="005D08AD">
              <w:rPr>
                <w:bCs/>
                <w:color w:val="auto"/>
                <w:szCs w:val="20"/>
                <w:lang w:val="es-CO"/>
              </w:rPr>
              <w:t xml:space="preserve">algunos </w:t>
            </w:r>
            <w:r w:rsidRPr="005D08AD">
              <w:rPr>
                <w:bCs/>
                <w:color w:val="auto"/>
                <w:szCs w:val="20"/>
                <w:lang w:val="es-CO"/>
              </w:rPr>
              <w:t xml:space="preserve">autos inadmisorios </w:t>
            </w:r>
            <w:r w:rsidRPr="005D08AD">
              <w:rPr>
                <w:bCs/>
                <w:color w:val="auto"/>
                <w:szCs w:val="20"/>
                <w:lang w:val="es-CO"/>
              </w:rPr>
              <w:t xml:space="preserve">(en los expedientes </w:t>
            </w:r>
            <w:r w:rsidRPr="005D08AD">
              <w:rPr>
                <w:bCs/>
                <w:color w:val="auto"/>
                <w:szCs w:val="20"/>
                <w:lang w:val="es-CO"/>
              </w:rPr>
              <w:t>D-16253 de 2024 y D-16433 de 2025</w:t>
            </w:r>
            <w:r w:rsidRPr="005D08AD">
              <w:rPr>
                <w:bCs/>
                <w:color w:val="auto"/>
                <w:szCs w:val="20"/>
                <w:lang w:val="es-CO"/>
              </w:rPr>
              <w:t>)</w:t>
            </w:r>
            <w:r w:rsidRPr="005D08AD">
              <w:rPr>
                <w:bCs/>
                <w:color w:val="auto"/>
                <w:szCs w:val="20"/>
                <w:lang w:val="es-CO"/>
              </w:rPr>
              <w:t xml:space="preserve"> la Corte no reconoce la falta de claridad normativa sobre el hecho generador</w:t>
            </w:r>
            <w:r w:rsidRPr="005D08AD">
              <w:rPr>
                <w:bCs/>
                <w:color w:val="auto"/>
                <w:szCs w:val="20"/>
                <w:lang w:val="es-CO"/>
              </w:rPr>
              <w:t xml:space="preserve"> e </w:t>
            </w:r>
            <w:r w:rsidRPr="005D08AD">
              <w:rPr>
                <w:bCs/>
                <w:color w:val="auto"/>
                <w:szCs w:val="20"/>
                <w:lang w:val="es-CO"/>
              </w:rPr>
              <w:t xml:space="preserve">incluyó un acápite sobre las implicaciones económicas que tiene el artículo cuestionado para el Sistema de Seguridad Social. </w:t>
            </w:r>
          </w:p>
        </w:tc>
        <w:tc>
          <w:tcPr>
            <w:tcW w:w="1683" w:type="dxa"/>
          </w:tcPr>
          <w:p w:rsidR="0051332F" w:rsidRPr="005D08AD" w:rsidRDefault="005D08AD" w:rsidP="005F72BB">
            <w:pPr>
              <w:pStyle w:val="Sombreadovistoso-nfasis31"/>
              <w:ind w:left="0"/>
              <w:mirrorIndents/>
              <w:jc w:val="center"/>
              <w:rPr>
                <w:bCs/>
                <w:color w:val="auto"/>
                <w:szCs w:val="20"/>
                <w:lang w:val="es-CO"/>
              </w:rPr>
            </w:pPr>
            <w:r w:rsidRPr="005D08AD">
              <w:rPr>
                <w:bCs/>
                <w:i/>
                <w:iCs/>
                <w:color w:val="auto"/>
                <w:szCs w:val="20"/>
                <w:lang w:val="es-CO"/>
              </w:rPr>
              <w:t>Exequibilidad</w:t>
            </w:r>
          </w:p>
        </w:tc>
      </w:tr>
      <w:tr w:rsidR="0051332F" w:rsidRPr="005D08AD" w:rsidTr="00E165C7">
        <w:tc>
          <w:tcPr>
            <w:tcW w:w="1830" w:type="dxa"/>
          </w:tcPr>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Dirección de Impuestos y Aduanas Nacionales-</w:t>
            </w:r>
          </w:p>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DIAN</w:t>
            </w:r>
            <w:r w:rsidRPr="005D08AD">
              <w:rPr>
                <w:rStyle w:val="Refdenotaalpie"/>
                <w:bCs/>
                <w:color w:val="auto"/>
                <w:szCs w:val="20"/>
                <w:lang w:val="es-CO"/>
              </w:rPr>
              <w:footnoteReference w:id="13"/>
            </w:r>
          </w:p>
        </w:tc>
        <w:tc>
          <w:tcPr>
            <w:tcW w:w="5315" w:type="dxa"/>
          </w:tcPr>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 xml:space="preserve">Para la </w:t>
            </w:r>
            <w:r w:rsidRPr="005D08AD">
              <w:rPr>
                <w:bCs/>
                <w:color w:val="auto"/>
                <w:szCs w:val="20"/>
                <w:lang w:val="es-CO"/>
              </w:rPr>
              <w:t xml:space="preserve">interviniente </w:t>
            </w:r>
            <w:r w:rsidRPr="005D08AD">
              <w:rPr>
                <w:bCs/>
                <w:color w:val="auto"/>
                <w:szCs w:val="20"/>
                <w:lang w:val="es-CO"/>
              </w:rPr>
              <w:t xml:space="preserve">en el presente caso se configura </w:t>
            </w:r>
            <w:r w:rsidRPr="005D08AD">
              <w:rPr>
                <w:bCs/>
                <w:color w:val="auto"/>
                <w:szCs w:val="20"/>
                <w:lang w:val="es-CO"/>
              </w:rPr>
              <w:t>el fenóme</w:t>
            </w:r>
            <w:r w:rsidRPr="005D08AD">
              <w:rPr>
                <w:bCs/>
                <w:color w:val="auto"/>
                <w:szCs w:val="20"/>
                <w:lang w:val="es-CO"/>
              </w:rPr>
              <w:t>no de</w:t>
            </w:r>
            <w:r w:rsidRPr="005D08AD">
              <w:rPr>
                <w:bCs/>
                <w:color w:val="auto"/>
                <w:szCs w:val="20"/>
                <w:lang w:val="es-CO"/>
              </w:rPr>
              <w:t xml:space="preserve"> </w:t>
            </w:r>
            <w:r w:rsidRPr="005D08AD">
              <w:rPr>
                <w:bCs/>
                <w:i/>
                <w:iCs/>
                <w:color w:val="auto"/>
                <w:szCs w:val="20"/>
                <w:lang w:val="es-CO"/>
              </w:rPr>
              <w:t>cosa juzgada constitucional</w:t>
            </w:r>
            <w:r w:rsidRPr="005D08AD">
              <w:rPr>
                <w:bCs/>
                <w:color w:val="auto"/>
                <w:szCs w:val="20"/>
                <w:lang w:val="es-CO"/>
              </w:rPr>
              <w:t xml:space="preserve"> pues la norma ya fue analizada en las Sentencias C-390 de 1996 y C-608 de 2012 “con base en el mismo cargo planteado y frente al mismo parámetro de constitucionalidad debatido en relación con el principio de legalidad y ce</w:t>
            </w:r>
            <w:r w:rsidRPr="005D08AD">
              <w:rPr>
                <w:bCs/>
                <w:color w:val="auto"/>
                <w:szCs w:val="20"/>
                <w:lang w:val="es-CO"/>
              </w:rPr>
              <w:t>rteza tributaria”. Agregó que las mencionadas sentencias no consideraron que el hecho generado</w:t>
            </w:r>
            <w:r w:rsidRPr="005D08AD">
              <w:rPr>
                <w:bCs/>
                <w:color w:val="auto"/>
                <w:szCs w:val="20"/>
                <w:lang w:val="es-CO"/>
              </w:rPr>
              <w:t>r</w:t>
            </w:r>
            <w:r w:rsidRPr="005D08AD">
              <w:rPr>
                <w:bCs/>
                <w:color w:val="auto"/>
                <w:szCs w:val="20"/>
                <w:lang w:val="es-CO"/>
              </w:rPr>
              <w:t xml:space="preserve"> del impuesto a municiones y explosivos fuera el </w:t>
            </w:r>
            <w:r w:rsidRPr="005D08AD">
              <w:rPr>
                <w:bCs/>
                <w:i/>
                <w:iCs/>
                <w:color w:val="auto"/>
                <w:szCs w:val="20"/>
                <w:lang w:val="es-CO"/>
              </w:rPr>
              <w:t>porte</w:t>
            </w:r>
            <w:r w:rsidRPr="005D08AD">
              <w:rPr>
                <w:bCs/>
                <w:color w:val="auto"/>
                <w:szCs w:val="20"/>
                <w:lang w:val="es-CO"/>
              </w:rPr>
              <w:t xml:space="preserve"> de estos elementos como entienden los accionantes. En todo caso,</w:t>
            </w:r>
            <w:r w:rsidRPr="005D08AD">
              <w:rPr>
                <w:bCs/>
                <w:color w:val="auto"/>
                <w:szCs w:val="20"/>
                <w:lang w:val="es-CO"/>
              </w:rPr>
              <w:t xml:space="preserve"> precisó que</w:t>
            </w:r>
            <w:r w:rsidRPr="005D08AD">
              <w:rPr>
                <w:bCs/>
                <w:color w:val="auto"/>
                <w:szCs w:val="20"/>
                <w:lang w:val="es-CO"/>
              </w:rPr>
              <w:t xml:space="preserve"> el artículo 48 de la Ley 1438 de 2011 no vulnera el principio de legalidad tributaria debido a que se puede identificar el hecho generador del impuesto social a partir de las expresiones “ad valorem” y “se cobrará” las cuales, conforme al Consejo de Estad</w:t>
            </w:r>
            <w:r w:rsidRPr="005D08AD">
              <w:rPr>
                <w:bCs/>
                <w:color w:val="auto"/>
                <w:szCs w:val="20"/>
                <w:lang w:val="es-CO"/>
              </w:rPr>
              <w:t>o, permiten establecer que el hecho generador del impuesto recae sobre una transacción o compraventa de las municiones y explosivos. Así, el artículo 48 de la Ley 1438 de 2011 sí permite identificar el hecho generado</w:t>
            </w:r>
            <w:r w:rsidRPr="005D08AD">
              <w:rPr>
                <w:bCs/>
                <w:color w:val="auto"/>
                <w:szCs w:val="20"/>
                <w:lang w:val="es-CO"/>
              </w:rPr>
              <w:t>r</w:t>
            </w:r>
            <w:r w:rsidRPr="005D08AD">
              <w:rPr>
                <w:bCs/>
                <w:color w:val="auto"/>
                <w:szCs w:val="20"/>
                <w:lang w:val="es-CO"/>
              </w:rPr>
              <w:t>, “sin que se configure un hecho insupe</w:t>
            </w:r>
            <w:r w:rsidRPr="005D08AD">
              <w:rPr>
                <w:bCs/>
                <w:color w:val="auto"/>
                <w:szCs w:val="20"/>
                <w:lang w:val="es-CO"/>
              </w:rPr>
              <w:t xml:space="preserve">rable que diera como resultado la violación del principio de certeza tributaria”. </w:t>
            </w:r>
          </w:p>
          <w:p w:rsidR="0051332F" w:rsidRPr="005D08AD" w:rsidRDefault="005D08AD" w:rsidP="005F72BB">
            <w:pPr>
              <w:pStyle w:val="Sombreadovistoso-nfasis31"/>
              <w:ind w:left="0"/>
              <w:mirrorIndents/>
              <w:rPr>
                <w:bCs/>
                <w:color w:val="auto"/>
                <w:szCs w:val="20"/>
                <w:lang w:val="es-CO"/>
              </w:rPr>
            </w:pPr>
          </w:p>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 xml:space="preserve">En todo caso, </w:t>
            </w:r>
            <w:r w:rsidRPr="005D08AD">
              <w:rPr>
                <w:bCs/>
                <w:color w:val="auto"/>
                <w:szCs w:val="20"/>
                <w:lang w:val="es-CO"/>
              </w:rPr>
              <w:t>indicó</w:t>
            </w:r>
            <w:r w:rsidRPr="005D08AD">
              <w:rPr>
                <w:bCs/>
                <w:color w:val="auto"/>
                <w:szCs w:val="20"/>
                <w:lang w:val="es-CO"/>
              </w:rPr>
              <w:t xml:space="preserve"> que la demanda no cumple el </w:t>
            </w:r>
            <w:r w:rsidRPr="005D08AD">
              <w:rPr>
                <w:bCs/>
                <w:color w:val="auto"/>
                <w:szCs w:val="20"/>
                <w:lang w:val="es-CO"/>
              </w:rPr>
              <w:t>presupuesto</w:t>
            </w:r>
            <w:r w:rsidRPr="005D08AD">
              <w:rPr>
                <w:bCs/>
                <w:color w:val="auto"/>
                <w:szCs w:val="20"/>
                <w:lang w:val="es-CO"/>
              </w:rPr>
              <w:t xml:space="preserve"> de certeza debido a que “</w:t>
            </w:r>
            <w:r w:rsidRPr="005D08AD">
              <w:rPr>
                <w:szCs w:val="20"/>
              </w:rPr>
              <w:t>ya existen dos pronunciamientos previos de la Corte Constitucional (Sentencias C-390 d</w:t>
            </w:r>
            <w:r w:rsidRPr="005D08AD">
              <w:rPr>
                <w:szCs w:val="20"/>
              </w:rPr>
              <w:t>e 1996 y C-608 de 2012) que han definido los elementos del tributo, así como más de diez (10) decisiones del Consejo de Estado que han aplicado dichos elementos con certeza, en una interpretación razonable y consistente de la norma demandada”</w:t>
            </w:r>
            <w:r w:rsidRPr="005D08AD">
              <w:rPr>
                <w:szCs w:val="20"/>
              </w:rPr>
              <w:t>.</w:t>
            </w:r>
          </w:p>
        </w:tc>
        <w:tc>
          <w:tcPr>
            <w:tcW w:w="1683" w:type="dxa"/>
          </w:tcPr>
          <w:p w:rsidR="0051332F" w:rsidRPr="005D08AD" w:rsidRDefault="005D08AD" w:rsidP="005F72BB">
            <w:pPr>
              <w:pStyle w:val="Sombreadovistoso-nfasis31"/>
              <w:ind w:left="0"/>
              <w:mirrorIndents/>
              <w:jc w:val="center"/>
              <w:rPr>
                <w:bCs/>
                <w:color w:val="auto"/>
                <w:szCs w:val="20"/>
                <w:lang w:val="es-CO"/>
              </w:rPr>
            </w:pPr>
            <w:r w:rsidRPr="005D08AD">
              <w:rPr>
                <w:bCs/>
                <w:i/>
                <w:iCs/>
                <w:color w:val="auto"/>
                <w:szCs w:val="20"/>
                <w:lang w:val="es-CO"/>
              </w:rPr>
              <w:t>Estarse a lo</w:t>
            </w:r>
            <w:r w:rsidRPr="005D08AD">
              <w:rPr>
                <w:bCs/>
                <w:i/>
                <w:iCs/>
                <w:color w:val="auto"/>
                <w:szCs w:val="20"/>
                <w:lang w:val="es-CO"/>
              </w:rPr>
              <w:t xml:space="preserve"> resuelto</w:t>
            </w:r>
            <w:r w:rsidRPr="005D08AD">
              <w:rPr>
                <w:bCs/>
                <w:color w:val="auto"/>
                <w:szCs w:val="20"/>
                <w:lang w:val="es-CO"/>
              </w:rPr>
              <w:t xml:space="preserve"> a las Sentencias C-390 de 1996 y C-608 de 2012 </w:t>
            </w:r>
          </w:p>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o</w:t>
            </w:r>
          </w:p>
          <w:p w:rsidR="0051332F" w:rsidRPr="005D08AD" w:rsidRDefault="005D08AD" w:rsidP="005F72BB">
            <w:pPr>
              <w:pStyle w:val="Sombreadovistoso-nfasis31"/>
              <w:ind w:left="0"/>
              <w:mirrorIndents/>
              <w:jc w:val="center"/>
              <w:rPr>
                <w:bCs/>
                <w:i/>
                <w:iCs/>
                <w:color w:val="auto"/>
                <w:szCs w:val="20"/>
                <w:lang w:val="es-CO"/>
              </w:rPr>
            </w:pPr>
            <w:r w:rsidRPr="005D08AD">
              <w:rPr>
                <w:bCs/>
                <w:i/>
                <w:iCs/>
                <w:color w:val="auto"/>
                <w:szCs w:val="20"/>
                <w:lang w:val="es-CO"/>
              </w:rPr>
              <w:t>Inhibición</w:t>
            </w:r>
          </w:p>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o</w:t>
            </w:r>
          </w:p>
          <w:p w:rsidR="0051332F" w:rsidRPr="005D08AD" w:rsidRDefault="005D08AD" w:rsidP="005F72BB">
            <w:pPr>
              <w:pStyle w:val="Sombreadovistoso-nfasis31"/>
              <w:ind w:left="0"/>
              <w:mirrorIndents/>
              <w:jc w:val="center"/>
              <w:rPr>
                <w:bCs/>
                <w:i/>
                <w:iCs/>
                <w:color w:val="auto"/>
                <w:szCs w:val="20"/>
                <w:lang w:val="es-CO"/>
              </w:rPr>
            </w:pPr>
            <w:r w:rsidRPr="005D08AD">
              <w:rPr>
                <w:bCs/>
                <w:i/>
                <w:iCs/>
                <w:color w:val="auto"/>
                <w:szCs w:val="20"/>
                <w:lang w:val="es-CO"/>
              </w:rPr>
              <w:t>Exequibilidad</w:t>
            </w:r>
          </w:p>
        </w:tc>
      </w:tr>
      <w:tr w:rsidR="0051332F" w:rsidRPr="005D08AD" w:rsidTr="00E165C7">
        <w:tc>
          <w:tcPr>
            <w:tcW w:w="1830" w:type="dxa"/>
          </w:tcPr>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 xml:space="preserve">Ministerio de Hacienda y Crédito Público </w:t>
            </w:r>
          </w:p>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-MHCP-</w:t>
            </w:r>
            <w:r w:rsidRPr="005D08AD">
              <w:rPr>
                <w:rStyle w:val="Refdenotaalpie"/>
                <w:bCs/>
                <w:color w:val="auto"/>
                <w:szCs w:val="20"/>
                <w:lang w:val="es-CO"/>
              </w:rPr>
              <w:footnoteReference w:id="14"/>
            </w:r>
          </w:p>
        </w:tc>
        <w:tc>
          <w:tcPr>
            <w:tcW w:w="5315" w:type="dxa"/>
          </w:tcPr>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En el presente caso debe aplicarse la regla de decisión contenid</w:t>
            </w:r>
            <w:r w:rsidRPr="005D08AD">
              <w:rPr>
                <w:bCs/>
                <w:color w:val="auto"/>
                <w:szCs w:val="20"/>
                <w:lang w:val="es-CO"/>
              </w:rPr>
              <w:t>a</w:t>
            </w:r>
            <w:r w:rsidRPr="005D08AD">
              <w:rPr>
                <w:bCs/>
                <w:color w:val="auto"/>
                <w:szCs w:val="20"/>
                <w:lang w:val="es-CO"/>
              </w:rPr>
              <w:t xml:space="preserve"> en la Sentencia C-608 de 2012, “mediante la cual la Corte Constitucional: (i) concluyó que el artículo 48 impugnado “satisfizo los mandatos que se desprenden del principio de reserva de ley en materia tributaria del artículo 338 Superior; y (ii) tuvo en c</w:t>
            </w:r>
            <w:r w:rsidRPr="005D08AD">
              <w:rPr>
                <w:bCs/>
                <w:color w:val="auto"/>
                <w:szCs w:val="20"/>
                <w:lang w:val="es-CO"/>
              </w:rPr>
              <w:t xml:space="preserve">uenta el precedente sentado en la Sentencia C-390 de 1996”. Precisó que, en el presente caso, es posible establecer que los elementos de la obligación tributaria en cuestión, </w:t>
            </w:r>
            <w:r w:rsidRPr="005D08AD">
              <w:rPr>
                <w:bCs/>
                <w:color w:val="auto"/>
                <w:szCs w:val="20"/>
                <w:lang w:val="es-CO"/>
              </w:rPr>
              <w:t>son</w:t>
            </w:r>
            <w:r w:rsidRPr="005D08AD">
              <w:rPr>
                <w:bCs/>
                <w:color w:val="auto"/>
                <w:szCs w:val="20"/>
                <w:lang w:val="es-CO"/>
              </w:rPr>
              <w:t xml:space="preserve"> determinable</w:t>
            </w:r>
            <w:r w:rsidRPr="005D08AD">
              <w:rPr>
                <w:bCs/>
                <w:color w:val="auto"/>
                <w:szCs w:val="20"/>
                <w:lang w:val="es-CO"/>
              </w:rPr>
              <w:t>s</w:t>
            </w:r>
            <w:r w:rsidRPr="005D08AD">
              <w:rPr>
                <w:bCs/>
                <w:color w:val="auto"/>
                <w:szCs w:val="20"/>
                <w:lang w:val="es-CO"/>
              </w:rPr>
              <w:t>. El Consejo de Estado ha entendido que el hecho generador de tr</w:t>
            </w:r>
            <w:r w:rsidRPr="005D08AD">
              <w:rPr>
                <w:bCs/>
                <w:color w:val="auto"/>
                <w:szCs w:val="20"/>
                <w:lang w:val="es-CO"/>
              </w:rPr>
              <w:t>ibuto consiste en “las transacciones de las municiones o explosivos”. Finalmente, remite a la intervención de Indumil en la que</w:t>
            </w:r>
            <w:r w:rsidRPr="005D08AD">
              <w:rPr>
                <w:bCs/>
                <w:color w:val="auto"/>
                <w:szCs w:val="20"/>
                <w:lang w:val="es-CO"/>
              </w:rPr>
              <w:t xml:space="preserve"> se</w:t>
            </w:r>
            <w:r w:rsidRPr="005D08AD">
              <w:rPr>
                <w:bCs/>
                <w:color w:val="auto"/>
                <w:szCs w:val="20"/>
                <w:lang w:val="es-CO"/>
              </w:rPr>
              <w:t xml:space="preserve"> precisó que no existe permiso para el </w:t>
            </w:r>
            <w:r w:rsidRPr="005D08AD">
              <w:rPr>
                <w:bCs/>
                <w:i/>
                <w:iCs/>
                <w:color w:val="auto"/>
                <w:szCs w:val="20"/>
                <w:lang w:val="es-CO"/>
              </w:rPr>
              <w:t>porte</w:t>
            </w:r>
            <w:r w:rsidRPr="005D08AD">
              <w:rPr>
                <w:bCs/>
                <w:color w:val="auto"/>
                <w:szCs w:val="20"/>
                <w:lang w:val="es-CO"/>
              </w:rPr>
              <w:t xml:space="preserve"> de explosivos, pero sí para su venta. </w:t>
            </w:r>
          </w:p>
        </w:tc>
        <w:tc>
          <w:tcPr>
            <w:tcW w:w="1683" w:type="dxa"/>
          </w:tcPr>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No indica expresamente una solicitud</w:t>
            </w:r>
          </w:p>
        </w:tc>
      </w:tr>
      <w:tr w:rsidR="0051332F" w:rsidRPr="005D08AD" w:rsidTr="00E165C7">
        <w:tc>
          <w:tcPr>
            <w:tcW w:w="1830" w:type="dxa"/>
          </w:tcPr>
          <w:p w:rsidR="006B5099" w:rsidRPr="005D08AD" w:rsidRDefault="005D08AD" w:rsidP="005F72BB">
            <w:pPr>
              <w:pStyle w:val="Sombreadovistoso-nfasis31"/>
              <w:ind w:left="0"/>
              <w:mirrorIndents/>
              <w:jc w:val="center"/>
              <w:rPr>
                <w:bCs/>
                <w:color w:val="auto"/>
                <w:szCs w:val="20"/>
                <w:lang w:val="es-CO"/>
              </w:rPr>
            </w:pPr>
          </w:p>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Uni</w:t>
            </w:r>
            <w:r w:rsidRPr="005D08AD">
              <w:rPr>
                <w:bCs/>
                <w:color w:val="auto"/>
                <w:szCs w:val="20"/>
                <w:lang w:val="es-CO"/>
              </w:rPr>
              <w:t>versidad de los Andes</w:t>
            </w:r>
            <w:r w:rsidRPr="005D08AD">
              <w:rPr>
                <w:rStyle w:val="Refdenotaalpie"/>
                <w:bCs/>
                <w:color w:val="auto"/>
                <w:szCs w:val="20"/>
                <w:lang w:val="es-CO"/>
              </w:rPr>
              <w:footnoteReference w:id="15"/>
            </w:r>
          </w:p>
        </w:tc>
        <w:tc>
          <w:tcPr>
            <w:tcW w:w="5315" w:type="dxa"/>
          </w:tcPr>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 xml:space="preserve">La norma acusada es inexequible debido a que no precisa el hecho generador. Aludió a dos expresiones que se encuentran en la norma que, en su criterio, no permiten establecer </w:t>
            </w:r>
            <w:r w:rsidRPr="005D08AD">
              <w:rPr>
                <w:bCs/>
                <w:color w:val="auto"/>
                <w:szCs w:val="20"/>
                <w:lang w:val="es-CO"/>
              </w:rPr>
              <w:t>tal elemento</w:t>
            </w:r>
            <w:r w:rsidRPr="005D08AD">
              <w:rPr>
                <w:bCs/>
                <w:color w:val="auto"/>
                <w:szCs w:val="20"/>
                <w:lang w:val="es-CO"/>
              </w:rPr>
              <w:t xml:space="preserve"> por vía de interpretación.</w:t>
            </w:r>
          </w:p>
          <w:p w:rsidR="0051332F" w:rsidRPr="005D08AD" w:rsidRDefault="005D08AD" w:rsidP="005F72BB">
            <w:pPr>
              <w:pStyle w:val="Sombreadovistoso-nfasis31"/>
              <w:ind w:left="0"/>
              <w:mirrorIndents/>
              <w:rPr>
                <w:bCs/>
                <w:color w:val="auto"/>
                <w:szCs w:val="20"/>
                <w:lang w:val="es-CO"/>
              </w:rPr>
            </w:pPr>
          </w:p>
          <w:p w:rsidR="00E20488" w:rsidRPr="005D08AD" w:rsidRDefault="005D08AD" w:rsidP="005F72BB">
            <w:pPr>
              <w:pStyle w:val="Sombreadovistoso-nfasis31"/>
              <w:ind w:left="0"/>
              <w:mirrorIndents/>
              <w:rPr>
                <w:bCs/>
                <w:color w:val="auto"/>
                <w:szCs w:val="20"/>
                <w:lang w:val="es-CO"/>
              </w:rPr>
            </w:pPr>
            <w:r w:rsidRPr="005D08AD">
              <w:rPr>
                <w:bCs/>
                <w:color w:val="auto"/>
                <w:szCs w:val="20"/>
                <w:lang w:val="es-CO"/>
              </w:rPr>
              <w:t xml:space="preserve">En primer lugar, </w:t>
            </w:r>
            <w:r w:rsidRPr="005D08AD">
              <w:rPr>
                <w:bCs/>
                <w:color w:val="auto"/>
                <w:szCs w:val="20"/>
                <w:lang w:val="es-CO"/>
              </w:rPr>
              <w:t>el hecho generador de</w:t>
            </w:r>
            <w:r w:rsidRPr="005D08AD">
              <w:rPr>
                <w:bCs/>
                <w:color w:val="auto"/>
                <w:szCs w:val="20"/>
                <w:lang w:val="es-CO"/>
              </w:rPr>
              <w:t>l</w:t>
            </w:r>
            <w:r w:rsidRPr="005D08AD">
              <w:rPr>
                <w:bCs/>
                <w:color w:val="auto"/>
                <w:szCs w:val="20"/>
                <w:lang w:val="es-CO"/>
              </w:rPr>
              <w:t xml:space="preserve"> impuesto de armas de fuego</w:t>
            </w:r>
            <w:r w:rsidRPr="005D08AD">
              <w:rPr>
                <w:bCs/>
                <w:color w:val="auto"/>
                <w:szCs w:val="20"/>
                <w:lang w:val="es-CO"/>
              </w:rPr>
              <w:t xml:space="preserve"> </w:t>
            </w:r>
            <w:r w:rsidRPr="005D08AD">
              <w:rPr>
                <w:bCs/>
                <w:color w:val="auto"/>
                <w:szCs w:val="20"/>
                <w:lang w:val="es-CO"/>
              </w:rPr>
              <w:t>-porte- no es trasladable al impuesto social de municiones y explosivos, por cuanto “[l]a expresión “igualmente” se limita a introducir un segundo tributo dentro del mismo artículo, pero no traslada</w:t>
            </w:r>
            <w:r w:rsidRPr="005D08AD">
              <w:rPr>
                <w:bCs/>
                <w:color w:val="auto"/>
                <w:szCs w:val="20"/>
                <w:lang w:val="es-CO"/>
              </w:rPr>
              <w:t xml:space="preserve"> al nuev</w:t>
            </w:r>
            <w:r w:rsidRPr="005D08AD">
              <w:rPr>
                <w:bCs/>
                <w:color w:val="auto"/>
                <w:szCs w:val="20"/>
                <w:lang w:val="es-CO"/>
              </w:rPr>
              <w:t xml:space="preserve">o impuesto los elementos esenciales del primero”. En segundo </w:t>
            </w:r>
            <w:r w:rsidRPr="005D08AD">
              <w:rPr>
                <w:bCs/>
                <w:color w:val="auto"/>
                <w:szCs w:val="20"/>
                <w:lang w:val="es-CO"/>
              </w:rPr>
              <w:t>lugar</w:t>
            </w:r>
            <w:r w:rsidRPr="005D08AD">
              <w:rPr>
                <w:bCs/>
                <w:color w:val="auto"/>
                <w:szCs w:val="20"/>
                <w:lang w:val="es-CO"/>
              </w:rPr>
              <w:t>, si bien el impuesto de municiones y explosivos es “</w:t>
            </w:r>
            <w:r w:rsidRPr="005D08AD">
              <w:rPr>
                <w:bCs/>
                <w:i/>
                <w:iCs/>
                <w:color w:val="auto"/>
                <w:szCs w:val="20"/>
                <w:lang w:val="es-CO"/>
              </w:rPr>
              <w:t>ad valorem</w:t>
            </w:r>
            <w:r w:rsidRPr="005D08AD">
              <w:rPr>
                <w:bCs/>
                <w:color w:val="auto"/>
                <w:szCs w:val="20"/>
                <w:lang w:val="es-CO"/>
              </w:rPr>
              <w:t xml:space="preserve">”, esa expresión no aporta información sobre el hecho gravable toda vez que este término “alude al sistema de determinación de </w:t>
            </w:r>
            <w:r w:rsidRPr="005D08AD">
              <w:rPr>
                <w:bCs/>
                <w:color w:val="auto"/>
                <w:szCs w:val="20"/>
                <w:lang w:val="es-CO"/>
              </w:rPr>
              <w:t xml:space="preserve">la base gravable, esto es, al criterio de cuantificación del tributo según el valor de un bien o transacción, y no al supuesto de hecho que da origen a la obligación”. </w:t>
            </w:r>
          </w:p>
          <w:p w:rsidR="00E20488" w:rsidRPr="005D08AD" w:rsidRDefault="005D08AD" w:rsidP="005F72BB">
            <w:pPr>
              <w:pStyle w:val="Sombreadovistoso-nfasis31"/>
              <w:ind w:left="0"/>
              <w:mirrorIndents/>
              <w:rPr>
                <w:bCs/>
                <w:color w:val="auto"/>
                <w:szCs w:val="20"/>
                <w:lang w:val="es-CO"/>
              </w:rPr>
            </w:pPr>
          </w:p>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En consecuencia, consideró que “</w:t>
            </w:r>
            <w:r w:rsidRPr="005D08AD">
              <w:rPr>
                <w:szCs w:val="20"/>
              </w:rPr>
              <w:t xml:space="preserve">interpretar que la expresión </w:t>
            </w:r>
            <w:r w:rsidRPr="005D08AD">
              <w:rPr>
                <w:i/>
                <w:iCs/>
                <w:szCs w:val="20"/>
              </w:rPr>
              <w:t xml:space="preserve">ad valorem </w:t>
            </w:r>
            <w:r w:rsidRPr="005D08AD">
              <w:rPr>
                <w:szCs w:val="20"/>
              </w:rPr>
              <w:t>equivale a “</w:t>
            </w:r>
            <w:r w:rsidRPr="005D08AD">
              <w:rPr>
                <w:i/>
                <w:iCs/>
                <w:szCs w:val="20"/>
              </w:rPr>
              <w:t>ve</w:t>
            </w:r>
            <w:r w:rsidRPr="005D08AD">
              <w:rPr>
                <w:i/>
                <w:iCs/>
                <w:szCs w:val="20"/>
              </w:rPr>
              <w:t>nta</w:t>
            </w:r>
            <w:r w:rsidRPr="005D08AD">
              <w:rPr>
                <w:szCs w:val="20"/>
              </w:rPr>
              <w:t>” o “</w:t>
            </w:r>
            <w:r w:rsidRPr="005D08AD">
              <w:rPr>
                <w:i/>
                <w:iCs/>
                <w:szCs w:val="20"/>
              </w:rPr>
              <w:t>compraventa</w:t>
            </w:r>
            <w:r w:rsidRPr="005D08AD">
              <w:rPr>
                <w:szCs w:val="20"/>
              </w:rPr>
              <w:t xml:space="preserve">” de municiones implica introducir un elemento nuevo </w:t>
            </w:r>
            <w:r w:rsidRPr="005D08AD">
              <w:rPr>
                <w:i/>
                <w:iCs/>
                <w:szCs w:val="20"/>
              </w:rPr>
              <w:t>no</w:t>
            </w:r>
            <w:r w:rsidRPr="005D08AD">
              <w:rPr>
                <w:szCs w:val="20"/>
              </w:rPr>
              <w:t xml:space="preserve"> previsto por el Legislador”. Finalmente, se refirió a las razones por las cuales en el presente caso no se configura el fenómeno de la cosa juzgada constitucional, así: (i) la Sente</w:t>
            </w:r>
            <w:r w:rsidRPr="005D08AD">
              <w:rPr>
                <w:szCs w:val="20"/>
              </w:rPr>
              <w:t xml:space="preserve">ncia C-390 de 1996, al estudiar el impuesto social de armas de fuego, no abordó el análisis del impuesto social a las municiones y explosivos y (ii) la Sentencia C-608 de 2012 valoró aspectos relacionados con la destinación de los recursos y no realizó un </w:t>
            </w:r>
            <w:r w:rsidRPr="005D08AD">
              <w:rPr>
                <w:szCs w:val="20"/>
              </w:rPr>
              <w:t>análisis</w:t>
            </w:r>
            <w:r w:rsidRPr="005D08AD">
              <w:rPr>
                <w:szCs w:val="20"/>
              </w:rPr>
              <w:t xml:space="preserve"> concreto</w:t>
            </w:r>
            <w:r w:rsidRPr="005D08AD">
              <w:rPr>
                <w:szCs w:val="20"/>
              </w:rPr>
              <w:t xml:space="preserve"> sobre la existencia o ausencia del hecho generador. </w:t>
            </w:r>
          </w:p>
        </w:tc>
        <w:tc>
          <w:tcPr>
            <w:tcW w:w="1683" w:type="dxa"/>
          </w:tcPr>
          <w:p w:rsidR="006B5099" w:rsidRPr="005D08AD" w:rsidRDefault="005D08AD" w:rsidP="005F72BB">
            <w:pPr>
              <w:pStyle w:val="Sombreadovistoso-nfasis31"/>
              <w:ind w:left="0"/>
              <w:mirrorIndents/>
              <w:jc w:val="center"/>
              <w:rPr>
                <w:bCs/>
                <w:i/>
                <w:iCs/>
                <w:color w:val="auto"/>
                <w:szCs w:val="20"/>
                <w:lang w:val="es-CO"/>
              </w:rPr>
            </w:pPr>
          </w:p>
          <w:p w:rsidR="0051332F" w:rsidRPr="005D08AD" w:rsidRDefault="005D08AD" w:rsidP="005F72BB">
            <w:pPr>
              <w:pStyle w:val="Sombreadovistoso-nfasis31"/>
              <w:ind w:left="0"/>
              <w:mirrorIndents/>
              <w:jc w:val="center"/>
              <w:rPr>
                <w:bCs/>
                <w:i/>
                <w:iCs/>
                <w:color w:val="auto"/>
                <w:szCs w:val="20"/>
                <w:lang w:val="es-CO"/>
              </w:rPr>
            </w:pPr>
            <w:r w:rsidRPr="005D08AD">
              <w:rPr>
                <w:bCs/>
                <w:i/>
                <w:iCs/>
                <w:color w:val="auto"/>
                <w:szCs w:val="20"/>
                <w:lang w:val="es-CO"/>
              </w:rPr>
              <w:t>Inexequibilidad</w:t>
            </w:r>
          </w:p>
        </w:tc>
      </w:tr>
      <w:tr w:rsidR="0051332F" w:rsidRPr="005D08AD" w:rsidTr="00E165C7">
        <w:tc>
          <w:tcPr>
            <w:tcW w:w="1830" w:type="dxa"/>
          </w:tcPr>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Universidad Nacional de Colombia</w:t>
            </w:r>
            <w:r w:rsidRPr="005D08AD">
              <w:rPr>
                <w:rStyle w:val="Refdenotaalpie"/>
                <w:bCs/>
                <w:color w:val="auto"/>
                <w:szCs w:val="20"/>
                <w:lang w:val="es-CO"/>
              </w:rPr>
              <w:footnoteReference w:id="16"/>
            </w:r>
          </w:p>
        </w:tc>
        <w:tc>
          <w:tcPr>
            <w:tcW w:w="5315" w:type="dxa"/>
          </w:tcPr>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 xml:space="preserve">La interpretación sistemática del artículo 224 de la Ley 100 de 1993 </w:t>
            </w:r>
            <w:r w:rsidRPr="005D08AD">
              <w:rPr>
                <w:bCs/>
                <w:color w:val="auto"/>
                <w:szCs w:val="20"/>
                <w:lang w:val="es-CO"/>
              </w:rPr>
              <w:t>(</w:t>
            </w:r>
            <w:r w:rsidRPr="005D08AD">
              <w:rPr>
                <w:bCs/>
                <w:color w:val="auto"/>
                <w:szCs w:val="20"/>
                <w:lang w:val="es-CO"/>
              </w:rPr>
              <w:t>modificado por el artículo 48 de la Ley 1438 de 2011</w:t>
            </w:r>
            <w:r w:rsidRPr="005D08AD">
              <w:rPr>
                <w:bCs/>
                <w:color w:val="auto"/>
                <w:szCs w:val="20"/>
                <w:lang w:val="es-CO"/>
              </w:rPr>
              <w:t>)</w:t>
            </w:r>
            <w:r w:rsidRPr="005D08AD">
              <w:rPr>
                <w:bCs/>
                <w:color w:val="auto"/>
                <w:szCs w:val="20"/>
                <w:lang w:val="es-CO"/>
              </w:rPr>
              <w:t xml:space="preserve"> permite concluir que el legislador sí delimitó los elementos esenciales del tributo. Sobre el hecho generador, consideró que este correspondía a la transacción o compraventa de las municiones y explosivos. Lo anterior con fundamento en la Sentencia -rad. </w:t>
            </w:r>
            <w:r w:rsidRPr="005D08AD">
              <w:rPr>
                <w:bCs/>
                <w:color w:val="auto"/>
                <w:szCs w:val="20"/>
                <w:lang w:val="es-CO"/>
              </w:rPr>
              <w:t>20001-23-33-000-2013-00300-01- de la Sección Cuarta del Consejo de Estado, en la que determinó que la expresión “</w:t>
            </w:r>
            <w:r w:rsidRPr="005D08AD">
              <w:rPr>
                <w:bCs/>
                <w:i/>
                <w:iCs/>
                <w:color w:val="auto"/>
                <w:szCs w:val="20"/>
                <w:lang w:val="es-CO"/>
              </w:rPr>
              <w:t>ad valorem</w:t>
            </w:r>
            <w:r w:rsidRPr="005D08AD">
              <w:rPr>
                <w:bCs/>
                <w:color w:val="auto"/>
                <w:szCs w:val="20"/>
                <w:lang w:val="es-CO"/>
              </w:rPr>
              <w:t xml:space="preserve">” permite establecer la modalidad del tributo cuestionado y el hecho generador. </w:t>
            </w:r>
          </w:p>
          <w:p w:rsidR="0051332F" w:rsidRPr="005D08AD" w:rsidRDefault="005D08AD" w:rsidP="005F72BB">
            <w:pPr>
              <w:pStyle w:val="Sombreadovistoso-nfasis31"/>
              <w:ind w:left="0"/>
              <w:mirrorIndents/>
              <w:rPr>
                <w:bCs/>
                <w:color w:val="auto"/>
                <w:szCs w:val="20"/>
                <w:lang w:val="es-CO"/>
              </w:rPr>
            </w:pPr>
          </w:p>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En esta línea, atendiendo al principio de conservac</w:t>
            </w:r>
            <w:r w:rsidRPr="005D08AD">
              <w:rPr>
                <w:bCs/>
                <w:color w:val="auto"/>
                <w:szCs w:val="20"/>
                <w:lang w:val="es-CO"/>
              </w:rPr>
              <w:t xml:space="preserve">ión del derecho y dado que la norma permite más de una interpretación, no procede la inexequibilidad de la norma, pues la jurisprudencia del Consejo de Estado ha reconocido una lectura constitucionalmente válida de la disposición. Finalmente, a su juicio, </w:t>
            </w:r>
            <w:r w:rsidRPr="005D08AD">
              <w:rPr>
                <w:bCs/>
                <w:color w:val="auto"/>
                <w:szCs w:val="20"/>
                <w:lang w:val="es-CO"/>
              </w:rPr>
              <w:t>en el presente caso, no se configura la cosa juzgada constitucional porque las Sentencias C-390 de 1996 y C-608 de 2012 no se pronunciaron</w:t>
            </w:r>
            <w:r w:rsidRPr="005D08AD">
              <w:rPr>
                <w:bCs/>
                <w:color w:val="auto"/>
                <w:szCs w:val="20"/>
                <w:lang w:val="es-CO"/>
              </w:rPr>
              <w:t xml:space="preserve"> concretamente</w:t>
            </w:r>
            <w:r w:rsidRPr="005D08AD">
              <w:rPr>
                <w:bCs/>
                <w:color w:val="auto"/>
                <w:szCs w:val="20"/>
                <w:lang w:val="es-CO"/>
              </w:rPr>
              <w:t xml:space="preserve"> sobre el hecho generador del impuesto a las municiones y explosivos.</w:t>
            </w:r>
          </w:p>
        </w:tc>
        <w:tc>
          <w:tcPr>
            <w:tcW w:w="1683" w:type="dxa"/>
          </w:tcPr>
          <w:p w:rsidR="0051332F" w:rsidRPr="005D08AD" w:rsidRDefault="005D08AD" w:rsidP="005F72BB">
            <w:pPr>
              <w:pStyle w:val="Sombreadovistoso-nfasis31"/>
              <w:ind w:left="0"/>
              <w:mirrorIndents/>
              <w:jc w:val="center"/>
              <w:rPr>
                <w:bCs/>
                <w:i/>
                <w:iCs/>
                <w:color w:val="auto"/>
                <w:szCs w:val="20"/>
                <w:lang w:val="es-CO"/>
              </w:rPr>
            </w:pPr>
            <w:r w:rsidRPr="005D08AD">
              <w:rPr>
                <w:bCs/>
                <w:i/>
                <w:iCs/>
                <w:color w:val="auto"/>
                <w:szCs w:val="20"/>
                <w:lang w:val="es-CO"/>
              </w:rPr>
              <w:t>Exequibibilidad</w:t>
            </w:r>
          </w:p>
        </w:tc>
      </w:tr>
      <w:tr w:rsidR="0051332F" w:rsidRPr="005D08AD" w:rsidTr="00E165C7">
        <w:tc>
          <w:tcPr>
            <w:tcW w:w="1830" w:type="dxa"/>
          </w:tcPr>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 xml:space="preserve">Universidad del </w:t>
            </w:r>
            <w:r w:rsidRPr="005D08AD">
              <w:rPr>
                <w:bCs/>
                <w:color w:val="auto"/>
                <w:szCs w:val="20"/>
                <w:lang w:val="es-CO"/>
              </w:rPr>
              <w:t>Rosario</w:t>
            </w:r>
            <w:r w:rsidRPr="005D08AD">
              <w:rPr>
                <w:rStyle w:val="Refdenotaalpie"/>
                <w:bCs/>
                <w:color w:val="auto"/>
                <w:szCs w:val="20"/>
                <w:lang w:val="es-CO"/>
              </w:rPr>
              <w:footnoteReference w:id="17"/>
            </w:r>
          </w:p>
        </w:tc>
        <w:tc>
          <w:tcPr>
            <w:tcW w:w="5315" w:type="dxa"/>
          </w:tcPr>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El hecho generador debe cumplir con los siguientes elementos objetivos</w:t>
            </w:r>
            <w:r w:rsidRPr="005D08AD">
              <w:rPr>
                <w:bCs/>
                <w:color w:val="auto"/>
                <w:szCs w:val="20"/>
                <w:lang w:val="es-CO"/>
              </w:rPr>
              <w:t xml:space="preserve">, </w:t>
            </w:r>
            <w:r w:rsidRPr="005D08AD">
              <w:rPr>
                <w:bCs/>
                <w:color w:val="auto"/>
                <w:szCs w:val="20"/>
                <w:lang w:val="es-CO"/>
              </w:rPr>
              <w:t>subjetivos</w:t>
            </w:r>
            <w:r w:rsidRPr="005D08AD">
              <w:rPr>
                <w:bCs/>
                <w:color w:val="auto"/>
                <w:szCs w:val="20"/>
                <w:lang w:val="es-CO"/>
              </w:rPr>
              <w:t xml:space="preserve">, </w:t>
            </w:r>
            <w:r w:rsidRPr="005D08AD">
              <w:rPr>
                <w:bCs/>
                <w:color w:val="auto"/>
                <w:szCs w:val="20"/>
                <w:lang w:val="es-CO"/>
              </w:rPr>
              <w:t xml:space="preserve">temporales </w:t>
            </w:r>
            <w:r w:rsidRPr="005D08AD">
              <w:rPr>
                <w:bCs/>
                <w:color w:val="auto"/>
                <w:szCs w:val="20"/>
                <w:lang w:val="es-CO"/>
              </w:rPr>
              <w:t xml:space="preserve">y </w:t>
            </w:r>
            <w:r w:rsidRPr="005D08AD">
              <w:rPr>
                <w:bCs/>
                <w:color w:val="auto"/>
                <w:szCs w:val="20"/>
                <w:lang w:val="es-CO"/>
              </w:rPr>
              <w:t>espaciales</w:t>
            </w:r>
            <w:r w:rsidRPr="005D08AD">
              <w:rPr>
                <w:bCs/>
                <w:color w:val="auto"/>
                <w:szCs w:val="20"/>
                <w:lang w:val="es-CO"/>
              </w:rPr>
              <w:t xml:space="preserve"> para su determinación</w:t>
            </w:r>
            <w:r w:rsidRPr="005D08AD">
              <w:rPr>
                <w:bCs/>
                <w:color w:val="auto"/>
                <w:szCs w:val="20"/>
                <w:lang w:val="es-CO"/>
              </w:rPr>
              <w:t xml:space="preserve">. En este contexto, </w:t>
            </w:r>
            <w:r w:rsidRPr="005D08AD">
              <w:rPr>
                <w:bCs/>
                <w:color w:val="auto"/>
                <w:szCs w:val="20"/>
                <w:lang w:val="es-CO"/>
              </w:rPr>
              <w:t xml:space="preserve">para la interviniente, </w:t>
            </w:r>
            <w:r w:rsidRPr="005D08AD">
              <w:rPr>
                <w:bCs/>
                <w:color w:val="auto"/>
                <w:szCs w:val="20"/>
                <w:lang w:val="es-CO"/>
              </w:rPr>
              <w:t>la norma cuestionada no cumple con tales elementos por los siguientes motiv</w:t>
            </w:r>
            <w:r w:rsidRPr="005D08AD">
              <w:rPr>
                <w:bCs/>
                <w:color w:val="auto"/>
                <w:szCs w:val="20"/>
                <w:lang w:val="es-CO"/>
              </w:rPr>
              <w:t>os:</w:t>
            </w:r>
          </w:p>
          <w:p w:rsidR="0051332F" w:rsidRPr="005D08AD" w:rsidRDefault="005D08AD" w:rsidP="005F72BB">
            <w:pPr>
              <w:pStyle w:val="Sombreadovistoso-nfasis31"/>
              <w:ind w:left="0"/>
              <w:mirrorIndents/>
              <w:rPr>
                <w:bCs/>
                <w:color w:val="auto"/>
                <w:szCs w:val="20"/>
                <w:lang w:val="es-CO"/>
              </w:rPr>
            </w:pPr>
          </w:p>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En primer lugar, sobre los elementos objetivos, la norma presenta una indeterminación que impide: (i) “identificar con suficiencia el acto jurídico, su forma, la materia gravada en sentido operativo y el nexo con la realidad económica reveladora de ca</w:t>
            </w:r>
            <w:r w:rsidRPr="005D08AD">
              <w:rPr>
                <w:bCs/>
                <w:color w:val="auto"/>
                <w:szCs w:val="20"/>
                <w:lang w:val="es-CO"/>
              </w:rPr>
              <w:t>pacidad contributiva”. Lo anterior, por cuanto no precisa si el hecho gravable es la compraventa, la importación, la tenencia o el consumo; (ii) determinar si el gravamen recae sobre operaciones internas, importaciones o ambos supuestos; (iii) establecer c</w:t>
            </w:r>
            <w:r w:rsidRPr="005D08AD">
              <w:rPr>
                <w:bCs/>
                <w:color w:val="auto"/>
                <w:szCs w:val="20"/>
                <w:lang w:val="es-CO"/>
              </w:rPr>
              <w:t xml:space="preserve">uál es la operación concreta que genera la obligación </w:t>
            </w:r>
            <w:r w:rsidRPr="005D08AD">
              <w:rPr>
                <w:bCs/>
                <w:color w:val="auto"/>
                <w:szCs w:val="20"/>
                <w:lang w:val="es-CO"/>
              </w:rPr>
              <w:t>y</w:t>
            </w:r>
            <w:r w:rsidRPr="005D08AD">
              <w:rPr>
                <w:bCs/>
                <w:color w:val="auto"/>
                <w:szCs w:val="20"/>
                <w:lang w:val="es-CO"/>
              </w:rPr>
              <w:t xml:space="preserve"> su momento de causación. Si bien se trata de un impuesto </w:t>
            </w:r>
            <w:r w:rsidRPr="005D08AD">
              <w:rPr>
                <w:bCs/>
                <w:i/>
                <w:iCs/>
                <w:color w:val="auto"/>
                <w:szCs w:val="20"/>
                <w:lang w:val="es-CO"/>
              </w:rPr>
              <w:t>ad valorem</w:t>
            </w:r>
            <w:r w:rsidRPr="005D08AD">
              <w:rPr>
                <w:bCs/>
                <w:color w:val="auto"/>
                <w:szCs w:val="20"/>
                <w:lang w:val="es-CO"/>
              </w:rPr>
              <w:t xml:space="preserve"> es posible inferir que existe una “operación con valor” (precio de venta, valor en aduana, valor de transacción), pero [no la] opera</w:t>
            </w:r>
            <w:r w:rsidRPr="005D08AD">
              <w:rPr>
                <w:bCs/>
                <w:color w:val="auto"/>
                <w:szCs w:val="20"/>
                <w:lang w:val="es-CO"/>
              </w:rPr>
              <w:t>ción concreta [que] genera la obligación</w:t>
            </w:r>
            <w:r w:rsidRPr="005D08AD">
              <w:rPr>
                <w:bCs/>
                <w:color w:val="auto"/>
                <w:szCs w:val="20"/>
                <w:lang w:val="es-CO"/>
              </w:rPr>
              <w:t xml:space="preserve">, ni el momento de causación” y (iv) concluir cuál es el acto jurídico y su forma. </w:t>
            </w:r>
          </w:p>
          <w:p w:rsidR="0051332F" w:rsidRPr="005D08AD" w:rsidRDefault="005D08AD" w:rsidP="005F72BB">
            <w:pPr>
              <w:pStyle w:val="Sombreadovistoso-nfasis31"/>
              <w:ind w:left="0"/>
              <w:mirrorIndents/>
              <w:rPr>
                <w:bCs/>
                <w:color w:val="auto"/>
                <w:szCs w:val="20"/>
                <w:lang w:val="es-CO"/>
              </w:rPr>
            </w:pPr>
          </w:p>
          <w:p w:rsidR="005A4989" w:rsidRPr="005D08AD" w:rsidRDefault="005D08AD" w:rsidP="005F72BB">
            <w:pPr>
              <w:pStyle w:val="Sombreadovistoso-nfasis31"/>
              <w:ind w:left="0"/>
              <w:mirrorIndents/>
              <w:rPr>
                <w:bCs/>
                <w:color w:val="auto"/>
                <w:szCs w:val="20"/>
                <w:lang w:val="es-CO"/>
              </w:rPr>
            </w:pPr>
            <w:r w:rsidRPr="005D08AD">
              <w:rPr>
                <w:bCs/>
                <w:color w:val="auto"/>
                <w:szCs w:val="20"/>
                <w:lang w:val="es-CO"/>
              </w:rPr>
              <w:t xml:space="preserve">En segundo </w:t>
            </w:r>
            <w:r w:rsidRPr="005D08AD">
              <w:rPr>
                <w:bCs/>
                <w:color w:val="auto"/>
                <w:szCs w:val="20"/>
                <w:lang w:val="es-CO"/>
              </w:rPr>
              <w:t>lugar</w:t>
            </w:r>
            <w:r w:rsidRPr="005D08AD">
              <w:rPr>
                <w:bCs/>
                <w:color w:val="auto"/>
                <w:szCs w:val="20"/>
                <w:lang w:val="es-CO"/>
              </w:rPr>
              <w:t>, la norma no cumple con los elementos subjetivos porque no permite establecer quienes son los titulares del hecho gravable, sino que se limita a establecer el bien y la técnica de determinación del tributo, para luego diferir en el reglamento los mecanism</w:t>
            </w:r>
            <w:r w:rsidRPr="005D08AD">
              <w:rPr>
                <w:bCs/>
                <w:color w:val="auto"/>
                <w:szCs w:val="20"/>
                <w:lang w:val="es-CO"/>
              </w:rPr>
              <w:t xml:space="preserve">os de pago. Lo anterior sin fijar “si la calidad relevante es la de quien vende, importa, produce y/o distribuye”. </w:t>
            </w:r>
          </w:p>
          <w:p w:rsidR="005A4989" w:rsidRPr="005D08AD" w:rsidRDefault="005D08AD" w:rsidP="005F72BB">
            <w:pPr>
              <w:pStyle w:val="Sombreadovistoso-nfasis31"/>
              <w:ind w:left="0"/>
              <w:mirrorIndents/>
              <w:rPr>
                <w:bCs/>
                <w:color w:val="auto"/>
                <w:szCs w:val="20"/>
                <w:lang w:val="es-CO"/>
              </w:rPr>
            </w:pPr>
          </w:p>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En tercer lugar, la norma no satisface el elemento temporal del tributo debido a que no establece el acto imponible</w:t>
            </w:r>
            <w:r w:rsidRPr="005D08AD">
              <w:rPr>
                <w:bCs/>
                <w:color w:val="auto"/>
                <w:szCs w:val="20"/>
                <w:lang w:val="es-CO"/>
              </w:rPr>
              <w:t>;</w:t>
            </w:r>
            <w:r w:rsidRPr="005D08AD">
              <w:rPr>
                <w:bCs/>
                <w:color w:val="auto"/>
                <w:szCs w:val="20"/>
                <w:lang w:val="es-CO"/>
              </w:rPr>
              <w:t xml:space="preserve"> en cuanto al elemento </w:t>
            </w:r>
            <w:r w:rsidRPr="005D08AD">
              <w:rPr>
                <w:bCs/>
                <w:color w:val="auto"/>
                <w:szCs w:val="20"/>
                <w:lang w:val="es-CO"/>
              </w:rPr>
              <w:t>espacial</w:t>
            </w:r>
            <w:r w:rsidRPr="005D08AD">
              <w:rPr>
                <w:bCs/>
                <w:color w:val="auto"/>
                <w:szCs w:val="20"/>
                <w:lang w:val="es-CO"/>
              </w:rPr>
              <w:t>,</w:t>
            </w:r>
            <w:r w:rsidRPr="005D08AD">
              <w:rPr>
                <w:bCs/>
                <w:color w:val="auto"/>
                <w:szCs w:val="20"/>
                <w:lang w:val="es-CO"/>
              </w:rPr>
              <w:t xml:space="preserve"> no es posible determinar el lugar de realización del hecho gravable. Finalmente, </w:t>
            </w:r>
            <w:r w:rsidRPr="005D08AD">
              <w:rPr>
                <w:bCs/>
                <w:color w:val="auto"/>
                <w:szCs w:val="20"/>
                <w:lang w:val="es-CO"/>
              </w:rPr>
              <w:t xml:space="preserve">indico que, </w:t>
            </w:r>
            <w:r w:rsidRPr="005D08AD">
              <w:rPr>
                <w:bCs/>
                <w:color w:val="auto"/>
                <w:szCs w:val="20"/>
                <w:lang w:val="es-CO"/>
              </w:rPr>
              <w:t>teniendo en cuenta que la ley no define el hecho generador del tributo ni sus elementos esenciales</w:t>
            </w:r>
            <w:r w:rsidRPr="005D08AD">
              <w:rPr>
                <w:bCs/>
                <w:color w:val="auto"/>
                <w:szCs w:val="20"/>
                <w:lang w:val="es-CO"/>
              </w:rPr>
              <w:t>,</w:t>
            </w:r>
            <w:r w:rsidRPr="005D08AD">
              <w:rPr>
                <w:bCs/>
                <w:color w:val="auto"/>
                <w:szCs w:val="20"/>
                <w:lang w:val="es-CO"/>
              </w:rPr>
              <w:t xml:space="preserve"> “la administración está supliendo las veces de legisl</w:t>
            </w:r>
            <w:r w:rsidRPr="005D08AD">
              <w:rPr>
                <w:bCs/>
                <w:color w:val="auto"/>
                <w:szCs w:val="20"/>
                <w:lang w:val="es-CO"/>
              </w:rPr>
              <w:t>ador”. Además, se ha permitido gravar elementos que “no son necesariamente explosivos”</w:t>
            </w:r>
            <w:r w:rsidRPr="005D08AD">
              <w:rPr>
                <w:bCs/>
                <w:color w:val="auto"/>
                <w:szCs w:val="20"/>
                <w:lang w:val="es-CO"/>
              </w:rPr>
              <w:t>.</w:t>
            </w:r>
          </w:p>
          <w:p w:rsidR="0051332F" w:rsidRPr="005D08AD" w:rsidRDefault="005D08AD" w:rsidP="005F72BB">
            <w:pPr>
              <w:pStyle w:val="Sombreadovistoso-nfasis31"/>
              <w:ind w:left="0"/>
              <w:mirrorIndents/>
              <w:rPr>
                <w:bCs/>
                <w:color w:val="auto"/>
                <w:szCs w:val="20"/>
                <w:lang w:val="es-CO"/>
              </w:rPr>
            </w:pPr>
          </w:p>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Por lo anterior, solicitó a la Corte “[e]jercer de manera estricta el control de constitucionalidad sobre el artículo 48 de la Ley 1438 de 2011”</w:t>
            </w:r>
          </w:p>
        </w:tc>
        <w:tc>
          <w:tcPr>
            <w:tcW w:w="1683" w:type="dxa"/>
          </w:tcPr>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No indica expresamente</w:t>
            </w:r>
            <w:r w:rsidRPr="005D08AD">
              <w:rPr>
                <w:bCs/>
                <w:color w:val="auto"/>
                <w:szCs w:val="20"/>
                <w:lang w:val="es-CO"/>
              </w:rPr>
              <w:t xml:space="preserve"> una solicitud de exequibilidad o inexequibilidad</w:t>
            </w:r>
          </w:p>
        </w:tc>
      </w:tr>
      <w:tr w:rsidR="0051332F" w:rsidRPr="005D08AD" w:rsidTr="00E165C7">
        <w:tc>
          <w:tcPr>
            <w:tcW w:w="1830" w:type="dxa"/>
          </w:tcPr>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Fundación Universitaria del Área Andina</w:t>
            </w:r>
          </w:p>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 AREANDINA-</w:t>
            </w:r>
            <w:r w:rsidRPr="005D08AD">
              <w:rPr>
                <w:rStyle w:val="Refdenotaalpie"/>
                <w:bCs/>
                <w:color w:val="auto"/>
                <w:szCs w:val="20"/>
                <w:lang w:val="es-CO"/>
              </w:rPr>
              <w:footnoteReference w:id="18"/>
            </w:r>
          </w:p>
        </w:tc>
        <w:tc>
          <w:tcPr>
            <w:tcW w:w="5315" w:type="dxa"/>
          </w:tcPr>
          <w:p w:rsidR="009C78A3" w:rsidRPr="005D08AD" w:rsidRDefault="005D08AD" w:rsidP="005F72BB">
            <w:pPr>
              <w:pStyle w:val="Sombreadovistoso-nfasis31"/>
              <w:ind w:left="0"/>
              <w:mirrorIndents/>
              <w:rPr>
                <w:bCs/>
                <w:color w:val="auto"/>
                <w:szCs w:val="20"/>
                <w:lang w:val="es-CO"/>
              </w:rPr>
            </w:pPr>
            <w:r w:rsidRPr="005D08AD">
              <w:rPr>
                <w:bCs/>
                <w:color w:val="auto"/>
                <w:szCs w:val="20"/>
                <w:lang w:val="es-CO"/>
              </w:rPr>
              <w:t>“[L]a simple lectura de la norma permite evidenciar que, respecto del impuesto a las municiones y explosivos, el legislador solo se ocupó de definir la</w:t>
            </w:r>
            <w:r w:rsidRPr="005D08AD">
              <w:rPr>
                <w:bCs/>
                <w:color w:val="auto"/>
                <w:szCs w:val="20"/>
                <w:lang w:val="es-CO"/>
              </w:rPr>
              <w:t xml:space="preserve"> base gravable y la tarifa, pero guardó silencio frente al hecho generador”, en tanto que la norma no permite identificar cuál es la acción que da lugar al nacimiento de la obligación tributaria, esto es, si comprende la venta, la enajenación, transporte, </w:t>
            </w:r>
            <w:r w:rsidRPr="005D08AD">
              <w:rPr>
                <w:bCs/>
                <w:color w:val="auto"/>
                <w:szCs w:val="20"/>
                <w:lang w:val="es-CO"/>
              </w:rPr>
              <w:t xml:space="preserve">destrucción o almacenamiento. </w:t>
            </w:r>
          </w:p>
          <w:p w:rsidR="001D03CE" w:rsidRPr="005D08AD" w:rsidRDefault="005D08AD" w:rsidP="005F72BB">
            <w:pPr>
              <w:pStyle w:val="Sombreadovistoso-nfasis31"/>
              <w:ind w:left="0"/>
              <w:mirrorIndents/>
              <w:rPr>
                <w:bCs/>
                <w:color w:val="auto"/>
                <w:szCs w:val="20"/>
                <w:lang w:val="es-CO"/>
              </w:rPr>
            </w:pPr>
          </w:p>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En ese sentido, precisó que la norma no permite determinar el hecho generador a partir de las expresiones “</w:t>
            </w:r>
            <w:r w:rsidRPr="005D08AD">
              <w:rPr>
                <w:bCs/>
                <w:i/>
                <w:iCs/>
                <w:color w:val="auto"/>
                <w:szCs w:val="20"/>
                <w:lang w:val="es-CO"/>
              </w:rPr>
              <w:t>igualmente</w:t>
            </w:r>
            <w:r w:rsidRPr="005D08AD">
              <w:rPr>
                <w:bCs/>
                <w:color w:val="auto"/>
                <w:szCs w:val="20"/>
                <w:lang w:val="es-CO"/>
              </w:rPr>
              <w:t>” o “</w:t>
            </w:r>
            <w:r w:rsidRPr="005D08AD">
              <w:rPr>
                <w:bCs/>
                <w:i/>
                <w:iCs/>
                <w:color w:val="auto"/>
                <w:szCs w:val="20"/>
                <w:lang w:val="es-CO"/>
              </w:rPr>
              <w:t>ad valorem</w:t>
            </w:r>
            <w:r w:rsidRPr="005D08AD">
              <w:rPr>
                <w:bCs/>
                <w:color w:val="auto"/>
                <w:szCs w:val="20"/>
                <w:lang w:val="es-CO"/>
              </w:rPr>
              <w:t xml:space="preserve">”. </w:t>
            </w:r>
            <w:r w:rsidRPr="005D08AD">
              <w:rPr>
                <w:bCs/>
                <w:color w:val="auto"/>
                <w:szCs w:val="20"/>
                <w:lang w:val="es-CO"/>
              </w:rPr>
              <w:t>La</w:t>
            </w:r>
            <w:r w:rsidRPr="005D08AD">
              <w:rPr>
                <w:bCs/>
                <w:color w:val="auto"/>
                <w:szCs w:val="20"/>
                <w:lang w:val="es-CO"/>
              </w:rPr>
              <w:t xml:space="preserve"> primera</w:t>
            </w:r>
            <w:r w:rsidRPr="005D08AD">
              <w:rPr>
                <w:bCs/>
                <w:color w:val="auto"/>
                <w:szCs w:val="20"/>
                <w:lang w:val="es-CO"/>
              </w:rPr>
              <w:t xml:space="preserve"> expresión</w:t>
            </w:r>
            <w:r w:rsidRPr="005D08AD">
              <w:rPr>
                <w:bCs/>
                <w:color w:val="auto"/>
                <w:szCs w:val="20"/>
                <w:lang w:val="es-CO"/>
              </w:rPr>
              <w:t xml:space="preserve"> busca establecer que el impuesto se crea a partir del 1 de enero de 1996</w:t>
            </w:r>
            <w:r w:rsidRPr="005D08AD">
              <w:rPr>
                <w:bCs/>
                <w:color w:val="auto"/>
                <w:szCs w:val="20"/>
                <w:lang w:val="es-CO"/>
              </w:rPr>
              <w:t>, mientras que</w:t>
            </w:r>
            <w:r w:rsidRPr="005D08AD">
              <w:rPr>
                <w:bCs/>
                <w:color w:val="auto"/>
                <w:szCs w:val="20"/>
                <w:lang w:val="es-CO"/>
              </w:rPr>
              <w:t xml:space="preserve"> la segunda se refiere a la base gravable. Finalmente, sobre el hecho generador, aludió a cuatro interpretaciones a saber: (i) el porte</w:t>
            </w:r>
            <w:r w:rsidRPr="005D08AD">
              <w:rPr>
                <w:bCs/>
                <w:color w:val="auto"/>
                <w:szCs w:val="20"/>
                <w:lang w:val="es-CO"/>
              </w:rPr>
              <w:t xml:space="preserve"> </w:t>
            </w:r>
            <w:r w:rsidRPr="005D08AD">
              <w:rPr>
                <w:bCs/>
                <w:color w:val="auto"/>
                <w:szCs w:val="20"/>
                <w:lang w:val="es-CO"/>
              </w:rPr>
              <w:t>-interpretación que surge del úni</w:t>
            </w:r>
            <w:r w:rsidRPr="005D08AD">
              <w:rPr>
                <w:bCs/>
                <w:color w:val="auto"/>
                <w:szCs w:val="20"/>
                <w:lang w:val="es-CO"/>
              </w:rPr>
              <w:t>co verbo que forma parte de la norma-; (ii) la venta- interpretación que surge del análisis de la operación que en la práctica suele tener el impuesto cuestionado-; (iii) la tenencia- interpretación dada por la DIAN en el oficio 100208221 del 8 de marzo de</w:t>
            </w:r>
            <w:r w:rsidRPr="005D08AD">
              <w:rPr>
                <w:bCs/>
                <w:color w:val="auto"/>
                <w:szCs w:val="20"/>
                <w:lang w:val="es-CO"/>
              </w:rPr>
              <w:t xml:space="preserve"> 2018- y; (iv) una transacción compleja- interpretación que viene “aplicando actualmente Indumil”. Finalmente, precisó que en las Sentencias C-390 de 1996 y C-608 de 2012 la Corte no se ocupó de analizar el hecho generador del impuesto a las municiones y e</w:t>
            </w:r>
            <w:r w:rsidRPr="005D08AD">
              <w:rPr>
                <w:bCs/>
                <w:color w:val="auto"/>
                <w:szCs w:val="20"/>
                <w:lang w:val="es-CO"/>
              </w:rPr>
              <w:t xml:space="preserve">xplosivos. </w:t>
            </w:r>
          </w:p>
        </w:tc>
        <w:tc>
          <w:tcPr>
            <w:tcW w:w="1683" w:type="dxa"/>
          </w:tcPr>
          <w:p w:rsidR="0051332F" w:rsidRPr="005D08AD" w:rsidRDefault="005D08AD" w:rsidP="005F72BB">
            <w:pPr>
              <w:pStyle w:val="Sombreadovistoso-nfasis31"/>
              <w:ind w:left="0"/>
              <w:mirrorIndents/>
              <w:jc w:val="center"/>
              <w:rPr>
                <w:bCs/>
                <w:i/>
                <w:iCs/>
                <w:color w:val="auto"/>
                <w:szCs w:val="20"/>
                <w:lang w:val="es-CO"/>
              </w:rPr>
            </w:pPr>
            <w:r w:rsidRPr="005D08AD">
              <w:rPr>
                <w:bCs/>
                <w:i/>
                <w:iCs/>
                <w:color w:val="auto"/>
                <w:szCs w:val="20"/>
                <w:lang w:val="es-CO"/>
              </w:rPr>
              <w:t>Inexequibilidad</w:t>
            </w:r>
          </w:p>
        </w:tc>
      </w:tr>
      <w:tr w:rsidR="0051332F" w:rsidRPr="005D08AD" w:rsidTr="00E165C7">
        <w:tc>
          <w:tcPr>
            <w:tcW w:w="1830" w:type="dxa"/>
          </w:tcPr>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Universidad de San Buenaventura</w:t>
            </w:r>
            <w:r w:rsidRPr="005D08AD">
              <w:rPr>
                <w:rStyle w:val="Refdenotaalpie"/>
                <w:bCs/>
                <w:color w:val="auto"/>
                <w:szCs w:val="20"/>
                <w:lang w:val="es-CO"/>
              </w:rPr>
              <w:footnoteReference w:id="19"/>
            </w:r>
          </w:p>
        </w:tc>
        <w:tc>
          <w:tcPr>
            <w:tcW w:w="5315" w:type="dxa"/>
          </w:tcPr>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Para la interviniente l</w:t>
            </w:r>
            <w:r w:rsidRPr="005D08AD">
              <w:rPr>
                <w:bCs/>
                <w:color w:val="auto"/>
                <w:szCs w:val="20"/>
                <w:lang w:val="es-CO"/>
              </w:rPr>
              <w:t xml:space="preserve">a norma omitió la definición del hecho generador. Al respecto, señaló que mientras el artículo cuestionado dispone para las armas de fuego el hecho generador </w:t>
            </w:r>
            <w:r w:rsidRPr="005D08AD">
              <w:rPr>
                <w:bCs/>
                <w:color w:val="auto"/>
                <w:szCs w:val="20"/>
                <w:lang w:val="es-CO"/>
              </w:rPr>
              <w:t xml:space="preserve">el </w:t>
            </w:r>
            <w:r w:rsidRPr="005D08AD">
              <w:rPr>
                <w:bCs/>
                <w:color w:val="auto"/>
                <w:szCs w:val="20"/>
                <w:lang w:val="es-CO"/>
              </w:rPr>
              <w:t>“porte”</w:t>
            </w:r>
            <w:r w:rsidRPr="005D08AD">
              <w:rPr>
                <w:bCs/>
                <w:color w:val="auto"/>
                <w:szCs w:val="20"/>
                <w:lang w:val="es-CO"/>
              </w:rPr>
              <w:t>,</w:t>
            </w:r>
            <w:r w:rsidRPr="005D08AD">
              <w:rPr>
                <w:bCs/>
                <w:color w:val="auto"/>
                <w:szCs w:val="20"/>
                <w:lang w:val="es-CO"/>
              </w:rPr>
              <w:t xml:space="preserve"> no lo hace sobre el impuesto de municiones y explosivos. Lo anterior</w:t>
            </w:r>
            <w:r w:rsidRPr="005D08AD">
              <w:rPr>
                <w:bCs/>
                <w:color w:val="auto"/>
                <w:szCs w:val="20"/>
                <w:lang w:val="es-CO"/>
              </w:rPr>
              <w:t>,</w:t>
            </w:r>
            <w:r w:rsidRPr="005D08AD">
              <w:rPr>
                <w:bCs/>
                <w:color w:val="auto"/>
                <w:szCs w:val="20"/>
                <w:lang w:val="es-CO"/>
              </w:rPr>
              <w:t xml:space="preserve"> sustentado en la insuficiencia de la expresión “igualmente”</w:t>
            </w:r>
            <w:r w:rsidRPr="005D08AD">
              <w:rPr>
                <w:bCs/>
                <w:color w:val="auto"/>
                <w:szCs w:val="20"/>
                <w:lang w:val="es-CO"/>
              </w:rPr>
              <w:t>. Así, indicó que existe</w:t>
            </w:r>
            <w:r w:rsidRPr="005D08AD">
              <w:rPr>
                <w:bCs/>
                <w:color w:val="auto"/>
                <w:szCs w:val="20"/>
                <w:lang w:val="es-CO"/>
              </w:rPr>
              <w:t xml:space="preserve"> (i) un tratamiento normativo diferenciado; (ii) no existe una definición del concepto de “porte de explosivos” y; (iii) no existe una equivalencia conceptual unívoca que extienda el hecho generador. Finalmente, precisó que la </w:t>
            </w:r>
            <w:r w:rsidRPr="005D08AD">
              <w:rPr>
                <w:bCs/>
                <w:color w:val="auto"/>
                <w:szCs w:val="20"/>
                <w:lang w:val="es-CO"/>
              </w:rPr>
              <w:t>S</w:t>
            </w:r>
            <w:r w:rsidRPr="005D08AD">
              <w:rPr>
                <w:bCs/>
                <w:color w:val="auto"/>
                <w:szCs w:val="20"/>
                <w:lang w:val="es-CO"/>
              </w:rPr>
              <w:t>entencia C-608 de 2012 no se</w:t>
            </w:r>
            <w:r w:rsidRPr="005D08AD">
              <w:rPr>
                <w:bCs/>
                <w:color w:val="auto"/>
                <w:szCs w:val="20"/>
                <w:lang w:val="es-CO"/>
              </w:rPr>
              <w:t xml:space="preserve"> pronunció de fondo sobre el elemento esencial del tributo para municiones y explosivos. </w:t>
            </w:r>
          </w:p>
        </w:tc>
        <w:tc>
          <w:tcPr>
            <w:tcW w:w="1683" w:type="dxa"/>
          </w:tcPr>
          <w:p w:rsidR="0051332F" w:rsidRPr="005D08AD" w:rsidRDefault="005D08AD" w:rsidP="005F72BB">
            <w:pPr>
              <w:pStyle w:val="Sombreadovistoso-nfasis31"/>
              <w:ind w:left="0"/>
              <w:mirrorIndents/>
              <w:jc w:val="center"/>
              <w:rPr>
                <w:bCs/>
                <w:color w:val="auto"/>
                <w:szCs w:val="20"/>
                <w:lang w:val="es-CO"/>
              </w:rPr>
            </w:pPr>
            <w:r w:rsidRPr="005D08AD">
              <w:rPr>
                <w:bCs/>
                <w:i/>
                <w:iCs/>
                <w:color w:val="auto"/>
                <w:szCs w:val="20"/>
                <w:lang w:val="es-CO"/>
              </w:rPr>
              <w:t>Inexequibilidad</w:t>
            </w:r>
            <w:r w:rsidRPr="005D08AD">
              <w:rPr>
                <w:bCs/>
                <w:color w:val="auto"/>
                <w:szCs w:val="20"/>
                <w:lang w:val="es-CO"/>
              </w:rPr>
              <w:t xml:space="preserve"> y, en subsidio </w:t>
            </w:r>
            <w:r w:rsidRPr="005D08AD">
              <w:rPr>
                <w:bCs/>
                <w:i/>
                <w:iCs/>
                <w:color w:val="auto"/>
                <w:szCs w:val="20"/>
                <w:lang w:val="es-CO"/>
              </w:rPr>
              <w:t>exequibilidad condicionada</w:t>
            </w:r>
            <w:r w:rsidRPr="005D08AD">
              <w:rPr>
                <w:bCs/>
                <w:color w:val="auto"/>
                <w:szCs w:val="20"/>
                <w:lang w:val="es-CO"/>
              </w:rPr>
              <w:t xml:space="preserve"> de la norma en el entendido de que el hecho generador del impuesto a las municiones y explosivos es el porte</w:t>
            </w:r>
            <w:r w:rsidRPr="005D08AD">
              <w:rPr>
                <w:bCs/>
                <w:color w:val="auto"/>
                <w:szCs w:val="20"/>
                <w:lang w:val="es-CO"/>
              </w:rPr>
              <w:t xml:space="preserve"> legítimo de estos elementos</w:t>
            </w:r>
          </w:p>
        </w:tc>
      </w:tr>
      <w:tr w:rsidR="0051332F" w:rsidRPr="005D08AD" w:rsidTr="00E165C7">
        <w:tc>
          <w:tcPr>
            <w:tcW w:w="1830" w:type="dxa"/>
          </w:tcPr>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Instituto Colombiano de Derecho Tributario -ICDT-</w:t>
            </w:r>
            <w:r w:rsidRPr="005D08AD">
              <w:rPr>
                <w:rStyle w:val="Refdenotaalpie"/>
                <w:bCs/>
                <w:color w:val="auto"/>
                <w:szCs w:val="20"/>
                <w:lang w:val="es-CO"/>
              </w:rPr>
              <w:footnoteReference w:id="20"/>
            </w:r>
          </w:p>
        </w:tc>
        <w:tc>
          <w:tcPr>
            <w:tcW w:w="5315" w:type="dxa"/>
          </w:tcPr>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 xml:space="preserve">Para el ICDT el segmento acusado no define qué constituye el hecho generador “toda vez que la disposición se limita a decir que “igualmente se crea” un impuesto </w:t>
            </w:r>
            <w:r w:rsidRPr="005D08AD">
              <w:rPr>
                <w:bCs/>
                <w:i/>
                <w:iCs/>
                <w:color w:val="auto"/>
                <w:szCs w:val="20"/>
                <w:lang w:val="es-CO"/>
              </w:rPr>
              <w:t>ad val</w:t>
            </w:r>
            <w:r w:rsidRPr="005D08AD">
              <w:rPr>
                <w:bCs/>
                <w:i/>
                <w:iCs/>
                <w:color w:val="auto"/>
                <w:szCs w:val="20"/>
                <w:lang w:val="es-CO"/>
              </w:rPr>
              <w:t>or</w:t>
            </w:r>
            <w:r w:rsidRPr="005D08AD">
              <w:rPr>
                <w:bCs/>
                <w:i/>
                <w:iCs/>
                <w:color w:val="auto"/>
                <w:szCs w:val="20"/>
                <w:lang w:val="es-CO"/>
              </w:rPr>
              <w:t>em</w:t>
            </w:r>
            <w:r w:rsidRPr="005D08AD">
              <w:rPr>
                <w:bCs/>
                <w:color w:val="auto"/>
                <w:szCs w:val="20"/>
                <w:lang w:val="es-CO"/>
              </w:rPr>
              <w:t>, si</w:t>
            </w:r>
            <w:r w:rsidRPr="005D08AD">
              <w:rPr>
                <w:bCs/>
                <w:color w:val="auto"/>
                <w:szCs w:val="20"/>
                <w:lang w:val="es-CO"/>
              </w:rPr>
              <w:t>n identificar si el presupuesto imponible es la tenencia, el porte, la compra, la importación”, entre otros. Además, mencionó que la interpretación del Consejo de Estado sobre este elemento “parte de una analogía implícita entre dos tributos autónomos”. En</w:t>
            </w:r>
            <w:r w:rsidRPr="005D08AD">
              <w:rPr>
                <w:bCs/>
                <w:color w:val="auto"/>
                <w:szCs w:val="20"/>
                <w:lang w:val="es-CO"/>
              </w:rPr>
              <w:t xml:space="preserve"> esta línea, es improcedente extender por analogía el régimen de armas al de municiones y explosivos dada la falta de identidad en sus supuestos de hecho</w:t>
            </w:r>
            <w:r w:rsidRPr="005D08AD">
              <w:rPr>
                <w:bCs/>
                <w:color w:val="auto"/>
                <w:szCs w:val="20"/>
                <w:lang w:val="es-CO"/>
              </w:rPr>
              <w:t>.</w:t>
            </w:r>
            <w:r w:rsidRPr="005D08AD">
              <w:rPr>
                <w:bCs/>
                <w:color w:val="auto"/>
                <w:szCs w:val="20"/>
                <w:lang w:val="es-CO"/>
              </w:rPr>
              <w:t xml:space="preserve"> “[</w:t>
            </w:r>
            <w:r w:rsidRPr="005D08AD">
              <w:rPr>
                <w:bCs/>
                <w:color w:val="auto"/>
                <w:szCs w:val="20"/>
                <w:lang w:val="es-CO"/>
              </w:rPr>
              <w:t>P</w:t>
            </w:r>
            <w:r w:rsidRPr="005D08AD">
              <w:rPr>
                <w:bCs/>
                <w:color w:val="auto"/>
                <w:szCs w:val="20"/>
                <w:lang w:val="es-CO"/>
              </w:rPr>
              <w:t>]or un lado, las municiones y los explosivos tienen dinámicas de fabricación, comercio, control es</w:t>
            </w:r>
            <w:r w:rsidRPr="005D08AD">
              <w:rPr>
                <w:bCs/>
                <w:color w:val="auto"/>
                <w:szCs w:val="20"/>
                <w:lang w:val="es-CO"/>
              </w:rPr>
              <w:t xml:space="preserve">tatal y riesgo, diferentes a las de las armas, lo cual impide trasladar automáticamente el </w:t>
            </w:r>
            <w:r w:rsidRPr="005D08AD">
              <w:rPr>
                <w:bCs/>
                <w:i/>
                <w:iCs/>
                <w:color w:val="auto"/>
                <w:szCs w:val="20"/>
                <w:lang w:val="es-CO"/>
              </w:rPr>
              <w:t>porte</w:t>
            </w:r>
            <w:r w:rsidRPr="005D08AD">
              <w:rPr>
                <w:bCs/>
                <w:color w:val="auto"/>
                <w:szCs w:val="20"/>
                <w:lang w:val="es-CO"/>
              </w:rPr>
              <w:t xml:space="preserve"> autorizado como hecho generador del primero al segundo sin previsión legal expresa”</w:t>
            </w:r>
            <w:r w:rsidRPr="005D08AD">
              <w:rPr>
                <w:bCs/>
                <w:color w:val="auto"/>
                <w:szCs w:val="20"/>
                <w:lang w:val="es-CO"/>
              </w:rPr>
              <w:t>.</w:t>
            </w:r>
          </w:p>
          <w:p w:rsidR="0051332F" w:rsidRPr="005D08AD" w:rsidRDefault="005D08AD" w:rsidP="005F72BB">
            <w:pPr>
              <w:pStyle w:val="Sombreadovistoso-nfasis31"/>
              <w:ind w:left="0"/>
              <w:mirrorIndents/>
              <w:rPr>
                <w:bCs/>
                <w:color w:val="auto"/>
                <w:szCs w:val="20"/>
                <w:lang w:val="es-CO"/>
              </w:rPr>
            </w:pPr>
          </w:p>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 xml:space="preserve">Precisó </w:t>
            </w:r>
            <w:r w:rsidRPr="005D08AD">
              <w:rPr>
                <w:bCs/>
                <w:color w:val="auto"/>
                <w:szCs w:val="20"/>
                <w:lang w:val="es-CO"/>
              </w:rPr>
              <w:t xml:space="preserve">que </w:t>
            </w:r>
            <w:r w:rsidRPr="005D08AD">
              <w:rPr>
                <w:bCs/>
                <w:color w:val="auto"/>
                <w:szCs w:val="20"/>
                <w:lang w:val="es-CO"/>
              </w:rPr>
              <w:t xml:space="preserve">en </w:t>
            </w:r>
            <w:r w:rsidRPr="005D08AD">
              <w:rPr>
                <w:bCs/>
                <w:color w:val="auto"/>
                <w:szCs w:val="20"/>
                <w:lang w:val="es-CO"/>
              </w:rPr>
              <w:t xml:space="preserve">el presente caso no </w:t>
            </w:r>
            <w:r w:rsidRPr="005D08AD">
              <w:rPr>
                <w:bCs/>
                <w:color w:val="auto"/>
                <w:szCs w:val="20"/>
                <w:lang w:val="es-CO"/>
              </w:rPr>
              <w:t xml:space="preserve">se configura la </w:t>
            </w:r>
            <w:r w:rsidRPr="005D08AD">
              <w:rPr>
                <w:bCs/>
                <w:color w:val="auto"/>
                <w:szCs w:val="20"/>
                <w:lang w:val="es-CO"/>
              </w:rPr>
              <w:t>cosa juzgada constitucional debido a que en la Sentencia C-390 de 1996 la Corte afirmó que “los sujetos pasivos eran “los tenedores de municiones y explosivos” y, que la base gravable se constituía por el valor de los elementos “que se porten” pero en ning</w:t>
            </w:r>
            <w:r w:rsidRPr="005D08AD">
              <w:rPr>
                <w:bCs/>
                <w:color w:val="auto"/>
                <w:szCs w:val="20"/>
                <w:lang w:val="es-CO"/>
              </w:rPr>
              <w:t>ún momento definió el hecho generador”. Asimismo, mencionó que la Sentencia C-608 de 2012 tampoco definió el hecho generador, “por el contrario, esta sentencia establece que persisten vacíos en torno a quien es el sujeto activo y pasivo, cuál es el hecho g</w:t>
            </w:r>
            <w:r w:rsidRPr="005D08AD">
              <w:rPr>
                <w:bCs/>
                <w:color w:val="auto"/>
                <w:szCs w:val="20"/>
                <w:lang w:val="es-CO"/>
              </w:rPr>
              <w:t xml:space="preserve">ravable y el monto”. Finalmente, estimó que aun cuando el impuesto tiene una finalidad legítima, no corrige la omisión de definir el hecho generador. Así, el aparte cuestionado no se ajusta a la Constitución </w:t>
            </w:r>
            <w:r w:rsidRPr="005D08AD">
              <w:rPr>
                <w:bCs/>
                <w:color w:val="auto"/>
                <w:szCs w:val="20"/>
                <w:lang w:val="es-CO"/>
              </w:rPr>
              <w:t>porque</w:t>
            </w:r>
            <w:r w:rsidRPr="005D08AD">
              <w:rPr>
                <w:bCs/>
                <w:color w:val="auto"/>
                <w:szCs w:val="20"/>
                <w:lang w:val="es-CO"/>
              </w:rPr>
              <w:t xml:space="preserve"> omite la determinación del hecho generado</w:t>
            </w:r>
            <w:r w:rsidRPr="005D08AD">
              <w:rPr>
                <w:bCs/>
                <w:color w:val="auto"/>
                <w:szCs w:val="20"/>
                <w:lang w:val="es-CO"/>
              </w:rPr>
              <w:t>r del tributo, en contravía de</w:t>
            </w:r>
            <w:r w:rsidRPr="005D08AD">
              <w:rPr>
                <w:bCs/>
                <w:color w:val="auto"/>
                <w:szCs w:val="20"/>
                <w:lang w:val="es-CO"/>
              </w:rPr>
              <w:t xml:space="preserve"> lo previsto en el artículo 338 </w:t>
            </w:r>
            <w:r w:rsidRPr="005D08AD">
              <w:rPr>
                <w:bCs/>
                <w:color w:val="auto"/>
                <w:szCs w:val="20"/>
                <w:lang w:val="es-CO"/>
              </w:rPr>
              <w:t>S</w:t>
            </w:r>
            <w:r w:rsidRPr="005D08AD">
              <w:rPr>
                <w:bCs/>
                <w:color w:val="auto"/>
                <w:szCs w:val="20"/>
                <w:lang w:val="es-CO"/>
              </w:rPr>
              <w:t>uperior.</w:t>
            </w:r>
          </w:p>
        </w:tc>
        <w:tc>
          <w:tcPr>
            <w:tcW w:w="1683" w:type="dxa"/>
          </w:tcPr>
          <w:p w:rsidR="0051332F" w:rsidRPr="005D08AD" w:rsidRDefault="005D08AD" w:rsidP="005F72BB">
            <w:pPr>
              <w:pStyle w:val="Sombreadovistoso-nfasis31"/>
              <w:ind w:left="0"/>
              <w:mirrorIndents/>
              <w:jc w:val="center"/>
              <w:rPr>
                <w:bCs/>
                <w:i/>
                <w:iCs/>
                <w:color w:val="auto"/>
                <w:szCs w:val="20"/>
                <w:lang w:val="es-CO"/>
              </w:rPr>
            </w:pPr>
            <w:r w:rsidRPr="005D08AD">
              <w:rPr>
                <w:bCs/>
                <w:i/>
                <w:iCs/>
                <w:color w:val="auto"/>
                <w:szCs w:val="20"/>
                <w:lang w:val="es-CO"/>
              </w:rPr>
              <w:t>Inexequibilidad</w:t>
            </w:r>
          </w:p>
        </w:tc>
      </w:tr>
      <w:tr w:rsidR="0051332F" w:rsidRPr="005D08AD" w:rsidTr="00E165C7">
        <w:tc>
          <w:tcPr>
            <w:tcW w:w="1830" w:type="dxa"/>
          </w:tcPr>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Asociación Colombiana de Minería</w:t>
            </w:r>
          </w:p>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-ACM-</w:t>
            </w:r>
            <w:r w:rsidRPr="005D08AD">
              <w:rPr>
                <w:rStyle w:val="Refdenotaalpie"/>
                <w:bCs/>
                <w:color w:val="auto"/>
                <w:szCs w:val="20"/>
                <w:lang w:val="es-CO"/>
              </w:rPr>
              <w:footnoteReference w:id="21"/>
            </w:r>
          </w:p>
        </w:tc>
        <w:tc>
          <w:tcPr>
            <w:tcW w:w="5315" w:type="dxa"/>
          </w:tcPr>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 xml:space="preserve">La ACM tras considerar que en el presente caso no se configura la cosa juzgada constitucional </w:t>
            </w:r>
            <w:r w:rsidRPr="005D08AD">
              <w:rPr>
                <w:bCs/>
                <w:color w:val="auto"/>
                <w:szCs w:val="20"/>
                <w:lang w:val="es-CO"/>
              </w:rPr>
              <w:t>en relación con</w:t>
            </w:r>
            <w:r w:rsidRPr="005D08AD">
              <w:rPr>
                <w:bCs/>
                <w:color w:val="auto"/>
                <w:szCs w:val="20"/>
                <w:lang w:val="es-CO"/>
              </w:rPr>
              <w:t xml:space="preserve"> las sentencias C-390 de 1996 y C-608 de 2012</w:t>
            </w:r>
            <w:r w:rsidRPr="005D08AD">
              <w:rPr>
                <w:bCs/>
                <w:color w:val="auto"/>
                <w:szCs w:val="20"/>
                <w:lang w:val="es-CO"/>
              </w:rPr>
              <w:t>,</w:t>
            </w:r>
            <w:r w:rsidRPr="005D08AD">
              <w:rPr>
                <w:bCs/>
                <w:color w:val="auto"/>
                <w:szCs w:val="20"/>
                <w:lang w:val="es-CO"/>
              </w:rPr>
              <w:t xml:space="preserve"> </w:t>
            </w:r>
            <w:r w:rsidRPr="005D08AD">
              <w:rPr>
                <w:bCs/>
                <w:color w:val="auto"/>
                <w:szCs w:val="20"/>
                <w:lang w:val="es-CO"/>
              </w:rPr>
              <w:t xml:space="preserve">debido a que </w:t>
            </w:r>
            <w:r w:rsidRPr="005D08AD">
              <w:rPr>
                <w:bCs/>
                <w:color w:val="auto"/>
                <w:szCs w:val="20"/>
                <w:lang w:val="es-CO"/>
              </w:rPr>
              <w:t>estas decisiones</w:t>
            </w:r>
            <w:r w:rsidRPr="005D08AD">
              <w:rPr>
                <w:bCs/>
                <w:color w:val="auto"/>
                <w:szCs w:val="20"/>
                <w:lang w:val="es-CO"/>
              </w:rPr>
              <w:t xml:space="preserve"> no versaron sobre la definición del hecho generador de municiones y explosivos, aseguró que el impuesto social de municiones y explosivos es inconstitucional porque no establece c</w:t>
            </w:r>
            <w:r w:rsidRPr="005D08AD">
              <w:rPr>
                <w:bCs/>
                <w:color w:val="auto"/>
                <w:szCs w:val="20"/>
                <w:lang w:val="es-CO"/>
              </w:rPr>
              <w:t xml:space="preserve">uál es el hecho generador el cual debe </w:t>
            </w:r>
            <w:r w:rsidRPr="005D08AD">
              <w:rPr>
                <w:bCs/>
                <w:color w:val="auto"/>
                <w:szCs w:val="20"/>
                <w:lang w:val="es-CO"/>
              </w:rPr>
              <w:t xml:space="preserve">obedecer a </w:t>
            </w:r>
            <w:r w:rsidRPr="005D08AD">
              <w:rPr>
                <w:bCs/>
                <w:color w:val="auto"/>
                <w:szCs w:val="20"/>
                <w:lang w:val="es-CO"/>
              </w:rPr>
              <w:t xml:space="preserve">un verbo que establezca una acción concreta. </w:t>
            </w:r>
          </w:p>
        </w:tc>
        <w:tc>
          <w:tcPr>
            <w:tcW w:w="1683" w:type="dxa"/>
          </w:tcPr>
          <w:p w:rsidR="0051332F" w:rsidRPr="005D08AD" w:rsidRDefault="005D08AD" w:rsidP="005F72BB">
            <w:pPr>
              <w:pStyle w:val="Sombreadovistoso-nfasis31"/>
              <w:ind w:left="0"/>
              <w:mirrorIndents/>
              <w:jc w:val="center"/>
              <w:rPr>
                <w:bCs/>
                <w:i/>
                <w:iCs/>
                <w:color w:val="auto"/>
                <w:szCs w:val="20"/>
                <w:lang w:val="es-CO"/>
              </w:rPr>
            </w:pPr>
            <w:r w:rsidRPr="005D08AD">
              <w:rPr>
                <w:bCs/>
                <w:i/>
                <w:iCs/>
                <w:color w:val="auto"/>
                <w:szCs w:val="20"/>
                <w:lang w:val="es-CO"/>
              </w:rPr>
              <w:t>Inexequibilidad</w:t>
            </w:r>
          </w:p>
        </w:tc>
      </w:tr>
      <w:tr w:rsidR="0051332F" w:rsidRPr="005D08AD" w:rsidTr="00E165C7">
        <w:tc>
          <w:tcPr>
            <w:tcW w:w="1830" w:type="dxa"/>
          </w:tcPr>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 xml:space="preserve">Federación Nacional de Productores de Carbón </w:t>
            </w:r>
          </w:p>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FENALCARBÓN</w:t>
            </w:r>
            <w:r w:rsidRPr="005D08AD">
              <w:rPr>
                <w:rStyle w:val="Refdenotaalpie"/>
                <w:bCs/>
                <w:color w:val="auto"/>
                <w:szCs w:val="20"/>
                <w:lang w:val="es-CO"/>
              </w:rPr>
              <w:footnoteReference w:id="22"/>
            </w:r>
            <w:r w:rsidRPr="005D08AD">
              <w:rPr>
                <w:bCs/>
                <w:color w:val="auto"/>
                <w:szCs w:val="20"/>
                <w:lang w:val="es-CO"/>
              </w:rPr>
              <w:t>-</w:t>
            </w:r>
          </w:p>
        </w:tc>
        <w:tc>
          <w:tcPr>
            <w:tcW w:w="5315" w:type="dxa"/>
          </w:tcPr>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 xml:space="preserve">El Consejo de Estado “ha entendido que el hecho generador del impuesto a las </w:t>
            </w:r>
            <w:r w:rsidRPr="005D08AD">
              <w:rPr>
                <w:bCs/>
                <w:color w:val="auto"/>
                <w:szCs w:val="20"/>
                <w:lang w:val="es-CO"/>
              </w:rPr>
              <w:t>municiones y explosivos es la compraventa o la transacción”. Lo anterior, a partir de las expresiones “</w:t>
            </w:r>
            <w:r w:rsidRPr="005D08AD">
              <w:rPr>
                <w:bCs/>
                <w:i/>
                <w:iCs/>
                <w:color w:val="auto"/>
                <w:szCs w:val="20"/>
                <w:lang w:val="es-CO"/>
              </w:rPr>
              <w:t>ad valorem</w:t>
            </w:r>
            <w:r w:rsidRPr="005D08AD">
              <w:rPr>
                <w:bCs/>
                <w:color w:val="auto"/>
                <w:szCs w:val="20"/>
                <w:lang w:val="es-CO"/>
              </w:rPr>
              <w:t>” y “</w:t>
            </w:r>
            <w:r w:rsidRPr="005D08AD">
              <w:rPr>
                <w:bCs/>
                <w:i/>
                <w:iCs/>
                <w:color w:val="auto"/>
                <w:szCs w:val="20"/>
                <w:lang w:val="es-CO"/>
              </w:rPr>
              <w:t>se cobrará</w:t>
            </w:r>
            <w:r w:rsidRPr="005D08AD">
              <w:rPr>
                <w:bCs/>
                <w:color w:val="auto"/>
                <w:szCs w:val="20"/>
                <w:lang w:val="es-CO"/>
              </w:rPr>
              <w:t xml:space="preserve">”. Por lo que, más allá de realizar una interpretación </w:t>
            </w:r>
            <w:r w:rsidRPr="005D08AD">
              <w:rPr>
                <w:bCs/>
                <w:color w:val="auto"/>
                <w:szCs w:val="20"/>
                <w:lang w:val="es-CO"/>
              </w:rPr>
              <w:t xml:space="preserve">de la </w:t>
            </w:r>
            <w:r w:rsidRPr="005D08AD">
              <w:rPr>
                <w:bCs/>
                <w:color w:val="auto"/>
                <w:szCs w:val="20"/>
                <w:lang w:val="es-CO"/>
              </w:rPr>
              <w:t>norma</w:t>
            </w:r>
            <w:r w:rsidRPr="005D08AD">
              <w:rPr>
                <w:bCs/>
                <w:color w:val="auto"/>
                <w:szCs w:val="20"/>
                <w:lang w:val="es-CO"/>
              </w:rPr>
              <w:t>, se</w:t>
            </w:r>
            <w:r w:rsidRPr="005D08AD">
              <w:rPr>
                <w:bCs/>
                <w:color w:val="auto"/>
                <w:szCs w:val="20"/>
                <w:lang w:val="es-CO"/>
              </w:rPr>
              <w:t xml:space="preserve"> crea el hecho generador desconociendo el principio de res</w:t>
            </w:r>
            <w:r w:rsidRPr="005D08AD">
              <w:rPr>
                <w:bCs/>
                <w:color w:val="auto"/>
                <w:szCs w:val="20"/>
                <w:lang w:val="es-CO"/>
              </w:rPr>
              <w:t xml:space="preserve">erva de ley. </w:t>
            </w:r>
          </w:p>
          <w:p w:rsidR="001D03CE" w:rsidRPr="005D08AD" w:rsidRDefault="005D08AD" w:rsidP="005F72BB">
            <w:pPr>
              <w:pStyle w:val="Sombreadovistoso-nfasis31"/>
              <w:ind w:left="0"/>
              <w:mirrorIndents/>
              <w:rPr>
                <w:bCs/>
                <w:color w:val="auto"/>
                <w:szCs w:val="20"/>
                <w:lang w:val="es-CO"/>
              </w:rPr>
            </w:pPr>
          </w:p>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 xml:space="preserve">En esta línea, estimó que existe un reconocimiento de la duda normativa por cuanto: (i) en los autos </w:t>
            </w:r>
            <w:r w:rsidRPr="005D08AD">
              <w:rPr>
                <w:bCs/>
                <w:color w:val="auto"/>
                <w:szCs w:val="20"/>
                <w:lang w:val="es-CO"/>
              </w:rPr>
              <w:t xml:space="preserve">proferidos en los expedientes </w:t>
            </w:r>
            <w:r w:rsidRPr="005D08AD">
              <w:rPr>
                <w:bCs/>
                <w:color w:val="auto"/>
                <w:szCs w:val="20"/>
                <w:lang w:val="es-CO"/>
              </w:rPr>
              <w:t xml:space="preserve">D-16253 y D-16433 </w:t>
            </w:r>
            <w:r w:rsidRPr="005D08AD">
              <w:rPr>
                <w:bCs/>
                <w:color w:val="auto"/>
                <w:szCs w:val="20"/>
                <w:lang w:val="es-CO"/>
              </w:rPr>
              <w:t>se</w:t>
            </w:r>
            <w:r w:rsidRPr="005D08AD">
              <w:rPr>
                <w:bCs/>
                <w:color w:val="auto"/>
                <w:szCs w:val="20"/>
                <w:lang w:val="es-CO"/>
              </w:rPr>
              <w:t xml:space="preserve"> reconoció que no era claro que el verbo “</w:t>
            </w:r>
            <w:r w:rsidRPr="005D08AD">
              <w:rPr>
                <w:bCs/>
                <w:i/>
                <w:iCs/>
                <w:color w:val="auto"/>
                <w:szCs w:val="20"/>
                <w:lang w:val="es-CO"/>
              </w:rPr>
              <w:t>portar</w:t>
            </w:r>
            <w:r w:rsidRPr="005D08AD">
              <w:rPr>
                <w:bCs/>
                <w:color w:val="auto"/>
                <w:szCs w:val="20"/>
                <w:lang w:val="es-CO"/>
              </w:rPr>
              <w:t>” se extendiera al hecho generador de municiones y explosivos, “lo que refuerza la tesis de indeterminación y excluye la cosa juzgada absoluta”; (ii) la indeterminación ha producido posturas divergentes entre el Consejo de Estado y la DIAN, puesto que el p</w:t>
            </w:r>
            <w:r w:rsidRPr="005D08AD">
              <w:rPr>
                <w:bCs/>
                <w:color w:val="auto"/>
                <w:szCs w:val="20"/>
                <w:lang w:val="es-CO"/>
              </w:rPr>
              <w:t xml:space="preserve">rimero ha estimado que el hecho </w:t>
            </w:r>
            <w:r w:rsidRPr="005D08AD">
              <w:rPr>
                <w:bCs/>
                <w:color w:val="auto"/>
                <w:szCs w:val="20"/>
                <w:lang w:val="es-CO"/>
              </w:rPr>
              <w:t xml:space="preserve">generador </w:t>
            </w:r>
            <w:r w:rsidRPr="005D08AD">
              <w:rPr>
                <w:bCs/>
                <w:color w:val="auto"/>
                <w:szCs w:val="20"/>
                <w:lang w:val="es-CO"/>
              </w:rPr>
              <w:t>es la venta y/o transacción y, el segundo, lo plantea desde la tenencia y; (iii) la expresión “ad valorem” se refiere a la base gravable</w:t>
            </w:r>
            <w:r w:rsidRPr="005D08AD">
              <w:rPr>
                <w:bCs/>
                <w:color w:val="auto"/>
                <w:szCs w:val="20"/>
                <w:lang w:val="es-CO"/>
              </w:rPr>
              <w:t>. L</w:t>
            </w:r>
            <w:r w:rsidRPr="005D08AD">
              <w:rPr>
                <w:bCs/>
                <w:color w:val="auto"/>
                <w:szCs w:val="20"/>
                <w:lang w:val="es-CO"/>
              </w:rPr>
              <w:t>a equiparación de es</w:t>
            </w:r>
            <w:r w:rsidRPr="005D08AD">
              <w:rPr>
                <w:bCs/>
                <w:color w:val="auto"/>
                <w:szCs w:val="20"/>
                <w:lang w:val="es-CO"/>
              </w:rPr>
              <w:t>a</w:t>
            </w:r>
            <w:r w:rsidRPr="005D08AD">
              <w:rPr>
                <w:bCs/>
                <w:color w:val="auto"/>
                <w:szCs w:val="20"/>
                <w:lang w:val="es-CO"/>
              </w:rPr>
              <w:t xml:space="preserve"> expresión </w:t>
            </w:r>
            <w:r w:rsidRPr="005D08AD">
              <w:rPr>
                <w:bCs/>
                <w:color w:val="auto"/>
                <w:szCs w:val="20"/>
                <w:lang w:val="es-CO"/>
              </w:rPr>
              <w:t>con</w:t>
            </w:r>
            <w:r w:rsidRPr="005D08AD">
              <w:rPr>
                <w:bCs/>
                <w:color w:val="auto"/>
                <w:szCs w:val="20"/>
                <w:lang w:val="es-CO"/>
              </w:rPr>
              <w:t xml:space="preserve"> la venta ignora que numerosos tributos </w:t>
            </w:r>
            <w:r w:rsidRPr="005D08AD">
              <w:rPr>
                <w:bCs/>
                <w:color w:val="auto"/>
                <w:szCs w:val="20"/>
                <w:lang w:val="es-CO"/>
              </w:rPr>
              <w:t xml:space="preserve">gravan hechos distintos (v.gr. propiedad, importación no onerosa, posesión). </w:t>
            </w:r>
          </w:p>
        </w:tc>
        <w:tc>
          <w:tcPr>
            <w:tcW w:w="1683" w:type="dxa"/>
          </w:tcPr>
          <w:p w:rsidR="0051332F" w:rsidRPr="005D08AD" w:rsidRDefault="005D08AD" w:rsidP="005F72BB">
            <w:pPr>
              <w:pStyle w:val="Sombreadovistoso-nfasis31"/>
              <w:ind w:left="0"/>
              <w:mirrorIndents/>
              <w:jc w:val="center"/>
              <w:rPr>
                <w:bCs/>
                <w:i/>
                <w:iCs/>
                <w:color w:val="auto"/>
                <w:szCs w:val="20"/>
                <w:lang w:val="es-CO"/>
              </w:rPr>
            </w:pPr>
            <w:r w:rsidRPr="005D08AD">
              <w:rPr>
                <w:bCs/>
                <w:i/>
                <w:iCs/>
                <w:color w:val="auto"/>
                <w:szCs w:val="20"/>
                <w:lang w:val="es-CO"/>
              </w:rPr>
              <w:t>Inexequibilidad</w:t>
            </w:r>
          </w:p>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o</w:t>
            </w:r>
          </w:p>
          <w:p w:rsidR="0051332F" w:rsidRPr="005D08AD" w:rsidRDefault="005D08AD" w:rsidP="005F72BB">
            <w:pPr>
              <w:pStyle w:val="Sombreadovistoso-nfasis31"/>
              <w:ind w:left="0"/>
              <w:mirrorIndents/>
              <w:jc w:val="center"/>
              <w:rPr>
                <w:bCs/>
                <w:color w:val="auto"/>
                <w:szCs w:val="20"/>
                <w:lang w:val="es-CO"/>
              </w:rPr>
            </w:pPr>
            <w:r w:rsidRPr="005D08AD">
              <w:rPr>
                <w:bCs/>
                <w:i/>
                <w:iCs/>
                <w:color w:val="auto"/>
                <w:szCs w:val="20"/>
                <w:lang w:val="es-CO"/>
              </w:rPr>
              <w:t>Exequibilidad condicionada</w:t>
            </w:r>
            <w:r w:rsidRPr="005D08AD">
              <w:rPr>
                <w:bCs/>
                <w:color w:val="auto"/>
                <w:szCs w:val="20"/>
                <w:lang w:val="es-CO"/>
              </w:rPr>
              <w:t xml:space="preserve"> en el entendido </w:t>
            </w:r>
            <w:r w:rsidRPr="005D08AD">
              <w:rPr>
                <w:bCs/>
                <w:color w:val="auto"/>
                <w:szCs w:val="20"/>
                <w:lang w:val="es-CO"/>
              </w:rPr>
              <w:t xml:space="preserve">de </w:t>
            </w:r>
            <w:r w:rsidRPr="005D08AD">
              <w:rPr>
                <w:bCs/>
                <w:color w:val="auto"/>
                <w:szCs w:val="20"/>
                <w:lang w:val="es-CO"/>
              </w:rPr>
              <w:t>que el hecho generador del impuesto social a las municiones y explosivos es el porte</w:t>
            </w:r>
          </w:p>
        </w:tc>
      </w:tr>
      <w:tr w:rsidR="0051332F" w:rsidRPr="005D08AD" w:rsidTr="00E165C7">
        <w:tc>
          <w:tcPr>
            <w:tcW w:w="1830" w:type="dxa"/>
          </w:tcPr>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Ana María Barbosa Rodríguez,</w:t>
            </w:r>
            <w:r w:rsidRPr="005D08AD">
              <w:rPr>
                <w:bCs/>
                <w:color w:val="auto"/>
                <w:szCs w:val="20"/>
                <w:lang w:val="es-CO"/>
              </w:rPr>
              <w:t xml:space="preserve"> Margarita Salas Sánchez y Juan Mateo Martínez Riveros</w:t>
            </w:r>
            <w:r w:rsidRPr="005D08AD">
              <w:rPr>
                <w:rStyle w:val="Refdenotaalpie"/>
                <w:bCs/>
                <w:color w:val="auto"/>
                <w:szCs w:val="20"/>
                <w:lang w:val="es-CO"/>
              </w:rPr>
              <w:footnoteReference w:id="23"/>
            </w:r>
          </w:p>
        </w:tc>
        <w:tc>
          <w:tcPr>
            <w:tcW w:w="5315" w:type="dxa"/>
          </w:tcPr>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 xml:space="preserve">En el presente caso no se configura el fenómeno de la </w:t>
            </w:r>
            <w:r w:rsidRPr="005D08AD">
              <w:rPr>
                <w:bCs/>
                <w:i/>
                <w:iCs/>
                <w:color w:val="auto"/>
                <w:szCs w:val="20"/>
                <w:lang w:val="es-CO"/>
              </w:rPr>
              <w:t>cosa juzgada constitucional</w:t>
            </w:r>
            <w:r w:rsidRPr="005D08AD">
              <w:rPr>
                <w:bCs/>
                <w:color w:val="auto"/>
                <w:szCs w:val="20"/>
                <w:lang w:val="es-CO"/>
              </w:rPr>
              <w:t xml:space="preserve"> debido a que (i) la </w:t>
            </w:r>
            <w:r w:rsidRPr="005D08AD">
              <w:rPr>
                <w:bCs/>
                <w:color w:val="auto"/>
                <w:szCs w:val="20"/>
                <w:lang w:val="es-CO"/>
              </w:rPr>
              <w:t>S</w:t>
            </w:r>
            <w:r w:rsidRPr="005D08AD">
              <w:rPr>
                <w:bCs/>
                <w:color w:val="auto"/>
                <w:szCs w:val="20"/>
                <w:lang w:val="es-CO"/>
              </w:rPr>
              <w:t>entencia C-390 de 1996 sólo se refirió a los elementos del impuesto social a las armas y omitió p</w:t>
            </w:r>
            <w:r w:rsidRPr="005D08AD">
              <w:rPr>
                <w:bCs/>
                <w:color w:val="auto"/>
                <w:szCs w:val="20"/>
                <w:lang w:val="es-CO"/>
              </w:rPr>
              <w:t>ronunciarse respecto del impuesto social a las municiones y explosivos, “tributo respecto del cu</w:t>
            </w:r>
            <w:r w:rsidRPr="005D08AD">
              <w:rPr>
                <w:bCs/>
                <w:color w:val="auto"/>
                <w:szCs w:val="20"/>
                <w:lang w:val="es-CO"/>
              </w:rPr>
              <w:t>á</w:t>
            </w:r>
            <w:r w:rsidRPr="005D08AD">
              <w:rPr>
                <w:bCs/>
                <w:color w:val="auto"/>
                <w:szCs w:val="20"/>
                <w:lang w:val="es-CO"/>
              </w:rPr>
              <w:t>l no definió específicamente el hecho generador” y (ii) la Sentencia C-608 de 2012 no se pronunció sobre el hecho generador del impuesto social de municiones y</w:t>
            </w:r>
            <w:r w:rsidRPr="005D08AD">
              <w:rPr>
                <w:bCs/>
                <w:color w:val="auto"/>
                <w:szCs w:val="20"/>
                <w:lang w:val="es-CO"/>
              </w:rPr>
              <w:t xml:space="preserve"> explosivos</w:t>
            </w:r>
            <w:r w:rsidRPr="005D08AD">
              <w:rPr>
                <w:bCs/>
                <w:color w:val="auto"/>
                <w:szCs w:val="20"/>
                <w:lang w:val="es-CO"/>
              </w:rPr>
              <w:t xml:space="preserve">. En efecto, la Corte </w:t>
            </w:r>
            <w:r w:rsidRPr="005D08AD">
              <w:rPr>
                <w:bCs/>
                <w:color w:val="auto"/>
                <w:szCs w:val="20"/>
                <w:lang w:val="es-CO"/>
              </w:rPr>
              <w:t>al estudiar la violación a los principios de legalidad, reserva de ley y certeza tributaria “no abordó la [presunta] ausencia del hecho generador del impuesto social a las municiones y explosivos en su análisis sobre la nor</w:t>
            </w:r>
            <w:r w:rsidRPr="005D08AD">
              <w:rPr>
                <w:bCs/>
                <w:color w:val="auto"/>
                <w:szCs w:val="20"/>
                <w:lang w:val="es-CO"/>
              </w:rPr>
              <w:t xml:space="preserve">ma demandada, pues entonces se limitó a citar lo expresado por la propia Corte en la Sentencia C-390 de 1996”. En todo caso, </w:t>
            </w:r>
            <w:r w:rsidRPr="005D08AD">
              <w:rPr>
                <w:bCs/>
                <w:color w:val="auto"/>
                <w:szCs w:val="20"/>
                <w:lang w:val="es-CO"/>
              </w:rPr>
              <w:t xml:space="preserve">los intervinientes indicaron que </w:t>
            </w:r>
            <w:r w:rsidRPr="005D08AD">
              <w:rPr>
                <w:bCs/>
                <w:color w:val="auto"/>
                <w:szCs w:val="20"/>
                <w:lang w:val="es-CO"/>
              </w:rPr>
              <w:t xml:space="preserve">el argumento de la demanda </w:t>
            </w:r>
            <w:r w:rsidRPr="005D08AD">
              <w:rPr>
                <w:bCs/>
                <w:color w:val="auto"/>
                <w:szCs w:val="20"/>
                <w:lang w:val="es-CO"/>
              </w:rPr>
              <w:t xml:space="preserve">en ese momento </w:t>
            </w:r>
            <w:r w:rsidRPr="005D08AD">
              <w:rPr>
                <w:bCs/>
                <w:color w:val="auto"/>
                <w:szCs w:val="20"/>
                <w:lang w:val="es-CO"/>
              </w:rPr>
              <w:t xml:space="preserve">se relacionaba con la competencia para el recaudo y el </w:t>
            </w:r>
            <w:r w:rsidRPr="005D08AD">
              <w:rPr>
                <w:bCs/>
                <w:color w:val="auto"/>
                <w:szCs w:val="20"/>
                <w:lang w:val="es-CO"/>
              </w:rPr>
              <w:t>momento en que debe realizarse.</w:t>
            </w:r>
          </w:p>
          <w:p w:rsidR="0051332F" w:rsidRPr="005D08AD" w:rsidRDefault="005D08AD" w:rsidP="005F72BB">
            <w:pPr>
              <w:pStyle w:val="Sombreadovistoso-nfasis31"/>
              <w:ind w:left="0"/>
              <w:mirrorIndents/>
              <w:rPr>
                <w:bCs/>
                <w:color w:val="auto"/>
                <w:szCs w:val="20"/>
                <w:lang w:val="es-CO"/>
              </w:rPr>
            </w:pPr>
          </w:p>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 xml:space="preserve">Por otra parte, </w:t>
            </w:r>
            <w:r w:rsidRPr="005D08AD">
              <w:rPr>
                <w:bCs/>
                <w:color w:val="auto"/>
                <w:szCs w:val="20"/>
                <w:lang w:val="es-CO"/>
              </w:rPr>
              <w:t>estima</w:t>
            </w:r>
            <w:r w:rsidRPr="005D08AD">
              <w:rPr>
                <w:bCs/>
                <w:color w:val="auto"/>
                <w:szCs w:val="20"/>
                <w:lang w:val="es-CO"/>
              </w:rPr>
              <w:t xml:space="preserve">ron </w:t>
            </w:r>
            <w:r w:rsidRPr="005D08AD">
              <w:rPr>
                <w:bCs/>
                <w:color w:val="auto"/>
                <w:szCs w:val="20"/>
                <w:lang w:val="es-CO"/>
              </w:rPr>
              <w:t xml:space="preserve">que </w:t>
            </w:r>
            <w:r w:rsidRPr="005D08AD">
              <w:rPr>
                <w:bCs/>
                <w:color w:val="auto"/>
                <w:szCs w:val="20"/>
                <w:lang w:val="es-CO"/>
              </w:rPr>
              <w:t>la norma es inexequible pues la literalidad del texto no permite inferir cual es el hecho generador. Tal elemento tampoco es susceptible de inferirse debido a que las expresiones “igualmente” y</w:t>
            </w:r>
            <w:r w:rsidRPr="005D08AD">
              <w:rPr>
                <w:bCs/>
                <w:color w:val="auto"/>
                <w:szCs w:val="20"/>
                <w:lang w:val="es-CO"/>
              </w:rPr>
              <w:t xml:space="preserve"> “ad valorem” “no permiten salvar el vacío irresoluble de la norma demandada”. Respecto a la expresión “igualmente”, se trata de un adverbio que implica agregar una nueva proposición a la inicial, por lo que no es usada para referirse a elementos comunes; </w:t>
            </w:r>
            <w:r w:rsidRPr="005D08AD">
              <w:rPr>
                <w:bCs/>
                <w:color w:val="auto"/>
                <w:szCs w:val="20"/>
                <w:lang w:val="es-CO"/>
              </w:rPr>
              <w:t xml:space="preserve">si se admitiera lo contrario, el elemento común sería la destinación de ambos impuestos y no el hecho generador. </w:t>
            </w:r>
          </w:p>
          <w:p w:rsidR="0051332F" w:rsidRPr="005D08AD" w:rsidRDefault="005D08AD" w:rsidP="005F72BB">
            <w:pPr>
              <w:pStyle w:val="Sombreadovistoso-nfasis31"/>
              <w:ind w:left="0"/>
              <w:mirrorIndents/>
              <w:rPr>
                <w:bCs/>
                <w:color w:val="auto"/>
                <w:szCs w:val="20"/>
                <w:lang w:val="es-CO"/>
              </w:rPr>
            </w:pPr>
          </w:p>
          <w:p w:rsidR="00D00278" w:rsidRPr="005D08AD" w:rsidRDefault="005D08AD" w:rsidP="005F72BB">
            <w:pPr>
              <w:pStyle w:val="Sombreadovistoso-nfasis31"/>
              <w:ind w:left="0"/>
              <w:mirrorIndents/>
              <w:rPr>
                <w:bCs/>
                <w:color w:val="auto"/>
                <w:szCs w:val="20"/>
                <w:lang w:val="es-CO"/>
              </w:rPr>
            </w:pPr>
            <w:r w:rsidRPr="005D08AD">
              <w:rPr>
                <w:bCs/>
                <w:color w:val="auto"/>
                <w:szCs w:val="20"/>
                <w:lang w:val="es-CO"/>
              </w:rPr>
              <w:t xml:space="preserve">En cuanto al término “ad valorem”, </w:t>
            </w:r>
            <w:r w:rsidRPr="005D08AD">
              <w:rPr>
                <w:bCs/>
                <w:color w:val="auto"/>
                <w:szCs w:val="20"/>
                <w:lang w:val="es-CO"/>
              </w:rPr>
              <w:t xml:space="preserve">indicaron que </w:t>
            </w:r>
            <w:r w:rsidRPr="005D08AD">
              <w:rPr>
                <w:bCs/>
                <w:color w:val="auto"/>
                <w:szCs w:val="20"/>
                <w:lang w:val="es-CO"/>
              </w:rPr>
              <w:t>se trata de un adverbio usado para “imponer una carga, fiscal o de otro tipo, sobre una merc</w:t>
            </w:r>
            <w:r w:rsidRPr="005D08AD">
              <w:rPr>
                <w:bCs/>
                <w:color w:val="auto"/>
                <w:szCs w:val="20"/>
                <w:lang w:val="es-CO"/>
              </w:rPr>
              <w:t>ancía, según [su] valor”. Así, esa expresión constituye más bien una indicación sobre “cómo se cuantifica un gravamen”. De hecho, los impuestos al consumo de licores, vinos, aperitivos y similares, al consumo de cigarrillos y tabaco elaborado; el arancel a</w:t>
            </w:r>
            <w:r w:rsidRPr="005D08AD">
              <w:rPr>
                <w:bCs/>
                <w:color w:val="auto"/>
                <w:szCs w:val="20"/>
                <w:lang w:val="es-CO"/>
              </w:rPr>
              <w:t xml:space="preserve"> las importaciones de cualquier origen de nación más favorecida (NMF), pago de tributos aduaneros, utilizan la expresión “ad valorem” para determinar la base gravable. </w:t>
            </w:r>
            <w:r w:rsidRPr="005D08AD">
              <w:rPr>
                <w:bCs/>
                <w:color w:val="auto"/>
                <w:szCs w:val="20"/>
                <w:lang w:val="es-CO"/>
              </w:rPr>
              <w:t>Así,</w:t>
            </w:r>
            <w:r w:rsidRPr="005D08AD">
              <w:rPr>
                <w:bCs/>
                <w:color w:val="auto"/>
                <w:szCs w:val="20"/>
                <w:lang w:val="es-CO"/>
              </w:rPr>
              <w:t xml:space="preserve"> no es posible determinar a partir de este término la existencia de un hecho generad</w:t>
            </w:r>
            <w:r w:rsidRPr="005D08AD">
              <w:rPr>
                <w:bCs/>
                <w:color w:val="auto"/>
                <w:szCs w:val="20"/>
                <w:lang w:val="es-CO"/>
              </w:rPr>
              <w:t xml:space="preserve">or, siendo la jurisprudencia del Consejo de Estado ambigua y contradictoria al inferir que el hecho gravable es la venta. </w:t>
            </w:r>
          </w:p>
          <w:p w:rsidR="00D00278" w:rsidRPr="005D08AD" w:rsidRDefault="005D08AD" w:rsidP="005F72BB">
            <w:pPr>
              <w:pStyle w:val="Sombreadovistoso-nfasis31"/>
              <w:ind w:left="0"/>
              <w:mirrorIndents/>
              <w:rPr>
                <w:bCs/>
                <w:color w:val="auto"/>
                <w:szCs w:val="20"/>
                <w:lang w:val="es-CO"/>
              </w:rPr>
            </w:pPr>
          </w:p>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Por lo demás, tampoco sería posible inferir a partir de la mencionada expresión que el hecho gravable es la transacción pues esto im</w:t>
            </w:r>
            <w:r w:rsidRPr="005D08AD">
              <w:rPr>
                <w:bCs/>
                <w:color w:val="auto"/>
                <w:szCs w:val="20"/>
                <w:lang w:val="es-CO"/>
              </w:rPr>
              <w:t xml:space="preserve">plicaría que la definición de una base gravable permite adjudicar como hecho generador prácticamente cualquier acto jurídico sobre el producto gravado. </w:t>
            </w:r>
          </w:p>
        </w:tc>
        <w:tc>
          <w:tcPr>
            <w:tcW w:w="1683" w:type="dxa"/>
          </w:tcPr>
          <w:p w:rsidR="0051332F" w:rsidRPr="005D08AD" w:rsidRDefault="005D08AD" w:rsidP="005F72BB">
            <w:pPr>
              <w:pStyle w:val="Sombreadovistoso-nfasis31"/>
              <w:ind w:left="0"/>
              <w:mirrorIndents/>
              <w:jc w:val="center"/>
              <w:rPr>
                <w:bCs/>
                <w:i/>
                <w:iCs/>
                <w:color w:val="auto"/>
                <w:szCs w:val="20"/>
                <w:lang w:val="es-CO"/>
              </w:rPr>
            </w:pPr>
            <w:r w:rsidRPr="005D08AD">
              <w:rPr>
                <w:bCs/>
                <w:i/>
                <w:iCs/>
                <w:color w:val="auto"/>
                <w:szCs w:val="20"/>
                <w:lang w:val="es-CO"/>
              </w:rPr>
              <w:t xml:space="preserve">Inexequibibilidad </w:t>
            </w:r>
          </w:p>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y “</w:t>
            </w:r>
            <w:r w:rsidRPr="005D08AD">
              <w:rPr>
                <w:bCs/>
                <w:color w:val="auto"/>
                <w:szCs w:val="20"/>
                <w:lang w:val="es-CO"/>
              </w:rPr>
              <w:t>[q]</w:t>
            </w:r>
            <w:r w:rsidRPr="005D08AD">
              <w:rPr>
                <w:bCs/>
                <w:color w:val="auto"/>
                <w:szCs w:val="20"/>
                <w:lang w:val="es-CO"/>
              </w:rPr>
              <w:t>ue se considere y declare el efecto retroactivo de la decisión de inconstituci</w:t>
            </w:r>
            <w:r w:rsidRPr="005D08AD">
              <w:rPr>
                <w:bCs/>
                <w:color w:val="auto"/>
                <w:szCs w:val="20"/>
                <w:lang w:val="es-CO"/>
              </w:rPr>
              <w:t>onalidad”</w:t>
            </w:r>
          </w:p>
          <w:p w:rsidR="0051332F" w:rsidRPr="005D08AD" w:rsidRDefault="005D08AD" w:rsidP="005F72BB">
            <w:pPr>
              <w:pStyle w:val="Sombreadovistoso-nfasis31"/>
              <w:ind w:left="0"/>
              <w:mirrorIndents/>
              <w:rPr>
                <w:bCs/>
                <w:color w:val="auto"/>
                <w:szCs w:val="20"/>
                <w:lang w:val="es-CO"/>
              </w:rPr>
            </w:pPr>
          </w:p>
        </w:tc>
      </w:tr>
      <w:tr w:rsidR="0051332F" w:rsidRPr="005D08AD" w:rsidTr="00E165C7">
        <w:tc>
          <w:tcPr>
            <w:tcW w:w="1830" w:type="dxa"/>
          </w:tcPr>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Juan Manuel Charry</w:t>
            </w:r>
            <w:r w:rsidRPr="005D08AD">
              <w:rPr>
                <w:rStyle w:val="Refdenotaalpie"/>
                <w:bCs/>
                <w:color w:val="auto"/>
                <w:szCs w:val="20"/>
                <w:lang w:val="es-CO"/>
              </w:rPr>
              <w:footnoteReference w:id="24"/>
            </w:r>
          </w:p>
        </w:tc>
        <w:tc>
          <w:tcPr>
            <w:tcW w:w="5315" w:type="dxa"/>
          </w:tcPr>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 xml:space="preserve">En la Sentencia C-390 de 1996 la Corte “se limitó a señalar que el hecho generador del Impuesto Social a las Armas lo constituye el porte de armas de fuego”. En relación con el </w:t>
            </w:r>
            <w:r w:rsidRPr="005D08AD">
              <w:rPr>
                <w:bCs/>
                <w:color w:val="auto"/>
                <w:szCs w:val="20"/>
                <w:lang w:val="es-CO"/>
              </w:rPr>
              <w:t>i</w:t>
            </w:r>
            <w:r w:rsidRPr="005D08AD">
              <w:rPr>
                <w:bCs/>
                <w:color w:val="auto"/>
                <w:szCs w:val="20"/>
                <w:lang w:val="es-CO"/>
              </w:rPr>
              <w:t xml:space="preserve">mpuesto a los </w:t>
            </w:r>
            <w:r w:rsidRPr="005D08AD">
              <w:rPr>
                <w:bCs/>
                <w:color w:val="auto"/>
                <w:szCs w:val="20"/>
                <w:lang w:val="es-CO"/>
              </w:rPr>
              <w:t>e</w:t>
            </w:r>
            <w:r w:rsidRPr="005D08AD">
              <w:rPr>
                <w:bCs/>
                <w:color w:val="auto"/>
                <w:szCs w:val="20"/>
                <w:lang w:val="es-CO"/>
              </w:rPr>
              <w:t xml:space="preserve">xplosivos, “la Corte se refirió solo a su base gravable”. Por otro lado, en la Sentencia C-608 de 2012 la Corte se pronunció sobre el recaudo y no sobre el hecho generador del </w:t>
            </w:r>
            <w:r w:rsidRPr="005D08AD">
              <w:rPr>
                <w:bCs/>
                <w:color w:val="auto"/>
                <w:szCs w:val="20"/>
                <w:lang w:val="es-CO"/>
              </w:rPr>
              <w:t>i</w:t>
            </w:r>
            <w:r w:rsidRPr="005D08AD">
              <w:rPr>
                <w:bCs/>
                <w:color w:val="auto"/>
                <w:szCs w:val="20"/>
                <w:lang w:val="es-CO"/>
              </w:rPr>
              <w:t>mpuesto a los explosivos.</w:t>
            </w:r>
          </w:p>
          <w:p w:rsidR="0051332F" w:rsidRPr="005D08AD" w:rsidRDefault="005D08AD" w:rsidP="005F72BB">
            <w:pPr>
              <w:pStyle w:val="Sombreadovistoso-nfasis31"/>
              <w:ind w:left="0"/>
              <w:mirrorIndents/>
              <w:rPr>
                <w:bCs/>
                <w:color w:val="auto"/>
                <w:szCs w:val="20"/>
                <w:lang w:val="es-CO"/>
              </w:rPr>
            </w:pPr>
          </w:p>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A su juicio, la norma “no contiene el hecho generado</w:t>
            </w:r>
            <w:r w:rsidRPr="005D08AD">
              <w:rPr>
                <w:bCs/>
                <w:color w:val="auto"/>
                <w:szCs w:val="20"/>
                <w:lang w:val="es-CO"/>
              </w:rPr>
              <w:t>r ni permite deducirlo con claridad de su texto”. En efecto, coexisten dos interpretaciones contradictorias. Por una parte, el Consejo de Estado ha sostenido que el hecho generador es la compraventa y, por otra parte, los contribuyentes han estimado que el</w:t>
            </w:r>
            <w:r w:rsidRPr="005D08AD">
              <w:rPr>
                <w:bCs/>
                <w:color w:val="auto"/>
                <w:szCs w:val="20"/>
                <w:lang w:val="es-CO"/>
              </w:rPr>
              <w:t xml:space="preserve"> hecho generador es el porte de dichos materiales. Así, indicó que, dada </w:t>
            </w:r>
            <w:r w:rsidRPr="005D08AD">
              <w:rPr>
                <w:bCs/>
                <w:color w:val="auto"/>
                <w:szCs w:val="20"/>
                <w:lang w:val="es-CO"/>
              </w:rPr>
              <w:t>esa</w:t>
            </w:r>
            <w:r w:rsidRPr="005D08AD">
              <w:rPr>
                <w:bCs/>
                <w:color w:val="auto"/>
                <w:szCs w:val="20"/>
                <w:lang w:val="es-CO"/>
              </w:rPr>
              <w:t xml:space="preserve"> ambigüedad, la Corte debe declarar la inexequibilidad de la norma pues “si el legislador hubiera definido el hecho generador, no existirían controversias ni incertidumbre para los</w:t>
            </w:r>
            <w:r w:rsidRPr="005D08AD">
              <w:rPr>
                <w:bCs/>
                <w:color w:val="auto"/>
                <w:szCs w:val="20"/>
                <w:lang w:val="es-CO"/>
              </w:rPr>
              <w:t xml:space="preserve"> contribuyentes”. Agregó que existe una omisión </w:t>
            </w:r>
            <w:r w:rsidRPr="005D08AD">
              <w:rPr>
                <w:bCs/>
                <w:color w:val="auto"/>
                <w:szCs w:val="20"/>
                <w:lang w:val="es-CO"/>
              </w:rPr>
              <w:t xml:space="preserve">del legislador </w:t>
            </w:r>
            <w:r w:rsidRPr="005D08AD">
              <w:rPr>
                <w:bCs/>
                <w:color w:val="auto"/>
                <w:szCs w:val="20"/>
                <w:lang w:val="es-CO"/>
              </w:rPr>
              <w:t>sobre la definición de explosivos,</w:t>
            </w:r>
            <w:r w:rsidRPr="005D08AD">
              <w:rPr>
                <w:bCs/>
                <w:i/>
                <w:iCs/>
                <w:color w:val="auto"/>
                <w:szCs w:val="20"/>
                <w:lang w:val="es-CO"/>
              </w:rPr>
              <w:t xml:space="preserve"> </w:t>
            </w:r>
            <w:r w:rsidRPr="005D08AD">
              <w:rPr>
                <w:bCs/>
                <w:color w:val="auto"/>
                <w:szCs w:val="20"/>
                <w:lang w:val="es-CO"/>
              </w:rPr>
              <w:t>lo</w:t>
            </w:r>
            <w:r w:rsidRPr="005D08AD">
              <w:rPr>
                <w:bCs/>
                <w:i/>
                <w:iCs/>
                <w:color w:val="auto"/>
                <w:szCs w:val="20"/>
                <w:lang w:val="es-CO"/>
              </w:rPr>
              <w:t xml:space="preserve"> </w:t>
            </w:r>
            <w:r w:rsidRPr="005D08AD">
              <w:rPr>
                <w:bCs/>
                <w:color w:val="auto"/>
                <w:szCs w:val="20"/>
                <w:lang w:val="es-CO"/>
              </w:rPr>
              <w:t xml:space="preserve">que ha permitido a Indumil clasificar como explosivos sustancias que no lo son. Precisó que </w:t>
            </w:r>
            <w:r w:rsidRPr="005D08AD">
              <w:rPr>
                <w:bCs/>
                <w:color w:val="auto"/>
                <w:szCs w:val="20"/>
                <w:lang w:val="es-CO"/>
              </w:rPr>
              <w:t>esa</w:t>
            </w:r>
            <w:r w:rsidRPr="005D08AD">
              <w:rPr>
                <w:bCs/>
                <w:color w:val="auto"/>
                <w:szCs w:val="20"/>
                <w:lang w:val="es-CO"/>
              </w:rPr>
              <w:t xml:space="preserve"> facultad es ejercida por Indumil en un contexto en el que e</w:t>
            </w:r>
            <w:r w:rsidRPr="005D08AD">
              <w:rPr>
                <w:bCs/>
                <w:color w:val="auto"/>
                <w:szCs w:val="20"/>
                <w:lang w:val="es-CO"/>
              </w:rPr>
              <w:t xml:space="preserve">sa entidad tiene un interés económico directo. </w:t>
            </w:r>
          </w:p>
        </w:tc>
        <w:tc>
          <w:tcPr>
            <w:tcW w:w="1683" w:type="dxa"/>
          </w:tcPr>
          <w:p w:rsidR="0051332F" w:rsidRPr="005D08AD" w:rsidRDefault="005D08AD" w:rsidP="005F72BB">
            <w:pPr>
              <w:pStyle w:val="Sombreadovistoso-nfasis31"/>
              <w:ind w:left="0"/>
              <w:mirrorIndents/>
              <w:jc w:val="center"/>
              <w:rPr>
                <w:bCs/>
                <w:i/>
                <w:iCs/>
                <w:color w:val="auto"/>
                <w:szCs w:val="20"/>
                <w:lang w:val="es-CO"/>
              </w:rPr>
            </w:pPr>
            <w:r w:rsidRPr="005D08AD">
              <w:rPr>
                <w:bCs/>
                <w:i/>
                <w:iCs/>
                <w:color w:val="auto"/>
                <w:szCs w:val="20"/>
                <w:lang w:val="es-CO"/>
              </w:rPr>
              <w:t>Inexequibilidad</w:t>
            </w:r>
          </w:p>
        </w:tc>
      </w:tr>
      <w:tr w:rsidR="0051332F" w:rsidRPr="005D08AD" w:rsidTr="00E165C7">
        <w:tc>
          <w:tcPr>
            <w:tcW w:w="1830" w:type="dxa"/>
          </w:tcPr>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Mariana Henao y Valentina Vergara</w:t>
            </w:r>
            <w:r w:rsidRPr="005D08AD">
              <w:rPr>
                <w:rStyle w:val="Refdenotaalpie"/>
                <w:bCs/>
                <w:color w:val="auto"/>
                <w:szCs w:val="20"/>
                <w:lang w:val="es-CO"/>
              </w:rPr>
              <w:footnoteReference w:id="25"/>
            </w:r>
          </w:p>
        </w:tc>
        <w:tc>
          <w:tcPr>
            <w:tcW w:w="5315" w:type="dxa"/>
          </w:tcPr>
          <w:p w:rsidR="0017177C" w:rsidRPr="005D08AD" w:rsidRDefault="005D08AD" w:rsidP="005F72BB">
            <w:pPr>
              <w:pStyle w:val="Sombreadovistoso-nfasis31"/>
              <w:ind w:left="0"/>
              <w:mirrorIndents/>
              <w:rPr>
                <w:bCs/>
                <w:color w:val="auto"/>
                <w:szCs w:val="20"/>
                <w:lang w:val="es-CO"/>
              </w:rPr>
            </w:pPr>
            <w:r w:rsidRPr="005D08AD">
              <w:rPr>
                <w:bCs/>
                <w:color w:val="auto"/>
                <w:szCs w:val="20"/>
                <w:lang w:val="es-CO"/>
              </w:rPr>
              <w:t>Para las intervinientes</w:t>
            </w:r>
            <w:r w:rsidRPr="005D08AD">
              <w:rPr>
                <w:bCs/>
                <w:color w:val="auto"/>
                <w:szCs w:val="20"/>
                <w:lang w:val="es-CO"/>
              </w:rPr>
              <w:t xml:space="preserve"> </w:t>
            </w:r>
            <w:r w:rsidRPr="005D08AD">
              <w:rPr>
                <w:bCs/>
                <w:color w:val="auto"/>
                <w:szCs w:val="20"/>
                <w:lang w:val="es-CO"/>
              </w:rPr>
              <w:t xml:space="preserve">existe una cosa juzgada </w:t>
            </w:r>
            <w:r w:rsidRPr="005D08AD">
              <w:rPr>
                <w:bCs/>
                <w:color w:val="auto"/>
                <w:szCs w:val="20"/>
                <w:lang w:val="es-CO"/>
              </w:rPr>
              <w:t xml:space="preserve">constitucional </w:t>
            </w:r>
            <w:r w:rsidRPr="005D08AD">
              <w:rPr>
                <w:bCs/>
                <w:color w:val="auto"/>
                <w:szCs w:val="20"/>
                <w:lang w:val="es-CO"/>
              </w:rPr>
              <w:t xml:space="preserve">que impide un </w:t>
            </w:r>
            <w:r w:rsidRPr="005D08AD">
              <w:rPr>
                <w:bCs/>
                <w:color w:val="auto"/>
                <w:szCs w:val="20"/>
                <w:lang w:val="es-CO"/>
              </w:rPr>
              <w:t xml:space="preserve">nuevo </w:t>
            </w:r>
            <w:r w:rsidRPr="005D08AD">
              <w:rPr>
                <w:bCs/>
                <w:color w:val="auto"/>
                <w:szCs w:val="20"/>
                <w:lang w:val="es-CO"/>
              </w:rPr>
              <w:t>pronunciamiento</w:t>
            </w:r>
            <w:r w:rsidRPr="005D08AD">
              <w:rPr>
                <w:bCs/>
                <w:color w:val="auto"/>
                <w:szCs w:val="20"/>
                <w:lang w:val="es-CO"/>
              </w:rPr>
              <w:t xml:space="preserve"> y la </w:t>
            </w:r>
            <w:r w:rsidRPr="005D08AD">
              <w:rPr>
                <w:bCs/>
                <w:color w:val="auto"/>
                <w:szCs w:val="20"/>
                <w:lang w:val="es-CO"/>
              </w:rPr>
              <w:t>Corte debe mantener la interpretación que realiz</w:t>
            </w:r>
            <w:r w:rsidRPr="005D08AD">
              <w:rPr>
                <w:bCs/>
                <w:color w:val="auto"/>
                <w:szCs w:val="20"/>
                <w:lang w:val="es-CO"/>
              </w:rPr>
              <w:t>ó</w:t>
            </w:r>
            <w:r w:rsidRPr="005D08AD">
              <w:rPr>
                <w:bCs/>
                <w:color w:val="auto"/>
                <w:szCs w:val="20"/>
                <w:lang w:val="es-CO"/>
              </w:rPr>
              <w:t xml:space="preserve"> en</w:t>
            </w:r>
            <w:r w:rsidRPr="005D08AD">
              <w:rPr>
                <w:bCs/>
                <w:color w:val="auto"/>
                <w:szCs w:val="20"/>
                <w:lang w:val="es-CO"/>
              </w:rPr>
              <w:t xml:space="preserve"> la Sentencia C-390 de 1996, “según la cual, el hecho generador del impuesto social a las municiones y explosivos es el porte de estos elementos”. </w:t>
            </w:r>
            <w:r w:rsidRPr="005D08AD">
              <w:rPr>
                <w:bCs/>
                <w:color w:val="auto"/>
                <w:szCs w:val="20"/>
                <w:lang w:val="es-CO"/>
              </w:rPr>
              <w:t>La</w:t>
            </w:r>
            <w:r w:rsidRPr="005D08AD">
              <w:rPr>
                <w:bCs/>
                <w:color w:val="auto"/>
                <w:szCs w:val="20"/>
                <w:lang w:val="es-CO"/>
              </w:rPr>
              <w:t xml:space="preserve"> sentencia estimó que la base gravable del impuesto de explosivos es “el valor de los elementos que se port</w:t>
            </w:r>
            <w:r w:rsidRPr="005D08AD">
              <w:rPr>
                <w:bCs/>
                <w:color w:val="auto"/>
                <w:szCs w:val="20"/>
                <w:lang w:val="es-CO"/>
              </w:rPr>
              <w:t xml:space="preserve">en” por lo que no es posible concluir que “el hecho generador es la venta o cualquier otra acción o situación distinta del porte”. Además, “conforme a lo establecido por la jurisprudencia de esta Alta Corte, de la lectura de la norma no solo se resalta la </w:t>
            </w:r>
            <w:r w:rsidRPr="005D08AD">
              <w:rPr>
                <w:bCs/>
                <w:color w:val="auto"/>
                <w:szCs w:val="20"/>
                <w:lang w:val="es-CO"/>
              </w:rPr>
              <w:t>existencia de la palabra “igualmente” en el articulado demandado, que debe entenderse que replica con exactitud los elementos del impuesto a las armas” sino que también de la norma “es imposible identificar otro verbo rector distinto”</w:t>
            </w:r>
            <w:r w:rsidRPr="005D08AD">
              <w:rPr>
                <w:bCs/>
                <w:color w:val="auto"/>
                <w:szCs w:val="20"/>
                <w:lang w:val="es-CO"/>
              </w:rPr>
              <w:t xml:space="preserve">. </w:t>
            </w:r>
          </w:p>
          <w:p w:rsidR="0017177C" w:rsidRPr="005D08AD" w:rsidRDefault="005D08AD" w:rsidP="005F72BB">
            <w:pPr>
              <w:pStyle w:val="Sombreadovistoso-nfasis31"/>
              <w:ind w:left="0"/>
              <w:mirrorIndents/>
              <w:rPr>
                <w:bCs/>
                <w:color w:val="auto"/>
                <w:szCs w:val="20"/>
                <w:lang w:val="es-CO"/>
              </w:rPr>
            </w:pPr>
          </w:p>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 xml:space="preserve">Por otro lado, el </w:t>
            </w:r>
            <w:r w:rsidRPr="005D08AD">
              <w:rPr>
                <w:bCs/>
                <w:color w:val="auto"/>
                <w:szCs w:val="20"/>
                <w:lang w:val="es-CO"/>
              </w:rPr>
              <w:t>legislador al crear el impuesto social a las armas de fuego buscaba “gravar a [los] actores que contribuyeran a la generación de factores de violencia en el país”</w:t>
            </w:r>
            <w:r w:rsidRPr="005D08AD">
              <w:rPr>
                <w:bCs/>
                <w:color w:val="auto"/>
                <w:szCs w:val="20"/>
                <w:lang w:val="es-CO"/>
              </w:rPr>
              <w:t>.</w:t>
            </w:r>
            <w:r w:rsidRPr="005D08AD">
              <w:rPr>
                <w:bCs/>
                <w:color w:val="auto"/>
                <w:szCs w:val="20"/>
                <w:lang w:val="es-CO"/>
              </w:rPr>
              <w:t xml:space="preserve"> </w:t>
            </w:r>
            <w:r w:rsidRPr="005D08AD">
              <w:rPr>
                <w:bCs/>
                <w:color w:val="auto"/>
                <w:szCs w:val="20"/>
                <w:lang w:val="es-CO"/>
              </w:rPr>
              <w:t>B</w:t>
            </w:r>
            <w:r w:rsidRPr="005D08AD">
              <w:rPr>
                <w:bCs/>
                <w:color w:val="auto"/>
                <w:szCs w:val="20"/>
                <w:lang w:val="es-CO"/>
              </w:rPr>
              <w:t xml:space="preserve">ajo esa finalidad no es posible concluir “que es asimilable una situación de “porte” –ya </w:t>
            </w:r>
            <w:r w:rsidRPr="005D08AD">
              <w:rPr>
                <w:bCs/>
                <w:color w:val="auto"/>
                <w:szCs w:val="20"/>
                <w:lang w:val="es-CO"/>
              </w:rPr>
              <w:t>sea de un arma de fuego o un explosivo– a la “venta” de los mismos, con respecto a la generación de escenarios de violencia”</w:t>
            </w:r>
            <w:r w:rsidRPr="005D08AD">
              <w:rPr>
                <w:bCs/>
                <w:color w:val="auto"/>
                <w:szCs w:val="20"/>
                <w:lang w:val="es-CO"/>
              </w:rPr>
              <w:t>.</w:t>
            </w:r>
          </w:p>
        </w:tc>
        <w:tc>
          <w:tcPr>
            <w:tcW w:w="1683" w:type="dxa"/>
          </w:tcPr>
          <w:p w:rsidR="0051332F" w:rsidRPr="005D08AD" w:rsidRDefault="005D08AD" w:rsidP="005F72BB">
            <w:pPr>
              <w:pStyle w:val="Sombreadovistoso-nfasis31"/>
              <w:ind w:left="0"/>
              <w:mirrorIndents/>
              <w:jc w:val="center"/>
              <w:rPr>
                <w:bCs/>
                <w:color w:val="auto"/>
                <w:szCs w:val="20"/>
                <w:lang w:val="es-CO"/>
              </w:rPr>
            </w:pPr>
            <w:r w:rsidRPr="005D08AD">
              <w:rPr>
                <w:bCs/>
                <w:i/>
                <w:iCs/>
                <w:color w:val="auto"/>
                <w:szCs w:val="20"/>
                <w:lang w:val="es-CO"/>
              </w:rPr>
              <w:t>Exequibilidad condicionada</w:t>
            </w:r>
            <w:r w:rsidRPr="005D08AD">
              <w:rPr>
                <w:bCs/>
                <w:color w:val="auto"/>
                <w:szCs w:val="20"/>
                <w:lang w:val="es-CO"/>
              </w:rPr>
              <w:t xml:space="preserve"> en el entendido </w:t>
            </w:r>
            <w:r w:rsidRPr="005D08AD">
              <w:rPr>
                <w:bCs/>
                <w:color w:val="auto"/>
                <w:szCs w:val="20"/>
                <w:lang w:val="es-CO"/>
              </w:rPr>
              <w:t xml:space="preserve">de </w:t>
            </w:r>
            <w:r w:rsidRPr="005D08AD">
              <w:rPr>
                <w:bCs/>
                <w:color w:val="auto"/>
                <w:szCs w:val="20"/>
                <w:lang w:val="es-CO"/>
              </w:rPr>
              <w:t>que el hecho generador del impuesto cuestionado es el porte</w:t>
            </w:r>
          </w:p>
        </w:tc>
      </w:tr>
      <w:tr w:rsidR="0051332F" w:rsidRPr="005D08AD" w:rsidTr="00E165C7">
        <w:tc>
          <w:tcPr>
            <w:tcW w:w="1830" w:type="dxa"/>
          </w:tcPr>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 xml:space="preserve">José Alejandro Herrera </w:t>
            </w:r>
            <w:r w:rsidRPr="005D08AD">
              <w:rPr>
                <w:bCs/>
                <w:color w:val="auto"/>
                <w:szCs w:val="20"/>
                <w:lang w:val="es-CO"/>
              </w:rPr>
              <w:t>Carvajal</w:t>
            </w:r>
            <w:r w:rsidRPr="005D08AD">
              <w:rPr>
                <w:rStyle w:val="Refdenotaalpie"/>
                <w:bCs/>
                <w:color w:val="auto"/>
                <w:szCs w:val="20"/>
                <w:lang w:val="es-CO"/>
              </w:rPr>
              <w:footnoteReference w:id="26"/>
            </w:r>
          </w:p>
        </w:tc>
        <w:tc>
          <w:tcPr>
            <w:tcW w:w="5315" w:type="dxa"/>
          </w:tcPr>
          <w:p w:rsidR="0051332F" w:rsidRPr="005D08AD" w:rsidRDefault="005D08AD" w:rsidP="005F72BB">
            <w:pPr>
              <w:pStyle w:val="Sombreadovistoso-nfasis31"/>
              <w:ind w:left="0"/>
              <w:mirrorIndents/>
              <w:rPr>
                <w:bCs/>
                <w:color w:val="auto"/>
                <w:szCs w:val="20"/>
                <w:lang w:val="es-CO"/>
              </w:rPr>
            </w:pPr>
            <w:r w:rsidRPr="005D08AD">
              <w:rPr>
                <w:bCs/>
                <w:color w:val="auto"/>
                <w:szCs w:val="20"/>
                <w:lang w:val="es-CO"/>
              </w:rPr>
              <w:t>Indicó que la</w:t>
            </w:r>
            <w:r w:rsidRPr="005D08AD">
              <w:rPr>
                <w:bCs/>
                <w:color w:val="auto"/>
                <w:szCs w:val="20"/>
                <w:lang w:val="es-CO"/>
              </w:rPr>
              <w:t xml:space="preserve"> ausencia de definición del hecho generador no solo afecta el principio de legalidad, sino que ha permitido que “el Gobierno ejerza arbitrariamente competencias que no le corresponden”. Particularmente, consideró que la norma abrió l</w:t>
            </w:r>
            <w:r w:rsidRPr="005D08AD">
              <w:rPr>
                <w:bCs/>
                <w:color w:val="auto"/>
                <w:szCs w:val="20"/>
                <w:lang w:val="es-CO"/>
              </w:rPr>
              <w:t xml:space="preserve">a puerta a Indumil para definir el hecho generador, además de permitir que </w:t>
            </w:r>
            <w:r w:rsidRPr="005D08AD">
              <w:rPr>
                <w:bCs/>
                <w:color w:val="auto"/>
                <w:szCs w:val="20"/>
                <w:lang w:val="es-CO"/>
              </w:rPr>
              <w:t>esa</w:t>
            </w:r>
            <w:r w:rsidRPr="005D08AD">
              <w:rPr>
                <w:bCs/>
                <w:color w:val="auto"/>
                <w:szCs w:val="20"/>
                <w:lang w:val="es-CO"/>
              </w:rPr>
              <w:t xml:space="preserve"> entidad: “(i) modifique discrecionalmente la clasificación de sustancias en sus propios catálogos para extender el monopolio especial que ejerce sobre sustancias que no son expl</w:t>
            </w:r>
            <w:r w:rsidRPr="005D08AD">
              <w:rPr>
                <w:bCs/>
                <w:color w:val="auto"/>
                <w:szCs w:val="20"/>
                <w:lang w:val="es-CO"/>
              </w:rPr>
              <w:t xml:space="preserve">osivos y; (ii) consecuencialmente, desnaturalice el monopolio previsto en el artículo 223 de la Constitución”. Respecto a esto último, hizo referencia a que Indumil ha incluido en el catálogo de explosivos agentes que no lo son. </w:t>
            </w:r>
            <w:r w:rsidRPr="005D08AD">
              <w:rPr>
                <w:bCs/>
                <w:color w:val="auto"/>
                <w:szCs w:val="20"/>
                <w:lang w:val="es-CO"/>
              </w:rPr>
              <w:t>E</w:t>
            </w:r>
            <w:r w:rsidRPr="005D08AD">
              <w:rPr>
                <w:bCs/>
                <w:color w:val="auto"/>
                <w:szCs w:val="20"/>
                <w:lang w:val="es-CO"/>
              </w:rPr>
              <w:t>n su criterio “</w:t>
            </w:r>
            <w:r w:rsidRPr="005D08AD">
              <w:rPr>
                <w:bCs/>
                <w:color w:val="auto"/>
                <w:szCs w:val="20"/>
                <w:lang w:val="es-CO"/>
              </w:rPr>
              <w:t>Indumil</w:t>
            </w:r>
            <w:r w:rsidRPr="005D08AD">
              <w:rPr>
                <w:bCs/>
                <w:color w:val="auto"/>
                <w:szCs w:val="20"/>
                <w:lang w:val="es-CO"/>
              </w:rPr>
              <w:t xml:space="preserve"> pre</w:t>
            </w:r>
            <w:r w:rsidRPr="005D08AD">
              <w:rPr>
                <w:bCs/>
                <w:color w:val="auto"/>
                <w:szCs w:val="20"/>
                <w:lang w:val="es-CO"/>
              </w:rPr>
              <w:t xml:space="preserve">valida y apalancada en la indefinición del hecho generador del Impuesto Social a los Explosivos ha extendido el monopolio al amparo del que opera a la comercialización de sustancias con usos industriales en infraestructura y minería, asunto que nada tiene </w:t>
            </w:r>
            <w:r w:rsidRPr="005D08AD">
              <w:rPr>
                <w:bCs/>
                <w:color w:val="auto"/>
                <w:szCs w:val="20"/>
                <w:lang w:val="es-CO"/>
              </w:rPr>
              <w:t>que ver con [su] objeto misional”.</w:t>
            </w:r>
          </w:p>
        </w:tc>
        <w:tc>
          <w:tcPr>
            <w:tcW w:w="1683" w:type="dxa"/>
          </w:tcPr>
          <w:p w:rsidR="0051332F" w:rsidRPr="005D08AD" w:rsidRDefault="005D08AD" w:rsidP="005F72BB">
            <w:pPr>
              <w:pStyle w:val="Sombreadovistoso-nfasis31"/>
              <w:ind w:left="0"/>
              <w:mirrorIndents/>
              <w:jc w:val="center"/>
              <w:rPr>
                <w:bCs/>
                <w:color w:val="auto"/>
                <w:szCs w:val="20"/>
                <w:lang w:val="es-CO"/>
              </w:rPr>
            </w:pPr>
            <w:r w:rsidRPr="005D08AD">
              <w:rPr>
                <w:bCs/>
                <w:color w:val="auto"/>
                <w:szCs w:val="20"/>
                <w:lang w:val="es-CO"/>
              </w:rPr>
              <w:t>Inexequibilidad</w:t>
            </w:r>
          </w:p>
        </w:tc>
      </w:tr>
    </w:tbl>
    <w:p w:rsidR="00DF67CD" w:rsidRPr="005D08AD" w:rsidRDefault="005D08AD" w:rsidP="005F72BB">
      <w:pPr>
        <w:widowControl w:val="0"/>
        <w:contextualSpacing/>
        <w:mirrorIndents/>
        <w:jc w:val="both"/>
        <w:rPr>
          <w:rFonts w:ascii="Times New Roman" w:hAnsi="Times New Roman" w:cs="Times New Roman"/>
          <w:b/>
          <w:sz w:val="28"/>
          <w:szCs w:val="28"/>
        </w:rPr>
      </w:pPr>
    </w:p>
    <w:p w:rsidR="0013118C" w:rsidRPr="005D08AD" w:rsidRDefault="005D08AD" w:rsidP="005F72BB">
      <w:pPr>
        <w:pStyle w:val="Prrafodelista"/>
        <w:widowControl w:val="0"/>
        <w:numPr>
          <w:ilvl w:val="0"/>
          <w:numId w:val="5"/>
        </w:numPr>
        <w:spacing w:after="0" w:line="240" w:lineRule="auto"/>
        <w:ind w:left="0" w:firstLine="0"/>
        <w:mirrorIndents/>
        <w:jc w:val="both"/>
        <w:outlineLvl w:val="1"/>
        <w:rPr>
          <w:rFonts w:ascii="Times New Roman" w:hAnsi="Times New Roman" w:cs="Times New Roman"/>
          <w:b/>
          <w:szCs w:val="28"/>
          <w:lang w:val="es-CO"/>
        </w:rPr>
      </w:pPr>
      <w:r w:rsidRPr="005D08AD">
        <w:rPr>
          <w:rFonts w:ascii="Times New Roman" w:hAnsi="Times New Roman" w:cs="Times New Roman"/>
          <w:b/>
          <w:szCs w:val="28"/>
          <w:lang w:val="es-CO"/>
        </w:rPr>
        <w:t>Concepto de</w:t>
      </w:r>
      <w:r w:rsidRPr="005D08AD">
        <w:rPr>
          <w:rFonts w:ascii="Times New Roman" w:hAnsi="Times New Roman" w:cs="Times New Roman"/>
          <w:b/>
          <w:szCs w:val="28"/>
          <w:lang w:val="es-CO"/>
        </w:rPr>
        <w:t>l</w:t>
      </w:r>
      <w:r w:rsidRPr="005D08AD">
        <w:rPr>
          <w:rFonts w:ascii="Times New Roman" w:hAnsi="Times New Roman" w:cs="Times New Roman"/>
          <w:b/>
          <w:szCs w:val="28"/>
          <w:lang w:val="es-CO"/>
        </w:rPr>
        <w:t xml:space="preserve"> </w:t>
      </w:r>
      <w:r w:rsidRPr="005D08AD">
        <w:rPr>
          <w:rFonts w:ascii="Times New Roman" w:hAnsi="Times New Roman" w:cs="Times New Roman"/>
          <w:b/>
          <w:szCs w:val="28"/>
          <w:lang w:val="es-CO"/>
        </w:rPr>
        <w:t>P</w:t>
      </w:r>
      <w:r w:rsidRPr="005D08AD">
        <w:rPr>
          <w:rFonts w:ascii="Times New Roman" w:hAnsi="Times New Roman" w:cs="Times New Roman"/>
          <w:b/>
          <w:szCs w:val="28"/>
          <w:lang w:val="es-CO"/>
        </w:rPr>
        <w:t>rocurador General de la Nación</w:t>
      </w:r>
    </w:p>
    <w:p w:rsidR="0013118C" w:rsidRPr="005D08AD" w:rsidRDefault="005D08AD" w:rsidP="005F72BB">
      <w:pPr>
        <w:widowControl w:val="0"/>
        <w:contextualSpacing/>
        <w:mirrorIndents/>
        <w:jc w:val="both"/>
        <w:rPr>
          <w:rFonts w:ascii="Times New Roman" w:hAnsi="Times New Roman" w:cs="Times New Roman"/>
          <w:b/>
          <w:sz w:val="28"/>
          <w:szCs w:val="28"/>
        </w:rPr>
      </w:pPr>
    </w:p>
    <w:p w:rsidR="0051332F" w:rsidRPr="005D08AD" w:rsidRDefault="005D08AD" w:rsidP="005F72BB">
      <w:pPr>
        <w:pStyle w:val="Sombreadovistoso-nfasis31"/>
        <w:numPr>
          <w:ilvl w:val="0"/>
          <w:numId w:val="4"/>
        </w:numPr>
        <w:mirrorIndents/>
        <w:rPr>
          <w:rFonts w:ascii="Times New Roman" w:hAnsi="Times New Roman" w:cs="Times New Roman"/>
        </w:rPr>
      </w:pPr>
      <w:r w:rsidRPr="005D08AD">
        <w:rPr>
          <w:rFonts w:ascii="Times New Roman" w:hAnsi="Times New Roman" w:cs="Times New Roman"/>
        </w:rPr>
        <w:t>E</w:t>
      </w:r>
      <w:r w:rsidRPr="005D08AD">
        <w:rPr>
          <w:rFonts w:ascii="Times New Roman" w:hAnsi="Times New Roman" w:cs="Times New Roman"/>
        </w:rPr>
        <w:t xml:space="preserve">l Procurador General de la Nación solicitó a la Corte </w:t>
      </w:r>
      <w:r w:rsidRPr="005D08AD">
        <w:rPr>
          <w:rFonts w:ascii="Times New Roman" w:hAnsi="Times New Roman" w:cs="Times New Roman"/>
          <w:i/>
          <w:iCs/>
        </w:rPr>
        <w:t>estarse a lo resuelto</w:t>
      </w:r>
      <w:r w:rsidRPr="005D08AD">
        <w:rPr>
          <w:rFonts w:ascii="Times New Roman" w:hAnsi="Times New Roman" w:cs="Times New Roman"/>
        </w:rPr>
        <w:t xml:space="preserve"> en la Sentencia C-390 de 1996 por existir cosa juzgada constitucional y, subsidiariamente declarar la </w:t>
      </w:r>
      <w:r w:rsidRPr="005D08AD">
        <w:rPr>
          <w:rFonts w:ascii="Times New Roman" w:hAnsi="Times New Roman" w:cs="Times New Roman"/>
          <w:i/>
          <w:iCs/>
        </w:rPr>
        <w:t xml:space="preserve">exequibilidad </w:t>
      </w:r>
      <w:r w:rsidRPr="005D08AD">
        <w:rPr>
          <w:rFonts w:ascii="Times New Roman" w:hAnsi="Times New Roman" w:cs="Times New Roman"/>
        </w:rPr>
        <w:t xml:space="preserve">de las expresiones acusadas. </w:t>
      </w:r>
    </w:p>
    <w:p w:rsidR="0051332F" w:rsidRPr="005D08AD" w:rsidRDefault="005D08AD" w:rsidP="005F72BB">
      <w:pPr>
        <w:pStyle w:val="Sombreadovistoso-nfasis31"/>
        <w:ind w:left="0"/>
        <w:mirrorIndents/>
        <w:rPr>
          <w:rFonts w:ascii="Times New Roman" w:hAnsi="Times New Roman" w:cs="Times New Roman"/>
        </w:rPr>
      </w:pPr>
    </w:p>
    <w:p w:rsidR="0051332F" w:rsidRPr="005D08AD" w:rsidRDefault="005D08AD" w:rsidP="005F72BB">
      <w:pPr>
        <w:pStyle w:val="Sombreadovistoso-nfasis31"/>
        <w:numPr>
          <w:ilvl w:val="0"/>
          <w:numId w:val="4"/>
        </w:numPr>
        <w:mirrorIndents/>
        <w:rPr>
          <w:rFonts w:ascii="Times New Roman" w:hAnsi="Times New Roman" w:cs="Times New Roman"/>
        </w:rPr>
      </w:pPr>
      <w:r w:rsidRPr="005D08AD">
        <w:rPr>
          <w:rFonts w:ascii="Times New Roman" w:hAnsi="Times New Roman" w:cs="Times New Roman"/>
        </w:rPr>
        <w:t>En el presente caso existe cosa juzgada constitucional respecto a la Sentencia C-390 de 1996 por cuatro razo</w:t>
      </w:r>
      <w:r w:rsidRPr="005D08AD">
        <w:rPr>
          <w:rFonts w:ascii="Times New Roman" w:hAnsi="Times New Roman" w:cs="Times New Roman"/>
        </w:rPr>
        <w:t xml:space="preserve">nes. En primer lugar, </w:t>
      </w:r>
      <w:r w:rsidRPr="005D08AD">
        <w:rPr>
          <w:rFonts w:ascii="Times New Roman" w:hAnsi="Times New Roman" w:cs="Times New Roman"/>
        </w:rPr>
        <w:t>esa</w:t>
      </w:r>
      <w:r w:rsidRPr="005D08AD">
        <w:rPr>
          <w:rFonts w:ascii="Times New Roman" w:hAnsi="Times New Roman" w:cs="Times New Roman"/>
        </w:rPr>
        <w:t xml:space="preserve"> </w:t>
      </w:r>
      <w:r w:rsidRPr="005D08AD">
        <w:rPr>
          <w:rFonts w:ascii="Times New Roman" w:hAnsi="Times New Roman" w:cs="Times New Roman"/>
        </w:rPr>
        <w:t>s</w:t>
      </w:r>
      <w:r w:rsidRPr="005D08AD">
        <w:rPr>
          <w:rFonts w:ascii="Times New Roman" w:hAnsi="Times New Roman" w:cs="Times New Roman"/>
        </w:rPr>
        <w:t>entencia se pronunció sobre la constitucionalidad del artículo 224 de la Ley 100 de 1993, el cual, en esencia</w:t>
      </w:r>
      <w:r w:rsidRPr="005D08AD">
        <w:rPr>
          <w:rFonts w:ascii="Times New Roman" w:hAnsi="Times New Roman" w:cs="Times New Roman"/>
        </w:rPr>
        <w:t>,</w:t>
      </w:r>
      <w:r w:rsidRPr="005D08AD">
        <w:rPr>
          <w:rFonts w:ascii="Times New Roman" w:hAnsi="Times New Roman" w:cs="Times New Roman"/>
        </w:rPr>
        <w:t xml:space="preserve"> </w:t>
      </w:r>
      <w:r w:rsidRPr="005D08AD">
        <w:rPr>
          <w:rFonts w:ascii="Times New Roman" w:hAnsi="Times New Roman" w:cs="Times New Roman"/>
        </w:rPr>
        <w:t>corresponde</w:t>
      </w:r>
      <w:r w:rsidRPr="005D08AD">
        <w:rPr>
          <w:rFonts w:ascii="Times New Roman" w:hAnsi="Times New Roman" w:cs="Times New Roman"/>
        </w:rPr>
        <w:t xml:space="preserve"> al artículo 48 de la Ley 1438 de 2011 </w:t>
      </w:r>
      <w:r w:rsidRPr="005D08AD">
        <w:rPr>
          <w:rFonts w:ascii="Times New Roman" w:hAnsi="Times New Roman" w:cs="Times New Roman"/>
        </w:rPr>
        <w:t>pues</w:t>
      </w:r>
      <w:r w:rsidRPr="005D08AD">
        <w:rPr>
          <w:rFonts w:ascii="Times New Roman" w:hAnsi="Times New Roman" w:cs="Times New Roman"/>
        </w:rPr>
        <w:t xml:space="preserve"> “el cambio que introdujo la norma posterior </w:t>
      </w:r>
      <w:r w:rsidRPr="005D08AD">
        <w:rPr>
          <w:rFonts w:ascii="Times New Roman" w:hAnsi="Times New Roman" w:cs="Times New Roman"/>
        </w:rPr>
        <w:t>[fue]</w:t>
      </w:r>
      <w:r w:rsidRPr="005D08AD">
        <w:rPr>
          <w:rFonts w:ascii="Times New Roman" w:hAnsi="Times New Roman" w:cs="Times New Roman"/>
        </w:rPr>
        <w:t xml:space="preserve"> únicamente re</w:t>
      </w:r>
      <w:r w:rsidRPr="005D08AD">
        <w:rPr>
          <w:rFonts w:ascii="Times New Roman" w:hAnsi="Times New Roman" w:cs="Times New Roman"/>
        </w:rPr>
        <w:t>specto de la tarifa, pues pas</w:t>
      </w:r>
      <w:r w:rsidRPr="005D08AD">
        <w:rPr>
          <w:rFonts w:ascii="Times New Roman" w:hAnsi="Times New Roman" w:cs="Times New Roman"/>
        </w:rPr>
        <w:t>ó</w:t>
      </w:r>
      <w:r w:rsidRPr="005D08AD">
        <w:rPr>
          <w:rFonts w:ascii="Times New Roman" w:hAnsi="Times New Roman" w:cs="Times New Roman"/>
        </w:rPr>
        <w:t xml:space="preserve"> del 5% al 20%”. En segundo </w:t>
      </w:r>
      <w:r w:rsidRPr="005D08AD">
        <w:rPr>
          <w:rFonts w:ascii="Times New Roman" w:hAnsi="Times New Roman" w:cs="Times New Roman"/>
        </w:rPr>
        <w:t>lugar</w:t>
      </w:r>
      <w:r w:rsidRPr="005D08AD">
        <w:rPr>
          <w:rFonts w:ascii="Times New Roman" w:hAnsi="Times New Roman" w:cs="Times New Roman"/>
        </w:rPr>
        <w:t xml:space="preserve">, </w:t>
      </w:r>
      <w:r w:rsidRPr="005D08AD">
        <w:rPr>
          <w:rFonts w:ascii="Times New Roman" w:hAnsi="Times New Roman" w:cs="Times New Roman"/>
        </w:rPr>
        <w:t xml:space="preserve">señaló </w:t>
      </w:r>
      <w:r w:rsidRPr="005D08AD">
        <w:rPr>
          <w:rFonts w:ascii="Times New Roman" w:hAnsi="Times New Roman" w:cs="Times New Roman"/>
        </w:rPr>
        <w:t xml:space="preserve">que </w:t>
      </w:r>
      <w:r w:rsidRPr="005D08AD">
        <w:rPr>
          <w:rFonts w:ascii="Times New Roman" w:hAnsi="Times New Roman" w:cs="Times New Roman"/>
        </w:rPr>
        <w:t xml:space="preserve">existe una identidad entre los cargos propuestos y el análisis que se realizó en </w:t>
      </w:r>
      <w:r w:rsidRPr="005D08AD">
        <w:rPr>
          <w:rFonts w:ascii="Times New Roman" w:hAnsi="Times New Roman" w:cs="Times New Roman"/>
        </w:rPr>
        <w:t xml:space="preserve">esa </w:t>
      </w:r>
      <w:r w:rsidRPr="005D08AD">
        <w:rPr>
          <w:rFonts w:ascii="Times New Roman" w:hAnsi="Times New Roman" w:cs="Times New Roman"/>
        </w:rPr>
        <w:t xml:space="preserve">sentencia. </w:t>
      </w:r>
      <w:r w:rsidRPr="005D08AD">
        <w:rPr>
          <w:rFonts w:ascii="Times New Roman" w:hAnsi="Times New Roman" w:cs="Times New Roman"/>
        </w:rPr>
        <w:t>En tercer lugar</w:t>
      </w:r>
      <w:r w:rsidRPr="005D08AD">
        <w:rPr>
          <w:rFonts w:ascii="Times New Roman" w:hAnsi="Times New Roman" w:cs="Times New Roman"/>
        </w:rPr>
        <w:t xml:space="preserve">, </w:t>
      </w:r>
      <w:r w:rsidRPr="005D08AD">
        <w:rPr>
          <w:rFonts w:ascii="Times New Roman" w:hAnsi="Times New Roman" w:cs="Times New Roman"/>
        </w:rPr>
        <w:t xml:space="preserve">indicó </w:t>
      </w:r>
      <w:r w:rsidRPr="005D08AD">
        <w:rPr>
          <w:rFonts w:ascii="Times New Roman" w:hAnsi="Times New Roman" w:cs="Times New Roman"/>
        </w:rPr>
        <w:t xml:space="preserve">que la Corte ya se pronunció sobre el hecho generador y concluyó que la disposición “sí prevé todos los elementos del impuesto social a las municiones y explosivos”. Específicamente, señaló que el hecho </w:t>
      </w:r>
      <w:r w:rsidRPr="005D08AD">
        <w:rPr>
          <w:rFonts w:ascii="Times New Roman" w:hAnsi="Times New Roman" w:cs="Times New Roman"/>
        </w:rPr>
        <w:t xml:space="preserve">generador </w:t>
      </w:r>
      <w:r w:rsidRPr="005D08AD">
        <w:rPr>
          <w:rFonts w:ascii="Times New Roman" w:hAnsi="Times New Roman" w:cs="Times New Roman"/>
        </w:rPr>
        <w:t>recae sobre “quienes porte</w:t>
      </w:r>
      <w:r w:rsidRPr="005D08AD">
        <w:rPr>
          <w:rFonts w:ascii="Times New Roman" w:hAnsi="Times New Roman" w:cs="Times New Roman"/>
        </w:rPr>
        <w:t>n</w:t>
      </w:r>
      <w:r w:rsidRPr="005D08AD">
        <w:rPr>
          <w:rFonts w:ascii="Times New Roman" w:hAnsi="Times New Roman" w:cs="Times New Roman"/>
        </w:rPr>
        <w:t xml:space="preserve"> municiones y ex</w:t>
      </w:r>
      <w:r w:rsidRPr="005D08AD">
        <w:rPr>
          <w:rFonts w:ascii="Times New Roman" w:hAnsi="Times New Roman" w:cs="Times New Roman"/>
        </w:rPr>
        <w:t xml:space="preserve">plosivos” y que se parte del supuesto que el portador obtendrá el permiso de la autoridad, “pues el cobro del impuesto se concreta al expedirlo o renovarlo”. </w:t>
      </w:r>
      <w:r w:rsidRPr="005D08AD">
        <w:rPr>
          <w:rFonts w:ascii="Times New Roman" w:hAnsi="Times New Roman" w:cs="Times New Roman"/>
        </w:rPr>
        <w:t>Finalmente</w:t>
      </w:r>
      <w:r w:rsidRPr="005D08AD">
        <w:rPr>
          <w:rFonts w:ascii="Times New Roman" w:hAnsi="Times New Roman" w:cs="Times New Roman"/>
        </w:rPr>
        <w:t xml:space="preserve">, </w:t>
      </w:r>
      <w:r w:rsidRPr="005D08AD">
        <w:rPr>
          <w:rFonts w:ascii="Times New Roman" w:hAnsi="Times New Roman" w:cs="Times New Roman"/>
        </w:rPr>
        <w:t xml:space="preserve">precisó que el </w:t>
      </w:r>
      <w:r w:rsidRPr="005D08AD">
        <w:rPr>
          <w:rFonts w:ascii="Times New Roman" w:hAnsi="Times New Roman" w:cs="Times New Roman"/>
        </w:rPr>
        <w:t>parámetro de control</w:t>
      </w:r>
      <w:r w:rsidRPr="005D08AD">
        <w:rPr>
          <w:rFonts w:ascii="Times New Roman" w:hAnsi="Times New Roman" w:cs="Times New Roman"/>
        </w:rPr>
        <w:t xml:space="preserve"> no ha sido modificado</w:t>
      </w:r>
      <w:r w:rsidRPr="005D08AD">
        <w:rPr>
          <w:rFonts w:ascii="Times New Roman" w:hAnsi="Times New Roman" w:cs="Times New Roman"/>
        </w:rPr>
        <w:t xml:space="preserve">. </w:t>
      </w:r>
    </w:p>
    <w:p w:rsidR="0051332F" w:rsidRPr="005D08AD" w:rsidRDefault="005D08AD" w:rsidP="005F72BB">
      <w:pPr>
        <w:pStyle w:val="Prrafodelista"/>
        <w:spacing w:after="0" w:line="240" w:lineRule="auto"/>
        <w:ind w:left="0"/>
        <w:mirrorIndents/>
        <w:rPr>
          <w:rFonts w:ascii="Times New Roman" w:hAnsi="Times New Roman" w:cs="Times New Roman"/>
        </w:rPr>
      </w:pPr>
    </w:p>
    <w:p w:rsidR="0051332F" w:rsidRPr="005D08AD" w:rsidRDefault="005D08AD" w:rsidP="005F72BB">
      <w:pPr>
        <w:pStyle w:val="Sombreadovistoso-nfasis31"/>
        <w:numPr>
          <w:ilvl w:val="0"/>
          <w:numId w:val="4"/>
        </w:numPr>
        <w:mirrorIndents/>
        <w:rPr>
          <w:rFonts w:ascii="Times New Roman" w:hAnsi="Times New Roman" w:cs="Times New Roman"/>
        </w:rPr>
      </w:pPr>
      <w:r w:rsidRPr="005D08AD">
        <w:rPr>
          <w:rFonts w:ascii="Times New Roman" w:hAnsi="Times New Roman" w:cs="Times New Roman"/>
        </w:rPr>
        <w:t>En caso de que se desesti</w:t>
      </w:r>
      <w:r w:rsidRPr="005D08AD">
        <w:rPr>
          <w:rFonts w:ascii="Times New Roman" w:hAnsi="Times New Roman" w:cs="Times New Roman"/>
        </w:rPr>
        <w:t xml:space="preserve">me la configuración de la cosa juzgada constitucional, el </w:t>
      </w:r>
      <w:r w:rsidRPr="005D08AD">
        <w:rPr>
          <w:rFonts w:ascii="Times New Roman" w:hAnsi="Times New Roman" w:cs="Times New Roman"/>
        </w:rPr>
        <w:t>p</w:t>
      </w:r>
      <w:r w:rsidRPr="005D08AD">
        <w:rPr>
          <w:rFonts w:ascii="Times New Roman" w:hAnsi="Times New Roman" w:cs="Times New Roman"/>
        </w:rPr>
        <w:t xml:space="preserve">rocurador </w:t>
      </w:r>
      <w:r w:rsidRPr="005D08AD">
        <w:rPr>
          <w:rFonts w:ascii="Times New Roman" w:hAnsi="Times New Roman" w:cs="Times New Roman"/>
        </w:rPr>
        <w:t>reconoció la posibilidad de</w:t>
      </w:r>
      <w:r w:rsidRPr="005D08AD">
        <w:rPr>
          <w:rFonts w:ascii="Times New Roman" w:hAnsi="Times New Roman" w:cs="Times New Roman"/>
        </w:rPr>
        <w:t xml:space="preserve"> determinar los elementos del tributo</w:t>
      </w:r>
      <w:r w:rsidRPr="005D08AD">
        <w:rPr>
          <w:rFonts w:ascii="Times New Roman" w:hAnsi="Times New Roman" w:cs="Times New Roman"/>
        </w:rPr>
        <w:t xml:space="preserve"> en cuestión,</w:t>
      </w:r>
      <w:r w:rsidRPr="005D08AD">
        <w:rPr>
          <w:rFonts w:ascii="Times New Roman" w:hAnsi="Times New Roman" w:cs="Times New Roman"/>
        </w:rPr>
        <w:t xml:space="preserve"> así: (i) el sujeto activo del impuesto es la Nación; (ii) los sujetos pasivos son los tenedores, distintos de</w:t>
      </w:r>
      <w:r w:rsidRPr="005D08AD">
        <w:rPr>
          <w:rFonts w:ascii="Times New Roman" w:hAnsi="Times New Roman" w:cs="Times New Roman"/>
        </w:rPr>
        <w:t xml:space="preserve"> los expresamente exceptuados; (iii) la base gravable se define a partir de las características de impuesto “ad valorem”; (iv) el hecho </w:t>
      </w:r>
      <w:r w:rsidRPr="005D08AD">
        <w:rPr>
          <w:rFonts w:ascii="Times New Roman" w:hAnsi="Times New Roman" w:cs="Times New Roman"/>
        </w:rPr>
        <w:t>generador</w:t>
      </w:r>
      <w:r w:rsidRPr="005D08AD">
        <w:rPr>
          <w:rFonts w:ascii="Times New Roman" w:hAnsi="Times New Roman" w:cs="Times New Roman"/>
        </w:rPr>
        <w:t xml:space="preserve"> se determina igualmente a partir de la naturaleza del impuesto “</w:t>
      </w:r>
      <w:r w:rsidRPr="005D08AD">
        <w:rPr>
          <w:rFonts w:ascii="Times New Roman" w:hAnsi="Times New Roman" w:cs="Times New Roman"/>
          <w:i/>
          <w:iCs/>
        </w:rPr>
        <w:t>ad valorem</w:t>
      </w:r>
      <w:r w:rsidRPr="005D08AD">
        <w:rPr>
          <w:rFonts w:ascii="Times New Roman" w:hAnsi="Times New Roman" w:cs="Times New Roman"/>
        </w:rPr>
        <w:t xml:space="preserve">” y del verbo “cobrará”, los cuales </w:t>
      </w:r>
      <w:r w:rsidRPr="005D08AD">
        <w:rPr>
          <w:rFonts w:ascii="Times New Roman" w:hAnsi="Times New Roman" w:cs="Times New Roman"/>
        </w:rPr>
        <w:t xml:space="preserve">permiten establecer que el hecho generador </w:t>
      </w:r>
      <w:r w:rsidRPr="005D08AD">
        <w:rPr>
          <w:rFonts w:ascii="Times New Roman" w:hAnsi="Times New Roman" w:cs="Times New Roman"/>
        </w:rPr>
        <w:t>corresponde a</w:t>
      </w:r>
      <w:r w:rsidRPr="005D08AD">
        <w:rPr>
          <w:rFonts w:ascii="Times New Roman" w:hAnsi="Times New Roman" w:cs="Times New Roman"/>
        </w:rPr>
        <w:t xml:space="preserve"> la transacción y; (v) la tarifa es el 20% sobre la base gravable. </w:t>
      </w:r>
    </w:p>
    <w:p w:rsidR="0051332F" w:rsidRPr="005D08AD" w:rsidRDefault="005D08AD" w:rsidP="005F72BB">
      <w:pPr>
        <w:pStyle w:val="Prrafodelista"/>
        <w:spacing w:after="0" w:line="240" w:lineRule="auto"/>
        <w:ind w:left="0"/>
        <w:mirrorIndents/>
        <w:rPr>
          <w:rFonts w:ascii="Times New Roman" w:hAnsi="Times New Roman" w:cs="Times New Roman"/>
        </w:rPr>
      </w:pPr>
    </w:p>
    <w:p w:rsidR="0051332F" w:rsidRPr="005D08AD" w:rsidRDefault="005D08AD" w:rsidP="005F72BB">
      <w:pPr>
        <w:pStyle w:val="Sombreadovistoso-nfasis31"/>
        <w:numPr>
          <w:ilvl w:val="0"/>
          <w:numId w:val="4"/>
        </w:numPr>
        <w:mirrorIndents/>
        <w:rPr>
          <w:rFonts w:ascii="Times New Roman" w:hAnsi="Times New Roman" w:cs="Times New Roman"/>
        </w:rPr>
      </w:pPr>
      <w:r w:rsidRPr="005D08AD">
        <w:rPr>
          <w:rFonts w:ascii="Times New Roman" w:hAnsi="Times New Roman" w:cs="Times New Roman"/>
        </w:rPr>
        <w:t>En relación con el</w:t>
      </w:r>
      <w:r w:rsidRPr="005D08AD">
        <w:rPr>
          <w:rFonts w:ascii="Times New Roman" w:hAnsi="Times New Roman" w:cs="Times New Roman"/>
        </w:rPr>
        <w:t xml:space="preserve"> hecho </w:t>
      </w:r>
      <w:r w:rsidRPr="005D08AD">
        <w:rPr>
          <w:rFonts w:ascii="Times New Roman" w:hAnsi="Times New Roman" w:cs="Times New Roman"/>
        </w:rPr>
        <w:t xml:space="preserve">generador, </w:t>
      </w:r>
      <w:r w:rsidRPr="005D08AD">
        <w:rPr>
          <w:rFonts w:ascii="Times New Roman" w:hAnsi="Times New Roman" w:cs="Times New Roman"/>
        </w:rPr>
        <w:t xml:space="preserve">explicó que </w:t>
      </w:r>
      <w:r w:rsidRPr="005D08AD">
        <w:rPr>
          <w:rFonts w:ascii="Times New Roman" w:hAnsi="Times New Roman" w:cs="Times New Roman"/>
        </w:rPr>
        <w:t>este</w:t>
      </w:r>
      <w:r w:rsidRPr="005D08AD">
        <w:rPr>
          <w:rFonts w:ascii="Times New Roman" w:hAnsi="Times New Roman" w:cs="Times New Roman"/>
        </w:rPr>
        <w:t xml:space="preserve"> se determina a partir de dos consideraciones. En primer lugar, la naturaleza d</w:t>
      </w:r>
      <w:r w:rsidRPr="005D08AD">
        <w:rPr>
          <w:rFonts w:ascii="Times New Roman" w:hAnsi="Times New Roman" w:cs="Times New Roman"/>
        </w:rPr>
        <w:t>e los objetos gravados, los cuales no pueden ser importados, fabricados, ni vendidos de forma libre, en razón al monopolio estatal del uso de la fuerza. Por otro lado, la condición del impuesto “</w:t>
      </w:r>
      <w:r w:rsidRPr="005D08AD">
        <w:rPr>
          <w:rFonts w:ascii="Times New Roman" w:hAnsi="Times New Roman" w:cs="Times New Roman"/>
          <w:i/>
          <w:iCs/>
        </w:rPr>
        <w:t>ad valorem</w:t>
      </w:r>
      <w:r w:rsidRPr="005D08AD">
        <w:rPr>
          <w:rFonts w:ascii="Times New Roman" w:hAnsi="Times New Roman" w:cs="Times New Roman"/>
        </w:rPr>
        <w:t xml:space="preserve">”, permite establecer el </w:t>
      </w:r>
      <w:r w:rsidRPr="005D08AD">
        <w:rPr>
          <w:rFonts w:ascii="Times New Roman" w:hAnsi="Times New Roman" w:cs="Times New Roman"/>
        </w:rPr>
        <w:t>referido elemento</w:t>
      </w:r>
      <w:r w:rsidRPr="005D08AD">
        <w:rPr>
          <w:rFonts w:ascii="Times New Roman" w:hAnsi="Times New Roman" w:cs="Times New Roman"/>
        </w:rPr>
        <w:t xml:space="preserve"> “en la m</w:t>
      </w:r>
      <w:r w:rsidRPr="005D08AD">
        <w:rPr>
          <w:rFonts w:ascii="Times New Roman" w:hAnsi="Times New Roman" w:cs="Times New Roman"/>
        </w:rPr>
        <w:t>edida que, si las municiones y explosivos en general, solamente se pueden adquirir mediante autorización del Estado, y no existe, en estricto sentido, permiso de porte o tenencia (...), la mencionada tari</w:t>
      </w:r>
      <w:r w:rsidRPr="005D08AD">
        <w:rPr>
          <w:rFonts w:ascii="Times New Roman" w:hAnsi="Times New Roman" w:cs="Times New Roman"/>
        </w:rPr>
        <w:t>f</w:t>
      </w:r>
      <w:r w:rsidRPr="005D08AD">
        <w:rPr>
          <w:rFonts w:ascii="Times New Roman" w:hAnsi="Times New Roman" w:cs="Times New Roman"/>
        </w:rPr>
        <w:t>a del 20% se ha de aplicar sobre el valor de los pr</w:t>
      </w:r>
      <w:r w:rsidRPr="005D08AD">
        <w:rPr>
          <w:rFonts w:ascii="Times New Roman" w:hAnsi="Times New Roman" w:cs="Times New Roman"/>
        </w:rPr>
        <w:t>oductos que de forma concreta se están adquiriendo para su utilización”.</w:t>
      </w:r>
    </w:p>
    <w:p w:rsidR="00635528" w:rsidRPr="005D08AD" w:rsidRDefault="005D08AD" w:rsidP="005F72BB">
      <w:pPr>
        <w:pStyle w:val="Sombreadovistoso-nfasis31"/>
        <w:ind w:left="0"/>
        <w:mirrorIndents/>
        <w:rPr>
          <w:rFonts w:ascii="Times New Roman" w:hAnsi="Times New Roman" w:cs="Times New Roman"/>
        </w:rPr>
      </w:pPr>
    </w:p>
    <w:p w:rsidR="0013118C" w:rsidRPr="005D08AD" w:rsidRDefault="005D08AD" w:rsidP="005F72BB">
      <w:pPr>
        <w:pStyle w:val="Ttulo1"/>
        <w:ind w:left="0" w:firstLine="0"/>
        <w:contextualSpacing/>
        <w:mirrorIndents/>
        <w:rPr>
          <w:rFonts w:ascii="Times New Roman" w:hAnsi="Times New Roman" w:cs="Times New Roman"/>
          <w:bCs w:val="0"/>
        </w:rPr>
      </w:pPr>
      <w:bookmarkStart w:id="4" w:name="_Ref125190300"/>
      <w:r w:rsidRPr="005D08AD">
        <w:rPr>
          <w:rFonts w:ascii="Times New Roman" w:hAnsi="Times New Roman" w:cs="Times New Roman"/>
          <w:bCs w:val="0"/>
        </w:rPr>
        <w:t>CONSIDERACIONES</w:t>
      </w:r>
      <w:bookmarkEnd w:id="4"/>
    </w:p>
    <w:p w:rsidR="0013118C" w:rsidRPr="005D08AD" w:rsidRDefault="005D08AD" w:rsidP="005F72BB">
      <w:pPr>
        <w:pStyle w:val="Prrafodelista"/>
        <w:spacing w:after="0" w:line="240" w:lineRule="auto"/>
        <w:ind w:left="0"/>
        <w:mirrorIndents/>
        <w:jc w:val="both"/>
        <w:rPr>
          <w:rFonts w:ascii="Times New Roman" w:hAnsi="Times New Roman" w:cs="Times New Roman"/>
          <w:b/>
          <w:szCs w:val="28"/>
          <w:lang w:val="es-CO"/>
        </w:rPr>
      </w:pPr>
    </w:p>
    <w:p w:rsidR="0013118C" w:rsidRPr="005D08AD" w:rsidRDefault="005D08AD" w:rsidP="005F72BB">
      <w:pPr>
        <w:pStyle w:val="Prrafodelista"/>
        <w:numPr>
          <w:ilvl w:val="0"/>
          <w:numId w:val="6"/>
        </w:numPr>
        <w:spacing w:after="0" w:line="240" w:lineRule="auto"/>
        <w:ind w:left="0" w:firstLine="0"/>
        <w:mirrorIndents/>
        <w:jc w:val="both"/>
        <w:outlineLvl w:val="1"/>
        <w:rPr>
          <w:rFonts w:ascii="Times New Roman" w:hAnsi="Times New Roman" w:cs="Times New Roman"/>
          <w:b/>
          <w:szCs w:val="28"/>
          <w:lang w:val="es-CO"/>
        </w:rPr>
      </w:pPr>
      <w:r w:rsidRPr="005D08AD">
        <w:rPr>
          <w:rFonts w:ascii="Times New Roman" w:hAnsi="Times New Roman" w:cs="Times New Roman"/>
          <w:b/>
          <w:szCs w:val="28"/>
          <w:lang w:val="es-CO"/>
        </w:rPr>
        <w:t>C</w:t>
      </w:r>
      <w:r w:rsidRPr="005D08AD">
        <w:rPr>
          <w:rFonts w:ascii="Times New Roman" w:hAnsi="Times New Roman" w:cs="Times New Roman"/>
          <w:b/>
          <w:szCs w:val="28"/>
          <w:lang w:val="es-CO"/>
        </w:rPr>
        <w:t xml:space="preserve">ompetencia </w:t>
      </w:r>
    </w:p>
    <w:p w:rsidR="0013118C" w:rsidRPr="005D08AD" w:rsidRDefault="005D08AD" w:rsidP="005F72BB">
      <w:pPr>
        <w:contextualSpacing/>
        <w:mirrorIndents/>
        <w:jc w:val="both"/>
        <w:rPr>
          <w:rFonts w:ascii="Times New Roman" w:hAnsi="Times New Roman" w:cs="Times New Roman"/>
          <w:b/>
          <w:sz w:val="28"/>
          <w:szCs w:val="28"/>
        </w:rPr>
      </w:pPr>
    </w:p>
    <w:p w:rsidR="0013118C" w:rsidRPr="005D08AD" w:rsidRDefault="005D08AD" w:rsidP="005F72BB">
      <w:pPr>
        <w:pStyle w:val="Prrafodelista"/>
        <w:numPr>
          <w:ilvl w:val="0"/>
          <w:numId w:val="4"/>
        </w:numPr>
        <w:spacing w:after="0" w:line="240" w:lineRule="auto"/>
        <w:mirrorIndents/>
        <w:jc w:val="both"/>
        <w:rPr>
          <w:rFonts w:ascii="Times New Roman" w:hAnsi="Times New Roman" w:cs="Times New Roman"/>
          <w:bCs/>
          <w:szCs w:val="28"/>
          <w:lang w:val="es-CO" w:eastAsia="es-ES"/>
        </w:rPr>
      </w:pPr>
      <w:r w:rsidRPr="005D08AD">
        <w:rPr>
          <w:rFonts w:ascii="Times New Roman" w:hAnsi="Times New Roman" w:cs="Times New Roman"/>
          <w:bCs/>
          <w:szCs w:val="28"/>
          <w:lang w:val="es-CO" w:eastAsia="es-ES"/>
        </w:rPr>
        <w:t xml:space="preserve">De conformidad con lo dispuesto en el numeral 4 </w:t>
      </w:r>
      <w:r w:rsidRPr="005D08AD">
        <w:rPr>
          <w:rFonts w:ascii="Times New Roman" w:hAnsi="Times New Roman" w:cs="Times New Roman"/>
          <w:bCs/>
          <w:szCs w:val="28"/>
          <w:lang w:val="es-CO" w:eastAsia="es-ES"/>
        </w:rPr>
        <w:t>del artículo 241</w:t>
      </w:r>
      <w:r w:rsidRPr="005D08AD">
        <w:rPr>
          <w:rFonts w:ascii="Times New Roman" w:hAnsi="Times New Roman" w:cs="Times New Roman"/>
          <w:bCs/>
          <w:szCs w:val="28"/>
          <w:lang w:val="es-CO" w:eastAsia="es-ES"/>
        </w:rPr>
        <w:t xml:space="preserve"> </w:t>
      </w:r>
      <w:r w:rsidRPr="005D08AD">
        <w:rPr>
          <w:rFonts w:ascii="Times New Roman" w:hAnsi="Times New Roman" w:cs="Times New Roman"/>
          <w:bCs/>
          <w:szCs w:val="28"/>
          <w:lang w:val="es-CO" w:eastAsia="es-ES"/>
        </w:rPr>
        <w:t>de la Constitución</w:t>
      </w:r>
      <w:r w:rsidRPr="005D08AD">
        <w:rPr>
          <w:rFonts w:ascii="Times New Roman" w:hAnsi="Times New Roman" w:cs="Times New Roman"/>
          <w:bCs/>
          <w:szCs w:val="28"/>
          <w:lang w:val="es-CO" w:eastAsia="es-ES"/>
        </w:rPr>
        <w:t xml:space="preserve"> Política</w:t>
      </w:r>
      <w:r w:rsidRPr="005D08AD">
        <w:rPr>
          <w:rFonts w:ascii="Times New Roman" w:hAnsi="Times New Roman" w:cs="Times New Roman"/>
          <w:bCs/>
          <w:szCs w:val="28"/>
          <w:lang w:val="es-CO" w:eastAsia="es-ES"/>
        </w:rPr>
        <w:t xml:space="preserve">, la Corte Constitucional es competente para conocer y decidir definitivamente </w:t>
      </w:r>
      <w:r w:rsidRPr="005D08AD">
        <w:rPr>
          <w:rFonts w:ascii="Times New Roman" w:hAnsi="Times New Roman" w:cs="Times New Roman"/>
          <w:bCs/>
          <w:szCs w:val="28"/>
          <w:lang w:val="es-CO" w:eastAsia="es-ES"/>
        </w:rPr>
        <w:t xml:space="preserve">sobre </w:t>
      </w:r>
      <w:r w:rsidRPr="005D08AD">
        <w:rPr>
          <w:rFonts w:ascii="Times New Roman" w:hAnsi="Times New Roman" w:cs="Times New Roman"/>
          <w:bCs/>
          <w:szCs w:val="28"/>
          <w:lang w:val="es-CO" w:eastAsia="es-ES"/>
        </w:rPr>
        <w:t>las demandas de inconstitucionalidad que presenten los ciudadanos contra las leyes, tanto por su contenido material como por vicios de procedimiento en su formación.</w:t>
      </w:r>
    </w:p>
    <w:p w:rsidR="009D6D60" w:rsidRPr="005D08AD" w:rsidRDefault="005D08AD" w:rsidP="005F72BB">
      <w:pPr>
        <w:pStyle w:val="Prrafodelista"/>
        <w:spacing w:after="0" w:line="240" w:lineRule="auto"/>
        <w:ind w:left="0"/>
        <w:mirrorIndents/>
        <w:jc w:val="both"/>
        <w:rPr>
          <w:rFonts w:ascii="Times New Roman" w:hAnsi="Times New Roman" w:cs="Times New Roman"/>
          <w:bCs/>
          <w:szCs w:val="28"/>
          <w:lang w:val="es-CO" w:eastAsia="es-ES"/>
        </w:rPr>
      </w:pPr>
    </w:p>
    <w:p w:rsidR="00D04B0B" w:rsidRPr="005D08AD" w:rsidRDefault="005D08AD" w:rsidP="005F72BB">
      <w:pPr>
        <w:pStyle w:val="Prrafodelista"/>
        <w:numPr>
          <w:ilvl w:val="0"/>
          <w:numId w:val="6"/>
        </w:numPr>
        <w:spacing w:after="0" w:line="240" w:lineRule="auto"/>
        <w:ind w:left="0" w:firstLine="0"/>
        <w:mirrorIndents/>
        <w:jc w:val="both"/>
        <w:outlineLvl w:val="1"/>
        <w:rPr>
          <w:rFonts w:ascii="Times New Roman" w:hAnsi="Times New Roman" w:cs="Times New Roman"/>
          <w:b/>
          <w:szCs w:val="28"/>
          <w:lang w:val="es-CO"/>
        </w:rPr>
      </w:pPr>
      <w:r w:rsidRPr="005D08AD">
        <w:rPr>
          <w:rFonts w:ascii="Times New Roman" w:hAnsi="Times New Roman" w:cs="Times New Roman"/>
          <w:b/>
          <w:szCs w:val="28"/>
          <w:lang w:val="es-CO"/>
        </w:rPr>
        <w:t>Cues</w:t>
      </w:r>
      <w:r w:rsidRPr="005D08AD">
        <w:rPr>
          <w:rFonts w:ascii="Times New Roman" w:hAnsi="Times New Roman" w:cs="Times New Roman"/>
          <w:b/>
          <w:szCs w:val="28"/>
          <w:lang w:val="es-CO"/>
        </w:rPr>
        <w:t>ti</w:t>
      </w:r>
      <w:r w:rsidRPr="005D08AD">
        <w:rPr>
          <w:rFonts w:ascii="Times New Roman" w:hAnsi="Times New Roman" w:cs="Times New Roman"/>
          <w:b/>
          <w:szCs w:val="28"/>
          <w:lang w:val="es-CO"/>
        </w:rPr>
        <w:t>ón</w:t>
      </w:r>
      <w:r w:rsidRPr="005D08AD">
        <w:rPr>
          <w:rFonts w:ascii="Times New Roman" w:hAnsi="Times New Roman" w:cs="Times New Roman"/>
          <w:b/>
          <w:szCs w:val="28"/>
          <w:lang w:val="es-CO"/>
        </w:rPr>
        <w:t xml:space="preserve"> previa</w:t>
      </w:r>
    </w:p>
    <w:p w:rsidR="00D04B0B" w:rsidRPr="005D08AD" w:rsidRDefault="005D08AD" w:rsidP="005F72BB">
      <w:pPr>
        <w:pStyle w:val="Prrafodelista"/>
        <w:spacing w:after="0" w:line="240" w:lineRule="auto"/>
        <w:ind w:left="0"/>
        <w:mirrorIndents/>
        <w:jc w:val="both"/>
        <w:rPr>
          <w:rFonts w:ascii="Times New Roman" w:hAnsi="Times New Roman" w:cs="Times New Roman"/>
          <w:b/>
          <w:szCs w:val="28"/>
          <w:lang w:val="es-CO" w:eastAsia="es-ES"/>
        </w:rPr>
      </w:pPr>
    </w:p>
    <w:p w:rsidR="00874765" w:rsidRPr="005D08AD" w:rsidRDefault="005D08AD" w:rsidP="005F72BB">
      <w:pPr>
        <w:pStyle w:val="Prrafodelista"/>
        <w:numPr>
          <w:ilvl w:val="0"/>
          <w:numId w:val="4"/>
        </w:numPr>
        <w:spacing w:after="0" w:line="240" w:lineRule="auto"/>
        <w:mirrorIndents/>
        <w:jc w:val="both"/>
        <w:rPr>
          <w:rFonts w:ascii="Times New Roman" w:hAnsi="Times New Roman" w:cs="Times New Roman"/>
          <w:bCs/>
          <w:szCs w:val="28"/>
          <w:lang w:val="es-CO" w:eastAsia="es-ES"/>
        </w:rPr>
      </w:pPr>
      <w:r w:rsidRPr="005D08AD">
        <w:rPr>
          <w:rFonts w:ascii="Times New Roman" w:hAnsi="Times New Roman" w:cs="Times New Roman"/>
          <w:bCs/>
          <w:szCs w:val="28"/>
          <w:lang w:val="es-CO" w:eastAsia="es-ES"/>
        </w:rPr>
        <w:t xml:space="preserve">Antes de abordar el debate constitucional, la Sala </w:t>
      </w:r>
      <w:r w:rsidRPr="005D08AD">
        <w:rPr>
          <w:rFonts w:ascii="Times New Roman" w:hAnsi="Times New Roman" w:cs="Times New Roman"/>
          <w:bCs/>
          <w:szCs w:val="28"/>
          <w:lang w:val="es-CO" w:eastAsia="es-ES"/>
        </w:rPr>
        <w:t xml:space="preserve">se referirá a las </w:t>
      </w:r>
      <w:r w:rsidRPr="005D08AD">
        <w:rPr>
          <w:rFonts w:ascii="Times New Roman" w:hAnsi="Times New Roman" w:cs="Times New Roman"/>
          <w:bCs/>
          <w:szCs w:val="28"/>
          <w:lang w:val="es-CO" w:eastAsia="es-ES"/>
        </w:rPr>
        <w:t>Sentencias C-39</w:t>
      </w:r>
      <w:r w:rsidRPr="005D08AD">
        <w:rPr>
          <w:rFonts w:ascii="Times New Roman" w:hAnsi="Times New Roman" w:cs="Times New Roman"/>
          <w:bCs/>
          <w:szCs w:val="28"/>
          <w:lang w:val="es-CO" w:eastAsia="es-ES"/>
        </w:rPr>
        <w:t>0</w:t>
      </w:r>
      <w:r w:rsidRPr="005D08AD">
        <w:rPr>
          <w:rFonts w:ascii="Times New Roman" w:hAnsi="Times New Roman" w:cs="Times New Roman"/>
          <w:bCs/>
          <w:szCs w:val="28"/>
          <w:lang w:val="es-CO" w:eastAsia="es-ES"/>
        </w:rPr>
        <w:t xml:space="preserve"> de 1996 y C-608 de 2012 </w:t>
      </w:r>
      <w:r w:rsidRPr="005D08AD">
        <w:rPr>
          <w:rFonts w:ascii="Times New Roman" w:hAnsi="Times New Roman" w:cs="Times New Roman"/>
          <w:bCs/>
          <w:szCs w:val="28"/>
          <w:lang w:val="es-CO" w:eastAsia="es-ES"/>
        </w:rPr>
        <w:t>las cuales se</w:t>
      </w:r>
      <w:r w:rsidRPr="005D08AD">
        <w:rPr>
          <w:rFonts w:ascii="Times New Roman" w:hAnsi="Times New Roman" w:cs="Times New Roman"/>
          <w:bCs/>
          <w:szCs w:val="28"/>
          <w:lang w:val="es-CO" w:eastAsia="es-ES"/>
        </w:rPr>
        <w:t xml:space="preserve"> pronunciaron sobre la exequibilidad del impuesto social de </w:t>
      </w:r>
      <w:r w:rsidRPr="005D08AD">
        <w:rPr>
          <w:rFonts w:ascii="Times New Roman" w:hAnsi="Times New Roman" w:cs="Times New Roman"/>
          <w:bCs/>
          <w:szCs w:val="28"/>
          <w:lang w:val="es-CO" w:eastAsia="es-ES"/>
        </w:rPr>
        <w:t>m</w:t>
      </w:r>
      <w:r w:rsidRPr="005D08AD">
        <w:rPr>
          <w:rFonts w:ascii="Times New Roman" w:hAnsi="Times New Roman" w:cs="Times New Roman"/>
          <w:bCs/>
          <w:szCs w:val="28"/>
          <w:lang w:val="es-CO" w:eastAsia="es-ES"/>
        </w:rPr>
        <w:t>uniciones y explosivos</w:t>
      </w:r>
      <w:r w:rsidRPr="005D08AD">
        <w:rPr>
          <w:rFonts w:ascii="Times New Roman" w:hAnsi="Times New Roman" w:cs="Times New Roman"/>
          <w:bCs/>
          <w:szCs w:val="28"/>
          <w:lang w:val="es-CO" w:eastAsia="es-ES"/>
        </w:rPr>
        <w:t xml:space="preserve">. En consecuencia, </w:t>
      </w:r>
      <w:r w:rsidRPr="005D08AD">
        <w:rPr>
          <w:rFonts w:ascii="Times New Roman" w:hAnsi="Times New Roman" w:cs="Times New Roman"/>
          <w:bCs/>
          <w:szCs w:val="28"/>
          <w:lang w:val="es-CO" w:eastAsia="es-ES"/>
        </w:rPr>
        <w:t>verificará</w:t>
      </w:r>
      <w:r w:rsidRPr="005D08AD">
        <w:rPr>
          <w:rFonts w:ascii="Times New Roman" w:hAnsi="Times New Roman" w:cs="Times New Roman"/>
          <w:bCs/>
          <w:szCs w:val="28"/>
          <w:lang w:val="es-CO" w:eastAsia="es-ES"/>
        </w:rPr>
        <w:t xml:space="preserve"> si</w:t>
      </w:r>
      <w:r w:rsidRPr="005D08AD">
        <w:rPr>
          <w:rFonts w:ascii="Times New Roman" w:hAnsi="Times New Roman" w:cs="Times New Roman"/>
          <w:bCs/>
          <w:szCs w:val="28"/>
          <w:lang w:val="es-CO" w:eastAsia="es-ES"/>
        </w:rPr>
        <w:t xml:space="preserve"> </w:t>
      </w:r>
      <w:r w:rsidRPr="005D08AD">
        <w:rPr>
          <w:rFonts w:ascii="Times New Roman" w:hAnsi="Times New Roman" w:cs="Times New Roman"/>
          <w:bCs/>
          <w:szCs w:val="28"/>
          <w:lang w:val="es-CO" w:eastAsia="es-ES"/>
        </w:rPr>
        <w:t xml:space="preserve">en </w:t>
      </w:r>
      <w:r w:rsidRPr="005D08AD">
        <w:rPr>
          <w:rFonts w:ascii="Times New Roman" w:hAnsi="Times New Roman" w:cs="Times New Roman"/>
          <w:bCs/>
          <w:szCs w:val="28"/>
          <w:lang w:val="es-CO" w:eastAsia="es-ES"/>
        </w:rPr>
        <w:t>el presente caso se configura el fenómeno de</w:t>
      </w:r>
      <w:r w:rsidRPr="005D08AD">
        <w:rPr>
          <w:rFonts w:ascii="Times New Roman" w:hAnsi="Times New Roman" w:cs="Times New Roman"/>
          <w:bCs/>
          <w:szCs w:val="28"/>
          <w:lang w:val="es-CO" w:eastAsia="es-ES"/>
        </w:rPr>
        <w:t xml:space="preserve"> cosa juzgada constitucional</w:t>
      </w:r>
      <w:r w:rsidRPr="005D08AD">
        <w:rPr>
          <w:rFonts w:ascii="Times New Roman" w:hAnsi="Times New Roman" w:cs="Times New Roman"/>
          <w:bCs/>
          <w:szCs w:val="28"/>
          <w:lang w:val="es-CO" w:eastAsia="es-ES"/>
        </w:rPr>
        <w:t>.</w:t>
      </w:r>
      <w:r w:rsidRPr="005D08AD">
        <w:rPr>
          <w:rFonts w:ascii="Times New Roman" w:hAnsi="Times New Roman" w:cs="Times New Roman"/>
          <w:bCs/>
          <w:szCs w:val="28"/>
          <w:lang w:val="es-CO" w:eastAsia="es-ES"/>
        </w:rPr>
        <w:t xml:space="preserve"> </w:t>
      </w:r>
    </w:p>
    <w:p w:rsidR="000F460E" w:rsidRPr="005D08AD" w:rsidRDefault="005D08AD" w:rsidP="000F460E">
      <w:pPr>
        <w:pStyle w:val="Prrafodelista"/>
        <w:spacing w:after="0" w:line="240" w:lineRule="auto"/>
        <w:ind w:left="0"/>
        <w:mirrorIndents/>
        <w:jc w:val="both"/>
        <w:rPr>
          <w:rFonts w:ascii="Times New Roman" w:hAnsi="Times New Roman" w:cs="Times New Roman"/>
          <w:bCs/>
          <w:szCs w:val="28"/>
          <w:lang w:val="es-CO" w:eastAsia="es-ES"/>
        </w:rPr>
      </w:pPr>
    </w:p>
    <w:p w:rsidR="00E179DE" w:rsidRPr="005D08AD" w:rsidRDefault="005D08AD" w:rsidP="005F72BB">
      <w:pPr>
        <w:pStyle w:val="Prrafodelista"/>
        <w:numPr>
          <w:ilvl w:val="0"/>
          <w:numId w:val="4"/>
        </w:numPr>
        <w:spacing w:after="0" w:line="240" w:lineRule="auto"/>
        <w:mirrorIndents/>
        <w:jc w:val="both"/>
        <w:rPr>
          <w:rFonts w:ascii="Times New Roman" w:hAnsi="Times New Roman" w:cs="Times New Roman"/>
          <w:b/>
          <w:szCs w:val="28"/>
          <w:lang w:val="es-CO" w:eastAsia="es-ES"/>
        </w:rPr>
      </w:pPr>
      <w:r w:rsidRPr="005D08AD">
        <w:rPr>
          <w:rFonts w:ascii="Times New Roman" w:hAnsi="Times New Roman" w:cs="Times New Roman"/>
          <w:bCs/>
          <w:i/>
          <w:iCs/>
          <w:szCs w:val="28"/>
          <w:lang w:val="es-CO" w:eastAsia="es-ES"/>
        </w:rPr>
        <w:t>Sobre el a</w:t>
      </w:r>
      <w:r w:rsidRPr="005D08AD">
        <w:rPr>
          <w:rFonts w:ascii="Times New Roman" w:hAnsi="Times New Roman" w:cs="Times New Roman"/>
          <w:bCs/>
          <w:i/>
          <w:iCs/>
          <w:szCs w:val="28"/>
          <w:lang w:val="es-CO" w:eastAsia="es-ES"/>
        </w:rPr>
        <w:t>lcance de la cosa juzgada</w:t>
      </w:r>
      <w:r w:rsidRPr="005D08AD">
        <w:rPr>
          <w:rFonts w:ascii="Times New Roman" w:hAnsi="Times New Roman" w:cs="Times New Roman"/>
          <w:bCs/>
          <w:i/>
          <w:iCs/>
          <w:szCs w:val="28"/>
          <w:lang w:val="es-CO" w:eastAsia="es-ES"/>
        </w:rPr>
        <w:t xml:space="preserve"> constitucional</w:t>
      </w:r>
      <w:r w:rsidRPr="005D08AD">
        <w:rPr>
          <w:rFonts w:ascii="Times New Roman" w:hAnsi="Times New Roman" w:cs="Times New Roman"/>
          <w:bCs/>
          <w:i/>
          <w:iCs/>
          <w:szCs w:val="28"/>
          <w:lang w:val="es-CO" w:eastAsia="es-ES"/>
        </w:rPr>
        <w:t xml:space="preserve">. </w:t>
      </w:r>
      <w:r w:rsidRPr="005D08AD">
        <w:rPr>
          <w:rFonts w:ascii="Times New Roman" w:hAnsi="Times New Roman" w:cs="Times New Roman"/>
          <w:bCs/>
          <w:szCs w:val="28"/>
          <w:lang w:val="es-CO" w:eastAsia="es-ES"/>
        </w:rPr>
        <w:t>La cosa juzgada constitucional es una institución jurídic</w:t>
      </w:r>
      <w:r w:rsidRPr="005D08AD">
        <w:rPr>
          <w:rFonts w:ascii="Times New Roman" w:hAnsi="Times New Roman" w:cs="Times New Roman"/>
          <w:bCs/>
          <w:szCs w:val="28"/>
          <w:lang w:val="es-CO" w:eastAsia="es-ES"/>
        </w:rPr>
        <w:t>o-</w:t>
      </w:r>
      <w:r w:rsidRPr="005D08AD">
        <w:rPr>
          <w:rFonts w:ascii="Times New Roman" w:hAnsi="Times New Roman" w:cs="Times New Roman"/>
          <w:bCs/>
          <w:szCs w:val="28"/>
          <w:lang w:val="es-CO" w:eastAsia="es-ES"/>
        </w:rPr>
        <w:t xml:space="preserve">procesal que se encuentra consagrada en los artículos 243 de la </w:t>
      </w:r>
      <w:r w:rsidRPr="005D08AD">
        <w:rPr>
          <w:rFonts w:ascii="Times New Roman" w:hAnsi="Times New Roman" w:cs="Times New Roman"/>
          <w:bCs/>
          <w:szCs w:val="28"/>
          <w:lang w:val="es-CO" w:eastAsia="es-ES"/>
        </w:rPr>
        <w:t>Constitución, 21 del Decreto Ley 2067 de 1991 y 46 de la Ley 270 de 1996</w:t>
      </w:r>
      <w:r w:rsidRPr="005D08AD">
        <w:rPr>
          <w:rFonts w:ascii="Times New Roman" w:hAnsi="Times New Roman" w:cs="Times New Roman"/>
          <w:bCs/>
          <w:szCs w:val="28"/>
          <w:lang w:val="es-CO" w:eastAsia="es-ES"/>
        </w:rPr>
        <w:t xml:space="preserve">. </w:t>
      </w:r>
      <w:r w:rsidRPr="005D08AD">
        <w:rPr>
          <w:rFonts w:ascii="Times New Roman" w:hAnsi="Times New Roman" w:cs="Times New Roman"/>
          <w:bCs/>
          <w:szCs w:val="28"/>
          <w:lang w:val="es-CO" w:eastAsia="es-ES"/>
        </w:rPr>
        <w:t>En virtud de ella,</w:t>
      </w:r>
      <w:r w:rsidRPr="005D08AD">
        <w:rPr>
          <w:rFonts w:ascii="Times New Roman" w:hAnsi="Times New Roman" w:cs="Times New Roman"/>
          <w:bCs/>
          <w:szCs w:val="28"/>
          <w:lang w:val="es-CO" w:eastAsia="es-ES"/>
        </w:rPr>
        <w:t xml:space="preserve"> se otorga a las “decisiones plasmadas en una sentencia de constitucionalidad el carácter de inmutable, vinculante y definitiva”</w:t>
      </w:r>
      <w:r w:rsidRPr="005D08AD">
        <w:rPr>
          <w:rStyle w:val="Refdenotaalpie"/>
          <w:rFonts w:ascii="Times New Roman" w:hAnsi="Times New Roman"/>
          <w:bCs/>
          <w:szCs w:val="28"/>
          <w:lang w:val="es-CO" w:eastAsia="es-ES"/>
        </w:rPr>
        <w:footnoteReference w:id="27"/>
      </w:r>
      <w:r w:rsidRPr="005D08AD">
        <w:rPr>
          <w:rFonts w:ascii="Times New Roman" w:hAnsi="Times New Roman" w:cs="Times New Roman"/>
          <w:bCs/>
          <w:szCs w:val="28"/>
          <w:lang w:val="es-CO" w:eastAsia="es-ES"/>
        </w:rPr>
        <w:t xml:space="preserve">. </w:t>
      </w:r>
    </w:p>
    <w:p w:rsidR="00E179DE" w:rsidRPr="005D08AD" w:rsidRDefault="005D08AD" w:rsidP="005F72BB">
      <w:pPr>
        <w:pStyle w:val="Prrafodelista"/>
        <w:spacing w:after="0" w:line="240" w:lineRule="auto"/>
        <w:ind w:left="0"/>
        <w:mirrorIndents/>
        <w:jc w:val="both"/>
        <w:rPr>
          <w:rFonts w:ascii="Times New Roman" w:hAnsi="Times New Roman" w:cs="Times New Roman"/>
          <w:b/>
          <w:szCs w:val="28"/>
          <w:lang w:val="es-CO" w:eastAsia="es-ES"/>
        </w:rPr>
      </w:pPr>
    </w:p>
    <w:p w:rsidR="003E17E3" w:rsidRPr="005D08AD" w:rsidRDefault="005D08AD" w:rsidP="005F72BB">
      <w:pPr>
        <w:pStyle w:val="Prrafodelista"/>
        <w:numPr>
          <w:ilvl w:val="0"/>
          <w:numId w:val="4"/>
        </w:numPr>
        <w:spacing w:after="0" w:line="240" w:lineRule="auto"/>
        <w:mirrorIndents/>
        <w:jc w:val="both"/>
        <w:rPr>
          <w:rFonts w:ascii="Times New Roman" w:hAnsi="Times New Roman" w:cs="Times New Roman"/>
          <w:b/>
          <w:szCs w:val="28"/>
          <w:lang w:val="es-CO" w:eastAsia="es-ES"/>
        </w:rPr>
      </w:pPr>
      <w:r w:rsidRPr="005D08AD">
        <w:rPr>
          <w:rFonts w:ascii="Times New Roman" w:hAnsi="Times New Roman" w:cs="Times New Roman"/>
          <w:bCs/>
          <w:szCs w:val="28"/>
          <w:lang w:val="es-CO" w:eastAsia="es-ES"/>
        </w:rPr>
        <w:t xml:space="preserve">En </w:t>
      </w:r>
      <w:r w:rsidRPr="005D08AD">
        <w:rPr>
          <w:rFonts w:ascii="Times New Roman" w:hAnsi="Times New Roman" w:cs="Times New Roman"/>
          <w:bCs/>
          <w:szCs w:val="28"/>
          <w:lang w:val="es-CO" w:eastAsia="es-ES"/>
        </w:rPr>
        <w:t>esta línea,</w:t>
      </w:r>
      <w:r w:rsidRPr="005D08AD">
        <w:rPr>
          <w:rFonts w:ascii="Times New Roman" w:hAnsi="Times New Roman" w:cs="Times New Roman"/>
          <w:bCs/>
          <w:szCs w:val="28"/>
          <w:lang w:val="es-CO" w:eastAsia="es-ES"/>
        </w:rPr>
        <w:t xml:space="preserve"> la cosa juzgada </w:t>
      </w:r>
      <w:r w:rsidRPr="005D08AD">
        <w:rPr>
          <w:rFonts w:ascii="Times New Roman" w:hAnsi="Times New Roman" w:cs="Times New Roman"/>
          <w:bCs/>
          <w:szCs w:val="28"/>
          <w:lang w:val="es-CO" w:eastAsia="es-ES"/>
        </w:rPr>
        <w:t xml:space="preserve">constitucional tiene </w:t>
      </w:r>
      <w:r w:rsidRPr="005D08AD">
        <w:rPr>
          <w:rFonts w:ascii="Times New Roman" w:hAnsi="Times New Roman" w:cs="Times New Roman"/>
          <w:bCs/>
          <w:szCs w:val="28"/>
          <w:lang w:val="es-CO" w:eastAsia="es-ES"/>
        </w:rPr>
        <w:t>por efecto, en principio, impedir que el juez constitucional vuelva a conocer o decidir sobre un aspecto ya decidido</w:t>
      </w:r>
      <w:r w:rsidRPr="005D08AD">
        <w:rPr>
          <w:rFonts w:ascii="Times New Roman" w:hAnsi="Times New Roman" w:cs="Times New Roman"/>
          <w:bCs/>
          <w:szCs w:val="28"/>
          <w:lang w:val="es-CO" w:eastAsia="es-ES"/>
        </w:rPr>
        <w:t xml:space="preserve">. Lo anterior con la finalidad de proteger la seguridad jurídica respecto </w:t>
      </w:r>
      <w:r w:rsidRPr="005D08AD">
        <w:rPr>
          <w:rFonts w:ascii="Times New Roman" w:hAnsi="Times New Roman" w:cs="Times New Roman"/>
          <w:bCs/>
          <w:szCs w:val="28"/>
          <w:lang w:val="es-CO" w:eastAsia="es-ES"/>
        </w:rPr>
        <w:t>de</w:t>
      </w:r>
      <w:r w:rsidRPr="005D08AD">
        <w:rPr>
          <w:rFonts w:ascii="Times New Roman" w:hAnsi="Times New Roman" w:cs="Times New Roman"/>
          <w:bCs/>
          <w:szCs w:val="28"/>
          <w:lang w:val="es-CO" w:eastAsia="es-ES"/>
        </w:rPr>
        <w:t xml:space="preserve"> las reglas que rigen la actuación de las a</w:t>
      </w:r>
      <w:r w:rsidRPr="005D08AD">
        <w:rPr>
          <w:rFonts w:ascii="Times New Roman" w:hAnsi="Times New Roman" w:cs="Times New Roman"/>
          <w:bCs/>
          <w:szCs w:val="28"/>
          <w:lang w:val="es-CO" w:eastAsia="es-ES"/>
        </w:rPr>
        <w:t>utoridades y ciudadanos, salvaguardar la buena fe en punto a la consistencia de las decisiones de la Corte</w:t>
      </w:r>
      <w:r w:rsidRPr="005D08AD">
        <w:rPr>
          <w:rFonts w:ascii="Times New Roman" w:hAnsi="Times New Roman" w:cs="Times New Roman"/>
          <w:bCs/>
          <w:szCs w:val="28"/>
          <w:lang w:val="es-CO" w:eastAsia="es-ES"/>
        </w:rPr>
        <w:t xml:space="preserve"> y </w:t>
      </w:r>
      <w:r w:rsidRPr="005D08AD">
        <w:rPr>
          <w:rFonts w:ascii="Times New Roman" w:hAnsi="Times New Roman" w:cs="Times New Roman"/>
          <w:bCs/>
          <w:szCs w:val="28"/>
          <w:lang w:val="es-CO" w:eastAsia="es-ES"/>
        </w:rPr>
        <w:t xml:space="preserve">garantizar la autonomía judicial de forma que se impida que luego de estudiado un asunto por el juez competente y siguiendo las reglas vigentes </w:t>
      </w:r>
      <w:r w:rsidRPr="005D08AD">
        <w:rPr>
          <w:rFonts w:ascii="Times New Roman" w:hAnsi="Times New Roman" w:cs="Times New Roman"/>
          <w:bCs/>
          <w:szCs w:val="28"/>
          <w:lang w:val="es-CO" w:eastAsia="es-ES"/>
        </w:rPr>
        <w:t>este sea nuevamente dec</w:t>
      </w:r>
      <w:r w:rsidRPr="005D08AD">
        <w:rPr>
          <w:rFonts w:ascii="Times New Roman" w:hAnsi="Times New Roman" w:cs="Times New Roman"/>
          <w:bCs/>
          <w:szCs w:val="28"/>
          <w:lang w:val="es-CO" w:eastAsia="es-ES"/>
        </w:rPr>
        <w:t>idido</w:t>
      </w:r>
      <w:r w:rsidRPr="005D08AD">
        <w:rPr>
          <w:rStyle w:val="Refdenotaalpie"/>
          <w:rFonts w:ascii="Times New Roman" w:hAnsi="Times New Roman"/>
          <w:bCs/>
          <w:szCs w:val="28"/>
          <w:lang w:val="es-CO" w:eastAsia="es-ES"/>
        </w:rPr>
        <w:footnoteReference w:id="28"/>
      </w:r>
      <w:r w:rsidRPr="005D08AD">
        <w:rPr>
          <w:rFonts w:ascii="Times New Roman" w:hAnsi="Times New Roman" w:cs="Times New Roman"/>
          <w:bCs/>
          <w:szCs w:val="28"/>
          <w:lang w:val="es-CO" w:eastAsia="es-ES"/>
        </w:rPr>
        <w:t xml:space="preserve">. </w:t>
      </w:r>
    </w:p>
    <w:p w:rsidR="00EB37D4" w:rsidRPr="005D08AD" w:rsidRDefault="005D08AD" w:rsidP="005F72BB">
      <w:pPr>
        <w:pStyle w:val="Prrafodelista"/>
        <w:spacing w:after="0" w:line="240" w:lineRule="auto"/>
        <w:ind w:left="0"/>
        <w:mirrorIndents/>
        <w:jc w:val="both"/>
        <w:rPr>
          <w:rFonts w:ascii="Times New Roman" w:hAnsi="Times New Roman" w:cs="Times New Roman"/>
          <w:b/>
          <w:szCs w:val="28"/>
          <w:lang w:val="es-CO" w:eastAsia="es-ES"/>
        </w:rPr>
      </w:pPr>
    </w:p>
    <w:p w:rsidR="00EB37D4" w:rsidRPr="005D08AD" w:rsidRDefault="005D08AD" w:rsidP="005F72BB">
      <w:pPr>
        <w:pStyle w:val="Prrafodelista"/>
        <w:numPr>
          <w:ilvl w:val="0"/>
          <w:numId w:val="4"/>
        </w:numPr>
        <w:spacing w:after="0" w:line="240" w:lineRule="auto"/>
        <w:mirrorIndents/>
        <w:jc w:val="both"/>
        <w:rPr>
          <w:rFonts w:ascii="Times New Roman" w:hAnsi="Times New Roman" w:cs="Times New Roman"/>
          <w:bCs/>
          <w:szCs w:val="28"/>
          <w:lang w:val="es-CO" w:eastAsia="es-ES"/>
        </w:rPr>
      </w:pPr>
      <w:r w:rsidRPr="005D08AD">
        <w:rPr>
          <w:rFonts w:ascii="Times New Roman" w:hAnsi="Times New Roman" w:cs="Times New Roman"/>
          <w:bCs/>
          <w:szCs w:val="28"/>
          <w:lang w:val="es-CO" w:eastAsia="es-ES"/>
        </w:rPr>
        <w:t xml:space="preserve">Ahora bien, la cosa juzgada constitucional se determina a partir de tres elementos, a saber: (i) </w:t>
      </w:r>
      <w:r w:rsidRPr="005D08AD">
        <w:rPr>
          <w:rFonts w:ascii="Times New Roman" w:hAnsi="Times New Roman" w:cs="Times New Roman"/>
          <w:bCs/>
          <w:szCs w:val="28"/>
          <w:lang w:val="es-CO" w:eastAsia="es-ES"/>
        </w:rPr>
        <w:t xml:space="preserve">identidad de objeto, es decir </w:t>
      </w:r>
      <w:r w:rsidRPr="005D08AD">
        <w:rPr>
          <w:rFonts w:ascii="Times New Roman" w:hAnsi="Times New Roman" w:cs="Times New Roman"/>
          <w:bCs/>
          <w:szCs w:val="28"/>
          <w:lang w:val="es-CO" w:eastAsia="es-ES"/>
        </w:rPr>
        <w:t>la acusación se propone sobre el mismo contenido normativo que ya fue estudiado en una sentencia</w:t>
      </w:r>
      <w:r w:rsidRPr="005D08AD">
        <w:rPr>
          <w:rFonts w:ascii="Times New Roman" w:hAnsi="Times New Roman" w:cs="Times New Roman"/>
          <w:bCs/>
          <w:szCs w:val="28"/>
          <w:lang w:val="es-CO" w:eastAsia="es-ES"/>
        </w:rPr>
        <w:t xml:space="preserve"> anterior; (ii) </w:t>
      </w:r>
      <w:r w:rsidRPr="005D08AD">
        <w:rPr>
          <w:rFonts w:ascii="Times New Roman" w:hAnsi="Times New Roman" w:cs="Times New Roman"/>
          <w:bCs/>
          <w:szCs w:val="28"/>
          <w:lang w:val="es-CO" w:eastAsia="es-ES"/>
        </w:rPr>
        <w:t>identidad de cargos, esto es</w:t>
      </w:r>
      <w:r w:rsidRPr="005D08AD">
        <w:rPr>
          <w:rFonts w:ascii="Times New Roman" w:hAnsi="Times New Roman" w:cs="Times New Roman"/>
          <w:bCs/>
          <w:szCs w:val="28"/>
          <w:lang w:val="es-CO" w:eastAsia="es-ES"/>
        </w:rPr>
        <w:t>,</w:t>
      </w:r>
      <w:r w:rsidRPr="005D08AD">
        <w:rPr>
          <w:rFonts w:ascii="Times New Roman" w:hAnsi="Times New Roman" w:cs="Times New Roman"/>
          <w:bCs/>
          <w:szCs w:val="28"/>
          <w:lang w:val="es-CO" w:eastAsia="es-ES"/>
        </w:rPr>
        <w:t xml:space="preserve"> que el </w:t>
      </w:r>
      <w:r w:rsidRPr="005D08AD">
        <w:rPr>
          <w:rFonts w:ascii="Times New Roman" w:hAnsi="Times New Roman" w:cs="Times New Roman"/>
          <w:bCs/>
          <w:szCs w:val="28"/>
          <w:lang w:val="es-CO" w:eastAsia="es-ES"/>
        </w:rPr>
        <w:t>análisis</w:t>
      </w:r>
      <w:r w:rsidRPr="005D08AD">
        <w:rPr>
          <w:rFonts w:ascii="Times New Roman" w:hAnsi="Times New Roman" w:cs="Times New Roman"/>
          <w:bCs/>
          <w:szCs w:val="28"/>
          <w:lang w:val="es-CO" w:eastAsia="es-ES"/>
        </w:rPr>
        <w:t xml:space="preserve"> propuesto sea por las mimas razones o cuestionamientos analizados en </w:t>
      </w:r>
      <w:r w:rsidRPr="005D08AD">
        <w:rPr>
          <w:rFonts w:ascii="Times New Roman" w:hAnsi="Times New Roman" w:cs="Times New Roman"/>
          <w:bCs/>
          <w:szCs w:val="28"/>
          <w:lang w:val="es-CO" w:eastAsia="es-ES"/>
        </w:rPr>
        <w:t>la decisión</w:t>
      </w:r>
      <w:r w:rsidRPr="005D08AD">
        <w:rPr>
          <w:rFonts w:ascii="Times New Roman" w:hAnsi="Times New Roman" w:cs="Times New Roman"/>
          <w:bCs/>
          <w:szCs w:val="28"/>
          <w:lang w:val="es-CO" w:eastAsia="es-ES"/>
        </w:rPr>
        <w:t xml:space="preserve"> antecedente </w:t>
      </w:r>
      <w:r w:rsidRPr="005D08AD">
        <w:rPr>
          <w:rFonts w:ascii="Times New Roman" w:hAnsi="Times New Roman" w:cs="Times New Roman"/>
          <w:bCs/>
          <w:szCs w:val="28"/>
          <w:lang w:val="es-CO" w:eastAsia="es-ES"/>
        </w:rPr>
        <w:t xml:space="preserve">y; (iii) </w:t>
      </w:r>
      <w:r w:rsidRPr="005D08AD">
        <w:rPr>
          <w:rFonts w:ascii="Times New Roman" w:hAnsi="Times New Roman" w:cs="Times New Roman"/>
          <w:bCs/>
          <w:szCs w:val="28"/>
          <w:lang w:val="es-CO" w:eastAsia="es-ES"/>
        </w:rPr>
        <w:t xml:space="preserve">identidad en </w:t>
      </w:r>
      <w:r w:rsidRPr="005D08AD">
        <w:rPr>
          <w:rFonts w:ascii="Times New Roman" w:hAnsi="Times New Roman" w:cs="Times New Roman"/>
          <w:bCs/>
          <w:szCs w:val="28"/>
          <w:lang w:val="es-CO" w:eastAsia="es-ES"/>
        </w:rPr>
        <w:t xml:space="preserve">el parámetro </w:t>
      </w:r>
      <w:r w:rsidRPr="005D08AD">
        <w:rPr>
          <w:rFonts w:ascii="Times New Roman" w:hAnsi="Times New Roman" w:cs="Times New Roman"/>
          <w:bCs/>
          <w:szCs w:val="28"/>
          <w:lang w:val="es-CO" w:eastAsia="es-ES"/>
        </w:rPr>
        <w:t xml:space="preserve">de control </w:t>
      </w:r>
      <w:r w:rsidRPr="005D08AD">
        <w:rPr>
          <w:rFonts w:ascii="Times New Roman" w:hAnsi="Times New Roman" w:cs="Times New Roman"/>
          <w:bCs/>
          <w:szCs w:val="28"/>
          <w:lang w:val="es-CO" w:eastAsia="es-ES"/>
        </w:rPr>
        <w:t>constitucional</w:t>
      </w:r>
      <w:r w:rsidRPr="005D08AD">
        <w:rPr>
          <w:rStyle w:val="Refdenotaalpie"/>
          <w:rFonts w:ascii="Times New Roman" w:hAnsi="Times New Roman"/>
          <w:bCs/>
          <w:szCs w:val="28"/>
          <w:lang w:val="es-CO" w:eastAsia="es-ES"/>
        </w:rPr>
        <w:footnoteReference w:id="29"/>
      </w:r>
      <w:r w:rsidRPr="005D08AD">
        <w:rPr>
          <w:rFonts w:ascii="Times New Roman" w:hAnsi="Times New Roman" w:cs="Times New Roman"/>
          <w:bCs/>
          <w:szCs w:val="28"/>
          <w:lang w:val="es-CO" w:eastAsia="es-ES"/>
        </w:rPr>
        <w:t xml:space="preserve">. </w:t>
      </w:r>
    </w:p>
    <w:p w:rsidR="00EB37D4" w:rsidRPr="005D08AD" w:rsidRDefault="005D08AD" w:rsidP="005F72BB">
      <w:pPr>
        <w:pStyle w:val="Prrafodelista"/>
        <w:spacing w:after="0" w:line="240" w:lineRule="auto"/>
        <w:ind w:left="0"/>
        <w:mirrorIndents/>
        <w:rPr>
          <w:rFonts w:ascii="Times New Roman" w:hAnsi="Times New Roman" w:cs="Times New Roman"/>
          <w:bCs/>
          <w:szCs w:val="28"/>
          <w:lang w:val="es-CO" w:eastAsia="es-ES"/>
        </w:rPr>
      </w:pPr>
    </w:p>
    <w:p w:rsidR="00893CA9"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bCs/>
          <w:szCs w:val="28"/>
          <w:lang w:val="es-CO" w:eastAsia="es-ES"/>
        </w:rPr>
        <w:t>Respecto al primer elemento</w:t>
      </w:r>
      <w:r w:rsidRPr="005D08AD">
        <w:rPr>
          <w:rFonts w:ascii="Times New Roman" w:hAnsi="Times New Roman" w:cs="Times New Roman"/>
          <w:bCs/>
          <w:szCs w:val="28"/>
          <w:lang w:val="es-CO" w:eastAsia="es-ES"/>
        </w:rPr>
        <w:t xml:space="preserve"> (</w:t>
      </w:r>
      <w:r w:rsidRPr="005D08AD">
        <w:rPr>
          <w:rFonts w:ascii="Times New Roman" w:hAnsi="Times New Roman" w:cs="Times New Roman"/>
          <w:bCs/>
          <w:szCs w:val="28"/>
          <w:lang w:val="es-CO" w:eastAsia="es-ES"/>
        </w:rPr>
        <w:t>identidad de objeto</w:t>
      </w:r>
      <w:r w:rsidRPr="005D08AD">
        <w:rPr>
          <w:rFonts w:ascii="Times New Roman" w:hAnsi="Times New Roman" w:cs="Times New Roman"/>
          <w:bCs/>
          <w:szCs w:val="28"/>
          <w:lang w:val="es-CO" w:eastAsia="es-ES"/>
        </w:rPr>
        <w:t>),</w:t>
      </w:r>
      <w:r w:rsidRPr="005D08AD">
        <w:rPr>
          <w:rFonts w:ascii="Times New Roman" w:hAnsi="Times New Roman" w:cs="Times New Roman"/>
          <w:bCs/>
          <w:szCs w:val="28"/>
          <w:lang w:val="es-CO" w:eastAsia="es-ES"/>
        </w:rPr>
        <w:t xml:space="preserve"> </w:t>
      </w:r>
      <w:r w:rsidRPr="005D08AD">
        <w:rPr>
          <w:rFonts w:ascii="Times New Roman" w:hAnsi="Times New Roman" w:cs="Times New Roman"/>
          <w:bCs/>
          <w:szCs w:val="28"/>
          <w:lang w:val="es-CO" w:eastAsia="es-ES"/>
        </w:rPr>
        <w:t xml:space="preserve">la cosa juzgada </w:t>
      </w:r>
      <w:r w:rsidRPr="005D08AD">
        <w:rPr>
          <w:rFonts w:ascii="Times New Roman" w:hAnsi="Times New Roman" w:cs="Times New Roman"/>
          <w:bCs/>
          <w:szCs w:val="28"/>
          <w:lang w:val="es-CO" w:eastAsia="es-ES"/>
        </w:rPr>
        <w:t xml:space="preserve">constitucional </w:t>
      </w:r>
      <w:r w:rsidRPr="005D08AD">
        <w:rPr>
          <w:rFonts w:ascii="Times New Roman" w:hAnsi="Times New Roman" w:cs="Times New Roman"/>
          <w:bCs/>
          <w:szCs w:val="28"/>
          <w:lang w:val="es-CO" w:eastAsia="es-ES"/>
        </w:rPr>
        <w:t>puede ser formal</w:t>
      </w:r>
      <w:r w:rsidRPr="005D08AD">
        <w:rPr>
          <w:rStyle w:val="Refdenotaalpie"/>
          <w:rFonts w:ascii="Times New Roman" w:hAnsi="Times New Roman"/>
          <w:bCs/>
          <w:szCs w:val="28"/>
          <w:lang w:val="es-CO" w:eastAsia="es-ES"/>
        </w:rPr>
        <w:footnoteReference w:id="30"/>
      </w:r>
      <w:r w:rsidRPr="005D08AD">
        <w:rPr>
          <w:rFonts w:ascii="Times New Roman" w:hAnsi="Times New Roman" w:cs="Times New Roman"/>
          <w:bCs/>
          <w:szCs w:val="28"/>
          <w:lang w:val="es-CO" w:eastAsia="es-ES"/>
        </w:rPr>
        <w:t xml:space="preserve"> o material</w:t>
      </w:r>
      <w:r w:rsidRPr="005D08AD">
        <w:rPr>
          <w:rStyle w:val="Refdenotaalpie"/>
          <w:rFonts w:ascii="Times New Roman" w:hAnsi="Times New Roman"/>
          <w:bCs/>
          <w:szCs w:val="28"/>
          <w:lang w:val="es-CO" w:eastAsia="es-ES"/>
        </w:rPr>
        <w:footnoteReference w:id="31"/>
      </w:r>
      <w:r w:rsidRPr="005D08AD">
        <w:rPr>
          <w:rFonts w:ascii="Times New Roman" w:hAnsi="Times New Roman" w:cs="Times New Roman"/>
          <w:bCs/>
          <w:szCs w:val="28"/>
          <w:lang w:val="es-CO" w:eastAsia="es-ES"/>
        </w:rPr>
        <w:t>. La primera se configura cuando una norma estudiada es la misma que es llevada a un estudio posterior</w:t>
      </w:r>
      <w:r w:rsidRPr="005D08AD">
        <w:rPr>
          <w:rFonts w:ascii="Times New Roman" w:hAnsi="Times New Roman" w:cs="Times New Roman"/>
          <w:bCs/>
          <w:szCs w:val="28"/>
          <w:lang w:val="es-CO" w:eastAsia="es-ES"/>
        </w:rPr>
        <w:t>.</w:t>
      </w:r>
      <w:r w:rsidRPr="005D08AD">
        <w:rPr>
          <w:rFonts w:ascii="Times New Roman" w:hAnsi="Times New Roman" w:cs="Times New Roman"/>
          <w:bCs/>
          <w:szCs w:val="28"/>
          <w:lang w:val="es-CO" w:eastAsia="es-ES"/>
        </w:rPr>
        <w:t xml:space="preserve"> </w:t>
      </w:r>
      <w:r w:rsidRPr="005D08AD">
        <w:rPr>
          <w:rFonts w:ascii="Times New Roman" w:hAnsi="Times New Roman" w:cs="Times New Roman"/>
          <w:bCs/>
          <w:szCs w:val="28"/>
          <w:lang w:val="es-CO" w:eastAsia="es-ES"/>
        </w:rPr>
        <w:t>L</w:t>
      </w:r>
      <w:r w:rsidRPr="005D08AD">
        <w:rPr>
          <w:rFonts w:ascii="Times New Roman" w:hAnsi="Times New Roman" w:cs="Times New Roman"/>
          <w:bCs/>
          <w:szCs w:val="28"/>
          <w:lang w:val="es-CO" w:eastAsia="es-ES"/>
        </w:rPr>
        <w:t>a segunda</w:t>
      </w:r>
      <w:r w:rsidRPr="005D08AD">
        <w:rPr>
          <w:rFonts w:ascii="Times New Roman" w:hAnsi="Times New Roman" w:cs="Times New Roman"/>
          <w:bCs/>
          <w:szCs w:val="28"/>
          <w:lang w:val="es-CO" w:eastAsia="es-ES"/>
        </w:rPr>
        <w:t xml:space="preserve">, por su parte, </w:t>
      </w:r>
      <w:r w:rsidRPr="005D08AD">
        <w:rPr>
          <w:rFonts w:ascii="Times New Roman" w:hAnsi="Times New Roman" w:cs="Times New Roman"/>
          <w:bCs/>
          <w:szCs w:val="28"/>
          <w:lang w:val="es-CO" w:eastAsia="es-ES"/>
        </w:rPr>
        <w:t>se da cuando</w:t>
      </w:r>
      <w:r w:rsidRPr="005D08AD">
        <w:rPr>
          <w:rFonts w:ascii="Times New Roman" w:hAnsi="Times New Roman" w:cs="Times New Roman"/>
          <w:bCs/>
          <w:szCs w:val="28"/>
          <w:lang w:val="es-CO" w:eastAsia="es-ES"/>
        </w:rPr>
        <w:t xml:space="preserve"> el pronunciamiento de la Corte </w:t>
      </w:r>
      <w:r w:rsidRPr="005D08AD">
        <w:rPr>
          <w:rFonts w:ascii="Times New Roman" w:hAnsi="Times New Roman" w:cs="Times New Roman"/>
          <w:bCs/>
          <w:szCs w:val="28"/>
          <w:lang w:val="es-CO" w:eastAsia="es-ES"/>
        </w:rPr>
        <w:t xml:space="preserve">se dio </w:t>
      </w:r>
      <w:r w:rsidRPr="005D08AD">
        <w:rPr>
          <w:rFonts w:ascii="Times New Roman" w:hAnsi="Times New Roman" w:cs="Times New Roman"/>
          <w:bCs/>
          <w:szCs w:val="28"/>
          <w:lang w:val="es-CO" w:eastAsia="es-ES"/>
        </w:rPr>
        <w:t>respecto de</w:t>
      </w:r>
      <w:r w:rsidRPr="005D08AD">
        <w:rPr>
          <w:rFonts w:ascii="Times New Roman" w:hAnsi="Times New Roman" w:cs="Times New Roman"/>
          <w:bCs/>
          <w:szCs w:val="28"/>
          <w:lang w:val="es-CO" w:eastAsia="es-ES"/>
        </w:rPr>
        <w:t xml:space="preserve"> otra norma equivalente a la demandada, pero reconocida en </w:t>
      </w:r>
      <w:r w:rsidRPr="005D08AD">
        <w:rPr>
          <w:rFonts w:ascii="Times New Roman" w:hAnsi="Times New Roman" w:cs="Times New Roman"/>
          <w:bCs/>
          <w:szCs w:val="28"/>
          <w:lang w:val="es-CO" w:eastAsia="es-ES"/>
        </w:rPr>
        <w:t>un</w:t>
      </w:r>
      <w:r w:rsidRPr="005D08AD">
        <w:rPr>
          <w:rFonts w:ascii="Times New Roman" w:hAnsi="Times New Roman" w:cs="Times New Roman"/>
          <w:bCs/>
          <w:szCs w:val="28"/>
          <w:lang w:val="es-CO" w:eastAsia="es-ES"/>
        </w:rPr>
        <w:t xml:space="preserve"> texto o enunciado normativo di</w:t>
      </w:r>
      <w:r w:rsidRPr="005D08AD">
        <w:rPr>
          <w:rFonts w:ascii="Times New Roman" w:hAnsi="Times New Roman" w:cs="Times New Roman"/>
          <w:bCs/>
          <w:szCs w:val="28"/>
          <w:lang w:val="es-CO" w:eastAsia="es-ES"/>
        </w:rPr>
        <w:t>ferente</w:t>
      </w:r>
      <w:r w:rsidRPr="005D08AD">
        <w:rPr>
          <w:rFonts w:ascii="Times New Roman" w:hAnsi="Times New Roman" w:cs="Times New Roman"/>
          <w:bCs/>
          <w:szCs w:val="28"/>
          <w:lang w:val="es-CO" w:eastAsia="es-ES"/>
        </w:rPr>
        <w:t xml:space="preserve">. </w:t>
      </w:r>
    </w:p>
    <w:p w:rsidR="005C0111" w:rsidRPr="005D08AD" w:rsidRDefault="005D08AD" w:rsidP="005F72BB">
      <w:pPr>
        <w:pStyle w:val="Prrafodelista"/>
        <w:spacing w:after="0" w:line="240" w:lineRule="auto"/>
        <w:ind w:left="0"/>
        <w:mirrorIndents/>
        <w:rPr>
          <w:rFonts w:ascii="Times New Roman" w:hAnsi="Times New Roman" w:cs="Times New Roman"/>
          <w:szCs w:val="28"/>
          <w:shd w:val="clear" w:color="auto" w:fill="FFFFFF"/>
        </w:rPr>
      </w:pPr>
    </w:p>
    <w:p w:rsidR="00467F17"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El segundo elemento</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identidad de cargos</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permite clasificar la cosa juzgada en absoluta o relativa. En el caso de la cosa juzgada </w:t>
      </w:r>
      <w:r w:rsidRPr="005D08AD">
        <w:rPr>
          <w:rFonts w:ascii="Times New Roman" w:hAnsi="Times New Roman" w:cs="Times New Roman"/>
          <w:szCs w:val="28"/>
          <w:shd w:val="clear" w:color="auto" w:fill="FFFFFF"/>
        </w:rPr>
        <w:t>absoluta, la Corte, por regla general, no puede volver a pronunciarse sobre la disposición, ya sea porque el examen de constitucionalidad se efectuó de manera integral respecto de todo el texto constitucional</w:t>
      </w:r>
      <w:r w:rsidRPr="005D08AD">
        <w:rPr>
          <w:rStyle w:val="Refdenotaalpie"/>
          <w:rFonts w:ascii="Times New Roman" w:hAnsi="Times New Roman"/>
          <w:szCs w:val="28"/>
          <w:shd w:val="clear" w:color="auto" w:fill="FFFFFF"/>
        </w:rPr>
        <w:footnoteReference w:id="32"/>
      </w:r>
      <w:r w:rsidRPr="005D08AD">
        <w:rPr>
          <w:rFonts w:ascii="Times New Roman" w:hAnsi="Times New Roman" w:cs="Times New Roman"/>
          <w:szCs w:val="28"/>
          <w:shd w:val="clear" w:color="auto" w:fill="FFFFFF"/>
        </w:rPr>
        <w:t xml:space="preserve"> o porque la norma </w:t>
      </w:r>
      <w:r w:rsidRPr="005D08AD">
        <w:rPr>
          <w:rFonts w:ascii="Times New Roman" w:hAnsi="Times New Roman" w:cs="Times New Roman"/>
          <w:szCs w:val="28"/>
          <w:shd w:val="clear" w:color="auto" w:fill="FFFFFF"/>
        </w:rPr>
        <w:t xml:space="preserve">específica </w:t>
      </w:r>
      <w:r w:rsidRPr="005D08AD">
        <w:rPr>
          <w:rFonts w:ascii="Times New Roman" w:hAnsi="Times New Roman" w:cs="Times New Roman"/>
          <w:szCs w:val="28"/>
          <w:shd w:val="clear" w:color="auto" w:fill="FFFFFF"/>
        </w:rPr>
        <w:t>fue declarada inc</w:t>
      </w:r>
      <w:r w:rsidRPr="005D08AD">
        <w:rPr>
          <w:rFonts w:ascii="Times New Roman" w:hAnsi="Times New Roman" w:cs="Times New Roman"/>
          <w:szCs w:val="28"/>
          <w:shd w:val="clear" w:color="auto" w:fill="FFFFFF"/>
        </w:rPr>
        <w:t>onstitucional</w:t>
      </w:r>
      <w:r w:rsidRPr="005D08AD">
        <w:rPr>
          <w:rStyle w:val="Refdenotaalpie"/>
          <w:rFonts w:ascii="Times New Roman" w:hAnsi="Times New Roman"/>
          <w:szCs w:val="28"/>
          <w:shd w:val="clear" w:color="auto" w:fill="FFFFFF"/>
        </w:rPr>
        <w:footnoteReference w:id="33"/>
      </w:r>
      <w:r w:rsidRPr="005D08AD">
        <w:rPr>
          <w:rFonts w:ascii="Times New Roman" w:hAnsi="Times New Roman" w:cs="Times New Roman"/>
          <w:szCs w:val="28"/>
          <w:shd w:val="clear" w:color="auto" w:fill="FFFFFF"/>
        </w:rPr>
        <w:t>.</w:t>
      </w:r>
    </w:p>
    <w:p w:rsidR="005A26A7" w:rsidRPr="005D08AD" w:rsidRDefault="005D08AD" w:rsidP="005F72BB">
      <w:pPr>
        <w:pStyle w:val="Prrafodelista"/>
        <w:spacing w:after="0" w:line="240" w:lineRule="auto"/>
        <w:ind w:left="0"/>
        <w:mirrorIndents/>
        <w:rPr>
          <w:rFonts w:ascii="Times New Roman" w:hAnsi="Times New Roman" w:cs="Times New Roman"/>
        </w:rPr>
      </w:pPr>
    </w:p>
    <w:p w:rsidR="00467F17"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rPr>
        <w:t>La cosa juzgada relativa, por su parte, se configura cuando la Corte limita el alcance del estudio de constitucionalidad, ya sea de forma explícita</w:t>
      </w:r>
      <w:r w:rsidRPr="005D08AD">
        <w:rPr>
          <w:rStyle w:val="Refdenotaalpie"/>
          <w:rFonts w:ascii="Times New Roman" w:hAnsi="Times New Roman"/>
        </w:rPr>
        <w:footnoteReference w:id="34"/>
      </w:r>
      <w:r w:rsidRPr="005D08AD">
        <w:rPr>
          <w:rFonts w:ascii="Times New Roman" w:hAnsi="Times New Roman" w:cs="Times New Roman"/>
        </w:rPr>
        <w:t xml:space="preserve"> o implícita</w:t>
      </w:r>
      <w:r w:rsidRPr="005D08AD">
        <w:rPr>
          <w:rStyle w:val="Refdenotaalpie"/>
          <w:rFonts w:ascii="Times New Roman" w:hAnsi="Times New Roman"/>
        </w:rPr>
        <w:footnoteReference w:id="35"/>
      </w:r>
      <w:r w:rsidRPr="005D08AD">
        <w:rPr>
          <w:rFonts w:ascii="Times New Roman" w:hAnsi="Times New Roman" w:cs="Times New Roman"/>
        </w:rPr>
        <w:t xml:space="preserve">. Esta tipología se configura, por ejemplo, cuando la sentencia únicamente se </w:t>
      </w:r>
      <w:r w:rsidRPr="005D08AD">
        <w:rPr>
          <w:rFonts w:ascii="Times New Roman" w:hAnsi="Times New Roman" w:cs="Times New Roman"/>
        </w:rPr>
        <w:t xml:space="preserve">pronuncia sobre aspectos formales, caso en el cual la cosa juzgada operará respecto de ese ámbito, permaneciendo abierta la posibilidad de presentar y examinar nuevas demandas de inconstitucionalidad por su contenido material. Asimismo, se presenta cuando </w:t>
      </w:r>
      <w:r w:rsidRPr="005D08AD">
        <w:rPr>
          <w:rFonts w:ascii="Times New Roman" w:hAnsi="Times New Roman" w:cs="Times New Roman"/>
        </w:rPr>
        <w:t>la Corte declara la exequibilidad de una norma con base en un análisis parcial o específico de la Constitución</w:t>
      </w:r>
      <w:r w:rsidRPr="005D08AD">
        <w:rPr>
          <w:rStyle w:val="Refdenotaalpie"/>
          <w:rFonts w:ascii="Times New Roman" w:hAnsi="Times New Roman"/>
        </w:rPr>
        <w:footnoteReference w:id="36"/>
      </w:r>
      <w:r w:rsidRPr="005D08AD">
        <w:rPr>
          <w:rFonts w:ascii="Times New Roman" w:hAnsi="Times New Roman" w:cs="Times New Roman"/>
        </w:rPr>
        <w:t>.</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Así, la cosa juzgada relativa permite que la Corte vuelva a pronunciarse sobre una disposición, siempre que el nuevo cargo planteado sea distin</w:t>
      </w:r>
      <w:r w:rsidRPr="005D08AD">
        <w:rPr>
          <w:rFonts w:ascii="Times New Roman" w:hAnsi="Times New Roman" w:cs="Times New Roman"/>
          <w:szCs w:val="28"/>
          <w:shd w:val="clear" w:color="auto" w:fill="FFFFFF"/>
        </w:rPr>
        <w:t>to al previamente analizado</w:t>
      </w:r>
      <w:r w:rsidRPr="005D08AD">
        <w:rPr>
          <w:rStyle w:val="Refdenotaalpie"/>
          <w:rFonts w:ascii="Times New Roman" w:hAnsi="Times New Roman"/>
          <w:szCs w:val="28"/>
          <w:shd w:val="clear" w:color="auto" w:fill="FFFFFF"/>
        </w:rPr>
        <w:footnoteReference w:id="37"/>
      </w:r>
      <w:r w:rsidRPr="005D08AD">
        <w:rPr>
          <w:rFonts w:ascii="Times New Roman" w:hAnsi="Times New Roman" w:cs="Times New Roman"/>
          <w:szCs w:val="28"/>
          <w:shd w:val="clear" w:color="auto" w:fill="FFFFFF"/>
        </w:rPr>
        <w:t xml:space="preserve">. </w:t>
      </w:r>
    </w:p>
    <w:p w:rsidR="00B95977" w:rsidRPr="005D08AD" w:rsidRDefault="005D08AD" w:rsidP="005F72BB">
      <w:pPr>
        <w:contextualSpacing/>
        <w:mirrorIndents/>
        <w:rPr>
          <w:rFonts w:ascii="Times New Roman" w:hAnsi="Times New Roman" w:cs="Times New Roman"/>
          <w:sz w:val="28"/>
          <w:szCs w:val="28"/>
          <w:shd w:val="clear" w:color="auto" w:fill="FFFFFF"/>
        </w:rPr>
      </w:pPr>
    </w:p>
    <w:p w:rsidR="00E17073"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 xml:space="preserve">El tercer elemento </w:t>
      </w:r>
      <w:r w:rsidRPr="005D08AD">
        <w:rPr>
          <w:rFonts w:ascii="Times New Roman" w:hAnsi="Times New Roman" w:cs="Times New Roman"/>
          <w:szCs w:val="28"/>
          <w:shd w:val="clear" w:color="auto" w:fill="FFFFFF"/>
        </w:rPr>
        <w:t>(</w:t>
      </w:r>
      <w:r w:rsidRPr="005D08AD">
        <w:rPr>
          <w:rFonts w:ascii="Times New Roman" w:hAnsi="Times New Roman" w:cs="Times New Roman"/>
          <w:bCs/>
          <w:szCs w:val="28"/>
          <w:lang w:val="es-CO" w:eastAsia="es-ES"/>
        </w:rPr>
        <w:t>identidad del parámetro de control constitucional</w:t>
      </w:r>
      <w:r w:rsidRPr="005D08AD">
        <w:rPr>
          <w:rStyle w:val="Refdenotaalpie"/>
          <w:rFonts w:ascii="Times New Roman" w:hAnsi="Times New Roman"/>
          <w:bCs/>
          <w:szCs w:val="28"/>
          <w:lang w:val="es-CO" w:eastAsia="es-ES"/>
        </w:rPr>
        <w:footnoteReference w:id="38"/>
      </w:r>
      <w:r w:rsidRPr="005D08AD">
        <w:rPr>
          <w:rFonts w:ascii="Times New Roman" w:hAnsi="Times New Roman" w:cs="Times New Roman"/>
          <w:bCs/>
          <w:szCs w:val="28"/>
          <w:lang w:val="es-CO" w:eastAsia="es-ES"/>
        </w:rPr>
        <w:t>)</w:t>
      </w:r>
      <w:r w:rsidRPr="005D08AD">
        <w:rPr>
          <w:rFonts w:ascii="Times New Roman" w:hAnsi="Times New Roman" w:cs="Times New Roman"/>
          <w:bCs/>
          <w:szCs w:val="28"/>
          <w:lang w:val="es-CO" w:eastAsia="es-ES"/>
        </w:rPr>
        <w:t>, permite determinar si es necesario</w:t>
      </w:r>
      <w:r w:rsidRPr="005D08AD">
        <w:rPr>
          <w:rFonts w:ascii="Times New Roman" w:hAnsi="Times New Roman" w:cs="Times New Roman"/>
          <w:bCs/>
          <w:szCs w:val="28"/>
          <w:lang w:val="es-CO" w:eastAsia="es-ES"/>
        </w:rPr>
        <w:t xml:space="preserve"> o no</w:t>
      </w:r>
      <w:r w:rsidRPr="005D08AD">
        <w:rPr>
          <w:rFonts w:ascii="Times New Roman" w:hAnsi="Times New Roman" w:cs="Times New Roman"/>
          <w:bCs/>
          <w:szCs w:val="28"/>
          <w:lang w:val="es-CO" w:eastAsia="es-ES"/>
        </w:rPr>
        <w:t xml:space="preserve"> realizar un nuevo pronunciamiento debido a l</w:t>
      </w:r>
      <w:r w:rsidRPr="005D08AD">
        <w:rPr>
          <w:rFonts w:ascii="Times New Roman" w:hAnsi="Times New Roman" w:cs="Times New Roman"/>
          <w:bCs/>
          <w:szCs w:val="28"/>
          <w:lang w:val="es-CO" w:eastAsia="es-ES"/>
        </w:rPr>
        <w:t xml:space="preserve">a modificación del parámetro, cambio del significado material o bien sea porque </w:t>
      </w:r>
      <w:r w:rsidRPr="005D08AD">
        <w:rPr>
          <w:rFonts w:ascii="Times New Roman" w:hAnsi="Times New Roman" w:cs="Times New Roman"/>
          <w:bCs/>
          <w:szCs w:val="28"/>
          <w:lang w:val="es-CO" w:eastAsia="es-ES"/>
        </w:rPr>
        <w:t>ha</w:t>
      </w:r>
      <w:r w:rsidRPr="005D08AD">
        <w:rPr>
          <w:rFonts w:ascii="Times New Roman" w:hAnsi="Times New Roman" w:cs="Times New Roman"/>
          <w:bCs/>
          <w:szCs w:val="28"/>
          <w:lang w:val="es-CO" w:eastAsia="es-ES"/>
        </w:rPr>
        <w:t xml:space="preserve"> variado el contexto normativo. Este presupuesto parte de lo que </w:t>
      </w:r>
      <w:r w:rsidRPr="005D08AD">
        <w:rPr>
          <w:rFonts w:ascii="Times New Roman" w:hAnsi="Times New Roman" w:cs="Times New Roman"/>
          <w:bCs/>
          <w:szCs w:val="28"/>
          <w:lang w:val="es-CO" w:eastAsia="es-ES"/>
        </w:rPr>
        <w:t xml:space="preserve">la jurisprudencia </w:t>
      </w:r>
      <w:r w:rsidRPr="005D08AD">
        <w:rPr>
          <w:rFonts w:ascii="Times New Roman" w:hAnsi="Times New Roman" w:cs="Times New Roman"/>
          <w:bCs/>
          <w:szCs w:val="28"/>
          <w:lang w:val="es-CO" w:eastAsia="es-ES"/>
        </w:rPr>
        <w:t>de la Corte h</w:t>
      </w:r>
      <w:r w:rsidRPr="005D08AD">
        <w:rPr>
          <w:rFonts w:ascii="Times New Roman" w:hAnsi="Times New Roman" w:cs="Times New Roman"/>
          <w:bCs/>
          <w:szCs w:val="28"/>
          <w:lang w:val="es-CO" w:eastAsia="es-ES"/>
        </w:rPr>
        <w:t xml:space="preserve">a denominado </w:t>
      </w:r>
      <w:r w:rsidRPr="005D08AD">
        <w:rPr>
          <w:rFonts w:ascii="Times New Roman" w:hAnsi="Times New Roman" w:cs="Times New Roman"/>
          <w:bCs/>
          <w:i/>
          <w:iCs/>
          <w:szCs w:val="28"/>
          <w:lang w:val="es-CO" w:eastAsia="es-ES"/>
        </w:rPr>
        <w:t>derecho viviente</w:t>
      </w:r>
      <w:r w:rsidRPr="005D08AD">
        <w:rPr>
          <w:rFonts w:ascii="Times New Roman" w:hAnsi="Times New Roman" w:cs="Times New Roman"/>
          <w:bCs/>
          <w:szCs w:val="28"/>
          <w:lang w:val="es-CO" w:eastAsia="es-ES"/>
        </w:rPr>
        <w:t xml:space="preserve">, </w:t>
      </w:r>
      <w:r w:rsidRPr="005D08AD">
        <w:rPr>
          <w:rFonts w:ascii="Times New Roman" w:hAnsi="Times New Roman" w:cs="Times New Roman"/>
          <w:lang w:val="es-MX"/>
        </w:rPr>
        <w:t>según el cual las disposiciones deben ser anali</w:t>
      </w:r>
      <w:r w:rsidRPr="005D08AD">
        <w:rPr>
          <w:rFonts w:ascii="Times New Roman" w:hAnsi="Times New Roman" w:cs="Times New Roman"/>
          <w:lang w:val="es-MX"/>
        </w:rPr>
        <w:t>zadas a la luz de los cambios económicos, sociales, políticos, ideológicos y culturales de una comunidad</w:t>
      </w:r>
      <w:r w:rsidRPr="005D08AD">
        <w:rPr>
          <w:rStyle w:val="Refdenotaalpie"/>
          <w:rFonts w:ascii="Times New Roman" w:hAnsi="Times New Roman"/>
          <w:lang w:val="es-MX"/>
        </w:rPr>
        <w:footnoteReference w:id="39"/>
      </w:r>
      <w:r w:rsidRPr="005D08AD">
        <w:rPr>
          <w:rFonts w:ascii="Times New Roman" w:hAnsi="Times New Roman" w:cs="Times New Roman"/>
          <w:lang w:val="es-MX"/>
        </w:rPr>
        <w:t>.</w:t>
      </w:r>
      <w:r w:rsidRPr="005D08AD">
        <w:rPr>
          <w:rFonts w:ascii="Times New Roman" w:hAnsi="Times New Roman" w:cs="Times New Roman"/>
          <w:szCs w:val="28"/>
          <w:shd w:val="clear" w:color="auto" w:fill="FFFFFF"/>
        </w:rPr>
        <w:t xml:space="preserve"> </w:t>
      </w:r>
    </w:p>
    <w:p w:rsidR="00E17073" w:rsidRPr="005D08AD" w:rsidRDefault="005D08AD" w:rsidP="005F72BB">
      <w:pPr>
        <w:pStyle w:val="Prrafodelista"/>
        <w:spacing w:after="0" w:line="240" w:lineRule="auto"/>
        <w:ind w:left="0"/>
        <w:mirrorIndents/>
        <w:rPr>
          <w:rFonts w:ascii="Times New Roman" w:hAnsi="Times New Roman" w:cs="Times New Roman"/>
          <w:szCs w:val="28"/>
          <w:shd w:val="clear" w:color="auto" w:fill="FFFFFF"/>
        </w:rPr>
      </w:pPr>
    </w:p>
    <w:p w:rsidR="00B95977"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En este orden de ideas,</w:t>
      </w:r>
      <w:r w:rsidRPr="005D08AD">
        <w:rPr>
          <w:rFonts w:ascii="Times New Roman" w:hAnsi="Times New Roman" w:cs="Times New Roman"/>
          <w:szCs w:val="28"/>
          <w:shd w:val="clear" w:color="auto" w:fill="FFFFFF"/>
        </w:rPr>
        <w:t xml:space="preserve"> la cosa juzgada constitucional impide, como regla general, que </w:t>
      </w:r>
      <w:r w:rsidRPr="005D08AD">
        <w:rPr>
          <w:rFonts w:ascii="Times New Roman" w:hAnsi="Times New Roman" w:cs="Times New Roman"/>
          <w:szCs w:val="28"/>
          <w:shd w:val="clear" w:color="auto" w:fill="FFFFFF"/>
        </w:rPr>
        <w:t>la Corte</w:t>
      </w:r>
      <w:r w:rsidRPr="005D08AD">
        <w:rPr>
          <w:rFonts w:ascii="Times New Roman" w:hAnsi="Times New Roman" w:cs="Times New Roman"/>
          <w:szCs w:val="28"/>
          <w:shd w:val="clear" w:color="auto" w:fill="FFFFFF"/>
        </w:rPr>
        <w:t xml:space="preserve"> vuelva a pronunciarse sobre un asunto previamente decidido. Para verificar su existencia, es necesario establecer la </w:t>
      </w:r>
      <w:r w:rsidRPr="005D08AD">
        <w:rPr>
          <w:rFonts w:ascii="Times New Roman" w:hAnsi="Times New Roman" w:cs="Times New Roman"/>
          <w:i/>
          <w:iCs/>
          <w:szCs w:val="28"/>
          <w:shd w:val="clear" w:color="auto" w:fill="FFFFFF"/>
        </w:rPr>
        <w:t>identidad de objeto</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i/>
          <w:iCs/>
          <w:szCs w:val="28"/>
          <w:shd w:val="clear" w:color="auto" w:fill="FFFFFF"/>
        </w:rPr>
        <w:t>cargo</w:t>
      </w:r>
      <w:r w:rsidRPr="005D08AD">
        <w:rPr>
          <w:rFonts w:ascii="Times New Roman" w:hAnsi="Times New Roman" w:cs="Times New Roman"/>
          <w:szCs w:val="28"/>
          <w:shd w:val="clear" w:color="auto" w:fill="FFFFFF"/>
        </w:rPr>
        <w:t xml:space="preserve"> y </w:t>
      </w:r>
      <w:r w:rsidRPr="005D08AD">
        <w:rPr>
          <w:rFonts w:ascii="Times New Roman" w:hAnsi="Times New Roman" w:cs="Times New Roman"/>
          <w:i/>
          <w:iCs/>
          <w:szCs w:val="28"/>
          <w:shd w:val="clear" w:color="auto" w:fill="FFFFFF"/>
        </w:rPr>
        <w:t>parámetro de control</w:t>
      </w:r>
      <w:r w:rsidRPr="005D08AD">
        <w:rPr>
          <w:rFonts w:ascii="Times New Roman" w:hAnsi="Times New Roman" w:cs="Times New Roman"/>
          <w:szCs w:val="28"/>
          <w:shd w:val="clear" w:color="auto" w:fill="FFFFFF"/>
        </w:rPr>
        <w:t xml:space="preserve"> entre la sentencia anterior y </w:t>
      </w:r>
      <w:r w:rsidRPr="005D08AD">
        <w:rPr>
          <w:rFonts w:ascii="Times New Roman" w:hAnsi="Times New Roman" w:cs="Times New Roman"/>
          <w:szCs w:val="28"/>
          <w:shd w:val="clear" w:color="auto" w:fill="FFFFFF"/>
        </w:rPr>
        <w:t>el caso objeto de estudio</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En términos generales, si </w:t>
      </w:r>
      <w:r w:rsidRPr="005D08AD">
        <w:rPr>
          <w:rFonts w:ascii="Times New Roman" w:hAnsi="Times New Roman" w:cs="Times New Roman"/>
          <w:szCs w:val="28"/>
          <w:shd w:val="clear" w:color="auto" w:fill="FFFFFF"/>
        </w:rPr>
        <w:t>la id</w:t>
      </w:r>
      <w:r w:rsidRPr="005D08AD">
        <w:rPr>
          <w:rFonts w:ascii="Times New Roman" w:hAnsi="Times New Roman" w:cs="Times New Roman"/>
          <w:szCs w:val="28"/>
          <w:shd w:val="clear" w:color="auto" w:fill="FFFFFF"/>
        </w:rPr>
        <w:t>entidad en alguno de</w:t>
      </w:r>
      <w:r w:rsidRPr="005D08AD">
        <w:rPr>
          <w:rFonts w:ascii="Times New Roman" w:hAnsi="Times New Roman" w:cs="Times New Roman"/>
          <w:szCs w:val="28"/>
          <w:shd w:val="clear" w:color="auto" w:fill="FFFFFF"/>
        </w:rPr>
        <w:t xml:space="preserve"> estos elementos no se acredita, la Corte </w:t>
      </w:r>
      <w:r w:rsidRPr="005D08AD">
        <w:rPr>
          <w:rFonts w:ascii="Times New Roman" w:hAnsi="Times New Roman" w:cs="Times New Roman"/>
          <w:szCs w:val="28"/>
          <w:shd w:val="clear" w:color="auto" w:fill="FFFFFF"/>
        </w:rPr>
        <w:t>se encuentra habilitada para</w:t>
      </w:r>
      <w:r w:rsidRPr="005D08AD">
        <w:rPr>
          <w:rFonts w:ascii="Times New Roman" w:hAnsi="Times New Roman" w:cs="Times New Roman"/>
          <w:szCs w:val="28"/>
          <w:shd w:val="clear" w:color="auto" w:fill="FFFFFF"/>
        </w:rPr>
        <w:t xml:space="preserve"> emitir un nuevo pronunciamiento</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en caso contrario, debe</w:t>
      </w:r>
      <w:r w:rsidRPr="005D08AD">
        <w:rPr>
          <w:rFonts w:ascii="Times New Roman" w:hAnsi="Times New Roman" w:cs="Times New Roman"/>
          <w:szCs w:val="28"/>
          <w:shd w:val="clear" w:color="auto" w:fill="FFFFFF"/>
        </w:rPr>
        <w:t>rá</w:t>
      </w:r>
      <w:r w:rsidRPr="005D08AD">
        <w:rPr>
          <w:rFonts w:ascii="Times New Roman" w:hAnsi="Times New Roman" w:cs="Times New Roman"/>
          <w:szCs w:val="28"/>
          <w:shd w:val="clear" w:color="auto" w:fill="FFFFFF"/>
        </w:rPr>
        <w:t xml:space="preserve"> estarse a lo resuelto en la </w:t>
      </w:r>
      <w:r w:rsidRPr="005D08AD">
        <w:rPr>
          <w:rFonts w:ascii="Times New Roman" w:hAnsi="Times New Roman" w:cs="Times New Roman"/>
          <w:szCs w:val="28"/>
          <w:shd w:val="clear" w:color="auto" w:fill="FFFFFF"/>
        </w:rPr>
        <w:t>sen</w:t>
      </w:r>
      <w:r w:rsidRPr="005D08AD">
        <w:rPr>
          <w:rFonts w:ascii="Times New Roman" w:hAnsi="Times New Roman" w:cs="Times New Roman"/>
          <w:szCs w:val="28"/>
          <w:shd w:val="clear" w:color="auto" w:fill="FFFFFF"/>
        </w:rPr>
        <w:t xml:space="preserve">tencia </w:t>
      </w:r>
      <w:r w:rsidRPr="005D08AD">
        <w:rPr>
          <w:rFonts w:ascii="Times New Roman" w:hAnsi="Times New Roman" w:cs="Times New Roman"/>
          <w:szCs w:val="28"/>
          <w:shd w:val="clear" w:color="auto" w:fill="FFFFFF"/>
        </w:rPr>
        <w:t>previa.</w:t>
      </w:r>
    </w:p>
    <w:p w:rsidR="00E17073" w:rsidRPr="005D08AD" w:rsidRDefault="005D08AD" w:rsidP="005F72BB">
      <w:pPr>
        <w:pStyle w:val="Prrafodelista"/>
        <w:spacing w:after="0" w:line="240" w:lineRule="auto"/>
        <w:ind w:left="0"/>
        <w:mirrorIndents/>
        <w:rPr>
          <w:rFonts w:ascii="Times New Roman" w:hAnsi="Times New Roman" w:cs="Times New Roman"/>
          <w:szCs w:val="28"/>
          <w:shd w:val="clear" w:color="auto" w:fill="FFFFFF"/>
        </w:rPr>
      </w:pPr>
    </w:p>
    <w:p w:rsidR="00360ADF"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i/>
          <w:iCs/>
          <w:szCs w:val="28"/>
          <w:shd w:val="clear" w:color="auto" w:fill="FFFFFF"/>
        </w:rPr>
        <w:t xml:space="preserve">Las </w:t>
      </w:r>
      <w:r w:rsidRPr="005D08AD">
        <w:rPr>
          <w:rFonts w:ascii="Times New Roman" w:hAnsi="Times New Roman" w:cs="Times New Roman"/>
          <w:i/>
          <w:iCs/>
          <w:szCs w:val="28"/>
          <w:shd w:val="clear" w:color="auto" w:fill="FFFFFF"/>
        </w:rPr>
        <w:t>Sentencia</w:t>
      </w:r>
      <w:r w:rsidRPr="005D08AD">
        <w:rPr>
          <w:rFonts w:ascii="Times New Roman" w:hAnsi="Times New Roman" w:cs="Times New Roman"/>
          <w:i/>
          <w:iCs/>
          <w:szCs w:val="28"/>
          <w:shd w:val="clear" w:color="auto" w:fill="FFFFFF"/>
        </w:rPr>
        <w:t>s</w:t>
      </w:r>
      <w:r w:rsidRPr="005D08AD">
        <w:rPr>
          <w:rFonts w:ascii="Times New Roman" w:hAnsi="Times New Roman" w:cs="Times New Roman"/>
          <w:i/>
          <w:iCs/>
          <w:szCs w:val="28"/>
          <w:shd w:val="clear" w:color="auto" w:fill="FFFFFF"/>
        </w:rPr>
        <w:t xml:space="preserve"> </w:t>
      </w:r>
      <w:r w:rsidRPr="005D08AD">
        <w:rPr>
          <w:rFonts w:ascii="Times New Roman" w:hAnsi="Times New Roman" w:cs="Times New Roman"/>
          <w:i/>
          <w:iCs/>
          <w:szCs w:val="28"/>
          <w:shd w:val="clear" w:color="auto" w:fill="FFFFFF"/>
        </w:rPr>
        <w:t>C-390 de 1996 y C-608 de 2012</w:t>
      </w:r>
      <w:r w:rsidRPr="005D08AD">
        <w:rPr>
          <w:rFonts w:ascii="Times New Roman" w:hAnsi="Times New Roman" w:cs="Times New Roman"/>
          <w:i/>
          <w:iCs/>
          <w:szCs w:val="28"/>
          <w:shd w:val="clear" w:color="auto" w:fill="FFFFFF"/>
        </w:rPr>
        <w:t xml:space="preserve"> y las razones por las cuales no se configura </w:t>
      </w:r>
      <w:r w:rsidRPr="005D08AD">
        <w:rPr>
          <w:rFonts w:ascii="Times New Roman" w:hAnsi="Times New Roman" w:cs="Times New Roman"/>
          <w:i/>
          <w:iCs/>
          <w:szCs w:val="28"/>
          <w:shd w:val="clear" w:color="auto" w:fill="FFFFFF"/>
        </w:rPr>
        <w:t>el fenómeno de</w:t>
      </w:r>
      <w:r w:rsidRPr="005D08AD">
        <w:rPr>
          <w:rFonts w:ascii="Times New Roman" w:hAnsi="Times New Roman" w:cs="Times New Roman"/>
          <w:i/>
          <w:iCs/>
          <w:szCs w:val="28"/>
          <w:shd w:val="clear" w:color="auto" w:fill="FFFFFF"/>
        </w:rPr>
        <w:t xml:space="preserve"> </w:t>
      </w:r>
      <w:r w:rsidRPr="005D08AD">
        <w:rPr>
          <w:rFonts w:ascii="Times New Roman" w:hAnsi="Times New Roman" w:cs="Times New Roman"/>
          <w:i/>
          <w:iCs/>
          <w:szCs w:val="28"/>
          <w:shd w:val="clear" w:color="auto" w:fill="FFFFFF"/>
        </w:rPr>
        <w:t xml:space="preserve">la </w:t>
      </w:r>
      <w:r w:rsidRPr="005D08AD">
        <w:rPr>
          <w:rFonts w:ascii="Times New Roman" w:hAnsi="Times New Roman" w:cs="Times New Roman"/>
          <w:i/>
          <w:iCs/>
          <w:szCs w:val="28"/>
          <w:shd w:val="clear" w:color="auto" w:fill="FFFFFF"/>
        </w:rPr>
        <w:t>cosa juzgada constitucional</w:t>
      </w:r>
      <w:r w:rsidRPr="005D08AD">
        <w:rPr>
          <w:rFonts w:ascii="Times New Roman" w:hAnsi="Times New Roman" w:cs="Times New Roman"/>
          <w:i/>
          <w:iCs/>
          <w:szCs w:val="28"/>
          <w:shd w:val="clear" w:color="auto" w:fill="FFFFFF"/>
        </w:rPr>
        <w:t xml:space="preserve"> en</w:t>
      </w:r>
      <w:r w:rsidRPr="005D08AD">
        <w:rPr>
          <w:rFonts w:ascii="Times New Roman" w:hAnsi="Times New Roman" w:cs="Times New Roman"/>
          <w:i/>
          <w:iCs/>
          <w:szCs w:val="28"/>
          <w:shd w:val="clear" w:color="auto" w:fill="FFFFFF"/>
        </w:rPr>
        <w:t xml:space="preserve"> el</w:t>
      </w:r>
      <w:r w:rsidRPr="005D08AD">
        <w:rPr>
          <w:rFonts w:ascii="Times New Roman" w:hAnsi="Times New Roman" w:cs="Times New Roman"/>
          <w:i/>
          <w:iCs/>
          <w:szCs w:val="28"/>
          <w:shd w:val="clear" w:color="auto" w:fill="FFFFFF"/>
        </w:rPr>
        <w:t xml:space="preserve"> presente caso</w:t>
      </w:r>
      <w:r w:rsidRPr="005D08AD">
        <w:rPr>
          <w:rFonts w:ascii="Times New Roman" w:hAnsi="Times New Roman" w:cs="Times New Roman"/>
          <w:i/>
          <w:iCs/>
          <w:szCs w:val="28"/>
          <w:shd w:val="clear" w:color="auto" w:fill="FFFFFF"/>
        </w:rPr>
        <w:t>.</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La Sentencia C-390 de 1996 estudió una demanda </w:t>
      </w:r>
      <w:r w:rsidRPr="005D08AD">
        <w:rPr>
          <w:rFonts w:ascii="Times New Roman" w:hAnsi="Times New Roman" w:cs="Times New Roman"/>
          <w:szCs w:val="28"/>
          <w:shd w:val="clear" w:color="auto" w:fill="FFFFFF"/>
        </w:rPr>
        <w:t xml:space="preserve">contra </w:t>
      </w:r>
      <w:r w:rsidRPr="005D08AD">
        <w:rPr>
          <w:rFonts w:ascii="Times New Roman" w:hAnsi="Times New Roman" w:cs="Times New Roman"/>
          <w:szCs w:val="28"/>
          <w:shd w:val="clear" w:color="auto" w:fill="FFFFFF"/>
        </w:rPr>
        <w:t>el</w:t>
      </w:r>
      <w:r w:rsidRPr="005D08AD">
        <w:rPr>
          <w:rFonts w:ascii="Times New Roman" w:hAnsi="Times New Roman" w:cs="Times New Roman"/>
          <w:szCs w:val="28"/>
          <w:shd w:val="clear" w:color="auto" w:fill="FFFFFF"/>
        </w:rPr>
        <w:t xml:space="preserve"> artículo 224 de la Ley 100 de 1993</w:t>
      </w:r>
      <w:r w:rsidRPr="005D08AD">
        <w:rPr>
          <w:rFonts w:ascii="Times New Roman" w:hAnsi="Times New Roman" w:cs="Times New Roman"/>
          <w:szCs w:val="28"/>
          <w:shd w:val="clear" w:color="auto" w:fill="FFFFFF"/>
        </w:rPr>
        <w:t xml:space="preserve"> en su versión original y determinó su exequibilidad. </w:t>
      </w:r>
      <w:r w:rsidRPr="005D08AD">
        <w:rPr>
          <w:rFonts w:ascii="Times New Roman" w:hAnsi="Times New Roman" w:cs="Times New Roman"/>
          <w:szCs w:val="28"/>
          <w:shd w:val="clear" w:color="auto" w:fill="FFFFFF"/>
        </w:rPr>
        <w:t>El actor alegó la presunta violación del artículo 338 porque la ley no habría fija</w:t>
      </w:r>
      <w:r w:rsidRPr="005D08AD">
        <w:rPr>
          <w:rFonts w:ascii="Times New Roman" w:hAnsi="Times New Roman" w:cs="Times New Roman"/>
          <w:szCs w:val="28"/>
          <w:shd w:val="clear" w:color="auto" w:fill="FFFFFF"/>
        </w:rPr>
        <w:t>d</w:t>
      </w:r>
      <w:r w:rsidRPr="005D08AD">
        <w:rPr>
          <w:rFonts w:ascii="Times New Roman" w:hAnsi="Times New Roman" w:cs="Times New Roman"/>
          <w:szCs w:val="28"/>
          <w:shd w:val="clear" w:color="auto" w:fill="FFFFFF"/>
        </w:rPr>
        <w:t>o de manera clara y direct</w:t>
      </w:r>
      <w:r w:rsidRPr="005D08AD">
        <w:rPr>
          <w:rFonts w:ascii="Times New Roman" w:hAnsi="Times New Roman" w:cs="Times New Roman"/>
          <w:szCs w:val="28"/>
          <w:shd w:val="clear" w:color="auto" w:fill="FFFFFF"/>
        </w:rPr>
        <w:t>a los elementos esenciales del tributo.</w:t>
      </w:r>
      <w:r w:rsidRPr="005D08AD">
        <w:rPr>
          <w:rFonts w:ascii="Times New Roman" w:hAnsi="Times New Roman" w:cs="Times New Roman"/>
          <w:szCs w:val="28"/>
          <w:shd w:val="clear" w:color="auto" w:fill="FFFFFF"/>
        </w:rPr>
        <w:t xml:space="preserve"> La referida sentencia concluyó</w:t>
      </w:r>
      <w:r w:rsidRPr="005D08AD">
        <w:rPr>
          <w:rFonts w:ascii="Times New Roman" w:hAnsi="Times New Roman" w:cs="Times New Roman"/>
          <w:szCs w:val="28"/>
          <w:shd w:val="clear" w:color="auto" w:fill="FFFFFF"/>
        </w:rPr>
        <w:t xml:space="preserve">, sin referir el hecho </w:t>
      </w:r>
      <w:r w:rsidRPr="005D08AD">
        <w:rPr>
          <w:rFonts w:ascii="Times New Roman" w:hAnsi="Times New Roman" w:cs="Times New Roman"/>
          <w:szCs w:val="28"/>
          <w:shd w:val="clear" w:color="auto" w:fill="FFFFFF"/>
        </w:rPr>
        <w:t>generador,</w:t>
      </w:r>
      <w:r w:rsidRPr="005D08AD">
        <w:rPr>
          <w:rFonts w:ascii="Times New Roman" w:hAnsi="Times New Roman" w:cs="Times New Roman"/>
          <w:szCs w:val="28"/>
          <w:shd w:val="clear" w:color="auto" w:fill="FFFFFF"/>
        </w:rPr>
        <w:t xml:space="preserve"> que el artículo demandado</w:t>
      </w:r>
      <w:r w:rsidRPr="005D08AD">
        <w:rPr>
          <w:rFonts w:ascii="Times New Roman" w:hAnsi="Times New Roman" w:cs="Times New Roman"/>
          <w:szCs w:val="28"/>
          <w:shd w:val="clear" w:color="auto" w:fill="FFFFFF"/>
        </w:rPr>
        <w:t xml:space="preserve"> fija de manera </w:t>
      </w:r>
      <w:r w:rsidRPr="005D08AD">
        <w:rPr>
          <w:rFonts w:ascii="Times New Roman" w:hAnsi="Times New Roman" w:cs="Times New Roman"/>
          <w:szCs w:val="28"/>
          <w:shd w:val="clear" w:color="auto" w:fill="FFFFFF"/>
        </w:rPr>
        <w:t>suficiente los elementos esenciales de los dos impuestos, tanto del impuesto social a las armas de fuego como del impuesto social a las municiones y explosivos</w:t>
      </w:r>
      <w:r w:rsidRPr="005D08AD">
        <w:rPr>
          <w:rFonts w:ascii="Times New Roman" w:hAnsi="Times New Roman" w:cs="Times New Roman"/>
          <w:szCs w:val="28"/>
          <w:shd w:val="clear" w:color="auto" w:fill="FFFFFF"/>
        </w:rPr>
        <w:t xml:space="preserve">. En este sentido, </w:t>
      </w:r>
      <w:r w:rsidRPr="005D08AD">
        <w:rPr>
          <w:rFonts w:ascii="Times New Roman" w:hAnsi="Times New Roman" w:cs="Times New Roman"/>
          <w:szCs w:val="28"/>
          <w:shd w:val="clear" w:color="auto" w:fill="FFFFFF"/>
        </w:rPr>
        <w:t>resolvió declarar</w:t>
      </w:r>
      <w:r w:rsidRPr="005D08AD">
        <w:rPr>
          <w:rFonts w:ascii="Times New Roman" w:hAnsi="Times New Roman" w:cs="Times New Roman"/>
          <w:szCs w:val="28"/>
          <w:shd w:val="clear" w:color="auto" w:fill="FFFFFF"/>
        </w:rPr>
        <w:t xml:space="preserve"> “exequib</w:t>
      </w:r>
      <w:r w:rsidRPr="005D08AD">
        <w:rPr>
          <w:rFonts w:ascii="Times New Roman" w:hAnsi="Times New Roman" w:cs="Times New Roman"/>
          <w:szCs w:val="28"/>
          <w:shd w:val="clear" w:color="auto" w:fill="FFFFFF"/>
        </w:rPr>
        <w:t xml:space="preserve">le el artículo 224 de la Ley 100 de 1993”. </w:t>
      </w:r>
    </w:p>
    <w:p w:rsidR="00360ADF" w:rsidRPr="005D08AD" w:rsidRDefault="005D08AD" w:rsidP="000F460E">
      <w:pPr>
        <w:pStyle w:val="Prrafodelista"/>
        <w:spacing w:after="0" w:line="240" w:lineRule="auto"/>
        <w:ind w:left="0"/>
        <w:rPr>
          <w:rFonts w:ascii="Times New Roman" w:hAnsi="Times New Roman" w:cs="Times New Roman"/>
          <w:szCs w:val="28"/>
          <w:shd w:val="clear" w:color="auto" w:fill="FFFFFF"/>
        </w:rPr>
      </w:pPr>
    </w:p>
    <w:p w:rsidR="005A26A7"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En la misma línea</w:t>
      </w:r>
      <w:r w:rsidRPr="005D08AD">
        <w:rPr>
          <w:rFonts w:ascii="Times New Roman" w:hAnsi="Times New Roman" w:cs="Times New Roman"/>
          <w:szCs w:val="28"/>
          <w:shd w:val="clear" w:color="auto" w:fill="FFFFFF"/>
        </w:rPr>
        <w:t>, la Sentencia C-608 de 2012</w:t>
      </w:r>
      <w:r w:rsidRPr="005D08AD">
        <w:rPr>
          <w:rFonts w:ascii="Times New Roman" w:hAnsi="Times New Roman" w:cs="Times New Roman"/>
          <w:szCs w:val="28"/>
          <w:shd w:val="clear" w:color="auto" w:fill="FFFFFF"/>
        </w:rPr>
        <w:t xml:space="preserve">, estudió una demanda en contra del artículo 48 de la Ley 1438 de 2011, que modificó el artículo </w:t>
      </w:r>
      <w:r w:rsidRPr="005D08AD">
        <w:rPr>
          <w:rFonts w:ascii="Times New Roman" w:hAnsi="Times New Roman" w:cs="Times New Roman"/>
          <w:szCs w:val="28"/>
          <w:shd w:val="clear" w:color="auto" w:fill="FFFFFF"/>
        </w:rPr>
        <w:t xml:space="preserve">224 de la Ley 100 de 1993 y aumentó la tarifa del impuesto a las </w:t>
      </w:r>
      <w:r w:rsidRPr="005D08AD">
        <w:rPr>
          <w:rFonts w:ascii="Times New Roman" w:hAnsi="Times New Roman" w:cs="Times New Roman"/>
          <w:szCs w:val="28"/>
          <w:shd w:val="clear" w:color="auto" w:fill="FFFFFF"/>
        </w:rPr>
        <w:t>armas y municiones. Dentro de los cargos alegados, la demanda se refirió a los artículos 1, 6, 29, 121</w:t>
      </w:r>
      <w:r w:rsidRPr="005D08AD">
        <w:rPr>
          <w:rFonts w:ascii="Times New Roman" w:hAnsi="Times New Roman" w:cs="Times New Roman"/>
          <w:szCs w:val="28"/>
          <w:shd w:val="clear" w:color="auto" w:fill="FFFFFF"/>
        </w:rPr>
        <w:t xml:space="preserve">, 150 numerales 12 y 23, 154 inciso 4, 189 numeral 11, 359 y 363 de la Constitución. </w:t>
      </w:r>
      <w:r w:rsidRPr="005D08AD">
        <w:rPr>
          <w:rFonts w:ascii="Times New Roman" w:hAnsi="Times New Roman" w:cs="Times New Roman"/>
          <w:szCs w:val="28"/>
          <w:shd w:val="clear" w:color="auto" w:fill="FFFFFF"/>
        </w:rPr>
        <w:t>En particular, se refirió a la violación de los principios de legalid</w:t>
      </w:r>
      <w:r w:rsidRPr="005D08AD">
        <w:rPr>
          <w:rFonts w:ascii="Times New Roman" w:hAnsi="Times New Roman" w:cs="Times New Roman"/>
          <w:szCs w:val="28"/>
          <w:shd w:val="clear" w:color="auto" w:fill="FFFFFF"/>
        </w:rPr>
        <w:t>ad, reserva de ley y certeza</w:t>
      </w:r>
      <w:r w:rsidRPr="005D08AD">
        <w:rPr>
          <w:rFonts w:ascii="Times New Roman" w:hAnsi="Times New Roman" w:cs="Times New Roman"/>
          <w:szCs w:val="28"/>
          <w:shd w:val="clear" w:color="auto" w:fill="FFFFFF"/>
        </w:rPr>
        <w:t>, pues en su criterio el legislador no había definido quién recauda, liquida, determina, discute y administra el impuesto a las municiones y explosivos, ni el procedimiento de recaudo, delega</w:t>
      </w:r>
      <w:r w:rsidRPr="005D08AD">
        <w:rPr>
          <w:rFonts w:ascii="Times New Roman" w:hAnsi="Times New Roman" w:cs="Times New Roman"/>
          <w:szCs w:val="28"/>
          <w:shd w:val="clear" w:color="auto" w:fill="FFFFFF"/>
        </w:rPr>
        <w:t>n</w:t>
      </w:r>
      <w:r w:rsidRPr="005D08AD">
        <w:rPr>
          <w:rFonts w:ascii="Times New Roman" w:hAnsi="Times New Roman" w:cs="Times New Roman"/>
          <w:szCs w:val="28"/>
          <w:shd w:val="clear" w:color="auto" w:fill="FFFFFF"/>
        </w:rPr>
        <w:t>do est</w:t>
      </w:r>
      <w:r w:rsidRPr="005D08AD">
        <w:rPr>
          <w:rFonts w:ascii="Times New Roman" w:hAnsi="Times New Roman" w:cs="Times New Roman"/>
          <w:szCs w:val="28"/>
          <w:shd w:val="clear" w:color="auto" w:fill="FFFFFF"/>
        </w:rPr>
        <w:t>os asuntos al reglamento.</w:t>
      </w:r>
    </w:p>
    <w:p w:rsidR="005A26A7" w:rsidRPr="005D08AD" w:rsidRDefault="005D08AD" w:rsidP="000F460E">
      <w:pPr>
        <w:pStyle w:val="Prrafodelista"/>
        <w:spacing w:after="0" w:line="240" w:lineRule="auto"/>
        <w:ind w:left="0"/>
        <w:rPr>
          <w:rFonts w:ascii="Times New Roman" w:hAnsi="Times New Roman" w:cs="Times New Roman"/>
          <w:szCs w:val="28"/>
          <w:shd w:val="clear" w:color="auto" w:fill="FFFFFF"/>
        </w:rPr>
      </w:pPr>
    </w:p>
    <w:p w:rsidR="008C1582"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 xml:space="preserve"> En</w:t>
      </w:r>
      <w:r w:rsidRPr="005D08AD">
        <w:rPr>
          <w:rFonts w:ascii="Times New Roman" w:hAnsi="Times New Roman" w:cs="Times New Roman"/>
          <w:szCs w:val="28"/>
          <w:shd w:val="clear" w:color="auto" w:fill="FFFFFF"/>
        </w:rPr>
        <w:t xml:space="preserve"> esa oportunidad, la Corte concluyó la exequibilidad del artículo 48 </w:t>
      </w:r>
      <w:r w:rsidRPr="005D08AD">
        <w:rPr>
          <w:rFonts w:ascii="Times New Roman" w:hAnsi="Times New Roman" w:cs="Times New Roman"/>
          <w:szCs w:val="28"/>
          <w:shd w:val="clear" w:color="auto" w:fill="FFFFFF"/>
        </w:rPr>
        <w:t xml:space="preserve">porque, aunque reconoció que </w:t>
      </w:r>
      <w:r w:rsidRPr="005D08AD">
        <w:rPr>
          <w:rFonts w:ascii="Times New Roman" w:hAnsi="Times New Roman" w:cs="Times New Roman"/>
          <w:szCs w:val="28"/>
          <w:shd w:val="clear" w:color="auto" w:fill="FFFFFF"/>
        </w:rPr>
        <w:t>no existía cosa juzgada constituciona</w:t>
      </w:r>
      <w:r w:rsidRPr="005D08AD">
        <w:rPr>
          <w:rFonts w:ascii="Times New Roman" w:hAnsi="Times New Roman" w:cs="Times New Roman"/>
          <w:shd w:val="clear" w:color="auto" w:fill="FFFFFF"/>
        </w:rPr>
        <w:t>l</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pues se</w:t>
      </w:r>
      <w:r w:rsidRPr="005D08AD">
        <w:rPr>
          <w:rFonts w:ascii="Times New Roman" w:hAnsi="Times New Roman" w:cs="Times New Roman"/>
          <w:szCs w:val="28"/>
          <w:shd w:val="clear" w:color="auto" w:fill="FFFFFF"/>
        </w:rPr>
        <w:t xml:space="preserve"> plantearon cargos </w:t>
      </w:r>
      <w:r w:rsidRPr="005D08AD">
        <w:rPr>
          <w:rFonts w:ascii="Times New Roman" w:hAnsi="Times New Roman" w:cs="Times New Roman"/>
          <w:szCs w:val="28"/>
          <w:shd w:val="clear" w:color="auto" w:fill="FFFFFF"/>
        </w:rPr>
        <w:t xml:space="preserve">diferentes (centrados en la administración y recaudo a partir del reparto entre la ley y el </w:t>
      </w:r>
      <w:r w:rsidRPr="005D08AD">
        <w:rPr>
          <w:rFonts w:ascii="Times New Roman" w:hAnsi="Times New Roman" w:cs="Times New Roman"/>
          <w:szCs w:val="28"/>
          <w:shd w:val="clear" w:color="auto" w:fill="FFFFFF"/>
        </w:rPr>
        <w:t>reglamento)</w:t>
      </w:r>
      <w:r w:rsidRPr="005D08AD">
        <w:rPr>
          <w:rFonts w:ascii="Times New Roman" w:hAnsi="Times New Roman" w:cs="Times New Roman"/>
          <w:szCs w:val="28"/>
          <w:shd w:val="clear" w:color="auto" w:fill="FFFFFF"/>
        </w:rPr>
        <w:t>, la sentencia C-390 de 1996 sí era un pr</w:t>
      </w:r>
      <w:r w:rsidRPr="005D08AD">
        <w:rPr>
          <w:rFonts w:ascii="Times New Roman" w:hAnsi="Times New Roman" w:cs="Times New Roman"/>
          <w:szCs w:val="28"/>
          <w:shd w:val="clear" w:color="auto" w:fill="FFFFFF"/>
        </w:rPr>
        <w:t>e</w:t>
      </w:r>
      <w:r w:rsidRPr="005D08AD">
        <w:rPr>
          <w:rFonts w:ascii="Times New Roman" w:hAnsi="Times New Roman" w:cs="Times New Roman"/>
          <w:szCs w:val="28"/>
          <w:shd w:val="clear" w:color="auto" w:fill="FFFFFF"/>
        </w:rPr>
        <w:t xml:space="preserve">cedente según el cual el referido impuesto sí definía sus elementos </w:t>
      </w:r>
      <w:r w:rsidRPr="005D08AD">
        <w:rPr>
          <w:rFonts w:ascii="Times New Roman" w:hAnsi="Times New Roman" w:cs="Times New Roman"/>
          <w:szCs w:val="28"/>
          <w:shd w:val="clear" w:color="auto" w:fill="FFFFFF"/>
        </w:rPr>
        <w:t xml:space="preserve">esenciales. A partir de ello, indicó que </w:t>
      </w:r>
      <w:r w:rsidRPr="005D08AD">
        <w:rPr>
          <w:rFonts w:ascii="Times New Roman" w:hAnsi="Times New Roman" w:cs="Times New Roman"/>
          <w:szCs w:val="28"/>
          <w:shd w:val="clear" w:color="auto" w:fill="FFFFFF"/>
        </w:rPr>
        <w:t xml:space="preserve">aspectos como el recaudo, administración, liquidación y </w:t>
      </w:r>
      <w:r w:rsidRPr="005D08AD">
        <w:rPr>
          <w:rFonts w:ascii="Times New Roman" w:hAnsi="Times New Roman" w:cs="Times New Roman"/>
          <w:szCs w:val="28"/>
          <w:shd w:val="clear" w:color="auto" w:fill="FFFFFF"/>
        </w:rPr>
        <w:t>procedimiento del tributo, puede</w:t>
      </w:r>
      <w:r w:rsidRPr="005D08AD">
        <w:rPr>
          <w:rFonts w:ascii="Times New Roman" w:hAnsi="Times New Roman" w:cs="Times New Roman"/>
          <w:szCs w:val="28"/>
          <w:shd w:val="clear" w:color="auto" w:fill="FFFFFF"/>
        </w:rPr>
        <w:t>n</w:t>
      </w:r>
      <w:r w:rsidRPr="005D08AD">
        <w:rPr>
          <w:rFonts w:ascii="Times New Roman" w:hAnsi="Times New Roman" w:cs="Times New Roman"/>
          <w:szCs w:val="28"/>
          <w:shd w:val="clear" w:color="auto" w:fill="FFFFFF"/>
        </w:rPr>
        <w:t xml:space="preserve"> ser </w:t>
      </w:r>
      <w:r w:rsidRPr="005D08AD">
        <w:rPr>
          <w:rFonts w:ascii="Times New Roman" w:hAnsi="Times New Roman" w:cs="Times New Roman"/>
          <w:szCs w:val="28"/>
          <w:shd w:val="clear" w:color="auto" w:fill="FFFFFF"/>
        </w:rPr>
        <w:t xml:space="preserve">válidamente desarrollados por el reglamento sin desconocer la Constitución. </w:t>
      </w:r>
      <w:r w:rsidRPr="005D08AD">
        <w:rPr>
          <w:rFonts w:ascii="Times New Roman" w:hAnsi="Times New Roman" w:cs="Times New Roman"/>
          <w:szCs w:val="28"/>
          <w:shd w:val="clear" w:color="auto" w:fill="FFFFFF"/>
        </w:rPr>
        <w:t xml:space="preserve">En consecuencia, resolvió </w:t>
      </w:r>
      <w:r w:rsidRPr="005D08AD">
        <w:rPr>
          <w:rFonts w:ascii="Times New Roman" w:hAnsi="Times New Roman" w:cs="Times New Roman"/>
          <w:szCs w:val="28"/>
          <w:shd w:val="clear" w:color="auto" w:fill="FFFFFF"/>
        </w:rPr>
        <w:t>“declarar exequible el artículo 48 de la Le</w:t>
      </w:r>
      <w:r w:rsidRPr="005D08AD">
        <w:rPr>
          <w:rFonts w:ascii="Times New Roman" w:hAnsi="Times New Roman" w:cs="Times New Roman"/>
          <w:szCs w:val="28"/>
          <w:shd w:val="clear" w:color="auto" w:fill="FFFFFF"/>
        </w:rPr>
        <w:t>y</w:t>
      </w:r>
      <w:r w:rsidRPr="005D08AD">
        <w:rPr>
          <w:rFonts w:ascii="Times New Roman" w:hAnsi="Times New Roman" w:cs="Times New Roman"/>
          <w:szCs w:val="28"/>
          <w:shd w:val="clear" w:color="auto" w:fill="FFFFFF"/>
        </w:rPr>
        <w:t xml:space="preserve"> 1438 </w:t>
      </w:r>
      <w:r w:rsidRPr="005D08AD">
        <w:rPr>
          <w:rFonts w:ascii="Times New Roman" w:hAnsi="Times New Roman" w:cs="Times New Roman"/>
          <w:szCs w:val="28"/>
          <w:shd w:val="clear" w:color="auto" w:fill="FFFFFF"/>
        </w:rPr>
        <w:t>“Por medio de la cual se reforma el Sistema General de Seguridad Social en Salud y se dictan otras dispo</w:t>
      </w:r>
      <w:r w:rsidRPr="005D08AD">
        <w:rPr>
          <w:rFonts w:ascii="Times New Roman" w:hAnsi="Times New Roman" w:cs="Times New Roman"/>
          <w:szCs w:val="28"/>
          <w:shd w:val="clear" w:color="auto" w:fill="FFFFFF"/>
        </w:rPr>
        <w:t>siciones”.</w:t>
      </w:r>
    </w:p>
    <w:p w:rsidR="008C1582" w:rsidRPr="005D08AD" w:rsidRDefault="005D08AD" w:rsidP="000F460E">
      <w:pPr>
        <w:pStyle w:val="Prrafodelista"/>
        <w:spacing w:after="0" w:line="240" w:lineRule="auto"/>
        <w:ind w:left="0"/>
        <w:rPr>
          <w:rFonts w:ascii="Times New Roman" w:hAnsi="Times New Roman" w:cs="Times New Roman"/>
          <w:szCs w:val="28"/>
          <w:shd w:val="clear" w:color="auto" w:fill="FFFFFF"/>
        </w:rPr>
      </w:pPr>
    </w:p>
    <w:p w:rsidR="00F538AE"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Así pues, e</w:t>
      </w:r>
      <w:r w:rsidRPr="005D08AD">
        <w:rPr>
          <w:rFonts w:ascii="Times New Roman" w:hAnsi="Times New Roman" w:cs="Times New Roman"/>
          <w:szCs w:val="28"/>
          <w:shd w:val="clear" w:color="auto" w:fill="FFFFFF"/>
        </w:rPr>
        <w:t xml:space="preserve">n el presente caso, </w:t>
      </w:r>
      <w:r w:rsidRPr="005D08AD">
        <w:rPr>
          <w:rFonts w:ascii="Times New Roman" w:hAnsi="Times New Roman" w:cs="Times New Roman"/>
          <w:szCs w:val="28"/>
          <w:shd w:val="clear" w:color="auto" w:fill="FFFFFF"/>
        </w:rPr>
        <w:t>estas dos sentencias se han</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referido o están relacionadas </w:t>
      </w:r>
      <w:r w:rsidRPr="005D08AD">
        <w:rPr>
          <w:rFonts w:ascii="Times New Roman" w:hAnsi="Times New Roman" w:cs="Times New Roman"/>
          <w:szCs w:val="28"/>
          <w:shd w:val="clear" w:color="auto" w:fill="FFFFFF"/>
        </w:rPr>
        <w:t>con la norma demanda</w:t>
      </w:r>
      <w:r w:rsidRPr="005D08AD">
        <w:rPr>
          <w:rFonts w:ascii="Times New Roman" w:hAnsi="Times New Roman" w:cs="Times New Roman"/>
          <w:szCs w:val="28"/>
          <w:shd w:val="clear" w:color="auto" w:fill="FFFFFF"/>
        </w:rPr>
        <w:t>da</w:t>
      </w:r>
      <w:r w:rsidRPr="005D08AD">
        <w:rPr>
          <w:rFonts w:ascii="Times New Roman" w:hAnsi="Times New Roman" w:cs="Times New Roman"/>
          <w:szCs w:val="28"/>
          <w:shd w:val="clear" w:color="auto" w:fill="FFFFFF"/>
        </w:rPr>
        <w:t xml:space="preserve"> en esta </w:t>
      </w:r>
      <w:r w:rsidRPr="005D08AD">
        <w:rPr>
          <w:rFonts w:ascii="Times New Roman" w:hAnsi="Times New Roman" w:cs="Times New Roman"/>
          <w:szCs w:val="28"/>
          <w:shd w:val="clear" w:color="auto" w:fill="FFFFFF"/>
        </w:rPr>
        <w:t>ocasión</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No obstante</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pese a su cercanía, </w:t>
      </w:r>
      <w:r w:rsidRPr="005D08AD">
        <w:rPr>
          <w:rFonts w:ascii="Times New Roman" w:hAnsi="Times New Roman" w:cs="Times New Roman"/>
          <w:szCs w:val="28"/>
          <w:shd w:val="clear" w:color="auto" w:fill="FFFFFF"/>
        </w:rPr>
        <w:t xml:space="preserve">la Sala constata </w:t>
      </w:r>
      <w:r w:rsidRPr="005D08AD">
        <w:rPr>
          <w:rFonts w:ascii="Times New Roman" w:hAnsi="Times New Roman" w:cs="Times New Roman"/>
          <w:szCs w:val="28"/>
          <w:shd w:val="clear" w:color="auto" w:fill="FFFFFF"/>
        </w:rPr>
        <w:t>que</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respecto de estas dos decisi</w:t>
      </w:r>
      <w:r w:rsidRPr="005D08AD">
        <w:rPr>
          <w:rFonts w:ascii="Times New Roman" w:hAnsi="Times New Roman" w:cs="Times New Roman"/>
          <w:szCs w:val="28"/>
          <w:shd w:val="clear" w:color="auto" w:fill="FFFFFF"/>
        </w:rPr>
        <w:t>ones,</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en el presente caso </w:t>
      </w:r>
      <w:r w:rsidRPr="005D08AD">
        <w:rPr>
          <w:rFonts w:ascii="Times New Roman" w:hAnsi="Times New Roman" w:cs="Times New Roman"/>
          <w:szCs w:val="28"/>
          <w:shd w:val="clear" w:color="auto" w:fill="FFFFFF"/>
        </w:rPr>
        <w:t xml:space="preserve">no se configura </w:t>
      </w:r>
      <w:r w:rsidRPr="005D08AD">
        <w:rPr>
          <w:rFonts w:ascii="Times New Roman" w:hAnsi="Times New Roman" w:cs="Times New Roman"/>
          <w:szCs w:val="28"/>
          <w:shd w:val="clear" w:color="auto" w:fill="FFFFFF"/>
        </w:rPr>
        <w:t xml:space="preserve">en estricto sentido </w:t>
      </w:r>
      <w:r w:rsidRPr="005D08AD">
        <w:rPr>
          <w:rFonts w:ascii="Times New Roman" w:hAnsi="Times New Roman" w:cs="Times New Roman"/>
          <w:szCs w:val="28"/>
          <w:shd w:val="clear" w:color="auto" w:fill="FFFFFF"/>
        </w:rPr>
        <w:t>el fenómeno de la cosa juzgada</w:t>
      </w:r>
      <w:r w:rsidRPr="005D08AD">
        <w:rPr>
          <w:rFonts w:ascii="Times New Roman" w:hAnsi="Times New Roman" w:cs="Times New Roman"/>
          <w:szCs w:val="28"/>
          <w:shd w:val="clear" w:color="auto" w:fill="FFFFFF"/>
        </w:rPr>
        <w:t xml:space="preserve"> constitucional</w:t>
      </w:r>
      <w:r w:rsidRPr="005D08AD">
        <w:rPr>
          <w:rFonts w:ascii="Times New Roman" w:hAnsi="Times New Roman" w:cs="Times New Roman"/>
          <w:szCs w:val="28"/>
          <w:shd w:val="clear" w:color="auto" w:fill="FFFFFF"/>
        </w:rPr>
        <w:t xml:space="preserve"> y</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por ende, </w:t>
      </w:r>
      <w:r w:rsidRPr="005D08AD">
        <w:rPr>
          <w:rFonts w:ascii="Times New Roman" w:hAnsi="Times New Roman" w:cs="Times New Roman"/>
          <w:szCs w:val="28"/>
          <w:shd w:val="clear" w:color="auto" w:fill="FFFFFF"/>
        </w:rPr>
        <w:t>procede un estudio de fondo</w:t>
      </w:r>
      <w:r w:rsidRPr="005D08AD">
        <w:rPr>
          <w:rFonts w:ascii="Times New Roman" w:hAnsi="Times New Roman" w:cs="Times New Roman"/>
          <w:szCs w:val="28"/>
          <w:shd w:val="clear" w:color="auto" w:fill="FFFFFF"/>
        </w:rPr>
        <w:t>, por las siguientes</w:t>
      </w:r>
      <w:r w:rsidRPr="005D08AD">
        <w:rPr>
          <w:rFonts w:ascii="Times New Roman" w:hAnsi="Times New Roman" w:cs="Times New Roman"/>
          <w:szCs w:val="28"/>
          <w:shd w:val="clear" w:color="auto" w:fill="FFFFFF"/>
        </w:rPr>
        <w:t xml:space="preserve"> razones:</w:t>
      </w:r>
    </w:p>
    <w:p w:rsidR="00F538AE" w:rsidRPr="005D08AD" w:rsidRDefault="005D08AD" w:rsidP="005F72BB">
      <w:pPr>
        <w:contextualSpacing/>
        <w:mirrorIndents/>
        <w:rPr>
          <w:rFonts w:ascii="Times New Roman" w:hAnsi="Times New Roman" w:cs="Times New Roman"/>
          <w:i/>
          <w:iCs/>
          <w:sz w:val="28"/>
          <w:szCs w:val="28"/>
          <w:shd w:val="clear" w:color="auto" w:fill="FFFFFF"/>
        </w:rPr>
      </w:pPr>
    </w:p>
    <w:p w:rsidR="00F538AE"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 xml:space="preserve">En primer lugar, </w:t>
      </w:r>
      <w:r w:rsidRPr="005D08AD">
        <w:rPr>
          <w:rFonts w:ascii="Times New Roman" w:hAnsi="Times New Roman" w:cs="Times New Roman"/>
          <w:szCs w:val="28"/>
          <w:shd w:val="clear" w:color="auto" w:fill="FFFFFF"/>
        </w:rPr>
        <w:t>en la</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Sentencia C-390 de 1996</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la Corte resolvió una demanda de inconstitucionalidad </w:t>
      </w:r>
      <w:r w:rsidRPr="005D08AD">
        <w:rPr>
          <w:rFonts w:ascii="Times New Roman" w:hAnsi="Times New Roman" w:cs="Times New Roman"/>
          <w:szCs w:val="28"/>
          <w:shd w:val="clear" w:color="auto" w:fill="FFFFFF"/>
        </w:rPr>
        <w:t>formulada contra el artículo 224 de la Ley 100 de 1993</w:t>
      </w:r>
      <w:r w:rsidRPr="005D08AD">
        <w:rPr>
          <w:rStyle w:val="Refdenotaalpie"/>
          <w:rFonts w:ascii="Times New Roman" w:hAnsi="Times New Roman"/>
          <w:szCs w:val="28"/>
          <w:shd w:val="clear" w:color="auto" w:fill="FFFFFF"/>
        </w:rPr>
        <w:footnoteReference w:id="40"/>
      </w:r>
      <w:r w:rsidRPr="005D08AD">
        <w:rPr>
          <w:rFonts w:ascii="Times New Roman" w:hAnsi="Times New Roman" w:cs="Times New Roman"/>
          <w:szCs w:val="28"/>
          <w:shd w:val="clear" w:color="auto" w:fill="FFFFFF"/>
        </w:rPr>
        <w:t>. En aquella oportunidad el estudio de constitucionalidad tuvo dos alcances</w:t>
      </w:r>
      <w:r w:rsidRPr="005D08AD">
        <w:rPr>
          <w:rFonts w:ascii="Times New Roman" w:hAnsi="Times New Roman" w:cs="Times New Roman"/>
          <w:szCs w:val="28"/>
          <w:shd w:val="clear" w:color="auto" w:fill="FFFFFF"/>
        </w:rPr>
        <w:t>, uno por presunta afectación al principio de unidad de materia</w:t>
      </w:r>
      <w:r w:rsidRPr="005D08AD">
        <w:rPr>
          <w:rStyle w:val="Refdenotaalpie"/>
          <w:rFonts w:ascii="Times New Roman" w:hAnsi="Times New Roman"/>
          <w:szCs w:val="28"/>
          <w:shd w:val="clear" w:color="auto" w:fill="FFFFFF"/>
        </w:rPr>
        <w:footnoteReference w:id="41"/>
      </w:r>
      <w:r w:rsidRPr="005D08AD">
        <w:rPr>
          <w:rFonts w:ascii="Times New Roman" w:hAnsi="Times New Roman" w:cs="Times New Roman"/>
          <w:szCs w:val="28"/>
          <w:shd w:val="clear" w:color="auto" w:fill="FFFFFF"/>
        </w:rPr>
        <w:t xml:space="preserve"> y </w:t>
      </w:r>
      <w:r w:rsidRPr="005D08AD">
        <w:rPr>
          <w:rFonts w:ascii="Times New Roman" w:hAnsi="Times New Roman" w:cs="Times New Roman"/>
          <w:szCs w:val="28"/>
          <w:shd w:val="clear" w:color="auto" w:fill="FFFFFF"/>
        </w:rPr>
        <w:t>otro</w:t>
      </w:r>
      <w:r w:rsidRPr="005D08AD">
        <w:rPr>
          <w:rFonts w:ascii="Times New Roman" w:hAnsi="Times New Roman" w:cs="Times New Roman"/>
          <w:szCs w:val="28"/>
          <w:shd w:val="clear" w:color="auto" w:fill="FFFFFF"/>
        </w:rPr>
        <w:t>, relevante para el presente estudio,</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por posible</w:t>
      </w:r>
      <w:r w:rsidRPr="005D08AD">
        <w:rPr>
          <w:rFonts w:ascii="Times New Roman" w:hAnsi="Times New Roman" w:cs="Times New Roman"/>
          <w:szCs w:val="28"/>
          <w:shd w:val="clear" w:color="auto" w:fill="FFFFFF"/>
        </w:rPr>
        <w:t xml:space="preserve"> violación del principio de legalidad- art. 338 Superior- </w:t>
      </w:r>
      <w:r w:rsidRPr="005D08AD">
        <w:rPr>
          <w:rFonts w:ascii="Times New Roman" w:hAnsi="Times New Roman" w:cs="Times New Roman"/>
          <w:szCs w:val="28"/>
          <w:shd w:val="clear" w:color="auto" w:fill="FFFFFF"/>
        </w:rPr>
        <w:t>debido a la ausencia</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de</w:t>
      </w:r>
      <w:r w:rsidRPr="005D08AD">
        <w:rPr>
          <w:rFonts w:ascii="Times New Roman" w:hAnsi="Times New Roman" w:cs="Times New Roman"/>
          <w:szCs w:val="28"/>
          <w:shd w:val="clear" w:color="auto" w:fill="FFFFFF"/>
        </w:rPr>
        <w:t xml:space="preserve"> determinación de los </w:t>
      </w:r>
      <w:r w:rsidRPr="005D08AD">
        <w:rPr>
          <w:rFonts w:ascii="Times New Roman" w:hAnsi="Times New Roman" w:cs="Times New Roman"/>
          <w:i/>
          <w:iCs/>
          <w:szCs w:val="28"/>
          <w:shd w:val="clear" w:color="auto" w:fill="FFFFFF"/>
        </w:rPr>
        <w:t xml:space="preserve">elementos esenciales </w:t>
      </w:r>
      <w:r w:rsidRPr="005D08AD">
        <w:rPr>
          <w:rFonts w:ascii="Times New Roman" w:hAnsi="Times New Roman" w:cs="Times New Roman"/>
          <w:i/>
          <w:iCs/>
          <w:szCs w:val="28"/>
          <w:shd w:val="clear" w:color="auto" w:fill="FFFFFF"/>
        </w:rPr>
        <w:t>de tributo</w:t>
      </w:r>
      <w:r w:rsidRPr="005D08AD">
        <w:rPr>
          <w:rFonts w:ascii="Times New Roman" w:hAnsi="Times New Roman" w:cs="Times New Roman"/>
          <w:szCs w:val="28"/>
          <w:shd w:val="clear" w:color="auto" w:fill="FFFFFF"/>
        </w:rPr>
        <w:t xml:space="preserve"> dispuestos en </w:t>
      </w:r>
      <w:r w:rsidRPr="005D08AD">
        <w:rPr>
          <w:rFonts w:ascii="Times New Roman" w:hAnsi="Times New Roman" w:cs="Times New Roman"/>
          <w:szCs w:val="28"/>
          <w:shd w:val="clear" w:color="auto" w:fill="FFFFFF"/>
        </w:rPr>
        <w:t>la mencionada norma</w:t>
      </w:r>
      <w:r w:rsidRPr="005D08AD">
        <w:rPr>
          <w:rFonts w:ascii="Times New Roman" w:hAnsi="Times New Roman" w:cs="Times New Roman"/>
          <w:szCs w:val="28"/>
          <w:shd w:val="clear" w:color="auto" w:fill="FFFFFF"/>
        </w:rPr>
        <w:t>.</w:t>
      </w:r>
    </w:p>
    <w:p w:rsidR="00712B50" w:rsidRPr="005D08AD" w:rsidRDefault="005D08AD" w:rsidP="000F460E">
      <w:pPr>
        <w:pStyle w:val="Prrafodelista"/>
        <w:spacing w:after="0" w:line="240" w:lineRule="auto"/>
        <w:ind w:left="0"/>
        <w:rPr>
          <w:rFonts w:ascii="Times New Roman" w:hAnsi="Times New Roman" w:cs="Times New Roman"/>
          <w:szCs w:val="28"/>
          <w:shd w:val="clear" w:color="auto" w:fill="FFFFFF"/>
        </w:rPr>
      </w:pPr>
    </w:p>
    <w:p w:rsidR="00B63DC2"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R</w:t>
      </w:r>
      <w:r w:rsidRPr="005D08AD">
        <w:rPr>
          <w:rFonts w:ascii="Times New Roman" w:hAnsi="Times New Roman" w:cs="Times New Roman"/>
          <w:szCs w:val="28"/>
          <w:shd w:val="clear" w:color="auto" w:fill="FFFFFF"/>
        </w:rPr>
        <w:t>especto de la posible violación al principio de legalidad</w:t>
      </w:r>
      <w:r w:rsidRPr="005D08AD">
        <w:rPr>
          <w:rFonts w:ascii="Times New Roman" w:hAnsi="Times New Roman" w:cs="Times New Roman"/>
          <w:szCs w:val="28"/>
          <w:shd w:val="clear" w:color="auto" w:fill="FFFFFF"/>
        </w:rPr>
        <w:t xml:space="preserve"> por parte del artículo </w:t>
      </w:r>
      <w:r w:rsidRPr="005D08AD">
        <w:rPr>
          <w:rFonts w:ascii="Times New Roman" w:hAnsi="Times New Roman" w:cs="Times New Roman"/>
          <w:szCs w:val="28"/>
          <w:shd w:val="clear" w:color="auto" w:fill="FFFFFF"/>
        </w:rPr>
        <w:t>224</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la demanda planteó la vulneración al artículo 338 de la Constitución porque, en criterio del </w:t>
      </w:r>
      <w:r w:rsidRPr="005D08AD">
        <w:rPr>
          <w:rFonts w:ascii="Times New Roman" w:hAnsi="Times New Roman" w:cs="Times New Roman"/>
          <w:szCs w:val="28"/>
          <w:shd w:val="clear" w:color="auto" w:fill="FFFFFF"/>
        </w:rPr>
        <w:t>demandante</w:t>
      </w:r>
      <w:r w:rsidRPr="005D08AD">
        <w:rPr>
          <w:rFonts w:ascii="Times New Roman" w:hAnsi="Times New Roman" w:cs="Times New Roman"/>
          <w:szCs w:val="28"/>
          <w:shd w:val="clear" w:color="auto" w:fill="FFFFFF"/>
        </w:rPr>
        <w:t xml:space="preserve">, el </w:t>
      </w:r>
      <w:r w:rsidRPr="005D08AD">
        <w:rPr>
          <w:rFonts w:ascii="Times New Roman" w:hAnsi="Times New Roman" w:cs="Times New Roman"/>
          <w:szCs w:val="28"/>
          <w:shd w:val="clear" w:color="auto" w:fill="FFFFFF"/>
        </w:rPr>
        <w:t>referido artículo</w:t>
      </w:r>
      <w:r w:rsidRPr="005D08AD">
        <w:rPr>
          <w:rFonts w:ascii="Times New Roman" w:hAnsi="Times New Roman" w:cs="Times New Roman"/>
          <w:szCs w:val="28"/>
          <w:shd w:val="clear" w:color="auto" w:fill="FFFFFF"/>
        </w:rPr>
        <w:t xml:space="preserve">: (i) no contemplaba el hecho generador ni el sujeto activo del impuesto social a las armas y (ii) no determinaba ninguno de los </w:t>
      </w:r>
      <w:r w:rsidRPr="005D08AD">
        <w:rPr>
          <w:rFonts w:ascii="Times New Roman" w:hAnsi="Times New Roman" w:cs="Times New Roman"/>
          <w:szCs w:val="28"/>
          <w:shd w:val="clear" w:color="auto" w:fill="FFFFFF"/>
        </w:rPr>
        <w:t xml:space="preserve">elementos de la obligación tributaria, salvo la tarifa. Ante lo anterior, la Corte estimó que la norma no vulneraba el principio de legalidad por cuanto las dos modalidades de “impuestos sociales” </w:t>
      </w:r>
      <w:r w:rsidRPr="005D08AD">
        <w:rPr>
          <w:rFonts w:ascii="Times New Roman" w:hAnsi="Times New Roman" w:cs="Times New Roman"/>
          <w:szCs w:val="28"/>
          <w:shd w:val="clear" w:color="auto" w:fill="FFFFFF"/>
        </w:rPr>
        <w:t xml:space="preserve">sí </w:t>
      </w:r>
      <w:r w:rsidRPr="005D08AD">
        <w:rPr>
          <w:rFonts w:ascii="Times New Roman" w:hAnsi="Times New Roman" w:cs="Times New Roman"/>
          <w:szCs w:val="28"/>
          <w:shd w:val="clear" w:color="auto" w:fill="FFFFFF"/>
        </w:rPr>
        <w:t xml:space="preserve">determinaban los elementos </w:t>
      </w:r>
      <w:r w:rsidRPr="005D08AD">
        <w:rPr>
          <w:rFonts w:ascii="Times New Roman" w:hAnsi="Times New Roman" w:cs="Times New Roman"/>
          <w:szCs w:val="28"/>
          <w:shd w:val="clear" w:color="auto" w:fill="FFFFFF"/>
        </w:rPr>
        <w:t xml:space="preserve">esenciales </w:t>
      </w:r>
      <w:r w:rsidRPr="005D08AD">
        <w:rPr>
          <w:rFonts w:ascii="Times New Roman" w:hAnsi="Times New Roman" w:cs="Times New Roman"/>
          <w:szCs w:val="28"/>
          <w:shd w:val="clear" w:color="auto" w:fill="FFFFFF"/>
        </w:rPr>
        <w:t>del tributo.</w:t>
      </w:r>
    </w:p>
    <w:p w:rsidR="00B63DC2" w:rsidRPr="005D08AD" w:rsidRDefault="005D08AD" w:rsidP="005F72BB">
      <w:pPr>
        <w:pStyle w:val="Prrafodelista"/>
        <w:spacing w:after="0" w:line="240" w:lineRule="auto"/>
        <w:ind w:left="0"/>
        <w:mirrorIndents/>
        <w:rPr>
          <w:rFonts w:ascii="Times New Roman" w:hAnsi="Times New Roman" w:cs="Times New Roman"/>
          <w:szCs w:val="28"/>
          <w:shd w:val="clear" w:color="auto" w:fill="FFFFFF"/>
        </w:rPr>
      </w:pPr>
    </w:p>
    <w:p w:rsidR="00F538AE"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En </w:t>
      </w:r>
      <w:r w:rsidRPr="005D08AD">
        <w:rPr>
          <w:rFonts w:ascii="Times New Roman" w:hAnsi="Times New Roman" w:cs="Times New Roman"/>
          <w:szCs w:val="28"/>
          <w:shd w:val="clear" w:color="auto" w:fill="FFFFFF"/>
        </w:rPr>
        <w:t>concreto, s</w:t>
      </w:r>
      <w:r w:rsidRPr="005D08AD">
        <w:rPr>
          <w:rFonts w:ascii="Times New Roman" w:hAnsi="Times New Roman" w:cs="Times New Roman"/>
          <w:szCs w:val="28"/>
          <w:shd w:val="clear" w:color="auto" w:fill="FFFFFF"/>
        </w:rPr>
        <w:t>obre el</w:t>
      </w:r>
      <w:r w:rsidRPr="005D08AD">
        <w:rPr>
          <w:rFonts w:ascii="Times New Roman" w:hAnsi="Times New Roman" w:cs="Times New Roman"/>
          <w:szCs w:val="28"/>
          <w:shd w:val="clear" w:color="auto" w:fill="FFFFFF"/>
        </w:rPr>
        <w:t xml:space="preserve"> primer impuesto que regula la norma, esto es, el</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i/>
          <w:iCs/>
          <w:szCs w:val="28"/>
          <w:shd w:val="clear" w:color="auto" w:fill="FFFFFF"/>
        </w:rPr>
        <w:t>impuesto social a las armas</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la Sala </w:t>
      </w:r>
      <w:r w:rsidRPr="005D08AD">
        <w:rPr>
          <w:rFonts w:ascii="Times New Roman" w:hAnsi="Times New Roman" w:cs="Times New Roman"/>
          <w:szCs w:val="28"/>
          <w:shd w:val="clear" w:color="auto" w:fill="FFFFFF"/>
        </w:rPr>
        <w:t xml:space="preserve">consideró </w:t>
      </w:r>
      <w:r w:rsidRPr="005D08AD">
        <w:rPr>
          <w:rFonts w:ascii="Times New Roman" w:hAnsi="Times New Roman" w:cs="Times New Roman"/>
          <w:szCs w:val="28"/>
          <w:shd w:val="clear" w:color="auto" w:fill="FFFFFF"/>
        </w:rPr>
        <w:t>que los elementos esenciales del tributo eran determinables así:</w:t>
      </w:r>
      <w:r w:rsidRPr="005D08AD">
        <w:rPr>
          <w:rFonts w:ascii="Times New Roman" w:hAnsi="Times New Roman" w:cs="Times New Roman"/>
          <w:szCs w:val="20"/>
          <w:shd w:val="clear" w:color="auto" w:fill="FFFFFF"/>
        </w:rPr>
        <w:t xml:space="preserve"> </w:t>
      </w:r>
      <w:r w:rsidRPr="005D08AD">
        <w:rPr>
          <w:rFonts w:ascii="Times New Roman" w:hAnsi="Times New Roman" w:cs="Times New Roman"/>
          <w:szCs w:val="28"/>
          <w:shd w:val="clear" w:color="auto" w:fill="FFFFFF"/>
        </w:rPr>
        <w:t>(i) el sujeto activo: la Nación; (ii) el sujeto pasivo: las personas que por</w:t>
      </w:r>
      <w:r w:rsidRPr="005D08AD">
        <w:rPr>
          <w:rFonts w:ascii="Times New Roman" w:hAnsi="Times New Roman" w:cs="Times New Roman"/>
          <w:szCs w:val="28"/>
          <w:shd w:val="clear" w:color="auto" w:fill="FFFFFF"/>
        </w:rPr>
        <w:t>ten armas de fuego; (iii) hecho gravable</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el porte de las armas y; (iv) base gravable: el 10% de un salario mínimo mensual. Por otro lado, en cuanto al </w:t>
      </w:r>
      <w:r w:rsidRPr="005D08AD">
        <w:rPr>
          <w:rFonts w:ascii="Times New Roman" w:hAnsi="Times New Roman" w:cs="Times New Roman"/>
          <w:i/>
          <w:iCs/>
          <w:szCs w:val="28"/>
          <w:shd w:val="clear" w:color="auto" w:fill="FFFFFF"/>
        </w:rPr>
        <w:t>impuesto social de municiones y explosivos</w:t>
      </w:r>
      <w:r w:rsidRPr="005D08AD">
        <w:rPr>
          <w:rFonts w:ascii="Times New Roman" w:hAnsi="Times New Roman" w:cs="Times New Roman"/>
          <w:szCs w:val="28"/>
          <w:shd w:val="clear" w:color="auto" w:fill="FFFFFF"/>
        </w:rPr>
        <w:t xml:space="preserve">, refirió estos elementos </w:t>
      </w:r>
      <w:r w:rsidRPr="005D08AD">
        <w:rPr>
          <w:rFonts w:ascii="Times New Roman" w:hAnsi="Times New Roman" w:cs="Times New Roman"/>
          <w:szCs w:val="28"/>
          <w:shd w:val="clear" w:color="auto" w:fill="FFFFFF"/>
        </w:rPr>
        <w:t>así</w:t>
      </w:r>
      <w:r w:rsidRPr="005D08AD">
        <w:rPr>
          <w:rFonts w:ascii="Times New Roman" w:hAnsi="Times New Roman" w:cs="Times New Roman"/>
          <w:szCs w:val="28"/>
          <w:shd w:val="clear" w:color="auto" w:fill="FFFFFF"/>
        </w:rPr>
        <w:t xml:space="preserve">: (i) el sujeto activo era la </w:t>
      </w:r>
      <w:r w:rsidRPr="005D08AD">
        <w:rPr>
          <w:rFonts w:ascii="Times New Roman" w:hAnsi="Times New Roman" w:cs="Times New Roman"/>
          <w:szCs w:val="28"/>
          <w:shd w:val="clear" w:color="auto" w:fill="FFFFFF"/>
        </w:rPr>
        <w:t>Nación; (ii) el sujeto pasivo los tenedores de municiones y explosivos distintos a los exceptuados; (iii) la base gravable se encontraba constituida por el 5% del valor económico de la cantidad de elementos gravados que se porte puesto que se trata de un i</w:t>
      </w:r>
      <w:r w:rsidRPr="005D08AD">
        <w:rPr>
          <w:rFonts w:ascii="Times New Roman" w:hAnsi="Times New Roman" w:cs="Times New Roman"/>
          <w:szCs w:val="28"/>
          <w:shd w:val="clear" w:color="auto" w:fill="FFFFFF"/>
        </w:rPr>
        <w:t>mpuesto “ad valorem”. Adicionalmente, adujo que “al igual que en el gravamen ya examinado, se parte del supuesto de que el portador de las municiones y los explosivos obtendrá el permiso de la autoridad competente, pues el cobro del impuesto se concreta al</w:t>
      </w:r>
      <w:r w:rsidRPr="005D08AD">
        <w:rPr>
          <w:rFonts w:ascii="Times New Roman" w:hAnsi="Times New Roman" w:cs="Times New Roman"/>
          <w:szCs w:val="28"/>
          <w:shd w:val="clear" w:color="auto" w:fill="FFFFFF"/>
        </w:rPr>
        <w:t xml:space="preserve"> expedirlo o renovarlo.”</w:t>
      </w:r>
    </w:p>
    <w:p w:rsidR="00F538AE" w:rsidRPr="005D08AD" w:rsidRDefault="005D08AD" w:rsidP="005F72BB">
      <w:pPr>
        <w:pStyle w:val="Prrafodelista"/>
        <w:spacing w:after="0" w:line="240" w:lineRule="auto"/>
        <w:ind w:left="0"/>
        <w:mirrorIndents/>
        <w:rPr>
          <w:rFonts w:ascii="Times New Roman" w:hAnsi="Times New Roman" w:cs="Times New Roman"/>
          <w:szCs w:val="28"/>
          <w:shd w:val="clear" w:color="auto" w:fill="FFFFFF"/>
        </w:rPr>
      </w:pPr>
    </w:p>
    <w:p w:rsidR="00A7465A"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 xml:space="preserve">Ahora bien, </w:t>
      </w:r>
      <w:r w:rsidRPr="005D08AD">
        <w:rPr>
          <w:rFonts w:ascii="Times New Roman" w:hAnsi="Times New Roman" w:cs="Times New Roman"/>
          <w:szCs w:val="28"/>
          <w:shd w:val="clear" w:color="auto" w:fill="FFFFFF"/>
        </w:rPr>
        <w:t xml:space="preserve">en </w:t>
      </w:r>
      <w:r w:rsidRPr="005D08AD">
        <w:rPr>
          <w:rFonts w:ascii="Times New Roman" w:hAnsi="Times New Roman" w:cs="Times New Roman"/>
          <w:szCs w:val="28"/>
          <w:shd w:val="clear" w:color="auto" w:fill="FFFFFF"/>
        </w:rPr>
        <w:t>la demanda objeto de estudio</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se </w:t>
      </w:r>
      <w:r w:rsidRPr="005D08AD">
        <w:rPr>
          <w:rFonts w:ascii="Times New Roman" w:hAnsi="Times New Roman" w:cs="Times New Roman"/>
          <w:szCs w:val="28"/>
          <w:shd w:val="clear" w:color="auto" w:fill="FFFFFF"/>
        </w:rPr>
        <w:t xml:space="preserve">plantea un único cargo de constitucionalidad sobre la presunta afectación del artículo 338 de la Constitución </w:t>
      </w:r>
      <w:r w:rsidRPr="005D08AD">
        <w:rPr>
          <w:rFonts w:ascii="Times New Roman" w:hAnsi="Times New Roman" w:cs="Times New Roman"/>
          <w:szCs w:val="28"/>
          <w:shd w:val="clear" w:color="auto" w:fill="FFFFFF"/>
        </w:rPr>
        <w:t xml:space="preserve">específicamente </w:t>
      </w:r>
      <w:r w:rsidRPr="005D08AD">
        <w:rPr>
          <w:rFonts w:ascii="Times New Roman" w:hAnsi="Times New Roman" w:cs="Times New Roman"/>
          <w:szCs w:val="28"/>
          <w:shd w:val="clear" w:color="auto" w:fill="FFFFFF"/>
        </w:rPr>
        <w:t>porque, en criterio del demandante, el impuesto social d</w:t>
      </w:r>
      <w:r w:rsidRPr="005D08AD">
        <w:rPr>
          <w:rFonts w:ascii="Times New Roman" w:hAnsi="Times New Roman" w:cs="Times New Roman"/>
          <w:szCs w:val="28"/>
          <w:shd w:val="clear" w:color="auto" w:fill="FFFFFF"/>
        </w:rPr>
        <w:t xml:space="preserve">e municiones y explosivos contenido en el artículo 48 de la Ley 1438 de 2011 no determina </w:t>
      </w:r>
      <w:r w:rsidRPr="005D08AD">
        <w:rPr>
          <w:rFonts w:ascii="Times New Roman" w:hAnsi="Times New Roman" w:cs="Times New Roman"/>
          <w:szCs w:val="28"/>
          <w:shd w:val="clear" w:color="auto" w:fill="FFFFFF"/>
        </w:rPr>
        <w:t>cuál</w:t>
      </w:r>
      <w:r w:rsidRPr="005D08AD">
        <w:rPr>
          <w:rFonts w:ascii="Times New Roman" w:hAnsi="Times New Roman" w:cs="Times New Roman"/>
          <w:szCs w:val="28"/>
          <w:shd w:val="clear" w:color="auto" w:fill="FFFFFF"/>
        </w:rPr>
        <w:t xml:space="preserve"> es </w:t>
      </w:r>
      <w:r w:rsidRPr="005D08AD">
        <w:rPr>
          <w:rFonts w:ascii="Times New Roman" w:hAnsi="Times New Roman" w:cs="Times New Roman"/>
          <w:szCs w:val="28"/>
          <w:shd w:val="clear" w:color="auto" w:fill="FFFFFF"/>
        </w:rPr>
        <w:t xml:space="preserve">su </w:t>
      </w:r>
      <w:r w:rsidRPr="005D08AD">
        <w:rPr>
          <w:rFonts w:ascii="Times New Roman" w:hAnsi="Times New Roman" w:cs="Times New Roman"/>
          <w:i/>
          <w:iCs/>
          <w:szCs w:val="28"/>
          <w:shd w:val="clear" w:color="auto" w:fill="FFFFFF"/>
        </w:rPr>
        <w:t>hecho generador</w:t>
      </w:r>
      <w:r w:rsidRPr="005D08AD">
        <w:rPr>
          <w:rFonts w:ascii="Times New Roman" w:hAnsi="Times New Roman" w:cs="Times New Roman"/>
          <w:szCs w:val="28"/>
          <w:shd w:val="clear" w:color="auto" w:fill="FFFFFF"/>
        </w:rPr>
        <w:t xml:space="preserve">. </w:t>
      </w:r>
    </w:p>
    <w:p w:rsidR="00A7465A" w:rsidRPr="005D08AD" w:rsidRDefault="005D08AD" w:rsidP="005F72BB">
      <w:pPr>
        <w:pStyle w:val="Prrafodelista"/>
        <w:spacing w:after="0" w:line="240" w:lineRule="auto"/>
        <w:ind w:left="0"/>
        <w:mirrorIndents/>
        <w:rPr>
          <w:rFonts w:ascii="Times New Roman" w:hAnsi="Times New Roman" w:cs="Times New Roman"/>
          <w:szCs w:val="28"/>
          <w:shd w:val="clear" w:color="auto" w:fill="FFFFFF"/>
        </w:rPr>
      </w:pPr>
    </w:p>
    <w:p w:rsidR="007E3101"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 xml:space="preserve">En ese sentido, </w:t>
      </w:r>
      <w:r w:rsidRPr="005D08AD">
        <w:rPr>
          <w:rFonts w:ascii="Times New Roman" w:hAnsi="Times New Roman" w:cs="Times New Roman"/>
          <w:szCs w:val="28"/>
          <w:shd w:val="clear" w:color="auto" w:fill="FFFFFF"/>
        </w:rPr>
        <w:t>podría alegarse la existencia de una</w:t>
      </w:r>
      <w:r w:rsidRPr="005D08AD">
        <w:rPr>
          <w:rFonts w:ascii="Times New Roman" w:hAnsi="Times New Roman" w:cs="Times New Roman"/>
          <w:szCs w:val="28"/>
          <w:shd w:val="clear" w:color="auto" w:fill="FFFFFF"/>
        </w:rPr>
        <w:t xml:space="preserve"> cosa juzgada constitucional por cuanto: (i) el artículo 48 de la Ley 1438 de 2011 e</w:t>
      </w:r>
      <w:r w:rsidRPr="005D08AD">
        <w:rPr>
          <w:rFonts w:ascii="Times New Roman" w:hAnsi="Times New Roman" w:cs="Times New Roman"/>
          <w:szCs w:val="28"/>
          <w:shd w:val="clear" w:color="auto" w:fill="FFFFFF"/>
        </w:rPr>
        <w:t xml:space="preserve">s </w:t>
      </w:r>
      <w:r w:rsidRPr="005D08AD">
        <w:rPr>
          <w:rFonts w:ascii="Times New Roman" w:hAnsi="Times New Roman" w:cs="Times New Roman"/>
          <w:szCs w:val="28"/>
          <w:shd w:val="clear" w:color="auto" w:fill="FFFFFF"/>
        </w:rPr>
        <w:t>normativamente</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equivalente</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al artículo 224 de la Ley 100 de 1993. En efecto, el artículo 48 actualmente cuestionado mantuvo los dos impuestos sociales creados por la Ley 100</w:t>
      </w:r>
      <w:r w:rsidRPr="005D08AD">
        <w:rPr>
          <w:rFonts w:ascii="Times New Roman" w:hAnsi="Times New Roman" w:cs="Times New Roman"/>
          <w:szCs w:val="28"/>
          <w:shd w:val="clear" w:color="auto" w:fill="FFFFFF"/>
        </w:rPr>
        <w:t xml:space="preserve"> en la medida que la </w:t>
      </w:r>
      <w:r w:rsidRPr="005D08AD">
        <w:rPr>
          <w:rFonts w:ascii="Times New Roman" w:hAnsi="Times New Roman" w:cs="Times New Roman"/>
          <w:szCs w:val="28"/>
          <w:shd w:val="clear" w:color="auto" w:fill="FFFFFF"/>
        </w:rPr>
        <w:t xml:space="preserve">modificación </w:t>
      </w:r>
      <w:r w:rsidRPr="005D08AD">
        <w:rPr>
          <w:rFonts w:ascii="Times New Roman" w:hAnsi="Times New Roman" w:cs="Times New Roman"/>
          <w:szCs w:val="28"/>
          <w:shd w:val="clear" w:color="auto" w:fill="FFFFFF"/>
        </w:rPr>
        <w:t>posterior solo aumentó</w:t>
      </w:r>
      <w:r w:rsidRPr="005D08AD">
        <w:rPr>
          <w:rFonts w:ascii="Times New Roman" w:hAnsi="Times New Roman" w:cs="Times New Roman"/>
          <w:szCs w:val="28"/>
          <w:shd w:val="clear" w:color="auto" w:fill="FFFFFF"/>
        </w:rPr>
        <w:t xml:space="preserve"> el porcentaje de la tarifa; (ii) la demanda estudiada en la Sentencia C-390 de 1996 </w:t>
      </w:r>
      <w:r w:rsidRPr="005D08AD">
        <w:rPr>
          <w:rFonts w:ascii="Times New Roman" w:hAnsi="Times New Roman" w:cs="Times New Roman"/>
          <w:szCs w:val="28"/>
          <w:shd w:val="clear" w:color="auto" w:fill="FFFFFF"/>
        </w:rPr>
        <w:t>cuestionó</w:t>
      </w:r>
      <w:r w:rsidRPr="005D08AD">
        <w:rPr>
          <w:rFonts w:ascii="Times New Roman" w:hAnsi="Times New Roman" w:cs="Times New Roman"/>
          <w:szCs w:val="28"/>
          <w:shd w:val="clear" w:color="auto" w:fill="FFFFFF"/>
        </w:rPr>
        <w:t xml:space="preserve"> la constitucionalidad del impuesto social de municiones y explosivos, entre otras razones, porque </w:t>
      </w:r>
      <w:r w:rsidRPr="005D08AD">
        <w:rPr>
          <w:rFonts w:ascii="Times New Roman" w:hAnsi="Times New Roman" w:cs="Times New Roman"/>
          <w:szCs w:val="28"/>
          <w:shd w:val="clear" w:color="auto" w:fill="FFFFFF"/>
        </w:rPr>
        <w:t>en su opinión el</w:t>
      </w:r>
      <w:r w:rsidRPr="005D08AD">
        <w:rPr>
          <w:rFonts w:ascii="Times New Roman" w:hAnsi="Times New Roman" w:cs="Times New Roman"/>
          <w:szCs w:val="28"/>
          <w:shd w:val="clear" w:color="auto" w:fill="FFFFFF"/>
        </w:rPr>
        <w:t xml:space="preserve"> tributo no dispuso el hecho generador. </w:t>
      </w:r>
    </w:p>
    <w:p w:rsidR="007E3101" w:rsidRPr="005D08AD" w:rsidRDefault="005D08AD" w:rsidP="005F72BB">
      <w:pPr>
        <w:rPr>
          <w:rFonts w:ascii="Times New Roman" w:hAnsi="Times New Roman" w:cs="Times New Roman"/>
          <w:sz w:val="28"/>
          <w:szCs w:val="28"/>
          <w:shd w:val="clear" w:color="auto" w:fill="FFFFFF"/>
          <w:lang w:val="es-ES"/>
        </w:rPr>
      </w:pPr>
    </w:p>
    <w:p w:rsidR="00B677A9"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 xml:space="preserve">Pese a lo anterior, aun cuando el cargo propuesto en </w:t>
      </w:r>
      <w:r w:rsidRPr="005D08AD">
        <w:rPr>
          <w:rFonts w:ascii="Times New Roman" w:hAnsi="Times New Roman" w:cs="Times New Roman"/>
          <w:szCs w:val="28"/>
          <w:shd w:val="clear" w:color="auto" w:fill="FFFFFF"/>
        </w:rPr>
        <w:t>esa</w:t>
      </w:r>
      <w:r w:rsidRPr="005D08AD">
        <w:rPr>
          <w:rFonts w:ascii="Times New Roman" w:hAnsi="Times New Roman" w:cs="Times New Roman"/>
          <w:szCs w:val="28"/>
          <w:shd w:val="clear" w:color="auto" w:fill="FFFFFF"/>
        </w:rPr>
        <w:t xml:space="preserve"> oportunidad es similar al que hoy </w:t>
      </w:r>
      <w:r w:rsidRPr="005D08AD">
        <w:rPr>
          <w:rFonts w:ascii="Times New Roman" w:hAnsi="Times New Roman" w:cs="Times New Roman"/>
          <w:szCs w:val="28"/>
          <w:shd w:val="clear" w:color="auto" w:fill="FFFFFF"/>
        </w:rPr>
        <w:t>presentan los demandantes</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en el estudio de constitucionalidad</w:t>
      </w:r>
      <w:r w:rsidRPr="005D08AD">
        <w:rPr>
          <w:rFonts w:ascii="Times New Roman" w:hAnsi="Times New Roman" w:cs="Times New Roman"/>
          <w:szCs w:val="28"/>
          <w:shd w:val="clear" w:color="auto" w:fill="FFFFFF"/>
        </w:rPr>
        <w:t xml:space="preserve"> que la Sala realizó en 1996</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no se </w:t>
      </w:r>
      <w:r w:rsidRPr="005D08AD">
        <w:rPr>
          <w:rFonts w:ascii="Times New Roman" w:hAnsi="Times New Roman" w:cs="Times New Roman"/>
          <w:szCs w:val="28"/>
          <w:shd w:val="clear" w:color="auto" w:fill="FFFFFF"/>
        </w:rPr>
        <w:t>precisaron</w:t>
      </w:r>
      <w:r w:rsidRPr="005D08AD">
        <w:rPr>
          <w:rFonts w:ascii="Times New Roman" w:hAnsi="Times New Roman" w:cs="Times New Roman"/>
          <w:szCs w:val="28"/>
          <w:shd w:val="clear" w:color="auto" w:fill="FFFFFF"/>
        </w:rPr>
        <w:t xml:space="preserve"> las razones por las cuales </w:t>
      </w:r>
      <w:r w:rsidRPr="005D08AD">
        <w:rPr>
          <w:rFonts w:ascii="Times New Roman" w:hAnsi="Times New Roman" w:cs="Times New Roman"/>
          <w:szCs w:val="28"/>
          <w:shd w:val="clear" w:color="auto" w:fill="FFFFFF"/>
        </w:rPr>
        <w:t xml:space="preserve">se </w:t>
      </w:r>
      <w:r w:rsidRPr="005D08AD">
        <w:rPr>
          <w:rFonts w:ascii="Times New Roman" w:hAnsi="Times New Roman" w:cs="Times New Roman"/>
          <w:szCs w:val="28"/>
          <w:shd w:val="clear" w:color="auto" w:fill="FFFFFF"/>
        </w:rPr>
        <w:t xml:space="preserve">consideró que la norma </w:t>
      </w:r>
      <w:r w:rsidRPr="005D08AD">
        <w:rPr>
          <w:rFonts w:ascii="Times New Roman" w:hAnsi="Times New Roman" w:cs="Times New Roman"/>
          <w:szCs w:val="28"/>
          <w:shd w:val="clear" w:color="auto" w:fill="FFFFFF"/>
        </w:rPr>
        <w:t xml:space="preserve">sí </w:t>
      </w:r>
      <w:r w:rsidRPr="005D08AD">
        <w:rPr>
          <w:rFonts w:ascii="Times New Roman" w:hAnsi="Times New Roman" w:cs="Times New Roman"/>
          <w:szCs w:val="28"/>
          <w:shd w:val="clear" w:color="auto" w:fill="FFFFFF"/>
        </w:rPr>
        <w:t xml:space="preserve">definía el </w:t>
      </w:r>
      <w:r w:rsidRPr="005D08AD">
        <w:rPr>
          <w:rFonts w:ascii="Times New Roman" w:hAnsi="Times New Roman" w:cs="Times New Roman"/>
          <w:i/>
          <w:iCs/>
          <w:szCs w:val="28"/>
          <w:shd w:val="clear" w:color="auto" w:fill="FFFFFF"/>
        </w:rPr>
        <w:t>hecho generador</w:t>
      </w:r>
      <w:r w:rsidRPr="005D08AD">
        <w:rPr>
          <w:rFonts w:ascii="Times New Roman" w:hAnsi="Times New Roman" w:cs="Times New Roman"/>
          <w:szCs w:val="28"/>
          <w:shd w:val="clear" w:color="auto" w:fill="FFFFFF"/>
        </w:rPr>
        <w:t>. En efecto, la Corte sustentó la constitucionalidad del impuesto social de municiones y explosivos</w:t>
      </w:r>
      <w:r w:rsidRPr="005D08AD">
        <w:rPr>
          <w:rFonts w:ascii="Times New Roman" w:hAnsi="Times New Roman" w:cs="Times New Roman"/>
          <w:szCs w:val="28"/>
          <w:shd w:val="clear" w:color="auto" w:fill="FFFFFF"/>
        </w:rPr>
        <w:t>, así</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w:t>
      </w:r>
    </w:p>
    <w:p w:rsidR="00B677A9" w:rsidRPr="005D08AD" w:rsidRDefault="005D08AD" w:rsidP="000F460E">
      <w:pPr>
        <w:pStyle w:val="Prrafodelista"/>
        <w:spacing w:after="0" w:line="240" w:lineRule="auto"/>
        <w:ind w:left="0"/>
        <w:rPr>
          <w:rFonts w:ascii="Times New Roman" w:hAnsi="Times New Roman" w:cs="Times New Roman"/>
          <w:color w:val="2D2D2D"/>
          <w:szCs w:val="28"/>
          <w:lang w:val="es-ES_tradnl"/>
        </w:rPr>
      </w:pPr>
    </w:p>
    <w:p w:rsidR="00F538AE" w:rsidRPr="005D08AD" w:rsidRDefault="005D08AD" w:rsidP="000F460E">
      <w:pPr>
        <w:pStyle w:val="Prrafodelista"/>
        <w:spacing w:after="0" w:line="240" w:lineRule="auto"/>
        <w:ind w:left="0"/>
        <w:mirrorIndents/>
        <w:jc w:val="both"/>
        <w:rPr>
          <w:rFonts w:ascii="Times New Roman" w:hAnsi="Times New Roman" w:cs="Times New Roman"/>
          <w:szCs w:val="24"/>
          <w:shd w:val="clear" w:color="auto" w:fill="FFFFFF"/>
        </w:rPr>
      </w:pPr>
      <w:r w:rsidRPr="005D08AD">
        <w:rPr>
          <w:rFonts w:ascii="Times New Roman" w:hAnsi="Times New Roman" w:cs="Times New Roman"/>
          <w:color w:val="2D2D2D"/>
          <w:szCs w:val="24"/>
          <w:lang w:val="es-ES_tradnl"/>
        </w:rPr>
        <w:t>“2) En cuanto al ‘impuesto social a las municiones y explosivos’, puede procederse a la verificación de los requisitos con</w:t>
      </w:r>
      <w:r w:rsidRPr="005D08AD">
        <w:rPr>
          <w:rFonts w:ascii="Times New Roman" w:hAnsi="Times New Roman" w:cs="Times New Roman"/>
          <w:color w:val="2D2D2D"/>
          <w:szCs w:val="24"/>
          <w:lang w:val="es-ES_tradnl"/>
        </w:rPr>
        <w:t>stitucionales mediante un análisis de la norma legal en su conjunto, cuyo claro sentido no deja dudas.</w:t>
      </w:r>
      <w:r w:rsidRPr="005D08AD">
        <w:rPr>
          <w:rFonts w:ascii="Times New Roman" w:hAnsi="Times New Roman" w:cs="Times New Roman"/>
          <w:color w:val="2D2D2D"/>
          <w:szCs w:val="24"/>
          <w:lang w:val="es-ES_tradnl"/>
        </w:rPr>
        <w:t xml:space="preserve"> </w:t>
      </w:r>
      <w:r w:rsidRPr="005D08AD">
        <w:rPr>
          <w:rFonts w:ascii="Times New Roman" w:hAnsi="Times New Roman" w:cs="Times New Roman"/>
          <w:color w:val="2D2D2D"/>
          <w:szCs w:val="24"/>
          <w:lang w:val="es-ES_tradnl" w:eastAsia="es-CO"/>
        </w:rPr>
        <w:t xml:space="preserve">| </w:t>
      </w:r>
      <w:r w:rsidRPr="005D08AD">
        <w:rPr>
          <w:rFonts w:ascii="Times New Roman" w:hAnsi="Times New Roman" w:cs="Times New Roman"/>
          <w:color w:val="2D2D2D"/>
          <w:szCs w:val="24"/>
          <w:lang w:val="es-ES_tradnl"/>
        </w:rPr>
        <w:t xml:space="preserve">Como ya se dijo, este tributo tiene en común con el establecido sobre las armas el </w:t>
      </w:r>
      <w:r w:rsidRPr="005D08AD">
        <w:rPr>
          <w:rFonts w:ascii="Times New Roman" w:hAnsi="Times New Roman" w:cs="Times New Roman"/>
          <w:b/>
          <w:bCs/>
          <w:color w:val="2D2D2D"/>
          <w:szCs w:val="24"/>
          <w:lang w:val="es-ES_tradnl"/>
        </w:rPr>
        <w:t>sujeto activo</w:t>
      </w:r>
      <w:r w:rsidRPr="005D08AD">
        <w:rPr>
          <w:rFonts w:ascii="Times New Roman" w:hAnsi="Times New Roman" w:cs="Times New Roman"/>
          <w:color w:val="2D2D2D"/>
          <w:szCs w:val="24"/>
          <w:lang w:val="es-ES_tradnl"/>
        </w:rPr>
        <w:t xml:space="preserve"> -que, a todas luces, es la Nación- y la destinación, que ‘igualmente’, como reza el texto, es la del Fondo de Solidaridad.</w:t>
      </w:r>
      <w:r w:rsidRPr="005D08AD">
        <w:rPr>
          <w:rFonts w:ascii="Times New Roman" w:hAnsi="Times New Roman" w:cs="Times New Roman"/>
          <w:color w:val="2D2D2D"/>
          <w:szCs w:val="24"/>
          <w:lang w:eastAsia="es-CO"/>
        </w:rPr>
        <w:t xml:space="preserve"> |</w:t>
      </w:r>
      <w:r w:rsidRPr="005D08AD">
        <w:rPr>
          <w:rFonts w:ascii="Times New Roman" w:hAnsi="Times New Roman" w:cs="Times New Roman"/>
          <w:b/>
          <w:bCs/>
          <w:color w:val="2D2D2D"/>
          <w:szCs w:val="24"/>
          <w:lang w:val="es-ES_tradnl"/>
        </w:rPr>
        <w:t>Los sujetos pasivos</w:t>
      </w:r>
      <w:r w:rsidRPr="005D08AD">
        <w:rPr>
          <w:rFonts w:ascii="Times New Roman" w:hAnsi="Times New Roman" w:cs="Times New Roman"/>
          <w:color w:val="2D2D2D"/>
          <w:szCs w:val="24"/>
          <w:lang w:val="es-ES_tradnl"/>
        </w:rPr>
        <w:t xml:space="preserve"> del impuesto son, al tenor de la norma, los tenedores de municiones y explosivos, distintos de los expresamente</w:t>
      </w:r>
      <w:r w:rsidRPr="005D08AD">
        <w:rPr>
          <w:rFonts w:ascii="Times New Roman" w:hAnsi="Times New Roman" w:cs="Times New Roman"/>
          <w:color w:val="2D2D2D"/>
          <w:szCs w:val="24"/>
          <w:lang w:val="es-ES_tradnl"/>
        </w:rPr>
        <w:t xml:space="preserve"> exceptuados, que lo son las Fuerzas Armadas y de policía y las entidades de seguridad del Estado.</w:t>
      </w:r>
      <w:r w:rsidRPr="005D08AD">
        <w:rPr>
          <w:rFonts w:ascii="Times New Roman" w:hAnsi="Times New Roman" w:cs="Times New Roman"/>
          <w:color w:val="2D2D2D"/>
          <w:szCs w:val="24"/>
          <w:lang w:val="es-ES_tradnl" w:eastAsia="es-CO"/>
        </w:rPr>
        <w:t xml:space="preserve"> |</w:t>
      </w:r>
      <w:r w:rsidRPr="005D08AD">
        <w:rPr>
          <w:rFonts w:ascii="Times New Roman" w:hAnsi="Times New Roman" w:cs="Times New Roman"/>
          <w:color w:val="2D2D2D"/>
          <w:szCs w:val="24"/>
          <w:lang w:val="es-ES_tradnl"/>
        </w:rPr>
        <w:t xml:space="preserve">Puesto que se trata de un impuesto “ad valorem”, </w:t>
      </w:r>
      <w:r w:rsidRPr="005D08AD">
        <w:rPr>
          <w:rFonts w:ascii="Times New Roman" w:hAnsi="Times New Roman" w:cs="Times New Roman"/>
          <w:b/>
          <w:bCs/>
          <w:color w:val="2D2D2D"/>
          <w:szCs w:val="24"/>
          <w:lang w:val="es-ES_tradnl"/>
        </w:rPr>
        <w:t>la base gravable</w:t>
      </w:r>
      <w:r w:rsidRPr="005D08AD">
        <w:rPr>
          <w:rFonts w:ascii="Times New Roman" w:hAnsi="Times New Roman" w:cs="Times New Roman"/>
          <w:color w:val="2D2D2D"/>
          <w:szCs w:val="24"/>
          <w:lang w:val="es-ES_tradnl"/>
        </w:rPr>
        <w:t xml:space="preserve"> está constituida por el valor económico de la cantidad de elementos gravados que se porten</w:t>
      </w:r>
      <w:r w:rsidRPr="005D08AD">
        <w:rPr>
          <w:rFonts w:ascii="Times New Roman" w:hAnsi="Times New Roman" w:cs="Times New Roman"/>
          <w:color w:val="2D2D2D"/>
          <w:szCs w:val="24"/>
          <w:lang w:val="es-ES_tradnl"/>
        </w:rPr>
        <w:t xml:space="preserve">, es decir, las municiones y explosivos en poder del contribuyente, a quien le corresponderá pagar como </w:t>
      </w:r>
      <w:r w:rsidRPr="005D08AD">
        <w:rPr>
          <w:rFonts w:ascii="Times New Roman" w:hAnsi="Times New Roman" w:cs="Times New Roman"/>
          <w:b/>
          <w:bCs/>
          <w:color w:val="2D2D2D"/>
          <w:szCs w:val="24"/>
          <w:lang w:val="es-ES_tradnl"/>
        </w:rPr>
        <w:t>tarifa</w:t>
      </w:r>
      <w:r w:rsidRPr="005D08AD">
        <w:rPr>
          <w:rFonts w:ascii="Times New Roman" w:hAnsi="Times New Roman" w:cs="Times New Roman"/>
          <w:color w:val="2D2D2D"/>
          <w:szCs w:val="24"/>
          <w:lang w:val="es-ES_tradnl"/>
        </w:rPr>
        <w:t xml:space="preserve"> una tasa del 5% sobre la indicada base.</w:t>
      </w:r>
      <w:r w:rsidRPr="005D08AD">
        <w:rPr>
          <w:rFonts w:ascii="Times New Roman" w:hAnsi="Times New Roman" w:cs="Times New Roman"/>
          <w:color w:val="2D2D2D"/>
          <w:szCs w:val="24"/>
          <w:lang w:val="es-ES_tradnl" w:eastAsia="es-CO"/>
        </w:rPr>
        <w:t xml:space="preserve"> |</w:t>
      </w:r>
      <w:r w:rsidRPr="005D08AD">
        <w:rPr>
          <w:rFonts w:ascii="Times New Roman" w:hAnsi="Times New Roman" w:cs="Times New Roman"/>
          <w:color w:val="2D2D2D"/>
          <w:szCs w:val="24"/>
          <w:lang w:val="es-ES_tradnl" w:eastAsia="es-CO"/>
        </w:rPr>
        <w:t xml:space="preserve"> </w:t>
      </w:r>
      <w:r w:rsidRPr="005D08AD">
        <w:rPr>
          <w:rFonts w:ascii="Times New Roman" w:hAnsi="Times New Roman" w:cs="Times New Roman"/>
          <w:color w:val="2D2D2D"/>
          <w:szCs w:val="24"/>
          <w:lang w:val="es-ES_tradnl"/>
        </w:rPr>
        <w:t xml:space="preserve">Desde luego, al igual que en el gravamen ya examinado, se parte del supuesto de que el portador de las </w:t>
      </w:r>
      <w:r w:rsidRPr="005D08AD">
        <w:rPr>
          <w:rFonts w:ascii="Times New Roman" w:hAnsi="Times New Roman" w:cs="Times New Roman"/>
          <w:color w:val="2D2D2D"/>
          <w:szCs w:val="24"/>
          <w:lang w:val="es-ES_tradnl"/>
        </w:rPr>
        <w:t>municiones y los explosivos obtendrá el permiso de la autoridad competente, pues el cobro del impuesto se concreta al expedirlo o renovarlo. |Al respecto, no se olvide que, de conformidad con el monopolio establecido por el artículo 223 de la Carta Polític</w:t>
      </w:r>
      <w:r w:rsidRPr="005D08AD">
        <w:rPr>
          <w:rFonts w:ascii="Times New Roman" w:hAnsi="Times New Roman" w:cs="Times New Roman"/>
          <w:color w:val="2D2D2D"/>
          <w:szCs w:val="24"/>
          <w:lang w:val="es-ES_tradnl"/>
        </w:rPr>
        <w:t>a, sólo el Gobierno puede introducir y fabricar armas, municiones de guerra y explosivos y ‘nadie podrá portarlos sin permiso de la autoridad competente’, el cual, en todo caso, ‘no podrá extenderse a los casos de concurrencia a reuniones políticas, a elec</w:t>
      </w:r>
      <w:r w:rsidRPr="005D08AD">
        <w:rPr>
          <w:rFonts w:ascii="Times New Roman" w:hAnsi="Times New Roman" w:cs="Times New Roman"/>
          <w:color w:val="2D2D2D"/>
          <w:szCs w:val="24"/>
          <w:lang w:val="es-ES_tradnl"/>
        </w:rPr>
        <w:t>ciones o a sesiones de corporaciones públicas o asambleas, ya sea para actuar en ellas o para presenciarlas”</w:t>
      </w:r>
    </w:p>
    <w:p w:rsidR="00F538AE" w:rsidRPr="005D08AD" w:rsidRDefault="005D08AD" w:rsidP="005F72BB">
      <w:pPr>
        <w:pStyle w:val="Prrafodelista"/>
        <w:spacing w:after="0" w:line="240" w:lineRule="auto"/>
        <w:ind w:left="0"/>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 xml:space="preserve"> </w:t>
      </w:r>
    </w:p>
    <w:p w:rsidR="002206C8"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Como puede observarse,</w:t>
      </w:r>
      <w:r w:rsidRPr="005D08AD">
        <w:rPr>
          <w:rFonts w:ascii="Times New Roman" w:hAnsi="Times New Roman" w:cs="Times New Roman"/>
        </w:rPr>
        <w:t xml:space="preserve"> </w:t>
      </w:r>
      <w:r w:rsidRPr="005D08AD">
        <w:rPr>
          <w:rFonts w:ascii="Times New Roman" w:hAnsi="Times New Roman" w:cs="Times New Roman"/>
        </w:rPr>
        <w:t xml:space="preserve">la Sentencia C-390 de 1996 declaró exequible el artículo 224 de la Ley 100 de 1993 (modificado por la norma </w:t>
      </w:r>
      <w:r w:rsidRPr="005D08AD">
        <w:rPr>
          <w:rFonts w:ascii="Times New Roman" w:hAnsi="Times New Roman" w:cs="Times New Roman"/>
          <w:i/>
          <w:iCs/>
        </w:rPr>
        <w:t>sub examine</w:t>
      </w:r>
      <w:r w:rsidRPr="005D08AD">
        <w:rPr>
          <w:rFonts w:ascii="Times New Roman" w:hAnsi="Times New Roman" w:cs="Times New Roman"/>
        </w:rPr>
        <w:t xml:space="preserve">), </w:t>
      </w:r>
      <w:r w:rsidRPr="005D08AD">
        <w:rPr>
          <w:rFonts w:ascii="Times New Roman" w:hAnsi="Times New Roman" w:cs="Times New Roman"/>
        </w:rPr>
        <w:t xml:space="preserve">frente a un cargo por presunta vulneración del principio de legalidad tributaria, fundado en que la disposición no preveía el hecho generador del impuesto. Así, </w:t>
      </w:r>
      <w:r w:rsidRPr="005D08AD">
        <w:rPr>
          <w:rFonts w:ascii="Times New Roman" w:hAnsi="Times New Roman" w:cs="Times New Roman"/>
          <w:i/>
          <w:iCs/>
        </w:rPr>
        <w:t>en apariencia</w:t>
      </w:r>
      <w:r w:rsidRPr="005D08AD">
        <w:rPr>
          <w:rFonts w:ascii="Times New Roman" w:hAnsi="Times New Roman" w:cs="Times New Roman"/>
        </w:rPr>
        <w:t xml:space="preserve"> existiría identidad de norma, cargo y parámetro de constitucionalidad entre dicha</w:t>
      </w:r>
      <w:r w:rsidRPr="005D08AD">
        <w:rPr>
          <w:rFonts w:ascii="Times New Roman" w:hAnsi="Times New Roman" w:cs="Times New Roman"/>
        </w:rPr>
        <w:t xml:space="preserve"> decisión y el presente caso. Sin embargo, al examinar</w:t>
      </w:r>
      <w:r w:rsidRPr="005D08AD">
        <w:rPr>
          <w:rFonts w:ascii="Times New Roman" w:hAnsi="Times New Roman" w:cs="Times New Roman"/>
        </w:rPr>
        <w:t>se</w:t>
      </w:r>
      <w:r w:rsidRPr="005D08AD">
        <w:rPr>
          <w:rFonts w:ascii="Times New Roman" w:hAnsi="Times New Roman" w:cs="Times New Roman"/>
        </w:rPr>
        <w:t xml:space="preserve"> la Sentencia de 1996 se advierte que esa providencia no identificó de manera expresa y clara cuál era el hecho generador del impuesto social a las municiones y explosivos, ni explicó las razones por </w:t>
      </w:r>
      <w:r w:rsidRPr="005D08AD">
        <w:rPr>
          <w:rFonts w:ascii="Times New Roman" w:hAnsi="Times New Roman" w:cs="Times New Roman"/>
        </w:rPr>
        <w:t xml:space="preserve">las cuales la disposición demandada sí lo preveía. Esta </w:t>
      </w:r>
      <w:r w:rsidRPr="005D08AD">
        <w:rPr>
          <w:rFonts w:ascii="Times New Roman" w:hAnsi="Times New Roman" w:cs="Times New Roman"/>
        </w:rPr>
        <w:t xml:space="preserve">ausencia </w:t>
      </w:r>
      <w:r w:rsidRPr="005D08AD">
        <w:rPr>
          <w:rFonts w:ascii="Times New Roman" w:hAnsi="Times New Roman" w:cs="Times New Roman"/>
        </w:rPr>
        <w:t>de motivación</w:t>
      </w:r>
      <w:r w:rsidRPr="005D08AD">
        <w:rPr>
          <w:rFonts w:ascii="Times New Roman" w:hAnsi="Times New Roman" w:cs="Times New Roman"/>
        </w:rPr>
        <w:t xml:space="preserve">, en relación con </w:t>
      </w:r>
      <w:r w:rsidRPr="005D08AD">
        <w:rPr>
          <w:rFonts w:ascii="Times New Roman" w:hAnsi="Times New Roman" w:cs="Times New Roman"/>
        </w:rPr>
        <w:t xml:space="preserve">el </w:t>
      </w:r>
      <w:r w:rsidRPr="005D08AD">
        <w:rPr>
          <w:rFonts w:ascii="Times New Roman" w:hAnsi="Times New Roman" w:cs="Times New Roman"/>
        </w:rPr>
        <w:t>referido elemento de la obligación tributaria,</w:t>
      </w:r>
      <w:r w:rsidRPr="005D08AD">
        <w:rPr>
          <w:rFonts w:ascii="Times New Roman" w:hAnsi="Times New Roman" w:cs="Times New Roman"/>
        </w:rPr>
        <w:t xml:space="preserve"> permite concluir que en este caso se configura un evento de </w:t>
      </w:r>
      <w:r w:rsidRPr="005D08AD">
        <w:rPr>
          <w:rFonts w:ascii="Times New Roman" w:hAnsi="Times New Roman" w:cs="Times New Roman"/>
          <w:i/>
          <w:iCs/>
        </w:rPr>
        <w:t>cosa juzgada aparente</w:t>
      </w:r>
      <w:r w:rsidRPr="005D08AD">
        <w:rPr>
          <w:rFonts w:ascii="Times New Roman" w:hAnsi="Times New Roman" w:cs="Times New Roman"/>
        </w:rPr>
        <w:t>.</w:t>
      </w:r>
      <w:r w:rsidRPr="005D08AD">
        <w:rPr>
          <w:rFonts w:ascii="Times New Roman" w:hAnsi="Times New Roman" w:cs="Times New Roman"/>
        </w:rPr>
        <w:t xml:space="preserve"> </w:t>
      </w:r>
    </w:p>
    <w:p w:rsidR="00B3492C" w:rsidRPr="005D08AD" w:rsidRDefault="005D08AD" w:rsidP="005F72BB">
      <w:pPr>
        <w:pStyle w:val="Prrafodelista"/>
        <w:spacing w:after="0" w:line="240" w:lineRule="auto"/>
        <w:ind w:left="0"/>
        <w:mirrorIndents/>
        <w:jc w:val="both"/>
        <w:rPr>
          <w:rFonts w:ascii="Times New Roman" w:hAnsi="Times New Roman" w:cs="Times New Roman"/>
          <w:szCs w:val="28"/>
          <w:shd w:val="clear" w:color="auto" w:fill="FFFFFF"/>
        </w:rPr>
      </w:pPr>
    </w:p>
    <w:p w:rsidR="00F538AE"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u w:val="single"/>
          <w:shd w:val="clear" w:color="auto" w:fill="FFFFFF"/>
        </w:rPr>
      </w:pPr>
      <w:r w:rsidRPr="005D08AD">
        <w:rPr>
          <w:rFonts w:ascii="Times New Roman" w:hAnsi="Times New Roman" w:cs="Times New Roman"/>
          <w:szCs w:val="28"/>
          <w:shd w:val="clear" w:color="auto" w:fill="FFFFFF"/>
        </w:rPr>
        <w:t xml:space="preserve">En relación con la </w:t>
      </w:r>
      <w:r w:rsidRPr="005D08AD">
        <w:rPr>
          <w:rFonts w:ascii="Times New Roman" w:hAnsi="Times New Roman" w:cs="Times New Roman"/>
          <w:szCs w:val="28"/>
          <w:shd w:val="clear" w:color="auto" w:fill="FFFFFF"/>
        </w:rPr>
        <w:t xml:space="preserve">sentencia C-608 de 2012 </w:t>
      </w:r>
      <w:r w:rsidRPr="005D08AD">
        <w:rPr>
          <w:rFonts w:ascii="Times New Roman" w:hAnsi="Times New Roman" w:cs="Times New Roman"/>
          <w:szCs w:val="28"/>
          <w:shd w:val="clear" w:color="auto" w:fill="FFFFFF"/>
        </w:rPr>
        <w:t>la Corte</w:t>
      </w:r>
      <w:r w:rsidRPr="005D08AD">
        <w:rPr>
          <w:rFonts w:ascii="Times New Roman" w:hAnsi="Times New Roman" w:cs="Times New Roman"/>
          <w:szCs w:val="28"/>
          <w:shd w:val="clear" w:color="auto" w:fill="FFFFFF"/>
        </w:rPr>
        <w:t xml:space="preserve"> analizó la constitucionalidad del </w:t>
      </w:r>
      <w:r w:rsidRPr="005D08AD">
        <w:rPr>
          <w:rFonts w:ascii="Times New Roman" w:hAnsi="Times New Roman" w:cs="Times New Roman"/>
          <w:szCs w:val="28"/>
          <w:shd w:val="clear" w:color="auto" w:fill="FFFFFF"/>
        </w:rPr>
        <w:t xml:space="preserve">artículo 48 de la Ley 1438 de 2011, por medio </w:t>
      </w:r>
      <w:r w:rsidRPr="005D08AD">
        <w:rPr>
          <w:rFonts w:ascii="Times New Roman" w:hAnsi="Times New Roman" w:cs="Times New Roman"/>
          <w:szCs w:val="28"/>
          <w:shd w:val="clear" w:color="auto" w:fill="FFFFFF"/>
        </w:rPr>
        <w:t xml:space="preserve">del </w:t>
      </w:r>
      <w:r w:rsidRPr="005D08AD">
        <w:rPr>
          <w:rFonts w:ascii="Times New Roman" w:hAnsi="Times New Roman" w:cs="Times New Roman"/>
          <w:szCs w:val="28"/>
          <w:shd w:val="clear" w:color="auto" w:fill="FFFFFF"/>
        </w:rPr>
        <w:t>cual se modificó el artículo 224 de la Ley 100 de 1993</w:t>
      </w:r>
      <w:r w:rsidRPr="005D08AD">
        <w:rPr>
          <w:rStyle w:val="Refdenotaalpie"/>
          <w:rFonts w:ascii="Times New Roman" w:hAnsi="Times New Roman"/>
          <w:szCs w:val="28"/>
          <w:shd w:val="clear" w:color="auto" w:fill="FFFFFF"/>
        </w:rPr>
        <w:footnoteReference w:id="42"/>
      </w:r>
      <w:r w:rsidRPr="005D08AD">
        <w:rPr>
          <w:rFonts w:ascii="Times New Roman" w:hAnsi="Times New Roman" w:cs="Times New Roman"/>
          <w:szCs w:val="28"/>
          <w:shd w:val="clear" w:color="auto" w:fill="FFFFFF"/>
        </w:rPr>
        <w:t xml:space="preserve">. En </w:t>
      </w:r>
      <w:r w:rsidRPr="005D08AD">
        <w:rPr>
          <w:rFonts w:ascii="Times New Roman" w:hAnsi="Times New Roman" w:cs="Times New Roman"/>
          <w:szCs w:val="28"/>
          <w:shd w:val="clear" w:color="auto" w:fill="FFFFFF"/>
        </w:rPr>
        <w:t>esa</w:t>
      </w:r>
      <w:r w:rsidRPr="005D08AD">
        <w:rPr>
          <w:rFonts w:ascii="Times New Roman" w:hAnsi="Times New Roman" w:cs="Times New Roman"/>
          <w:szCs w:val="28"/>
          <w:shd w:val="clear" w:color="auto" w:fill="FFFFFF"/>
        </w:rPr>
        <w:t xml:space="preserve"> oportunidad el estudio de constitucionalidad tuvo dos alcances. </w:t>
      </w:r>
      <w:r w:rsidRPr="005D08AD">
        <w:rPr>
          <w:rFonts w:ascii="Times New Roman" w:hAnsi="Times New Roman" w:cs="Times New Roman"/>
          <w:szCs w:val="28"/>
          <w:shd w:val="clear" w:color="auto" w:fill="FFFFFF"/>
        </w:rPr>
        <w:t>Por un lado</w:t>
      </w:r>
      <w:r w:rsidRPr="005D08AD">
        <w:rPr>
          <w:rFonts w:ascii="Times New Roman" w:hAnsi="Times New Roman" w:cs="Times New Roman"/>
          <w:szCs w:val="28"/>
          <w:shd w:val="clear" w:color="auto" w:fill="FFFFFF"/>
        </w:rPr>
        <w:t>, sobre el presunto desconocimiento</w:t>
      </w:r>
      <w:r w:rsidRPr="005D08AD">
        <w:rPr>
          <w:rFonts w:ascii="Times New Roman" w:hAnsi="Times New Roman" w:cs="Times New Roman"/>
          <w:szCs w:val="28"/>
          <w:shd w:val="clear" w:color="auto" w:fill="FFFFFF"/>
        </w:rPr>
        <w:t xml:space="preserve"> del inciso 4 del artículo 154 de la Constitución</w:t>
      </w:r>
      <w:r w:rsidRPr="005D08AD">
        <w:rPr>
          <w:rStyle w:val="Refdenotaalpie"/>
          <w:rFonts w:ascii="Times New Roman" w:hAnsi="Times New Roman"/>
          <w:szCs w:val="28"/>
          <w:shd w:val="clear" w:color="auto" w:fill="FFFFFF"/>
        </w:rPr>
        <w:footnoteReference w:id="43"/>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y por otro lado, relevante para la presente decisión, sobre </w:t>
      </w:r>
      <w:r w:rsidRPr="005D08AD">
        <w:rPr>
          <w:rFonts w:ascii="Times New Roman" w:hAnsi="Times New Roman" w:cs="Times New Roman"/>
          <w:szCs w:val="28"/>
          <w:shd w:val="clear" w:color="auto" w:fill="FFFFFF"/>
        </w:rPr>
        <w:t xml:space="preserve">la presunta </w:t>
      </w:r>
      <w:r w:rsidRPr="005D08AD">
        <w:rPr>
          <w:rFonts w:ascii="Times New Roman" w:hAnsi="Times New Roman" w:cs="Times New Roman"/>
          <w:szCs w:val="28"/>
          <w:shd w:val="clear" w:color="auto" w:fill="FFFFFF"/>
        </w:rPr>
        <w:t>vulneración</w:t>
      </w:r>
      <w:r w:rsidRPr="005D08AD">
        <w:rPr>
          <w:rFonts w:ascii="Times New Roman" w:hAnsi="Times New Roman" w:cs="Times New Roman"/>
          <w:szCs w:val="28"/>
          <w:shd w:val="clear" w:color="auto" w:fill="FFFFFF"/>
        </w:rPr>
        <w:t xml:space="preserve"> a los principios de legalidad, reserva de ley de los elementos de la obligación tributaria, certeza y debido proceso por cuanto, en criterio del accionante, el </w:t>
      </w:r>
      <w:r w:rsidRPr="005D08AD">
        <w:rPr>
          <w:rFonts w:ascii="Times New Roman" w:hAnsi="Times New Roman" w:cs="Times New Roman"/>
          <w:i/>
          <w:iCs/>
          <w:szCs w:val="28"/>
          <w:shd w:val="clear" w:color="auto" w:fill="FFFFFF"/>
        </w:rPr>
        <w:t>impuesto social a las municiones y explosivos</w:t>
      </w:r>
      <w:r w:rsidRPr="005D08AD">
        <w:rPr>
          <w:rFonts w:ascii="Times New Roman" w:hAnsi="Times New Roman" w:cs="Times New Roman"/>
          <w:szCs w:val="28"/>
          <w:shd w:val="clear" w:color="auto" w:fill="FFFFFF"/>
        </w:rPr>
        <w:t xml:space="preserve"> no definió asuntos como: (i) la competencia para </w:t>
      </w:r>
      <w:r w:rsidRPr="005D08AD">
        <w:rPr>
          <w:rFonts w:ascii="Times New Roman" w:hAnsi="Times New Roman" w:cs="Times New Roman"/>
          <w:szCs w:val="28"/>
          <w:shd w:val="clear" w:color="auto" w:fill="FFFFFF"/>
        </w:rPr>
        <w:t xml:space="preserve">el recaudo, liquidación, determinación, discusión y administración del impuesto, (ii) el momento en el que debe recaudarse, y (iii) el procedimiento para el efecto. A juicio del demandante, estos </w:t>
      </w:r>
      <w:r w:rsidRPr="005D08AD">
        <w:rPr>
          <w:rFonts w:ascii="Times New Roman" w:hAnsi="Times New Roman" w:cs="Times New Roman"/>
          <w:i/>
          <w:iCs/>
          <w:szCs w:val="28"/>
          <w:shd w:val="clear" w:color="auto" w:fill="FFFFFF"/>
        </w:rPr>
        <w:t>otros</w:t>
      </w:r>
      <w:r w:rsidRPr="005D08AD">
        <w:rPr>
          <w:rFonts w:ascii="Times New Roman" w:hAnsi="Times New Roman" w:cs="Times New Roman"/>
          <w:szCs w:val="28"/>
          <w:shd w:val="clear" w:color="auto" w:fill="FFFFFF"/>
        </w:rPr>
        <w:t xml:space="preserve"> elementos </w:t>
      </w:r>
      <w:r w:rsidRPr="005D08AD">
        <w:rPr>
          <w:rFonts w:ascii="Times New Roman" w:hAnsi="Times New Roman" w:cs="Times New Roman"/>
          <w:szCs w:val="28"/>
          <w:shd w:val="clear" w:color="auto" w:fill="FFFFFF"/>
        </w:rPr>
        <w:t>tienen reserva legal</w:t>
      </w:r>
      <w:r w:rsidRPr="005D08AD">
        <w:rPr>
          <w:rFonts w:ascii="Times New Roman" w:hAnsi="Times New Roman" w:cs="Times New Roman"/>
          <w:szCs w:val="28"/>
          <w:shd w:val="clear" w:color="auto" w:fill="FFFFFF"/>
        </w:rPr>
        <w:t xml:space="preserve"> –por ser indispensables</w:t>
      </w:r>
      <w:r w:rsidRPr="005D08AD">
        <w:rPr>
          <w:rFonts w:ascii="Times New Roman" w:hAnsi="Times New Roman" w:cs="Times New Roman"/>
          <w:szCs w:val="28"/>
          <w:shd w:val="clear" w:color="auto" w:fill="FFFFFF"/>
        </w:rPr>
        <w:t xml:space="preserve"> para la eficacia del tributo y para garantizar el debido proceso</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de modo que su determinación no </w:t>
      </w:r>
      <w:r w:rsidRPr="005D08AD">
        <w:rPr>
          <w:rFonts w:ascii="Times New Roman" w:hAnsi="Times New Roman" w:cs="Times New Roman"/>
          <w:szCs w:val="28"/>
          <w:shd w:val="clear" w:color="auto" w:fill="FFFFFF"/>
        </w:rPr>
        <w:t>puede</w:t>
      </w:r>
      <w:r w:rsidRPr="005D08AD">
        <w:rPr>
          <w:rFonts w:ascii="Times New Roman" w:hAnsi="Times New Roman" w:cs="Times New Roman"/>
          <w:szCs w:val="28"/>
          <w:shd w:val="clear" w:color="auto" w:fill="FFFFFF"/>
        </w:rPr>
        <w:t xml:space="preserve"> delegarse al reglamento, como lo hizo el Legislador.</w:t>
      </w:r>
    </w:p>
    <w:p w:rsidR="00240F17" w:rsidRPr="005D08AD" w:rsidRDefault="005D08AD" w:rsidP="005F72BB">
      <w:pPr>
        <w:pStyle w:val="Prrafodelista"/>
        <w:spacing w:after="0" w:line="240" w:lineRule="auto"/>
        <w:ind w:left="0"/>
        <w:mirrorIndents/>
        <w:rPr>
          <w:rFonts w:ascii="Times New Roman" w:hAnsi="Times New Roman" w:cs="Times New Roman"/>
          <w:szCs w:val="28"/>
          <w:shd w:val="clear" w:color="auto" w:fill="FFFFFF"/>
        </w:rPr>
      </w:pPr>
    </w:p>
    <w:p w:rsidR="000660BF" w:rsidRPr="005D08AD" w:rsidRDefault="005D08AD" w:rsidP="000660BF">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 xml:space="preserve">Al respecto, </w:t>
      </w:r>
      <w:r w:rsidRPr="005D08AD">
        <w:rPr>
          <w:rFonts w:ascii="Times New Roman" w:hAnsi="Times New Roman" w:cs="Times New Roman"/>
          <w:szCs w:val="28"/>
          <w:shd w:val="clear" w:color="auto" w:fill="FFFFFF"/>
        </w:rPr>
        <w:t xml:space="preserve">la Corte concluyó </w:t>
      </w:r>
      <w:r w:rsidRPr="005D08AD">
        <w:rPr>
          <w:rFonts w:ascii="Times New Roman" w:hAnsi="Times New Roman" w:cs="Times New Roman"/>
          <w:szCs w:val="28"/>
          <w:shd w:val="clear" w:color="auto" w:fill="FFFFFF"/>
        </w:rPr>
        <w:t>que los principios de legalidad, reserva de ley y certeza tributa</w:t>
      </w:r>
      <w:r w:rsidRPr="005D08AD">
        <w:rPr>
          <w:rFonts w:ascii="Times New Roman" w:hAnsi="Times New Roman" w:cs="Times New Roman"/>
          <w:szCs w:val="28"/>
          <w:shd w:val="clear" w:color="auto" w:fill="FFFFFF"/>
        </w:rPr>
        <w:t xml:space="preserve">ria, </w:t>
      </w:r>
      <w:r w:rsidRPr="005D08AD">
        <w:rPr>
          <w:rFonts w:ascii="Times New Roman" w:hAnsi="Times New Roman" w:cs="Times New Roman"/>
          <w:szCs w:val="28"/>
          <w:shd w:val="clear" w:color="auto" w:fill="FFFFFF"/>
        </w:rPr>
        <w:t>no se veían vulnerados</w:t>
      </w:r>
      <w:r w:rsidRPr="005D08AD">
        <w:rPr>
          <w:rFonts w:ascii="Times New Roman" w:hAnsi="Times New Roman" w:cs="Times New Roman"/>
          <w:szCs w:val="28"/>
          <w:shd w:val="clear" w:color="auto" w:fill="FFFFFF"/>
        </w:rPr>
        <w:t xml:space="preserve"> porque la </w:t>
      </w:r>
      <w:r w:rsidRPr="005D08AD">
        <w:rPr>
          <w:rFonts w:ascii="Times New Roman" w:hAnsi="Times New Roman" w:cs="Times New Roman"/>
          <w:szCs w:val="28"/>
          <w:shd w:val="clear" w:color="auto" w:fill="FFFFFF"/>
        </w:rPr>
        <w:t xml:space="preserve">Constitución no impone al legislador “la obligación de prever directamente los elementos que echa de menos el demandante para la efectividad del tributo: (i) la competencia para el recaudo, liquidación, determinación, </w:t>
      </w:r>
      <w:r w:rsidRPr="005D08AD">
        <w:rPr>
          <w:rFonts w:ascii="Times New Roman" w:hAnsi="Times New Roman" w:cs="Times New Roman"/>
          <w:szCs w:val="28"/>
          <w:shd w:val="clear" w:color="auto" w:fill="FFFFFF"/>
        </w:rPr>
        <w:t xml:space="preserve">discusión y administración del </w:t>
      </w:r>
      <w:r w:rsidRPr="005D08AD">
        <w:rPr>
          <w:rFonts w:ascii="Times New Roman" w:hAnsi="Times New Roman" w:cs="Times New Roman"/>
          <w:szCs w:val="28"/>
          <w:shd w:val="clear" w:color="auto" w:fill="FFFFFF"/>
        </w:rPr>
        <w:t>impuesto, (ii) el momento en el que debe recaudarse y (iii) el procedimiento para tal efecto”</w:t>
      </w:r>
      <w:r w:rsidRPr="005D08AD">
        <w:rPr>
          <w:rFonts w:ascii="Times New Roman" w:hAnsi="Times New Roman" w:cs="Times New Roman"/>
          <w:szCs w:val="28"/>
          <w:shd w:val="clear" w:color="auto" w:fill="FFFFFF"/>
        </w:rPr>
        <w:t xml:space="preserve">. </w:t>
      </w:r>
    </w:p>
    <w:p w:rsidR="000660BF" w:rsidRPr="005D08AD" w:rsidRDefault="005D08AD" w:rsidP="000660BF">
      <w:pPr>
        <w:pStyle w:val="Prrafodelista"/>
        <w:rPr>
          <w:rFonts w:ascii="Times New Roman" w:hAnsi="Times New Roman" w:cs="Times New Roman"/>
          <w:shd w:val="clear" w:color="auto" w:fill="FFFFFF"/>
        </w:rPr>
      </w:pPr>
    </w:p>
    <w:p w:rsidR="002260E9" w:rsidRPr="005D08AD" w:rsidRDefault="005D08AD" w:rsidP="000660BF">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hd w:val="clear" w:color="auto" w:fill="FFFFFF"/>
        </w:rPr>
        <w:t xml:space="preserve">En ese sentido, a partir de la </w:t>
      </w:r>
      <w:r w:rsidRPr="005D08AD">
        <w:rPr>
          <w:rFonts w:ascii="Times New Roman" w:hAnsi="Times New Roman" w:cs="Times New Roman"/>
          <w:szCs w:val="28"/>
          <w:shd w:val="clear" w:color="auto" w:fill="FFFFFF"/>
        </w:rPr>
        <w:t>Sentencia</w:t>
      </w:r>
      <w:r w:rsidRPr="005D08AD">
        <w:rPr>
          <w:rFonts w:ascii="Times New Roman" w:hAnsi="Times New Roman" w:cs="Times New Roman"/>
          <w:shd w:val="clear" w:color="auto" w:fill="FFFFFF"/>
        </w:rPr>
        <w:t xml:space="preserve"> C-608 de 2012, es posible concluir que no se configura el fenómeno de cosa juzgada constitucional</w:t>
      </w:r>
      <w:r w:rsidRPr="005D08AD">
        <w:rPr>
          <w:rFonts w:ascii="Times New Roman" w:hAnsi="Times New Roman" w:cs="Times New Roman"/>
          <w:szCs w:val="28"/>
          <w:shd w:val="clear" w:color="auto" w:fill="FFFFFF"/>
        </w:rPr>
        <w:t>,</w:t>
      </w:r>
      <w:r w:rsidRPr="005D08AD">
        <w:rPr>
          <w:rFonts w:ascii="Times New Roman" w:hAnsi="Times New Roman" w:cs="Times New Roman"/>
          <w:shd w:val="clear" w:color="auto" w:fill="FFFFFF"/>
        </w:rPr>
        <w:t xml:space="preserve"> en </w:t>
      </w:r>
      <w:r w:rsidRPr="005D08AD">
        <w:rPr>
          <w:rFonts w:ascii="Times New Roman" w:hAnsi="Times New Roman" w:cs="Times New Roman"/>
          <w:szCs w:val="28"/>
          <w:shd w:val="clear" w:color="auto" w:fill="FFFFFF"/>
        </w:rPr>
        <w:t>la medida</w:t>
      </w:r>
      <w:r w:rsidRPr="005D08AD">
        <w:rPr>
          <w:rFonts w:ascii="Times New Roman" w:hAnsi="Times New Roman" w:cs="Times New Roman"/>
          <w:shd w:val="clear" w:color="auto" w:fill="FFFFFF"/>
        </w:rPr>
        <w:t xml:space="preserve"> en </w:t>
      </w:r>
      <w:r w:rsidRPr="005D08AD">
        <w:rPr>
          <w:rFonts w:ascii="Times New Roman" w:hAnsi="Times New Roman" w:cs="Times New Roman"/>
          <w:szCs w:val="28"/>
          <w:shd w:val="clear" w:color="auto" w:fill="FFFFFF"/>
        </w:rPr>
        <w:t>que no se cumplen</w:t>
      </w:r>
      <w:r w:rsidRPr="005D08AD">
        <w:rPr>
          <w:rFonts w:ascii="Times New Roman" w:hAnsi="Times New Roman" w:cs="Times New Roman"/>
          <w:shd w:val="clear" w:color="auto" w:fill="FFFFFF"/>
        </w:rPr>
        <w:t xml:space="preserve"> los </w:t>
      </w:r>
      <w:r w:rsidRPr="005D08AD">
        <w:rPr>
          <w:rFonts w:ascii="Times New Roman" w:hAnsi="Times New Roman" w:cs="Times New Roman"/>
          <w:szCs w:val="28"/>
          <w:shd w:val="clear" w:color="auto" w:fill="FFFFFF"/>
        </w:rPr>
        <w:t>requisitos de identidad en el alcance del estudio</w:t>
      </w:r>
      <w:r w:rsidRPr="005D08AD">
        <w:rPr>
          <w:rFonts w:ascii="Times New Roman" w:hAnsi="Times New Roman" w:cs="Times New Roman"/>
          <w:shd w:val="clear" w:color="auto" w:fill="FFFFFF"/>
        </w:rPr>
        <w:t xml:space="preserve"> de </w:t>
      </w:r>
      <w:r w:rsidRPr="005D08AD">
        <w:rPr>
          <w:rFonts w:ascii="Times New Roman" w:hAnsi="Times New Roman" w:cs="Times New Roman"/>
          <w:szCs w:val="28"/>
          <w:shd w:val="clear" w:color="auto" w:fill="FFFFFF"/>
        </w:rPr>
        <w:t>constitucionalidad ni de identidad de parámetro de control. En pr</w:t>
      </w:r>
      <w:r w:rsidRPr="005D08AD">
        <w:rPr>
          <w:rFonts w:ascii="Times New Roman" w:hAnsi="Times New Roman" w:cs="Times New Roman"/>
          <w:szCs w:val="28"/>
          <w:shd w:val="clear" w:color="auto" w:fill="FFFFFF"/>
        </w:rPr>
        <w:t xml:space="preserve">imer lugar, no existe identidad en el estudio de constitucionalidad, </w:t>
      </w:r>
      <w:r w:rsidRPr="005D08AD">
        <w:rPr>
          <w:rFonts w:ascii="Times New Roman" w:hAnsi="Times New Roman" w:cs="Times New Roman"/>
          <w:szCs w:val="28"/>
          <w:shd w:val="clear" w:color="auto" w:fill="FFFFFF"/>
        </w:rPr>
        <w:t xml:space="preserve">pues </w:t>
      </w:r>
      <w:r w:rsidRPr="005D08AD">
        <w:rPr>
          <w:rFonts w:ascii="Times New Roman" w:hAnsi="Times New Roman" w:cs="Times New Roman"/>
          <w:szCs w:val="28"/>
          <w:shd w:val="clear" w:color="auto" w:fill="FFFFFF"/>
        </w:rPr>
        <w:t>en la Sentencia C-680 de 2012 el demandante reprochó que la norma “no asigna la competencia del recaudo, liquidación, determinación, discusión y administración del tributo, ni fija</w:t>
      </w:r>
      <w:r w:rsidRPr="005D08AD">
        <w:rPr>
          <w:rFonts w:ascii="Times New Roman" w:hAnsi="Times New Roman" w:cs="Times New Roman"/>
          <w:shd w:val="clear" w:color="auto" w:fill="FFFFFF"/>
        </w:rPr>
        <w:t xml:space="preserve"> e</w:t>
      </w:r>
      <w:r w:rsidRPr="005D08AD">
        <w:rPr>
          <w:rFonts w:ascii="Times New Roman" w:hAnsi="Times New Roman" w:cs="Times New Roman"/>
          <w:shd w:val="clear" w:color="auto" w:fill="FFFFFF"/>
        </w:rPr>
        <w:t xml:space="preserve">l </w:t>
      </w:r>
      <w:r w:rsidRPr="005D08AD">
        <w:rPr>
          <w:rFonts w:ascii="Times New Roman" w:hAnsi="Times New Roman" w:cs="Times New Roman"/>
          <w:szCs w:val="28"/>
          <w:shd w:val="clear" w:color="auto" w:fill="FFFFFF"/>
        </w:rPr>
        <w:t xml:space="preserve">momento en el que se debe hacer el recaudo”, mientras que en el </w:t>
      </w:r>
      <w:r w:rsidRPr="005D08AD">
        <w:rPr>
          <w:rFonts w:ascii="Times New Roman" w:hAnsi="Times New Roman" w:cs="Times New Roman"/>
          <w:szCs w:val="28"/>
          <w:shd w:val="clear" w:color="auto" w:fill="FFFFFF"/>
        </w:rPr>
        <w:t xml:space="preserve">caso </w:t>
      </w:r>
      <w:r w:rsidRPr="005D08AD">
        <w:rPr>
          <w:rFonts w:ascii="Times New Roman" w:hAnsi="Times New Roman" w:cs="Times New Roman"/>
          <w:i/>
          <w:iCs/>
          <w:szCs w:val="28"/>
          <w:shd w:val="clear" w:color="auto" w:fill="FFFFFF"/>
        </w:rPr>
        <w:t>sub examine</w:t>
      </w:r>
      <w:r w:rsidRPr="005D08AD">
        <w:rPr>
          <w:rFonts w:ascii="Times New Roman" w:hAnsi="Times New Roman" w:cs="Times New Roman"/>
          <w:shd w:val="clear" w:color="auto" w:fill="FFFFFF"/>
        </w:rPr>
        <w:t xml:space="preserve"> los </w:t>
      </w:r>
      <w:r w:rsidRPr="005D08AD">
        <w:rPr>
          <w:rFonts w:ascii="Times New Roman" w:hAnsi="Times New Roman" w:cs="Times New Roman"/>
          <w:szCs w:val="28"/>
          <w:shd w:val="clear" w:color="auto" w:fill="FFFFFF"/>
        </w:rPr>
        <w:t xml:space="preserve">demandantes reprochan la ausencia de una identificación expresa del </w:t>
      </w:r>
      <w:r w:rsidRPr="005D08AD">
        <w:rPr>
          <w:rFonts w:ascii="Times New Roman" w:hAnsi="Times New Roman" w:cs="Times New Roman"/>
          <w:shd w:val="clear" w:color="auto" w:fill="FFFFFF"/>
        </w:rPr>
        <w:t xml:space="preserve">hecho generador del impuesto </w:t>
      </w:r>
      <w:r w:rsidRPr="005D08AD">
        <w:rPr>
          <w:rFonts w:ascii="Times New Roman" w:hAnsi="Times New Roman" w:cs="Times New Roman"/>
          <w:color w:val="000000" w:themeColor="text1"/>
          <w:szCs w:val="28"/>
          <w:shd w:val="clear" w:color="auto" w:fill="FFFFFF"/>
        </w:rPr>
        <w:t>y no cuestionan</w:t>
      </w:r>
      <w:r w:rsidRPr="005D08AD">
        <w:rPr>
          <w:rFonts w:ascii="Times New Roman" w:hAnsi="Times New Roman" w:cs="Times New Roman"/>
          <w:color w:val="000000" w:themeColor="text1"/>
          <w:shd w:val="clear" w:color="auto" w:fill="FFFFFF"/>
        </w:rPr>
        <w:t xml:space="preserve"> aspectos relacionados con la competencia o el recaudo de</w:t>
      </w:r>
      <w:r w:rsidRPr="005D08AD">
        <w:rPr>
          <w:rFonts w:ascii="Times New Roman" w:hAnsi="Times New Roman" w:cs="Times New Roman"/>
          <w:color w:val="000000" w:themeColor="text1"/>
          <w:shd w:val="clear" w:color="auto" w:fill="FFFFFF"/>
        </w:rPr>
        <w:t>l referido tributo.</w:t>
      </w:r>
      <w:r w:rsidRPr="005D08AD">
        <w:rPr>
          <w:rFonts w:ascii="Times New Roman" w:hAnsi="Times New Roman" w:cs="Times New Roman"/>
          <w:color w:val="000000" w:themeColor="text1"/>
          <w:szCs w:val="28"/>
          <w:shd w:val="clear" w:color="auto" w:fill="FFFFFF"/>
        </w:rPr>
        <w:t xml:space="preserve"> Tampoco existe identidad de parámetro</w:t>
      </w:r>
      <w:r w:rsidRPr="005D08AD">
        <w:rPr>
          <w:rFonts w:ascii="Times New Roman" w:hAnsi="Times New Roman" w:cs="Times New Roman"/>
          <w:color w:val="000000" w:themeColor="text1"/>
          <w:szCs w:val="28"/>
          <w:shd w:val="clear" w:color="auto" w:fill="FFFFFF"/>
        </w:rPr>
        <w:t xml:space="preserve"> </w:t>
      </w:r>
      <w:r w:rsidRPr="005D08AD">
        <w:rPr>
          <w:rFonts w:ascii="Times New Roman" w:hAnsi="Times New Roman" w:cs="Times New Roman"/>
          <w:color w:val="000000" w:themeColor="text1"/>
          <w:szCs w:val="28"/>
          <w:shd w:val="clear" w:color="auto" w:fill="FFFFFF"/>
        </w:rPr>
        <w:t xml:space="preserve">de </w:t>
      </w:r>
      <w:r w:rsidRPr="005D08AD">
        <w:rPr>
          <w:rFonts w:ascii="Times New Roman" w:hAnsi="Times New Roman" w:cs="Times New Roman"/>
          <w:color w:val="000000" w:themeColor="text1"/>
          <w:szCs w:val="28"/>
          <w:shd w:val="clear" w:color="auto" w:fill="FFFFFF"/>
        </w:rPr>
        <w:t>control</w:t>
      </w:r>
      <w:r w:rsidRPr="005D08AD">
        <w:rPr>
          <w:rFonts w:ascii="Times New Roman" w:hAnsi="Times New Roman" w:cs="Times New Roman"/>
          <w:color w:val="000000" w:themeColor="text1"/>
          <w:szCs w:val="28"/>
          <w:shd w:val="clear" w:color="auto" w:fill="FFFFFF"/>
        </w:rPr>
        <w:t>;</w:t>
      </w:r>
      <w:r w:rsidRPr="005D08AD">
        <w:rPr>
          <w:rFonts w:ascii="Times New Roman" w:hAnsi="Times New Roman" w:cs="Times New Roman"/>
          <w:color w:val="000000" w:themeColor="text1"/>
          <w:szCs w:val="28"/>
          <w:shd w:val="clear" w:color="auto" w:fill="FFFFFF"/>
        </w:rPr>
        <w:t xml:space="preserve"> mientras en la referida providencia el demandante invocó como vulnerados los numerales 12 y 23 del artículo 150 de la Constitución, en el presente caso se </w:t>
      </w:r>
      <w:r w:rsidRPr="005D08AD">
        <w:rPr>
          <w:rFonts w:ascii="Times New Roman" w:hAnsi="Times New Roman" w:cs="Times New Roman"/>
          <w:color w:val="000000" w:themeColor="text1"/>
          <w:szCs w:val="28"/>
          <w:shd w:val="clear" w:color="auto" w:fill="FFFFFF"/>
        </w:rPr>
        <w:t>invocó</w:t>
      </w:r>
      <w:r w:rsidRPr="005D08AD">
        <w:rPr>
          <w:rFonts w:ascii="Times New Roman" w:hAnsi="Times New Roman" w:cs="Times New Roman"/>
          <w:color w:val="000000" w:themeColor="text1"/>
          <w:szCs w:val="28"/>
          <w:shd w:val="clear" w:color="auto" w:fill="FFFFFF"/>
        </w:rPr>
        <w:t xml:space="preserve"> la presunta transgresión del artículo 338 </w:t>
      </w:r>
      <w:r w:rsidRPr="005D08AD">
        <w:rPr>
          <w:rFonts w:ascii="Times New Roman" w:hAnsi="Times New Roman" w:cs="Times New Roman"/>
          <w:color w:val="000000" w:themeColor="text1"/>
          <w:szCs w:val="28"/>
          <w:shd w:val="clear" w:color="auto" w:fill="FFFFFF"/>
        </w:rPr>
        <w:t>S</w:t>
      </w:r>
      <w:r w:rsidRPr="005D08AD">
        <w:rPr>
          <w:rFonts w:ascii="Times New Roman" w:hAnsi="Times New Roman" w:cs="Times New Roman"/>
          <w:color w:val="000000" w:themeColor="text1"/>
          <w:szCs w:val="28"/>
          <w:shd w:val="clear" w:color="auto" w:fill="FFFFFF"/>
        </w:rPr>
        <w:t>uperior.</w:t>
      </w:r>
    </w:p>
    <w:p w:rsidR="00433B86" w:rsidRPr="005D08AD" w:rsidRDefault="005D08AD" w:rsidP="005F72BB">
      <w:pPr>
        <w:pStyle w:val="Prrafodelista"/>
        <w:spacing w:after="0" w:line="240" w:lineRule="auto"/>
        <w:ind w:left="0"/>
        <w:mirrorIndents/>
        <w:jc w:val="both"/>
        <w:rPr>
          <w:rFonts w:ascii="Times New Roman" w:hAnsi="Times New Roman" w:cs="Times New Roman"/>
          <w:szCs w:val="28"/>
          <w:shd w:val="clear" w:color="auto" w:fill="FFFFFF"/>
        </w:rPr>
      </w:pPr>
    </w:p>
    <w:p w:rsidR="00E23B72"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 xml:space="preserve">Con fundamento en lo anterior, </w:t>
      </w:r>
      <w:r w:rsidRPr="005D08AD">
        <w:rPr>
          <w:rFonts w:ascii="Times New Roman" w:hAnsi="Times New Roman" w:cs="Times New Roman"/>
          <w:szCs w:val="28"/>
          <w:shd w:val="clear" w:color="auto" w:fill="FFFFFF"/>
        </w:rPr>
        <w:t xml:space="preserve">aunque las sentencias C-390 de 1996 y C-608 de 2012 guardan proximidad con </w:t>
      </w:r>
      <w:r w:rsidRPr="005D08AD">
        <w:rPr>
          <w:rFonts w:ascii="Times New Roman" w:hAnsi="Times New Roman" w:cs="Times New Roman"/>
          <w:szCs w:val="28"/>
          <w:shd w:val="clear" w:color="auto" w:fill="FFFFFF"/>
        </w:rPr>
        <w:t>el asunto que corresponde abordar a la Sala de conformidad con la demanda</w:t>
      </w:r>
      <w:r w:rsidRPr="005D08AD">
        <w:rPr>
          <w:rFonts w:ascii="Times New Roman" w:hAnsi="Times New Roman" w:cs="Times New Roman"/>
          <w:szCs w:val="28"/>
          <w:shd w:val="clear" w:color="auto" w:fill="FFFFFF"/>
        </w:rPr>
        <w:t>, ninguna de estas deci</w:t>
      </w:r>
      <w:r w:rsidRPr="005D08AD">
        <w:rPr>
          <w:rFonts w:ascii="Times New Roman" w:hAnsi="Times New Roman" w:cs="Times New Roman"/>
          <w:szCs w:val="28"/>
          <w:shd w:val="clear" w:color="auto" w:fill="FFFFFF"/>
        </w:rPr>
        <w:t xml:space="preserve">siones resolvió de manera específica y </w:t>
      </w:r>
      <w:r w:rsidRPr="005D08AD">
        <w:rPr>
          <w:rFonts w:ascii="Times New Roman" w:hAnsi="Times New Roman" w:cs="Times New Roman"/>
          <w:szCs w:val="28"/>
          <w:shd w:val="clear" w:color="auto" w:fill="FFFFFF"/>
        </w:rPr>
        <w:t xml:space="preserve">concreta el cuestionamiento </w:t>
      </w:r>
      <w:r w:rsidRPr="005D08AD">
        <w:rPr>
          <w:rFonts w:ascii="Times New Roman" w:hAnsi="Times New Roman" w:cs="Times New Roman"/>
          <w:szCs w:val="28"/>
          <w:shd w:val="clear" w:color="auto" w:fill="FFFFFF"/>
        </w:rPr>
        <w:t xml:space="preserve">de los ciudadanos </w:t>
      </w:r>
      <w:r w:rsidRPr="005D08AD">
        <w:rPr>
          <w:rFonts w:ascii="Times New Roman" w:hAnsi="Times New Roman" w:cs="Times New Roman"/>
          <w:szCs w:val="28"/>
          <w:shd w:val="clear" w:color="auto" w:fill="FFFFFF"/>
        </w:rPr>
        <w:t xml:space="preserve">relativo a la falta de determinación del </w:t>
      </w:r>
      <w:r w:rsidRPr="005D08AD">
        <w:rPr>
          <w:rFonts w:ascii="Times New Roman" w:hAnsi="Times New Roman" w:cs="Times New Roman"/>
          <w:i/>
          <w:iCs/>
          <w:szCs w:val="28"/>
          <w:shd w:val="clear" w:color="auto" w:fill="FFFFFF"/>
        </w:rPr>
        <w:t>hecho generador</w:t>
      </w:r>
      <w:r w:rsidRPr="005D08AD">
        <w:rPr>
          <w:rFonts w:ascii="Times New Roman" w:hAnsi="Times New Roman" w:cs="Times New Roman"/>
          <w:szCs w:val="28"/>
          <w:shd w:val="clear" w:color="auto" w:fill="FFFFFF"/>
        </w:rPr>
        <w:t xml:space="preserve"> del impuesto sobre municiones </w:t>
      </w:r>
      <w:r w:rsidRPr="005D08AD">
        <w:rPr>
          <w:rFonts w:ascii="Times New Roman" w:hAnsi="Times New Roman" w:cs="Times New Roman"/>
          <w:szCs w:val="28"/>
          <w:shd w:val="clear" w:color="auto" w:fill="FFFFFF"/>
        </w:rPr>
        <w:t>y</w:t>
      </w:r>
      <w:r w:rsidRPr="005D08AD">
        <w:rPr>
          <w:rFonts w:ascii="Times New Roman" w:hAnsi="Times New Roman" w:cs="Times New Roman"/>
          <w:szCs w:val="28"/>
          <w:shd w:val="clear" w:color="auto" w:fill="FFFFFF"/>
        </w:rPr>
        <w:t xml:space="preserve"> explosivos</w:t>
      </w:r>
      <w:r w:rsidRPr="005D08AD">
        <w:rPr>
          <w:rFonts w:ascii="Times New Roman" w:hAnsi="Times New Roman" w:cs="Times New Roman"/>
          <w:szCs w:val="28"/>
          <w:shd w:val="clear" w:color="auto" w:fill="FFFFFF"/>
        </w:rPr>
        <w:t xml:space="preserve">. De esta </w:t>
      </w:r>
      <w:r w:rsidRPr="005D08AD">
        <w:rPr>
          <w:rFonts w:ascii="Times New Roman" w:hAnsi="Times New Roman" w:cs="Times New Roman"/>
          <w:szCs w:val="28"/>
          <w:shd w:val="clear" w:color="auto" w:fill="FFFFFF"/>
        </w:rPr>
        <w:t xml:space="preserve">manera no es posible afirmar la concurrencia de identidad plena entre objeto, cargo y parámetro de control </w:t>
      </w:r>
      <w:r w:rsidRPr="005D08AD">
        <w:rPr>
          <w:rFonts w:ascii="Times New Roman" w:hAnsi="Times New Roman" w:cs="Times New Roman"/>
          <w:szCs w:val="28"/>
          <w:shd w:val="clear" w:color="auto" w:fill="FFFFFF"/>
        </w:rPr>
        <w:t xml:space="preserve">entre los problemas jurídicos resueltos </w:t>
      </w:r>
      <w:r w:rsidRPr="005D08AD">
        <w:rPr>
          <w:rFonts w:ascii="Times New Roman" w:hAnsi="Times New Roman" w:cs="Times New Roman"/>
          <w:szCs w:val="28"/>
          <w:shd w:val="clear" w:color="auto" w:fill="FFFFFF"/>
        </w:rPr>
        <w:t xml:space="preserve">en esas decisiones y el que ahora </w:t>
      </w:r>
      <w:r w:rsidRPr="005D08AD">
        <w:rPr>
          <w:rFonts w:ascii="Times New Roman" w:hAnsi="Times New Roman" w:cs="Times New Roman"/>
          <w:szCs w:val="28"/>
          <w:shd w:val="clear" w:color="auto" w:fill="FFFFFF"/>
        </w:rPr>
        <w:t xml:space="preserve">corresponde </w:t>
      </w:r>
      <w:r w:rsidRPr="005D08AD">
        <w:rPr>
          <w:rFonts w:ascii="Times New Roman" w:hAnsi="Times New Roman" w:cs="Times New Roman"/>
          <w:szCs w:val="28"/>
          <w:shd w:val="clear" w:color="auto" w:fill="FFFFFF"/>
        </w:rPr>
        <w:t>a la Sala, que permita</w:t>
      </w:r>
      <w:r w:rsidRPr="005D08AD">
        <w:rPr>
          <w:rFonts w:ascii="Times New Roman" w:hAnsi="Times New Roman" w:cs="Times New Roman"/>
          <w:szCs w:val="28"/>
          <w:shd w:val="clear" w:color="auto" w:fill="FFFFFF"/>
        </w:rPr>
        <w:t xml:space="preserve"> declarar la existencia de cosa juzgada c</w:t>
      </w:r>
      <w:r w:rsidRPr="005D08AD">
        <w:rPr>
          <w:rFonts w:ascii="Times New Roman" w:hAnsi="Times New Roman" w:cs="Times New Roman"/>
          <w:szCs w:val="28"/>
          <w:shd w:val="clear" w:color="auto" w:fill="FFFFFF"/>
        </w:rPr>
        <w:t xml:space="preserve">onstitucional en el presente caso. </w:t>
      </w:r>
    </w:p>
    <w:p w:rsidR="00AA45D9" w:rsidRPr="005D08AD" w:rsidRDefault="005D08AD" w:rsidP="000F460E">
      <w:pPr>
        <w:pStyle w:val="Prrafodelista"/>
        <w:spacing w:after="0" w:line="240" w:lineRule="auto"/>
        <w:ind w:left="0"/>
        <w:rPr>
          <w:rFonts w:ascii="Times New Roman" w:hAnsi="Times New Roman" w:cs="Times New Roman"/>
          <w:szCs w:val="28"/>
          <w:shd w:val="clear" w:color="auto" w:fill="FFFFFF"/>
        </w:rPr>
      </w:pPr>
    </w:p>
    <w:p w:rsidR="00AA45D9"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 xml:space="preserve">En este orden de ideas, la Sala </w:t>
      </w:r>
      <w:r w:rsidRPr="005D08AD">
        <w:rPr>
          <w:rFonts w:ascii="Times New Roman" w:hAnsi="Times New Roman" w:cs="Times New Roman"/>
          <w:szCs w:val="28"/>
          <w:shd w:val="clear" w:color="auto" w:fill="FFFFFF"/>
        </w:rPr>
        <w:t xml:space="preserve">se encuentra habilitada para emitir un pronunciamiento de fondo, toda vez que las decisiones previas no agotaron el examen constitucional sobre </w:t>
      </w:r>
      <w:r w:rsidRPr="005D08AD">
        <w:rPr>
          <w:rFonts w:ascii="Times New Roman" w:hAnsi="Times New Roman" w:cs="Times New Roman"/>
          <w:szCs w:val="28"/>
          <w:shd w:val="clear" w:color="auto" w:fill="FFFFFF"/>
        </w:rPr>
        <w:t>la determinación del hecho generador del im</w:t>
      </w:r>
      <w:r w:rsidRPr="005D08AD">
        <w:rPr>
          <w:rFonts w:ascii="Times New Roman" w:hAnsi="Times New Roman" w:cs="Times New Roman"/>
          <w:szCs w:val="28"/>
          <w:shd w:val="clear" w:color="auto" w:fill="FFFFFF"/>
        </w:rPr>
        <w:t>puesto sobre municiones y explosivos</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por </w:t>
      </w:r>
      <w:r w:rsidRPr="005D08AD">
        <w:rPr>
          <w:rFonts w:ascii="Times New Roman" w:hAnsi="Times New Roman" w:cs="Times New Roman"/>
          <w:szCs w:val="28"/>
          <w:shd w:val="clear" w:color="auto" w:fill="FFFFFF"/>
        </w:rPr>
        <w:t xml:space="preserve">ende, sobre este particular, no se configura el </w:t>
      </w:r>
      <w:r w:rsidRPr="005D08AD">
        <w:rPr>
          <w:rFonts w:ascii="Times New Roman" w:hAnsi="Times New Roman" w:cs="Times New Roman"/>
          <w:szCs w:val="28"/>
          <w:shd w:val="clear" w:color="auto" w:fill="FFFFFF"/>
        </w:rPr>
        <w:t xml:space="preserve">aludido fenómeno procesal. </w:t>
      </w:r>
    </w:p>
    <w:p w:rsidR="00577635" w:rsidRPr="005D08AD" w:rsidRDefault="005D08AD" w:rsidP="005F72BB">
      <w:pPr>
        <w:pStyle w:val="Prrafodelista"/>
        <w:spacing w:after="0" w:line="240" w:lineRule="auto"/>
        <w:ind w:left="0"/>
        <w:mirrorIndents/>
        <w:jc w:val="both"/>
        <w:rPr>
          <w:rFonts w:ascii="Times New Roman" w:hAnsi="Times New Roman" w:cs="Times New Roman"/>
          <w:szCs w:val="28"/>
          <w:shd w:val="clear" w:color="auto" w:fill="FFFFFF"/>
        </w:rPr>
      </w:pPr>
    </w:p>
    <w:p w:rsidR="00040BBF" w:rsidRPr="005D08AD" w:rsidRDefault="005D08AD" w:rsidP="005F72BB">
      <w:pPr>
        <w:pStyle w:val="Prrafodelista"/>
        <w:numPr>
          <w:ilvl w:val="0"/>
          <w:numId w:val="6"/>
        </w:numPr>
        <w:spacing w:after="0" w:line="240" w:lineRule="auto"/>
        <w:ind w:left="0" w:firstLine="0"/>
        <w:mirrorIndents/>
        <w:jc w:val="both"/>
        <w:outlineLvl w:val="1"/>
        <w:rPr>
          <w:rFonts w:ascii="Times New Roman" w:hAnsi="Times New Roman" w:cs="Times New Roman"/>
          <w:b/>
          <w:szCs w:val="28"/>
          <w:lang w:val="es-CO"/>
        </w:rPr>
      </w:pPr>
      <w:r w:rsidRPr="005D08AD">
        <w:rPr>
          <w:rFonts w:ascii="Times New Roman" w:hAnsi="Times New Roman" w:cs="Times New Roman"/>
          <w:b/>
          <w:szCs w:val="28"/>
          <w:lang w:val="es-CO"/>
        </w:rPr>
        <w:t xml:space="preserve">Problema jurídico y metodología de la decisión </w:t>
      </w:r>
    </w:p>
    <w:p w:rsidR="00F538AE" w:rsidRPr="005D08AD" w:rsidRDefault="005D08AD" w:rsidP="005F72BB">
      <w:pPr>
        <w:contextualSpacing/>
        <w:mirrorIndents/>
        <w:rPr>
          <w:rFonts w:ascii="Times New Roman" w:hAnsi="Times New Roman" w:cs="Times New Roman"/>
          <w:sz w:val="28"/>
          <w:szCs w:val="28"/>
          <w:shd w:val="clear" w:color="auto" w:fill="FFFFFF"/>
        </w:rPr>
      </w:pPr>
    </w:p>
    <w:p w:rsidR="009D6CD9"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De conformidad con el análisis expuesto, en</w:t>
      </w:r>
      <w:r w:rsidRPr="005D08AD">
        <w:rPr>
          <w:rFonts w:ascii="Times New Roman" w:hAnsi="Times New Roman" w:cs="Times New Roman"/>
          <w:szCs w:val="28"/>
          <w:shd w:val="clear" w:color="auto" w:fill="FFFFFF"/>
        </w:rPr>
        <w:t xml:space="preserve"> esta ocasión </w:t>
      </w:r>
      <w:r w:rsidRPr="005D08AD">
        <w:rPr>
          <w:rFonts w:ascii="Times New Roman" w:hAnsi="Times New Roman" w:cs="Times New Roman"/>
          <w:szCs w:val="28"/>
          <w:shd w:val="clear" w:color="auto" w:fill="FFFFFF"/>
        </w:rPr>
        <w:t xml:space="preserve">le </w:t>
      </w:r>
      <w:r w:rsidRPr="005D08AD">
        <w:rPr>
          <w:rFonts w:ascii="Times New Roman" w:hAnsi="Times New Roman" w:cs="Times New Roman"/>
          <w:szCs w:val="28"/>
          <w:shd w:val="clear" w:color="auto" w:fill="FFFFFF"/>
        </w:rPr>
        <w:t xml:space="preserve">corresponde a la </w:t>
      </w:r>
      <w:r w:rsidRPr="005D08AD">
        <w:rPr>
          <w:rFonts w:ascii="Times New Roman" w:hAnsi="Times New Roman" w:cs="Times New Roman"/>
          <w:szCs w:val="28"/>
          <w:shd w:val="clear" w:color="auto" w:fill="FFFFFF"/>
        </w:rPr>
        <w:t>Sala</w:t>
      </w:r>
      <w:r w:rsidRPr="005D08AD">
        <w:rPr>
          <w:rFonts w:ascii="Times New Roman" w:hAnsi="Times New Roman" w:cs="Times New Roman"/>
          <w:szCs w:val="28"/>
          <w:shd w:val="clear" w:color="auto" w:fill="FFFFFF"/>
        </w:rPr>
        <w:t xml:space="preserve"> Plena</w:t>
      </w:r>
      <w:r w:rsidRPr="005D08AD">
        <w:rPr>
          <w:rFonts w:ascii="Times New Roman" w:hAnsi="Times New Roman" w:cs="Times New Roman"/>
          <w:szCs w:val="28"/>
          <w:shd w:val="clear" w:color="auto" w:fill="FFFFFF"/>
        </w:rPr>
        <w:t xml:space="preserve"> resolver el siguiente problema jurídico ¿el impuesto social de municiones y explosivos c</w:t>
      </w:r>
      <w:r w:rsidRPr="005D08AD">
        <w:rPr>
          <w:rFonts w:ascii="Times New Roman" w:hAnsi="Times New Roman" w:cs="Times New Roman"/>
          <w:szCs w:val="28"/>
          <w:shd w:val="clear" w:color="auto" w:fill="FFFFFF"/>
        </w:rPr>
        <w:t xml:space="preserve">ontemplado </w:t>
      </w:r>
      <w:r w:rsidRPr="005D08AD">
        <w:rPr>
          <w:rFonts w:ascii="Times New Roman" w:hAnsi="Times New Roman" w:cs="Times New Roman"/>
          <w:szCs w:val="28"/>
          <w:shd w:val="clear" w:color="auto" w:fill="FFFFFF"/>
        </w:rPr>
        <w:t xml:space="preserve">en el artículo 48 de la Ley 1438 de 2011 desconoce el principio de legalidad previsto en el artículo 338 de la Constitución al no determinar el </w:t>
      </w:r>
      <w:r w:rsidRPr="005D08AD">
        <w:rPr>
          <w:rFonts w:ascii="Times New Roman" w:hAnsi="Times New Roman" w:cs="Times New Roman"/>
          <w:i/>
          <w:iCs/>
          <w:szCs w:val="28"/>
          <w:shd w:val="clear" w:color="auto" w:fill="FFFFFF"/>
        </w:rPr>
        <w:t>hecho genera</w:t>
      </w:r>
      <w:r w:rsidRPr="005D08AD">
        <w:rPr>
          <w:rFonts w:ascii="Times New Roman" w:hAnsi="Times New Roman" w:cs="Times New Roman"/>
          <w:i/>
          <w:iCs/>
          <w:szCs w:val="28"/>
          <w:shd w:val="clear" w:color="auto" w:fill="FFFFFF"/>
        </w:rPr>
        <w:t>dor</w:t>
      </w:r>
      <w:r w:rsidRPr="005D08AD">
        <w:rPr>
          <w:rFonts w:ascii="Times New Roman" w:hAnsi="Times New Roman" w:cs="Times New Roman"/>
          <w:szCs w:val="28"/>
          <w:shd w:val="clear" w:color="auto" w:fill="FFFFFF"/>
        </w:rPr>
        <w:t xml:space="preserve"> del tributo? </w:t>
      </w:r>
    </w:p>
    <w:p w:rsidR="009D6CD9" w:rsidRPr="005D08AD" w:rsidRDefault="005D08AD" w:rsidP="005F72BB">
      <w:pPr>
        <w:pStyle w:val="Prrafodelista"/>
        <w:spacing w:after="0" w:line="240" w:lineRule="auto"/>
        <w:ind w:left="0"/>
        <w:mirrorIndents/>
        <w:jc w:val="both"/>
        <w:rPr>
          <w:rFonts w:ascii="Times New Roman" w:hAnsi="Times New Roman" w:cs="Times New Roman"/>
          <w:szCs w:val="28"/>
          <w:shd w:val="clear" w:color="auto" w:fill="FFFFFF"/>
        </w:rPr>
      </w:pPr>
    </w:p>
    <w:p w:rsidR="00F538AE"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 xml:space="preserve">Para responder a este interrogante la Sala (i) reiterará la jurisprudencia sobre el principio de legalidad </w:t>
      </w:r>
      <w:r w:rsidRPr="005D08AD">
        <w:rPr>
          <w:rFonts w:ascii="Times New Roman" w:hAnsi="Times New Roman" w:cs="Times New Roman"/>
          <w:szCs w:val="28"/>
          <w:shd w:val="clear" w:color="auto" w:fill="FFFFFF"/>
        </w:rPr>
        <w:t xml:space="preserve">en materia tributaria </w:t>
      </w:r>
      <w:r w:rsidRPr="005D08AD">
        <w:rPr>
          <w:rFonts w:ascii="Times New Roman" w:hAnsi="Times New Roman" w:cs="Times New Roman"/>
          <w:szCs w:val="28"/>
          <w:shd w:val="clear" w:color="auto" w:fill="FFFFFF"/>
        </w:rPr>
        <w:t xml:space="preserve">y su proyección en el principio certeza tributaria; (ii) </w:t>
      </w:r>
      <w:r w:rsidRPr="005D08AD">
        <w:rPr>
          <w:rFonts w:ascii="Times New Roman" w:hAnsi="Times New Roman" w:cs="Times New Roman"/>
          <w:szCs w:val="28"/>
          <w:shd w:val="clear" w:color="auto" w:fill="FFFFFF"/>
        </w:rPr>
        <w:t>se referirá</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al</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i/>
          <w:iCs/>
          <w:szCs w:val="28"/>
          <w:shd w:val="clear" w:color="auto" w:fill="FFFFFF"/>
        </w:rPr>
        <w:t>hecho generador</w:t>
      </w:r>
      <w:r w:rsidRPr="005D08AD">
        <w:rPr>
          <w:rFonts w:ascii="Times New Roman" w:hAnsi="Times New Roman" w:cs="Times New Roman"/>
          <w:szCs w:val="28"/>
          <w:shd w:val="clear" w:color="auto" w:fill="FFFFFF"/>
        </w:rPr>
        <w:t xml:space="preserve"> como elemento esencial </w:t>
      </w:r>
      <w:r w:rsidRPr="005D08AD">
        <w:rPr>
          <w:rFonts w:ascii="Times New Roman" w:hAnsi="Times New Roman" w:cs="Times New Roman"/>
          <w:szCs w:val="28"/>
          <w:shd w:val="clear" w:color="auto" w:fill="FFFFFF"/>
        </w:rPr>
        <w:t>de la obligación tributaria</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sustancial </w:t>
      </w:r>
      <w:r w:rsidRPr="005D08AD">
        <w:rPr>
          <w:rFonts w:ascii="Times New Roman" w:hAnsi="Times New Roman" w:cs="Times New Roman"/>
          <w:szCs w:val="28"/>
          <w:shd w:val="clear" w:color="auto" w:fill="FFFFFF"/>
        </w:rPr>
        <w:t>y</w:t>
      </w:r>
      <w:r w:rsidRPr="005D08AD">
        <w:rPr>
          <w:rFonts w:ascii="Times New Roman" w:hAnsi="Times New Roman" w:cs="Times New Roman"/>
          <w:szCs w:val="28"/>
          <w:shd w:val="clear" w:color="auto" w:fill="FFFFFF"/>
        </w:rPr>
        <w:t xml:space="preserve"> (iii) </w:t>
      </w:r>
      <w:r w:rsidRPr="005D08AD">
        <w:rPr>
          <w:rFonts w:ascii="Times New Roman" w:hAnsi="Times New Roman" w:cs="Times New Roman"/>
          <w:szCs w:val="28"/>
          <w:shd w:val="clear" w:color="auto" w:fill="FFFFFF"/>
        </w:rPr>
        <w:t xml:space="preserve">resolverá el caso en concreto. </w:t>
      </w:r>
    </w:p>
    <w:p w:rsidR="005A26A7" w:rsidRPr="005D08AD" w:rsidRDefault="005D08AD" w:rsidP="000F460E">
      <w:pPr>
        <w:pStyle w:val="Prrafodelista"/>
        <w:spacing w:after="0" w:line="240" w:lineRule="auto"/>
        <w:ind w:left="0"/>
        <w:mirrorIndents/>
        <w:jc w:val="both"/>
        <w:rPr>
          <w:rFonts w:ascii="Times New Roman" w:hAnsi="Times New Roman" w:cs="Times New Roman"/>
          <w:szCs w:val="28"/>
          <w:shd w:val="clear" w:color="auto" w:fill="FFFFFF"/>
        </w:rPr>
      </w:pPr>
    </w:p>
    <w:p w:rsidR="00F538AE" w:rsidRPr="005D08AD" w:rsidRDefault="005D08AD" w:rsidP="000F460E">
      <w:pPr>
        <w:pStyle w:val="Prrafodelista"/>
        <w:numPr>
          <w:ilvl w:val="0"/>
          <w:numId w:val="7"/>
        </w:numPr>
        <w:spacing w:after="0" w:line="240" w:lineRule="auto"/>
        <w:ind w:left="0" w:firstLine="0"/>
        <w:mirrorIndents/>
        <w:jc w:val="both"/>
        <w:outlineLvl w:val="2"/>
        <w:rPr>
          <w:rFonts w:ascii="Times New Roman" w:hAnsi="Times New Roman" w:cs="Times New Roman"/>
          <w:b/>
          <w:bCs/>
          <w:szCs w:val="28"/>
          <w:shd w:val="clear" w:color="auto" w:fill="FFFFFF"/>
        </w:rPr>
      </w:pPr>
      <w:r w:rsidRPr="005D08AD">
        <w:rPr>
          <w:rFonts w:ascii="Times New Roman" w:hAnsi="Times New Roman" w:cs="Times New Roman"/>
          <w:b/>
          <w:bCs/>
          <w:szCs w:val="28"/>
          <w:shd w:val="clear" w:color="auto" w:fill="FFFFFF"/>
        </w:rPr>
        <w:t xml:space="preserve">El principio de legalidad y su proyección en el principio de certeza </w:t>
      </w:r>
      <w:r w:rsidRPr="005D08AD">
        <w:rPr>
          <w:rFonts w:ascii="Times New Roman" w:hAnsi="Times New Roman" w:cs="Times New Roman"/>
          <w:b/>
          <w:bCs/>
          <w:szCs w:val="28"/>
          <w:shd w:val="clear" w:color="auto" w:fill="FFFFFF"/>
        </w:rPr>
        <w:t>en materia tributaria</w:t>
      </w:r>
      <w:r w:rsidRPr="005D08AD">
        <w:rPr>
          <w:rFonts w:ascii="Times New Roman" w:hAnsi="Times New Roman" w:cs="Times New Roman"/>
          <w:b/>
          <w:bCs/>
          <w:szCs w:val="28"/>
          <w:shd w:val="clear" w:color="auto" w:fill="FFFFFF"/>
        </w:rPr>
        <w:t xml:space="preserve">. </w:t>
      </w:r>
      <w:r w:rsidRPr="005D08AD">
        <w:rPr>
          <w:rFonts w:ascii="Times New Roman" w:hAnsi="Times New Roman" w:cs="Times New Roman"/>
          <w:b/>
          <w:bCs/>
          <w:szCs w:val="28"/>
          <w:shd w:val="clear" w:color="auto" w:fill="FFFFFF"/>
        </w:rPr>
        <w:t>R</w:t>
      </w:r>
      <w:r w:rsidRPr="005D08AD">
        <w:rPr>
          <w:rFonts w:ascii="Times New Roman" w:hAnsi="Times New Roman" w:cs="Times New Roman"/>
          <w:b/>
          <w:bCs/>
          <w:szCs w:val="28"/>
          <w:shd w:val="clear" w:color="auto" w:fill="FFFFFF"/>
        </w:rPr>
        <w:t>eiteración de jurisprudencia</w:t>
      </w:r>
    </w:p>
    <w:p w:rsidR="00F538AE" w:rsidRPr="005D08AD" w:rsidRDefault="005D08AD" w:rsidP="005F72BB">
      <w:pPr>
        <w:pStyle w:val="Prrafodelista"/>
        <w:spacing w:after="0" w:line="240" w:lineRule="auto"/>
        <w:ind w:left="0"/>
        <w:mirrorIndents/>
        <w:jc w:val="both"/>
        <w:rPr>
          <w:rFonts w:ascii="Times New Roman" w:hAnsi="Times New Roman" w:cs="Times New Roman"/>
          <w:b/>
          <w:bCs/>
          <w:szCs w:val="28"/>
          <w:shd w:val="clear" w:color="auto" w:fill="FFFFFF"/>
        </w:rPr>
      </w:pPr>
    </w:p>
    <w:p w:rsidR="00F538AE"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i/>
          <w:iCs/>
          <w:szCs w:val="28"/>
          <w:shd w:val="clear" w:color="auto" w:fill="FFFFFF"/>
        </w:rPr>
        <w:t>Sobre el</w:t>
      </w:r>
      <w:r w:rsidRPr="005D08AD">
        <w:rPr>
          <w:rFonts w:ascii="Times New Roman" w:hAnsi="Times New Roman" w:cs="Times New Roman"/>
          <w:i/>
          <w:iCs/>
          <w:szCs w:val="28"/>
          <w:shd w:val="clear" w:color="auto" w:fill="FFFFFF"/>
        </w:rPr>
        <w:t xml:space="preserve"> principio </w:t>
      </w:r>
      <w:r w:rsidRPr="005D08AD">
        <w:rPr>
          <w:rFonts w:ascii="Times New Roman" w:hAnsi="Times New Roman" w:cs="Times New Roman"/>
          <w:i/>
          <w:iCs/>
          <w:szCs w:val="28"/>
          <w:shd w:val="clear" w:color="auto" w:fill="FFFFFF"/>
        </w:rPr>
        <w:t xml:space="preserve">de </w:t>
      </w:r>
      <w:r w:rsidRPr="005D08AD">
        <w:rPr>
          <w:rFonts w:ascii="Times New Roman" w:hAnsi="Times New Roman" w:cs="Times New Roman"/>
          <w:i/>
          <w:iCs/>
          <w:szCs w:val="28"/>
          <w:shd w:val="clear" w:color="auto" w:fill="FFFFFF"/>
        </w:rPr>
        <w:t>legalidad.</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El principio de legalidad tributaria fundado en el aforismo “</w:t>
      </w:r>
      <w:r w:rsidRPr="005D08AD">
        <w:rPr>
          <w:rFonts w:ascii="Times New Roman" w:hAnsi="Times New Roman" w:cs="Times New Roman"/>
          <w:i/>
          <w:iCs/>
          <w:szCs w:val="28"/>
          <w:shd w:val="clear" w:color="auto" w:fill="FFFFFF"/>
        </w:rPr>
        <w:t>no taxation without representation</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(no hay </w:t>
      </w:r>
      <w:r w:rsidRPr="005D08AD">
        <w:rPr>
          <w:rFonts w:ascii="Times New Roman" w:hAnsi="Times New Roman" w:cs="Times New Roman"/>
          <w:szCs w:val="28"/>
          <w:shd w:val="clear" w:color="auto" w:fill="FFFFFF"/>
        </w:rPr>
        <w:t>tributo</w:t>
      </w:r>
      <w:r w:rsidRPr="005D08AD">
        <w:rPr>
          <w:rFonts w:ascii="Times New Roman" w:hAnsi="Times New Roman" w:cs="Times New Roman"/>
          <w:szCs w:val="28"/>
          <w:shd w:val="clear" w:color="auto" w:fill="FFFFFF"/>
        </w:rPr>
        <w:t xml:space="preserve"> sin representación)</w:t>
      </w:r>
      <w:r w:rsidRPr="005D08AD">
        <w:rPr>
          <w:rFonts w:ascii="Times New Roman" w:hAnsi="Times New Roman" w:cs="Times New Roman"/>
          <w:szCs w:val="28"/>
          <w:shd w:val="clear" w:color="auto" w:fill="FFFFFF"/>
        </w:rPr>
        <w:t xml:space="preserve">, exige que para la creación de </w:t>
      </w:r>
      <w:r w:rsidRPr="005D08AD">
        <w:rPr>
          <w:rFonts w:ascii="Times New Roman" w:hAnsi="Times New Roman" w:cs="Times New Roman"/>
          <w:szCs w:val="28"/>
          <w:shd w:val="clear" w:color="auto" w:fill="FFFFFF"/>
        </w:rPr>
        <w:t>tributos</w:t>
      </w:r>
      <w:r w:rsidRPr="005D08AD">
        <w:rPr>
          <w:rFonts w:ascii="Times New Roman" w:hAnsi="Times New Roman" w:cs="Times New Roman"/>
          <w:szCs w:val="28"/>
          <w:shd w:val="clear" w:color="auto" w:fill="FFFFFF"/>
        </w:rPr>
        <w:t xml:space="preserve"> exista un procedimiento democrático </w:t>
      </w:r>
      <w:r w:rsidRPr="005D08AD">
        <w:rPr>
          <w:rFonts w:ascii="Times New Roman" w:hAnsi="Times New Roman" w:cs="Times New Roman"/>
          <w:szCs w:val="28"/>
          <w:shd w:val="clear" w:color="auto" w:fill="FFFFFF"/>
        </w:rPr>
        <w:t xml:space="preserve">y </w:t>
      </w:r>
      <w:r w:rsidRPr="005D08AD">
        <w:rPr>
          <w:rFonts w:ascii="Times New Roman" w:hAnsi="Times New Roman" w:cs="Times New Roman"/>
          <w:szCs w:val="28"/>
          <w:shd w:val="clear" w:color="auto" w:fill="FFFFFF"/>
        </w:rPr>
        <w:t xml:space="preserve">participativo. En ese sentido, este principio, cuyo objetivo </w:t>
      </w:r>
      <w:r w:rsidRPr="005D08AD">
        <w:rPr>
          <w:rFonts w:ascii="Times New Roman" w:hAnsi="Times New Roman" w:cs="Times New Roman"/>
          <w:szCs w:val="28"/>
          <w:shd w:val="clear" w:color="auto" w:fill="FFFFFF"/>
        </w:rPr>
        <w:t>se explica en el</w:t>
      </w:r>
      <w:r w:rsidRPr="005D08AD">
        <w:rPr>
          <w:rFonts w:ascii="Times New Roman" w:hAnsi="Times New Roman" w:cs="Times New Roman"/>
          <w:szCs w:val="28"/>
          <w:shd w:val="clear" w:color="auto" w:fill="FFFFFF"/>
        </w:rPr>
        <w:t xml:space="preserve"> fortalec</w:t>
      </w:r>
      <w:r w:rsidRPr="005D08AD">
        <w:rPr>
          <w:rFonts w:ascii="Times New Roman" w:hAnsi="Times New Roman" w:cs="Times New Roman"/>
          <w:szCs w:val="28"/>
          <w:shd w:val="clear" w:color="auto" w:fill="FFFFFF"/>
        </w:rPr>
        <w:t>imiento de</w:t>
      </w:r>
      <w:r w:rsidRPr="005D08AD">
        <w:rPr>
          <w:rFonts w:ascii="Times New Roman" w:hAnsi="Times New Roman" w:cs="Times New Roman"/>
          <w:szCs w:val="28"/>
          <w:shd w:val="clear" w:color="auto" w:fill="FFFFFF"/>
        </w:rPr>
        <w:t xml:space="preserve"> la seguridad jurídica y evitar abusos impositivos </w:t>
      </w:r>
      <w:r w:rsidRPr="005D08AD">
        <w:rPr>
          <w:rFonts w:ascii="Times New Roman" w:hAnsi="Times New Roman" w:cs="Times New Roman"/>
          <w:szCs w:val="28"/>
          <w:shd w:val="clear" w:color="auto" w:fill="FFFFFF"/>
        </w:rPr>
        <w:t>por parte de</w:t>
      </w:r>
      <w:r w:rsidRPr="005D08AD">
        <w:rPr>
          <w:rFonts w:ascii="Times New Roman" w:hAnsi="Times New Roman" w:cs="Times New Roman"/>
          <w:szCs w:val="28"/>
          <w:shd w:val="clear" w:color="auto" w:fill="FFFFFF"/>
        </w:rPr>
        <w:t xml:space="preserve"> los gobernantes, se erige como </w:t>
      </w:r>
      <w:r w:rsidRPr="005D08AD">
        <w:rPr>
          <w:rFonts w:ascii="Times New Roman" w:hAnsi="Times New Roman" w:cs="Times New Roman"/>
          <w:szCs w:val="28"/>
          <w:shd w:val="clear" w:color="auto" w:fill="FFFFFF"/>
        </w:rPr>
        <w:t xml:space="preserve">elemento fundamental </w:t>
      </w:r>
      <w:r w:rsidRPr="005D08AD">
        <w:rPr>
          <w:rFonts w:ascii="Times New Roman" w:hAnsi="Times New Roman" w:cs="Times New Roman"/>
          <w:szCs w:val="28"/>
          <w:shd w:val="clear" w:color="auto" w:fill="FFFFFF"/>
        </w:rPr>
        <w:t>para la creación de los tributos</w:t>
      </w:r>
      <w:r w:rsidRPr="005D08AD">
        <w:rPr>
          <w:rStyle w:val="Refdenotaalpie"/>
          <w:rFonts w:ascii="Times New Roman" w:hAnsi="Times New Roman"/>
          <w:szCs w:val="28"/>
          <w:shd w:val="clear" w:color="auto" w:fill="FFFFFF"/>
        </w:rPr>
        <w:footnoteReference w:id="44"/>
      </w:r>
      <w:r w:rsidRPr="005D08AD">
        <w:rPr>
          <w:rFonts w:ascii="Times New Roman" w:hAnsi="Times New Roman" w:cs="Times New Roman"/>
          <w:szCs w:val="28"/>
          <w:shd w:val="clear" w:color="auto" w:fill="FFFFFF"/>
        </w:rPr>
        <w:t>.</w:t>
      </w:r>
    </w:p>
    <w:p w:rsidR="00F538AE" w:rsidRPr="005D08AD" w:rsidRDefault="005D08AD" w:rsidP="005F72BB">
      <w:pPr>
        <w:pStyle w:val="Prrafodelista"/>
        <w:spacing w:after="0" w:line="240" w:lineRule="auto"/>
        <w:ind w:left="0"/>
        <w:mirrorIndents/>
        <w:jc w:val="both"/>
        <w:rPr>
          <w:rFonts w:ascii="Times New Roman" w:hAnsi="Times New Roman" w:cs="Times New Roman"/>
          <w:szCs w:val="28"/>
          <w:shd w:val="clear" w:color="auto" w:fill="FFFFFF"/>
        </w:rPr>
      </w:pPr>
    </w:p>
    <w:p w:rsidR="00123AB6"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 xml:space="preserve">En este </w:t>
      </w:r>
      <w:r w:rsidRPr="005D08AD">
        <w:rPr>
          <w:rFonts w:ascii="Times New Roman" w:hAnsi="Times New Roman" w:cs="Times New Roman"/>
          <w:szCs w:val="28"/>
          <w:shd w:val="clear" w:color="auto" w:fill="FFFFFF"/>
        </w:rPr>
        <w:t xml:space="preserve">sentido, </w:t>
      </w:r>
      <w:r w:rsidRPr="005D08AD">
        <w:rPr>
          <w:rFonts w:ascii="Times New Roman" w:hAnsi="Times New Roman" w:cs="Times New Roman"/>
          <w:szCs w:val="28"/>
          <w:shd w:val="clear" w:color="auto" w:fill="FFFFFF"/>
        </w:rPr>
        <w:t xml:space="preserve">el artículo 150.12 de la Constitución </w:t>
      </w:r>
      <w:r w:rsidRPr="005D08AD">
        <w:rPr>
          <w:rFonts w:ascii="Times New Roman" w:hAnsi="Times New Roman" w:cs="Times New Roman"/>
          <w:szCs w:val="28"/>
          <w:shd w:val="clear" w:color="auto" w:fill="FFFFFF"/>
        </w:rPr>
        <w:t>otorga</w:t>
      </w:r>
      <w:r w:rsidRPr="005D08AD">
        <w:rPr>
          <w:rFonts w:ascii="Times New Roman" w:hAnsi="Times New Roman" w:cs="Times New Roman"/>
          <w:szCs w:val="28"/>
          <w:shd w:val="clear" w:color="auto" w:fill="FFFFFF"/>
        </w:rPr>
        <w:t xml:space="preserve"> a</w:t>
      </w:r>
      <w:r w:rsidRPr="005D08AD">
        <w:rPr>
          <w:rFonts w:ascii="Times New Roman" w:hAnsi="Times New Roman" w:cs="Times New Roman"/>
          <w:szCs w:val="28"/>
          <w:shd w:val="clear" w:color="auto" w:fill="FFFFFF"/>
        </w:rPr>
        <w:t xml:space="preserve">l Legislativo </w:t>
      </w:r>
      <w:r w:rsidRPr="005D08AD">
        <w:rPr>
          <w:rFonts w:ascii="Times New Roman" w:hAnsi="Times New Roman" w:cs="Times New Roman"/>
          <w:szCs w:val="28"/>
          <w:shd w:val="clear" w:color="auto" w:fill="FFFFFF"/>
        </w:rPr>
        <w:t>la función de establecer las contribuciones fiscales y excepcionalmente las de carácter parafiscal. En la misma línea, el artículo 338 precisa las reglas que gobiernan el principio de leg</w:t>
      </w:r>
      <w:r w:rsidRPr="005D08AD">
        <w:rPr>
          <w:rFonts w:ascii="Times New Roman" w:hAnsi="Times New Roman" w:cs="Times New Roman"/>
          <w:szCs w:val="28"/>
          <w:shd w:val="clear" w:color="auto" w:fill="FFFFFF"/>
        </w:rPr>
        <w:t>alidad tributaria</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así: </w:t>
      </w:r>
      <w:r w:rsidRPr="005D08AD">
        <w:rPr>
          <w:rFonts w:ascii="Times New Roman" w:hAnsi="Times New Roman" w:cs="Times New Roman"/>
          <w:i/>
          <w:iCs/>
          <w:szCs w:val="28"/>
          <w:shd w:val="clear" w:color="auto" w:fill="FFFFFF"/>
        </w:rPr>
        <w:t>(i)</w:t>
      </w:r>
      <w:r w:rsidRPr="005D08AD">
        <w:rPr>
          <w:rFonts w:ascii="Times New Roman" w:hAnsi="Times New Roman" w:cs="Times New Roman"/>
          <w:szCs w:val="28"/>
          <w:shd w:val="clear" w:color="auto" w:fill="FFFFFF"/>
        </w:rPr>
        <w:t xml:space="preserve"> salvo en los casos en que concurran estados de excepción, solamente el Congreso, las asambleas departamentales y los concejos distritales y municipales podrán imponer contribuciones fiscales o parafiscales; </w:t>
      </w:r>
      <w:r w:rsidRPr="005D08AD">
        <w:rPr>
          <w:rFonts w:ascii="Times New Roman" w:hAnsi="Times New Roman" w:cs="Times New Roman"/>
          <w:i/>
          <w:iCs/>
          <w:szCs w:val="28"/>
          <w:shd w:val="clear" w:color="auto" w:fill="FFFFFF"/>
        </w:rPr>
        <w:t>(ii)</w:t>
      </w:r>
      <w:r w:rsidRPr="005D08AD">
        <w:rPr>
          <w:rFonts w:ascii="Times New Roman" w:hAnsi="Times New Roman" w:cs="Times New Roman"/>
          <w:szCs w:val="28"/>
          <w:shd w:val="clear" w:color="auto" w:fill="FFFFFF"/>
        </w:rPr>
        <w:t xml:space="preserve"> la ley, las ordenanzas y los acuerdos deben fijar los elementos esenciales del tributo. En otras palabras, tienen que establecer los sujetos activos y pasivos, los hechos generadores y las bases gravables, al igual que la tarifa de los </w:t>
      </w:r>
      <w:r w:rsidRPr="005D08AD">
        <w:rPr>
          <w:rFonts w:ascii="Times New Roman" w:hAnsi="Times New Roman" w:cs="Times New Roman"/>
          <w:szCs w:val="28"/>
          <w:shd w:val="clear" w:color="auto" w:fill="FFFFFF"/>
        </w:rPr>
        <w:t>tributos</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i/>
          <w:iCs/>
          <w:szCs w:val="28"/>
          <w:shd w:val="clear" w:color="auto" w:fill="FFFFFF"/>
        </w:rPr>
        <w:t>(iii)</w:t>
      </w:r>
      <w:r w:rsidRPr="005D08AD">
        <w:rPr>
          <w:rFonts w:ascii="Times New Roman" w:hAnsi="Times New Roman" w:cs="Times New Roman"/>
          <w:szCs w:val="28"/>
          <w:shd w:val="clear" w:color="auto" w:fill="FFFFFF"/>
        </w:rPr>
        <w:t xml:space="preserve"> sól</w:t>
      </w:r>
      <w:r w:rsidRPr="005D08AD">
        <w:rPr>
          <w:rFonts w:ascii="Times New Roman" w:hAnsi="Times New Roman" w:cs="Times New Roman"/>
          <w:szCs w:val="28"/>
          <w:shd w:val="clear" w:color="auto" w:fill="FFFFFF"/>
        </w:rPr>
        <w:t xml:space="preserve">o en </w:t>
      </w:r>
      <w:r w:rsidRPr="005D08AD">
        <w:rPr>
          <w:rFonts w:ascii="Times New Roman" w:hAnsi="Times New Roman" w:cs="Times New Roman"/>
          <w:szCs w:val="28"/>
          <w:shd w:val="clear" w:color="auto" w:fill="FFFFFF"/>
        </w:rPr>
        <w:t xml:space="preserve">el </w:t>
      </w:r>
      <w:r w:rsidRPr="005D08AD">
        <w:rPr>
          <w:rFonts w:ascii="Times New Roman" w:hAnsi="Times New Roman" w:cs="Times New Roman"/>
          <w:szCs w:val="28"/>
          <w:shd w:val="clear" w:color="auto" w:fill="FFFFFF"/>
        </w:rPr>
        <w:t xml:space="preserve">caso de las tasas y contribuciones es posible permitir que las autoridades gubernamentales fijen la tarifa, siempre que el sistema y el método para su determinación se encuentre previamente fijado por la ley, ordenanza y/o acuerdo; y </w:t>
      </w:r>
      <w:r w:rsidRPr="005D08AD">
        <w:rPr>
          <w:rFonts w:ascii="Times New Roman" w:hAnsi="Times New Roman" w:cs="Times New Roman"/>
          <w:i/>
          <w:iCs/>
          <w:szCs w:val="28"/>
          <w:shd w:val="clear" w:color="auto" w:fill="FFFFFF"/>
        </w:rPr>
        <w:t>(iv)</w:t>
      </w:r>
      <w:r w:rsidRPr="005D08AD">
        <w:rPr>
          <w:rFonts w:ascii="Times New Roman" w:hAnsi="Times New Roman" w:cs="Times New Roman"/>
          <w:szCs w:val="28"/>
          <w:shd w:val="clear" w:color="auto" w:fill="FFFFFF"/>
        </w:rPr>
        <w:t xml:space="preserve"> las norma</w:t>
      </w:r>
      <w:r w:rsidRPr="005D08AD">
        <w:rPr>
          <w:rFonts w:ascii="Times New Roman" w:hAnsi="Times New Roman" w:cs="Times New Roman"/>
          <w:szCs w:val="28"/>
          <w:shd w:val="clear" w:color="auto" w:fill="FFFFFF"/>
        </w:rPr>
        <w:t>s que determinen contribuciones fiscales</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sobre la base de hechos ocurridos durante un periodo determinado, no pueden aplicarse sino a partir del periodo que comience después de iniciar la vigencia de la respectiva ley, ordenanza o acuerdo. </w:t>
      </w:r>
    </w:p>
    <w:p w:rsidR="00043160" w:rsidRPr="005D08AD" w:rsidRDefault="005D08AD" w:rsidP="005F72BB">
      <w:pPr>
        <w:pStyle w:val="Prrafodelista"/>
        <w:spacing w:after="0" w:line="240" w:lineRule="auto"/>
        <w:ind w:left="0"/>
        <w:mirrorIndents/>
        <w:jc w:val="both"/>
        <w:rPr>
          <w:rFonts w:ascii="Times New Roman" w:hAnsi="Times New Roman" w:cs="Times New Roman"/>
          <w:szCs w:val="28"/>
          <w:shd w:val="clear" w:color="auto" w:fill="FFFFFF"/>
        </w:rPr>
      </w:pPr>
    </w:p>
    <w:p w:rsidR="004E5D77"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 xml:space="preserve"> L</w:t>
      </w:r>
      <w:r w:rsidRPr="005D08AD">
        <w:rPr>
          <w:rFonts w:ascii="Times New Roman" w:hAnsi="Times New Roman" w:cs="Times New Roman"/>
          <w:szCs w:val="28"/>
          <w:shd w:val="clear" w:color="auto" w:fill="FFFFFF"/>
        </w:rPr>
        <w:t xml:space="preserve">a Corte ha </w:t>
      </w:r>
      <w:r w:rsidRPr="005D08AD">
        <w:rPr>
          <w:rFonts w:ascii="Times New Roman" w:hAnsi="Times New Roman" w:cs="Times New Roman"/>
          <w:szCs w:val="28"/>
          <w:shd w:val="clear" w:color="auto" w:fill="FFFFFF"/>
        </w:rPr>
        <w:t>realizado una compilación de las reglas con</w:t>
      </w:r>
      <w:r w:rsidRPr="005D08AD">
        <w:rPr>
          <w:rFonts w:ascii="Times New Roman" w:hAnsi="Times New Roman" w:cs="Times New Roman"/>
          <w:szCs w:val="28"/>
          <w:shd w:val="clear" w:color="auto" w:fill="FFFFFF"/>
        </w:rPr>
        <w:t xml:space="preserve">stitucionales sobre el principio de legalidad tributaria y, en dicha labor ha decantado </w:t>
      </w:r>
      <w:r w:rsidRPr="005D08AD">
        <w:rPr>
          <w:rFonts w:ascii="Times New Roman" w:hAnsi="Times New Roman" w:cs="Times New Roman"/>
          <w:szCs w:val="28"/>
          <w:shd w:val="clear" w:color="auto" w:fill="FFFFFF"/>
        </w:rPr>
        <w:t xml:space="preserve">la </w:t>
      </w:r>
      <w:r w:rsidRPr="005D08AD">
        <w:rPr>
          <w:rFonts w:ascii="Times New Roman" w:hAnsi="Times New Roman" w:cs="Times New Roman"/>
          <w:i/>
          <w:iCs/>
          <w:szCs w:val="28"/>
          <w:shd w:val="clear" w:color="auto" w:fill="FFFFFF"/>
        </w:rPr>
        <w:t>relación de este principio con el de certeza tributaria</w:t>
      </w:r>
      <w:r w:rsidRPr="005D08AD">
        <w:rPr>
          <w:rStyle w:val="Refdenotaalpie"/>
          <w:rFonts w:ascii="Times New Roman" w:hAnsi="Times New Roman"/>
          <w:szCs w:val="28"/>
          <w:shd w:val="clear" w:color="auto" w:fill="FFFFFF"/>
        </w:rPr>
        <w:footnoteReference w:id="45"/>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Al respecto, es relevante destacar </w:t>
      </w:r>
      <w:r w:rsidRPr="005D08AD">
        <w:rPr>
          <w:rFonts w:ascii="Times New Roman" w:hAnsi="Times New Roman" w:cs="Times New Roman"/>
          <w:szCs w:val="28"/>
          <w:shd w:val="clear" w:color="auto" w:fill="FFFFFF"/>
        </w:rPr>
        <w:t>cuatro premisas</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Primero, </w:t>
      </w:r>
      <w:r w:rsidRPr="005D08AD">
        <w:rPr>
          <w:rFonts w:ascii="Times New Roman" w:hAnsi="Times New Roman" w:cs="Times New Roman"/>
          <w:szCs w:val="28"/>
          <w:shd w:val="clear" w:color="auto" w:fill="FFFFFF"/>
        </w:rPr>
        <w:t xml:space="preserve">la referida relación </w:t>
      </w:r>
      <w:r w:rsidRPr="005D08AD">
        <w:rPr>
          <w:rFonts w:ascii="Times New Roman" w:hAnsi="Times New Roman" w:cs="Times New Roman"/>
          <w:szCs w:val="28"/>
          <w:shd w:val="clear" w:color="auto" w:fill="FFFFFF"/>
        </w:rPr>
        <w:t xml:space="preserve">materializa el principio de predeterminación, según el cual las corporaciones de elección popular deben definir mediante normas </w:t>
      </w:r>
      <w:r w:rsidRPr="005D08AD">
        <w:rPr>
          <w:rFonts w:ascii="Times New Roman" w:hAnsi="Times New Roman" w:cs="Times New Roman"/>
          <w:i/>
          <w:iCs/>
          <w:szCs w:val="28"/>
          <w:shd w:val="clear" w:color="auto" w:fill="FFFFFF"/>
        </w:rPr>
        <w:t>previas</w:t>
      </w:r>
      <w:r w:rsidRPr="005D08AD">
        <w:rPr>
          <w:rFonts w:ascii="Times New Roman" w:hAnsi="Times New Roman" w:cs="Times New Roman"/>
          <w:szCs w:val="28"/>
          <w:shd w:val="clear" w:color="auto" w:fill="FFFFFF"/>
        </w:rPr>
        <w:t xml:space="preserve"> y </w:t>
      </w:r>
      <w:r w:rsidRPr="005D08AD">
        <w:rPr>
          <w:rFonts w:ascii="Times New Roman" w:hAnsi="Times New Roman" w:cs="Times New Roman"/>
          <w:i/>
          <w:iCs/>
          <w:szCs w:val="28"/>
          <w:shd w:val="clear" w:color="auto" w:fill="FFFFFF"/>
        </w:rPr>
        <w:t>ciertas</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los elementos </w:t>
      </w:r>
      <w:r w:rsidRPr="005D08AD">
        <w:rPr>
          <w:rFonts w:ascii="Times New Roman" w:hAnsi="Times New Roman" w:cs="Times New Roman"/>
          <w:szCs w:val="28"/>
          <w:shd w:val="clear" w:color="auto" w:fill="FFFFFF"/>
        </w:rPr>
        <w:t xml:space="preserve">esenciales </w:t>
      </w:r>
      <w:r w:rsidRPr="005D08AD">
        <w:rPr>
          <w:rFonts w:ascii="Times New Roman" w:hAnsi="Times New Roman" w:cs="Times New Roman"/>
          <w:szCs w:val="28"/>
          <w:shd w:val="clear" w:color="auto" w:fill="FFFFFF"/>
        </w:rPr>
        <w:t xml:space="preserve">de la obligación </w:t>
      </w:r>
      <w:r w:rsidRPr="005D08AD">
        <w:rPr>
          <w:rFonts w:ascii="Times New Roman" w:hAnsi="Times New Roman" w:cs="Times New Roman"/>
          <w:szCs w:val="28"/>
          <w:shd w:val="clear" w:color="auto" w:fill="FFFFFF"/>
        </w:rPr>
        <w:t>tributaria</w:t>
      </w:r>
      <w:r w:rsidRPr="005D08AD">
        <w:rPr>
          <w:rFonts w:ascii="Times New Roman" w:hAnsi="Times New Roman" w:cs="Times New Roman"/>
          <w:szCs w:val="28"/>
          <w:shd w:val="clear" w:color="auto" w:fill="FFFFFF"/>
        </w:rPr>
        <w:t>, sin perjuicio de que las autoridade</w:t>
      </w:r>
      <w:r w:rsidRPr="005D08AD">
        <w:rPr>
          <w:rFonts w:ascii="Times New Roman" w:hAnsi="Times New Roman" w:cs="Times New Roman"/>
          <w:szCs w:val="28"/>
          <w:shd w:val="clear" w:color="auto" w:fill="FFFFFF"/>
        </w:rPr>
        <w:t xml:space="preserve">s gubernamentales fijen las </w:t>
      </w:r>
      <w:r w:rsidRPr="005D08AD">
        <w:rPr>
          <w:rFonts w:ascii="Times New Roman" w:hAnsi="Times New Roman" w:cs="Times New Roman"/>
          <w:szCs w:val="28"/>
          <w:shd w:val="clear" w:color="auto" w:fill="FFFFFF"/>
        </w:rPr>
        <w:t xml:space="preserve">tarifas de las tasas y contribuciones especiales con base en el método definido por el legislador. Segundo, </w:t>
      </w:r>
      <w:r w:rsidRPr="005D08AD">
        <w:rPr>
          <w:rFonts w:ascii="Times New Roman" w:hAnsi="Times New Roman" w:cs="Times New Roman"/>
          <w:szCs w:val="28"/>
          <w:shd w:val="clear" w:color="auto" w:fill="FFFFFF"/>
        </w:rPr>
        <w:t xml:space="preserve">el referido vínculo </w:t>
      </w:r>
      <w:r w:rsidRPr="005D08AD">
        <w:rPr>
          <w:rFonts w:ascii="Times New Roman" w:hAnsi="Times New Roman" w:cs="Times New Roman"/>
          <w:szCs w:val="28"/>
          <w:shd w:val="clear" w:color="auto" w:fill="FFFFFF"/>
        </w:rPr>
        <w:t>incide en la seguridad jurídica</w:t>
      </w:r>
      <w:r w:rsidRPr="005D08AD">
        <w:rPr>
          <w:rFonts w:ascii="Times New Roman" w:hAnsi="Times New Roman" w:cs="Times New Roman"/>
          <w:szCs w:val="28"/>
          <w:shd w:val="clear" w:color="auto" w:fill="FFFFFF"/>
        </w:rPr>
        <w:t>, debido a que la determinación con suficiente claridad y precisión d</w:t>
      </w:r>
      <w:r w:rsidRPr="005D08AD">
        <w:rPr>
          <w:rFonts w:ascii="Times New Roman" w:hAnsi="Times New Roman" w:cs="Times New Roman"/>
          <w:szCs w:val="28"/>
          <w:shd w:val="clear" w:color="auto" w:fill="FFFFFF"/>
        </w:rPr>
        <w:t>e los elementos del tributo</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permite</w:t>
      </w:r>
      <w:r w:rsidRPr="005D08AD">
        <w:rPr>
          <w:rFonts w:ascii="Times New Roman" w:hAnsi="Times New Roman" w:cs="Times New Roman"/>
          <w:szCs w:val="28"/>
          <w:shd w:val="clear" w:color="auto" w:fill="FFFFFF"/>
        </w:rPr>
        <w:t xml:space="preserve"> a los ciudadanos conocer de antemano el contenido de sus obligaciones tributarias y garantiza el derecho al debido proceso </w:t>
      </w:r>
      <w:r w:rsidRPr="005D08AD">
        <w:rPr>
          <w:rFonts w:ascii="Times New Roman" w:hAnsi="Times New Roman" w:cs="Times New Roman"/>
          <w:szCs w:val="28"/>
          <w:shd w:val="clear" w:color="auto" w:fill="FFFFFF"/>
        </w:rPr>
        <w:t>de los contribuyentes</w:t>
      </w:r>
      <w:r w:rsidRPr="005D08AD">
        <w:rPr>
          <w:rFonts w:ascii="Times New Roman" w:hAnsi="Times New Roman" w:cs="Times New Roman"/>
          <w:szCs w:val="28"/>
          <w:shd w:val="clear" w:color="auto" w:fill="FFFFFF"/>
        </w:rPr>
        <w:t xml:space="preserve">. </w:t>
      </w:r>
    </w:p>
    <w:p w:rsidR="004E5D77" w:rsidRPr="005D08AD" w:rsidRDefault="005D08AD" w:rsidP="005F72BB">
      <w:pPr>
        <w:pStyle w:val="Prrafodelista"/>
        <w:spacing w:after="0" w:line="240" w:lineRule="auto"/>
        <w:ind w:left="0"/>
        <w:mirrorIndents/>
        <w:rPr>
          <w:rFonts w:ascii="Times New Roman" w:hAnsi="Times New Roman" w:cs="Times New Roman"/>
          <w:szCs w:val="28"/>
          <w:shd w:val="clear" w:color="auto" w:fill="FFFFFF"/>
        </w:rPr>
      </w:pPr>
    </w:p>
    <w:p w:rsidR="003A7A18"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Tercero, </w:t>
      </w:r>
      <w:r w:rsidRPr="005D08AD">
        <w:rPr>
          <w:rFonts w:ascii="Times New Roman" w:hAnsi="Times New Roman" w:cs="Times New Roman"/>
          <w:szCs w:val="28"/>
          <w:shd w:val="clear" w:color="auto" w:fill="FFFFFF"/>
        </w:rPr>
        <w:t>permite garantizar el</w:t>
      </w:r>
      <w:r w:rsidRPr="005D08AD">
        <w:rPr>
          <w:rFonts w:ascii="Times New Roman" w:hAnsi="Times New Roman" w:cs="Times New Roman"/>
          <w:szCs w:val="28"/>
          <w:shd w:val="clear" w:color="auto" w:fill="FFFFFF"/>
        </w:rPr>
        <w:t xml:space="preserve"> principio de unidad económica, </w:t>
      </w:r>
      <w:r w:rsidRPr="005D08AD">
        <w:rPr>
          <w:rFonts w:ascii="Times New Roman" w:hAnsi="Times New Roman" w:cs="Times New Roman"/>
          <w:szCs w:val="28"/>
          <w:shd w:val="clear" w:color="auto" w:fill="FFFFFF"/>
        </w:rPr>
        <w:t xml:space="preserve">con el </w:t>
      </w:r>
      <w:r w:rsidRPr="005D08AD">
        <w:rPr>
          <w:rFonts w:ascii="Times New Roman" w:hAnsi="Times New Roman" w:cs="Times New Roman"/>
          <w:szCs w:val="28"/>
          <w:shd w:val="clear" w:color="auto" w:fill="FFFFFF"/>
        </w:rPr>
        <w:t>fin de</w:t>
      </w:r>
      <w:r w:rsidRPr="005D08AD">
        <w:rPr>
          <w:rFonts w:ascii="Times New Roman" w:hAnsi="Times New Roman" w:cs="Times New Roman"/>
          <w:szCs w:val="28"/>
          <w:shd w:val="clear" w:color="auto" w:fill="FFFFFF"/>
        </w:rPr>
        <w:t xml:space="preserve"> coordina</w:t>
      </w:r>
      <w:r w:rsidRPr="005D08AD">
        <w:rPr>
          <w:rFonts w:ascii="Times New Roman" w:hAnsi="Times New Roman" w:cs="Times New Roman"/>
          <w:szCs w:val="28"/>
          <w:shd w:val="clear" w:color="auto" w:fill="FFFFFF"/>
        </w:rPr>
        <w:t>r de manera clara</w:t>
      </w:r>
      <w:r w:rsidRPr="005D08AD">
        <w:rPr>
          <w:rFonts w:ascii="Times New Roman" w:hAnsi="Times New Roman" w:cs="Times New Roman"/>
          <w:szCs w:val="28"/>
          <w:shd w:val="clear" w:color="auto" w:fill="FFFFFF"/>
        </w:rPr>
        <w:t xml:space="preserve"> competencias concurrentes entre el nivel central y local</w:t>
      </w:r>
      <w:r w:rsidRPr="005D08AD">
        <w:rPr>
          <w:rStyle w:val="Refdenotaalpie"/>
          <w:rFonts w:ascii="Times New Roman" w:hAnsi="Times New Roman"/>
          <w:szCs w:val="28"/>
          <w:shd w:val="clear" w:color="auto" w:fill="FFFFFF"/>
        </w:rPr>
        <w:footnoteReference w:id="46"/>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Cuarto,</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“[d]ependiendo de si el tributo es un ingreso de orden nacional o territorial, se exige un nivel distinto de determinación por parte del Legislador. Así, en</w:t>
      </w:r>
      <w:r w:rsidRPr="005D08AD">
        <w:rPr>
          <w:rFonts w:ascii="Times New Roman" w:hAnsi="Times New Roman" w:cs="Times New Roman"/>
          <w:szCs w:val="28"/>
          <w:shd w:val="clear" w:color="auto" w:fill="FFFFFF"/>
        </w:rPr>
        <w:t xml:space="preserve"> el caso de los ingresos nacionales los elementos esenciales del tributo deben ser definidos de forma clara e inequívoca por el Legislador, mientras que, en el caso de los tributos territoriales, se concede un margen de acción más amplio a los órganos terr</w:t>
      </w:r>
      <w:r w:rsidRPr="005D08AD">
        <w:rPr>
          <w:rFonts w:ascii="Times New Roman" w:hAnsi="Times New Roman" w:cs="Times New Roman"/>
          <w:szCs w:val="28"/>
          <w:shd w:val="clear" w:color="auto" w:fill="FFFFFF"/>
        </w:rPr>
        <w:t>itoriales competentes, de elección popular, para concretar los aspectos generales prefigurados por el Legislador”</w:t>
      </w:r>
      <w:r w:rsidRPr="005D08AD">
        <w:rPr>
          <w:rStyle w:val="Refdenotaalpie"/>
          <w:rFonts w:ascii="Times New Roman" w:hAnsi="Times New Roman"/>
          <w:szCs w:val="28"/>
          <w:shd w:val="clear" w:color="auto" w:fill="FFFFFF"/>
        </w:rPr>
        <w:footnoteReference w:id="47"/>
      </w:r>
      <w:r w:rsidRPr="005D08AD">
        <w:rPr>
          <w:rFonts w:ascii="Times New Roman" w:hAnsi="Times New Roman" w:cs="Times New Roman"/>
          <w:szCs w:val="28"/>
          <w:shd w:val="clear" w:color="auto" w:fill="FFFFFF"/>
        </w:rPr>
        <w:t>.</w:t>
      </w:r>
    </w:p>
    <w:p w:rsidR="00910CD9" w:rsidRPr="005D08AD" w:rsidRDefault="005D08AD" w:rsidP="005F72BB">
      <w:pPr>
        <w:pStyle w:val="Prrafodelista"/>
        <w:spacing w:after="0" w:line="240" w:lineRule="auto"/>
        <w:ind w:left="0"/>
        <w:mirrorIndents/>
        <w:rPr>
          <w:rFonts w:ascii="Times New Roman" w:hAnsi="Times New Roman" w:cs="Times New Roman"/>
          <w:szCs w:val="28"/>
          <w:shd w:val="clear" w:color="auto" w:fill="FFFFFF"/>
        </w:rPr>
      </w:pPr>
    </w:p>
    <w:p w:rsidR="008000D3"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En este orden de ideas, e</w:t>
      </w:r>
      <w:r w:rsidRPr="005D08AD">
        <w:rPr>
          <w:rFonts w:ascii="Times New Roman" w:hAnsi="Times New Roman" w:cs="Times New Roman"/>
          <w:szCs w:val="28"/>
          <w:shd w:val="clear" w:color="auto" w:fill="FFFFFF"/>
        </w:rPr>
        <w:t xml:space="preserve">l principio de certeza tributaria, como proyección del principio de legalidad, implica que las corporaciones de representación popular no solo tienen el deber de crear el tributo, sino también </w:t>
      </w:r>
      <w:r w:rsidRPr="005D08AD">
        <w:rPr>
          <w:rFonts w:ascii="Times New Roman" w:hAnsi="Times New Roman" w:cs="Times New Roman"/>
          <w:szCs w:val="28"/>
          <w:shd w:val="clear" w:color="auto" w:fill="FFFFFF"/>
        </w:rPr>
        <w:t>deben</w:t>
      </w:r>
      <w:r w:rsidRPr="005D08AD">
        <w:rPr>
          <w:rFonts w:ascii="Times New Roman" w:hAnsi="Times New Roman" w:cs="Times New Roman"/>
          <w:szCs w:val="28"/>
          <w:shd w:val="clear" w:color="auto" w:fill="FFFFFF"/>
        </w:rPr>
        <w:t xml:space="preserve"> definir de manera razonable</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clara y precisa sus elemento</w:t>
      </w:r>
      <w:r w:rsidRPr="005D08AD">
        <w:rPr>
          <w:rFonts w:ascii="Times New Roman" w:hAnsi="Times New Roman" w:cs="Times New Roman"/>
          <w:szCs w:val="28"/>
          <w:shd w:val="clear" w:color="auto" w:fill="FFFFFF"/>
        </w:rPr>
        <w:t>s esenciales —sujeto activo, sujeto pasivo, hecho generador, base gravable y tarifa—</w:t>
      </w:r>
      <w:r w:rsidRPr="005D08AD">
        <w:rPr>
          <w:rStyle w:val="Refdenotaalpie"/>
          <w:rFonts w:ascii="Times New Roman" w:hAnsi="Times New Roman"/>
          <w:szCs w:val="28"/>
          <w:shd w:val="clear" w:color="auto" w:fill="FFFFFF"/>
        </w:rPr>
        <w:footnoteReference w:id="48"/>
      </w:r>
      <w:r w:rsidRPr="005D08AD">
        <w:rPr>
          <w:rFonts w:ascii="Times New Roman" w:hAnsi="Times New Roman" w:cs="Times New Roman"/>
          <w:szCs w:val="28"/>
          <w:shd w:val="clear" w:color="auto" w:fill="FFFFFF"/>
        </w:rPr>
        <w:t>. En consecuencia,</w:t>
      </w:r>
      <w:r w:rsidRPr="005D08AD">
        <w:rPr>
          <w:rFonts w:ascii="Times New Roman" w:hAnsi="Times New Roman" w:cs="Times New Roman"/>
          <w:szCs w:val="28"/>
          <w:shd w:val="clear" w:color="auto" w:fill="FFFFFF"/>
        </w:rPr>
        <w:t xml:space="preserve"> ha reiterado la Corte,</w:t>
      </w:r>
      <w:r w:rsidRPr="005D08AD">
        <w:rPr>
          <w:rFonts w:ascii="Times New Roman" w:hAnsi="Times New Roman" w:cs="Times New Roman"/>
          <w:szCs w:val="28"/>
          <w:shd w:val="clear" w:color="auto" w:fill="FFFFFF"/>
        </w:rPr>
        <w:t xml:space="preserve"> cuando una norma establece una obligación tributaria sin definir dichos elementos, o cuando estos no son determinables, no puede </w:t>
      </w:r>
      <w:r w:rsidRPr="005D08AD">
        <w:rPr>
          <w:rFonts w:ascii="Times New Roman" w:hAnsi="Times New Roman" w:cs="Times New Roman"/>
          <w:szCs w:val="28"/>
          <w:shd w:val="clear" w:color="auto" w:fill="FFFFFF"/>
        </w:rPr>
        <w:t xml:space="preserve">entenderse válidamente </w:t>
      </w:r>
      <w:r w:rsidRPr="005D08AD">
        <w:rPr>
          <w:rFonts w:ascii="Times New Roman" w:hAnsi="Times New Roman" w:cs="Times New Roman"/>
          <w:szCs w:val="28"/>
          <w:shd w:val="clear" w:color="auto" w:fill="FFFFFF"/>
        </w:rPr>
        <w:t>configurado</w:t>
      </w:r>
      <w:r w:rsidRPr="005D08AD">
        <w:rPr>
          <w:rFonts w:ascii="Times New Roman" w:hAnsi="Times New Roman" w:cs="Times New Roman"/>
          <w:szCs w:val="28"/>
          <w:shd w:val="clear" w:color="auto" w:fill="FFFFFF"/>
        </w:rPr>
        <w:t xml:space="preserve"> el tributo</w:t>
      </w:r>
      <w:r w:rsidRPr="005D08AD">
        <w:rPr>
          <w:rStyle w:val="Refdenotaalpie"/>
          <w:rFonts w:ascii="Times New Roman" w:hAnsi="Times New Roman"/>
          <w:szCs w:val="28"/>
          <w:shd w:val="clear" w:color="auto" w:fill="FFFFFF"/>
        </w:rPr>
        <w:footnoteReference w:id="49"/>
      </w:r>
      <w:r w:rsidRPr="005D08AD">
        <w:rPr>
          <w:rFonts w:ascii="Times New Roman" w:hAnsi="Times New Roman" w:cs="Times New Roman"/>
          <w:szCs w:val="28"/>
          <w:shd w:val="clear" w:color="auto" w:fill="FFFFFF"/>
        </w:rPr>
        <w:t xml:space="preserve">. </w:t>
      </w:r>
    </w:p>
    <w:p w:rsidR="008000D3" w:rsidRPr="005D08AD" w:rsidRDefault="005D08AD" w:rsidP="000F460E">
      <w:pPr>
        <w:pStyle w:val="Prrafodelista"/>
        <w:spacing w:after="0" w:line="240" w:lineRule="auto"/>
        <w:ind w:left="0"/>
        <w:rPr>
          <w:rFonts w:ascii="Times New Roman" w:hAnsi="Times New Roman" w:cs="Times New Roman"/>
          <w:szCs w:val="28"/>
          <w:shd w:val="clear" w:color="auto" w:fill="FFFFFF"/>
        </w:rPr>
      </w:pPr>
    </w:p>
    <w:p w:rsidR="00B77F4C"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 xml:space="preserve">Sobre las características del </w:t>
      </w:r>
      <w:r w:rsidRPr="005D08AD">
        <w:rPr>
          <w:rFonts w:ascii="Times New Roman" w:hAnsi="Times New Roman" w:cs="Times New Roman"/>
          <w:szCs w:val="28"/>
          <w:shd w:val="clear" w:color="auto" w:fill="FFFFFF"/>
        </w:rPr>
        <w:t>principio de certeza</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tributaria, </w:t>
      </w:r>
      <w:r w:rsidRPr="005D08AD">
        <w:rPr>
          <w:rFonts w:ascii="Times New Roman" w:hAnsi="Times New Roman" w:cs="Times New Roman"/>
          <w:szCs w:val="28"/>
          <w:shd w:val="clear" w:color="auto" w:fill="FFFFFF"/>
        </w:rPr>
        <w:t xml:space="preserve">de acuerdo con la jurisprudencia, </w:t>
      </w:r>
      <w:r w:rsidRPr="005D08AD">
        <w:rPr>
          <w:rFonts w:ascii="Times New Roman" w:hAnsi="Times New Roman" w:cs="Times New Roman"/>
          <w:szCs w:val="28"/>
          <w:shd w:val="clear" w:color="auto" w:fill="FFFFFF"/>
        </w:rPr>
        <w:t xml:space="preserve">este </w:t>
      </w:r>
      <w:r w:rsidRPr="005D08AD">
        <w:rPr>
          <w:rFonts w:ascii="Times New Roman" w:hAnsi="Times New Roman" w:cs="Times New Roman"/>
          <w:szCs w:val="28"/>
          <w:shd w:val="clear" w:color="auto" w:fill="FFFFFF"/>
        </w:rPr>
        <w:t xml:space="preserve">tiene </w:t>
      </w:r>
      <w:r w:rsidRPr="005D08AD">
        <w:rPr>
          <w:rFonts w:ascii="Times New Roman" w:hAnsi="Times New Roman" w:cs="Times New Roman"/>
          <w:szCs w:val="28"/>
          <w:shd w:val="clear" w:color="auto" w:fill="FFFFFF"/>
        </w:rPr>
        <w:t xml:space="preserve">dos </w:t>
      </w:r>
      <w:r w:rsidRPr="005D08AD">
        <w:rPr>
          <w:rFonts w:ascii="Times New Roman" w:hAnsi="Times New Roman" w:cs="Times New Roman"/>
          <w:szCs w:val="28"/>
          <w:shd w:val="clear" w:color="auto" w:fill="FFFFFF"/>
        </w:rPr>
        <w:t>rasgos</w:t>
      </w:r>
      <w:r w:rsidRPr="005D08AD">
        <w:rPr>
          <w:rFonts w:ascii="Times New Roman" w:hAnsi="Times New Roman" w:cs="Times New Roman"/>
          <w:szCs w:val="28"/>
          <w:shd w:val="clear" w:color="auto" w:fill="FFFFFF"/>
        </w:rPr>
        <w:t xml:space="preserve"> principales</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En primer lugar,</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hd w:val="clear" w:color="auto" w:fill="FFFFFF"/>
        </w:rPr>
        <w:t xml:space="preserve">no </w:t>
      </w:r>
      <w:r w:rsidRPr="005D08AD">
        <w:rPr>
          <w:rFonts w:ascii="Times New Roman" w:hAnsi="Times New Roman" w:cs="Times New Roman"/>
          <w:szCs w:val="28"/>
          <w:shd w:val="clear" w:color="auto" w:fill="FFFFFF"/>
        </w:rPr>
        <w:t>es</w:t>
      </w:r>
      <w:r w:rsidRPr="005D08AD">
        <w:rPr>
          <w:rFonts w:ascii="Times New Roman" w:hAnsi="Times New Roman" w:cs="Times New Roman"/>
          <w:shd w:val="clear" w:color="auto" w:fill="FFFFFF"/>
        </w:rPr>
        <w:t xml:space="preserve"> </w:t>
      </w:r>
      <w:r w:rsidRPr="005D08AD">
        <w:rPr>
          <w:rFonts w:ascii="Times New Roman" w:hAnsi="Times New Roman" w:cs="Times New Roman"/>
          <w:shd w:val="clear" w:color="auto" w:fill="FFFFFF"/>
        </w:rPr>
        <w:t>un</w:t>
      </w:r>
      <w:r w:rsidRPr="005D08AD">
        <w:rPr>
          <w:rFonts w:ascii="Times New Roman" w:hAnsi="Times New Roman" w:cs="Times New Roman"/>
          <w:szCs w:val="28"/>
          <w:shd w:val="clear" w:color="auto" w:fill="FFFFFF"/>
        </w:rPr>
        <w:t xml:space="preserve"> principio </w:t>
      </w:r>
      <w:r w:rsidRPr="005D08AD">
        <w:rPr>
          <w:rFonts w:ascii="Times New Roman" w:hAnsi="Times New Roman" w:cs="Times New Roman"/>
          <w:szCs w:val="28"/>
          <w:shd w:val="clear" w:color="auto" w:fill="FFFFFF"/>
        </w:rPr>
        <w:t>absoluto</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pues</w:t>
      </w:r>
      <w:r w:rsidRPr="005D08AD">
        <w:rPr>
          <w:rFonts w:ascii="Times New Roman" w:hAnsi="Times New Roman" w:cs="Times New Roman"/>
          <w:shd w:val="clear" w:color="auto" w:fill="FFFFFF"/>
        </w:rPr>
        <w:t xml:space="preserve"> su </w:t>
      </w:r>
      <w:r w:rsidRPr="005D08AD">
        <w:rPr>
          <w:rFonts w:ascii="Times New Roman" w:hAnsi="Times New Roman" w:cs="Times New Roman"/>
          <w:szCs w:val="28"/>
          <w:shd w:val="clear" w:color="auto" w:fill="FFFFFF"/>
        </w:rPr>
        <w:t>alcance</w:t>
      </w:r>
      <w:r w:rsidRPr="005D08AD">
        <w:rPr>
          <w:rFonts w:ascii="Times New Roman" w:hAnsi="Times New Roman" w:cs="Times New Roman"/>
          <w:shd w:val="clear" w:color="auto" w:fill="FFFFFF"/>
        </w:rPr>
        <w:t xml:space="preserve"> no exige</w:t>
      </w:r>
      <w:r w:rsidRPr="005D08AD">
        <w:rPr>
          <w:rFonts w:ascii="Times New Roman" w:hAnsi="Times New Roman" w:cs="Times New Roman"/>
          <w:szCs w:val="28"/>
          <w:shd w:val="clear" w:color="auto" w:fill="FFFFFF"/>
        </w:rPr>
        <w:t xml:space="preserve"> que los elementos del tributo se definan con una precisión que desconozca las dificultades propias del lenguaje ordinario</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ni que imponga a los órganos colegiados un estándar irrealizable</w:t>
      </w:r>
      <w:r w:rsidRPr="005D08AD">
        <w:rPr>
          <w:rStyle w:val="Refdenotaalpie"/>
          <w:rFonts w:ascii="Times New Roman" w:hAnsi="Times New Roman"/>
          <w:szCs w:val="28"/>
          <w:shd w:val="clear" w:color="auto" w:fill="FFFFFF"/>
        </w:rPr>
        <w:footnoteReference w:id="50"/>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En segundo </w:t>
      </w:r>
      <w:r w:rsidRPr="005D08AD">
        <w:rPr>
          <w:rFonts w:ascii="Times New Roman" w:hAnsi="Times New Roman" w:cs="Times New Roman"/>
          <w:szCs w:val="28"/>
          <w:shd w:val="clear" w:color="auto" w:fill="FFFFFF"/>
        </w:rPr>
        <w:t>lugar</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tiene un carácter relativo</w:t>
      </w:r>
      <w:r w:rsidRPr="005D08AD">
        <w:rPr>
          <w:rFonts w:ascii="Times New Roman" w:hAnsi="Times New Roman" w:cs="Times New Roman"/>
          <w:szCs w:val="28"/>
          <w:shd w:val="clear" w:color="auto" w:fill="FFFFFF"/>
        </w:rPr>
        <w:t xml:space="preserve">, de manera que el </w:t>
      </w:r>
      <w:r w:rsidRPr="005D08AD">
        <w:rPr>
          <w:rFonts w:ascii="Times New Roman" w:hAnsi="Times New Roman" w:cs="Times New Roman"/>
          <w:szCs w:val="28"/>
          <w:shd w:val="clear" w:color="auto" w:fill="FFFFFF"/>
        </w:rPr>
        <w:t>es</w:t>
      </w:r>
      <w:r w:rsidRPr="005D08AD">
        <w:rPr>
          <w:rFonts w:ascii="Times New Roman" w:hAnsi="Times New Roman" w:cs="Times New Roman"/>
          <w:szCs w:val="28"/>
          <w:shd w:val="clear" w:color="auto" w:fill="FFFFFF"/>
        </w:rPr>
        <w:t xml:space="preserve">tándar de precisión </w:t>
      </w:r>
      <w:r w:rsidRPr="005D08AD">
        <w:rPr>
          <w:rFonts w:ascii="Times New Roman" w:hAnsi="Times New Roman" w:cs="Times New Roman"/>
          <w:szCs w:val="28"/>
          <w:shd w:val="clear" w:color="auto" w:fill="FFFFFF"/>
        </w:rPr>
        <w:t xml:space="preserve">en los elementos del tributo </w:t>
      </w:r>
      <w:r w:rsidRPr="005D08AD">
        <w:rPr>
          <w:rFonts w:ascii="Times New Roman" w:hAnsi="Times New Roman" w:cs="Times New Roman"/>
          <w:szCs w:val="28"/>
          <w:shd w:val="clear" w:color="auto" w:fill="FFFFFF"/>
        </w:rPr>
        <w:t xml:space="preserve">tiene </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niveles diferenciados</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dependiendo del tipo de tributo y </w:t>
      </w:r>
      <w:r w:rsidRPr="005D08AD">
        <w:rPr>
          <w:rFonts w:ascii="Times New Roman" w:hAnsi="Times New Roman" w:cs="Times New Roman"/>
          <w:szCs w:val="28"/>
          <w:shd w:val="clear" w:color="auto" w:fill="FFFFFF"/>
        </w:rPr>
        <w:t xml:space="preserve">el </w:t>
      </w:r>
      <w:r w:rsidRPr="005D08AD">
        <w:rPr>
          <w:rFonts w:ascii="Times New Roman" w:hAnsi="Times New Roman" w:cs="Times New Roman"/>
          <w:szCs w:val="28"/>
          <w:shd w:val="clear" w:color="auto" w:fill="FFFFFF"/>
        </w:rPr>
        <w:t xml:space="preserve">elemento esencial </w:t>
      </w:r>
      <w:r w:rsidRPr="005D08AD">
        <w:rPr>
          <w:rFonts w:ascii="Times New Roman" w:hAnsi="Times New Roman" w:cs="Times New Roman"/>
          <w:szCs w:val="28"/>
          <w:shd w:val="clear" w:color="auto" w:fill="FFFFFF"/>
        </w:rPr>
        <w:t xml:space="preserve">de la obligación tributaria </w:t>
      </w:r>
      <w:r w:rsidRPr="005D08AD">
        <w:rPr>
          <w:rFonts w:ascii="Times New Roman" w:hAnsi="Times New Roman" w:cs="Times New Roman"/>
          <w:szCs w:val="28"/>
          <w:shd w:val="clear" w:color="auto" w:fill="FFFFFF"/>
        </w:rPr>
        <w:t>de que se trate</w:t>
      </w:r>
      <w:r w:rsidRPr="005D08AD">
        <w:rPr>
          <w:rStyle w:val="Refdenotaalpie"/>
          <w:rFonts w:ascii="Times New Roman" w:hAnsi="Times New Roman"/>
          <w:szCs w:val="28"/>
          <w:shd w:val="clear" w:color="auto" w:fill="FFFFFF"/>
        </w:rPr>
        <w:footnoteReference w:id="51"/>
      </w:r>
      <w:r w:rsidRPr="005D08AD">
        <w:rPr>
          <w:rFonts w:ascii="Times New Roman" w:hAnsi="Times New Roman" w:cs="Times New Roman"/>
          <w:szCs w:val="28"/>
          <w:shd w:val="clear" w:color="auto" w:fill="FFFFFF"/>
        </w:rPr>
        <w:t xml:space="preserve">. </w:t>
      </w:r>
    </w:p>
    <w:p w:rsidR="00B77F4C" w:rsidRPr="005D08AD" w:rsidRDefault="005D08AD" w:rsidP="000F460E">
      <w:pPr>
        <w:pStyle w:val="Prrafodelista"/>
        <w:spacing w:after="0" w:line="240" w:lineRule="auto"/>
        <w:ind w:left="0"/>
        <w:rPr>
          <w:rFonts w:ascii="Times New Roman" w:hAnsi="Times New Roman" w:cs="Times New Roman"/>
          <w:szCs w:val="28"/>
          <w:shd w:val="clear" w:color="auto" w:fill="FFFFFF"/>
        </w:rPr>
      </w:pPr>
    </w:p>
    <w:p w:rsidR="00B77F4C"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 xml:space="preserve">La ausencia de definición expresa </w:t>
      </w:r>
      <w:r w:rsidRPr="005D08AD">
        <w:rPr>
          <w:rFonts w:ascii="Times New Roman" w:hAnsi="Times New Roman" w:cs="Times New Roman"/>
          <w:szCs w:val="28"/>
          <w:shd w:val="clear" w:color="auto" w:fill="FFFFFF"/>
        </w:rPr>
        <w:t>de un</w:t>
      </w:r>
      <w:r w:rsidRPr="005D08AD">
        <w:rPr>
          <w:rFonts w:ascii="Times New Roman" w:hAnsi="Times New Roman" w:cs="Times New Roman"/>
          <w:szCs w:val="28"/>
          <w:shd w:val="clear" w:color="auto" w:fill="FFFFFF"/>
        </w:rPr>
        <w:t xml:space="preserve"> elemento esencial de la obligación tributaria</w:t>
      </w:r>
      <w:r w:rsidRPr="005D08AD">
        <w:rPr>
          <w:rFonts w:ascii="Times New Roman" w:hAnsi="Times New Roman" w:cs="Times New Roman"/>
          <w:szCs w:val="28"/>
          <w:shd w:val="clear" w:color="auto" w:fill="FFFFFF"/>
        </w:rPr>
        <w:t xml:space="preserve"> o una formulación amplia</w:t>
      </w:r>
      <w:r w:rsidRPr="005D08AD">
        <w:rPr>
          <w:rFonts w:ascii="Times New Roman" w:hAnsi="Times New Roman" w:cs="Times New Roman"/>
          <w:szCs w:val="28"/>
          <w:shd w:val="clear" w:color="auto" w:fill="FFFFFF"/>
        </w:rPr>
        <w:t xml:space="preserve">, no implica por sí </w:t>
      </w:r>
      <w:r w:rsidRPr="005D08AD">
        <w:rPr>
          <w:rFonts w:ascii="Times New Roman" w:hAnsi="Times New Roman" w:cs="Times New Roman"/>
          <w:szCs w:val="28"/>
          <w:shd w:val="clear" w:color="auto" w:fill="FFFFFF"/>
        </w:rPr>
        <w:t>misma</w:t>
      </w:r>
      <w:r w:rsidRPr="005D08AD">
        <w:rPr>
          <w:rFonts w:ascii="Times New Roman" w:hAnsi="Times New Roman" w:cs="Times New Roman"/>
          <w:szCs w:val="28"/>
          <w:shd w:val="clear" w:color="auto" w:fill="FFFFFF"/>
        </w:rPr>
        <w:t xml:space="preserve"> una vulneración del </w:t>
      </w:r>
      <w:r w:rsidRPr="005D08AD">
        <w:rPr>
          <w:rFonts w:ascii="Times New Roman" w:hAnsi="Times New Roman" w:cs="Times New Roman"/>
          <w:szCs w:val="28"/>
          <w:shd w:val="clear" w:color="auto" w:fill="FFFFFF"/>
        </w:rPr>
        <w:t>artículo 338 de la Constitución</w:t>
      </w:r>
      <w:r w:rsidRPr="005D08AD">
        <w:rPr>
          <w:rFonts w:ascii="Times New Roman" w:hAnsi="Times New Roman" w:cs="Times New Roman"/>
          <w:szCs w:val="28"/>
          <w:shd w:val="clear" w:color="auto" w:fill="FFFFFF"/>
        </w:rPr>
        <w:t xml:space="preserve">. De hecho, la jurisprudencia constitucional ha permitido que </w:t>
      </w:r>
      <w:r w:rsidRPr="005D08AD">
        <w:rPr>
          <w:rFonts w:ascii="Times New Roman" w:hAnsi="Times New Roman" w:cs="Times New Roman"/>
          <w:szCs w:val="28"/>
          <w:shd w:val="clear" w:color="auto" w:fill="FFFFFF"/>
        </w:rPr>
        <w:t>en casos donde exista una</w:t>
      </w:r>
      <w:r w:rsidRPr="005D08AD">
        <w:rPr>
          <w:rFonts w:ascii="Times New Roman" w:hAnsi="Times New Roman" w:cs="Times New Roman"/>
          <w:szCs w:val="28"/>
          <w:shd w:val="clear" w:color="auto" w:fill="FFFFFF"/>
        </w:rPr>
        <w:t xml:space="preserve"> posible</w:t>
      </w:r>
      <w:r w:rsidRPr="005D08AD">
        <w:rPr>
          <w:rFonts w:ascii="Times New Roman" w:hAnsi="Times New Roman" w:cs="Times New Roman"/>
          <w:szCs w:val="28"/>
          <w:shd w:val="clear" w:color="auto" w:fill="FFFFFF"/>
        </w:rPr>
        <w:t xml:space="preserve"> oscuridad </w:t>
      </w:r>
      <w:r w:rsidRPr="005D08AD">
        <w:rPr>
          <w:rFonts w:ascii="Times New Roman" w:hAnsi="Times New Roman" w:cs="Times New Roman"/>
          <w:szCs w:val="28"/>
          <w:shd w:val="clear" w:color="auto" w:fill="FFFFFF"/>
        </w:rPr>
        <w:t>de</w:t>
      </w:r>
      <w:r w:rsidRPr="005D08AD">
        <w:rPr>
          <w:rFonts w:ascii="Times New Roman" w:hAnsi="Times New Roman" w:cs="Times New Roman"/>
          <w:szCs w:val="28"/>
          <w:shd w:val="clear" w:color="auto" w:fill="FFFFFF"/>
        </w:rPr>
        <w:t xml:space="preserve"> la norma se pueda acudir a los mecanismos usuales de interpretación por parte de los operadores, a fin de establecer</w:t>
      </w:r>
      <w:r w:rsidRPr="005D08AD">
        <w:rPr>
          <w:rFonts w:ascii="Times New Roman" w:hAnsi="Times New Roman" w:cs="Times New Roman"/>
          <w:szCs w:val="28"/>
          <w:shd w:val="clear" w:color="auto" w:fill="FFFFFF"/>
        </w:rPr>
        <w:t xml:space="preserve"> si</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tal situación hermenéutica</w:t>
      </w:r>
      <w:r w:rsidRPr="005D08AD">
        <w:rPr>
          <w:rFonts w:ascii="Times New Roman" w:hAnsi="Times New Roman" w:cs="Times New Roman"/>
          <w:szCs w:val="28"/>
          <w:shd w:val="clear" w:color="auto" w:fill="FFFFFF"/>
        </w:rPr>
        <w:t xml:space="preserve"> es insuperable</w:t>
      </w:r>
      <w:r w:rsidRPr="005D08AD">
        <w:rPr>
          <w:rStyle w:val="Refdenotaalpie"/>
          <w:rFonts w:ascii="Times New Roman" w:hAnsi="Times New Roman"/>
          <w:szCs w:val="28"/>
          <w:shd w:val="clear" w:color="auto" w:fill="FFFFFF"/>
        </w:rPr>
        <w:footnoteReference w:id="52"/>
      </w:r>
      <w:r w:rsidRPr="005D08AD">
        <w:rPr>
          <w:rFonts w:ascii="Times New Roman" w:hAnsi="Times New Roman" w:cs="Times New Roman"/>
          <w:szCs w:val="28"/>
          <w:shd w:val="clear" w:color="auto" w:fill="FFFFFF"/>
        </w:rPr>
        <w:t>.</w:t>
      </w:r>
    </w:p>
    <w:p w:rsidR="00B77F4C" w:rsidRPr="005D08AD" w:rsidRDefault="005D08AD" w:rsidP="000F460E">
      <w:pPr>
        <w:pStyle w:val="Prrafodelista"/>
        <w:spacing w:after="0" w:line="240" w:lineRule="auto"/>
        <w:ind w:left="0"/>
        <w:rPr>
          <w:rFonts w:ascii="Times New Roman" w:hAnsi="Times New Roman" w:cs="Times New Roman"/>
          <w:szCs w:val="28"/>
          <w:shd w:val="clear" w:color="auto" w:fill="FFFFFF"/>
        </w:rPr>
      </w:pPr>
    </w:p>
    <w:p w:rsidR="00B77F4C"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 xml:space="preserve">En </w:t>
      </w:r>
      <w:r w:rsidRPr="005D08AD">
        <w:rPr>
          <w:rFonts w:ascii="Times New Roman" w:hAnsi="Times New Roman" w:cs="Times New Roman"/>
          <w:szCs w:val="28"/>
          <w:shd w:val="clear" w:color="auto" w:fill="FFFFFF"/>
        </w:rPr>
        <w:t>estos</w:t>
      </w:r>
      <w:r w:rsidRPr="005D08AD">
        <w:rPr>
          <w:rFonts w:ascii="Times New Roman" w:hAnsi="Times New Roman" w:cs="Times New Roman"/>
          <w:szCs w:val="28"/>
          <w:shd w:val="clear" w:color="auto" w:fill="FFFFFF"/>
        </w:rPr>
        <w:t xml:space="preserve"> casos</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cuando existe una aparente falta de</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claridad </w:t>
      </w:r>
      <w:r w:rsidRPr="005D08AD">
        <w:rPr>
          <w:rFonts w:ascii="Times New Roman" w:hAnsi="Times New Roman" w:cs="Times New Roman"/>
          <w:szCs w:val="28"/>
          <w:shd w:val="clear" w:color="auto" w:fill="FFFFFF"/>
        </w:rPr>
        <w:t xml:space="preserve">sobre uno de los elementos </w:t>
      </w:r>
      <w:r w:rsidRPr="005D08AD">
        <w:rPr>
          <w:rFonts w:ascii="Times New Roman" w:hAnsi="Times New Roman" w:cs="Times New Roman"/>
          <w:szCs w:val="28"/>
          <w:shd w:val="clear" w:color="auto" w:fill="FFFFFF"/>
        </w:rPr>
        <w:t>del tributo</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es preciso establecer</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i/>
          <w:iCs/>
          <w:szCs w:val="28"/>
          <w:shd w:val="clear" w:color="auto" w:fill="FFFFFF"/>
        </w:rPr>
        <w:t>(i)</w:t>
      </w:r>
      <w:r w:rsidRPr="005D08AD">
        <w:rPr>
          <w:rFonts w:ascii="Times New Roman" w:hAnsi="Times New Roman" w:cs="Times New Roman"/>
          <w:i/>
          <w:iCs/>
          <w:szCs w:val="28"/>
          <w:shd w:val="clear" w:color="auto" w:fill="FFFFFF"/>
        </w:rPr>
        <w:t xml:space="preserve"> </w:t>
      </w:r>
      <w:r w:rsidRPr="005D08AD">
        <w:rPr>
          <w:rFonts w:ascii="Times New Roman" w:hAnsi="Times New Roman" w:cs="Times New Roman"/>
          <w:szCs w:val="28"/>
          <w:shd w:val="clear" w:color="auto" w:fill="FFFFFF"/>
        </w:rPr>
        <w:t>si</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la norma identifica todos los elementos del tributo</w:t>
      </w:r>
      <w:r w:rsidRPr="005D08AD">
        <w:rPr>
          <w:rFonts w:ascii="Times New Roman" w:hAnsi="Times New Roman" w:cs="Times New Roman"/>
          <w:szCs w:val="28"/>
          <w:shd w:val="clear" w:color="auto" w:fill="FFFFFF"/>
        </w:rPr>
        <w:t xml:space="preserve"> y</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i/>
          <w:iCs/>
          <w:szCs w:val="28"/>
          <w:shd w:val="clear" w:color="auto" w:fill="FFFFFF"/>
        </w:rPr>
        <w:t>(ii)</w:t>
      </w:r>
      <w:r w:rsidRPr="005D08AD">
        <w:rPr>
          <w:rFonts w:ascii="Times New Roman" w:hAnsi="Times New Roman" w:cs="Times New Roman"/>
          <w:szCs w:val="28"/>
          <w:shd w:val="clear" w:color="auto" w:fill="FFFFFF"/>
        </w:rPr>
        <w:t xml:space="preserve"> si</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alguno de los elementos del tributo resulta poco claro o ambiguo. De ser así,</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se debe</w:t>
      </w:r>
      <w:r w:rsidRPr="005D08AD">
        <w:rPr>
          <w:rFonts w:ascii="Times New Roman" w:hAnsi="Times New Roman" w:cs="Times New Roman"/>
          <w:szCs w:val="28"/>
          <w:shd w:val="clear" w:color="auto" w:fill="FFFFFF"/>
        </w:rPr>
        <w:t xml:space="preserve"> analizar si </w:t>
      </w:r>
      <w:r w:rsidRPr="005D08AD">
        <w:rPr>
          <w:rFonts w:ascii="Times New Roman" w:hAnsi="Times New Roman" w:cs="Times New Roman"/>
          <w:szCs w:val="28"/>
          <w:shd w:val="clear" w:color="auto" w:fill="FFFFFF"/>
        </w:rPr>
        <w:t>tal dificultad</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es superable a través de </w:t>
      </w:r>
      <w:r w:rsidRPr="005D08AD">
        <w:rPr>
          <w:rFonts w:ascii="Times New Roman" w:hAnsi="Times New Roman" w:cs="Times New Roman"/>
          <w:szCs w:val="28"/>
          <w:shd w:val="clear" w:color="auto" w:fill="FFFFFF"/>
        </w:rPr>
        <w:t xml:space="preserve">las reglas </w:t>
      </w:r>
      <w:r w:rsidRPr="005D08AD">
        <w:rPr>
          <w:rFonts w:ascii="Times New Roman" w:hAnsi="Times New Roman" w:cs="Times New Roman"/>
          <w:szCs w:val="28"/>
          <w:shd w:val="clear" w:color="auto" w:fill="FFFFFF"/>
        </w:rPr>
        <w:t>generales de interpretación jurídica</w:t>
      </w:r>
      <w:r w:rsidRPr="005D08AD">
        <w:rPr>
          <w:rStyle w:val="Refdenotaalpie"/>
          <w:rFonts w:ascii="Times New Roman" w:hAnsi="Times New Roman"/>
          <w:szCs w:val="28"/>
          <w:shd w:val="clear" w:color="auto" w:fill="FFFFFF"/>
        </w:rPr>
        <w:footnoteReference w:id="53"/>
      </w:r>
      <w:r w:rsidRPr="005D08AD">
        <w:rPr>
          <w:rFonts w:ascii="Times New Roman" w:hAnsi="Times New Roman" w:cs="Times New Roman"/>
          <w:szCs w:val="28"/>
          <w:shd w:val="clear" w:color="auto" w:fill="FFFFFF"/>
        </w:rPr>
        <w:t xml:space="preserve"> y, sólo si dicha falta de claridad es insuperable</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la Corte debe declarar la inconstitucionalidad de la norma</w:t>
      </w:r>
      <w:r w:rsidRPr="005D08AD">
        <w:rPr>
          <w:rStyle w:val="Refdenotaalpie"/>
          <w:rFonts w:ascii="Times New Roman" w:hAnsi="Times New Roman"/>
          <w:szCs w:val="28"/>
          <w:shd w:val="clear" w:color="auto" w:fill="FFFFFF"/>
        </w:rPr>
        <w:footnoteReference w:id="54"/>
      </w:r>
      <w:r w:rsidRPr="005D08AD">
        <w:rPr>
          <w:rFonts w:ascii="Times New Roman" w:hAnsi="Times New Roman" w:cs="Times New Roman"/>
          <w:szCs w:val="28"/>
          <w:shd w:val="clear" w:color="auto" w:fill="FFFFFF"/>
        </w:rPr>
        <w:t>.</w:t>
      </w:r>
    </w:p>
    <w:p w:rsidR="00B77F4C" w:rsidRPr="005D08AD" w:rsidRDefault="005D08AD" w:rsidP="000F460E">
      <w:pPr>
        <w:pStyle w:val="Prrafodelista"/>
        <w:spacing w:after="0" w:line="240" w:lineRule="auto"/>
        <w:ind w:left="0"/>
        <w:rPr>
          <w:rFonts w:ascii="Times New Roman" w:hAnsi="Times New Roman" w:cs="Times New Roman"/>
          <w:szCs w:val="28"/>
          <w:shd w:val="clear" w:color="auto" w:fill="FFFFFF"/>
        </w:rPr>
      </w:pPr>
    </w:p>
    <w:p w:rsidR="00B77F4C"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 xml:space="preserve">En punto a </w:t>
      </w:r>
      <w:r w:rsidRPr="005D08AD">
        <w:rPr>
          <w:rFonts w:ascii="Times New Roman" w:hAnsi="Times New Roman" w:cs="Times New Roman"/>
          <w:szCs w:val="28"/>
          <w:shd w:val="clear" w:color="auto" w:fill="FFFFFF"/>
        </w:rPr>
        <w:t xml:space="preserve">la forma de </w:t>
      </w:r>
      <w:r w:rsidRPr="005D08AD">
        <w:rPr>
          <w:rFonts w:ascii="Times New Roman" w:hAnsi="Times New Roman" w:cs="Times New Roman"/>
          <w:szCs w:val="28"/>
          <w:shd w:val="clear" w:color="auto" w:fill="FFFFFF"/>
        </w:rPr>
        <w:t xml:space="preserve">superar la falta de claridad en la determinación de un elemento esencial del tributo, la Corte ha hecho </w:t>
      </w:r>
      <w:r w:rsidRPr="005D08AD">
        <w:rPr>
          <w:rFonts w:ascii="Times New Roman" w:hAnsi="Times New Roman" w:cs="Times New Roman"/>
          <w:szCs w:val="28"/>
          <w:shd w:val="clear" w:color="auto" w:fill="FFFFFF"/>
        </w:rPr>
        <w:t xml:space="preserve">uso de </w:t>
      </w:r>
      <w:r w:rsidRPr="005D08AD">
        <w:rPr>
          <w:rFonts w:ascii="Times New Roman" w:hAnsi="Times New Roman" w:cs="Times New Roman"/>
          <w:szCs w:val="28"/>
          <w:shd w:val="clear" w:color="auto" w:fill="FFFFFF"/>
        </w:rPr>
        <w:t>diferentes</w:t>
      </w:r>
      <w:r w:rsidRPr="005D08AD">
        <w:rPr>
          <w:rFonts w:ascii="Times New Roman" w:hAnsi="Times New Roman" w:cs="Times New Roman"/>
          <w:szCs w:val="28"/>
          <w:shd w:val="clear" w:color="auto" w:fill="FFFFFF"/>
        </w:rPr>
        <w:t xml:space="preserve"> herramientas para definir el alcance de un</w:t>
      </w:r>
      <w:r w:rsidRPr="005D08AD">
        <w:rPr>
          <w:rFonts w:ascii="Times New Roman" w:hAnsi="Times New Roman" w:cs="Times New Roman"/>
          <w:szCs w:val="28"/>
          <w:shd w:val="clear" w:color="auto" w:fill="FFFFFF"/>
        </w:rPr>
        <w:t>a</w:t>
      </w:r>
      <w:r w:rsidRPr="005D08AD">
        <w:rPr>
          <w:rFonts w:ascii="Times New Roman" w:hAnsi="Times New Roman" w:cs="Times New Roman"/>
          <w:szCs w:val="28"/>
          <w:shd w:val="clear" w:color="auto" w:fill="FFFFFF"/>
        </w:rPr>
        <w:t xml:space="preserve"> norma, así</w:t>
      </w:r>
      <w:r w:rsidRPr="005D08AD">
        <w:rPr>
          <w:rStyle w:val="Refdenotaalpie"/>
          <w:rFonts w:ascii="Times New Roman" w:hAnsi="Times New Roman"/>
          <w:szCs w:val="28"/>
          <w:shd w:val="clear" w:color="auto" w:fill="FFFFFF"/>
        </w:rPr>
        <w:footnoteReference w:id="55"/>
      </w:r>
      <w:r w:rsidRPr="005D08AD">
        <w:rPr>
          <w:rFonts w:ascii="Times New Roman" w:hAnsi="Times New Roman" w:cs="Times New Roman"/>
          <w:szCs w:val="28"/>
          <w:shd w:val="clear" w:color="auto" w:fill="FFFFFF"/>
        </w:rPr>
        <w:t xml:space="preserve">: (i) la </w:t>
      </w:r>
      <w:r w:rsidRPr="005D08AD">
        <w:rPr>
          <w:rFonts w:ascii="Times New Roman" w:hAnsi="Times New Roman" w:cs="Times New Roman"/>
          <w:i/>
          <w:iCs/>
          <w:szCs w:val="28"/>
          <w:shd w:val="clear" w:color="auto" w:fill="FFFFFF"/>
        </w:rPr>
        <w:t xml:space="preserve">interpretación </w:t>
      </w:r>
      <w:r w:rsidRPr="005D08AD">
        <w:rPr>
          <w:rFonts w:ascii="Times New Roman" w:hAnsi="Times New Roman" w:cs="Times New Roman"/>
          <w:i/>
          <w:iCs/>
          <w:szCs w:val="28"/>
          <w:shd w:val="clear" w:color="auto" w:fill="FFFFFF"/>
        </w:rPr>
        <w:t>gramatical</w:t>
      </w:r>
      <w:r w:rsidRPr="005D08AD">
        <w:rPr>
          <w:rFonts w:ascii="Times New Roman" w:hAnsi="Times New Roman" w:cs="Times New Roman"/>
          <w:szCs w:val="28"/>
          <w:shd w:val="clear" w:color="auto" w:fill="FFFFFF"/>
        </w:rPr>
        <w:t xml:space="preserve"> de la ley</w:t>
      </w:r>
      <w:r w:rsidRPr="005D08AD">
        <w:rPr>
          <w:rStyle w:val="Refdenotaalpie"/>
          <w:rFonts w:ascii="Times New Roman" w:hAnsi="Times New Roman"/>
          <w:szCs w:val="28"/>
          <w:shd w:val="clear" w:color="auto" w:fill="FFFFFF"/>
        </w:rPr>
        <w:footnoteReference w:id="56"/>
      </w:r>
      <w:r w:rsidRPr="005D08AD">
        <w:rPr>
          <w:rFonts w:ascii="Times New Roman" w:hAnsi="Times New Roman" w:cs="Times New Roman"/>
          <w:szCs w:val="28"/>
          <w:shd w:val="clear" w:color="auto" w:fill="FFFFFF"/>
        </w:rPr>
        <w:t>; (ii) la u</w:t>
      </w:r>
      <w:r w:rsidRPr="005D08AD">
        <w:rPr>
          <w:rFonts w:ascii="Times New Roman" w:hAnsi="Times New Roman" w:cs="Times New Roman"/>
          <w:szCs w:val="28"/>
          <w:shd w:val="clear" w:color="auto" w:fill="FFFFFF"/>
        </w:rPr>
        <w:t>tilización que de una e</w:t>
      </w:r>
      <w:r w:rsidRPr="005D08AD">
        <w:rPr>
          <w:rFonts w:ascii="Times New Roman" w:hAnsi="Times New Roman" w:cs="Times New Roman"/>
          <w:szCs w:val="28"/>
          <w:shd w:val="clear" w:color="auto" w:fill="FFFFFF"/>
        </w:rPr>
        <w:t xml:space="preserve">xpresión se hace </w:t>
      </w:r>
      <w:r w:rsidRPr="005D08AD">
        <w:rPr>
          <w:rFonts w:ascii="Times New Roman" w:hAnsi="Times New Roman" w:cs="Times New Roman"/>
          <w:szCs w:val="28"/>
          <w:shd w:val="clear" w:color="auto" w:fill="FFFFFF"/>
        </w:rPr>
        <w:t xml:space="preserve">en </w:t>
      </w:r>
      <w:r w:rsidRPr="005D08AD">
        <w:rPr>
          <w:rFonts w:ascii="Times New Roman" w:hAnsi="Times New Roman" w:cs="Times New Roman"/>
          <w:i/>
          <w:iCs/>
          <w:szCs w:val="28"/>
          <w:shd w:val="clear" w:color="auto" w:fill="FFFFFF"/>
        </w:rPr>
        <w:t>otros cuerpos normativos</w:t>
      </w:r>
      <w:r w:rsidRPr="005D08AD">
        <w:rPr>
          <w:rFonts w:ascii="Times New Roman" w:hAnsi="Times New Roman" w:cs="Times New Roman"/>
          <w:szCs w:val="28"/>
          <w:shd w:val="clear" w:color="auto" w:fill="FFFFFF"/>
        </w:rPr>
        <w:t>- por remisión expresa o porque se asumió el significado-</w:t>
      </w:r>
      <w:r w:rsidRPr="005D08AD">
        <w:rPr>
          <w:rStyle w:val="Refdenotaalpie"/>
          <w:rFonts w:ascii="Times New Roman" w:hAnsi="Times New Roman"/>
          <w:szCs w:val="28"/>
          <w:shd w:val="clear" w:color="auto" w:fill="FFFFFF"/>
        </w:rPr>
        <w:footnoteReference w:id="57"/>
      </w:r>
      <w:r w:rsidRPr="005D08AD">
        <w:rPr>
          <w:rFonts w:ascii="Times New Roman" w:hAnsi="Times New Roman" w:cs="Times New Roman"/>
          <w:szCs w:val="28"/>
          <w:shd w:val="clear" w:color="auto" w:fill="FFFFFF"/>
        </w:rPr>
        <w:t xml:space="preserve">; (iii) </w:t>
      </w:r>
      <w:r w:rsidRPr="005D08AD">
        <w:rPr>
          <w:rFonts w:ascii="Times New Roman" w:hAnsi="Times New Roman" w:cs="Times New Roman"/>
          <w:i/>
          <w:iCs/>
          <w:szCs w:val="28"/>
          <w:shd w:val="clear" w:color="auto" w:fill="FFFFFF"/>
        </w:rPr>
        <w:t>contexto sistemático</w:t>
      </w:r>
      <w:r w:rsidRPr="005D08AD">
        <w:rPr>
          <w:rFonts w:ascii="Times New Roman" w:hAnsi="Times New Roman" w:cs="Times New Roman"/>
          <w:szCs w:val="28"/>
          <w:shd w:val="clear" w:color="auto" w:fill="FFFFFF"/>
        </w:rPr>
        <w:t xml:space="preserve"> de una regulación</w:t>
      </w:r>
      <w:r w:rsidRPr="005D08AD">
        <w:rPr>
          <w:rStyle w:val="Refdenotaalpie"/>
          <w:rFonts w:ascii="Times New Roman" w:hAnsi="Times New Roman"/>
          <w:szCs w:val="28"/>
          <w:shd w:val="clear" w:color="auto" w:fill="FFFFFF"/>
        </w:rPr>
        <w:footnoteReference w:id="58"/>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(iv) </w:t>
      </w:r>
      <w:r w:rsidRPr="005D08AD">
        <w:rPr>
          <w:rFonts w:ascii="Times New Roman" w:hAnsi="Times New Roman" w:cs="Times New Roman"/>
          <w:szCs w:val="28"/>
          <w:shd w:val="clear" w:color="auto" w:fill="FFFFFF"/>
        </w:rPr>
        <w:t xml:space="preserve">los </w:t>
      </w:r>
      <w:r w:rsidRPr="005D08AD">
        <w:rPr>
          <w:rFonts w:ascii="Times New Roman" w:hAnsi="Times New Roman" w:cs="Times New Roman"/>
          <w:i/>
          <w:iCs/>
          <w:szCs w:val="28"/>
          <w:shd w:val="clear" w:color="auto" w:fill="FFFFFF"/>
        </w:rPr>
        <w:t>antecedentes legislativos</w:t>
      </w:r>
      <w:r w:rsidRPr="005D08AD">
        <w:rPr>
          <w:rStyle w:val="Refdenotaalpie"/>
          <w:rFonts w:ascii="Times New Roman" w:hAnsi="Times New Roman"/>
          <w:szCs w:val="28"/>
          <w:shd w:val="clear" w:color="auto" w:fill="FFFFFF"/>
        </w:rPr>
        <w:footnoteReference w:id="59"/>
      </w:r>
      <w:r w:rsidRPr="005D08AD">
        <w:rPr>
          <w:rFonts w:ascii="Times New Roman" w:hAnsi="Times New Roman" w:cs="Times New Roman"/>
          <w:szCs w:val="28"/>
          <w:shd w:val="clear" w:color="auto" w:fill="FFFFFF"/>
        </w:rPr>
        <w:t xml:space="preserve"> y; (v) el </w:t>
      </w:r>
      <w:r w:rsidRPr="005D08AD">
        <w:rPr>
          <w:rFonts w:ascii="Times New Roman" w:hAnsi="Times New Roman" w:cs="Times New Roman"/>
          <w:i/>
          <w:iCs/>
          <w:szCs w:val="28"/>
          <w:shd w:val="clear" w:color="auto" w:fill="FFFFFF"/>
        </w:rPr>
        <w:t xml:space="preserve">entendimiento dominante de una expresión en la comunidad </w:t>
      </w:r>
      <w:r w:rsidRPr="005D08AD">
        <w:rPr>
          <w:rFonts w:ascii="Times New Roman" w:hAnsi="Times New Roman" w:cs="Times New Roman"/>
          <w:i/>
          <w:iCs/>
          <w:szCs w:val="28"/>
          <w:shd w:val="clear" w:color="auto" w:fill="FFFFFF"/>
        </w:rPr>
        <w:t>jurídica</w:t>
      </w:r>
      <w:r w:rsidRPr="005D08AD">
        <w:rPr>
          <w:rStyle w:val="Refdenotaalpie"/>
          <w:rFonts w:ascii="Times New Roman" w:hAnsi="Times New Roman"/>
          <w:szCs w:val="28"/>
          <w:shd w:val="clear" w:color="auto" w:fill="FFFFFF"/>
        </w:rPr>
        <w:footnoteReference w:id="60"/>
      </w:r>
      <w:r w:rsidRPr="005D08AD">
        <w:rPr>
          <w:rFonts w:ascii="Times New Roman" w:hAnsi="Times New Roman" w:cs="Times New Roman"/>
          <w:szCs w:val="28"/>
          <w:shd w:val="clear" w:color="auto" w:fill="FFFFFF"/>
        </w:rPr>
        <w:t xml:space="preserve">. </w:t>
      </w:r>
    </w:p>
    <w:p w:rsidR="00B77F4C" w:rsidRPr="005D08AD" w:rsidRDefault="005D08AD" w:rsidP="000F460E">
      <w:pPr>
        <w:pStyle w:val="Prrafodelista"/>
        <w:spacing w:after="0" w:line="240" w:lineRule="auto"/>
        <w:ind w:left="0"/>
        <w:rPr>
          <w:rFonts w:ascii="Times New Roman" w:hAnsi="Times New Roman" w:cs="Times New Roman"/>
          <w:color w:val="000000" w:themeColor="text1"/>
          <w:szCs w:val="28"/>
          <w:shd w:val="clear" w:color="auto" w:fill="FFFFFF"/>
        </w:rPr>
      </w:pPr>
    </w:p>
    <w:p w:rsidR="00E34ABF"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color w:val="000000" w:themeColor="text1"/>
          <w:szCs w:val="28"/>
          <w:shd w:val="clear" w:color="auto" w:fill="FFFFFF"/>
        </w:rPr>
        <w:t>En síntesi</w:t>
      </w:r>
      <w:r w:rsidRPr="005D08AD">
        <w:rPr>
          <w:rFonts w:ascii="Times New Roman" w:hAnsi="Times New Roman" w:cs="Times New Roman"/>
          <w:color w:val="000000" w:themeColor="text1"/>
          <w:szCs w:val="28"/>
          <w:shd w:val="clear" w:color="auto" w:fill="FFFFFF"/>
        </w:rPr>
        <w:t>s, el principio de legalidad tributaria</w:t>
      </w:r>
      <w:r w:rsidRPr="005D08AD">
        <w:rPr>
          <w:rFonts w:ascii="Times New Roman" w:hAnsi="Times New Roman" w:cs="Times New Roman"/>
          <w:color w:val="000000" w:themeColor="text1"/>
          <w:szCs w:val="28"/>
          <w:shd w:val="clear" w:color="auto" w:fill="FFFFFF"/>
        </w:rPr>
        <w:t xml:space="preserve">, fundado en la exigencia de representación democrática en la creación de los tributos, además </w:t>
      </w:r>
      <w:r w:rsidRPr="005D08AD">
        <w:rPr>
          <w:rFonts w:ascii="Times New Roman" w:hAnsi="Times New Roman" w:cs="Times New Roman"/>
          <w:color w:val="000000" w:themeColor="text1"/>
          <w:szCs w:val="28"/>
          <w:shd w:val="clear" w:color="auto" w:fill="FFFFFF"/>
        </w:rPr>
        <w:t xml:space="preserve">de atribuir la competencia a los órganos de elección popular para </w:t>
      </w:r>
      <w:r w:rsidRPr="005D08AD">
        <w:rPr>
          <w:rFonts w:ascii="Times New Roman" w:hAnsi="Times New Roman" w:cs="Times New Roman"/>
          <w:color w:val="000000" w:themeColor="text1"/>
          <w:szCs w:val="28"/>
          <w:shd w:val="clear" w:color="auto" w:fill="FFFFFF"/>
        </w:rPr>
        <w:t xml:space="preserve">imponer contribuciones fiscales y parafiscales, exige predeterminar de manera razonable los elementos esenciales de la obligación tributaria sustancial. </w:t>
      </w:r>
      <w:r w:rsidRPr="005D08AD">
        <w:rPr>
          <w:rFonts w:ascii="Times New Roman" w:hAnsi="Times New Roman" w:cs="Times New Roman"/>
          <w:color w:val="000000" w:themeColor="text1"/>
          <w:szCs w:val="28"/>
          <w:shd w:val="clear" w:color="auto" w:fill="FFFFFF"/>
        </w:rPr>
        <w:t>A partir de ello, el principio de certeza tributaria</w:t>
      </w:r>
      <w:r w:rsidRPr="005D08AD">
        <w:rPr>
          <w:rFonts w:ascii="Times New Roman" w:hAnsi="Times New Roman" w:cs="Times New Roman"/>
          <w:color w:val="000000" w:themeColor="text1"/>
          <w:szCs w:val="28"/>
          <w:shd w:val="clear" w:color="auto" w:fill="FFFFFF"/>
        </w:rPr>
        <w:t xml:space="preserve">, exige </w:t>
      </w:r>
      <w:r w:rsidRPr="005D08AD">
        <w:rPr>
          <w:rFonts w:ascii="Times New Roman" w:hAnsi="Times New Roman" w:cs="Times New Roman"/>
          <w:color w:val="000000" w:themeColor="text1"/>
          <w:szCs w:val="28"/>
          <w:shd w:val="clear" w:color="auto" w:fill="FFFFFF"/>
        </w:rPr>
        <w:t>que la</w:t>
      </w:r>
      <w:r w:rsidRPr="005D08AD">
        <w:rPr>
          <w:rFonts w:ascii="Times New Roman" w:hAnsi="Times New Roman" w:cs="Times New Roman"/>
          <w:color w:val="000000" w:themeColor="text1"/>
          <w:szCs w:val="28"/>
          <w:shd w:val="clear" w:color="auto" w:fill="FFFFFF"/>
        </w:rPr>
        <w:t xml:space="preserve"> configuración válida del tributo </w:t>
      </w:r>
      <w:r w:rsidRPr="005D08AD">
        <w:rPr>
          <w:rFonts w:ascii="Times New Roman" w:hAnsi="Times New Roman" w:cs="Times New Roman"/>
          <w:color w:val="000000" w:themeColor="text1"/>
          <w:szCs w:val="28"/>
          <w:shd w:val="clear" w:color="auto" w:fill="FFFFFF"/>
        </w:rPr>
        <w:t>det</w:t>
      </w:r>
      <w:r w:rsidRPr="005D08AD">
        <w:rPr>
          <w:rFonts w:ascii="Times New Roman" w:hAnsi="Times New Roman" w:cs="Times New Roman"/>
          <w:color w:val="000000" w:themeColor="text1"/>
          <w:szCs w:val="28"/>
          <w:shd w:val="clear" w:color="auto" w:fill="FFFFFF"/>
        </w:rPr>
        <w:t>ermine</w:t>
      </w:r>
      <w:r w:rsidRPr="005D08AD">
        <w:rPr>
          <w:rFonts w:ascii="Times New Roman" w:hAnsi="Times New Roman" w:cs="Times New Roman"/>
          <w:color w:val="000000" w:themeColor="text1"/>
          <w:szCs w:val="28"/>
          <w:shd w:val="clear" w:color="auto" w:fill="FFFFFF"/>
        </w:rPr>
        <w:t xml:space="preserve"> o permita </w:t>
      </w:r>
      <w:r w:rsidRPr="005D08AD">
        <w:rPr>
          <w:rFonts w:ascii="Times New Roman" w:hAnsi="Times New Roman" w:cs="Times New Roman"/>
          <w:color w:val="000000" w:themeColor="text1"/>
          <w:szCs w:val="28"/>
          <w:shd w:val="clear" w:color="auto" w:fill="FFFFFF"/>
        </w:rPr>
        <w:t>determinar</w:t>
      </w:r>
      <w:r w:rsidRPr="005D08AD">
        <w:rPr>
          <w:rFonts w:ascii="Times New Roman" w:hAnsi="Times New Roman" w:cs="Times New Roman"/>
          <w:color w:val="000000" w:themeColor="text1"/>
          <w:szCs w:val="28"/>
          <w:shd w:val="clear" w:color="auto" w:fill="FFFFFF"/>
        </w:rPr>
        <w:t xml:space="preserve"> </w:t>
      </w:r>
      <w:r w:rsidRPr="005D08AD">
        <w:rPr>
          <w:rFonts w:ascii="Times New Roman" w:hAnsi="Times New Roman" w:cs="Times New Roman"/>
          <w:color w:val="000000" w:themeColor="text1"/>
          <w:szCs w:val="28"/>
          <w:shd w:val="clear" w:color="auto" w:fill="FFFFFF"/>
        </w:rPr>
        <w:t>sus</w:t>
      </w:r>
      <w:r w:rsidRPr="005D08AD">
        <w:rPr>
          <w:rFonts w:ascii="Times New Roman" w:hAnsi="Times New Roman" w:cs="Times New Roman"/>
          <w:color w:val="000000" w:themeColor="text1"/>
          <w:szCs w:val="28"/>
          <w:shd w:val="clear" w:color="auto" w:fill="FFFFFF"/>
        </w:rPr>
        <w:t xml:space="preserve"> elementos estructurales (sujeto activo, pasivo, hecho generador, base gravable y tarifa)</w:t>
      </w:r>
      <w:r w:rsidRPr="005D08AD">
        <w:rPr>
          <w:rFonts w:ascii="Times New Roman" w:hAnsi="Times New Roman" w:cs="Times New Roman"/>
          <w:color w:val="000000" w:themeColor="text1"/>
          <w:szCs w:val="28"/>
          <w:shd w:val="clear" w:color="auto" w:fill="FFFFFF"/>
        </w:rPr>
        <w:t>, sin que</w:t>
      </w:r>
      <w:r w:rsidRPr="005D08AD">
        <w:rPr>
          <w:rFonts w:ascii="Times New Roman" w:hAnsi="Times New Roman" w:cs="Times New Roman"/>
          <w:color w:val="000000" w:themeColor="text1"/>
          <w:szCs w:val="28"/>
          <w:shd w:val="clear" w:color="auto" w:fill="FFFFFF"/>
        </w:rPr>
        <w:t xml:space="preserve"> posibles debilidades en su determinación </w:t>
      </w:r>
      <w:r w:rsidRPr="005D08AD">
        <w:rPr>
          <w:rFonts w:ascii="Times New Roman" w:hAnsi="Times New Roman" w:cs="Times New Roman"/>
          <w:color w:val="000000" w:themeColor="text1"/>
          <w:szCs w:val="28"/>
          <w:shd w:val="clear" w:color="auto" w:fill="FFFFFF"/>
        </w:rPr>
        <w:t xml:space="preserve">conduzcan inmediatamente a un resultado contrario a la Constitución. </w:t>
      </w:r>
    </w:p>
    <w:p w:rsidR="00E34ABF" w:rsidRPr="005D08AD" w:rsidRDefault="005D08AD" w:rsidP="005F72BB">
      <w:pPr>
        <w:rPr>
          <w:rFonts w:ascii="Times New Roman" w:hAnsi="Times New Roman" w:cs="Times New Roman"/>
          <w:color w:val="000000" w:themeColor="text1"/>
          <w:sz w:val="28"/>
          <w:szCs w:val="28"/>
          <w:shd w:val="clear" w:color="auto" w:fill="FFFFFF"/>
        </w:rPr>
      </w:pPr>
    </w:p>
    <w:p w:rsidR="00675B35"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color w:val="000000" w:themeColor="text1"/>
          <w:szCs w:val="28"/>
          <w:shd w:val="clear" w:color="auto" w:fill="FFFFFF"/>
        </w:rPr>
        <w:t xml:space="preserve">En estos casos, de acuerdo con jurisprudencia reiterada de la Corte, corresponde verificar </w:t>
      </w:r>
      <w:r w:rsidRPr="005D08AD">
        <w:rPr>
          <w:rFonts w:ascii="Times New Roman" w:hAnsi="Times New Roman" w:cs="Times New Roman"/>
          <w:color w:val="000000" w:themeColor="text1"/>
          <w:szCs w:val="28"/>
          <w:shd w:val="clear" w:color="auto" w:fill="FFFFFF"/>
        </w:rPr>
        <w:t>(</w:t>
      </w:r>
      <w:r w:rsidRPr="005D08AD">
        <w:rPr>
          <w:rFonts w:ascii="Times New Roman" w:hAnsi="Times New Roman" w:cs="Times New Roman"/>
          <w:color w:val="000000" w:themeColor="text1"/>
          <w:szCs w:val="28"/>
          <w:shd w:val="clear" w:color="auto" w:fill="FFFFFF"/>
        </w:rPr>
        <w:t xml:space="preserve">a partir de los métodos ordinarios de interpretación jurídica </w:t>
      </w:r>
      <w:r w:rsidRPr="005D08AD">
        <w:rPr>
          <w:rFonts w:ascii="Times New Roman" w:hAnsi="Times New Roman" w:cs="Times New Roman"/>
          <w:color w:val="000000" w:themeColor="text1"/>
          <w:szCs w:val="28"/>
          <w:shd w:val="clear" w:color="auto" w:fill="FFFFFF"/>
        </w:rPr>
        <w:t>−</w:t>
      </w:r>
      <w:r w:rsidRPr="005D08AD">
        <w:rPr>
          <w:rFonts w:ascii="Times New Roman" w:hAnsi="Times New Roman" w:cs="Times New Roman"/>
          <w:color w:val="000000" w:themeColor="text1"/>
          <w:szCs w:val="28"/>
          <w:shd w:val="clear" w:color="auto" w:fill="FFFFFF"/>
        </w:rPr>
        <w:t xml:space="preserve">gramatical, sistemático, contextual, histórico y conforme al entendimiento dominante en la comunidad </w:t>
      </w:r>
      <w:r w:rsidRPr="005D08AD">
        <w:rPr>
          <w:rFonts w:ascii="Times New Roman" w:hAnsi="Times New Roman" w:cs="Times New Roman"/>
          <w:color w:val="000000" w:themeColor="text1"/>
          <w:szCs w:val="28"/>
          <w:shd w:val="clear" w:color="auto" w:fill="FFFFFF"/>
        </w:rPr>
        <w:t>jurídica−)</w:t>
      </w:r>
      <w:r w:rsidRPr="005D08AD">
        <w:rPr>
          <w:rFonts w:ascii="Times New Roman" w:hAnsi="Times New Roman" w:cs="Times New Roman"/>
          <w:color w:val="000000" w:themeColor="text1"/>
          <w:szCs w:val="28"/>
          <w:shd w:val="clear" w:color="auto" w:fill="FFFFFF"/>
        </w:rPr>
        <w:t xml:space="preserve"> si la dificultad identificada resulta superable, de forma que solo cuando esa indeterminación resulte insal</w:t>
      </w:r>
      <w:r w:rsidRPr="005D08AD">
        <w:rPr>
          <w:rFonts w:ascii="Times New Roman" w:hAnsi="Times New Roman" w:cs="Times New Roman"/>
          <w:color w:val="000000" w:themeColor="text1"/>
          <w:szCs w:val="28"/>
          <w:shd w:val="clear" w:color="auto" w:fill="FFFFFF"/>
        </w:rPr>
        <w:t xml:space="preserve">vable se concluya la vulneración al artículo 338 de la Constitución. </w:t>
      </w:r>
    </w:p>
    <w:p w:rsidR="00362507" w:rsidRPr="005D08AD" w:rsidRDefault="005D08AD" w:rsidP="005F72BB">
      <w:pPr>
        <w:contextualSpacing/>
        <w:mirrorIndents/>
        <w:rPr>
          <w:rFonts w:ascii="Times New Roman" w:hAnsi="Times New Roman" w:cs="Times New Roman"/>
          <w:color w:val="000000" w:themeColor="text1"/>
          <w:sz w:val="28"/>
          <w:szCs w:val="28"/>
          <w:shd w:val="clear" w:color="auto" w:fill="FFFFFF"/>
        </w:rPr>
      </w:pPr>
    </w:p>
    <w:p w:rsidR="00F95E94" w:rsidRPr="005D08AD" w:rsidRDefault="005D08AD" w:rsidP="000F460E">
      <w:pPr>
        <w:pStyle w:val="Prrafodelista"/>
        <w:numPr>
          <w:ilvl w:val="0"/>
          <w:numId w:val="7"/>
        </w:numPr>
        <w:spacing w:after="0" w:line="240" w:lineRule="auto"/>
        <w:ind w:left="0" w:firstLine="0"/>
        <w:mirrorIndents/>
        <w:jc w:val="both"/>
        <w:outlineLvl w:val="2"/>
        <w:rPr>
          <w:rFonts w:ascii="Times New Roman" w:hAnsi="Times New Roman" w:cs="Times New Roman"/>
          <w:b/>
          <w:bCs/>
          <w:color w:val="000000" w:themeColor="text1"/>
          <w:szCs w:val="28"/>
          <w:shd w:val="clear" w:color="auto" w:fill="FFFFFF"/>
        </w:rPr>
      </w:pPr>
      <w:r w:rsidRPr="005D08AD">
        <w:rPr>
          <w:rFonts w:ascii="Times New Roman" w:hAnsi="Times New Roman" w:cs="Times New Roman"/>
          <w:b/>
          <w:bCs/>
          <w:color w:val="000000" w:themeColor="text1"/>
          <w:szCs w:val="28"/>
          <w:shd w:val="clear" w:color="auto" w:fill="FFFFFF"/>
        </w:rPr>
        <w:t xml:space="preserve">El </w:t>
      </w:r>
      <w:r w:rsidRPr="005D08AD">
        <w:rPr>
          <w:rFonts w:ascii="Times New Roman" w:hAnsi="Times New Roman" w:cs="Times New Roman"/>
          <w:b/>
          <w:bCs/>
          <w:i/>
          <w:iCs/>
          <w:color w:val="000000" w:themeColor="text1"/>
          <w:szCs w:val="28"/>
          <w:shd w:val="clear" w:color="auto" w:fill="FFFFFF"/>
        </w:rPr>
        <w:t>hecho generador</w:t>
      </w:r>
      <w:r w:rsidRPr="005D08AD">
        <w:rPr>
          <w:rFonts w:ascii="Times New Roman" w:hAnsi="Times New Roman" w:cs="Times New Roman"/>
          <w:b/>
          <w:bCs/>
          <w:color w:val="000000" w:themeColor="text1"/>
          <w:szCs w:val="28"/>
          <w:shd w:val="clear" w:color="auto" w:fill="FFFFFF"/>
        </w:rPr>
        <w:t xml:space="preserve"> como elemento esencial de la obligación tributaria</w:t>
      </w:r>
      <w:r w:rsidRPr="005D08AD">
        <w:rPr>
          <w:rFonts w:ascii="Times New Roman" w:hAnsi="Times New Roman" w:cs="Times New Roman"/>
          <w:b/>
          <w:bCs/>
          <w:color w:val="000000" w:themeColor="text1"/>
          <w:szCs w:val="28"/>
          <w:shd w:val="clear" w:color="auto" w:fill="FFFFFF"/>
        </w:rPr>
        <w:t xml:space="preserve"> sustancial</w:t>
      </w:r>
    </w:p>
    <w:p w:rsidR="00F95E94" w:rsidRPr="005D08AD" w:rsidRDefault="005D08AD" w:rsidP="005F72BB">
      <w:pPr>
        <w:pStyle w:val="Prrafodelista"/>
        <w:spacing w:after="0" w:line="240" w:lineRule="auto"/>
        <w:ind w:left="0"/>
        <w:mirrorIndents/>
        <w:jc w:val="both"/>
        <w:rPr>
          <w:rFonts w:ascii="Times New Roman" w:hAnsi="Times New Roman" w:cs="Times New Roman"/>
          <w:b/>
          <w:bCs/>
          <w:color w:val="000000" w:themeColor="text1"/>
          <w:szCs w:val="28"/>
          <w:shd w:val="clear" w:color="auto" w:fill="FFFFFF"/>
        </w:rPr>
      </w:pPr>
    </w:p>
    <w:p w:rsidR="00A279AA" w:rsidRPr="005D08AD" w:rsidRDefault="005D08AD" w:rsidP="005F72BB">
      <w:pPr>
        <w:pStyle w:val="Prrafodelista"/>
        <w:numPr>
          <w:ilvl w:val="0"/>
          <w:numId w:val="4"/>
        </w:numPr>
        <w:spacing w:after="0" w:line="240" w:lineRule="auto"/>
        <w:mirrorIndents/>
        <w:jc w:val="both"/>
        <w:rPr>
          <w:rFonts w:ascii="Times New Roman" w:hAnsi="Times New Roman" w:cs="Times New Roman"/>
          <w:bCs/>
          <w:szCs w:val="28"/>
          <w:lang w:val="es-CO" w:eastAsia="es-ES"/>
        </w:rPr>
      </w:pPr>
      <w:r w:rsidRPr="005D08AD">
        <w:rPr>
          <w:rFonts w:ascii="Times New Roman" w:hAnsi="Times New Roman" w:cs="Times New Roman"/>
          <w:bCs/>
          <w:szCs w:val="28"/>
          <w:lang w:val="es-CO" w:eastAsia="es-ES"/>
        </w:rPr>
        <w:t>De acuerdo con</w:t>
      </w:r>
      <w:r w:rsidRPr="005D08AD">
        <w:rPr>
          <w:rFonts w:ascii="Times New Roman" w:hAnsi="Times New Roman" w:cs="Times New Roman"/>
          <w:bCs/>
          <w:szCs w:val="28"/>
          <w:lang w:val="es-CO" w:eastAsia="es-ES"/>
        </w:rPr>
        <w:t xml:space="preserve"> los artículos 150.12, 154 y 338 de la Constitución</w:t>
      </w:r>
      <w:r w:rsidRPr="005D08AD">
        <w:rPr>
          <w:rFonts w:ascii="Times New Roman" w:hAnsi="Times New Roman" w:cs="Times New Roman"/>
          <w:bCs/>
          <w:szCs w:val="28"/>
          <w:lang w:val="es-CO" w:eastAsia="es-ES"/>
        </w:rPr>
        <w:t xml:space="preserve"> el legislador</w:t>
      </w:r>
      <w:r w:rsidRPr="005D08AD">
        <w:rPr>
          <w:rFonts w:ascii="Times New Roman" w:hAnsi="Times New Roman" w:cs="Times New Roman"/>
          <w:bCs/>
          <w:szCs w:val="28"/>
          <w:lang w:val="es-CO" w:eastAsia="es-ES"/>
        </w:rPr>
        <w:t xml:space="preserve"> cuenta con un amplio margen de configuración normativa en materia tributaria, por ende, puede crear, modificar y eliminar impuestos, tasas y contribuciones</w:t>
      </w:r>
      <w:r w:rsidRPr="005D08AD">
        <w:rPr>
          <w:rFonts w:ascii="Times New Roman" w:hAnsi="Times New Roman" w:cs="Times New Roman"/>
          <w:bCs/>
          <w:szCs w:val="28"/>
          <w:lang w:val="es-CO" w:eastAsia="es-ES"/>
        </w:rPr>
        <w:t>;</w:t>
      </w:r>
      <w:r w:rsidRPr="005D08AD">
        <w:rPr>
          <w:rFonts w:ascii="Times New Roman" w:hAnsi="Times New Roman" w:cs="Times New Roman"/>
          <w:bCs/>
          <w:szCs w:val="28"/>
          <w:lang w:val="es-CO" w:eastAsia="es-ES"/>
        </w:rPr>
        <w:t xml:space="preserve"> regular el tiempo de vigencia, determinar los sujetos activos y pasivos de obligaciones tributaria</w:t>
      </w:r>
      <w:r w:rsidRPr="005D08AD">
        <w:rPr>
          <w:rFonts w:ascii="Times New Roman" w:hAnsi="Times New Roman" w:cs="Times New Roman"/>
          <w:bCs/>
          <w:szCs w:val="28"/>
          <w:lang w:val="es-CO" w:eastAsia="es-ES"/>
        </w:rPr>
        <w:t xml:space="preserve">s, los hechos </w:t>
      </w:r>
      <w:r w:rsidRPr="005D08AD">
        <w:rPr>
          <w:rFonts w:ascii="Times New Roman" w:hAnsi="Times New Roman" w:cs="Times New Roman"/>
          <w:bCs/>
          <w:szCs w:val="28"/>
          <w:lang w:val="es-CO" w:eastAsia="es-ES"/>
        </w:rPr>
        <w:t>genera</w:t>
      </w:r>
      <w:r w:rsidRPr="005D08AD">
        <w:rPr>
          <w:rFonts w:ascii="Times New Roman" w:hAnsi="Times New Roman" w:cs="Times New Roman"/>
          <w:bCs/>
          <w:szCs w:val="28"/>
          <w:lang w:val="es-CO" w:eastAsia="es-ES"/>
        </w:rPr>
        <w:t>dores</w:t>
      </w:r>
      <w:r w:rsidRPr="005D08AD">
        <w:rPr>
          <w:rFonts w:ascii="Times New Roman" w:hAnsi="Times New Roman" w:cs="Times New Roman"/>
          <w:bCs/>
          <w:szCs w:val="28"/>
          <w:lang w:val="es-CO" w:eastAsia="es-ES"/>
        </w:rPr>
        <w:t xml:space="preserve"> </w:t>
      </w:r>
      <w:r w:rsidRPr="005D08AD">
        <w:rPr>
          <w:rFonts w:ascii="Times New Roman" w:hAnsi="Times New Roman" w:cs="Times New Roman"/>
          <w:bCs/>
          <w:szCs w:val="28"/>
          <w:lang w:val="es-CO" w:eastAsia="es-ES"/>
        </w:rPr>
        <w:t>y las bases gravables, tarifas, forma de cobro y recaudo, prever exenciones</w:t>
      </w:r>
      <w:r w:rsidRPr="005D08AD">
        <w:rPr>
          <w:rFonts w:ascii="Times New Roman" w:hAnsi="Times New Roman" w:cs="Times New Roman"/>
          <w:bCs/>
          <w:szCs w:val="28"/>
          <w:lang w:val="es-CO" w:eastAsia="es-ES"/>
        </w:rPr>
        <w:t>, entre otros</w:t>
      </w:r>
      <w:r w:rsidRPr="005D08AD">
        <w:rPr>
          <w:rFonts w:ascii="Times New Roman" w:hAnsi="Times New Roman" w:cs="Times New Roman"/>
          <w:bCs/>
          <w:szCs w:val="28"/>
          <w:lang w:val="es-CO" w:eastAsia="es-ES"/>
        </w:rPr>
        <w:t>. De igual forma, puede determinar el diseño y regulación de los procedimientos administrativos tributarios</w:t>
      </w:r>
      <w:r w:rsidRPr="005D08AD">
        <w:rPr>
          <w:rFonts w:ascii="Times New Roman" w:hAnsi="Times New Roman" w:cs="Times New Roman"/>
          <w:bCs/>
          <w:szCs w:val="28"/>
          <w:lang w:val="es-CO" w:eastAsia="es-ES"/>
        </w:rPr>
        <w:t>.</w:t>
      </w:r>
    </w:p>
    <w:p w:rsidR="00A279AA" w:rsidRPr="005D08AD" w:rsidRDefault="005D08AD" w:rsidP="005F72BB">
      <w:pPr>
        <w:pStyle w:val="Prrafodelista"/>
        <w:spacing w:after="0" w:line="240" w:lineRule="auto"/>
        <w:ind w:left="0"/>
        <w:mirrorIndents/>
        <w:jc w:val="both"/>
        <w:rPr>
          <w:rFonts w:ascii="Times New Roman" w:hAnsi="Times New Roman" w:cs="Times New Roman"/>
          <w:bCs/>
          <w:szCs w:val="28"/>
          <w:lang w:val="es-CO" w:eastAsia="es-ES"/>
        </w:rPr>
      </w:pPr>
    </w:p>
    <w:p w:rsidR="002C1195" w:rsidRPr="005D08AD" w:rsidRDefault="005D08AD" w:rsidP="007148A5">
      <w:pPr>
        <w:pStyle w:val="Prrafodelista"/>
        <w:numPr>
          <w:ilvl w:val="0"/>
          <w:numId w:val="4"/>
        </w:numPr>
        <w:spacing w:after="0" w:line="240" w:lineRule="auto"/>
        <w:mirrorIndents/>
        <w:jc w:val="both"/>
        <w:rPr>
          <w:rFonts w:ascii="Times New Roman" w:hAnsi="Times New Roman" w:cs="Times New Roman"/>
          <w:bCs/>
          <w:szCs w:val="28"/>
          <w:lang w:val="es-CO" w:eastAsia="es-ES"/>
        </w:rPr>
      </w:pPr>
      <w:r w:rsidRPr="005D08AD">
        <w:rPr>
          <w:rFonts w:ascii="Times New Roman" w:hAnsi="Times New Roman" w:cs="Times New Roman"/>
          <w:szCs w:val="28"/>
          <w:shd w:val="clear" w:color="auto" w:fill="FFFFFF"/>
        </w:rPr>
        <w:t>En este sentido las</w:t>
      </w:r>
      <w:r w:rsidRPr="005D08AD">
        <w:rPr>
          <w:rFonts w:ascii="Times New Roman" w:hAnsi="Times New Roman" w:cs="Times New Roman"/>
          <w:szCs w:val="28"/>
          <w:shd w:val="clear" w:color="auto" w:fill="FFFFFF"/>
        </w:rPr>
        <w:t xml:space="preserve"> obligaciones tributarias se definen como el vínculo jurídico entre el Estado y las personas, en virtud del cual estas deben cumplir, frente a aquel una prestación</w:t>
      </w:r>
      <w:r w:rsidRPr="005D08AD">
        <w:rPr>
          <w:rStyle w:val="Refdenotaalpie"/>
          <w:rFonts w:ascii="Times New Roman" w:hAnsi="Times New Roman"/>
          <w:szCs w:val="28"/>
          <w:shd w:val="clear" w:color="auto" w:fill="FFFFFF"/>
        </w:rPr>
        <w:footnoteReference w:id="61"/>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En ese </w:t>
      </w:r>
      <w:r w:rsidRPr="005D08AD">
        <w:rPr>
          <w:rFonts w:ascii="Times New Roman" w:hAnsi="Times New Roman" w:cs="Times New Roman"/>
          <w:szCs w:val="28"/>
          <w:shd w:val="clear" w:color="auto" w:fill="FFFFFF"/>
        </w:rPr>
        <w:t>sentido</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estas obligaciones son de dos tipos. </w:t>
      </w:r>
      <w:r w:rsidRPr="005D08AD">
        <w:rPr>
          <w:rFonts w:ascii="Times New Roman" w:hAnsi="Times New Roman" w:cs="Times New Roman"/>
          <w:szCs w:val="28"/>
          <w:shd w:val="clear" w:color="auto" w:fill="FFFFFF"/>
        </w:rPr>
        <w:t xml:space="preserve">Las obligaciones tributarias </w:t>
      </w:r>
      <w:r w:rsidRPr="005D08AD">
        <w:rPr>
          <w:rFonts w:ascii="Times New Roman" w:hAnsi="Times New Roman" w:cs="Times New Roman"/>
          <w:i/>
          <w:iCs/>
          <w:szCs w:val="28"/>
          <w:shd w:val="clear" w:color="auto" w:fill="FFFFFF"/>
        </w:rPr>
        <w:t>s</w:t>
      </w:r>
      <w:r w:rsidRPr="005D08AD">
        <w:rPr>
          <w:rFonts w:ascii="Times New Roman" w:hAnsi="Times New Roman" w:cs="Times New Roman"/>
          <w:i/>
          <w:iCs/>
          <w:szCs w:val="28"/>
          <w:shd w:val="clear" w:color="auto" w:fill="FFFFFF"/>
        </w:rPr>
        <w:t>ustanci</w:t>
      </w:r>
      <w:r w:rsidRPr="005D08AD">
        <w:rPr>
          <w:rFonts w:ascii="Times New Roman" w:hAnsi="Times New Roman" w:cs="Times New Roman"/>
          <w:i/>
          <w:iCs/>
          <w:szCs w:val="28"/>
          <w:shd w:val="clear" w:color="auto" w:fill="FFFFFF"/>
        </w:rPr>
        <w:t>ales</w:t>
      </w:r>
      <w:r w:rsidRPr="005D08AD">
        <w:rPr>
          <w:rFonts w:ascii="Times New Roman" w:hAnsi="Times New Roman" w:cs="Times New Roman"/>
          <w:szCs w:val="28"/>
          <w:shd w:val="clear" w:color="auto" w:fill="FFFFFF"/>
        </w:rPr>
        <w:t>, es decir</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bCs/>
          <w:szCs w:val="28"/>
          <w:lang w:eastAsia="es-ES"/>
        </w:rPr>
        <w:t>las que</w:t>
      </w:r>
      <w:r w:rsidRPr="005D08AD">
        <w:rPr>
          <w:rFonts w:ascii="Times New Roman" w:hAnsi="Times New Roman" w:cs="Times New Roman"/>
        </w:rPr>
        <w:t xml:space="preserve"> </w:t>
      </w:r>
      <w:r w:rsidRPr="005D08AD">
        <w:rPr>
          <w:rFonts w:ascii="Times New Roman" w:hAnsi="Times New Roman" w:cs="Times New Roman"/>
          <w:szCs w:val="28"/>
          <w:shd w:val="clear" w:color="auto" w:fill="FFFFFF"/>
        </w:rPr>
        <w:t>tienen por</w:t>
      </w:r>
      <w:r w:rsidRPr="005D08AD">
        <w:rPr>
          <w:rFonts w:ascii="Times New Roman" w:hAnsi="Times New Roman" w:cs="Times New Roman"/>
          <w:szCs w:val="28"/>
          <w:shd w:val="clear" w:color="auto" w:fill="FFFFFF"/>
        </w:rPr>
        <w:t xml:space="preserve"> objeto el pago del tributo cuando el sujeto cumple con los presupuestos fácticos y jurídicos previstos en la ley como hechos generadores</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y se fundamentan</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principalmente</w:t>
      </w:r>
      <w:r w:rsidRPr="005D08AD">
        <w:rPr>
          <w:rFonts w:ascii="Times New Roman" w:hAnsi="Times New Roman" w:cs="Times New Roman"/>
          <w:szCs w:val="28"/>
          <w:shd w:val="clear" w:color="auto" w:fill="FFFFFF"/>
        </w:rPr>
        <w:t xml:space="preserve"> en el artículo 95.9 de la Constitución</w:t>
      </w:r>
      <w:r w:rsidRPr="005D08AD">
        <w:rPr>
          <w:rStyle w:val="Refdenotaalpie"/>
          <w:rFonts w:ascii="Times New Roman" w:hAnsi="Times New Roman"/>
          <w:szCs w:val="28"/>
          <w:shd w:val="clear" w:color="auto" w:fill="FFFFFF"/>
        </w:rPr>
        <w:footnoteReference w:id="62"/>
      </w:r>
      <w:r w:rsidRPr="005D08AD">
        <w:rPr>
          <w:rFonts w:ascii="Times New Roman" w:hAnsi="Times New Roman" w:cs="Times New Roman"/>
          <w:szCs w:val="28"/>
          <w:shd w:val="clear" w:color="auto" w:fill="FFFFFF"/>
        </w:rPr>
        <w:t xml:space="preserve">. Por su parte, las obligaciones </w:t>
      </w:r>
      <w:r w:rsidRPr="005D08AD">
        <w:rPr>
          <w:rFonts w:ascii="Times New Roman" w:hAnsi="Times New Roman" w:cs="Times New Roman"/>
          <w:i/>
          <w:iCs/>
          <w:szCs w:val="28"/>
          <w:shd w:val="clear" w:color="auto" w:fill="FFFFFF"/>
        </w:rPr>
        <w:t>formales</w:t>
      </w:r>
      <w:r w:rsidRPr="005D08AD">
        <w:rPr>
          <w:rFonts w:ascii="Times New Roman" w:hAnsi="Times New Roman" w:cs="Times New Roman"/>
          <w:szCs w:val="28"/>
          <w:shd w:val="clear" w:color="auto" w:fill="FFFFFF"/>
        </w:rPr>
        <w:t xml:space="preserve"> que</w:t>
      </w:r>
      <w:r w:rsidRPr="005D08AD">
        <w:rPr>
          <w:rFonts w:ascii="Times New Roman" w:hAnsi="Times New Roman" w:cs="Times New Roman"/>
          <w:szCs w:val="28"/>
          <w:shd w:val="clear" w:color="auto" w:fill="FFFFFF"/>
        </w:rPr>
        <w:t xml:space="preserve"> apuntan a </w:t>
      </w:r>
      <w:r w:rsidRPr="005D08AD">
        <w:rPr>
          <w:rFonts w:ascii="Times New Roman" w:hAnsi="Times New Roman" w:cs="Times New Roman"/>
          <w:szCs w:val="28"/>
          <w:shd w:val="clear" w:color="auto" w:fill="FFFFFF"/>
        </w:rPr>
        <w:t>asegura</w:t>
      </w:r>
      <w:r w:rsidRPr="005D08AD">
        <w:rPr>
          <w:rFonts w:ascii="Times New Roman" w:hAnsi="Times New Roman" w:cs="Times New Roman"/>
          <w:szCs w:val="28"/>
          <w:shd w:val="clear" w:color="auto" w:fill="FFFFFF"/>
        </w:rPr>
        <w:t>r</w:t>
      </w:r>
      <w:r w:rsidRPr="005D08AD">
        <w:rPr>
          <w:rFonts w:ascii="Times New Roman" w:hAnsi="Times New Roman" w:cs="Times New Roman"/>
          <w:szCs w:val="28"/>
          <w:shd w:val="clear" w:color="auto" w:fill="FFFFFF"/>
        </w:rPr>
        <w:t xml:space="preserve"> el cumplimiento de la obligación </w:t>
      </w:r>
      <w:r w:rsidRPr="005D08AD">
        <w:rPr>
          <w:rFonts w:ascii="Times New Roman" w:hAnsi="Times New Roman" w:cs="Times New Roman"/>
          <w:szCs w:val="28"/>
          <w:shd w:val="clear" w:color="auto" w:fill="FFFFFF"/>
        </w:rPr>
        <w:t>tributar</w:t>
      </w:r>
      <w:r w:rsidRPr="005D08AD">
        <w:rPr>
          <w:rFonts w:ascii="Times New Roman" w:hAnsi="Times New Roman" w:cs="Times New Roman"/>
          <w:szCs w:val="28"/>
          <w:shd w:val="clear" w:color="auto" w:fill="FFFFFF"/>
        </w:rPr>
        <w:t xml:space="preserve">ia </w:t>
      </w:r>
      <w:r w:rsidRPr="005D08AD">
        <w:rPr>
          <w:rFonts w:ascii="Times New Roman" w:hAnsi="Times New Roman" w:cs="Times New Roman"/>
          <w:szCs w:val="28"/>
          <w:shd w:val="clear" w:color="auto" w:fill="FFFFFF"/>
        </w:rPr>
        <w:t>sustancial</w:t>
      </w:r>
      <w:r w:rsidRPr="005D08AD">
        <w:rPr>
          <w:rFonts w:ascii="Times New Roman" w:hAnsi="Times New Roman" w:cs="Times New Roman"/>
          <w:szCs w:val="28"/>
          <w:shd w:val="clear" w:color="auto" w:fill="FFFFFF"/>
        </w:rPr>
        <w:t xml:space="preserve">, entre otras, con el fin de evitar </w:t>
      </w:r>
      <w:r w:rsidRPr="005D08AD">
        <w:rPr>
          <w:rFonts w:ascii="Times New Roman" w:hAnsi="Times New Roman" w:cs="Times New Roman"/>
          <w:szCs w:val="28"/>
          <w:shd w:val="clear" w:color="auto" w:fill="FFFFFF"/>
        </w:rPr>
        <w:t xml:space="preserve">la evasión </w:t>
      </w:r>
      <w:r w:rsidRPr="005D08AD">
        <w:rPr>
          <w:rFonts w:ascii="Times New Roman" w:hAnsi="Times New Roman" w:cs="Times New Roman"/>
          <w:szCs w:val="28"/>
          <w:shd w:val="clear" w:color="auto" w:fill="FFFFFF"/>
        </w:rPr>
        <w:t>del pago</w:t>
      </w:r>
      <w:r w:rsidRPr="005D08AD">
        <w:rPr>
          <w:rStyle w:val="Refdenotaalpie"/>
          <w:rFonts w:ascii="Times New Roman" w:hAnsi="Times New Roman"/>
          <w:szCs w:val="28"/>
          <w:shd w:val="clear" w:color="auto" w:fill="FFFFFF"/>
        </w:rPr>
        <w:footnoteReference w:id="63"/>
      </w:r>
      <w:r w:rsidRPr="005D08AD">
        <w:rPr>
          <w:rFonts w:ascii="Times New Roman" w:hAnsi="Times New Roman" w:cs="Times New Roman"/>
          <w:szCs w:val="28"/>
          <w:shd w:val="clear" w:color="auto" w:fill="FFFFFF"/>
        </w:rPr>
        <w:t>.</w:t>
      </w:r>
    </w:p>
    <w:p w:rsidR="00355368" w:rsidRPr="005D08AD" w:rsidRDefault="005D08AD" w:rsidP="005F72BB">
      <w:pPr>
        <w:pStyle w:val="Prrafodelista"/>
        <w:spacing w:after="0" w:line="240" w:lineRule="auto"/>
        <w:ind w:left="0"/>
        <w:mirrorIndents/>
        <w:rPr>
          <w:rFonts w:ascii="Times New Roman" w:hAnsi="Times New Roman" w:cs="Times New Roman"/>
          <w:bCs/>
          <w:szCs w:val="28"/>
          <w:lang w:val="es-CO" w:eastAsia="es-ES"/>
        </w:rPr>
      </w:pPr>
    </w:p>
    <w:p w:rsidR="00FA446E" w:rsidRPr="005D08AD" w:rsidRDefault="005D08AD" w:rsidP="005F72BB">
      <w:pPr>
        <w:pStyle w:val="Prrafodelista"/>
        <w:numPr>
          <w:ilvl w:val="0"/>
          <w:numId w:val="4"/>
        </w:numPr>
        <w:spacing w:after="0" w:line="240" w:lineRule="auto"/>
        <w:mirrorIndents/>
        <w:jc w:val="both"/>
        <w:rPr>
          <w:rFonts w:ascii="Times New Roman" w:hAnsi="Times New Roman" w:cs="Times New Roman"/>
          <w:bCs/>
          <w:szCs w:val="28"/>
          <w:lang w:eastAsia="es-ES"/>
        </w:rPr>
      </w:pPr>
      <w:r w:rsidRPr="005D08AD">
        <w:rPr>
          <w:rFonts w:ascii="Times New Roman" w:hAnsi="Times New Roman" w:cs="Times New Roman"/>
          <w:bCs/>
          <w:szCs w:val="28"/>
          <w:lang w:val="es-CO" w:eastAsia="es-ES"/>
        </w:rPr>
        <w:t>En relación con las</w:t>
      </w:r>
      <w:r w:rsidRPr="005D08AD">
        <w:rPr>
          <w:rFonts w:ascii="Times New Roman" w:hAnsi="Times New Roman" w:cs="Times New Roman"/>
          <w:bCs/>
          <w:szCs w:val="28"/>
          <w:lang w:val="es-CO" w:eastAsia="es-ES"/>
        </w:rPr>
        <w:t xml:space="preserve"> obligaciones sustanciales, es importante </w:t>
      </w:r>
      <w:r w:rsidRPr="005D08AD">
        <w:rPr>
          <w:rFonts w:ascii="Times New Roman" w:hAnsi="Times New Roman" w:cs="Times New Roman"/>
          <w:bCs/>
          <w:szCs w:val="28"/>
          <w:lang w:val="es-CO" w:eastAsia="es-ES"/>
        </w:rPr>
        <w:t>destacar</w:t>
      </w:r>
      <w:r w:rsidRPr="005D08AD">
        <w:rPr>
          <w:rFonts w:ascii="Times New Roman" w:hAnsi="Times New Roman" w:cs="Times New Roman"/>
          <w:bCs/>
          <w:szCs w:val="28"/>
          <w:lang w:val="es-CO" w:eastAsia="es-ES"/>
        </w:rPr>
        <w:t xml:space="preserve"> que </w:t>
      </w:r>
      <w:r w:rsidRPr="005D08AD">
        <w:rPr>
          <w:rFonts w:ascii="Times New Roman" w:hAnsi="Times New Roman" w:cs="Times New Roman"/>
          <w:bCs/>
          <w:szCs w:val="28"/>
          <w:lang w:val="es-CO" w:eastAsia="es-ES"/>
        </w:rPr>
        <w:t>estas</w:t>
      </w:r>
      <w:r w:rsidRPr="005D08AD">
        <w:rPr>
          <w:rFonts w:ascii="Times New Roman" w:hAnsi="Times New Roman" w:cs="Times New Roman"/>
          <w:bCs/>
          <w:szCs w:val="28"/>
          <w:lang w:val="es-CO" w:eastAsia="es-ES"/>
        </w:rPr>
        <w:t xml:space="preserve"> se componen por lo que se</w:t>
      </w:r>
      <w:r w:rsidRPr="005D08AD">
        <w:rPr>
          <w:rFonts w:ascii="Times New Roman" w:hAnsi="Times New Roman" w:cs="Times New Roman"/>
          <w:bCs/>
          <w:szCs w:val="28"/>
          <w:lang w:val="es-CO" w:eastAsia="es-ES"/>
        </w:rPr>
        <w:t xml:space="preserve"> ha denominado como los </w:t>
      </w:r>
      <w:r w:rsidRPr="005D08AD">
        <w:rPr>
          <w:rFonts w:ascii="Times New Roman" w:hAnsi="Times New Roman" w:cs="Times New Roman"/>
          <w:bCs/>
          <w:szCs w:val="28"/>
          <w:lang w:val="es-CO" w:eastAsia="es-ES"/>
        </w:rPr>
        <w:t>elementos esenciales del tributo</w:t>
      </w:r>
      <w:r w:rsidRPr="005D08AD">
        <w:rPr>
          <w:rFonts w:ascii="Times New Roman" w:hAnsi="Times New Roman" w:cs="Times New Roman"/>
          <w:bCs/>
          <w:szCs w:val="28"/>
          <w:lang w:val="es-CO" w:eastAsia="es-ES"/>
        </w:rPr>
        <w:t>, a saber: (i) sujeto activo</w:t>
      </w:r>
      <w:r w:rsidRPr="005D08AD">
        <w:rPr>
          <w:rStyle w:val="Refdenotaalpie"/>
          <w:rFonts w:ascii="Times New Roman" w:hAnsi="Times New Roman"/>
          <w:bCs/>
          <w:szCs w:val="28"/>
          <w:lang w:val="es-CO" w:eastAsia="es-ES"/>
        </w:rPr>
        <w:footnoteReference w:id="64"/>
      </w:r>
      <w:r w:rsidRPr="005D08AD">
        <w:rPr>
          <w:rFonts w:ascii="Times New Roman" w:hAnsi="Times New Roman" w:cs="Times New Roman"/>
          <w:bCs/>
          <w:szCs w:val="28"/>
          <w:lang w:val="es-CO" w:eastAsia="es-ES"/>
        </w:rPr>
        <w:t>; (ii) sujeto pasivo</w:t>
      </w:r>
      <w:r w:rsidRPr="005D08AD">
        <w:rPr>
          <w:rStyle w:val="Refdenotaalpie"/>
          <w:rFonts w:ascii="Times New Roman" w:hAnsi="Times New Roman"/>
          <w:bCs/>
          <w:szCs w:val="28"/>
          <w:lang w:val="es-CO" w:eastAsia="es-ES"/>
        </w:rPr>
        <w:footnoteReference w:id="65"/>
      </w:r>
      <w:r w:rsidRPr="005D08AD">
        <w:rPr>
          <w:rFonts w:ascii="Times New Roman" w:hAnsi="Times New Roman" w:cs="Times New Roman"/>
          <w:bCs/>
          <w:szCs w:val="28"/>
          <w:lang w:val="es-CO" w:eastAsia="es-ES"/>
        </w:rPr>
        <w:t>; (iii) base gravable</w:t>
      </w:r>
      <w:r w:rsidRPr="005D08AD">
        <w:rPr>
          <w:rStyle w:val="Refdenotaalpie"/>
          <w:rFonts w:ascii="Times New Roman" w:hAnsi="Times New Roman"/>
          <w:bCs/>
          <w:szCs w:val="28"/>
          <w:lang w:val="es-CO" w:eastAsia="es-ES"/>
        </w:rPr>
        <w:footnoteReference w:id="66"/>
      </w:r>
      <w:r w:rsidRPr="005D08AD">
        <w:rPr>
          <w:rFonts w:ascii="Times New Roman" w:hAnsi="Times New Roman" w:cs="Times New Roman"/>
          <w:bCs/>
          <w:szCs w:val="28"/>
          <w:lang w:val="es-CO" w:eastAsia="es-ES"/>
        </w:rPr>
        <w:t>; (iv) tarifa</w:t>
      </w:r>
      <w:r w:rsidRPr="005D08AD">
        <w:rPr>
          <w:rStyle w:val="Refdenotaalpie"/>
          <w:rFonts w:ascii="Times New Roman" w:hAnsi="Times New Roman"/>
          <w:bCs/>
          <w:szCs w:val="28"/>
          <w:lang w:val="es-CO" w:eastAsia="es-ES"/>
        </w:rPr>
        <w:footnoteReference w:id="67"/>
      </w:r>
      <w:r w:rsidRPr="005D08AD">
        <w:rPr>
          <w:rFonts w:ascii="Times New Roman" w:hAnsi="Times New Roman" w:cs="Times New Roman"/>
          <w:bCs/>
          <w:szCs w:val="28"/>
          <w:lang w:val="es-CO" w:eastAsia="es-ES"/>
        </w:rPr>
        <w:t xml:space="preserve"> y; (v) hecho generador. </w:t>
      </w:r>
      <w:r w:rsidRPr="005D08AD">
        <w:rPr>
          <w:rFonts w:ascii="Times New Roman" w:hAnsi="Times New Roman" w:cs="Times New Roman"/>
          <w:bCs/>
          <w:szCs w:val="28"/>
          <w:lang w:eastAsia="es-ES"/>
        </w:rPr>
        <w:t xml:space="preserve">Por su relevancia para la presente decisión, este </w:t>
      </w:r>
      <w:r w:rsidRPr="005D08AD">
        <w:rPr>
          <w:rFonts w:ascii="Times New Roman" w:hAnsi="Times New Roman" w:cs="Times New Roman"/>
          <w:bCs/>
          <w:szCs w:val="28"/>
          <w:lang w:eastAsia="es-ES"/>
        </w:rPr>
        <w:t>último e</w:t>
      </w:r>
      <w:r w:rsidRPr="005D08AD">
        <w:rPr>
          <w:rFonts w:ascii="Times New Roman" w:hAnsi="Times New Roman" w:cs="Times New Roman"/>
          <w:bCs/>
          <w:szCs w:val="28"/>
          <w:lang w:eastAsia="es-ES"/>
        </w:rPr>
        <w:t>lemento</w:t>
      </w:r>
      <w:r w:rsidRPr="005D08AD">
        <w:rPr>
          <w:rFonts w:ascii="Times New Roman" w:hAnsi="Times New Roman" w:cs="Times New Roman"/>
          <w:bCs/>
          <w:szCs w:val="28"/>
          <w:lang w:eastAsia="es-ES"/>
        </w:rPr>
        <w:t xml:space="preserve"> (el hecho generador)</w:t>
      </w:r>
      <w:r w:rsidRPr="005D08AD">
        <w:rPr>
          <w:rFonts w:ascii="Times New Roman" w:hAnsi="Times New Roman" w:cs="Times New Roman"/>
          <w:bCs/>
          <w:szCs w:val="28"/>
          <w:lang w:eastAsia="es-ES"/>
        </w:rPr>
        <w:t xml:space="preserve">, alude </w:t>
      </w:r>
      <w:r w:rsidRPr="005D08AD">
        <w:rPr>
          <w:rFonts w:ascii="Times New Roman" w:hAnsi="Times New Roman" w:cs="Times New Roman"/>
          <w:bCs/>
          <w:szCs w:val="28"/>
          <w:lang w:eastAsia="es-ES"/>
        </w:rPr>
        <w:t xml:space="preserve">en términos generales </w:t>
      </w:r>
      <w:r w:rsidRPr="005D08AD">
        <w:rPr>
          <w:rFonts w:ascii="Times New Roman" w:hAnsi="Times New Roman" w:cs="Times New Roman"/>
          <w:bCs/>
          <w:szCs w:val="28"/>
          <w:lang w:eastAsia="es-ES"/>
        </w:rPr>
        <w:t xml:space="preserve">a la </w:t>
      </w:r>
      <w:r w:rsidRPr="005D08AD">
        <w:rPr>
          <w:rFonts w:ascii="Times New Roman" w:hAnsi="Times New Roman" w:cs="Times New Roman"/>
          <w:bCs/>
          <w:i/>
          <w:iCs/>
          <w:szCs w:val="28"/>
          <w:lang w:val="es-CO" w:eastAsia="es-ES"/>
        </w:rPr>
        <w:t xml:space="preserve">situación </w:t>
      </w:r>
      <w:r w:rsidRPr="005D08AD">
        <w:rPr>
          <w:rFonts w:ascii="Times New Roman" w:hAnsi="Times New Roman" w:cs="Times New Roman"/>
          <w:bCs/>
          <w:i/>
          <w:iCs/>
          <w:szCs w:val="28"/>
          <w:lang w:val="es-CO" w:eastAsia="es-ES"/>
        </w:rPr>
        <w:t>fáctica</w:t>
      </w:r>
      <w:r w:rsidRPr="005D08AD">
        <w:rPr>
          <w:rFonts w:ascii="Times New Roman" w:hAnsi="Times New Roman" w:cs="Times New Roman"/>
          <w:bCs/>
          <w:szCs w:val="28"/>
          <w:lang w:val="es-CO" w:eastAsia="es-ES"/>
        </w:rPr>
        <w:t xml:space="preserve"> </w:t>
      </w:r>
      <w:r w:rsidRPr="005D08AD">
        <w:rPr>
          <w:rFonts w:ascii="Times New Roman" w:hAnsi="Times New Roman" w:cs="Times New Roman"/>
          <w:bCs/>
          <w:szCs w:val="28"/>
          <w:lang w:val="es-CO" w:eastAsia="es-ES"/>
        </w:rPr>
        <w:t xml:space="preserve">que la </w:t>
      </w:r>
      <w:r w:rsidRPr="005D08AD">
        <w:rPr>
          <w:rFonts w:ascii="Times New Roman" w:hAnsi="Times New Roman" w:cs="Times New Roman"/>
          <w:bCs/>
          <w:szCs w:val="28"/>
          <w:lang w:val="es-CO" w:eastAsia="es-ES"/>
        </w:rPr>
        <w:t>l</w:t>
      </w:r>
      <w:r w:rsidRPr="005D08AD">
        <w:rPr>
          <w:rFonts w:ascii="Times New Roman" w:hAnsi="Times New Roman" w:cs="Times New Roman"/>
          <w:bCs/>
          <w:szCs w:val="28"/>
          <w:lang w:val="es-CO" w:eastAsia="es-ES"/>
        </w:rPr>
        <w:t>ey establece en abst</w:t>
      </w:r>
      <w:r w:rsidRPr="005D08AD">
        <w:rPr>
          <w:rFonts w:ascii="Times New Roman" w:hAnsi="Times New Roman" w:cs="Times New Roman"/>
          <w:bCs/>
          <w:szCs w:val="28"/>
          <w:lang w:val="es-CO" w:eastAsia="es-ES"/>
        </w:rPr>
        <w:t xml:space="preserve">racto y </w:t>
      </w:r>
      <w:r w:rsidRPr="005D08AD">
        <w:rPr>
          <w:rFonts w:ascii="Times New Roman" w:hAnsi="Times New Roman" w:cs="Times New Roman"/>
          <w:bCs/>
          <w:szCs w:val="28"/>
          <w:lang w:val="es-CO" w:eastAsia="es-ES"/>
        </w:rPr>
        <w:t>cuya ocurrencia</w:t>
      </w:r>
      <w:r w:rsidRPr="005D08AD">
        <w:rPr>
          <w:rFonts w:ascii="Times New Roman" w:hAnsi="Times New Roman" w:cs="Times New Roman"/>
          <w:bCs/>
          <w:szCs w:val="28"/>
          <w:lang w:val="es-CO" w:eastAsia="es-ES"/>
        </w:rPr>
        <w:t xml:space="preserve"> determina el origen de la obligación</w:t>
      </w:r>
      <w:r w:rsidRPr="005D08AD">
        <w:rPr>
          <w:rStyle w:val="Refdenotaalpie"/>
          <w:rFonts w:ascii="Times New Roman" w:hAnsi="Times New Roman"/>
          <w:bCs/>
          <w:szCs w:val="28"/>
          <w:lang w:val="es-CO" w:eastAsia="es-ES"/>
        </w:rPr>
        <w:footnoteReference w:id="68"/>
      </w:r>
      <w:r w:rsidRPr="005D08AD">
        <w:rPr>
          <w:rFonts w:ascii="Times New Roman" w:hAnsi="Times New Roman" w:cs="Times New Roman"/>
          <w:bCs/>
          <w:szCs w:val="28"/>
          <w:lang w:val="es-CO" w:eastAsia="es-ES"/>
        </w:rPr>
        <w:t xml:space="preserve">. </w:t>
      </w:r>
      <w:r w:rsidRPr="005D08AD">
        <w:rPr>
          <w:rFonts w:ascii="Times New Roman" w:hAnsi="Times New Roman" w:cs="Times New Roman"/>
          <w:bCs/>
          <w:szCs w:val="28"/>
          <w:lang w:val="es-CO" w:eastAsia="es-ES"/>
        </w:rPr>
        <w:t>En términos de análisis e</w:t>
      </w:r>
      <w:r w:rsidRPr="005D08AD">
        <w:rPr>
          <w:rFonts w:ascii="Times New Roman" w:hAnsi="Times New Roman" w:cs="Times New Roman"/>
          <w:bCs/>
          <w:szCs w:val="28"/>
          <w:lang w:val="es-CO" w:eastAsia="es-ES"/>
        </w:rPr>
        <w:t>l</w:t>
      </w:r>
      <w:r w:rsidRPr="005D08AD">
        <w:rPr>
          <w:rFonts w:ascii="Times New Roman" w:hAnsi="Times New Roman" w:cs="Times New Roman"/>
          <w:bCs/>
          <w:szCs w:val="28"/>
          <w:lang w:val="es-CO" w:eastAsia="es-ES"/>
        </w:rPr>
        <w:t xml:space="preserve"> hecho generador</w:t>
      </w:r>
      <w:r w:rsidRPr="005D08AD">
        <w:rPr>
          <w:rFonts w:ascii="Times New Roman" w:hAnsi="Times New Roman" w:cs="Times New Roman"/>
          <w:bCs/>
          <w:szCs w:val="28"/>
          <w:lang w:val="es-CO" w:eastAsia="es-ES"/>
        </w:rPr>
        <w:t xml:space="preserve"> </w:t>
      </w:r>
      <w:r w:rsidRPr="005D08AD">
        <w:rPr>
          <w:rFonts w:ascii="Times New Roman" w:hAnsi="Times New Roman" w:cs="Times New Roman"/>
          <w:bCs/>
          <w:szCs w:val="28"/>
          <w:lang w:val="es-CO" w:eastAsia="es-ES"/>
        </w:rPr>
        <w:t>está</w:t>
      </w:r>
      <w:r w:rsidRPr="005D08AD">
        <w:rPr>
          <w:rFonts w:ascii="Times New Roman" w:hAnsi="Times New Roman" w:cs="Times New Roman"/>
          <w:bCs/>
          <w:szCs w:val="28"/>
          <w:lang w:val="es-CO" w:eastAsia="es-ES"/>
        </w:rPr>
        <w:t xml:space="preserve"> conformado</w:t>
      </w:r>
      <w:r w:rsidRPr="005D08AD">
        <w:rPr>
          <w:rFonts w:ascii="Times New Roman" w:hAnsi="Times New Roman" w:cs="Times New Roman"/>
          <w:bCs/>
          <w:szCs w:val="28"/>
          <w:lang w:val="es-CO" w:eastAsia="es-ES"/>
        </w:rPr>
        <w:t>,</w:t>
      </w:r>
      <w:r w:rsidRPr="005D08AD">
        <w:rPr>
          <w:rFonts w:ascii="Times New Roman" w:hAnsi="Times New Roman" w:cs="Times New Roman"/>
          <w:bCs/>
          <w:szCs w:val="28"/>
          <w:lang w:val="es-CO" w:eastAsia="es-ES"/>
        </w:rPr>
        <w:t xml:space="preserve"> </w:t>
      </w:r>
      <w:r w:rsidRPr="005D08AD">
        <w:rPr>
          <w:rFonts w:ascii="Times New Roman" w:hAnsi="Times New Roman" w:cs="Times New Roman"/>
          <w:bCs/>
          <w:szCs w:val="28"/>
          <w:lang w:val="es-CO" w:eastAsia="es-ES"/>
        </w:rPr>
        <w:t>a su vez</w:t>
      </w:r>
      <w:r w:rsidRPr="005D08AD">
        <w:rPr>
          <w:rFonts w:ascii="Times New Roman" w:hAnsi="Times New Roman" w:cs="Times New Roman"/>
          <w:bCs/>
          <w:szCs w:val="28"/>
          <w:lang w:val="es-CO" w:eastAsia="es-ES"/>
        </w:rPr>
        <w:t>,</w:t>
      </w:r>
      <w:r w:rsidRPr="005D08AD">
        <w:rPr>
          <w:rFonts w:ascii="Times New Roman" w:hAnsi="Times New Roman" w:cs="Times New Roman"/>
          <w:bCs/>
          <w:szCs w:val="28"/>
          <w:lang w:val="es-CO" w:eastAsia="es-ES"/>
        </w:rPr>
        <w:t xml:space="preserve"> </w:t>
      </w:r>
      <w:r w:rsidRPr="005D08AD">
        <w:rPr>
          <w:rFonts w:ascii="Times New Roman" w:hAnsi="Times New Roman" w:cs="Times New Roman"/>
          <w:bCs/>
          <w:szCs w:val="28"/>
          <w:lang w:val="es-CO" w:eastAsia="es-ES"/>
        </w:rPr>
        <w:t xml:space="preserve">por </w:t>
      </w:r>
      <w:r w:rsidRPr="005D08AD">
        <w:rPr>
          <w:rFonts w:ascii="Times New Roman" w:hAnsi="Times New Roman" w:cs="Times New Roman"/>
          <w:bCs/>
          <w:szCs w:val="28"/>
          <w:lang w:val="es-CO" w:eastAsia="es-ES"/>
        </w:rPr>
        <w:t xml:space="preserve">un elemento </w:t>
      </w:r>
      <w:r w:rsidRPr="005D08AD">
        <w:rPr>
          <w:rFonts w:ascii="Times New Roman" w:hAnsi="Times New Roman" w:cs="Times New Roman"/>
          <w:bCs/>
          <w:szCs w:val="28"/>
          <w:lang w:val="es-CO" w:eastAsia="es-ES"/>
        </w:rPr>
        <w:t>objetivo</w:t>
      </w:r>
      <w:r w:rsidRPr="005D08AD">
        <w:rPr>
          <w:rFonts w:ascii="Times New Roman" w:hAnsi="Times New Roman" w:cs="Times New Roman"/>
          <w:bCs/>
          <w:szCs w:val="28"/>
          <w:lang w:val="es-CO" w:eastAsia="es-ES"/>
        </w:rPr>
        <w:t xml:space="preserve"> y otro subjetivo</w:t>
      </w:r>
      <w:r w:rsidRPr="005D08AD">
        <w:rPr>
          <w:rStyle w:val="Refdenotaalpie"/>
          <w:rFonts w:ascii="Times New Roman" w:hAnsi="Times New Roman"/>
          <w:bCs/>
          <w:szCs w:val="28"/>
          <w:lang w:val="es-CO" w:eastAsia="es-ES"/>
        </w:rPr>
        <w:footnoteReference w:id="69"/>
      </w:r>
      <w:r w:rsidRPr="005D08AD">
        <w:rPr>
          <w:rFonts w:ascii="Times New Roman" w:hAnsi="Times New Roman" w:cs="Times New Roman"/>
          <w:bCs/>
          <w:szCs w:val="28"/>
          <w:lang w:val="es-CO" w:eastAsia="es-ES"/>
        </w:rPr>
        <w:t>.</w:t>
      </w:r>
    </w:p>
    <w:p w:rsidR="0090654A" w:rsidRPr="005D08AD" w:rsidRDefault="005D08AD" w:rsidP="005F72BB">
      <w:pPr>
        <w:contextualSpacing/>
        <w:mirrorIndents/>
        <w:rPr>
          <w:rFonts w:ascii="Times New Roman" w:hAnsi="Times New Roman" w:cs="Times New Roman"/>
          <w:bCs/>
          <w:sz w:val="28"/>
          <w:szCs w:val="28"/>
          <w:lang w:eastAsia="es-ES"/>
        </w:rPr>
      </w:pPr>
    </w:p>
    <w:p w:rsidR="0085617B" w:rsidRPr="005D08AD" w:rsidRDefault="005D08AD" w:rsidP="005F72BB">
      <w:pPr>
        <w:pStyle w:val="Prrafodelista"/>
        <w:numPr>
          <w:ilvl w:val="0"/>
          <w:numId w:val="4"/>
        </w:numPr>
        <w:spacing w:after="0" w:line="240" w:lineRule="auto"/>
        <w:mirrorIndents/>
        <w:jc w:val="both"/>
        <w:rPr>
          <w:rFonts w:ascii="Times New Roman" w:hAnsi="Times New Roman" w:cs="Times New Roman"/>
          <w:bCs/>
          <w:szCs w:val="28"/>
          <w:lang w:val="es-CO" w:eastAsia="es-ES"/>
        </w:rPr>
      </w:pPr>
      <w:r w:rsidRPr="005D08AD">
        <w:rPr>
          <w:rFonts w:ascii="Times New Roman" w:hAnsi="Times New Roman" w:cs="Times New Roman"/>
          <w:bCs/>
          <w:szCs w:val="28"/>
          <w:lang w:val="es-CO" w:eastAsia="es-ES"/>
        </w:rPr>
        <w:t>El elemento objetivo corresponde al hecho en sí mismo y se determina a partir de cuatro aspectos</w:t>
      </w:r>
      <w:r w:rsidRPr="005D08AD">
        <w:rPr>
          <w:rFonts w:ascii="Times New Roman" w:hAnsi="Times New Roman" w:cs="Times New Roman"/>
          <w:bCs/>
          <w:szCs w:val="28"/>
          <w:lang w:val="es-CO" w:eastAsia="es-ES"/>
        </w:rPr>
        <w:t>, a saber:</w:t>
      </w:r>
      <w:r w:rsidRPr="005D08AD">
        <w:rPr>
          <w:rFonts w:ascii="Times New Roman" w:hAnsi="Times New Roman" w:cs="Times New Roman"/>
          <w:bCs/>
          <w:szCs w:val="28"/>
          <w:lang w:val="es-CO" w:eastAsia="es-ES"/>
        </w:rPr>
        <w:t xml:space="preserve"> </w:t>
      </w:r>
      <w:r w:rsidRPr="005D08AD">
        <w:rPr>
          <w:rFonts w:ascii="Times New Roman" w:hAnsi="Times New Roman" w:cs="Times New Roman"/>
          <w:bCs/>
          <w:szCs w:val="28"/>
          <w:lang w:val="es-CO" w:eastAsia="es-ES"/>
        </w:rPr>
        <w:t>e</w:t>
      </w:r>
      <w:r w:rsidRPr="005D08AD">
        <w:rPr>
          <w:rFonts w:ascii="Times New Roman" w:hAnsi="Times New Roman" w:cs="Times New Roman"/>
          <w:bCs/>
          <w:szCs w:val="28"/>
          <w:lang w:val="es-CO" w:eastAsia="es-ES"/>
        </w:rPr>
        <w:t xml:space="preserve">l primero </w:t>
      </w:r>
      <w:r w:rsidRPr="005D08AD">
        <w:rPr>
          <w:rFonts w:ascii="Times New Roman" w:hAnsi="Times New Roman" w:cs="Times New Roman"/>
          <w:bCs/>
          <w:szCs w:val="28"/>
          <w:lang w:val="es-CO" w:eastAsia="es-ES"/>
        </w:rPr>
        <w:t>corresponde al</w:t>
      </w:r>
      <w:r w:rsidRPr="005D08AD">
        <w:rPr>
          <w:rFonts w:ascii="Times New Roman" w:hAnsi="Times New Roman" w:cs="Times New Roman"/>
          <w:bCs/>
          <w:szCs w:val="28"/>
          <w:lang w:val="es-CO" w:eastAsia="es-ES"/>
        </w:rPr>
        <w:t xml:space="preserve"> </w:t>
      </w:r>
      <w:r w:rsidRPr="005D08AD">
        <w:rPr>
          <w:rFonts w:ascii="Times New Roman" w:hAnsi="Times New Roman" w:cs="Times New Roman"/>
          <w:bCs/>
          <w:i/>
          <w:iCs/>
          <w:szCs w:val="28"/>
          <w:lang w:val="es-CO" w:eastAsia="es-ES"/>
        </w:rPr>
        <w:t>aspecto material</w:t>
      </w:r>
      <w:r w:rsidRPr="005D08AD">
        <w:rPr>
          <w:rFonts w:ascii="Times New Roman" w:hAnsi="Times New Roman" w:cs="Times New Roman"/>
          <w:bCs/>
          <w:szCs w:val="28"/>
          <w:lang w:val="es-CO" w:eastAsia="es-ES"/>
        </w:rPr>
        <w:t xml:space="preserve">, que consiste en la descripción abstracta del hecho, el cual puede ser un acto, un negocio jurídico, un estado o una situación de una persona. El segundo es el </w:t>
      </w:r>
      <w:r w:rsidRPr="005D08AD">
        <w:rPr>
          <w:rFonts w:ascii="Times New Roman" w:hAnsi="Times New Roman" w:cs="Times New Roman"/>
          <w:bCs/>
          <w:i/>
          <w:iCs/>
          <w:szCs w:val="28"/>
          <w:lang w:val="es-CO" w:eastAsia="es-ES"/>
        </w:rPr>
        <w:t>aspecto espacial</w:t>
      </w:r>
      <w:r w:rsidRPr="005D08AD">
        <w:rPr>
          <w:rFonts w:ascii="Times New Roman" w:hAnsi="Times New Roman" w:cs="Times New Roman"/>
          <w:bCs/>
          <w:szCs w:val="28"/>
          <w:lang w:val="es-CO" w:eastAsia="es-ES"/>
        </w:rPr>
        <w:t>, que alude al vínculo entre un ámbito territorial específico y la ocurrencia d</w:t>
      </w:r>
      <w:r w:rsidRPr="005D08AD">
        <w:rPr>
          <w:rFonts w:ascii="Times New Roman" w:hAnsi="Times New Roman" w:cs="Times New Roman"/>
          <w:bCs/>
          <w:szCs w:val="28"/>
          <w:lang w:val="es-CO" w:eastAsia="es-ES"/>
        </w:rPr>
        <w:t xml:space="preserve">el hecho gravable. El tercer aspecto es el </w:t>
      </w:r>
      <w:r w:rsidRPr="005D08AD">
        <w:rPr>
          <w:rFonts w:ascii="Times New Roman" w:hAnsi="Times New Roman" w:cs="Times New Roman"/>
          <w:bCs/>
          <w:i/>
          <w:iCs/>
          <w:szCs w:val="28"/>
          <w:lang w:val="es-CO" w:eastAsia="es-ES"/>
        </w:rPr>
        <w:t>temporal</w:t>
      </w:r>
      <w:r w:rsidRPr="005D08AD">
        <w:rPr>
          <w:rFonts w:ascii="Times New Roman" w:hAnsi="Times New Roman" w:cs="Times New Roman"/>
          <w:bCs/>
          <w:szCs w:val="28"/>
          <w:lang w:val="es-CO" w:eastAsia="es-ES"/>
        </w:rPr>
        <w:t xml:space="preserve">, que indica el momento en </w:t>
      </w:r>
      <w:r w:rsidRPr="005D08AD">
        <w:rPr>
          <w:rFonts w:ascii="Times New Roman" w:hAnsi="Times New Roman" w:cs="Times New Roman"/>
          <w:bCs/>
          <w:szCs w:val="28"/>
          <w:lang w:val="es-CO" w:eastAsia="es-ES"/>
        </w:rPr>
        <w:t xml:space="preserve">el </w:t>
      </w:r>
      <w:r w:rsidRPr="005D08AD">
        <w:rPr>
          <w:rFonts w:ascii="Times New Roman" w:hAnsi="Times New Roman" w:cs="Times New Roman"/>
          <w:bCs/>
          <w:szCs w:val="28"/>
          <w:lang w:val="es-CO" w:eastAsia="es-ES"/>
        </w:rPr>
        <w:t xml:space="preserve">que ocurre el hecho gravable y, por tanto, cuándo nace la obligación y cuándo resulta exigible. El cuarto es el aspecto </w:t>
      </w:r>
      <w:r w:rsidRPr="005D08AD">
        <w:rPr>
          <w:rFonts w:ascii="Times New Roman" w:hAnsi="Times New Roman" w:cs="Times New Roman"/>
          <w:bCs/>
          <w:i/>
          <w:iCs/>
          <w:szCs w:val="28"/>
          <w:lang w:val="es-CO" w:eastAsia="es-ES"/>
        </w:rPr>
        <w:t>cuantitativo</w:t>
      </w:r>
      <w:r w:rsidRPr="005D08AD">
        <w:rPr>
          <w:rFonts w:ascii="Times New Roman" w:hAnsi="Times New Roman" w:cs="Times New Roman"/>
          <w:bCs/>
          <w:szCs w:val="28"/>
          <w:lang w:val="es-CO" w:eastAsia="es-ES"/>
        </w:rPr>
        <w:t>, que corresponde a la magnitud del hecho g</w:t>
      </w:r>
      <w:r w:rsidRPr="005D08AD">
        <w:rPr>
          <w:rFonts w:ascii="Times New Roman" w:hAnsi="Times New Roman" w:cs="Times New Roman"/>
          <w:bCs/>
          <w:szCs w:val="28"/>
          <w:lang w:val="es-CO" w:eastAsia="es-ES"/>
        </w:rPr>
        <w:t xml:space="preserve">enerador. </w:t>
      </w:r>
      <w:r w:rsidRPr="005D08AD">
        <w:rPr>
          <w:rFonts w:ascii="Times New Roman" w:hAnsi="Times New Roman" w:cs="Times New Roman"/>
          <w:bCs/>
          <w:szCs w:val="28"/>
          <w:lang w:val="es-CO" w:eastAsia="es-ES"/>
        </w:rPr>
        <w:t>Por su parte, el elemento subjetivo</w:t>
      </w:r>
      <w:r w:rsidRPr="005D08AD">
        <w:rPr>
          <w:rFonts w:ascii="Times New Roman" w:hAnsi="Times New Roman" w:cs="Times New Roman"/>
          <w:bCs/>
          <w:szCs w:val="28"/>
          <w:lang w:val="es-CO" w:eastAsia="es-ES"/>
        </w:rPr>
        <w:t>, se refiere a la conexidad del hecho con el sujeto.</w:t>
      </w:r>
    </w:p>
    <w:p w:rsidR="0085617B" w:rsidRPr="005D08AD" w:rsidRDefault="005D08AD" w:rsidP="005F72BB">
      <w:pPr>
        <w:pStyle w:val="Prrafodelista"/>
        <w:spacing w:after="0" w:line="240" w:lineRule="auto"/>
        <w:ind w:left="0"/>
        <w:mirrorIndents/>
        <w:rPr>
          <w:rFonts w:ascii="Times New Roman" w:hAnsi="Times New Roman" w:cs="Times New Roman"/>
          <w:bCs/>
          <w:szCs w:val="28"/>
          <w:lang w:val="es-CO" w:eastAsia="es-ES"/>
        </w:rPr>
      </w:pPr>
    </w:p>
    <w:p w:rsidR="006B0293" w:rsidRPr="005D08AD" w:rsidRDefault="005D08AD" w:rsidP="005F72BB">
      <w:pPr>
        <w:pStyle w:val="Prrafodelista"/>
        <w:numPr>
          <w:ilvl w:val="0"/>
          <w:numId w:val="4"/>
        </w:numPr>
        <w:spacing w:after="0" w:line="240" w:lineRule="auto"/>
        <w:mirrorIndents/>
        <w:jc w:val="both"/>
        <w:rPr>
          <w:rFonts w:ascii="Times New Roman" w:hAnsi="Times New Roman" w:cs="Times New Roman"/>
          <w:bCs/>
          <w:szCs w:val="28"/>
          <w:lang w:val="es-CO" w:eastAsia="es-ES"/>
        </w:rPr>
      </w:pPr>
      <w:r w:rsidRPr="005D08AD">
        <w:rPr>
          <w:rFonts w:ascii="Times New Roman" w:hAnsi="Times New Roman" w:cs="Times New Roman"/>
          <w:bCs/>
          <w:szCs w:val="28"/>
          <w:lang w:val="es-CO" w:eastAsia="es-ES"/>
        </w:rPr>
        <w:t>El conjunto de estos elementos permite establecer el nacimiento de la obligación tributaria</w:t>
      </w:r>
      <w:r w:rsidRPr="005D08AD">
        <w:rPr>
          <w:rFonts w:ascii="Times New Roman" w:hAnsi="Times New Roman" w:cs="Times New Roman"/>
          <w:bCs/>
          <w:szCs w:val="28"/>
          <w:lang w:val="es-CO" w:eastAsia="es-ES"/>
        </w:rPr>
        <w:t xml:space="preserve"> a partir de</w:t>
      </w:r>
      <w:r w:rsidRPr="005D08AD">
        <w:rPr>
          <w:rFonts w:ascii="Times New Roman" w:hAnsi="Times New Roman" w:cs="Times New Roman"/>
          <w:bCs/>
          <w:szCs w:val="28"/>
          <w:lang w:val="es-CO" w:eastAsia="es-ES"/>
        </w:rPr>
        <w:t>l concepto de “hecho generador”</w:t>
      </w:r>
      <w:r w:rsidRPr="005D08AD">
        <w:rPr>
          <w:rFonts w:ascii="Times New Roman" w:hAnsi="Times New Roman" w:cs="Times New Roman"/>
          <w:bCs/>
          <w:szCs w:val="28"/>
          <w:lang w:val="es-CO" w:eastAsia="es-ES"/>
        </w:rPr>
        <w:t xml:space="preserve">. No obstante, ello no </w:t>
      </w:r>
      <w:r w:rsidRPr="005D08AD">
        <w:rPr>
          <w:rFonts w:ascii="Times New Roman" w:hAnsi="Times New Roman" w:cs="Times New Roman"/>
          <w:bCs/>
          <w:szCs w:val="28"/>
          <w:lang w:val="es-CO" w:eastAsia="es-ES"/>
        </w:rPr>
        <w:t>implica que deban estar siempre determinados de manera expresa en la norma</w:t>
      </w:r>
      <w:r w:rsidRPr="005D08AD">
        <w:rPr>
          <w:rStyle w:val="Refdenotaalpie"/>
          <w:rFonts w:ascii="Times New Roman" w:hAnsi="Times New Roman"/>
          <w:bCs/>
          <w:szCs w:val="28"/>
          <w:lang w:val="es-CO" w:eastAsia="es-ES"/>
        </w:rPr>
        <w:footnoteReference w:id="70"/>
      </w:r>
      <w:r w:rsidRPr="005D08AD">
        <w:rPr>
          <w:rFonts w:ascii="Times New Roman" w:hAnsi="Times New Roman" w:cs="Times New Roman"/>
          <w:bCs/>
          <w:szCs w:val="28"/>
          <w:lang w:val="es-CO" w:eastAsia="es-ES"/>
        </w:rPr>
        <w:t>.</w:t>
      </w:r>
      <w:r w:rsidRPr="005D08AD">
        <w:rPr>
          <w:rFonts w:ascii="Times New Roman" w:hAnsi="Times New Roman" w:cs="Times New Roman"/>
          <w:bCs/>
          <w:szCs w:val="28"/>
          <w:lang w:val="es-CO" w:eastAsia="es-ES"/>
        </w:rPr>
        <w:t xml:space="preserve"> </w:t>
      </w:r>
      <w:r w:rsidRPr="005D08AD">
        <w:rPr>
          <w:rFonts w:ascii="Times New Roman" w:hAnsi="Times New Roman" w:cs="Times New Roman"/>
          <w:bCs/>
          <w:szCs w:val="28"/>
          <w:lang w:val="es-CO" w:eastAsia="es-ES"/>
        </w:rPr>
        <w:t xml:space="preserve">En efecto, </w:t>
      </w:r>
      <w:r w:rsidRPr="005D08AD">
        <w:rPr>
          <w:rFonts w:ascii="Times New Roman" w:hAnsi="Times New Roman" w:cs="Times New Roman"/>
          <w:bCs/>
          <w:szCs w:val="28"/>
          <w:lang w:val="es-CO" w:eastAsia="es-ES"/>
        </w:rPr>
        <w:t>de acuerdo con lo explicado en el capítulo anterior,</w:t>
      </w:r>
      <w:r w:rsidRPr="005D08AD">
        <w:rPr>
          <w:rFonts w:ascii="Times New Roman" w:hAnsi="Times New Roman" w:cs="Times New Roman"/>
          <w:bCs/>
          <w:szCs w:val="28"/>
          <w:lang w:val="es-CO" w:eastAsia="es-ES"/>
        </w:rPr>
        <w:t xml:space="preserve"> lo relevante</w:t>
      </w:r>
      <w:r w:rsidRPr="005D08AD">
        <w:rPr>
          <w:rFonts w:ascii="Times New Roman" w:hAnsi="Times New Roman" w:cs="Times New Roman"/>
          <w:bCs/>
          <w:szCs w:val="28"/>
          <w:lang w:val="es-CO" w:eastAsia="es-ES"/>
        </w:rPr>
        <w:t xml:space="preserve"> para efectos del presente análisis,</w:t>
      </w:r>
      <w:r w:rsidRPr="005D08AD">
        <w:rPr>
          <w:rFonts w:ascii="Times New Roman" w:hAnsi="Times New Roman" w:cs="Times New Roman"/>
          <w:bCs/>
          <w:szCs w:val="28"/>
          <w:lang w:val="es-CO" w:eastAsia="es-ES"/>
        </w:rPr>
        <w:t xml:space="preserve"> es que la norma permita </w:t>
      </w:r>
      <w:r w:rsidRPr="005D08AD">
        <w:rPr>
          <w:rFonts w:ascii="Times New Roman" w:hAnsi="Times New Roman" w:cs="Times New Roman"/>
          <w:bCs/>
          <w:szCs w:val="28"/>
          <w:lang w:val="es-CO" w:eastAsia="es-ES"/>
        </w:rPr>
        <w:t>definir los hechos o circunstancias que da</w:t>
      </w:r>
      <w:r w:rsidRPr="005D08AD">
        <w:rPr>
          <w:rFonts w:ascii="Times New Roman" w:hAnsi="Times New Roman" w:cs="Times New Roman"/>
          <w:bCs/>
          <w:szCs w:val="28"/>
          <w:lang w:val="es-CO" w:eastAsia="es-ES"/>
        </w:rPr>
        <w:t>n origen al tributo, así como las referencias objetivas que permiten acreditar la capacidad contributiva de los potenciales obligados, ya sea a partir de su tenor literal o mediante el uso de</w:t>
      </w:r>
      <w:r w:rsidRPr="005D08AD">
        <w:rPr>
          <w:rFonts w:ascii="Times New Roman" w:hAnsi="Times New Roman" w:cs="Times New Roman"/>
          <w:bCs/>
          <w:szCs w:val="28"/>
          <w:lang w:val="es-CO" w:eastAsia="es-ES"/>
        </w:rPr>
        <w:t xml:space="preserve"> las refe</w:t>
      </w:r>
      <w:r w:rsidRPr="005D08AD">
        <w:rPr>
          <w:rFonts w:ascii="Times New Roman" w:hAnsi="Times New Roman" w:cs="Times New Roman"/>
          <w:bCs/>
          <w:szCs w:val="28"/>
          <w:lang w:val="es-CO" w:eastAsia="es-ES"/>
        </w:rPr>
        <w:t>ridas</w:t>
      </w:r>
      <w:r w:rsidRPr="005D08AD">
        <w:rPr>
          <w:rFonts w:ascii="Times New Roman" w:hAnsi="Times New Roman" w:cs="Times New Roman"/>
          <w:bCs/>
          <w:szCs w:val="28"/>
          <w:lang w:val="es-CO" w:eastAsia="es-ES"/>
        </w:rPr>
        <w:t xml:space="preserve"> herramientas hermenéuticas</w:t>
      </w:r>
      <w:r w:rsidRPr="005D08AD">
        <w:rPr>
          <w:rStyle w:val="Refdenotaalpie"/>
          <w:rFonts w:ascii="Times New Roman" w:hAnsi="Times New Roman"/>
          <w:bCs/>
          <w:szCs w:val="28"/>
          <w:lang w:val="es-CO" w:eastAsia="es-ES"/>
        </w:rPr>
        <w:footnoteReference w:id="71"/>
      </w:r>
      <w:r w:rsidRPr="005D08AD">
        <w:rPr>
          <w:rFonts w:ascii="Times New Roman" w:hAnsi="Times New Roman" w:cs="Times New Roman"/>
          <w:bCs/>
          <w:szCs w:val="28"/>
          <w:lang w:val="es-CO" w:eastAsia="es-ES"/>
        </w:rPr>
        <w:t>.</w:t>
      </w:r>
      <w:r w:rsidRPr="005D08AD">
        <w:rPr>
          <w:rFonts w:ascii="Times New Roman" w:hAnsi="Times New Roman" w:cs="Times New Roman"/>
          <w:bCs/>
          <w:szCs w:val="28"/>
          <w:lang w:val="es-CO" w:eastAsia="es-ES"/>
        </w:rPr>
        <w:t xml:space="preserve"> </w:t>
      </w:r>
    </w:p>
    <w:p w:rsidR="00FE3C0D" w:rsidRPr="005D08AD" w:rsidRDefault="005D08AD" w:rsidP="005F72BB">
      <w:pPr>
        <w:contextualSpacing/>
        <w:mirrorIndents/>
        <w:rPr>
          <w:rFonts w:ascii="Times New Roman" w:hAnsi="Times New Roman" w:cs="Times New Roman"/>
          <w:bCs/>
          <w:sz w:val="28"/>
          <w:szCs w:val="28"/>
          <w:lang w:eastAsia="es-ES"/>
        </w:rPr>
      </w:pPr>
    </w:p>
    <w:p w:rsidR="007555FC" w:rsidRPr="005D08AD" w:rsidRDefault="005D08AD" w:rsidP="005F72BB">
      <w:pPr>
        <w:pStyle w:val="Prrafodelista"/>
        <w:numPr>
          <w:ilvl w:val="0"/>
          <w:numId w:val="4"/>
        </w:numPr>
        <w:spacing w:after="0" w:line="240" w:lineRule="auto"/>
        <w:mirrorIndents/>
        <w:jc w:val="both"/>
        <w:rPr>
          <w:rFonts w:ascii="Times New Roman" w:hAnsi="Times New Roman" w:cs="Times New Roman"/>
          <w:bCs/>
          <w:szCs w:val="28"/>
          <w:lang w:val="es-CO" w:eastAsia="es-ES"/>
        </w:rPr>
      </w:pPr>
      <w:r w:rsidRPr="005D08AD">
        <w:rPr>
          <w:rFonts w:ascii="Times New Roman" w:hAnsi="Times New Roman" w:cs="Times New Roman"/>
          <w:bCs/>
          <w:szCs w:val="28"/>
          <w:lang w:val="es-CO" w:eastAsia="es-ES"/>
        </w:rPr>
        <w:t>En síntesis,</w:t>
      </w:r>
      <w:r w:rsidRPr="005D08AD">
        <w:rPr>
          <w:rFonts w:ascii="Times New Roman" w:hAnsi="Times New Roman" w:cs="Times New Roman"/>
          <w:bCs/>
          <w:szCs w:val="28"/>
          <w:lang w:val="es-CO" w:eastAsia="es-ES"/>
        </w:rPr>
        <w:t xml:space="preserve"> </w:t>
      </w:r>
      <w:r w:rsidRPr="005D08AD">
        <w:rPr>
          <w:rFonts w:ascii="Times New Roman" w:hAnsi="Times New Roman" w:cs="Times New Roman"/>
          <w:bCs/>
          <w:szCs w:val="28"/>
          <w:lang w:val="es-CO" w:eastAsia="es-ES"/>
        </w:rPr>
        <w:t>el hec</w:t>
      </w:r>
      <w:r w:rsidRPr="005D08AD">
        <w:rPr>
          <w:rFonts w:ascii="Times New Roman" w:hAnsi="Times New Roman" w:cs="Times New Roman"/>
          <w:bCs/>
          <w:szCs w:val="28"/>
          <w:lang w:val="es-CO" w:eastAsia="es-ES"/>
        </w:rPr>
        <w:t xml:space="preserve">ho generador </w:t>
      </w:r>
      <w:r w:rsidRPr="005D08AD">
        <w:rPr>
          <w:rFonts w:ascii="Times New Roman" w:hAnsi="Times New Roman" w:cs="Times New Roman"/>
          <w:bCs/>
          <w:szCs w:val="28"/>
          <w:lang w:val="es-CO" w:eastAsia="es-ES"/>
        </w:rPr>
        <w:t xml:space="preserve">responde </w:t>
      </w:r>
      <w:r w:rsidRPr="005D08AD">
        <w:rPr>
          <w:rFonts w:ascii="Times New Roman" w:hAnsi="Times New Roman" w:cs="Times New Roman"/>
          <w:bCs/>
          <w:szCs w:val="28"/>
          <w:lang w:val="es-CO" w:eastAsia="es-ES"/>
        </w:rPr>
        <w:t xml:space="preserve">al supuesto fáctico previsto en abstracto por la ley cuya realización da nacimiento a la obligación </w:t>
      </w:r>
      <w:r w:rsidRPr="005D08AD">
        <w:rPr>
          <w:rFonts w:ascii="Times New Roman" w:hAnsi="Times New Roman" w:cs="Times New Roman"/>
          <w:bCs/>
          <w:szCs w:val="28"/>
          <w:lang w:val="es-CO" w:eastAsia="es-ES"/>
        </w:rPr>
        <w:t>tributaria sustancial</w:t>
      </w:r>
      <w:r w:rsidRPr="005D08AD">
        <w:rPr>
          <w:rFonts w:ascii="Times New Roman" w:hAnsi="Times New Roman" w:cs="Times New Roman"/>
          <w:bCs/>
          <w:szCs w:val="28"/>
          <w:lang w:val="es-CO" w:eastAsia="es-ES"/>
        </w:rPr>
        <w:t xml:space="preserve"> y </w:t>
      </w:r>
      <w:r w:rsidRPr="005D08AD">
        <w:rPr>
          <w:rFonts w:ascii="Times New Roman" w:hAnsi="Times New Roman" w:cs="Times New Roman"/>
          <w:bCs/>
          <w:szCs w:val="28"/>
          <w:lang w:val="es-CO" w:eastAsia="es-ES"/>
        </w:rPr>
        <w:t>está</w:t>
      </w:r>
      <w:r w:rsidRPr="005D08AD">
        <w:rPr>
          <w:rFonts w:ascii="Times New Roman" w:hAnsi="Times New Roman" w:cs="Times New Roman"/>
          <w:bCs/>
          <w:szCs w:val="28"/>
          <w:lang w:val="es-CO" w:eastAsia="es-ES"/>
        </w:rPr>
        <w:t xml:space="preserve"> conformado por dos elementos uno objetivo y otro subjetiv</w:t>
      </w:r>
      <w:r w:rsidRPr="005D08AD">
        <w:rPr>
          <w:rFonts w:ascii="Times New Roman" w:hAnsi="Times New Roman" w:cs="Times New Roman"/>
          <w:bCs/>
          <w:szCs w:val="28"/>
          <w:lang w:val="es-CO" w:eastAsia="es-ES"/>
        </w:rPr>
        <w:t>o</w:t>
      </w:r>
      <w:r w:rsidRPr="005D08AD">
        <w:rPr>
          <w:rFonts w:ascii="Times New Roman" w:hAnsi="Times New Roman" w:cs="Times New Roman"/>
          <w:bCs/>
          <w:szCs w:val="28"/>
          <w:lang w:val="es-CO" w:eastAsia="es-ES"/>
        </w:rPr>
        <w:t xml:space="preserve">. </w:t>
      </w:r>
      <w:r w:rsidRPr="005D08AD">
        <w:rPr>
          <w:rFonts w:ascii="Times New Roman" w:hAnsi="Times New Roman" w:cs="Times New Roman"/>
          <w:bCs/>
          <w:szCs w:val="28"/>
          <w:lang w:val="es-CO" w:eastAsia="es-ES"/>
        </w:rPr>
        <w:t xml:space="preserve">La validez constitucional del tributo no depende de que cada uno de esos aspectos aparezca siempre formulado de manera expresa en la ley, sino </w:t>
      </w:r>
      <w:r w:rsidRPr="005D08AD">
        <w:rPr>
          <w:rFonts w:ascii="Times New Roman" w:hAnsi="Times New Roman" w:cs="Times New Roman"/>
          <w:bCs/>
          <w:szCs w:val="28"/>
          <w:lang w:val="es-CO" w:eastAsia="es-ES"/>
        </w:rPr>
        <w:t>que sea posible</w:t>
      </w:r>
      <w:r w:rsidRPr="005D08AD">
        <w:rPr>
          <w:rFonts w:ascii="Times New Roman" w:hAnsi="Times New Roman" w:cs="Times New Roman"/>
          <w:bCs/>
          <w:szCs w:val="28"/>
          <w:lang w:val="es-CO" w:eastAsia="es-ES"/>
        </w:rPr>
        <w:t xml:space="preserve"> establecer las circunstancias </w:t>
      </w:r>
      <w:r w:rsidRPr="005D08AD">
        <w:rPr>
          <w:rFonts w:ascii="Times New Roman" w:hAnsi="Times New Roman" w:cs="Times New Roman"/>
          <w:bCs/>
          <w:szCs w:val="28"/>
          <w:lang w:val="es-CO" w:eastAsia="es-ES"/>
        </w:rPr>
        <w:t xml:space="preserve">objetivas </w:t>
      </w:r>
      <w:r w:rsidRPr="005D08AD">
        <w:rPr>
          <w:rFonts w:ascii="Times New Roman" w:hAnsi="Times New Roman" w:cs="Times New Roman"/>
          <w:bCs/>
          <w:szCs w:val="28"/>
          <w:lang w:val="es-CO" w:eastAsia="es-ES"/>
        </w:rPr>
        <w:t>que originan la obligación tributaria</w:t>
      </w:r>
      <w:r w:rsidRPr="005D08AD">
        <w:rPr>
          <w:rFonts w:ascii="Times New Roman" w:hAnsi="Times New Roman" w:cs="Times New Roman"/>
          <w:bCs/>
          <w:szCs w:val="28"/>
          <w:lang w:val="es-CO" w:eastAsia="es-ES"/>
        </w:rPr>
        <w:t xml:space="preserve">, </w:t>
      </w:r>
      <w:r w:rsidRPr="005D08AD">
        <w:rPr>
          <w:rFonts w:ascii="Times New Roman" w:hAnsi="Times New Roman" w:cs="Times New Roman"/>
          <w:bCs/>
          <w:szCs w:val="28"/>
          <w:lang w:val="es-CO" w:eastAsia="es-ES"/>
        </w:rPr>
        <w:t>sea a partir de su</w:t>
      </w:r>
      <w:r w:rsidRPr="005D08AD">
        <w:rPr>
          <w:rFonts w:ascii="Times New Roman" w:hAnsi="Times New Roman" w:cs="Times New Roman"/>
          <w:bCs/>
          <w:szCs w:val="28"/>
          <w:lang w:val="es-CO" w:eastAsia="es-ES"/>
        </w:rPr>
        <w:t xml:space="preserve"> tenor literal </w:t>
      </w:r>
      <w:r w:rsidRPr="005D08AD">
        <w:rPr>
          <w:rFonts w:ascii="Times New Roman" w:hAnsi="Times New Roman" w:cs="Times New Roman"/>
          <w:bCs/>
          <w:szCs w:val="28"/>
          <w:lang w:val="es-CO" w:eastAsia="es-ES"/>
        </w:rPr>
        <w:t xml:space="preserve">y expreso </w:t>
      </w:r>
      <w:r w:rsidRPr="005D08AD">
        <w:rPr>
          <w:rFonts w:ascii="Times New Roman" w:hAnsi="Times New Roman" w:cs="Times New Roman"/>
          <w:bCs/>
          <w:szCs w:val="28"/>
          <w:lang w:val="es-CO" w:eastAsia="es-ES"/>
        </w:rPr>
        <w:t>o mediante las herramientas ordinarias de interpretación jurídica.</w:t>
      </w:r>
    </w:p>
    <w:p w:rsidR="00FD6698" w:rsidRPr="005D08AD" w:rsidRDefault="005D08AD" w:rsidP="005F72BB">
      <w:pPr>
        <w:contextualSpacing/>
        <w:mirrorIndents/>
        <w:rPr>
          <w:rFonts w:ascii="Times New Roman" w:hAnsi="Times New Roman" w:cs="Times New Roman"/>
          <w:bCs/>
          <w:sz w:val="28"/>
        </w:rPr>
      </w:pPr>
    </w:p>
    <w:p w:rsidR="00241E17" w:rsidRPr="005D08AD" w:rsidRDefault="005D08AD" w:rsidP="005F72BB">
      <w:pPr>
        <w:pStyle w:val="Prrafodelista"/>
        <w:numPr>
          <w:ilvl w:val="0"/>
          <w:numId w:val="8"/>
        </w:numPr>
        <w:spacing w:after="0" w:line="240" w:lineRule="auto"/>
        <w:ind w:left="0" w:firstLine="0"/>
        <w:mirrorIndents/>
        <w:jc w:val="both"/>
        <w:outlineLvl w:val="2"/>
        <w:rPr>
          <w:rFonts w:ascii="Times New Roman" w:hAnsi="Times New Roman" w:cs="Times New Roman"/>
          <w:b/>
          <w:bCs/>
          <w:szCs w:val="28"/>
          <w:shd w:val="clear" w:color="auto" w:fill="FFFFFF"/>
        </w:rPr>
      </w:pPr>
      <w:r w:rsidRPr="005D08AD">
        <w:rPr>
          <w:rFonts w:ascii="Times New Roman" w:hAnsi="Times New Roman" w:cs="Times New Roman"/>
          <w:b/>
          <w:bCs/>
          <w:szCs w:val="28"/>
          <w:shd w:val="clear" w:color="auto" w:fill="FFFFFF"/>
        </w:rPr>
        <w:t xml:space="preserve">El </w:t>
      </w:r>
      <w:r w:rsidRPr="005D08AD">
        <w:rPr>
          <w:rFonts w:ascii="Times New Roman" w:hAnsi="Times New Roman" w:cs="Times New Roman"/>
          <w:b/>
          <w:bCs/>
          <w:i/>
          <w:iCs/>
          <w:szCs w:val="28"/>
          <w:shd w:val="clear" w:color="auto" w:fill="FFFFFF"/>
        </w:rPr>
        <w:t>hecho</w:t>
      </w:r>
      <w:r w:rsidRPr="005D08AD">
        <w:rPr>
          <w:rFonts w:ascii="Times New Roman" w:hAnsi="Times New Roman" w:cs="Times New Roman"/>
          <w:b/>
          <w:bCs/>
          <w:i/>
          <w:iCs/>
          <w:szCs w:val="28"/>
          <w:shd w:val="clear" w:color="auto" w:fill="FFFFFF"/>
        </w:rPr>
        <w:t xml:space="preserve"> generador</w:t>
      </w:r>
      <w:r w:rsidRPr="005D08AD">
        <w:rPr>
          <w:rFonts w:ascii="Times New Roman" w:hAnsi="Times New Roman" w:cs="Times New Roman"/>
          <w:b/>
          <w:bCs/>
          <w:szCs w:val="28"/>
          <w:shd w:val="clear" w:color="auto" w:fill="FFFFFF"/>
        </w:rPr>
        <w:t xml:space="preserve"> del impuesto social a las municiones y explosivos</w:t>
      </w:r>
      <w:r w:rsidRPr="005D08AD">
        <w:rPr>
          <w:rFonts w:ascii="Times New Roman" w:hAnsi="Times New Roman" w:cs="Times New Roman"/>
          <w:b/>
          <w:bCs/>
          <w:szCs w:val="28"/>
          <w:shd w:val="clear" w:color="auto" w:fill="FFFFFF"/>
        </w:rPr>
        <w:t xml:space="preserve"> es </w:t>
      </w:r>
      <w:r w:rsidRPr="005D08AD">
        <w:rPr>
          <w:rFonts w:ascii="Times New Roman" w:hAnsi="Times New Roman" w:cs="Times New Roman"/>
          <w:b/>
          <w:bCs/>
          <w:i/>
          <w:iCs/>
          <w:szCs w:val="28"/>
          <w:shd w:val="clear" w:color="auto" w:fill="FFFFFF"/>
        </w:rPr>
        <w:t xml:space="preserve">determinable </w:t>
      </w:r>
    </w:p>
    <w:p w:rsidR="00064DB3" w:rsidRPr="005D08AD" w:rsidRDefault="005D08AD" w:rsidP="005F72BB">
      <w:pPr>
        <w:pStyle w:val="Prrafodelista"/>
        <w:spacing w:after="0" w:line="240" w:lineRule="auto"/>
        <w:ind w:left="0"/>
        <w:mirrorIndents/>
        <w:jc w:val="both"/>
        <w:rPr>
          <w:rFonts w:ascii="Times New Roman" w:hAnsi="Times New Roman" w:cs="Times New Roman"/>
          <w:shd w:val="clear" w:color="auto" w:fill="FFFFFF"/>
        </w:rPr>
      </w:pPr>
    </w:p>
    <w:p w:rsidR="00241E17" w:rsidRPr="005D08AD" w:rsidRDefault="005D08AD" w:rsidP="005F72BB">
      <w:pPr>
        <w:pStyle w:val="Prrafodelista"/>
        <w:numPr>
          <w:ilvl w:val="0"/>
          <w:numId w:val="4"/>
        </w:numPr>
        <w:spacing w:after="0" w:line="240" w:lineRule="auto"/>
        <w:mirrorIndents/>
        <w:jc w:val="both"/>
        <w:rPr>
          <w:rFonts w:ascii="Times New Roman" w:hAnsi="Times New Roman" w:cs="Times New Roman"/>
          <w:b/>
          <w:bCs/>
          <w:szCs w:val="28"/>
          <w:shd w:val="clear" w:color="auto" w:fill="FFFFFF"/>
        </w:rPr>
      </w:pPr>
      <w:r w:rsidRPr="005D08AD">
        <w:rPr>
          <w:rFonts w:ascii="Times New Roman" w:hAnsi="Times New Roman" w:cs="Times New Roman"/>
          <w:szCs w:val="28"/>
          <w:shd w:val="clear" w:color="auto" w:fill="FFFFFF"/>
        </w:rPr>
        <w:t>De acuerdo con lo expuesto,</w:t>
      </w:r>
      <w:r w:rsidRPr="005D08AD">
        <w:rPr>
          <w:rFonts w:ascii="Times New Roman" w:hAnsi="Times New Roman" w:cs="Times New Roman"/>
          <w:szCs w:val="28"/>
          <w:shd w:val="clear" w:color="auto" w:fill="FFFFFF"/>
        </w:rPr>
        <w:t xml:space="preserve"> corresponde a la </w:t>
      </w:r>
      <w:r w:rsidRPr="005D08AD">
        <w:rPr>
          <w:rFonts w:ascii="Times New Roman" w:hAnsi="Times New Roman" w:cs="Times New Roman"/>
          <w:szCs w:val="28"/>
          <w:shd w:val="clear" w:color="auto" w:fill="FFFFFF"/>
        </w:rPr>
        <w:t>Sala</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Plena</w:t>
      </w:r>
      <w:r w:rsidRPr="005D08AD">
        <w:rPr>
          <w:rFonts w:ascii="Times New Roman" w:hAnsi="Times New Roman" w:cs="Times New Roman"/>
          <w:szCs w:val="28"/>
          <w:shd w:val="clear" w:color="auto" w:fill="FFFFFF"/>
        </w:rPr>
        <w:t xml:space="preserve"> analizar</w:t>
      </w:r>
      <w:r w:rsidRPr="005D08AD">
        <w:rPr>
          <w:rFonts w:ascii="Times New Roman" w:hAnsi="Times New Roman" w:cs="Times New Roman"/>
          <w:szCs w:val="28"/>
          <w:shd w:val="clear" w:color="auto" w:fill="FFFFFF"/>
        </w:rPr>
        <w:t xml:space="preserve"> si el impuesto social de municiones y explosivos</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cumple con la determinación del hecho generador en los términos que ha previsto la jurisprudencia constitucional</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De </w:t>
      </w:r>
      <w:r w:rsidRPr="005D08AD">
        <w:rPr>
          <w:rFonts w:ascii="Times New Roman" w:hAnsi="Times New Roman" w:cs="Times New Roman"/>
          <w:szCs w:val="28"/>
          <w:shd w:val="clear" w:color="auto" w:fill="FFFFFF"/>
        </w:rPr>
        <w:t>acuerdo con</w:t>
      </w:r>
      <w:r w:rsidRPr="005D08AD">
        <w:rPr>
          <w:rFonts w:ascii="Times New Roman" w:hAnsi="Times New Roman" w:cs="Times New Roman"/>
          <w:szCs w:val="28"/>
          <w:shd w:val="clear" w:color="auto" w:fill="FFFFFF"/>
        </w:rPr>
        <w:t xml:space="preserve"> la demanda y</w:t>
      </w:r>
      <w:r w:rsidRPr="005D08AD">
        <w:rPr>
          <w:rFonts w:ascii="Times New Roman" w:hAnsi="Times New Roman" w:cs="Times New Roman"/>
          <w:szCs w:val="28"/>
          <w:shd w:val="clear" w:color="auto" w:fill="FFFFFF"/>
        </w:rPr>
        <w:t xml:space="preserve"> las </w:t>
      </w:r>
      <w:r w:rsidRPr="005D08AD">
        <w:rPr>
          <w:rFonts w:ascii="Times New Roman" w:hAnsi="Times New Roman" w:cs="Times New Roman"/>
          <w:szCs w:val="28"/>
          <w:shd w:val="clear" w:color="auto" w:fill="FFFFFF"/>
        </w:rPr>
        <w:t xml:space="preserve">diferentes </w:t>
      </w:r>
      <w:r w:rsidRPr="005D08AD">
        <w:rPr>
          <w:rFonts w:ascii="Times New Roman" w:hAnsi="Times New Roman" w:cs="Times New Roman"/>
          <w:szCs w:val="28"/>
          <w:shd w:val="clear" w:color="auto" w:fill="FFFFFF"/>
        </w:rPr>
        <w:t xml:space="preserve">intervenciones </w:t>
      </w:r>
      <w:r w:rsidRPr="005D08AD">
        <w:rPr>
          <w:rFonts w:ascii="Times New Roman" w:hAnsi="Times New Roman" w:cs="Times New Roman"/>
          <w:szCs w:val="28"/>
          <w:shd w:val="clear" w:color="auto" w:fill="FFFFFF"/>
        </w:rPr>
        <w:t xml:space="preserve">presentadas durante el proceso de </w:t>
      </w:r>
      <w:r w:rsidRPr="005D08AD">
        <w:rPr>
          <w:rFonts w:ascii="Times New Roman" w:hAnsi="Times New Roman" w:cs="Times New Roman"/>
          <w:szCs w:val="28"/>
          <w:shd w:val="clear" w:color="auto" w:fill="FFFFFF"/>
        </w:rPr>
        <w:t>constitucionalidad</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existen tres posiciones sobre </w:t>
      </w:r>
      <w:r w:rsidRPr="005D08AD">
        <w:rPr>
          <w:rFonts w:ascii="Times New Roman" w:hAnsi="Times New Roman" w:cs="Times New Roman"/>
          <w:szCs w:val="28"/>
          <w:shd w:val="clear" w:color="auto" w:fill="FFFFFF"/>
        </w:rPr>
        <w:t>este punto</w:t>
      </w:r>
      <w:r w:rsidRPr="005D08AD">
        <w:rPr>
          <w:rFonts w:ascii="Times New Roman" w:hAnsi="Times New Roman" w:cs="Times New Roman"/>
          <w:szCs w:val="28"/>
          <w:shd w:val="clear" w:color="auto" w:fill="FFFFFF"/>
        </w:rPr>
        <w:t xml:space="preserve">: (i) algunos intervinientes </w:t>
      </w:r>
      <w:r w:rsidRPr="005D08AD">
        <w:rPr>
          <w:rFonts w:ascii="Times New Roman" w:hAnsi="Times New Roman" w:cs="Times New Roman"/>
          <w:szCs w:val="28"/>
          <w:shd w:val="clear" w:color="auto" w:fill="FFFFFF"/>
        </w:rPr>
        <w:t xml:space="preserve">y el </w:t>
      </w:r>
      <w:r w:rsidRPr="005D08AD">
        <w:rPr>
          <w:rFonts w:ascii="Times New Roman" w:hAnsi="Times New Roman" w:cs="Times New Roman"/>
          <w:szCs w:val="28"/>
          <w:shd w:val="clear" w:color="auto" w:fill="FFFFFF"/>
        </w:rPr>
        <w:t>procurador</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consideran que </w:t>
      </w:r>
      <w:r w:rsidRPr="005D08AD">
        <w:rPr>
          <w:rFonts w:ascii="Times New Roman" w:hAnsi="Times New Roman" w:cs="Times New Roman"/>
          <w:szCs w:val="28"/>
          <w:shd w:val="clear" w:color="auto" w:fill="FFFFFF"/>
        </w:rPr>
        <w:t>la norma</w:t>
      </w:r>
      <w:r w:rsidRPr="005D08AD">
        <w:rPr>
          <w:rFonts w:ascii="Times New Roman" w:hAnsi="Times New Roman" w:cs="Times New Roman"/>
          <w:szCs w:val="28"/>
          <w:shd w:val="clear" w:color="auto" w:fill="FFFFFF"/>
        </w:rPr>
        <w:t xml:space="preserve"> es constitucional</w:t>
      </w:r>
      <w:r w:rsidRPr="005D08AD">
        <w:rPr>
          <w:rFonts w:ascii="Times New Roman" w:hAnsi="Times New Roman" w:cs="Times New Roman"/>
          <w:szCs w:val="28"/>
          <w:shd w:val="clear" w:color="auto" w:fill="FFFFFF"/>
        </w:rPr>
        <w:t>. E</w:t>
      </w:r>
      <w:r w:rsidRPr="005D08AD">
        <w:rPr>
          <w:rFonts w:ascii="Times New Roman" w:hAnsi="Times New Roman" w:cs="Times New Roman"/>
          <w:szCs w:val="28"/>
          <w:shd w:val="clear" w:color="auto" w:fill="FFFFFF"/>
        </w:rPr>
        <w:t xml:space="preserve">n su criterio, la </w:t>
      </w:r>
      <w:r w:rsidRPr="005D08AD">
        <w:rPr>
          <w:rFonts w:ascii="Times New Roman" w:hAnsi="Times New Roman" w:cs="Times New Roman"/>
          <w:szCs w:val="28"/>
          <w:shd w:val="clear" w:color="auto" w:fill="FFFFFF"/>
        </w:rPr>
        <w:t>disposición</w:t>
      </w:r>
      <w:r w:rsidRPr="005D08AD">
        <w:rPr>
          <w:rFonts w:ascii="Times New Roman" w:hAnsi="Times New Roman" w:cs="Times New Roman"/>
          <w:szCs w:val="28"/>
          <w:shd w:val="clear" w:color="auto" w:fill="FFFFFF"/>
        </w:rPr>
        <w:t xml:space="preserve"> si bien no establece de forma expresa el </w:t>
      </w:r>
      <w:r w:rsidRPr="005D08AD">
        <w:rPr>
          <w:rFonts w:ascii="Times New Roman" w:hAnsi="Times New Roman" w:cs="Times New Roman"/>
          <w:i/>
          <w:iCs/>
          <w:szCs w:val="28"/>
          <w:shd w:val="clear" w:color="auto" w:fill="FFFFFF"/>
        </w:rPr>
        <w:t>hecho generador</w:t>
      </w:r>
      <w:r w:rsidRPr="005D08AD">
        <w:rPr>
          <w:rFonts w:ascii="Times New Roman" w:hAnsi="Times New Roman" w:cs="Times New Roman"/>
          <w:szCs w:val="28"/>
          <w:shd w:val="clear" w:color="auto" w:fill="FFFFFF"/>
        </w:rPr>
        <w:t>, este es determinabl</w:t>
      </w:r>
      <w:r w:rsidRPr="005D08AD">
        <w:rPr>
          <w:rFonts w:ascii="Times New Roman" w:hAnsi="Times New Roman" w:cs="Times New Roman"/>
          <w:szCs w:val="28"/>
          <w:shd w:val="clear" w:color="auto" w:fill="FFFFFF"/>
        </w:rPr>
        <w:t>e y se concreta en la compra de municiones y explosivos. Lo anterior con fundamento</w:t>
      </w:r>
      <w:r w:rsidRPr="005D08AD">
        <w:rPr>
          <w:rFonts w:ascii="Times New Roman" w:hAnsi="Times New Roman" w:cs="Times New Roman"/>
          <w:szCs w:val="28"/>
          <w:shd w:val="clear" w:color="auto" w:fill="FFFFFF"/>
        </w:rPr>
        <w:t xml:space="preserve"> en el monopolio estatal de armas, </w:t>
      </w:r>
      <w:r w:rsidRPr="005D08AD">
        <w:rPr>
          <w:rFonts w:ascii="Times New Roman" w:hAnsi="Times New Roman" w:cs="Times New Roman"/>
          <w:szCs w:val="28"/>
          <w:shd w:val="clear" w:color="auto" w:fill="FFFFFF"/>
        </w:rPr>
        <w:t>municiones y explosivos,</w:t>
      </w:r>
      <w:r w:rsidRPr="005D08AD">
        <w:rPr>
          <w:rFonts w:ascii="Times New Roman" w:hAnsi="Times New Roman" w:cs="Times New Roman"/>
          <w:szCs w:val="28"/>
          <w:shd w:val="clear" w:color="auto" w:fill="FFFFFF"/>
        </w:rPr>
        <w:t xml:space="preserve"> la jurisprudencia del Consejo de Estado y </w:t>
      </w:r>
      <w:r w:rsidRPr="005D08AD">
        <w:rPr>
          <w:rFonts w:ascii="Times New Roman" w:hAnsi="Times New Roman" w:cs="Times New Roman"/>
          <w:szCs w:val="28"/>
          <w:shd w:val="clear" w:color="auto" w:fill="FFFFFF"/>
        </w:rPr>
        <w:t xml:space="preserve">el uso de </w:t>
      </w:r>
      <w:r w:rsidRPr="005D08AD">
        <w:rPr>
          <w:rFonts w:ascii="Times New Roman" w:hAnsi="Times New Roman" w:cs="Times New Roman"/>
          <w:szCs w:val="28"/>
          <w:shd w:val="clear" w:color="auto" w:fill="FFFFFF"/>
        </w:rPr>
        <w:t>las expresiones “ad valorem” y “cobrará”</w:t>
      </w:r>
      <w:r w:rsidRPr="005D08AD">
        <w:rPr>
          <w:rFonts w:ascii="Times New Roman" w:hAnsi="Times New Roman" w:cs="Times New Roman"/>
          <w:szCs w:val="28"/>
          <w:shd w:val="clear" w:color="auto" w:fill="FFFFFF"/>
        </w:rPr>
        <w:t xml:space="preserve"> contenidas en el artículo demandado</w:t>
      </w:r>
      <w:r w:rsidRPr="005D08AD">
        <w:rPr>
          <w:rFonts w:ascii="Times New Roman" w:hAnsi="Times New Roman" w:cs="Times New Roman"/>
          <w:szCs w:val="28"/>
          <w:shd w:val="clear" w:color="auto" w:fill="FFFFFF"/>
        </w:rPr>
        <w:t xml:space="preserve">; (ii) </w:t>
      </w:r>
      <w:r w:rsidRPr="005D08AD">
        <w:rPr>
          <w:rFonts w:ascii="Times New Roman" w:hAnsi="Times New Roman" w:cs="Times New Roman"/>
          <w:szCs w:val="28"/>
          <w:shd w:val="clear" w:color="auto" w:fill="FFFFFF"/>
        </w:rPr>
        <w:t xml:space="preserve">los </w:t>
      </w:r>
      <w:r w:rsidRPr="005D08AD">
        <w:rPr>
          <w:rFonts w:ascii="Times New Roman" w:hAnsi="Times New Roman" w:cs="Times New Roman"/>
          <w:szCs w:val="28"/>
          <w:shd w:val="clear" w:color="auto" w:fill="FFFFFF"/>
        </w:rPr>
        <w:t>demandante</w:t>
      </w:r>
      <w:r w:rsidRPr="005D08AD">
        <w:rPr>
          <w:rFonts w:ascii="Times New Roman" w:hAnsi="Times New Roman" w:cs="Times New Roman"/>
          <w:szCs w:val="28"/>
          <w:shd w:val="clear" w:color="auto" w:fill="FFFFFF"/>
        </w:rPr>
        <w:t>s</w:t>
      </w:r>
      <w:r w:rsidRPr="005D08AD">
        <w:rPr>
          <w:rFonts w:ascii="Times New Roman" w:hAnsi="Times New Roman" w:cs="Times New Roman"/>
          <w:szCs w:val="28"/>
          <w:shd w:val="clear" w:color="auto" w:fill="FFFFFF"/>
        </w:rPr>
        <w:t xml:space="preserve"> como pretensión principal</w:t>
      </w:r>
      <w:r w:rsidRPr="005D08AD">
        <w:rPr>
          <w:rFonts w:ascii="Times New Roman" w:hAnsi="Times New Roman" w:cs="Times New Roman"/>
          <w:szCs w:val="28"/>
          <w:shd w:val="clear" w:color="auto" w:fill="FFFFFF"/>
        </w:rPr>
        <w:t xml:space="preserve"> y </w:t>
      </w:r>
      <w:r w:rsidRPr="005D08AD">
        <w:rPr>
          <w:rFonts w:ascii="Times New Roman" w:hAnsi="Times New Roman" w:cs="Times New Roman"/>
          <w:szCs w:val="28"/>
          <w:shd w:val="clear" w:color="auto" w:fill="FFFFFF"/>
        </w:rPr>
        <w:t>otra parte</w:t>
      </w:r>
      <w:r w:rsidRPr="005D08AD">
        <w:rPr>
          <w:rFonts w:ascii="Times New Roman" w:hAnsi="Times New Roman" w:cs="Times New Roman"/>
          <w:szCs w:val="28"/>
          <w:shd w:val="clear" w:color="auto" w:fill="FFFFFF"/>
        </w:rPr>
        <w:t xml:space="preserve"> de los intervinientes </w:t>
      </w:r>
      <w:r w:rsidRPr="005D08AD">
        <w:rPr>
          <w:rFonts w:ascii="Times New Roman" w:hAnsi="Times New Roman" w:cs="Times New Roman"/>
          <w:szCs w:val="28"/>
          <w:shd w:val="clear" w:color="auto" w:fill="FFFFFF"/>
        </w:rPr>
        <w:t>afirman que</w:t>
      </w:r>
      <w:r w:rsidRPr="005D08AD">
        <w:rPr>
          <w:rFonts w:ascii="Times New Roman" w:hAnsi="Times New Roman" w:cs="Times New Roman"/>
          <w:szCs w:val="28"/>
          <w:shd w:val="clear" w:color="auto" w:fill="FFFFFF"/>
        </w:rPr>
        <w:t xml:space="preserve"> la norma debe ser declarada </w:t>
      </w:r>
      <w:r w:rsidRPr="005D08AD">
        <w:rPr>
          <w:rFonts w:ascii="Times New Roman" w:hAnsi="Times New Roman" w:cs="Times New Roman"/>
          <w:szCs w:val="28"/>
          <w:shd w:val="clear" w:color="auto" w:fill="FFFFFF"/>
        </w:rPr>
        <w:t xml:space="preserve">inexequible por no establecer el </w:t>
      </w:r>
      <w:r w:rsidRPr="005D08AD">
        <w:rPr>
          <w:rFonts w:ascii="Times New Roman" w:hAnsi="Times New Roman" w:cs="Times New Roman"/>
          <w:szCs w:val="28"/>
          <w:shd w:val="clear" w:color="auto" w:fill="FFFFFF"/>
        </w:rPr>
        <w:t>referido elemento</w:t>
      </w:r>
      <w:r w:rsidRPr="005D08AD">
        <w:rPr>
          <w:rFonts w:ascii="Times New Roman" w:hAnsi="Times New Roman" w:cs="Times New Roman"/>
          <w:szCs w:val="28"/>
          <w:shd w:val="clear" w:color="auto" w:fill="FFFFFF"/>
        </w:rPr>
        <w:t xml:space="preserve"> es</w:t>
      </w:r>
      <w:r w:rsidRPr="005D08AD">
        <w:rPr>
          <w:rFonts w:ascii="Times New Roman" w:hAnsi="Times New Roman" w:cs="Times New Roman"/>
          <w:szCs w:val="28"/>
          <w:shd w:val="clear" w:color="auto" w:fill="FFFFFF"/>
        </w:rPr>
        <w:t>encial</w:t>
      </w:r>
      <w:r w:rsidRPr="005D08AD">
        <w:rPr>
          <w:rFonts w:ascii="Times New Roman" w:hAnsi="Times New Roman" w:cs="Times New Roman"/>
          <w:szCs w:val="28"/>
          <w:shd w:val="clear" w:color="auto" w:fill="FFFFFF"/>
        </w:rPr>
        <w:t xml:space="preserve">. Además, consideran que no se puede </w:t>
      </w:r>
      <w:r w:rsidRPr="005D08AD">
        <w:rPr>
          <w:rFonts w:ascii="Times New Roman" w:hAnsi="Times New Roman" w:cs="Times New Roman"/>
          <w:szCs w:val="28"/>
          <w:shd w:val="clear" w:color="auto" w:fill="FFFFFF"/>
        </w:rPr>
        <w:t xml:space="preserve">determinar el hecho </w:t>
      </w:r>
      <w:r w:rsidRPr="005D08AD">
        <w:rPr>
          <w:rFonts w:ascii="Times New Roman" w:hAnsi="Times New Roman" w:cs="Times New Roman"/>
          <w:szCs w:val="28"/>
          <w:shd w:val="clear" w:color="auto" w:fill="FFFFFF"/>
        </w:rPr>
        <w:t xml:space="preserve">generador </w:t>
      </w:r>
      <w:r w:rsidRPr="005D08AD">
        <w:rPr>
          <w:rFonts w:ascii="Times New Roman" w:hAnsi="Times New Roman" w:cs="Times New Roman"/>
          <w:szCs w:val="28"/>
          <w:shd w:val="clear" w:color="auto" w:fill="FFFFFF"/>
        </w:rPr>
        <w:t>debido a que la expresión “ad valorem</w:t>
      </w:r>
      <w:r w:rsidRPr="005D08AD">
        <w:rPr>
          <w:rFonts w:ascii="Times New Roman" w:hAnsi="Times New Roman" w:cs="Times New Roman"/>
          <w:szCs w:val="28"/>
          <w:shd w:val="clear" w:color="auto" w:fill="FFFFFF"/>
        </w:rPr>
        <w:t xml:space="preserve">” sirve para determinar la base gravable pero no </w:t>
      </w:r>
      <w:r w:rsidRPr="005D08AD">
        <w:rPr>
          <w:rFonts w:ascii="Times New Roman" w:hAnsi="Times New Roman" w:cs="Times New Roman"/>
          <w:szCs w:val="28"/>
          <w:shd w:val="clear" w:color="auto" w:fill="FFFFFF"/>
        </w:rPr>
        <w:t>el referido elemento</w:t>
      </w:r>
      <w:r w:rsidRPr="005D08AD">
        <w:rPr>
          <w:rFonts w:ascii="Times New Roman" w:hAnsi="Times New Roman" w:cs="Times New Roman"/>
          <w:szCs w:val="28"/>
          <w:shd w:val="clear" w:color="auto" w:fill="FFFFFF"/>
        </w:rPr>
        <w:t xml:space="preserve"> y; (iii)</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los</w:t>
      </w:r>
      <w:r w:rsidRPr="005D08AD">
        <w:rPr>
          <w:rFonts w:ascii="Times New Roman" w:hAnsi="Times New Roman" w:cs="Times New Roman"/>
          <w:szCs w:val="28"/>
          <w:shd w:val="clear" w:color="auto" w:fill="FFFFFF"/>
        </w:rPr>
        <w:t xml:space="preserve"> demandante</w:t>
      </w:r>
      <w:r w:rsidRPr="005D08AD">
        <w:rPr>
          <w:rFonts w:ascii="Times New Roman" w:hAnsi="Times New Roman" w:cs="Times New Roman"/>
          <w:szCs w:val="28"/>
          <w:shd w:val="clear" w:color="auto" w:fill="FFFFFF"/>
        </w:rPr>
        <w:t>s</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como pretensión subsidiaria</w:t>
      </w:r>
      <w:r w:rsidRPr="005D08AD">
        <w:rPr>
          <w:rFonts w:ascii="Times New Roman" w:hAnsi="Times New Roman" w:cs="Times New Roman"/>
          <w:szCs w:val="28"/>
          <w:shd w:val="clear" w:color="auto" w:fill="FFFFFF"/>
        </w:rPr>
        <w:t xml:space="preserve"> y</w:t>
      </w:r>
      <w:r w:rsidRPr="005D08AD">
        <w:rPr>
          <w:rFonts w:ascii="Times New Roman" w:hAnsi="Times New Roman" w:cs="Times New Roman"/>
          <w:szCs w:val="28"/>
          <w:shd w:val="clear" w:color="auto" w:fill="FFFFFF"/>
        </w:rPr>
        <w:t xml:space="preserve"> otros inter</w:t>
      </w:r>
      <w:r w:rsidRPr="005D08AD">
        <w:rPr>
          <w:rFonts w:ascii="Times New Roman" w:hAnsi="Times New Roman" w:cs="Times New Roman"/>
          <w:szCs w:val="28"/>
          <w:shd w:val="clear" w:color="auto" w:fill="FFFFFF"/>
        </w:rPr>
        <w:t xml:space="preserve">vinientes estiman que el hecho </w:t>
      </w:r>
      <w:r w:rsidRPr="005D08AD">
        <w:rPr>
          <w:rFonts w:ascii="Times New Roman" w:hAnsi="Times New Roman" w:cs="Times New Roman"/>
          <w:szCs w:val="28"/>
          <w:shd w:val="clear" w:color="auto" w:fill="FFFFFF"/>
        </w:rPr>
        <w:t>generador</w:t>
      </w:r>
      <w:r w:rsidRPr="005D08AD">
        <w:rPr>
          <w:rFonts w:ascii="Times New Roman" w:hAnsi="Times New Roman" w:cs="Times New Roman"/>
          <w:szCs w:val="28"/>
          <w:shd w:val="clear" w:color="auto" w:fill="FFFFFF"/>
        </w:rPr>
        <w:t xml:space="preserve"> es el porte de municiones y explosivos</w:t>
      </w:r>
      <w:r w:rsidRPr="005D08AD">
        <w:rPr>
          <w:rFonts w:ascii="Times New Roman" w:hAnsi="Times New Roman" w:cs="Times New Roman"/>
          <w:szCs w:val="28"/>
          <w:shd w:val="clear" w:color="auto" w:fill="FFFFFF"/>
        </w:rPr>
        <w:t xml:space="preserve"> al </w:t>
      </w:r>
      <w:r w:rsidRPr="005D08AD">
        <w:rPr>
          <w:rFonts w:ascii="Times New Roman" w:hAnsi="Times New Roman" w:cs="Times New Roman"/>
          <w:szCs w:val="28"/>
          <w:shd w:val="clear" w:color="auto" w:fill="FFFFFF"/>
        </w:rPr>
        <w:t xml:space="preserve">sostener </w:t>
      </w:r>
      <w:r w:rsidRPr="005D08AD">
        <w:rPr>
          <w:rFonts w:ascii="Times New Roman" w:hAnsi="Times New Roman" w:cs="Times New Roman"/>
          <w:szCs w:val="28"/>
          <w:shd w:val="clear" w:color="auto" w:fill="FFFFFF"/>
        </w:rPr>
        <w:t xml:space="preserve">que </w:t>
      </w:r>
      <w:r w:rsidRPr="005D08AD">
        <w:rPr>
          <w:rFonts w:ascii="Times New Roman" w:hAnsi="Times New Roman" w:cs="Times New Roman"/>
          <w:szCs w:val="28"/>
          <w:shd w:val="clear" w:color="auto" w:fill="FFFFFF"/>
        </w:rPr>
        <w:t xml:space="preserve">la </w:t>
      </w:r>
      <w:r w:rsidRPr="005D08AD">
        <w:rPr>
          <w:rFonts w:ascii="Times New Roman" w:hAnsi="Times New Roman" w:cs="Times New Roman"/>
          <w:szCs w:val="28"/>
          <w:shd w:val="clear" w:color="auto" w:fill="FFFFFF"/>
        </w:rPr>
        <w:t>S</w:t>
      </w:r>
      <w:r w:rsidRPr="005D08AD">
        <w:rPr>
          <w:rFonts w:ascii="Times New Roman" w:hAnsi="Times New Roman" w:cs="Times New Roman"/>
          <w:szCs w:val="28"/>
          <w:shd w:val="clear" w:color="auto" w:fill="FFFFFF"/>
        </w:rPr>
        <w:t>entencia C-390 de 1996</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estableció que </w:t>
      </w:r>
      <w:r w:rsidRPr="005D08AD">
        <w:rPr>
          <w:rFonts w:ascii="Times New Roman" w:hAnsi="Times New Roman" w:cs="Times New Roman"/>
          <w:szCs w:val="28"/>
          <w:shd w:val="clear" w:color="auto" w:fill="FFFFFF"/>
        </w:rPr>
        <w:t>este</w:t>
      </w:r>
      <w:r w:rsidRPr="005D08AD">
        <w:rPr>
          <w:rFonts w:ascii="Times New Roman" w:hAnsi="Times New Roman" w:cs="Times New Roman"/>
          <w:szCs w:val="28"/>
          <w:shd w:val="clear" w:color="auto" w:fill="FFFFFF"/>
        </w:rPr>
        <w:t xml:space="preserve"> elemento corresponde</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a</w:t>
      </w:r>
      <w:r w:rsidRPr="005D08AD">
        <w:rPr>
          <w:rFonts w:ascii="Times New Roman" w:hAnsi="Times New Roman" w:cs="Times New Roman"/>
          <w:szCs w:val="28"/>
          <w:shd w:val="clear" w:color="auto" w:fill="FFFFFF"/>
        </w:rPr>
        <w:t xml:space="preserve">l </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porte</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w:t>
      </w:r>
    </w:p>
    <w:p w:rsidR="00510962" w:rsidRPr="005D08AD" w:rsidRDefault="005D08AD" w:rsidP="005F72BB">
      <w:pPr>
        <w:pStyle w:val="Prrafodelista"/>
        <w:spacing w:after="0" w:line="240" w:lineRule="auto"/>
        <w:ind w:left="0"/>
        <w:mirrorIndents/>
        <w:jc w:val="both"/>
        <w:rPr>
          <w:rFonts w:ascii="Times New Roman" w:hAnsi="Times New Roman" w:cs="Times New Roman"/>
          <w:b/>
          <w:bCs/>
          <w:szCs w:val="28"/>
          <w:shd w:val="clear" w:color="auto" w:fill="FFFFFF"/>
        </w:rPr>
      </w:pPr>
    </w:p>
    <w:p w:rsidR="00917B73" w:rsidRPr="005D08AD" w:rsidRDefault="005D08AD" w:rsidP="005F72BB">
      <w:pPr>
        <w:pStyle w:val="Prrafodelista"/>
        <w:numPr>
          <w:ilvl w:val="0"/>
          <w:numId w:val="4"/>
        </w:numPr>
        <w:spacing w:after="0" w:line="240" w:lineRule="auto"/>
        <w:mirrorIndents/>
        <w:jc w:val="both"/>
        <w:rPr>
          <w:rFonts w:ascii="Times New Roman" w:hAnsi="Times New Roman" w:cs="Times New Roman"/>
          <w:b/>
          <w:bCs/>
          <w:szCs w:val="28"/>
          <w:shd w:val="clear" w:color="auto" w:fill="FFFFFF"/>
        </w:rPr>
      </w:pPr>
      <w:r w:rsidRPr="005D08AD">
        <w:rPr>
          <w:rFonts w:ascii="Times New Roman" w:hAnsi="Times New Roman" w:cs="Times New Roman"/>
          <w:szCs w:val="28"/>
          <w:shd w:val="clear" w:color="auto" w:fill="FFFFFF"/>
        </w:rPr>
        <w:t>En este contexto,</w:t>
      </w:r>
      <w:r w:rsidRPr="005D08AD">
        <w:rPr>
          <w:rFonts w:ascii="Times New Roman" w:hAnsi="Times New Roman" w:cs="Times New Roman"/>
          <w:szCs w:val="28"/>
          <w:shd w:val="clear" w:color="auto" w:fill="FFFFFF"/>
        </w:rPr>
        <w:t xml:space="preserve"> la </w:t>
      </w:r>
      <w:r w:rsidRPr="005D08AD">
        <w:rPr>
          <w:rFonts w:ascii="Times New Roman" w:hAnsi="Times New Roman" w:cs="Times New Roman"/>
          <w:szCs w:val="28"/>
          <w:shd w:val="clear" w:color="auto" w:fill="FFFFFF"/>
        </w:rPr>
        <w:t>Sala</w:t>
      </w:r>
      <w:r w:rsidRPr="005D08AD">
        <w:rPr>
          <w:rFonts w:ascii="Times New Roman" w:hAnsi="Times New Roman" w:cs="Times New Roman"/>
          <w:szCs w:val="28"/>
          <w:shd w:val="clear" w:color="auto" w:fill="FFFFFF"/>
        </w:rPr>
        <w:t xml:space="preserve"> Plena</w:t>
      </w:r>
      <w:r w:rsidRPr="005D08AD">
        <w:rPr>
          <w:rFonts w:ascii="Times New Roman" w:hAnsi="Times New Roman" w:cs="Times New Roman"/>
          <w:szCs w:val="28"/>
          <w:shd w:val="clear" w:color="auto" w:fill="FFFFFF"/>
        </w:rPr>
        <w:t xml:space="preserve"> considera que</w:t>
      </w:r>
      <w:r w:rsidRPr="005D08AD">
        <w:rPr>
          <w:rFonts w:ascii="Times New Roman" w:hAnsi="Times New Roman" w:cs="Times New Roman"/>
          <w:szCs w:val="28"/>
          <w:shd w:val="clear" w:color="auto" w:fill="FFFFFF"/>
        </w:rPr>
        <w:t xml:space="preserve"> la norma es </w:t>
      </w:r>
      <w:r w:rsidRPr="005D08AD">
        <w:rPr>
          <w:rFonts w:ascii="Times New Roman" w:hAnsi="Times New Roman" w:cs="Times New Roman"/>
          <w:szCs w:val="28"/>
          <w:shd w:val="clear" w:color="auto" w:fill="FFFFFF"/>
        </w:rPr>
        <w:t xml:space="preserve">exequible </w:t>
      </w:r>
      <w:r w:rsidRPr="005D08AD">
        <w:rPr>
          <w:rFonts w:ascii="Times New Roman" w:hAnsi="Times New Roman" w:cs="Times New Roman"/>
          <w:szCs w:val="28"/>
          <w:shd w:val="clear" w:color="auto" w:fill="FFFFFF"/>
        </w:rPr>
        <w:t xml:space="preserve">debido a que el hecho generador del impuesto </w:t>
      </w:r>
      <w:r w:rsidRPr="005D08AD">
        <w:rPr>
          <w:rFonts w:ascii="Times New Roman" w:hAnsi="Times New Roman" w:cs="Times New Roman"/>
          <w:szCs w:val="28"/>
          <w:shd w:val="clear" w:color="auto" w:fill="FFFFFF"/>
        </w:rPr>
        <w:t>social de municiones y explosivos (art. 48 de la Ley 1438 de 2011) es determinable a partir de una interpretación sistemática</w:t>
      </w:r>
      <w:r w:rsidRPr="005D08AD">
        <w:rPr>
          <w:rStyle w:val="Refdenotaalpie"/>
          <w:rFonts w:ascii="Times New Roman" w:hAnsi="Times New Roman"/>
          <w:szCs w:val="28"/>
          <w:shd w:val="clear" w:color="auto" w:fill="FFFFFF"/>
        </w:rPr>
        <w:footnoteReference w:id="72"/>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Para arribar a esta conclusión</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aludirá a la </w:t>
      </w:r>
      <w:r w:rsidRPr="005D08AD">
        <w:rPr>
          <w:rFonts w:ascii="Times New Roman" w:hAnsi="Times New Roman" w:cs="Times New Roman"/>
          <w:szCs w:val="28"/>
          <w:shd w:val="clear" w:color="auto" w:fill="FFFFFF"/>
        </w:rPr>
        <w:t>relación</w:t>
      </w:r>
      <w:r w:rsidRPr="005D08AD">
        <w:rPr>
          <w:rFonts w:ascii="Times New Roman" w:hAnsi="Times New Roman" w:cs="Times New Roman"/>
          <w:szCs w:val="28"/>
          <w:shd w:val="clear" w:color="auto" w:fill="FFFFFF"/>
        </w:rPr>
        <w:t xml:space="preserve"> existente entre el </w:t>
      </w:r>
      <w:r w:rsidRPr="005D08AD">
        <w:rPr>
          <w:rFonts w:ascii="Times New Roman" w:hAnsi="Times New Roman" w:cs="Times New Roman"/>
          <w:szCs w:val="28"/>
          <w:shd w:val="clear" w:color="auto" w:fill="FFFFFF"/>
        </w:rPr>
        <w:t xml:space="preserve">monopolio constitucional sobre las </w:t>
      </w:r>
      <w:r w:rsidRPr="005D08AD">
        <w:rPr>
          <w:rFonts w:ascii="Times New Roman" w:hAnsi="Times New Roman" w:cs="Times New Roman"/>
          <w:szCs w:val="28"/>
          <w:shd w:val="clear" w:color="auto" w:fill="FFFFFF"/>
        </w:rPr>
        <w:t>armas, municiones de</w:t>
      </w:r>
      <w:r w:rsidRPr="005D08AD">
        <w:rPr>
          <w:rFonts w:ascii="Times New Roman" w:hAnsi="Times New Roman" w:cs="Times New Roman"/>
          <w:szCs w:val="28"/>
          <w:shd w:val="clear" w:color="auto" w:fill="FFFFFF"/>
        </w:rPr>
        <w:t xml:space="preserve"> guerra y explosivos</w:t>
      </w:r>
      <w:r w:rsidRPr="005D08AD">
        <w:rPr>
          <w:rFonts w:ascii="Times New Roman" w:hAnsi="Times New Roman" w:cs="Times New Roman"/>
          <w:szCs w:val="28"/>
          <w:shd w:val="clear" w:color="auto" w:fill="FFFFFF"/>
        </w:rPr>
        <w:t>, el Decreto Ley 2535 de 1993 y las expresiones “ad valorem” y “cobrará”</w:t>
      </w:r>
      <w:r w:rsidRPr="005D08AD">
        <w:rPr>
          <w:rFonts w:ascii="Times New Roman" w:hAnsi="Times New Roman" w:cs="Times New Roman"/>
          <w:szCs w:val="28"/>
          <w:shd w:val="clear" w:color="auto" w:fill="FFFFFF"/>
        </w:rPr>
        <w:t xml:space="preserve"> contenidas en la disposición acusada</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Elementos que</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interpretados de forma conjunta</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permiten </w:t>
      </w:r>
      <w:r w:rsidRPr="005D08AD">
        <w:rPr>
          <w:rFonts w:ascii="Times New Roman" w:hAnsi="Times New Roman" w:cs="Times New Roman"/>
          <w:szCs w:val="28"/>
          <w:shd w:val="clear" w:color="auto" w:fill="FFFFFF"/>
        </w:rPr>
        <w:t>determinar</w:t>
      </w:r>
      <w:r w:rsidRPr="005D08AD">
        <w:rPr>
          <w:rFonts w:ascii="Times New Roman" w:hAnsi="Times New Roman" w:cs="Times New Roman"/>
          <w:szCs w:val="28"/>
          <w:shd w:val="clear" w:color="auto" w:fill="FFFFFF"/>
        </w:rPr>
        <w:t xml:space="preserve"> que el tributo</w:t>
      </w:r>
      <w:r w:rsidRPr="005D08AD">
        <w:rPr>
          <w:rFonts w:ascii="Times New Roman" w:hAnsi="Times New Roman" w:cs="Times New Roman"/>
          <w:szCs w:val="28"/>
          <w:shd w:val="clear" w:color="auto" w:fill="FFFFFF"/>
        </w:rPr>
        <w:t xml:space="preserve"> cuestionado</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nace cuando se realiza la compra </w:t>
      </w:r>
      <w:r w:rsidRPr="005D08AD">
        <w:rPr>
          <w:rFonts w:ascii="Times New Roman" w:hAnsi="Times New Roman" w:cs="Times New Roman"/>
          <w:szCs w:val="28"/>
          <w:shd w:val="clear" w:color="auto" w:fill="FFFFFF"/>
        </w:rPr>
        <w:t xml:space="preserve">autorizada </w:t>
      </w:r>
      <w:r w:rsidRPr="005D08AD">
        <w:rPr>
          <w:rFonts w:ascii="Times New Roman" w:hAnsi="Times New Roman" w:cs="Times New Roman"/>
          <w:szCs w:val="28"/>
          <w:shd w:val="clear" w:color="auto" w:fill="FFFFFF"/>
        </w:rPr>
        <w:t>de</w:t>
      </w:r>
      <w:r w:rsidRPr="005D08AD">
        <w:rPr>
          <w:rFonts w:ascii="Times New Roman" w:hAnsi="Times New Roman" w:cs="Times New Roman"/>
          <w:szCs w:val="28"/>
          <w:shd w:val="clear" w:color="auto" w:fill="FFFFFF"/>
        </w:rPr>
        <w:t xml:space="preserve"> municiones y explosivos</w:t>
      </w:r>
      <w:r w:rsidRPr="005D08AD">
        <w:rPr>
          <w:rFonts w:ascii="Times New Roman" w:hAnsi="Times New Roman" w:cs="Times New Roman"/>
          <w:szCs w:val="28"/>
          <w:shd w:val="clear" w:color="auto" w:fill="FFFFFF"/>
        </w:rPr>
        <w:t>.</w:t>
      </w:r>
    </w:p>
    <w:p w:rsidR="00436C6F" w:rsidRPr="005D08AD" w:rsidRDefault="005D08AD" w:rsidP="005F72BB">
      <w:pPr>
        <w:pStyle w:val="Prrafodelista"/>
        <w:spacing w:after="0" w:line="240" w:lineRule="auto"/>
        <w:ind w:left="0"/>
        <w:mirrorIndents/>
        <w:jc w:val="both"/>
        <w:rPr>
          <w:rFonts w:ascii="Times New Roman" w:hAnsi="Times New Roman" w:cs="Times New Roman"/>
          <w:b/>
          <w:bCs/>
          <w:szCs w:val="28"/>
          <w:shd w:val="clear" w:color="auto" w:fill="FFFFFF"/>
        </w:rPr>
      </w:pPr>
    </w:p>
    <w:p w:rsidR="00983A94" w:rsidRPr="005D08AD" w:rsidRDefault="005D08AD" w:rsidP="005F72BB">
      <w:pPr>
        <w:pStyle w:val="Prrafodelista"/>
        <w:numPr>
          <w:ilvl w:val="0"/>
          <w:numId w:val="4"/>
        </w:numPr>
        <w:spacing w:after="0" w:line="240" w:lineRule="auto"/>
        <w:mirrorIndents/>
        <w:jc w:val="both"/>
        <w:rPr>
          <w:rFonts w:ascii="Times New Roman" w:hAnsi="Times New Roman" w:cs="Times New Roman"/>
          <w:b/>
          <w:bCs/>
          <w:szCs w:val="28"/>
          <w:shd w:val="clear" w:color="auto" w:fill="FFFFFF"/>
        </w:rPr>
      </w:pPr>
      <w:r w:rsidRPr="005D08AD">
        <w:rPr>
          <w:rFonts w:ascii="Times New Roman" w:hAnsi="Times New Roman" w:cs="Times New Roman"/>
          <w:szCs w:val="28"/>
          <w:shd w:val="clear" w:color="auto" w:fill="FFFFFF"/>
        </w:rPr>
        <w:t xml:space="preserve"> </w:t>
      </w:r>
      <w:r w:rsidRPr="005D08AD">
        <w:rPr>
          <w:rFonts w:ascii="Times New Roman" w:hAnsi="Times New Roman" w:cs="Times New Roman"/>
          <w:i/>
          <w:iCs/>
          <w:szCs w:val="28"/>
          <w:shd w:val="clear" w:color="auto" w:fill="FFFFFF"/>
        </w:rPr>
        <w:t>El</w:t>
      </w:r>
      <w:r w:rsidRPr="005D08AD">
        <w:rPr>
          <w:rFonts w:ascii="Times New Roman" w:hAnsi="Times New Roman" w:cs="Times New Roman"/>
          <w:i/>
          <w:iCs/>
          <w:szCs w:val="28"/>
          <w:shd w:val="clear" w:color="auto" w:fill="FFFFFF"/>
        </w:rPr>
        <w:t xml:space="preserve"> monopolio </w:t>
      </w:r>
      <w:r w:rsidRPr="005D08AD">
        <w:rPr>
          <w:rFonts w:ascii="Times New Roman" w:hAnsi="Times New Roman" w:cs="Times New Roman"/>
          <w:i/>
          <w:iCs/>
          <w:szCs w:val="28"/>
          <w:shd w:val="clear" w:color="auto" w:fill="FFFFFF"/>
        </w:rPr>
        <w:t>constitucional de armas, municiones de guerra y explosivos</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El artículo 223 de la Constitución estableció </w:t>
      </w:r>
      <w:r w:rsidRPr="005D08AD">
        <w:rPr>
          <w:rFonts w:ascii="Times New Roman" w:hAnsi="Times New Roman" w:cs="Times New Roman"/>
          <w:szCs w:val="28"/>
          <w:shd w:val="clear" w:color="auto" w:fill="FFFFFF"/>
        </w:rPr>
        <w:t xml:space="preserve">el monopolio estatal de armas, municiones de guerra y explosivos. En ese sentido, dispuso </w:t>
      </w:r>
      <w:r w:rsidRPr="005D08AD">
        <w:rPr>
          <w:rFonts w:ascii="Times New Roman" w:hAnsi="Times New Roman" w:cs="Times New Roman"/>
          <w:szCs w:val="28"/>
          <w:shd w:val="clear" w:color="auto" w:fill="FFFFFF"/>
        </w:rPr>
        <w:t xml:space="preserve">expresamente </w:t>
      </w:r>
      <w:r w:rsidRPr="005D08AD">
        <w:rPr>
          <w:rFonts w:ascii="Times New Roman" w:hAnsi="Times New Roman" w:cs="Times New Roman"/>
          <w:szCs w:val="28"/>
          <w:shd w:val="clear" w:color="auto" w:fill="FFFFFF"/>
        </w:rPr>
        <w:t>que “sólo el Gobierno puede introducir y fabricar armas, municiones de guerra y explos</w:t>
      </w:r>
      <w:r w:rsidRPr="005D08AD">
        <w:rPr>
          <w:rFonts w:ascii="Times New Roman" w:hAnsi="Times New Roman" w:cs="Times New Roman"/>
          <w:szCs w:val="28"/>
          <w:shd w:val="clear" w:color="auto" w:fill="FFFFFF"/>
        </w:rPr>
        <w:t xml:space="preserve">ivos. Nadie podrá poseerlos ni portarlos </w:t>
      </w:r>
      <w:r w:rsidRPr="005D08AD">
        <w:rPr>
          <w:rFonts w:ascii="Times New Roman" w:hAnsi="Times New Roman" w:cs="Times New Roman"/>
          <w:i/>
          <w:iCs/>
          <w:szCs w:val="28"/>
          <w:shd w:val="clear" w:color="auto" w:fill="FFFFFF"/>
        </w:rPr>
        <w:t>sin permiso</w:t>
      </w:r>
      <w:r w:rsidRPr="005D08AD">
        <w:rPr>
          <w:rFonts w:ascii="Times New Roman" w:hAnsi="Times New Roman" w:cs="Times New Roman"/>
          <w:szCs w:val="28"/>
          <w:shd w:val="clear" w:color="auto" w:fill="FFFFFF"/>
        </w:rPr>
        <w:t xml:space="preserve"> de la autorida</w:t>
      </w:r>
      <w:r w:rsidRPr="005D08AD">
        <w:rPr>
          <w:rFonts w:ascii="Times New Roman" w:hAnsi="Times New Roman" w:cs="Times New Roman"/>
          <w:szCs w:val="28"/>
          <w:shd w:val="clear" w:color="auto" w:fill="FFFFFF"/>
        </w:rPr>
        <w:t>d competente”</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En atención a </w:t>
      </w:r>
      <w:r w:rsidRPr="005D08AD">
        <w:rPr>
          <w:rFonts w:ascii="Times New Roman" w:hAnsi="Times New Roman" w:cs="Times New Roman"/>
          <w:szCs w:val="28"/>
          <w:shd w:val="clear" w:color="auto" w:fill="FFFFFF"/>
        </w:rPr>
        <w:t xml:space="preserve">ese </w:t>
      </w:r>
      <w:r w:rsidRPr="005D08AD">
        <w:rPr>
          <w:rFonts w:ascii="Times New Roman" w:hAnsi="Times New Roman" w:cs="Times New Roman"/>
          <w:szCs w:val="28"/>
          <w:shd w:val="clear" w:color="auto" w:fill="FFFFFF"/>
        </w:rPr>
        <w:t>monopolio, el legislador expidió la Ley 61 de 1993</w:t>
      </w:r>
      <w:r w:rsidRPr="005D08AD">
        <w:rPr>
          <w:rFonts w:ascii="Times New Roman" w:hAnsi="Times New Roman" w:cs="Times New Roman"/>
          <w:szCs w:val="28"/>
          <w:shd w:val="clear" w:color="auto" w:fill="FFFFFF"/>
        </w:rPr>
        <w:t xml:space="preserve"> que </w:t>
      </w:r>
      <w:r w:rsidRPr="005D08AD">
        <w:rPr>
          <w:rFonts w:ascii="Times New Roman" w:hAnsi="Times New Roman" w:cs="Times New Roman"/>
          <w:szCs w:val="28"/>
          <w:shd w:val="clear" w:color="auto" w:fill="FFFFFF"/>
        </w:rPr>
        <w:t xml:space="preserve">facultó al </w:t>
      </w:r>
      <w:r w:rsidRPr="005D08AD">
        <w:rPr>
          <w:rFonts w:ascii="Times New Roman" w:hAnsi="Times New Roman" w:cs="Times New Roman"/>
          <w:szCs w:val="28"/>
          <w:shd w:val="clear" w:color="auto" w:fill="FFFFFF"/>
        </w:rPr>
        <w:t>p</w:t>
      </w:r>
      <w:r w:rsidRPr="005D08AD">
        <w:rPr>
          <w:rFonts w:ascii="Times New Roman" w:hAnsi="Times New Roman" w:cs="Times New Roman"/>
          <w:szCs w:val="28"/>
          <w:shd w:val="clear" w:color="auto" w:fill="FFFFFF"/>
        </w:rPr>
        <w:t xml:space="preserve">residente de la República para regular los aspectos relacionados </w:t>
      </w:r>
      <w:r w:rsidRPr="005D08AD">
        <w:rPr>
          <w:rFonts w:ascii="Times New Roman" w:hAnsi="Times New Roman" w:cs="Times New Roman"/>
          <w:szCs w:val="28"/>
          <w:shd w:val="clear" w:color="auto" w:fill="FFFFFF"/>
        </w:rPr>
        <w:t xml:space="preserve">con las armas, </w:t>
      </w:r>
      <w:r w:rsidRPr="005D08AD">
        <w:rPr>
          <w:rFonts w:ascii="Times New Roman" w:hAnsi="Times New Roman" w:cs="Times New Roman"/>
          <w:szCs w:val="28"/>
          <w:shd w:val="clear" w:color="auto" w:fill="FFFFFF"/>
        </w:rPr>
        <w:t>municiones y los explosivos, entre ellos</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la importación, la exportación y l</w:t>
      </w:r>
      <w:r w:rsidRPr="005D08AD">
        <w:rPr>
          <w:rFonts w:ascii="Times New Roman" w:hAnsi="Times New Roman" w:cs="Times New Roman"/>
          <w:szCs w:val="28"/>
          <w:shd w:val="clear" w:color="auto" w:fill="FFFFFF"/>
        </w:rPr>
        <w:t xml:space="preserve">a comercialización de </w:t>
      </w:r>
      <w:r w:rsidRPr="005D08AD">
        <w:rPr>
          <w:rFonts w:ascii="Times New Roman" w:hAnsi="Times New Roman" w:cs="Times New Roman"/>
          <w:szCs w:val="28"/>
          <w:shd w:val="clear" w:color="auto" w:fill="FFFFFF"/>
        </w:rPr>
        <w:t>esos</w:t>
      </w:r>
      <w:r w:rsidRPr="005D08AD">
        <w:rPr>
          <w:rFonts w:ascii="Times New Roman" w:hAnsi="Times New Roman" w:cs="Times New Roman"/>
          <w:szCs w:val="28"/>
          <w:shd w:val="clear" w:color="auto" w:fill="FFFFFF"/>
        </w:rPr>
        <w:t xml:space="preserve"> elementos.</w:t>
      </w:r>
    </w:p>
    <w:p w:rsidR="00983A94" w:rsidRPr="005D08AD" w:rsidRDefault="005D08AD" w:rsidP="005F72BB">
      <w:pPr>
        <w:pStyle w:val="Prrafodelista"/>
        <w:spacing w:after="0" w:line="240" w:lineRule="auto"/>
        <w:ind w:left="0"/>
        <w:mirrorIndents/>
        <w:rPr>
          <w:rFonts w:ascii="Times New Roman" w:hAnsi="Times New Roman" w:cs="Times New Roman"/>
          <w:szCs w:val="28"/>
          <w:shd w:val="clear" w:color="auto" w:fill="FFFFFF"/>
        </w:rPr>
      </w:pPr>
    </w:p>
    <w:p w:rsidR="0041522D" w:rsidRPr="005D08AD" w:rsidRDefault="005D08AD" w:rsidP="005F72BB">
      <w:pPr>
        <w:pStyle w:val="Prrafodelista"/>
        <w:numPr>
          <w:ilvl w:val="0"/>
          <w:numId w:val="4"/>
        </w:numPr>
        <w:spacing w:after="0" w:line="240" w:lineRule="auto"/>
        <w:mirrorIndents/>
        <w:jc w:val="both"/>
        <w:rPr>
          <w:rFonts w:ascii="Times New Roman" w:hAnsi="Times New Roman" w:cs="Times New Roman"/>
          <w:b/>
          <w:bCs/>
          <w:szCs w:val="28"/>
          <w:shd w:val="clear" w:color="auto" w:fill="FFFFFF"/>
        </w:rPr>
      </w:pPr>
      <w:r w:rsidRPr="005D08AD">
        <w:rPr>
          <w:rFonts w:ascii="Times New Roman" w:hAnsi="Times New Roman" w:cs="Times New Roman"/>
          <w:szCs w:val="28"/>
          <w:shd w:val="clear" w:color="auto" w:fill="FFFFFF"/>
        </w:rPr>
        <w:t>Esta facultad</w:t>
      </w:r>
      <w:r w:rsidRPr="005D08AD">
        <w:rPr>
          <w:rFonts w:ascii="Times New Roman" w:hAnsi="Times New Roman" w:cs="Times New Roman"/>
          <w:szCs w:val="28"/>
          <w:shd w:val="clear" w:color="auto" w:fill="FFFFFF"/>
        </w:rPr>
        <w:t xml:space="preserve"> se justificó, entre otros motivos, porque: </w:t>
      </w:r>
      <w:r w:rsidRPr="005D08AD">
        <w:rPr>
          <w:rFonts w:ascii="Times New Roman" w:hAnsi="Times New Roman" w:cs="Times New Roman"/>
          <w:i/>
          <w:iCs/>
          <w:szCs w:val="28"/>
          <w:shd w:val="clear" w:color="auto" w:fill="FFFFFF"/>
        </w:rPr>
        <w:t>(i)</w:t>
      </w:r>
      <w:r w:rsidRPr="005D08AD">
        <w:rPr>
          <w:rFonts w:ascii="Times New Roman" w:hAnsi="Times New Roman" w:cs="Times New Roman"/>
          <w:szCs w:val="28"/>
          <w:shd w:val="clear" w:color="auto" w:fill="FFFFFF"/>
        </w:rPr>
        <w:t xml:space="preserve"> “la realidad fáctica del país evidenciaba la necesidad de regular diversos aspectos relacionados con el uso y la tenencia de explosivos como una medida para avanzar hacia el logro de la paz, en tanto permitía contrarrestar los hechos de terrorismo frecuen</w:t>
      </w:r>
      <w:r w:rsidRPr="005D08AD">
        <w:rPr>
          <w:rFonts w:ascii="Times New Roman" w:hAnsi="Times New Roman" w:cs="Times New Roman"/>
          <w:szCs w:val="28"/>
          <w:shd w:val="clear" w:color="auto" w:fill="FFFFFF"/>
        </w:rPr>
        <w:t>tes en esa época”</w:t>
      </w:r>
      <w:r w:rsidRPr="005D08AD">
        <w:rPr>
          <w:rStyle w:val="Refdenotaalpie"/>
          <w:rFonts w:ascii="Times New Roman" w:hAnsi="Times New Roman"/>
          <w:szCs w:val="28"/>
          <w:shd w:val="clear" w:color="auto" w:fill="FFFFFF"/>
        </w:rPr>
        <w:footnoteReference w:id="73"/>
      </w:r>
      <w:r w:rsidRPr="005D08AD">
        <w:rPr>
          <w:rFonts w:ascii="Times New Roman" w:hAnsi="Times New Roman" w:cs="Times New Roman"/>
          <w:szCs w:val="28"/>
          <w:shd w:val="clear" w:color="auto" w:fill="FFFFFF"/>
        </w:rPr>
        <w:t xml:space="preserve">; y </w:t>
      </w:r>
      <w:r w:rsidRPr="005D08AD">
        <w:rPr>
          <w:rFonts w:ascii="Times New Roman" w:hAnsi="Times New Roman" w:cs="Times New Roman"/>
          <w:i/>
          <w:iCs/>
          <w:szCs w:val="28"/>
          <w:shd w:val="clear" w:color="auto" w:fill="FFFFFF"/>
        </w:rPr>
        <w:t>(ii)</w:t>
      </w:r>
      <w:r w:rsidRPr="005D08AD">
        <w:rPr>
          <w:rFonts w:ascii="Times New Roman" w:hAnsi="Times New Roman" w:cs="Times New Roman"/>
          <w:szCs w:val="28"/>
          <w:shd w:val="clear" w:color="auto" w:fill="FFFFFF"/>
        </w:rPr>
        <w:t xml:space="preserve"> el Congreso destacó que la regulación de armas, municiones y explosivos constituía un asunto especializado y complejo, que requería conocimientos técnicos </w:t>
      </w:r>
      <w:r w:rsidRPr="005D08AD">
        <w:rPr>
          <w:rFonts w:ascii="Times New Roman" w:hAnsi="Times New Roman" w:cs="Times New Roman"/>
          <w:szCs w:val="28"/>
          <w:shd w:val="clear" w:color="auto" w:fill="FFFFFF"/>
        </w:rPr>
        <w:t xml:space="preserve">y </w:t>
      </w:r>
      <w:r w:rsidRPr="005D08AD">
        <w:rPr>
          <w:rFonts w:ascii="Times New Roman" w:hAnsi="Times New Roman" w:cs="Times New Roman"/>
          <w:szCs w:val="28"/>
          <w:shd w:val="clear" w:color="auto" w:fill="FFFFFF"/>
        </w:rPr>
        <w:t>específico</w:t>
      </w:r>
      <w:r w:rsidRPr="005D08AD">
        <w:rPr>
          <w:rFonts w:ascii="Times New Roman" w:hAnsi="Times New Roman" w:cs="Times New Roman"/>
          <w:szCs w:val="28"/>
          <w:shd w:val="clear" w:color="auto" w:fill="FFFFFF"/>
        </w:rPr>
        <w:t>s</w:t>
      </w:r>
      <w:r w:rsidRPr="005D08AD">
        <w:rPr>
          <w:rFonts w:ascii="Times New Roman" w:hAnsi="Times New Roman" w:cs="Times New Roman"/>
          <w:szCs w:val="28"/>
          <w:shd w:val="clear" w:color="auto" w:fill="FFFFFF"/>
        </w:rPr>
        <w:t xml:space="preserve"> de los cuales no disponía. En efecto, en el trámite legislat</w:t>
      </w:r>
      <w:r w:rsidRPr="005D08AD">
        <w:rPr>
          <w:rFonts w:ascii="Times New Roman" w:hAnsi="Times New Roman" w:cs="Times New Roman"/>
          <w:szCs w:val="28"/>
          <w:shd w:val="clear" w:color="auto" w:fill="FFFFFF"/>
        </w:rPr>
        <w:t xml:space="preserve">ivo de </w:t>
      </w:r>
      <w:r w:rsidRPr="005D08AD">
        <w:rPr>
          <w:rFonts w:ascii="Times New Roman" w:hAnsi="Times New Roman" w:cs="Times New Roman"/>
          <w:szCs w:val="28"/>
          <w:shd w:val="clear" w:color="auto" w:fill="FFFFFF"/>
        </w:rPr>
        <w:t>la Ley 61 de 1993</w:t>
      </w:r>
      <w:r w:rsidRPr="005D08AD">
        <w:rPr>
          <w:rFonts w:ascii="Times New Roman" w:hAnsi="Times New Roman" w:cs="Times New Roman"/>
          <w:szCs w:val="28"/>
          <w:shd w:val="clear" w:color="auto" w:fill="FFFFFF"/>
        </w:rPr>
        <w:t xml:space="preserve"> el legislador indicó que</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lamentablemente el Congreso no dispon</w:t>
      </w:r>
      <w:r w:rsidRPr="005D08AD">
        <w:rPr>
          <w:rFonts w:ascii="Times New Roman" w:hAnsi="Times New Roman" w:cs="Times New Roman"/>
          <w:szCs w:val="28"/>
          <w:shd w:val="clear" w:color="auto" w:fill="FFFFFF"/>
        </w:rPr>
        <w:t>e</w:t>
      </w:r>
      <w:r w:rsidRPr="005D08AD">
        <w:rPr>
          <w:rFonts w:ascii="Times New Roman" w:hAnsi="Times New Roman" w:cs="Times New Roman"/>
          <w:szCs w:val="28"/>
          <w:shd w:val="clear" w:color="auto" w:fill="FFFFFF"/>
        </w:rPr>
        <w:t xml:space="preserve"> de asesores o funcionarios preparados (…) que puedan dar orientaciones precisas sobre el manejo y la estructura de armas, municiones y explosivos</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En todo caso, el S</w:t>
      </w:r>
      <w:r w:rsidRPr="005D08AD">
        <w:rPr>
          <w:rFonts w:ascii="Times New Roman" w:hAnsi="Times New Roman" w:cs="Times New Roman"/>
          <w:szCs w:val="28"/>
          <w:shd w:val="clear" w:color="auto" w:fill="FFFFFF"/>
        </w:rPr>
        <w:t xml:space="preserve">enado de la República y la Cámara de Representantes designaron tres de sus miembros para integrar la comisión asesora encargada de acompañar el ejercicio de </w:t>
      </w:r>
      <w:r w:rsidRPr="005D08AD">
        <w:rPr>
          <w:rFonts w:ascii="Times New Roman" w:hAnsi="Times New Roman" w:cs="Times New Roman"/>
          <w:szCs w:val="28"/>
          <w:shd w:val="clear" w:color="auto" w:fill="FFFFFF"/>
        </w:rPr>
        <w:t xml:space="preserve">las </w:t>
      </w:r>
      <w:r w:rsidRPr="005D08AD">
        <w:rPr>
          <w:rFonts w:ascii="Times New Roman" w:hAnsi="Times New Roman" w:cs="Times New Roman"/>
          <w:szCs w:val="28"/>
          <w:shd w:val="clear" w:color="auto" w:fill="FFFFFF"/>
        </w:rPr>
        <w:t>facultades legislativas extraordinarias</w:t>
      </w:r>
      <w:r w:rsidRPr="005D08AD">
        <w:rPr>
          <w:rStyle w:val="Refdenotaalpie"/>
          <w:rFonts w:ascii="Times New Roman" w:hAnsi="Times New Roman"/>
          <w:szCs w:val="28"/>
          <w:shd w:val="clear" w:color="auto" w:fill="FFFFFF"/>
        </w:rPr>
        <w:footnoteReference w:id="74"/>
      </w:r>
      <w:r w:rsidRPr="005D08AD">
        <w:rPr>
          <w:rFonts w:ascii="Times New Roman" w:hAnsi="Times New Roman" w:cs="Times New Roman"/>
          <w:szCs w:val="28"/>
          <w:shd w:val="clear" w:color="auto" w:fill="FFFFFF"/>
        </w:rPr>
        <w:t>.</w:t>
      </w:r>
    </w:p>
    <w:p w:rsidR="00717917" w:rsidRPr="005D08AD" w:rsidRDefault="005D08AD" w:rsidP="005F72BB">
      <w:pPr>
        <w:pStyle w:val="Prrafodelista"/>
        <w:spacing w:after="0" w:line="240" w:lineRule="auto"/>
        <w:ind w:left="0"/>
        <w:mirrorIndents/>
        <w:jc w:val="both"/>
        <w:rPr>
          <w:rFonts w:ascii="Times New Roman" w:hAnsi="Times New Roman" w:cs="Times New Roman"/>
          <w:b/>
          <w:bCs/>
          <w:szCs w:val="28"/>
          <w:shd w:val="clear" w:color="auto" w:fill="FFFFFF"/>
        </w:rPr>
      </w:pPr>
    </w:p>
    <w:p w:rsidR="00BA6948"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Así, el</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p</w:t>
      </w:r>
      <w:r w:rsidRPr="005D08AD">
        <w:rPr>
          <w:rFonts w:ascii="Times New Roman" w:hAnsi="Times New Roman" w:cs="Times New Roman"/>
          <w:szCs w:val="28"/>
          <w:shd w:val="clear" w:color="auto" w:fill="FFFFFF"/>
        </w:rPr>
        <w:t>residente de la República, en atención a</w:t>
      </w:r>
      <w:r w:rsidRPr="005D08AD">
        <w:rPr>
          <w:rFonts w:ascii="Times New Roman" w:hAnsi="Times New Roman" w:cs="Times New Roman"/>
          <w:szCs w:val="28"/>
          <w:shd w:val="clear" w:color="auto" w:fill="FFFFFF"/>
        </w:rPr>
        <w:t xml:space="preserve"> la facultad otorgada en la Ley 61 de 1993</w:t>
      </w:r>
      <w:r w:rsidRPr="005D08AD">
        <w:rPr>
          <w:rStyle w:val="Refdenotaalpie"/>
          <w:rFonts w:ascii="Times New Roman" w:hAnsi="Times New Roman"/>
          <w:szCs w:val="28"/>
          <w:shd w:val="clear" w:color="auto" w:fill="FFFFFF"/>
        </w:rPr>
        <w:footnoteReference w:id="75"/>
      </w:r>
      <w:r w:rsidRPr="005D08AD">
        <w:rPr>
          <w:rFonts w:ascii="Times New Roman" w:hAnsi="Times New Roman" w:cs="Times New Roman"/>
          <w:szCs w:val="28"/>
          <w:shd w:val="clear" w:color="auto" w:fill="FFFFFF"/>
        </w:rPr>
        <w:t>, expidió</w:t>
      </w:r>
      <w:r w:rsidRPr="005D08AD">
        <w:rPr>
          <w:rFonts w:ascii="Times New Roman" w:hAnsi="Times New Roman" w:cs="Times New Roman"/>
          <w:szCs w:val="28"/>
          <w:shd w:val="clear" w:color="auto" w:fill="FFFFFF"/>
        </w:rPr>
        <w:t xml:space="preserve"> el Decreto Ley 2535 de 1993</w:t>
      </w:r>
      <w:r w:rsidRPr="005D08AD">
        <w:rPr>
          <w:rFonts w:ascii="Times New Roman" w:hAnsi="Times New Roman" w:cs="Times New Roman"/>
          <w:szCs w:val="28"/>
          <w:shd w:val="clear" w:color="auto" w:fill="FFFFFF"/>
        </w:rPr>
        <w:t>, por medio del cual</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fijó el concepto de armas, municiones y explosivos. Asimismo</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reguló</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los </w:t>
      </w:r>
      <w:r w:rsidRPr="005D08AD">
        <w:rPr>
          <w:rFonts w:ascii="Times New Roman" w:hAnsi="Times New Roman" w:cs="Times New Roman"/>
          <w:szCs w:val="28"/>
          <w:shd w:val="clear" w:color="auto" w:fill="FFFFFF"/>
        </w:rPr>
        <w:t xml:space="preserve">requisitos para </w:t>
      </w:r>
      <w:r w:rsidRPr="005D08AD">
        <w:rPr>
          <w:rFonts w:ascii="Times New Roman" w:hAnsi="Times New Roman" w:cs="Times New Roman"/>
          <w:szCs w:val="28"/>
          <w:shd w:val="clear" w:color="auto" w:fill="FFFFFF"/>
        </w:rPr>
        <w:t>su</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uso, </w:t>
      </w:r>
      <w:r w:rsidRPr="005D08AD">
        <w:rPr>
          <w:rFonts w:ascii="Times New Roman" w:hAnsi="Times New Roman" w:cs="Times New Roman"/>
          <w:szCs w:val="28"/>
          <w:shd w:val="clear" w:color="auto" w:fill="FFFFFF"/>
        </w:rPr>
        <w:t>así:</w:t>
      </w:r>
    </w:p>
    <w:p w:rsidR="001154C8" w:rsidRPr="005D08AD" w:rsidRDefault="005D08AD" w:rsidP="005F72BB">
      <w:pPr>
        <w:pStyle w:val="Prrafodelista"/>
        <w:spacing w:after="0" w:line="240" w:lineRule="auto"/>
        <w:ind w:left="0"/>
        <w:mirrorIndents/>
        <w:rPr>
          <w:rFonts w:ascii="Times New Roman" w:hAnsi="Times New Roman" w:cs="Times New Roman"/>
          <w:szCs w:val="28"/>
          <w:shd w:val="clear" w:color="auto" w:fill="FFFFFF"/>
        </w:rPr>
      </w:pPr>
    </w:p>
    <w:tbl>
      <w:tblPr>
        <w:tblStyle w:val="Tablaconcuadrcula"/>
        <w:tblW w:w="0" w:type="auto"/>
        <w:tblLook w:val="04A0" w:firstRow="1" w:lastRow="0" w:firstColumn="1" w:lastColumn="0" w:noHBand="0" w:noVBand="1"/>
      </w:tblPr>
      <w:tblGrid>
        <w:gridCol w:w="1271"/>
        <w:gridCol w:w="3402"/>
        <w:gridCol w:w="4155"/>
      </w:tblGrid>
      <w:tr w:rsidR="00270B0D" w:rsidRPr="005D08AD" w:rsidTr="00DC791A">
        <w:trPr>
          <w:trHeight w:val="123"/>
        </w:trPr>
        <w:tc>
          <w:tcPr>
            <w:tcW w:w="8828" w:type="dxa"/>
            <w:gridSpan w:val="3"/>
            <w:shd w:val="clear" w:color="auto" w:fill="D0CECE" w:themeFill="background2" w:themeFillShade="E6"/>
          </w:tcPr>
          <w:p w:rsidR="00270B0D" w:rsidRPr="005D08AD" w:rsidRDefault="005D08AD" w:rsidP="005F72BB">
            <w:pPr>
              <w:pStyle w:val="Prrafodelista"/>
              <w:spacing w:after="0" w:line="240" w:lineRule="auto"/>
              <w:ind w:left="0"/>
              <w:mirrorIndents/>
              <w:jc w:val="center"/>
              <w:rPr>
                <w:b/>
                <w:bCs/>
                <w:szCs w:val="20"/>
                <w:highlight w:val="lightGray"/>
                <w:shd w:val="clear" w:color="auto" w:fill="FFFFFF"/>
              </w:rPr>
            </w:pPr>
            <w:r w:rsidRPr="005D08AD">
              <w:rPr>
                <w:b/>
                <w:bCs/>
                <w:szCs w:val="20"/>
                <w:highlight w:val="lightGray"/>
                <w:shd w:val="clear" w:color="auto" w:fill="FFFFFF"/>
              </w:rPr>
              <w:t>Monopolio del Estado en</w:t>
            </w:r>
            <w:r w:rsidRPr="005D08AD">
              <w:rPr>
                <w:b/>
                <w:bCs/>
                <w:szCs w:val="20"/>
                <w:highlight w:val="lightGray"/>
                <w:shd w:val="clear" w:color="auto" w:fill="FFFFFF"/>
              </w:rPr>
              <w:t xml:space="preserve"> el uso de armas, municiones y explosivos</w:t>
            </w:r>
          </w:p>
        </w:tc>
      </w:tr>
      <w:tr w:rsidR="001154C8" w:rsidRPr="005D08AD" w:rsidTr="002A44AA">
        <w:tc>
          <w:tcPr>
            <w:tcW w:w="1271" w:type="dxa"/>
            <w:shd w:val="clear" w:color="auto" w:fill="D0CECE" w:themeFill="background2" w:themeFillShade="E6"/>
          </w:tcPr>
          <w:p w:rsidR="001154C8" w:rsidRPr="005D08AD" w:rsidRDefault="005D08AD" w:rsidP="005F72BB">
            <w:pPr>
              <w:pStyle w:val="Prrafodelista"/>
              <w:spacing w:after="0" w:line="240" w:lineRule="auto"/>
              <w:ind w:left="0"/>
              <w:mirrorIndents/>
              <w:jc w:val="center"/>
              <w:rPr>
                <w:b/>
                <w:bCs/>
                <w:szCs w:val="20"/>
                <w:highlight w:val="lightGray"/>
                <w:shd w:val="clear" w:color="auto" w:fill="FFFFFF"/>
              </w:rPr>
            </w:pPr>
            <w:r w:rsidRPr="005D08AD">
              <w:rPr>
                <w:b/>
                <w:bCs/>
                <w:szCs w:val="20"/>
                <w:highlight w:val="lightGray"/>
                <w:shd w:val="clear" w:color="auto" w:fill="FFFFFF"/>
              </w:rPr>
              <w:t>Elemento</w:t>
            </w:r>
          </w:p>
        </w:tc>
        <w:tc>
          <w:tcPr>
            <w:tcW w:w="3402" w:type="dxa"/>
            <w:shd w:val="clear" w:color="auto" w:fill="D0CECE" w:themeFill="background2" w:themeFillShade="E6"/>
          </w:tcPr>
          <w:p w:rsidR="001154C8" w:rsidRPr="005D08AD" w:rsidRDefault="005D08AD" w:rsidP="005F72BB">
            <w:pPr>
              <w:pStyle w:val="Prrafodelista"/>
              <w:spacing w:after="0" w:line="240" w:lineRule="auto"/>
              <w:ind w:left="0"/>
              <w:mirrorIndents/>
              <w:jc w:val="center"/>
              <w:rPr>
                <w:b/>
                <w:bCs/>
                <w:szCs w:val="20"/>
                <w:highlight w:val="lightGray"/>
                <w:shd w:val="clear" w:color="auto" w:fill="FFFFFF"/>
              </w:rPr>
            </w:pPr>
            <w:r w:rsidRPr="005D08AD">
              <w:rPr>
                <w:b/>
                <w:bCs/>
                <w:szCs w:val="20"/>
                <w:highlight w:val="lightGray"/>
                <w:shd w:val="clear" w:color="auto" w:fill="FFFFFF"/>
              </w:rPr>
              <w:t>Concepto</w:t>
            </w:r>
          </w:p>
        </w:tc>
        <w:tc>
          <w:tcPr>
            <w:tcW w:w="4155" w:type="dxa"/>
            <w:shd w:val="clear" w:color="auto" w:fill="D0CECE" w:themeFill="background2" w:themeFillShade="E6"/>
          </w:tcPr>
          <w:p w:rsidR="001154C8" w:rsidRPr="005D08AD" w:rsidRDefault="005D08AD" w:rsidP="005F72BB">
            <w:pPr>
              <w:pStyle w:val="Prrafodelista"/>
              <w:spacing w:after="0" w:line="240" w:lineRule="auto"/>
              <w:ind w:left="0"/>
              <w:mirrorIndents/>
              <w:jc w:val="center"/>
              <w:rPr>
                <w:b/>
                <w:bCs/>
                <w:szCs w:val="20"/>
                <w:highlight w:val="lightGray"/>
                <w:shd w:val="clear" w:color="auto" w:fill="FFFFFF"/>
              </w:rPr>
            </w:pPr>
            <w:r w:rsidRPr="005D08AD">
              <w:rPr>
                <w:b/>
                <w:bCs/>
                <w:szCs w:val="20"/>
                <w:highlight w:val="lightGray"/>
                <w:shd w:val="clear" w:color="auto" w:fill="FFFFFF"/>
              </w:rPr>
              <w:t>Permiso de uso</w:t>
            </w:r>
          </w:p>
        </w:tc>
      </w:tr>
      <w:tr w:rsidR="001154C8" w:rsidRPr="005D08AD" w:rsidTr="002A44AA">
        <w:tc>
          <w:tcPr>
            <w:tcW w:w="1271" w:type="dxa"/>
          </w:tcPr>
          <w:p w:rsidR="001154C8" w:rsidRPr="005D08AD" w:rsidRDefault="005D08AD" w:rsidP="005F72BB">
            <w:pPr>
              <w:pStyle w:val="Prrafodelista"/>
              <w:spacing w:after="0" w:line="240" w:lineRule="auto"/>
              <w:ind w:left="0"/>
              <w:mirrorIndents/>
              <w:jc w:val="center"/>
              <w:rPr>
                <w:i/>
                <w:iCs/>
                <w:szCs w:val="20"/>
                <w:shd w:val="clear" w:color="auto" w:fill="FFFFFF"/>
              </w:rPr>
            </w:pPr>
            <w:r w:rsidRPr="005D08AD">
              <w:rPr>
                <w:i/>
                <w:iCs/>
                <w:szCs w:val="20"/>
                <w:shd w:val="clear" w:color="auto" w:fill="FFFFFF"/>
              </w:rPr>
              <w:t>Armas</w:t>
            </w:r>
          </w:p>
        </w:tc>
        <w:tc>
          <w:tcPr>
            <w:tcW w:w="3402" w:type="dxa"/>
          </w:tcPr>
          <w:p w:rsidR="001154C8" w:rsidRPr="005D08AD" w:rsidRDefault="005D08AD" w:rsidP="005F72BB">
            <w:pPr>
              <w:pStyle w:val="Prrafodelista"/>
              <w:spacing w:after="0" w:line="240" w:lineRule="auto"/>
              <w:ind w:left="0"/>
              <w:mirrorIndents/>
              <w:jc w:val="both"/>
              <w:rPr>
                <w:szCs w:val="20"/>
                <w:shd w:val="clear" w:color="auto" w:fill="FFFFFF"/>
              </w:rPr>
            </w:pPr>
            <w:r w:rsidRPr="005D08AD">
              <w:rPr>
                <w:szCs w:val="20"/>
                <w:shd w:val="clear" w:color="auto" w:fill="FFFFFF"/>
              </w:rPr>
              <w:t>“s</w:t>
            </w:r>
            <w:r w:rsidRPr="005D08AD">
              <w:rPr>
                <w:szCs w:val="20"/>
                <w:shd w:val="clear" w:color="auto" w:fill="FFFFFF"/>
              </w:rPr>
              <w:t xml:space="preserve">on todos aquellos instrumentos fabricados </w:t>
            </w:r>
            <w:r w:rsidRPr="005D08AD">
              <w:rPr>
                <w:szCs w:val="20"/>
                <w:shd w:val="clear" w:color="auto" w:fill="FFFFFF"/>
              </w:rPr>
              <w:t>con el propósito de producir amenaza, lesión o muerte a una persona</w:t>
            </w:r>
            <w:r w:rsidRPr="005D08AD">
              <w:rPr>
                <w:rStyle w:val="Refdenotaalpie"/>
                <w:szCs w:val="20"/>
                <w:shd w:val="clear" w:color="auto" w:fill="FFFFFF"/>
              </w:rPr>
              <w:footnoteReference w:id="76"/>
            </w:r>
            <w:r w:rsidRPr="005D08AD">
              <w:rPr>
                <w:szCs w:val="20"/>
                <w:shd w:val="clear" w:color="auto" w:fill="FFFFFF"/>
              </w:rPr>
              <w:t xml:space="preserve">”. En ese sentido, este elemento se puede clasificar en tres </w:t>
            </w:r>
            <w:r w:rsidRPr="005D08AD">
              <w:rPr>
                <w:szCs w:val="20"/>
                <w:shd w:val="clear" w:color="auto" w:fill="FFFFFF"/>
              </w:rPr>
              <w:t>tipos</w:t>
            </w:r>
            <w:r w:rsidRPr="005D08AD">
              <w:rPr>
                <w:szCs w:val="20"/>
                <w:shd w:val="clear" w:color="auto" w:fill="FFFFFF"/>
              </w:rPr>
              <w:t xml:space="preserve"> generales</w:t>
            </w:r>
            <w:r w:rsidRPr="005D08AD">
              <w:rPr>
                <w:szCs w:val="20"/>
                <w:shd w:val="clear" w:color="auto" w:fill="FFFFFF"/>
              </w:rPr>
              <w:t>: (i) armas de</w:t>
            </w:r>
            <w:r w:rsidRPr="005D08AD">
              <w:rPr>
                <w:szCs w:val="20"/>
                <w:shd w:val="clear" w:color="auto" w:fill="FFFFFF"/>
              </w:rPr>
              <w:t xml:space="preserve"> </w:t>
            </w:r>
            <w:r w:rsidRPr="005D08AD">
              <w:rPr>
                <w:szCs w:val="20"/>
                <w:shd w:val="clear" w:color="auto" w:fill="FFFFFF"/>
              </w:rPr>
              <w:t>guerra o de uso de la fuerza pública</w:t>
            </w:r>
            <w:r w:rsidRPr="005D08AD">
              <w:rPr>
                <w:szCs w:val="20"/>
                <w:shd w:val="clear" w:color="auto" w:fill="FFFFFF"/>
              </w:rPr>
              <w:t xml:space="preserve">, (ii) armas </w:t>
            </w:r>
            <w:r w:rsidRPr="005D08AD">
              <w:rPr>
                <w:szCs w:val="20"/>
                <w:shd w:val="clear" w:color="auto" w:fill="FFFFFF"/>
              </w:rPr>
              <w:t xml:space="preserve">de uso restringido </w:t>
            </w:r>
            <w:r w:rsidRPr="005D08AD">
              <w:rPr>
                <w:szCs w:val="20"/>
                <w:shd w:val="clear" w:color="auto" w:fill="FFFFFF"/>
              </w:rPr>
              <w:t xml:space="preserve">y; (iii) armas de </w:t>
            </w:r>
            <w:r w:rsidRPr="005D08AD">
              <w:rPr>
                <w:szCs w:val="20"/>
                <w:shd w:val="clear" w:color="auto" w:fill="FFFFFF"/>
              </w:rPr>
              <w:t>uso civil</w:t>
            </w:r>
            <w:r w:rsidRPr="005D08AD">
              <w:rPr>
                <w:rStyle w:val="Refdenotaalpie"/>
                <w:szCs w:val="20"/>
                <w:shd w:val="clear" w:color="auto" w:fill="FFFFFF"/>
              </w:rPr>
              <w:footnoteReference w:id="77"/>
            </w:r>
            <w:r w:rsidRPr="005D08AD">
              <w:rPr>
                <w:szCs w:val="20"/>
                <w:shd w:val="clear" w:color="auto" w:fill="FFFFFF"/>
              </w:rPr>
              <w:t>.</w:t>
            </w:r>
            <w:r w:rsidRPr="005D08AD">
              <w:rPr>
                <w:szCs w:val="20"/>
                <w:shd w:val="clear" w:color="auto" w:fill="FFFFFF"/>
              </w:rPr>
              <w:t xml:space="preserve"> </w:t>
            </w:r>
          </w:p>
        </w:tc>
        <w:tc>
          <w:tcPr>
            <w:tcW w:w="4155" w:type="dxa"/>
          </w:tcPr>
          <w:p w:rsidR="001154C8" w:rsidRPr="005D08AD" w:rsidRDefault="005D08AD" w:rsidP="005F72BB">
            <w:pPr>
              <w:pStyle w:val="Prrafodelista"/>
              <w:spacing w:after="0" w:line="240" w:lineRule="auto"/>
              <w:ind w:left="0"/>
              <w:mirrorIndents/>
              <w:jc w:val="both"/>
              <w:rPr>
                <w:szCs w:val="20"/>
                <w:shd w:val="clear" w:color="auto" w:fill="FFFFFF"/>
              </w:rPr>
            </w:pPr>
            <w:r w:rsidRPr="005D08AD">
              <w:rPr>
                <w:szCs w:val="20"/>
                <w:shd w:val="clear" w:color="auto" w:fill="FFFFFF"/>
              </w:rPr>
              <w:t>La interpretación sistemática del Decreto Ley 2535 de 1993 permite establecer que, cuando se hace referencia a las armas, su us</w:t>
            </w:r>
            <w:r w:rsidRPr="005D08AD">
              <w:rPr>
                <w:szCs w:val="20"/>
                <w:shd w:val="clear" w:color="auto" w:fill="FFFFFF"/>
              </w:rPr>
              <w:t>o se restringe a dos situaciones concretas: la tenencia y el porte. En efecto, conforme a dicho decreto, el uso de estos elementos se encuentra supeditado a la expedición de alguno de los permisos previstos en la norma. En primer lugar, el permiso de tenen</w:t>
            </w:r>
            <w:r w:rsidRPr="005D08AD">
              <w:rPr>
                <w:szCs w:val="20"/>
                <w:shd w:val="clear" w:color="auto" w:fill="FFFFFF"/>
              </w:rPr>
              <w:t>cia autoriza al titular a mantener el arma en el inmueble declarado</w:t>
            </w:r>
            <w:r w:rsidRPr="005D08AD">
              <w:rPr>
                <w:rStyle w:val="Refdenotaalpie"/>
                <w:szCs w:val="20"/>
                <w:shd w:val="clear" w:color="auto" w:fill="FFFFFF"/>
              </w:rPr>
              <w:footnoteReference w:id="78"/>
            </w:r>
            <w:r w:rsidRPr="005D08AD">
              <w:rPr>
                <w:szCs w:val="20"/>
                <w:shd w:val="clear" w:color="auto" w:fill="FFFFFF"/>
              </w:rPr>
              <w:t>. En segundo término, el permiso de porte faculta al titular para llevar consigo el arma</w:t>
            </w:r>
            <w:r w:rsidRPr="005D08AD">
              <w:rPr>
                <w:rStyle w:val="Refdenotaalpie"/>
                <w:szCs w:val="20"/>
                <w:shd w:val="clear" w:color="auto" w:fill="FFFFFF"/>
              </w:rPr>
              <w:footnoteReference w:id="79"/>
            </w:r>
            <w:r w:rsidRPr="005D08AD">
              <w:rPr>
                <w:szCs w:val="20"/>
                <w:shd w:val="clear" w:color="auto" w:fill="FFFFFF"/>
              </w:rPr>
              <w:t>. Finalmente, el permiso especial se expide para la tenencia o el porte de armas destinadas a la pr</w:t>
            </w:r>
            <w:r w:rsidRPr="005D08AD">
              <w:rPr>
                <w:szCs w:val="20"/>
                <w:shd w:val="clear" w:color="auto" w:fill="FFFFFF"/>
              </w:rPr>
              <w:t>otección de misiones diplomáticas o de funcionarios extranjeros</w:t>
            </w:r>
            <w:r w:rsidRPr="005D08AD">
              <w:rPr>
                <w:rStyle w:val="Refdenotaalpie"/>
                <w:szCs w:val="20"/>
                <w:shd w:val="clear" w:color="auto" w:fill="FFFFFF"/>
              </w:rPr>
              <w:footnoteReference w:id="80"/>
            </w:r>
            <w:r w:rsidRPr="005D08AD">
              <w:rPr>
                <w:szCs w:val="20"/>
                <w:shd w:val="clear" w:color="auto" w:fill="FFFFFF"/>
              </w:rPr>
              <w:t>.</w:t>
            </w:r>
          </w:p>
        </w:tc>
      </w:tr>
      <w:tr w:rsidR="007A4F11" w:rsidRPr="005D08AD" w:rsidTr="002A44AA">
        <w:tc>
          <w:tcPr>
            <w:tcW w:w="1271" w:type="dxa"/>
          </w:tcPr>
          <w:p w:rsidR="007A4F11" w:rsidRPr="005D08AD" w:rsidRDefault="005D08AD" w:rsidP="005F72BB">
            <w:pPr>
              <w:pStyle w:val="Prrafodelista"/>
              <w:spacing w:after="0" w:line="240" w:lineRule="auto"/>
              <w:ind w:left="0"/>
              <w:mirrorIndents/>
              <w:jc w:val="center"/>
              <w:rPr>
                <w:i/>
                <w:iCs/>
                <w:szCs w:val="20"/>
                <w:shd w:val="clear" w:color="auto" w:fill="FFFFFF"/>
              </w:rPr>
            </w:pPr>
            <w:r w:rsidRPr="005D08AD">
              <w:rPr>
                <w:i/>
                <w:iCs/>
                <w:szCs w:val="20"/>
                <w:shd w:val="clear" w:color="auto" w:fill="FFFFFF"/>
              </w:rPr>
              <w:t>Municiones</w:t>
            </w:r>
          </w:p>
        </w:tc>
        <w:tc>
          <w:tcPr>
            <w:tcW w:w="3402" w:type="dxa"/>
          </w:tcPr>
          <w:p w:rsidR="007A4F11" w:rsidRPr="005D08AD" w:rsidRDefault="005D08AD" w:rsidP="005F72BB">
            <w:pPr>
              <w:pStyle w:val="Prrafodelista"/>
              <w:spacing w:after="0" w:line="240" w:lineRule="auto"/>
              <w:ind w:left="0"/>
              <w:mirrorIndents/>
              <w:jc w:val="both"/>
              <w:rPr>
                <w:szCs w:val="20"/>
                <w:shd w:val="clear" w:color="auto" w:fill="FFFFFF"/>
              </w:rPr>
            </w:pPr>
            <w:r w:rsidRPr="005D08AD">
              <w:rPr>
                <w:szCs w:val="20"/>
                <w:shd w:val="clear" w:color="auto" w:fill="FFFFFF"/>
              </w:rPr>
              <w:t>“[s]e entiende por munición, la carga de armas de fuego necesarias para su funcionamiento (…)”</w:t>
            </w:r>
            <w:r w:rsidRPr="005D08AD">
              <w:rPr>
                <w:rStyle w:val="Refdenotaalpie"/>
                <w:szCs w:val="20"/>
                <w:shd w:val="clear" w:color="auto" w:fill="FFFFFF"/>
              </w:rPr>
              <w:footnoteReference w:id="81"/>
            </w:r>
          </w:p>
        </w:tc>
        <w:tc>
          <w:tcPr>
            <w:tcW w:w="4155" w:type="dxa"/>
            <w:vMerge w:val="restart"/>
          </w:tcPr>
          <w:p w:rsidR="0024081D" w:rsidRPr="005D08AD" w:rsidRDefault="005D08AD" w:rsidP="005F72BB">
            <w:pPr>
              <w:pStyle w:val="Prrafodelista"/>
              <w:spacing w:after="0" w:line="240" w:lineRule="auto"/>
              <w:ind w:left="0"/>
              <w:mirrorIndents/>
              <w:jc w:val="both"/>
              <w:rPr>
                <w:szCs w:val="20"/>
                <w:shd w:val="clear" w:color="auto" w:fill="FFFFFF"/>
              </w:rPr>
            </w:pPr>
            <w:r w:rsidRPr="005D08AD">
              <w:rPr>
                <w:szCs w:val="20"/>
                <w:shd w:val="clear" w:color="auto" w:fill="FFFFFF"/>
              </w:rPr>
              <w:t>En cuanto al uso de las municiones y de los explosivos, la interpretación sistemática del Decreto Ley 2535 de 1993 permite establecer que su utilización está precedida por su adquisición. En efecto, el artículo 32 de dicho decreto dispone que “son competen</w:t>
            </w:r>
            <w:r w:rsidRPr="005D08AD">
              <w:rPr>
                <w:szCs w:val="20"/>
                <w:shd w:val="clear" w:color="auto" w:fill="FFFFFF"/>
              </w:rPr>
              <w:t xml:space="preserve">tes para la expedición y revalidación de permisos para la tenencia y el porte de armas, </w:t>
            </w:r>
            <w:r w:rsidRPr="005D08AD">
              <w:rPr>
                <w:i/>
                <w:iCs/>
                <w:szCs w:val="20"/>
                <w:shd w:val="clear" w:color="auto" w:fill="FFFFFF"/>
              </w:rPr>
              <w:t>así como para la venta de municiones y explosivos</w:t>
            </w:r>
            <w:r w:rsidRPr="005D08AD">
              <w:rPr>
                <w:szCs w:val="20"/>
                <w:shd w:val="clear" w:color="auto" w:fill="FFFFFF"/>
              </w:rPr>
              <w:t>, en los lugares que determine el Ministerio de Defensa Nacional, las siguientes autoridades militares”. En la misma lí</w:t>
            </w:r>
            <w:r w:rsidRPr="005D08AD">
              <w:rPr>
                <w:szCs w:val="20"/>
                <w:shd w:val="clear" w:color="auto" w:fill="FFFFFF"/>
              </w:rPr>
              <w:t xml:space="preserve">nea, el artículo 48 señala que “las autoridades militares de que trata el presente Decreto </w:t>
            </w:r>
            <w:r w:rsidRPr="005D08AD">
              <w:rPr>
                <w:i/>
                <w:iCs/>
                <w:szCs w:val="20"/>
                <w:shd w:val="clear" w:color="auto" w:fill="FFFFFF"/>
              </w:rPr>
              <w:t>podrán vender municiones a los titulares de los permisos correspondiente</w:t>
            </w:r>
            <w:r w:rsidRPr="005D08AD">
              <w:rPr>
                <w:szCs w:val="20"/>
                <w:shd w:val="clear" w:color="auto" w:fill="FFFFFF"/>
              </w:rPr>
              <w:t>s”. Adicionalmente, el Capítulo II del Título IV regula los requisitos para la venta de explo</w:t>
            </w:r>
            <w:r w:rsidRPr="005D08AD">
              <w:rPr>
                <w:szCs w:val="20"/>
                <w:shd w:val="clear" w:color="auto" w:fill="FFFFFF"/>
              </w:rPr>
              <w:t xml:space="preserve">sivos y, en su artículo 52, establece que “toda persona natural o jurídica que </w:t>
            </w:r>
            <w:r w:rsidRPr="005D08AD">
              <w:rPr>
                <w:i/>
                <w:iCs/>
                <w:szCs w:val="20"/>
                <w:shd w:val="clear" w:color="auto" w:fill="FFFFFF"/>
              </w:rPr>
              <w:t>adquiera explosivos</w:t>
            </w:r>
            <w:r w:rsidRPr="005D08AD">
              <w:rPr>
                <w:szCs w:val="20"/>
                <w:shd w:val="clear" w:color="auto" w:fill="FFFFFF"/>
              </w:rPr>
              <w:t xml:space="preserve"> responde por su correcta y exclusiva utilización </w:t>
            </w:r>
            <w:r w:rsidRPr="005D08AD">
              <w:rPr>
                <w:i/>
                <w:iCs/>
                <w:szCs w:val="20"/>
                <w:shd w:val="clear" w:color="auto" w:fill="FFFFFF"/>
              </w:rPr>
              <w:t>para los fines detallados en la solicitud de compra</w:t>
            </w:r>
            <w:r w:rsidRPr="005D08AD">
              <w:rPr>
                <w:szCs w:val="20"/>
                <w:shd w:val="clear" w:color="auto" w:fill="FFFFFF"/>
              </w:rPr>
              <w:t>”, y que el comprador será acreedor a las sanciones legal</w:t>
            </w:r>
            <w:r w:rsidRPr="005D08AD">
              <w:rPr>
                <w:szCs w:val="20"/>
                <w:shd w:val="clear" w:color="auto" w:fill="FFFFFF"/>
              </w:rPr>
              <w:t>es a que haya lugar por el uso indebido o por una destinación distinta, cuando ello obedezca a dolo, negligencia o descuido en las medidas de control establecidas.</w:t>
            </w:r>
          </w:p>
        </w:tc>
      </w:tr>
      <w:tr w:rsidR="007A4F11" w:rsidRPr="005D08AD" w:rsidTr="002A44AA">
        <w:tc>
          <w:tcPr>
            <w:tcW w:w="1271" w:type="dxa"/>
          </w:tcPr>
          <w:p w:rsidR="007A4F11" w:rsidRPr="005D08AD" w:rsidRDefault="005D08AD" w:rsidP="005F72BB">
            <w:pPr>
              <w:pStyle w:val="Prrafodelista"/>
              <w:spacing w:after="0" w:line="240" w:lineRule="auto"/>
              <w:ind w:left="0"/>
              <w:mirrorIndents/>
              <w:jc w:val="center"/>
              <w:rPr>
                <w:i/>
                <w:iCs/>
                <w:szCs w:val="20"/>
                <w:shd w:val="clear" w:color="auto" w:fill="FFFFFF"/>
              </w:rPr>
            </w:pPr>
            <w:r w:rsidRPr="005D08AD">
              <w:rPr>
                <w:i/>
                <w:iCs/>
                <w:szCs w:val="20"/>
                <w:shd w:val="clear" w:color="auto" w:fill="FFFFFF"/>
              </w:rPr>
              <w:t>Explosivos</w:t>
            </w:r>
          </w:p>
        </w:tc>
        <w:tc>
          <w:tcPr>
            <w:tcW w:w="3402" w:type="dxa"/>
          </w:tcPr>
          <w:p w:rsidR="007A4F11" w:rsidRPr="005D08AD" w:rsidRDefault="005D08AD" w:rsidP="005F72BB">
            <w:pPr>
              <w:pStyle w:val="Prrafodelista"/>
              <w:spacing w:after="0" w:line="240" w:lineRule="auto"/>
              <w:ind w:left="0"/>
              <w:mirrorIndents/>
              <w:jc w:val="both"/>
              <w:rPr>
                <w:szCs w:val="20"/>
                <w:shd w:val="clear" w:color="auto" w:fill="FFFFFF"/>
              </w:rPr>
            </w:pPr>
            <w:r w:rsidRPr="005D08AD">
              <w:rPr>
                <w:szCs w:val="20"/>
                <w:shd w:val="clear" w:color="auto" w:fill="FFFFFF"/>
              </w:rPr>
              <w:t xml:space="preserve">“[s]e entiende por explosivo, todo cuerpo o mezcla que en determinadas </w:t>
            </w:r>
            <w:r w:rsidRPr="005D08AD">
              <w:rPr>
                <w:szCs w:val="20"/>
                <w:shd w:val="clear" w:color="auto" w:fill="FFFFFF"/>
              </w:rPr>
              <w:t>condiciones puede producir rápidamente una gran cantidad de gases con violentos efectos mecánicos o térmicos”</w:t>
            </w:r>
            <w:r w:rsidRPr="005D08AD">
              <w:rPr>
                <w:rStyle w:val="Refdenotaalpie"/>
                <w:szCs w:val="20"/>
                <w:shd w:val="clear" w:color="auto" w:fill="FFFFFF"/>
              </w:rPr>
              <w:footnoteReference w:id="82"/>
            </w:r>
          </w:p>
        </w:tc>
        <w:tc>
          <w:tcPr>
            <w:tcW w:w="4155" w:type="dxa"/>
            <w:vMerge/>
          </w:tcPr>
          <w:p w:rsidR="007A4F11" w:rsidRPr="005D08AD" w:rsidRDefault="005D08AD" w:rsidP="005F72BB">
            <w:pPr>
              <w:pStyle w:val="Prrafodelista"/>
              <w:spacing w:after="0" w:line="240" w:lineRule="auto"/>
              <w:ind w:left="0"/>
              <w:mirrorIndents/>
              <w:jc w:val="both"/>
              <w:rPr>
                <w:szCs w:val="20"/>
                <w:shd w:val="clear" w:color="auto" w:fill="FFFFFF"/>
              </w:rPr>
            </w:pPr>
          </w:p>
        </w:tc>
      </w:tr>
    </w:tbl>
    <w:p w:rsidR="00F77A83" w:rsidRPr="005D08AD" w:rsidRDefault="005D08AD" w:rsidP="005F72BB">
      <w:pPr>
        <w:pStyle w:val="Prrafodelista"/>
        <w:spacing w:after="0" w:line="240" w:lineRule="auto"/>
        <w:ind w:left="0"/>
        <w:mirrorIndents/>
        <w:jc w:val="right"/>
        <w:rPr>
          <w:rFonts w:ascii="Times New Roman" w:hAnsi="Times New Roman" w:cs="Times New Roman"/>
          <w:szCs w:val="20"/>
          <w:shd w:val="clear" w:color="auto" w:fill="FFFFFF"/>
        </w:rPr>
      </w:pPr>
      <w:r w:rsidRPr="005D08AD">
        <w:rPr>
          <w:rFonts w:ascii="Times New Roman" w:hAnsi="Times New Roman" w:cs="Times New Roman"/>
          <w:szCs w:val="20"/>
          <w:shd w:val="clear" w:color="auto" w:fill="FFFFFF"/>
        </w:rPr>
        <w:t xml:space="preserve">Tabla 1. </w:t>
      </w:r>
      <w:r w:rsidRPr="005D08AD">
        <w:rPr>
          <w:rFonts w:ascii="Times New Roman" w:hAnsi="Times New Roman" w:cs="Times New Roman"/>
          <w:szCs w:val="20"/>
          <w:shd w:val="clear" w:color="auto" w:fill="FFFFFF"/>
        </w:rPr>
        <w:t>Tomado del</w:t>
      </w:r>
      <w:r w:rsidRPr="005D08AD">
        <w:rPr>
          <w:rFonts w:ascii="Times New Roman" w:hAnsi="Times New Roman" w:cs="Times New Roman"/>
          <w:szCs w:val="20"/>
          <w:shd w:val="clear" w:color="auto" w:fill="FFFFFF"/>
        </w:rPr>
        <w:t xml:space="preserve"> Decreto Ley 2535 de 1993</w:t>
      </w:r>
    </w:p>
    <w:p w:rsidR="006A3953" w:rsidRPr="005D08AD" w:rsidRDefault="005D08AD" w:rsidP="005F72BB">
      <w:pPr>
        <w:pStyle w:val="Prrafodelista"/>
        <w:spacing w:after="0" w:line="240" w:lineRule="auto"/>
        <w:ind w:left="0"/>
        <w:mirrorIndents/>
        <w:rPr>
          <w:rFonts w:ascii="Times New Roman" w:hAnsi="Times New Roman" w:cs="Times New Roman"/>
          <w:szCs w:val="28"/>
          <w:shd w:val="clear" w:color="auto" w:fill="FFFFFF"/>
        </w:rPr>
      </w:pPr>
    </w:p>
    <w:p w:rsidR="00E86472"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Por otra parte,</w:t>
      </w:r>
      <w:r w:rsidRPr="005D08AD">
        <w:rPr>
          <w:rFonts w:ascii="Times New Roman" w:hAnsi="Times New Roman" w:cs="Times New Roman"/>
          <w:szCs w:val="28"/>
          <w:shd w:val="clear" w:color="auto" w:fill="FFFFFF"/>
        </w:rPr>
        <w:t xml:space="preserve"> en el mismo año que se expidió la Ley 61 de 1993 y el Decreto Ley 2535 de 1993, el Congreso de la República </w:t>
      </w:r>
      <w:r w:rsidRPr="005D08AD">
        <w:rPr>
          <w:rFonts w:ascii="Times New Roman" w:hAnsi="Times New Roman" w:cs="Times New Roman"/>
          <w:szCs w:val="28"/>
          <w:shd w:val="clear" w:color="auto" w:fill="FFFFFF"/>
        </w:rPr>
        <w:t xml:space="preserve">expidió la </w:t>
      </w:r>
      <w:r w:rsidRPr="005D08AD">
        <w:rPr>
          <w:rFonts w:ascii="Times New Roman" w:hAnsi="Times New Roman" w:cs="Times New Roman"/>
          <w:szCs w:val="28"/>
          <w:shd w:val="clear" w:color="auto" w:fill="FFFFFF"/>
        </w:rPr>
        <w:t>Ley 100 de 199</w:t>
      </w:r>
      <w:r w:rsidRPr="005D08AD">
        <w:rPr>
          <w:rFonts w:ascii="Times New Roman" w:hAnsi="Times New Roman" w:cs="Times New Roman"/>
          <w:szCs w:val="28"/>
          <w:shd w:val="clear" w:color="auto" w:fill="FFFFFF"/>
        </w:rPr>
        <w:t xml:space="preserve">3, </w:t>
      </w:r>
      <w:r w:rsidRPr="005D08AD">
        <w:rPr>
          <w:rFonts w:ascii="Times New Roman" w:hAnsi="Times New Roman" w:cs="Times New Roman"/>
          <w:szCs w:val="28"/>
          <w:shd w:val="clear" w:color="auto" w:fill="FFFFFF"/>
        </w:rPr>
        <w:t xml:space="preserve">la cual en su artículo 224 </w:t>
      </w:r>
      <w:r w:rsidRPr="005D08AD">
        <w:rPr>
          <w:rFonts w:ascii="Times New Roman" w:hAnsi="Times New Roman" w:cs="Times New Roman"/>
          <w:szCs w:val="28"/>
          <w:shd w:val="clear" w:color="auto" w:fill="FFFFFF"/>
        </w:rPr>
        <w:t xml:space="preserve">creó </w:t>
      </w:r>
      <w:r w:rsidRPr="005D08AD">
        <w:rPr>
          <w:rFonts w:ascii="Times New Roman" w:hAnsi="Times New Roman" w:cs="Times New Roman"/>
          <w:szCs w:val="28"/>
          <w:shd w:val="clear" w:color="auto" w:fill="FFFFFF"/>
        </w:rPr>
        <w:t>un impuesto</w:t>
      </w:r>
      <w:r w:rsidRPr="005D08AD">
        <w:rPr>
          <w:rFonts w:ascii="Times New Roman" w:hAnsi="Times New Roman" w:cs="Times New Roman"/>
          <w:szCs w:val="28"/>
          <w:shd w:val="clear" w:color="auto" w:fill="FFFFFF"/>
        </w:rPr>
        <w:t xml:space="preserve"> que tuvo por objeto gravar </w:t>
      </w:r>
      <w:r w:rsidRPr="005D08AD">
        <w:rPr>
          <w:rFonts w:ascii="Times New Roman" w:hAnsi="Times New Roman" w:cs="Times New Roman"/>
          <w:szCs w:val="28"/>
          <w:shd w:val="clear" w:color="auto" w:fill="FFFFFF"/>
        </w:rPr>
        <w:t xml:space="preserve">el uso de </w:t>
      </w:r>
      <w:r w:rsidRPr="005D08AD">
        <w:rPr>
          <w:rFonts w:ascii="Times New Roman" w:hAnsi="Times New Roman" w:cs="Times New Roman"/>
          <w:i/>
          <w:iCs/>
          <w:szCs w:val="28"/>
          <w:shd w:val="clear" w:color="auto" w:fill="FFFFFF"/>
        </w:rPr>
        <w:t>tres objetos distintos</w:t>
      </w:r>
      <w:r w:rsidRPr="005D08AD">
        <w:rPr>
          <w:rFonts w:ascii="Times New Roman" w:hAnsi="Times New Roman" w:cs="Times New Roman"/>
          <w:szCs w:val="28"/>
          <w:shd w:val="clear" w:color="auto" w:fill="FFFFFF"/>
        </w:rPr>
        <w:t>: (i) armas; (ii</w:t>
      </w:r>
      <w:r w:rsidRPr="005D08AD">
        <w:rPr>
          <w:rFonts w:ascii="Times New Roman" w:hAnsi="Times New Roman" w:cs="Times New Roman"/>
          <w:szCs w:val="28"/>
          <w:shd w:val="clear" w:color="auto" w:fill="FFFFFF"/>
        </w:rPr>
        <w:t>) municiones y (iii) explosivos</w:t>
      </w:r>
      <w:r w:rsidRPr="005D08AD">
        <w:rPr>
          <w:rStyle w:val="Refdenotaalpie"/>
          <w:rFonts w:ascii="Times New Roman" w:hAnsi="Times New Roman"/>
          <w:szCs w:val="28"/>
          <w:shd w:val="clear" w:color="auto" w:fill="FFFFFF"/>
        </w:rPr>
        <w:footnoteReference w:id="83"/>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Respecto de las armas, la mencionada ley </w:t>
      </w:r>
      <w:r w:rsidRPr="005D08AD">
        <w:rPr>
          <w:rFonts w:ascii="Times New Roman" w:hAnsi="Times New Roman" w:cs="Times New Roman"/>
          <w:szCs w:val="28"/>
          <w:shd w:val="clear" w:color="auto" w:fill="FFFFFF"/>
        </w:rPr>
        <w:t>estableció</w:t>
      </w:r>
      <w:r w:rsidRPr="005D08AD">
        <w:rPr>
          <w:rFonts w:ascii="Times New Roman" w:hAnsi="Times New Roman" w:cs="Times New Roman"/>
          <w:szCs w:val="28"/>
          <w:shd w:val="clear" w:color="auto" w:fill="FFFFFF"/>
        </w:rPr>
        <w:t xml:space="preserve"> que el hecho generador era el </w:t>
      </w:r>
      <w:r w:rsidRPr="005D08AD">
        <w:rPr>
          <w:rFonts w:ascii="Times New Roman" w:hAnsi="Times New Roman" w:cs="Times New Roman"/>
          <w:i/>
          <w:iCs/>
          <w:szCs w:val="28"/>
          <w:shd w:val="clear" w:color="auto" w:fill="FFFFFF"/>
        </w:rPr>
        <w:t xml:space="preserve">porte </w:t>
      </w:r>
      <w:r w:rsidRPr="005D08AD">
        <w:rPr>
          <w:rFonts w:ascii="Times New Roman" w:hAnsi="Times New Roman" w:cs="Times New Roman"/>
          <w:szCs w:val="28"/>
          <w:shd w:val="clear" w:color="auto" w:fill="FFFFFF"/>
        </w:rPr>
        <w:t xml:space="preserve">de estos elementos. Por otro lado, en cuanto a las municiones y explosivos </w:t>
      </w:r>
      <w:r w:rsidRPr="005D08AD">
        <w:rPr>
          <w:rFonts w:ascii="Times New Roman" w:hAnsi="Times New Roman" w:cs="Times New Roman"/>
          <w:szCs w:val="28"/>
          <w:shd w:val="clear" w:color="auto" w:fill="FFFFFF"/>
        </w:rPr>
        <w:t xml:space="preserve">estableció que </w:t>
      </w:r>
      <w:r w:rsidRPr="005D08AD">
        <w:rPr>
          <w:rFonts w:ascii="Times New Roman" w:hAnsi="Times New Roman" w:cs="Times New Roman"/>
          <w:szCs w:val="28"/>
          <w:shd w:val="clear" w:color="auto" w:fill="FFFFFF"/>
        </w:rPr>
        <w:t>estos</w:t>
      </w:r>
      <w:r w:rsidRPr="005D08AD">
        <w:rPr>
          <w:rFonts w:ascii="Times New Roman" w:hAnsi="Times New Roman" w:cs="Times New Roman"/>
          <w:szCs w:val="28"/>
          <w:shd w:val="clear" w:color="auto" w:fill="FFFFFF"/>
        </w:rPr>
        <w:t xml:space="preserve"> serían cobrados como un impuesto “</w:t>
      </w:r>
      <w:r w:rsidRPr="005D08AD">
        <w:rPr>
          <w:rFonts w:ascii="Times New Roman" w:hAnsi="Times New Roman" w:cs="Times New Roman"/>
          <w:i/>
          <w:iCs/>
          <w:szCs w:val="28"/>
          <w:shd w:val="clear" w:color="auto" w:fill="FFFFFF"/>
        </w:rPr>
        <w:t xml:space="preserve">ad </w:t>
      </w:r>
      <w:r w:rsidRPr="005D08AD">
        <w:rPr>
          <w:rFonts w:ascii="Times New Roman" w:hAnsi="Times New Roman" w:cs="Times New Roman"/>
          <w:i/>
          <w:iCs/>
          <w:szCs w:val="28"/>
          <w:shd w:val="clear" w:color="auto" w:fill="FFFFFF"/>
        </w:rPr>
        <w:t>valórem</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Posteriormente, en el año 2011 el Congreso de la República </w:t>
      </w:r>
      <w:r w:rsidRPr="005D08AD">
        <w:rPr>
          <w:rFonts w:ascii="Times New Roman" w:hAnsi="Times New Roman" w:cs="Times New Roman"/>
          <w:szCs w:val="28"/>
          <w:shd w:val="clear" w:color="auto" w:fill="FFFFFF"/>
        </w:rPr>
        <w:t>mediante el artículo 48 de la</w:t>
      </w:r>
      <w:r w:rsidRPr="005D08AD">
        <w:rPr>
          <w:rFonts w:ascii="Times New Roman" w:hAnsi="Times New Roman" w:cs="Times New Roman"/>
          <w:szCs w:val="28"/>
          <w:shd w:val="clear" w:color="auto" w:fill="FFFFFF"/>
        </w:rPr>
        <w:t xml:space="preserve"> Ley 1438</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modificó las tarifas de los mencionados impuestos</w:t>
      </w:r>
      <w:r w:rsidRPr="005D08AD">
        <w:rPr>
          <w:rStyle w:val="Refdenotaalpie"/>
          <w:rFonts w:ascii="Times New Roman" w:hAnsi="Times New Roman"/>
          <w:szCs w:val="28"/>
          <w:shd w:val="clear" w:color="auto" w:fill="FFFFFF"/>
        </w:rPr>
        <w:footnoteReference w:id="84"/>
      </w:r>
      <w:r w:rsidRPr="005D08AD">
        <w:rPr>
          <w:rFonts w:ascii="Times New Roman" w:hAnsi="Times New Roman" w:cs="Times New Roman"/>
          <w:szCs w:val="28"/>
          <w:shd w:val="clear" w:color="auto" w:fill="FFFFFF"/>
        </w:rPr>
        <w:t>.</w:t>
      </w:r>
    </w:p>
    <w:p w:rsidR="00E86472" w:rsidRPr="005D08AD" w:rsidRDefault="005D08AD" w:rsidP="005F72BB">
      <w:pPr>
        <w:pStyle w:val="Prrafodelista"/>
        <w:spacing w:after="0" w:line="240" w:lineRule="auto"/>
        <w:ind w:left="0"/>
        <w:mirrorIndents/>
        <w:rPr>
          <w:rFonts w:ascii="Times New Roman" w:hAnsi="Times New Roman" w:cs="Times New Roman"/>
          <w:szCs w:val="28"/>
          <w:shd w:val="clear" w:color="auto" w:fill="FFFFFF"/>
        </w:rPr>
      </w:pPr>
    </w:p>
    <w:p w:rsidR="00543CB6"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 xml:space="preserve">En esa línea, el monopolio estatal de armas, municiones y explosivos permite establecer que el uso de </w:t>
      </w:r>
      <w:r w:rsidRPr="005D08AD">
        <w:rPr>
          <w:rFonts w:ascii="Times New Roman" w:hAnsi="Times New Roman" w:cs="Times New Roman"/>
          <w:shd w:val="clear" w:color="auto" w:fill="FFFFFF"/>
        </w:rPr>
        <w:t xml:space="preserve">estos </w:t>
      </w:r>
      <w:r w:rsidRPr="005D08AD">
        <w:rPr>
          <w:rFonts w:ascii="Times New Roman" w:hAnsi="Times New Roman" w:cs="Times New Roman"/>
          <w:szCs w:val="28"/>
          <w:shd w:val="clear" w:color="auto" w:fill="FFFFFF"/>
        </w:rPr>
        <w:t xml:space="preserve">tres </w:t>
      </w:r>
      <w:r w:rsidRPr="005D08AD">
        <w:rPr>
          <w:rFonts w:ascii="Times New Roman" w:hAnsi="Times New Roman" w:cs="Times New Roman"/>
          <w:shd w:val="clear" w:color="auto" w:fill="FFFFFF"/>
        </w:rPr>
        <w:t>elementos</w:t>
      </w:r>
      <w:r w:rsidRPr="005D08AD">
        <w:rPr>
          <w:rFonts w:ascii="Times New Roman" w:hAnsi="Times New Roman" w:cs="Times New Roman"/>
          <w:szCs w:val="28"/>
          <w:shd w:val="clear" w:color="auto" w:fill="FFFFFF"/>
        </w:rPr>
        <w:t xml:space="preserve"> se encuentra sujeto al cumplimiento de un requisito específico, consistente en la obtención de un </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permiso</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circunstancia relevante </w:t>
      </w:r>
      <w:r w:rsidRPr="005D08AD">
        <w:rPr>
          <w:rFonts w:ascii="Times New Roman" w:hAnsi="Times New Roman" w:cs="Times New Roman"/>
          <w:szCs w:val="28"/>
          <w:shd w:val="clear" w:color="auto" w:fill="FFFFFF"/>
        </w:rPr>
        <w:t xml:space="preserve">para la determinación del </w:t>
      </w:r>
      <w:r w:rsidRPr="005D08AD">
        <w:rPr>
          <w:rFonts w:ascii="Times New Roman" w:hAnsi="Times New Roman" w:cs="Times New Roman"/>
          <w:i/>
          <w:iCs/>
          <w:szCs w:val="28"/>
          <w:shd w:val="clear" w:color="auto" w:fill="FFFFFF"/>
        </w:rPr>
        <w:t>hecho generador</w:t>
      </w:r>
      <w:r w:rsidRPr="005D08AD">
        <w:rPr>
          <w:rFonts w:ascii="Times New Roman" w:hAnsi="Times New Roman" w:cs="Times New Roman"/>
          <w:szCs w:val="28"/>
          <w:shd w:val="clear" w:color="auto" w:fill="FFFFFF"/>
        </w:rPr>
        <w:t xml:space="preserve">. En efecto, la Corte, en la Sentencia C-390 de 1996, </w:t>
      </w:r>
      <w:r w:rsidRPr="005D08AD">
        <w:rPr>
          <w:rFonts w:ascii="Times New Roman" w:hAnsi="Times New Roman" w:cs="Times New Roman"/>
          <w:szCs w:val="28"/>
          <w:shd w:val="clear" w:color="auto" w:fill="FFFFFF"/>
        </w:rPr>
        <w:t xml:space="preserve">cuyas reglas constituyen un precedente para esta decisión, </w:t>
      </w:r>
      <w:r w:rsidRPr="005D08AD">
        <w:rPr>
          <w:rFonts w:ascii="Times New Roman" w:hAnsi="Times New Roman" w:cs="Times New Roman"/>
          <w:szCs w:val="28"/>
          <w:shd w:val="clear" w:color="auto" w:fill="FFFFFF"/>
        </w:rPr>
        <w:t>indicó que este gravamen parte del supuesto de que “el portador de las municiones y los explosivos obt</w:t>
      </w:r>
      <w:r w:rsidRPr="005D08AD">
        <w:rPr>
          <w:rFonts w:ascii="Times New Roman" w:hAnsi="Times New Roman" w:cs="Times New Roman"/>
          <w:szCs w:val="28"/>
          <w:shd w:val="clear" w:color="auto" w:fill="FFFFFF"/>
        </w:rPr>
        <w:t xml:space="preserve">endrá el </w:t>
      </w:r>
      <w:r w:rsidRPr="005D08AD">
        <w:rPr>
          <w:rFonts w:ascii="Times New Roman" w:hAnsi="Times New Roman" w:cs="Times New Roman"/>
          <w:i/>
          <w:iCs/>
          <w:szCs w:val="28"/>
          <w:shd w:val="clear" w:color="auto" w:fill="FFFFFF"/>
        </w:rPr>
        <w:t>permiso</w:t>
      </w:r>
      <w:r w:rsidRPr="005D08AD">
        <w:rPr>
          <w:rFonts w:ascii="Times New Roman" w:hAnsi="Times New Roman" w:cs="Times New Roman"/>
          <w:szCs w:val="28"/>
          <w:shd w:val="clear" w:color="auto" w:fill="FFFFFF"/>
        </w:rPr>
        <w:t xml:space="preserve"> de la autoridad competente”. Así, dado que el Decreto</w:t>
      </w:r>
      <w:r w:rsidRPr="005D08AD">
        <w:rPr>
          <w:rFonts w:ascii="Times New Roman" w:hAnsi="Times New Roman" w:cs="Times New Roman"/>
          <w:szCs w:val="28"/>
          <w:shd w:val="clear" w:color="auto" w:fill="FFFFFF"/>
        </w:rPr>
        <w:t xml:space="preserve"> Ley</w:t>
      </w:r>
      <w:r w:rsidRPr="005D08AD">
        <w:rPr>
          <w:rFonts w:ascii="Times New Roman" w:hAnsi="Times New Roman" w:cs="Times New Roman"/>
          <w:szCs w:val="28"/>
          <w:shd w:val="clear" w:color="auto" w:fill="FFFFFF"/>
        </w:rPr>
        <w:t xml:space="preserve"> 2535 de 1993</w:t>
      </w:r>
      <w:r w:rsidRPr="005D08AD">
        <w:rPr>
          <w:rFonts w:ascii="Times New Roman" w:hAnsi="Times New Roman" w:cs="Times New Roman"/>
          <w:szCs w:val="28"/>
          <w:shd w:val="clear" w:color="auto" w:fill="FFFFFF"/>
        </w:rPr>
        <w:t xml:space="preserve">, norma con fuerza material de ley, </w:t>
      </w:r>
      <w:r w:rsidRPr="005D08AD">
        <w:rPr>
          <w:rFonts w:ascii="Times New Roman" w:hAnsi="Times New Roman" w:cs="Times New Roman"/>
          <w:szCs w:val="28"/>
          <w:shd w:val="clear" w:color="auto" w:fill="FFFFFF"/>
        </w:rPr>
        <w:t>solo permite la compra de</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hd w:val="clear" w:color="auto" w:fill="FFFFFF"/>
        </w:rPr>
        <w:t xml:space="preserve">municiones y </w:t>
      </w:r>
      <w:r w:rsidRPr="005D08AD">
        <w:rPr>
          <w:rFonts w:ascii="Times New Roman" w:hAnsi="Times New Roman" w:cs="Times New Roman"/>
          <w:shd w:val="clear" w:color="auto" w:fill="FFFFFF"/>
        </w:rPr>
        <w:t>e</w:t>
      </w:r>
      <w:r w:rsidRPr="005D08AD">
        <w:rPr>
          <w:rFonts w:ascii="Times New Roman" w:hAnsi="Times New Roman" w:cs="Times New Roman"/>
          <w:shd w:val="clear" w:color="auto" w:fill="FFFFFF"/>
        </w:rPr>
        <w:t>xplosivos</w:t>
      </w:r>
      <w:r w:rsidRPr="005D08AD">
        <w:rPr>
          <w:rFonts w:ascii="Times New Roman" w:hAnsi="Times New Roman" w:cs="Times New Roman"/>
          <w:szCs w:val="28"/>
          <w:shd w:val="clear" w:color="auto" w:fill="FFFFFF"/>
        </w:rPr>
        <w:t xml:space="preserve">, puede </w:t>
      </w:r>
      <w:r w:rsidRPr="005D08AD">
        <w:rPr>
          <w:rFonts w:ascii="Times New Roman" w:hAnsi="Times New Roman" w:cs="Times New Roman"/>
          <w:szCs w:val="28"/>
          <w:shd w:val="clear" w:color="auto" w:fill="FFFFFF"/>
        </w:rPr>
        <w:t xml:space="preserve">colegirse </w:t>
      </w:r>
      <w:r w:rsidRPr="005D08AD">
        <w:rPr>
          <w:rFonts w:ascii="Times New Roman" w:hAnsi="Times New Roman" w:cs="Times New Roman"/>
          <w:szCs w:val="28"/>
          <w:shd w:val="clear" w:color="auto" w:fill="FFFFFF"/>
        </w:rPr>
        <w:t xml:space="preserve">que </w:t>
      </w:r>
      <w:r w:rsidRPr="005D08AD">
        <w:rPr>
          <w:rFonts w:ascii="Times New Roman" w:hAnsi="Times New Roman" w:cs="Times New Roman"/>
          <w:szCs w:val="28"/>
          <w:shd w:val="clear" w:color="auto" w:fill="FFFFFF"/>
        </w:rPr>
        <w:t xml:space="preserve">el nacimiento de la obligación tributaria se </w:t>
      </w:r>
      <w:r w:rsidRPr="005D08AD">
        <w:rPr>
          <w:rFonts w:ascii="Times New Roman" w:hAnsi="Times New Roman" w:cs="Times New Roman"/>
          <w:szCs w:val="28"/>
          <w:shd w:val="clear" w:color="auto" w:fill="FFFFFF"/>
        </w:rPr>
        <w:t>genera</w:t>
      </w:r>
      <w:r w:rsidRPr="005D08AD">
        <w:rPr>
          <w:rFonts w:ascii="Times New Roman" w:hAnsi="Times New Roman" w:cs="Times New Roman"/>
          <w:szCs w:val="28"/>
          <w:shd w:val="clear" w:color="auto" w:fill="FFFFFF"/>
        </w:rPr>
        <w:t xml:space="preserve"> cuando se realiza la</w:t>
      </w:r>
      <w:r w:rsidRPr="005D08AD">
        <w:rPr>
          <w:rFonts w:ascii="Times New Roman" w:hAnsi="Times New Roman" w:cs="Times New Roman"/>
          <w:i/>
          <w:iCs/>
          <w:szCs w:val="28"/>
          <w:shd w:val="clear" w:color="auto" w:fill="FFFFFF"/>
        </w:rPr>
        <w:t xml:space="preserve"> </w:t>
      </w:r>
      <w:r w:rsidRPr="005D08AD">
        <w:rPr>
          <w:rFonts w:ascii="Times New Roman" w:hAnsi="Times New Roman" w:cs="Times New Roman"/>
          <w:i/>
          <w:iCs/>
          <w:szCs w:val="28"/>
          <w:shd w:val="clear" w:color="auto" w:fill="FFFFFF"/>
        </w:rPr>
        <w:t>compra</w:t>
      </w:r>
      <w:r w:rsidRPr="005D08AD">
        <w:rPr>
          <w:rFonts w:ascii="Times New Roman" w:hAnsi="Times New Roman" w:cs="Times New Roman"/>
          <w:szCs w:val="28"/>
          <w:shd w:val="clear" w:color="auto" w:fill="FFFFFF"/>
        </w:rPr>
        <w:t xml:space="preserve"> de los </w:t>
      </w:r>
      <w:r w:rsidRPr="005D08AD">
        <w:rPr>
          <w:rFonts w:ascii="Times New Roman" w:hAnsi="Times New Roman" w:cs="Times New Roman"/>
          <w:szCs w:val="28"/>
          <w:shd w:val="clear" w:color="auto" w:fill="FFFFFF"/>
        </w:rPr>
        <w:t>mencionados elementos</w:t>
      </w:r>
      <w:r w:rsidRPr="005D08AD">
        <w:rPr>
          <w:rFonts w:ascii="Times New Roman" w:hAnsi="Times New Roman" w:cs="Times New Roman"/>
          <w:szCs w:val="28"/>
          <w:shd w:val="clear" w:color="auto" w:fill="FFFFFF"/>
        </w:rPr>
        <w:t>.</w:t>
      </w:r>
    </w:p>
    <w:p w:rsidR="00543CB6" w:rsidRPr="005D08AD" w:rsidRDefault="005D08AD" w:rsidP="000F460E">
      <w:pPr>
        <w:pStyle w:val="Prrafodelista"/>
        <w:spacing w:after="0" w:line="240" w:lineRule="auto"/>
        <w:ind w:left="0"/>
        <w:rPr>
          <w:rFonts w:ascii="Times New Roman" w:hAnsi="Times New Roman" w:cs="Times New Roman"/>
          <w:szCs w:val="28"/>
          <w:shd w:val="clear" w:color="auto" w:fill="FFFFFF"/>
        </w:rPr>
      </w:pPr>
    </w:p>
    <w:p w:rsidR="00FF649C"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Dado que la adquisición de municiones y explosivos se encuentra supeditada a la obtención de un permiso y que dicha autorización está delimitada por un régimen específico, las expresiones “ad valo</w:t>
      </w:r>
      <w:r w:rsidRPr="005D08AD">
        <w:rPr>
          <w:rFonts w:ascii="Times New Roman" w:hAnsi="Times New Roman" w:cs="Times New Roman"/>
          <w:szCs w:val="28"/>
          <w:shd w:val="clear" w:color="auto" w:fill="FFFFFF"/>
        </w:rPr>
        <w:t xml:space="preserve">rem” y “cobrará” contenidas en la norma </w:t>
      </w:r>
      <w:r w:rsidRPr="005D08AD">
        <w:rPr>
          <w:rFonts w:ascii="Times New Roman" w:hAnsi="Times New Roman" w:cs="Times New Roman"/>
          <w:szCs w:val="28"/>
          <w:shd w:val="clear" w:color="auto" w:fill="FFFFFF"/>
        </w:rPr>
        <w:t xml:space="preserve">acusada no pueden interpretarse de manera amplia —como sugieren algunos intervinientes—. En efecto, la primera expresión se entiende como “según el precio de la mercancía” y la segunda alude a la recepción de dinero </w:t>
      </w:r>
      <w:r w:rsidRPr="005D08AD">
        <w:rPr>
          <w:rFonts w:ascii="Times New Roman" w:hAnsi="Times New Roman" w:cs="Times New Roman"/>
          <w:szCs w:val="28"/>
          <w:shd w:val="clear" w:color="auto" w:fill="FFFFFF"/>
        </w:rPr>
        <w:t>como pago.</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Estas expresiones</w:t>
      </w:r>
      <w:r w:rsidRPr="005D08AD">
        <w:rPr>
          <w:rFonts w:ascii="Times New Roman" w:hAnsi="Times New Roman" w:cs="Times New Roman"/>
          <w:shd w:val="clear" w:color="auto" w:fill="FFFFFF"/>
        </w:rPr>
        <w:t xml:space="preserve">, interpretadas </w:t>
      </w:r>
      <w:r w:rsidRPr="005D08AD">
        <w:rPr>
          <w:rFonts w:ascii="Times New Roman" w:hAnsi="Times New Roman" w:cs="Times New Roman"/>
          <w:szCs w:val="28"/>
          <w:shd w:val="clear" w:color="auto" w:fill="FFFFFF"/>
        </w:rPr>
        <w:t xml:space="preserve">de forma sistemática </w:t>
      </w:r>
      <w:r w:rsidRPr="005D08AD">
        <w:rPr>
          <w:rFonts w:ascii="Times New Roman" w:hAnsi="Times New Roman" w:cs="Times New Roman"/>
          <w:szCs w:val="28"/>
          <w:shd w:val="clear" w:color="auto" w:fill="FFFFFF"/>
        </w:rPr>
        <w:t xml:space="preserve">y conjunta </w:t>
      </w:r>
      <w:r w:rsidRPr="005D08AD">
        <w:rPr>
          <w:rFonts w:ascii="Times New Roman" w:hAnsi="Times New Roman" w:cs="Times New Roman"/>
          <w:szCs w:val="28"/>
          <w:shd w:val="clear" w:color="auto" w:fill="FFFFFF"/>
        </w:rPr>
        <w:t>con el monopolio constitucional previsto en el artículo 223 Superior y con el régimen de permisos</w:t>
      </w:r>
      <w:r w:rsidRPr="005D08AD">
        <w:rPr>
          <w:rFonts w:ascii="Times New Roman" w:hAnsi="Times New Roman" w:cs="Times New Roman"/>
          <w:shd w:val="clear" w:color="auto" w:fill="FFFFFF"/>
        </w:rPr>
        <w:t xml:space="preserve"> del </w:t>
      </w:r>
      <w:r w:rsidRPr="005D08AD">
        <w:rPr>
          <w:rFonts w:ascii="Times New Roman" w:hAnsi="Times New Roman" w:cs="Times New Roman"/>
          <w:szCs w:val="28"/>
          <w:shd w:val="clear" w:color="auto" w:fill="FFFFFF"/>
        </w:rPr>
        <w:t>Decreto Ley 2535 de 1993, permiten concluir que el hecho generador del impuest</w:t>
      </w:r>
      <w:r w:rsidRPr="005D08AD">
        <w:rPr>
          <w:rFonts w:ascii="Times New Roman" w:hAnsi="Times New Roman" w:cs="Times New Roman"/>
          <w:szCs w:val="28"/>
          <w:shd w:val="clear" w:color="auto" w:fill="FFFFFF"/>
        </w:rPr>
        <w:t>o corresponde a la compra de estos elementos por parte de la persona autorizada. En otras palabras, la Sala no desconoce que la expresión “</w:t>
      </w:r>
      <w:r w:rsidRPr="005D08AD">
        <w:rPr>
          <w:rFonts w:ascii="Times New Roman" w:hAnsi="Times New Roman" w:cs="Times New Roman"/>
          <w:i/>
          <w:iCs/>
          <w:szCs w:val="28"/>
          <w:shd w:val="clear" w:color="auto" w:fill="FFFFFF"/>
        </w:rPr>
        <w:t>ad valorem</w:t>
      </w:r>
      <w:r w:rsidRPr="005D08AD">
        <w:rPr>
          <w:rFonts w:ascii="Times New Roman" w:hAnsi="Times New Roman" w:cs="Times New Roman"/>
          <w:szCs w:val="28"/>
          <w:shd w:val="clear" w:color="auto" w:fill="FFFFFF"/>
        </w:rPr>
        <w:t>”, considerada de manera aislada, se relaciona principalmente con la base gravable del tributo. Sin embargo</w:t>
      </w:r>
      <w:r w:rsidRPr="005D08AD">
        <w:rPr>
          <w:rFonts w:ascii="Times New Roman" w:hAnsi="Times New Roman" w:cs="Times New Roman"/>
          <w:szCs w:val="28"/>
          <w:shd w:val="clear" w:color="auto" w:fill="FFFFFF"/>
        </w:rPr>
        <w:t xml:space="preserve">, es el contexto normativo en el que se inserta dicha expresión el que permite establecer que, en el presente caso, </w:t>
      </w:r>
      <w:r w:rsidRPr="005D08AD">
        <w:rPr>
          <w:rFonts w:ascii="Times New Roman" w:hAnsi="Times New Roman" w:cs="Times New Roman"/>
          <w:szCs w:val="28"/>
          <w:shd w:val="clear" w:color="auto" w:fill="FFFFFF"/>
        </w:rPr>
        <w:t>esta</w:t>
      </w:r>
      <w:r w:rsidRPr="005D08AD">
        <w:rPr>
          <w:rFonts w:ascii="Times New Roman" w:hAnsi="Times New Roman" w:cs="Times New Roman"/>
          <w:szCs w:val="28"/>
          <w:shd w:val="clear" w:color="auto" w:fill="FFFFFF"/>
        </w:rPr>
        <w:t xml:space="preserve"> permite precisar el hecho generador.</w:t>
      </w:r>
    </w:p>
    <w:p w:rsidR="00543CB6" w:rsidRPr="005D08AD" w:rsidRDefault="005D08AD" w:rsidP="000F460E">
      <w:pPr>
        <w:pStyle w:val="Prrafodelista"/>
        <w:spacing w:after="0" w:line="240" w:lineRule="auto"/>
        <w:ind w:left="0"/>
        <w:mirrorIndents/>
        <w:jc w:val="both"/>
        <w:rPr>
          <w:rFonts w:ascii="Times New Roman" w:hAnsi="Times New Roman" w:cs="Times New Roman"/>
          <w:shd w:val="clear" w:color="auto" w:fill="FFFFFF"/>
        </w:rPr>
      </w:pPr>
    </w:p>
    <w:p w:rsidR="004E2E8F"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 xml:space="preserve">De esta forma, la Sala comparte lo dicho por </w:t>
      </w:r>
      <w:r w:rsidRPr="005D08AD">
        <w:rPr>
          <w:rFonts w:ascii="Times New Roman" w:hAnsi="Times New Roman" w:cs="Times New Roman"/>
          <w:szCs w:val="28"/>
          <w:shd w:val="clear" w:color="auto" w:fill="FFFFFF"/>
        </w:rPr>
        <w:t xml:space="preserve">el </w:t>
      </w:r>
      <w:r w:rsidRPr="005D08AD">
        <w:rPr>
          <w:rFonts w:ascii="Times New Roman" w:hAnsi="Times New Roman" w:cs="Times New Roman"/>
          <w:szCs w:val="28"/>
          <w:shd w:val="clear" w:color="auto" w:fill="FFFFFF"/>
        </w:rPr>
        <w:t>procurador</w:t>
      </w:r>
      <w:r w:rsidRPr="005D08AD">
        <w:rPr>
          <w:rFonts w:ascii="Times New Roman" w:hAnsi="Times New Roman" w:cs="Times New Roman"/>
          <w:szCs w:val="28"/>
          <w:shd w:val="clear" w:color="auto" w:fill="FFFFFF"/>
        </w:rPr>
        <w:t xml:space="preserve"> y algunos intervinientes</w:t>
      </w:r>
      <w:r w:rsidRPr="005D08AD">
        <w:rPr>
          <w:rStyle w:val="Refdenotaalpie"/>
          <w:rFonts w:ascii="Times New Roman" w:hAnsi="Times New Roman"/>
          <w:szCs w:val="28"/>
          <w:shd w:val="clear" w:color="auto" w:fill="FFFFFF"/>
        </w:rPr>
        <w:footnoteReference w:id="85"/>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en punto a </w:t>
      </w:r>
      <w:r w:rsidRPr="005D08AD">
        <w:rPr>
          <w:rFonts w:ascii="Times New Roman" w:hAnsi="Times New Roman" w:cs="Times New Roman"/>
          <w:szCs w:val="28"/>
          <w:shd w:val="clear" w:color="auto" w:fill="FFFFFF"/>
        </w:rPr>
        <w:t xml:space="preserve">que </w:t>
      </w:r>
      <w:r w:rsidRPr="005D08AD">
        <w:rPr>
          <w:rFonts w:ascii="Times New Roman" w:hAnsi="Times New Roman" w:cs="Times New Roman"/>
          <w:szCs w:val="28"/>
          <w:shd w:val="clear" w:color="auto" w:fill="FFFFFF"/>
        </w:rPr>
        <w:t xml:space="preserve">el hecho generador del impuesto social de municiones y explosivos es </w:t>
      </w:r>
      <w:r w:rsidRPr="005D08AD">
        <w:rPr>
          <w:rFonts w:ascii="Times New Roman" w:hAnsi="Times New Roman" w:cs="Times New Roman"/>
          <w:i/>
          <w:iCs/>
          <w:szCs w:val="28"/>
          <w:shd w:val="clear" w:color="auto" w:fill="FFFFFF"/>
        </w:rPr>
        <w:t>determinable</w:t>
      </w:r>
      <w:r w:rsidRPr="005D08AD">
        <w:rPr>
          <w:rFonts w:ascii="Times New Roman" w:hAnsi="Times New Roman" w:cs="Times New Roman"/>
          <w:szCs w:val="28"/>
          <w:shd w:val="clear" w:color="auto" w:fill="FFFFFF"/>
        </w:rPr>
        <w:t>, en la medida que corresponde a la compra</w:t>
      </w:r>
      <w:r w:rsidRPr="005D08AD">
        <w:rPr>
          <w:rFonts w:ascii="Times New Roman" w:hAnsi="Times New Roman" w:cs="Times New Roman"/>
          <w:szCs w:val="28"/>
          <w:shd w:val="clear" w:color="auto" w:fill="FFFFFF"/>
        </w:rPr>
        <w:t xml:space="preserve"> autorizada</w:t>
      </w:r>
      <w:r w:rsidRPr="005D08AD">
        <w:rPr>
          <w:rFonts w:ascii="Times New Roman" w:hAnsi="Times New Roman" w:cs="Times New Roman"/>
          <w:szCs w:val="28"/>
          <w:shd w:val="clear" w:color="auto" w:fill="FFFFFF"/>
        </w:rPr>
        <w:t xml:space="preserve"> de estos elementos</w:t>
      </w:r>
      <w:r w:rsidRPr="005D08AD">
        <w:rPr>
          <w:rStyle w:val="Refdenotaalpie"/>
          <w:rFonts w:ascii="Times New Roman" w:hAnsi="Times New Roman"/>
          <w:szCs w:val="28"/>
          <w:shd w:val="clear" w:color="auto" w:fill="FFFFFF"/>
        </w:rPr>
        <w:footnoteReference w:id="86"/>
      </w:r>
      <w:r w:rsidRPr="005D08AD">
        <w:rPr>
          <w:rFonts w:ascii="Times New Roman" w:hAnsi="Times New Roman" w:cs="Times New Roman"/>
          <w:szCs w:val="28"/>
          <w:shd w:val="clear" w:color="auto" w:fill="FFFFFF"/>
        </w:rPr>
        <w:t xml:space="preserve">. </w:t>
      </w:r>
    </w:p>
    <w:p w:rsidR="004E2E8F" w:rsidRPr="005D08AD" w:rsidRDefault="005D08AD" w:rsidP="000F460E">
      <w:pPr>
        <w:pStyle w:val="Prrafodelista"/>
        <w:spacing w:after="0" w:line="240" w:lineRule="auto"/>
        <w:ind w:left="0"/>
        <w:rPr>
          <w:rFonts w:ascii="Times New Roman" w:hAnsi="Times New Roman" w:cs="Times New Roman"/>
          <w:szCs w:val="28"/>
          <w:shd w:val="clear" w:color="auto" w:fill="FFFFFF"/>
        </w:rPr>
      </w:pPr>
    </w:p>
    <w:p w:rsidR="00B2723B"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 xml:space="preserve">En conclusión, las dificultades hermenéuticas advertidas por los demandantes y algunos </w:t>
      </w:r>
      <w:r w:rsidRPr="005D08AD">
        <w:rPr>
          <w:rFonts w:ascii="Times New Roman" w:hAnsi="Times New Roman" w:cs="Times New Roman"/>
          <w:szCs w:val="28"/>
          <w:shd w:val="clear" w:color="auto" w:fill="FFFFFF"/>
        </w:rPr>
        <w:t>intervinientes en este proceso de constitucionalidad, en relación con la presunta falta de determinación del hecho generador, no permiten demostrar que dicha dificultad no pueda ser superada</w:t>
      </w:r>
      <w:r w:rsidRPr="005D08AD">
        <w:rPr>
          <w:rFonts w:ascii="Times New Roman" w:hAnsi="Times New Roman" w:cs="Times New Roman"/>
          <w:shd w:val="clear" w:color="auto" w:fill="FFFFFF"/>
        </w:rPr>
        <w:t xml:space="preserve">. </w:t>
      </w:r>
      <w:r w:rsidRPr="005D08AD">
        <w:rPr>
          <w:rFonts w:ascii="Times New Roman" w:hAnsi="Times New Roman" w:cs="Times New Roman"/>
          <w:szCs w:val="28"/>
          <w:shd w:val="clear" w:color="auto" w:fill="FFFFFF"/>
        </w:rPr>
        <w:t xml:space="preserve">Ello se explica porque el legislador </w:t>
      </w:r>
      <w:r w:rsidRPr="005D08AD">
        <w:rPr>
          <w:rFonts w:ascii="Times New Roman" w:hAnsi="Times New Roman" w:cs="Times New Roman"/>
          <w:szCs w:val="28"/>
          <w:shd w:val="clear" w:color="auto" w:fill="FFFFFF"/>
        </w:rPr>
        <w:t>asoció</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el hecho generador </w:t>
      </w:r>
      <w:r w:rsidRPr="005D08AD">
        <w:rPr>
          <w:rFonts w:ascii="Times New Roman" w:hAnsi="Times New Roman" w:cs="Times New Roman"/>
          <w:szCs w:val="28"/>
          <w:shd w:val="clear" w:color="auto" w:fill="FFFFFF"/>
        </w:rPr>
        <w:t>c</w:t>
      </w:r>
      <w:r w:rsidRPr="005D08AD">
        <w:rPr>
          <w:rFonts w:ascii="Times New Roman" w:hAnsi="Times New Roman" w:cs="Times New Roman"/>
          <w:szCs w:val="28"/>
          <w:shd w:val="clear" w:color="auto" w:fill="FFFFFF"/>
        </w:rPr>
        <w:t>on la expedición y renovación de un permiso</w:t>
      </w:r>
      <w:r w:rsidRPr="005D08AD">
        <w:rPr>
          <w:rFonts w:ascii="Times New Roman" w:hAnsi="Times New Roman" w:cs="Times New Roman"/>
          <w:szCs w:val="28"/>
          <w:shd w:val="clear" w:color="auto" w:fill="FFFFFF"/>
        </w:rPr>
        <w:t xml:space="preserve"> – requisito previsto por mandato constitucional–</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por </w:t>
      </w:r>
      <w:r w:rsidRPr="005D08AD">
        <w:rPr>
          <w:rFonts w:ascii="Times New Roman" w:hAnsi="Times New Roman" w:cs="Times New Roman"/>
          <w:szCs w:val="28"/>
          <w:shd w:val="clear" w:color="auto" w:fill="FFFFFF"/>
        </w:rPr>
        <w:t>ende,</w:t>
      </w:r>
      <w:r w:rsidRPr="005D08AD">
        <w:rPr>
          <w:rFonts w:ascii="Times New Roman" w:hAnsi="Times New Roman" w:cs="Times New Roman"/>
          <w:szCs w:val="28"/>
          <w:shd w:val="clear" w:color="auto" w:fill="FFFFFF"/>
        </w:rPr>
        <w:t xml:space="preserve"> no </w:t>
      </w:r>
      <w:r w:rsidRPr="005D08AD">
        <w:rPr>
          <w:rFonts w:ascii="Times New Roman" w:hAnsi="Times New Roman" w:cs="Times New Roman"/>
          <w:szCs w:val="28"/>
          <w:shd w:val="clear" w:color="auto" w:fill="FFFFFF"/>
        </w:rPr>
        <w:t xml:space="preserve">incurrió en una ausencia absoluta de definición, sino en una falta de precisión que puede ser subsanada al interpretar la disposición acusada dentro </w:t>
      </w:r>
      <w:r w:rsidRPr="005D08AD">
        <w:rPr>
          <w:rFonts w:ascii="Times New Roman" w:hAnsi="Times New Roman" w:cs="Times New Roman"/>
          <w:szCs w:val="28"/>
          <w:shd w:val="clear" w:color="auto" w:fill="FFFFFF"/>
        </w:rPr>
        <w:t>del contexto normativo en el que se inserta. En efecto, una interpretación sistemática de la norma, fundada en el monopolio estatal sobre municiones y explosivos, en el Decreto Ley 2535 de 1993 y en la lectura conjunta de las expresiones “ad valorem” y “co</w:t>
      </w:r>
      <w:r w:rsidRPr="005D08AD">
        <w:rPr>
          <w:rFonts w:ascii="Times New Roman" w:hAnsi="Times New Roman" w:cs="Times New Roman"/>
          <w:szCs w:val="28"/>
          <w:shd w:val="clear" w:color="auto" w:fill="FFFFFF"/>
        </w:rPr>
        <w:t>brará”, contenidas en la disposición acusada, permite</w:t>
      </w:r>
      <w:r w:rsidRPr="005D08AD">
        <w:rPr>
          <w:rFonts w:ascii="Times New Roman" w:hAnsi="Times New Roman" w:cs="Times New Roman"/>
          <w:szCs w:val="28"/>
          <w:shd w:val="clear" w:color="auto" w:fill="FFFFFF"/>
        </w:rPr>
        <w:t>n</w:t>
      </w:r>
      <w:r w:rsidRPr="005D08AD">
        <w:rPr>
          <w:rFonts w:ascii="Times New Roman" w:hAnsi="Times New Roman" w:cs="Times New Roman"/>
          <w:szCs w:val="28"/>
          <w:shd w:val="clear" w:color="auto" w:fill="FFFFFF"/>
        </w:rPr>
        <w:t xml:space="preserve"> determinar el hecho generador</w:t>
      </w:r>
      <w:r w:rsidRPr="005D08AD">
        <w:rPr>
          <w:rFonts w:ascii="Times New Roman" w:hAnsi="Times New Roman" w:cs="Times New Roman"/>
          <w:szCs w:val="28"/>
          <w:shd w:val="clear" w:color="auto" w:fill="FFFFFF"/>
        </w:rPr>
        <w:t xml:space="preserve"> en la compra autorizada</w:t>
      </w:r>
      <w:r w:rsidRPr="005D08AD">
        <w:rPr>
          <w:rFonts w:ascii="Times New Roman" w:hAnsi="Times New Roman" w:cs="Times New Roman"/>
          <w:szCs w:val="28"/>
          <w:shd w:val="clear" w:color="auto" w:fill="FFFFFF"/>
        </w:rPr>
        <w:t>.</w:t>
      </w:r>
    </w:p>
    <w:p w:rsidR="00B2723B" w:rsidRPr="005D08AD" w:rsidRDefault="005D08AD" w:rsidP="000F460E">
      <w:pPr>
        <w:pStyle w:val="Prrafodelista"/>
        <w:spacing w:after="0" w:line="240" w:lineRule="auto"/>
        <w:ind w:left="0"/>
        <w:rPr>
          <w:rFonts w:ascii="Times New Roman" w:hAnsi="Times New Roman" w:cs="Times New Roman"/>
        </w:rPr>
      </w:pPr>
    </w:p>
    <w:p w:rsidR="00575429" w:rsidRPr="005D08AD" w:rsidRDefault="005D08AD" w:rsidP="00787C8C">
      <w:pPr>
        <w:pStyle w:val="Prrafodelista"/>
        <w:numPr>
          <w:ilvl w:val="0"/>
          <w:numId w:val="4"/>
        </w:numPr>
        <w:spacing w:after="0" w:line="240" w:lineRule="auto"/>
        <w:mirrorIndents/>
        <w:jc w:val="both"/>
        <w:rPr>
          <w:rFonts w:ascii="Times New Roman" w:hAnsi="Times New Roman" w:cs="Times New Roman"/>
        </w:rPr>
      </w:pPr>
      <w:r w:rsidRPr="005D08AD">
        <w:rPr>
          <w:rFonts w:ascii="Times New Roman" w:hAnsi="Times New Roman" w:cs="Times New Roman"/>
          <w:szCs w:val="28"/>
          <w:shd w:val="clear" w:color="auto" w:fill="FFFFFF"/>
        </w:rPr>
        <w:t xml:space="preserve">Ahora bien, es preciso aclarar que la anterior conclusión </w:t>
      </w:r>
      <w:r w:rsidRPr="005D08AD">
        <w:rPr>
          <w:rFonts w:ascii="Times New Roman" w:hAnsi="Times New Roman" w:cs="Times New Roman"/>
          <w:szCs w:val="28"/>
          <w:shd w:val="clear" w:color="auto" w:fill="FFFFFF"/>
        </w:rPr>
        <w:t xml:space="preserve">sobre la falta de precisión de la norma, </w:t>
      </w:r>
      <w:r w:rsidRPr="005D08AD">
        <w:rPr>
          <w:rFonts w:ascii="Times New Roman" w:hAnsi="Times New Roman" w:cs="Times New Roman"/>
          <w:szCs w:val="28"/>
          <w:shd w:val="clear" w:color="auto" w:fill="FFFFFF"/>
        </w:rPr>
        <w:t xml:space="preserve">no implica que el legislador </w:t>
      </w:r>
      <w:r w:rsidRPr="005D08AD">
        <w:rPr>
          <w:rFonts w:ascii="Times New Roman" w:hAnsi="Times New Roman" w:cs="Times New Roman"/>
          <w:szCs w:val="28"/>
          <w:shd w:val="clear" w:color="auto" w:fill="FFFFFF"/>
        </w:rPr>
        <w:t>delegó</w:t>
      </w:r>
      <w:r w:rsidRPr="005D08AD">
        <w:rPr>
          <w:rFonts w:ascii="Times New Roman" w:hAnsi="Times New Roman" w:cs="Times New Roman"/>
          <w:szCs w:val="28"/>
          <w:shd w:val="clear" w:color="auto" w:fill="FFFFFF"/>
        </w:rPr>
        <w:t xml:space="preserve"> en el </w:t>
      </w:r>
      <w:r w:rsidRPr="005D08AD">
        <w:rPr>
          <w:rFonts w:ascii="Times New Roman" w:hAnsi="Times New Roman" w:cs="Times New Roman"/>
          <w:szCs w:val="28"/>
          <w:shd w:val="clear" w:color="auto" w:fill="FFFFFF"/>
        </w:rPr>
        <w:t>e</w:t>
      </w:r>
      <w:r w:rsidRPr="005D08AD">
        <w:rPr>
          <w:rFonts w:ascii="Times New Roman" w:hAnsi="Times New Roman" w:cs="Times New Roman"/>
          <w:szCs w:val="28"/>
          <w:shd w:val="clear" w:color="auto" w:fill="FFFFFF"/>
        </w:rPr>
        <w:t>jecutivo la determinación del hecho generador del tributo sobre municiones y explosivos</w:t>
      </w:r>
      <w:r w:rsidRPr="005D08AD">
        <w:rPr>
          <w:rStyle w:val="Refdenotaalpie"/>
          <w:rFonts w:ascii="Times New Roman" w:hAnsi="Times New Roman"/>
          <w:szCs w:val="28"/>
          <w:shd w:val="clear" w:color="auto" w:fill="FFFFFF"/>
        </w:rPr>
        <w:footnoteReference w:id="87"/>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Esta conclusión se fundamenta en tres razones principales: (i) el Decreto Ley 2535 de 1993 se expidió con fundamento en una ley previa al impuesto social sobre munici</w:t>
      </w:r>
      <w:r w:rsidRPr="005D08AD">
        <w:rPr>
          <w:rFonts w:ascii="Times New Roman" w:hAnsi="Times New Roman" w:cs="Times New Roman"/>
          <w:szCs w:val="28"/>
          <w:shd w:val="clear" w:color="auto" w:fill="FFFFFF"/>
        </w:rPr>
        <w:t xml:space="preserve">ones y explosivos, que facultó al Ejecutivo para regular el régimen de armas, municiones y explosivos —y no el tributo en cuestión—, debido al alto nivel de tecnicismo de la materia; (ii) </w:t>
      </w:r>
      <w:r w:rsidRPr="005D08AD">
        <w:rPr>
          <w:rFonts w:ascii="Times New Roman" w:hAnsi="Times New Roman" w:cs="Times New Roman"/>
        </w:rPr>
        <w:t xml:space="preserve">el </w:t>
      </w:r>
      <w:r w:rsidRPr="005D08AD">
        <w:rPr>
          <w:rFonts w:ascii="Times New Roman" w:hAnsi="Times New Roman" w:cs="Times New Roman"/>
          <w:szCs w:val="28"/>
          <w:shd w:val="clear" w:color="auto" w:fill="FFFFFF"/>
        </w:rPr>
        <w:t>D</w:t>
      </w:r>
      <w:r w:rsidRPr="005D08AD">
        <w:rPr>
          <w:rFonts w:ascii="Times New Roman" w:hAnsi="Times New Roman" w:cs="Times New Roman"/>
          <w:szCs w:val="28"/>
          <w:shd w:val="clear" w:color="auto" w:fill="FFFFFF"/>
        </w:rPr>
        <w:t xml:space="preserve">ecreto </w:t>
      </w:r>
      <w:r w:rsidRPr="005D08AD">
        <w:rPr>
          <w:rFonts w:ascii="Times New Roman" w:hAnsi="Times New Roman" w:cs="Times New Roman"/>
          <w:szCs w:val="28"/>
          <w:shd w:val="clear" w:color="auto" w:fill="FFFFFF"/>
        </w:rPr>
        <w:t xml:space="preserve">Ley 2535 de 1993 </w:t>
      </w:r>
      <w:r w:rsidRPr="005D08AD">
        <w:rPr>
          <w:rFonts w:ascii="Times New Roman" w:hAnsi="Times New Roman" w:cs="Times New Roman"/>
          <w:szCs w:val="28"/>
          <w:shd w:val="clear" w:color="auto" w:fill="FFFFFF"/>
        </w:rPr>
        <w:t>entr</w:t>
      </w:r>
      <w:r w:rsidRPr="005D08AD">
        <w:rPr>
          <w:rFonts w:ascii="Times New Roman" w:hAnsi="Times New Roman" w:cs="Times New Roman"/>
          <w:szCs w:val="28"/>
          <w:shd w:val="clear" w:color="auto" w:fill="FFFFFF"/>
        </w:rPr>
        <w:t>ó</w:t>
      </w:r>
      <w:r w:rsidRPr="005D08AD">
        <w:rPr>
          <w:rFonts w:ascii="Times New Roman" w:hAnsi="Times New Roman" w:cs="Times New Roman"/>
          <w:szCs w:val="28"/>
          <w:shd w:val="clear" w:color="auto" w:fill="FFFFFF"/>
        </w:rPr>
        <w:t xml:space="preserve"> en vigencia</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de forma previa </w:t>
      </w:r>
      <w:r w:rsidRPr="005D08AD">
        <w:rPr>
          <w:rFonts w:ascii="Times New Roman" w:hAnsi="Times New Roman" w:cs="Times New Roman"/>
          <w:szCs w:val="28"/>
          <w:shd w:val="clear" w:color="auto" w:fill="FFFFFF"/>
        </w:rPr>
        <w:t>al art</w:t>
      </w:r>
      <w:r w:rsidRPr="005D08AD">
        <w:rPr>
          <w:rFonts w:ascii="Times New Roman" w:hAnsi="Times New Roman" w:cs="Times New Roman"/>
          <w:szCs w:val="28"/>
          <w:shd w:val="clear" w:color="auto" w:fill="FFFFFF"/>
        </w:rPr>
        <w:t xml:space="preserve">ículo 224 de la Ley 100 de 1993, que reguló inicialmente el impuesto social sobre municiones y explosivos, y </w:t>
      </w:r>
      <w:r w:rsidRPr="005D08AD">
        <w:rPr>
          <w:rFonts w:ascii="Times New Roman" w:hAnsi="Times New Roman" w:cs="Times New Roman"/>
          <w:szCs w:val="28"/>
          <w:shd w:val="clear" w:color="auto" w:fill="FFFFFF"/>
        </w:rPr>
        <w:t>e</w:t>
      </w:r>
      <w:r w:rsidRPr="005D08AD">
        <w:rPr>
          <w:rFonts w:ascii="Times New Roman" w:hAnsi="Times New Roman" w:cs="Times New Roman"/>
          <w:szCs w:val="28"/>
          <w:shd w:val="clear" w:color="auto" w:fill="FFFFFF"/>
        </w:rPr>
        <w:t>l artículo 48 de la Ley 1438 de 2011</w:t>
      </w:r>
      <w:r w:rsidRPr="005D08AD">
        <w:rPr>
          <w:rFonts w:ascii="Times New Roman" w:hAnsi="Times New Roman" w:cs="Times New Roman"/>
          <w:szCs w:val="28"/>
          <w:shd w:val="clear" w:color="auto" w:fill="FFFFFF"/>
        </w:rPr>
        <w:t xml:space="preserve"> -artículo </w:t>
      </w:r>
      <w:r w:rsidRPr="005D08AD">
        <w:rPr>
          <w:rFonts w:ascii="Times New Roman" w:hAnsi="Times New Roman" w:cs="Times New Roman"/>
          <w:i/>
          <w:iCs/>
          <w:szCs w:val="28"/>
          <w:shd w:val="clear" w:color="auto" w:fill="FFFFFF"/>
        </w:rPr>
        <w:t>sub examine</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(iii) ni el Decreto Ley 2535 de 1993 ni el artículo 48 de la Ley 1438 de 2011 contiene</w:t>
      </w:r>
      <w:r w:rsidRPr="005D08AD">
        <w:rPr>
          <w:rFonts w:ascii="Times New Roman" w:hAnsi="Times New Roman" w:cs="Times New Roman"/>
          <w:szCs w:val="28"/>
          <w:shd w:val="clear" w:color="auto" w:fill="FFFFFF"/>
        </w:rPr>
        <w:t>n</w:t>
      </w:r>
      <w:r w:rsidRPr="005D08AD">
        <w:rPr>
          <w:rFonts w:ascii="Times New Roman" w:hAnsi="Times New Roman" w:cs="Times New Roman"/>
          <w:szCs w:val="28"/>
          <w:shd w:val="clear" w:color="auto" w:fill="FFFFFF"/>
        </w:rPr>
        <w:t xml:space="preserve"> alguna </w:t>
      </w:r>
      <w:r w:rsidRPr="005D08AD">
        <w:rPr>
          <w:rFonts w:ascii="Times New Roman" w:hAnsi="Times New Roman" w:cs="Times New Roman"/>
          <w:szCs w:val="28"/>
          <w:shd w:val="clear" w:color="auto" w:fill="FFFFFF"/>
        </w:rPr>
        <w:t>cláusula</w:t>
      </w:r>
      <w:r w:rsidRPr="005D08AD">
        <w:rPr>
          <w:rFonts w:ascii="Times New Roman" w:hAnsi="Times New Roman" w:cs="Times New Roman"/>
          <w:szCs w:val="28"/>
          <w:shd w:val="clear" w:color="auto" w:fill="FFFFFF"/>
        </w:rPr>
        <w:t xml:space="preserve"> que faculte al </w:t>
      </w:r>
      <w:r w:rsidRPr="005D08AD">
        <w:rPr>
          <w:rFonts w:ascii="Times New Roman" w:hAnsi="Times New Roman" w:cs="Times New Roman"/>
          <w:szCs w:val="28"/>
          <w:shd w:val="clear" w:color="auto" w:fill="FFFFFF"/>
        </w:rPr>
        <w:t>p</w:t>
      </w:r>
      <w:r w:rsidRPr="005D08AD">
        <w:rPr>
          <w:rFonts w:ascii="Times New Roman" w:hAnsi="Times New Roman" w:cs="Times New Roman"/>
          <w:szCs w:val="28"/>
          <w:shd w:val="clear" w:color="auto" w:fill="FFFFFF"/>
        </w:rPr>
        <w:t>residente de la República u</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 xml:space="preserve">otra autoridad administrativa </w:t>
      </w:r>
      <w:r w:rsidRPr="005D08AD">
        <w:rPr>
          <w:rFonts w:ascii="Times New Roman" w:hAnsi="Times New Roman" w:cs="Times New Roman"/>
          <w:szCs w:val="28"/>
          <w:shd w:val="clear" w:color="auto" w:fill="FFFFFF"/>
        </w:rPr>
        <w:t>para</w:t>
      </w:r>
      <w:r w:rsidRPr="005D08AD">
        <w:rPr>
          <w:rFonts w:ascii="Times New Roman" w:hAnsi="Times New Roman" w:cs="Times New Roman"/>
          <w:szCs w:val="28"/>
          <w:shd w:val="clear" w:color="auto" w:fill="FFFFFF"/>
        </w:rPr>
        <w:t xml:space="preserve"> reglamentar el hecho generador del impuesto social sobre municiones y ex</w:t>
      </w:r>
      <w:r w:rsidRPr="005D08AD">
        <w:rPr>
          <w:rFonts w:ascii="Times New Roman" w:hAnsi="Times New Roman" w:cs="Times New Roman"/>
          <w:szCs w:val="28"/>
          <w:shd w:val="clear" w:color="auto" w:fill="FFFFFF"/>
        </w:rPr>
        <w:t xml:space="preserve">plosivos; </w:t>
      </w:r>
      <w:r w:rsidRPr="005D08AD">
        <w:rPr>
          <w:rFonts w:ascii="Times New Roman" w:hAnsi="Times New Roman" w:cs="Times New Roman"/>
          <w:szCs w:val="28"/>
          <w:shd w:val="clear" w:color="auto" w:fill="FFFFFF"/>
        </w:rPr>
        <w:t>y (i</w:t>
      </w:r>
      <w:r w:rsidRPr="005D08AD">
        <w:rPr>
          <w:rFonts w:ascii="Times New Roman" w:hAnsi="Times New Roman" w:cs="Times New Roman"/>
          <w:szCs w:val="28"/>
          <w:shd w:val="clear" w:color="auto" w:fill="FFFFFF"/>
        </w:rPr>
        <w:t>v</w:t>
      </w:r>
      <w:r w:rsidRPr="005D08AD">
        <w:rPr>
          <w:rFonts w:ascii="Times New Roman" w:hAnsi="Times New Roman" w:cs="Times New Roman"/>
          <w:szCs w:val="28"/>
          <w:shd w:val="clear" w:color="auto" w:fill="FFFFFF"/>
        </w:rPr>
        <w:t xml:space="preserve">) en atención al monopolio estatal sobre </w:t>
      </w:r>
      <w:r w:rsidRPr="005D08AD">
        <w:rPr>
          <w:rFonts w:ascii="Times New Roman" w:hAnsi="Times New Roman" w:cs="Times New Roman"/>
          <w:szCs w:val="28"/>
          <w:shd w:val="clear" w:color="auto" w:fill="FFFFFF"/>
        </w:rPr>
        <w:t>m</w:t>
      </w:r>
      <w:r w:rsidRPr="005D08AD">
        <w:rPr>
          <w:rFonts w:ascii="Times New Roman" w:hAnsi="Times New Roman" w:cs="Times New Roman"/>
          <w:szCs w:val="28"/>
          <w:shd w:val="clear" w:color="auto" w:fill="FFFFFF"/>
        </w:rPr>
        <w:t xml:space="preserve">uniciones y explosivos, el legislador, </w:t>
      </w:r>
      <w:r w:rsidRPr="005D08AD">
        <w:rPr>
          <w:rFonts w:ascii="Times New Roman" w:hAnsi="Times New Roman" w:cs="Times New Roman"/>
          <w:szCs w:val="28"/>
          <w:shd w:val="clear" w:color="auto" w:fill="FFFFFF"/>
        </w:rPr>
        <w:t>entendió supeditado el</w:t>
      </w:r>
      <w:r w:rsidRPr="005D08AD">
        <w:rPr>
          <w:rFonts w:ascii="Times New Roman" w:hAnsi="Times New Roman" w:cs="Times New Roman"/>
          <w:szCs w:val="28"/>
          <w:shd w:val="clear" w:color="auto" w:fill="FFFFFF"/>
        </w:rPr>
        <w:t xml:space="preserve"> uso</w:t>
      </w:r>
      <w:r w:rsidRPr="005D08AD">
        <w:rPr>
          <w:rFonts w:ascii="Times New Roman" w:hAnsi="Times New Roman" w:cs="Times New Roman"/>
          <w:szCs w:val="28"/>
          <w:shd w:val="clear" w:color="auto" w:fill="FFFFFF"/>
        </w:rPr>
        <w:t xml:space="preserve"> de estos elementos</w:t>
      </w:r>
      <w:r w:rsidRPr="005D08AD">
        <w:rPr>
          <w:rFonts w:ascii="Times New Roman" w:hAnsi="Times New Roman" w:cs="Times New Roman"/>
          <w:szCs w:val="28"/>
          <w:shd w:val="clear" w:color="auto" w:fill="FFFFFF"/>
        </w:rPr>
        <w:t xml:space="preserve"> a la obtención de un permiso</w:t>
      </w:r>
      <w:r w:rsidRPr="005D08AD">
        <w:rPr>
          <w:rFonts w:ascii="Times New Roman" w:hAnsi="Times New Roman" w:cs="Times New Roman"/>
          <w:szCs w:val="28"/>
          <w:shd w:val="clear" w:color="auto" w:fill="FFFFFF"/>
        </w:rPr>
        <w:t>,</w:t>
      </w:r>
      <w:r w:rsidRPr="005D08AD">
        <w:rPr>
          <w:rFonts w:ascii="Times New Roman" w:hAnsi="Times New Roman" w:cs="Times New Roman"/>
          <w:szCs w:val="28"/>
          <w:shd w:val="clear" w:color="auto" w:fill="FFFFFF"/>
        </w:rPr>
        <w:t xml:space="preserve"> previsto en el artículo 223 de la Constitución</w:t>
      </w:r>
      <w:r w:rsidRPr="005D08AD">
        <w:rPr>
          <w:rFonts w:ascii="Times New Roman" w:hAnsi="Times New Roman" w:cs="Times New Roman"/>
          <w:szCs w:val="28"/>
          <w:shd w:val="clear" w:color="auto" w:fill="FFFFFF"/>
        </w:rPr>
        <w:t xml:space="preserve">. </w:t>
      </w:r>
    </w:p>
    <w:p w:rsidR="00B93D7B" w:rsidRPr="005D08AD" w:rsidRDefault="005D08AD" w:rsidP="005F72BB">
      <w:pPr>
        <w:pStyle w:val="Prrafodelista"/>
        <w:spacing w:after="0" w:line="240" w:lineRule="auto"/>
        <w:ind w:left="0"/>
        <w:mirrorIndents/>
        <w:jc w:val="both"/>
        <w:rPr>
          <w:rFonts w:ascii="Times New Roman" w:hAnsi="Times New Roman" w:cs="Times New Roman"/>
          <w:szCs w:val="28"/>
          <w:shd w:val="clear" w:color="auto" w:fill="FFFFFF"/>
        </w:rPr>
      </w:pPr>
    </w:p>
    <w:p w:rsidR="006D73D4"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 xml:space="preserve">Por lo demás, la Sala estima necesario, a partir de las distintas intervenciones, precisar las razones por las cuales el hecho generador, en el presente caso, se circunscribe a la </w:t>
      </w:r>
      <w:r w:rsidRPr="005D08AD">
        <w:rPr>
          <w:rFonts w:ascii="Times New Roman" w:hAnsi="Times New Roman" w:cs="Times New Roman"/>
          <w:i/>
          <w:iCs/>
          <w:szCs w:val="28"/>
          <w:shd w:val="clear" w:color="auto" w:fill="FFFFFF"/>
        </w:rPr>
        <w:t>compra</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i/>
          <w:iCs/>
          <w:szCs w:val="28"/>
          <w:shd w:val="clear" w:color="auto" w:fill="FFFFFF"/>
        </w:rPr>
        <w:t>autorizada</w:t>
      </w:r>
      <w:r w:rsidRPr="005D08AD">
        <w:rPr>
          <w:rFonts w:ascii="Times New Roman" w:hAnsi="Times New Roman" w:cs="Times New Roman"/>
          <w:szCs w:val="28"/>
          <w:shd w:val="clear" w:color="auto" w:fill="FFFFFF"/>
        </w:rPr>
        <w:t xml:space="preserve"> de municiones y explosivos y no a otros actos como el port</w:t>
      </w:r>
      <w:r w:rsidRPr="005D08AD">
        <w:rPr>
          <w:rFonts w:ascii="Times New Roman" w:hAnsi="Times New Roman" w:cs="Times New Roman"/>
          <w:szCs w:val="28"/>
          <w:shd w:val="clear" w:color="auto" w:fill="FFFFFF"/>
        </w:rPr>
        <w:t>e</w:t>
      </w:r>
      <w:r w:rsidRPr="005D08AD">
        <w:rPr>
          <w:rStyle w:val="Refdenotaalpie"/>
          <w:rFonts w:ascii="Times New Roman" w:hAnsi="Times New Roman"/>
          <w:szCs w:val="28"/>
          <w:shd w:val="clear" w:color="auto" w:fill="FFFFFF"/>
        </w:rPr>
        <w:footnoteReference w:id="88"/>
      </w:r>
      <w:r w:rsidRPr="005D08AD">
        <w:rPr>
          <w:rFonts w:ascii="Times New Roman" w:hAnsi="Times New Roman" w:cs="Times New Roman"/>
          <w:szCs w:val="28"/>
          <w:shd w:val="clear" w:color="auto" w:fill="FFFFFF"/>
        </w:rPr>
        <w:t xml:space="preserve"> o transacciones tales como la fabricación, importación, posesión o donación</w:t>
      </w:r>
      <w:r w:rsidRPr="005D08AD">
        <w:rPr>
          <w:rStyle w:val="Refdenotaalpie"/>
          <w:rFonts w:ascii="Times New Roman" w:hAnsi="Times New Roman"/>
          <w:szCs w:val="28"/>
          <w:shd w:val="clear" w:color="auto" w:fill="FFFFFF"/>
        </w:rPr>
        <w:footnoteReference w:id="89"/>
      </w:r>
      <w:r w:rsidRPr="005D08AD">
        <w:rPr>
          <w:rFonts w:ascii="Times New Roman" w:hAnsi="Times New Roman" w:cs="Times New Roman"/>
          <w:szCs w:val="28"/>
          <w:shd w:val="clear" w:color="auto" w:fill="FFFFFF"/>
        </w:rPr>
        <w:t xml:space="preserve">. Asimismo, corresponde </w:t>
      </w:r>
      <w:r w:rsidRPr="005D08AD">
        <w:rPr>
          <w:rFonts w:ascii="Times New Roman" w:hAnsi="Times New Roman" w:cs="Times New Roman"/>
          <w:szCs w:val="28"/>
          <w:shd w:val="clear" w:color="auto" w:fill="FFFFFF"/>
        </w:rPr>
        <w:t xml:space="preserve">precisar </w:t>
      </w:r>
      <w:r w:rsidRPr="005D08AD">
        <w:rPr>
          <w:rFonts w:ascii="Times New Roman" w:hAnsi="Times New Roman" w:cs="Times New Roman"/>
          <w:szCs w:val="28"/>
          <w:shd w:val="clear" w:color="auto" w:fill="FFFFFF"/>
        </w:rPr>
        <w:t>los motivos por los cuales la norma no resulta inexequible</w:t>
      </w:r>
      <w:r w:rsidRPr="005D08AD">
        <w:rPr>
          <w:rStyle w:val="Refdenotaalpie"/>
          <w:rFonts w:ascii="Times New Roman" w:hAnsi="Times New Roman"/>
          <w:szCs w:val="28"/>
          <w:shd w:val="clear" w:color="auto" w:fill="FFFFFF"/>
        </w:rPr>
        <w:footnoteReference w:id="90"/>
      </w:r>
      <w:r w:rsidRPr="005D08AD">
        <w:rPr>
          <w:rFonts w:ascii="Times New Roman" w:hAnsi="Times New Roman" w:cs="Times New Roman"/>
          <w:szCs w:val="28"/>
          <w:shd w:val="clear" w:color="auto" w:fill="FFFFFF"/>
        </w:rPr>
        <w:t>.</w:t>
      </w:r>
    </w:p>
    <w:p w:rsidR="006D73D4" w:rsidRPr="005D08AD" w:rsidRDefault="005D08AD" w:rsidP="005F72BB">
      <w:pPr>
        <w:pStyle w:val="Prrafodelista"/>
        <w:spacing w:after="0" w:line="240" w:lineRule="auto"/>
        <w:ind w:left="0"/>
        <w:rPr>
          <w:rFonts w:ascii="Times New Roman" w:hAnsi="Times New Roman" w:cs="Times New Roman"/>
          <w:color w:val="000000" w:themeColor="text1"/>
          <w:szCs w:val="28"/>
          <w:shd w:val="clear" w:color="auto" w:fill="FFFFFF"/>
        </w:rPr>
      </w:pPr>
    </w:p>
    <w:p w:rsidR="00A4209C" w:rsidRPr="005D08AD" w:rsidRDefault="005D08AD" w:rsidP="005F72BB">
      <w:pPr>
        <w:pStyle w:val="Prrafodelista"/>
        <w:numPr>
          <w:ilvl w:val="0"/>
          <w:numId w:val="4"/>
        </w:numPr>
        <w:spacing w:after="0" w:line="240" w:lineRule="auto"/>
        <w:mirrorIndents/>
        <w:jc w:val="both"/>
        <w:rPr>
          <w:rFonts w:ascii="Times New Roman" w:hAnsi="Times New Roman" w:cs="Times New Roman"/>
          <w:shd w:val="clear" w:color="auto" w:fill="FFFFFF"/>
        </w:rPr>
      </w:pPr>
      <w:r w:rsidRPr="005D08AD">
        <w:rPr>
          <w:rFonts w:ascii="Times New Roman" w:hAnsi="Times New Roman" w:cs="Times New Roman"/>
          <w:color w:val="000000" w:themeColor="text1"/>
          <w:shd w:val="clear" w:color="auto" w:fill="FFFFFF"/>
        </w:rPr>
        <w:t xml:space="preserve">Respecto </w:t>
      </w:r>
      <w:r w:rsidRPr="005D08AD">
        <w:rPr>
          <w:rFonts w:ascii="Times New Roman" w:hAnsi="Times New Roman" w:cs="Times New Roman"/>
          <w:color w:val="000000" w:themeColor="text1"/>
          <w:szCs w:val="28"/>
          <w:shd w:val="clear" w:color="auto" w:fill="FFFFFF"/>
        </w:rPr>
        <w:t>del</w:t>
      </w:r>
      <w:r w:rsidRPr="005D08AD">
        <w:rPr>
          <w:rFonts w:ascii="Times New Roman" w:hAnsi="Times New Roman" w:cs="Times New Roman"/>
          <w:color w:val="000000" w:themeColor="text1"/>
          <w:shd w:val="clear" w:color="auto" w:fill="FFFFFF"/>
        </w:rPr>
        <w:t xml:space="preserve"> primer punto, esto es, </w:t>
      </w:r>
      <w:r w:rsidRPr="005D08AD">
        <w:rPr>
          <w:rFonts w:ascii="Times New Roman" w:hAnsi="Times New Roman" w:cs="Times New Roman"/>
          <w:color w:val="000000" w:themeColor="text1"/>
          <w:szCs w:val="28"/>
          <w:shd w:val="clear" w:color="auto" w:fill="FFFFFF"/>
        </w:rPr>
        <w:t>la posibilidad de que el hecho generador se pr</w:t>
      </w:r>
      <w:r w:rsidRPr="005D08AD">
        <w:rPr>
          <w:rFonts w:ascii="Times New Roman" w:hAnsi="Times New Roman" w:cs="Times New Roman"/>
          <w:color w:val="000000" w:themeColor="text1"/>
          <w:szCs w:val="28"/>
          <w:shd w:val="clear" w:color="auto" w:fill="FFFFFF"/>
        </w:rPr>
        <w:t xml:space="preserve">edique de actos distintos a la compra autorizada de municiones y explosivos, </w:t>
      </w:r>
      <w:r w:rsidRPr="005D08AD">
        <w:rPr>
          <w:rFonts w:ascii="Times New Roman" w:hAnsi="Times New Roman" w:cs="Times New Roman"/>
          <w:color w:val="000000" w:themeColor="text1"/>
          <w:szCs w:val="28"/>
          <w:shd w:val="clear" w:color="auto" w:fill="FFFFFF"/>
        </w:rPr>
        <w:t>la Sala</w:t>
      </w:r>
      <w:r w:rsidRPr="005D08AD">
        <w:rPr>
          <w:rFonts w:ascii="Times New Roman" w:hAnsi="Times New Roman" w:cs="Times New Roman"/>
          <w:color w:val="000000" w:themeColor="text1"/>
          <w:szCs w:val="28"/>
          <w:shd w:val="clear" w:color="auto" w:fill="FFFFFF"/>
        </w:rPr>
        <w:t xml:space="preserve"> descarta </w:t>
      </w:r>
      <w:r w:rsidRPr="005D08AD">
        <w:rPr>
          <w:rFonts w:ascii="Times New Roman" w:hAnsi="Times New Roman" w:cs="Times New Roman"/>
          <w:color w:val="000000" w:themeColor="text1"/>
          <w:szCs w:val="28"/>
          <w:shd w:val="clear" w:color="auto" w:fill="FFFFFF"/>
        </w:rPr>
        <w:t xml:space="preserve">tal alternativa </w:t>
      </w:r>
      <w:r w:rsidRPr="005D08AD">
        <w:rPr>
          <w:rFonts w:ascii="Times New Roman" w:hAnsi="Times New Roman" w:cs="Times New Roman"/>
          <w:color w:val="000000" w:themeColor="text1"/>
          <w:szCs w:val="28"/>
          <w:shd w:val="clear" w:color="auto" w:fill="FFFFFF"/>
        </w:rPr>
        <w:t xml:space="preserve">por varias razones. En particular, el hecho generador no puede corresponder </w:t>
      </w:r>
      <w:r w:rsidRPr="005D08AD">
        <w:rPr>
          <w:rFonts w:ascii="Times New Roman" w:hAnsi="Times New Roman" w:cs="Times New Roman"/>
          <w:color w:val="000000" w:themeColor="text1"/>
          <w:shd w:val="clear" w:color="auto" w:fill="FFFFFF"/>
        </w:rPr>
        <w:t>al “</w:t>
      </w:r>
      <w:r w:rsidRPr="005D08AD">
        <w:rPr>
          <w:rFonts w:ascii="Times New Roman" w:hAnsi="Times New Roman" w:cs="Times New Roman"/>
          <w:i/>
          <w:iCs/>
          <w:color w:val="000000" w:themeColor="text1"/>
          <w:shd w:val="clear" w:color="auto" w:fill="FFFFFF"/>
        </w:rPr>
        <w:t>porte</w:t>
      </w:r>
      <w:r w:rsidRPr="005D08AD">
        <w:rPr>
          <w:rFonts w:ascii="Times New Roman" w:hAnsi="Times New Roman" w:cs="Times New Roman"/>
          <w:color w:val="000000" w:themeColor="text1"/>
          <w:shd w:val="clear" w:color="auto" w:fill="FFFFFF"/>
        </w:rPr>
        <w:t xml:space="preserve">” de </w:t>
      </w:r>
      <w:r w:rsidRPr="005D08AD">
        <w:rPr>
          <w:rFonts w:ascii="Times New Roman" w:hAnsi="Times New Roman" w:cs="Times New Roman"/>
          <w:color w:val="000000" w:themeColor="text1"/>
          <w:szCs w:val="28"/>
          <w:shd w:val="clear" w:color="auto" w:fill="FFFFFF"/>
        </w:rPr>
        <w:t>estos elementos</w:t>
      </w:r>
      <w:r w:rsidRPr="005D08AD">
        <w:rPr>
          <w:rFonts w:ascii="Times New Roman" w:hAnsi="Times New Roman" w:cs="Times New Roman"/>
          <w:color w:val="000000" w:themeColor="text1"/>
          <w:shd w:val="clear" w:color="auto" w:fill="FFFFFF"/>
        </w:rPr>
        <w:t xml:space="preserve"> por tres motivos.</w:t>
      </w:r>
      <w:r w:rsidRPr="005D08AD">
        <w:rPr>
          <w:rFonts w:ascii="Times New Roman" w:hAnsi="Times New Roman" w:cs="Times New Roman"/>
          <w:color w:val="000000" w:themeColor="text1"/>
          <w:szCs w:val="28"/>
          <w:shd w:val="clear" w:color="auto" w:fill="FFFFFF"/>
        </w:rPr>
        <w:t xml:space="preserve"> En primer lugar, la Sentencia C-390 de 1996 precisó que el legislador creó dos tributos distintos, que solo comparten como elementos comunes el </w:t>
      </w:r>
      <w:r w:rsidRPr="005D08AD">
        <w:rPr>
          <w:rFonts w:ascii="Times New Roman" w:hAnsi="Times New Roman" w:cs="Times New Roman"/>
          <w:color w:val="000000" w:themeColor="text1"/>
          <w:shd w:val="clear" w:color="auto" w:fill="FFFFFF"/>
        </w:rPr>
        <w:t>sujeto activo</w:t>
      </w:r>
      <w:r w:rsidRPr="005D08AD">
        <w:rPr>
          <w:rFonts w:ascii="Times New Roman" w:hAnsi="Times New Roman" w:cs="Times New Roman"/>
          <w:color w:val="000000" w:themeColor="text1"/>
          <w:szCs w:val="28"/>
          <w:shd w:val="clear" w:color="auto" w:fill="FFFFFF"/>
        </w:rPr>
        <w:t xml:space="preserve"> y la </w:t>
      </w:r>
      <w:r w:rsidRPr="005D08AD">
        <w:rPr>
          <w:rFonts w:ascii="Times New Roman" w:hAnsi="Times New Roman" w:cs="Times New Roman"/>
          <w:color w:val="000000" w:themeColor="text1"/>
          <w:shd w:val="clear" w:color="auto" w:fill="FFFFFF"/>
        </w:rPr>
        <w:t xml:space="preserve">destinación de </w:t>
      </w:r>
      <w:r w:rsidRPr="005D08AD">
        <w:rPr>
          <w:rFonts w:ascii="Times New Roman" w:hAnsi="Times New Roman" w:cs="Times New Roman"/>
          <w:color w:val="000000" w:themeColor="text1"/>
          <w:szCs w:val="28"/>
          <w:shd w:val="clear" w:color="auto" w:fill="FFFFFF"/>
        </w:rPr>
        <w:t xml:space="preserve">los </w:t>
      </w:r>
      <w:r w:rsidRPr="005D08AD">
        <w:rPr>
          <w:rFonts w:ascii="Times New Roman" w:hAnsi="Times New Roman" w:cs="Times New Roman"/>
          <w:color w:val="000000" w:themeColor="text1"/>
          <w:shd w:val="clear" w:color="auto" w:fill="FFFFFF"/>
        </w:rPr>
        <w:t>recursos.</w:t>
      </w:r>
      <w:r w:rsidRPr="005D08AD">
        <w:rPr>
          <w:rFonts w:ascii="Times New Roman" w:hAnsi="Times New Roman" w:cs="Times New Roman"/>
          <w:color w:val="000000" w:themeColor="text1"/>
          <w:szCs w:val="28"/>
          <w:shd w:val="clear" w:color="auto" w:fill="FFFFFF"/>
        </w:rPr>
        <w:t xml:space="preserve"> En segundo lugar, el uso de municiones y explosivos se encuentr</w:t>
      </w:r>
      <w:r w:rsidRPr="005D08AD">
        <w:rPr>
          <w:rFonts w:ascii="Times New Roman" w:hAnsi="Times New Roman" w:cs="Times New Roman"/>
          <w:color w:val="000000" w:themeColor="text1"/>
          <w:szCs w:val="28"/>
          <w:shd w:val="clear" w:color="auto" w:fill="FFFFFF"/>
        </w:rPr>
        <w:t xml:space="preserve">a supeditado a su </w:t>
      </w:r>
      <w:r w:rsidRPr="005D08AD">
        <w:rPr>
          <w:rFonts w:ascii="Times New Roman" w:hAnsi="Times New Roman" w:cs="Times New Roman"/>
          <w:color w:val="000000" w:themeColor="text1"/>
          <w:shd w:val="clear" w:color="auto" w:fill="FFFFFF"/>
        </w:rPr>
        <w:t>compra</w:t>
      </w:r>
      <w:r w:rsidRPr="005D08AD">
        <w:rPr>
          <w:rFonts w:ascii="Times New Roman" w:hAnsi="Times New Roman" w:cs="Times New Roman"/>
          <w:color w:val="000000" w:themeColor="text1"/>
          <w:szCs w:val="28"/>
          <w:shd w:val="clear" w:color="auto" w:fill="FFFFFF"/>
        </w:rPr>
        <w:t xml:space="preserve"> autorizada, en los términos previstos en el Decreto Ley 2535 de 1993. Finalmente, conforme a las intervenciones, la naturaleza de estos elementos —municiones y explosivos— impide asumir que el hecho generador corresponda al “porte”</w:t>
      </w:r>
      <w:r w:rsidRPr="005D08AD">
        <w:rPr>
          <w:rFonts w:ascii="Times New Roman" w:hAnsi="Times New Roman" w:cs="Times New Roman"/>
          <w:color w:val="000000" w:themeColor="text1"/>
          <w:szCs w:val="28"/>
          <w:shd w:val="clear" w:color="auto" w:fill="FFFFFF"/>
        </w:rPr>
        <w:t>, pues se trata de bienes fungibles y consumibles que, una vez utilizados, no pueden ser retornados al Estado.</w:t>
      </w:r>
    </w:p>
    <w:p w:rsidR="00D042B4" w:rsidRPr="005D08AD" w:rsidRDefault="005D08AD" w:rsidP="000F460E">
      <w:pPr>
        <w:pStyle w:val="Prrafodelista"/>
        <w:spacing w:after="0" w:line="240" w:lineRule="auto"/>
        <w:ind w:left="0"/>
        <w:mirrorIndents/>
        <w:jc w:val="both"/>
        <w:rPr>
          <w:rFonts w:ascii="Times New Roman" w:hAnsi="Times New Roman" w:cs="Times New Roman"/>
          <w:shd w:val="clear" w:color="auto" w:fill="FFFFFF"/>
        </w:rPr>
      </w:pPr>
    </w:p>
    <w:p w:rsidR="00F93110" w:rsidRPr="005D08AD" w:rsidRDefault="005D08AD" w:rsidP="005F72BB">
      <w:pPr>
        <w:pStyle w:val="Prrafodelista"/>
        <w:numPr>
          <w:ilvl w:val="0"/>
          <w:numId w:val="4"/>
        </w:numPr>
        <w:spacing w:after="0" w:line="240" w:lineRule="auto"/>
        <w:mirrorIndents/>
        <w:jc w:val="both"/>
        <w:rPr>
          <w:rFonts w:ascii="Times New Roman" w:hAnsi="Times New Roman" w:cs="Times New Roman"/>
          <w:color w:val="000000" w:themeColor="text1"/>
          <w:szCs w:val="28"/>
          <w:shd w:val="clear" w:color="auto" w:fill="FFFFFF"/>
        </w:rPr>
      </w:pPr>
      <w:r w:rsidRPr="005D08AD">
        <w:rPr>
          <w:rFonts w:ascii="Times New Roman" w:hAnsi="Times New Roman" w:cs="Times New Roman"/>
          <w:color w:val="000000" w:themeColor="text1"/>
          <w:shd w:val="clear" w:color="auto" w:fill="FFFFFF"/>
        </w:rPr>
        <w:t xml:space="preserve">En </w:t>
      </w:r>
      <w:r w:rsidRPr="005D08AD">
        <w:rPr>
          <w:rFonts w:ascii="Times New Roman" w:hAnsi="Times New Roman" w:cs="Times New Roman"/>
          <w:color w:val="000000" w:themeColor="text1"/>
          <w:szCs w:val="28"/>
          <w:shd w:val="clear" w:color="auto" w:fill="FFFFFF"/>
        </w:rPr>
        <w:t>segundo</w:t>
      </w:r>
      <w:r w:rsidRPr="005D08AD">
        <w:rPr>
          <w:rFonts w:ascii="Times New Roman" w:hAnsi="Times New Roman" w:cs="Times New Roman"/>
          <w:color w:val="000000" w:themeColor="text1"/>
          <w:szCs w:val="28"/>
          <w:shd w:val="clear" w:color="auto" w:fill="FFFFFF"/>
        </w:rPr>
        <w:t xml:space="preserve"> lugar</w:t>
      </w:r>
      <w:r w:rsidRPr="005D08AD">
        <w:rPr>
          <w:rFonts w:ascii="Times New Roman" w:hAnsi="Times New Roman" w:cs="Times New Roman"/>
          <w:color w:val="000000" w:themeColor="text1"/>
          <w:szCs w:val="28"/>
          <w:shd w:val="clear" w:color="auto" w:fill="FFFFFF"/>
        </w:rPr>
        <w:t xml:space="preserve">, </w:t>
      </w:r>
      <w:r w:rsidRPr="005D08AD">
        <w:rPr>
          <w:rFonts w:ascii="Times New Roman" w:hAnsi="Times New Roman" w:cs="Times New Roman"/>
          <w:color w:val="000000" w:themeColor="text1"/>
          <w:szCs w:val="28"/>
          <w:shd w:val="clear" w:color="auto" w:fill="FFFFFF"/>
        </w:rPr>
        <w:t xml:space="preserve">no es posible predicar </w:t>
      </w:r>
      <w:r w:rsidRPr="005D08AD">
        <w:rPr>
          <w:rFonts w:ascii="Times New Roman" w:hAnsi="Times New Roman" w:cs="Times New Roman"/>
          <w:color w:val="000000" w:themeColor="text1"/>
          <w:szCs w:val="28"/>
          <w:shd w:val="clear" w:color="auto" w:fill="FFFFFF"/>
        </w:rPr>
        <w:t xml:space="preserve">el hecho generador de otras transacciones como la </w:t>
      </w:r>
      <w:r w:rsidRPr="005D08AD">
        <w:rPr>
          <w:rFonts w:ascii="Times New Roman" w:hAnsi="Times New Roman" w:cs="Times New Roman"/>
          <w:i/>
          <w:iCs/>
          <w:color w:val="000000" w:themeColor="text1"/>
          <w:szCs w:val="28"/>
          <w:shd w:val="clear" w:color="auto" w:fill="FFFFFF"/>
        </w:rPr>
        <w:t>fabricación, la importación</w:t>
      </w:r>
      <w:r w:rsidRPr="005D08AD">
        <w:rPr>
          <w:rFonts w:ascii="Times New Roman" w:hAnsi="Times New Roman" w:cs="Times New Roman"/>
          <w:i/>
          <w:iCs/>
          <w:color w:val="000000" w:themeColor="text1"/>
          <w:szCs w:val="28"/>
          <w:shd w:val="clear" w:color="auto" w:fill="FFFFFF"/>
        </w:rPr>
        <w:t>, la tenencia</w:t>
      </w:r>
      <w:r w:rsidRPr="005D08AD">
        <w:rPr>
          <w:rFonts w:ascii="Times New Roman" w:hAnsi="Times New Roman" w:cs="Times New Roman"/>
          <w:color w:val="000000" w:themeColor="text1"/>
          <w:szCs w:val="28"/>
          <w:shd w:val="clear" w:color="auto" w:fill="FFFFFF"/>
        </w:rPr>
        <w:t xml:space="preserve"> </w:t>
      </w:r>
      <w:r w:rsidRPr="005D08AD">
        <w:rPr>
          <w:rFonts w:ascii="Times New Roman" w:hAnsi="Times New Roman" w:cs="Times New Roman"/>
          <w:color w:val="000000" w:themeColor="text1"/>
          <w:szCs w:val="28"/>
          <w:shd w:val="clear" w:color="auto" w:fill="FFFFFF"/>
        </w:rPr>
        <w:t xml:space="preserve">y la </w:t>
      </w:r>
      <w:r w:rsidRPr="005D08AD">
        <w:rPr>
          <w:rFonts w:ascii="Times New Roman" w:hAnsi="Times New Roman" w:cs="Times New Roman"/>
          <w:i/>
          <w:iCs/>
          <w:color w:val="000000" w:themeColor="text1"/>
          <w:szCs w:val="28"/>
          <w:shd w:val="clear" w:color="auto" w:fill="FFFFFF"/>
        </w:rPr>
        <w:t xml:space="preserve">donación </w:t>
      </w:r>
      <w:r w:rsidRPr="005D08AD">
        <w:rPr>
          <w:rFonts w:ascii="Times New Roman" w:hAnsi="Times New Roman" w:cs="Times New Roman"/>
          <w:color w:val="000000" w:themeColor="text1"/>
          <w:szCs w:val="28"/>
          <w:shd w:val="clear" w:color="auto" w:fill="FFFFFF"/>
        </w:rPr>
        <w:t xml:space="preserve">debido a que: </w:t>
      </w:r>
      <w:r w:rsidRPr="005D08AD">
        <w:rPr>
          <w:rFonts w:ascii="Times New Roman" w:hAnsi="Times New Roman" w:cs="Times New Roman"/>
          <w:i/>
          <w:iCs/>
          <w:color w:val="000000" w:themeColor="text1"/>
          <w:szCs w:val="28"/>
          <w:shd w:val="clear" w:color="auto" w:fill="FFFFFF"/>
        </w:rPr>
        <w:t>(i)</w:t>
      </w:r>
      <w:r w:rsidRPr="005D08AD">
        <w:rPr>
          <w:rFonts w:ascii="Times New Roman" w:hAnsi="Times New Roman" w:cs="Times New Roman"/>
          <w:color w:val="000000" w:themeColor="text1"/>
          <w:szCs w:val="28"/>
          <w:shd w:val="clear" w:color="auto" w:fill="FFFFFF"/>
        </w:rPr>
        <w:t xml:space="preserve"> </w:t>
      </w:r>
      <w:r w:rsidRPr="005D08AD">
        <w:rPr>
          <w:rFonts w:ascii="Times New Roman" w:hAnsi="Times New Roman" w:cs="Times New Roman"/>
          <w:color w:val="000000" w:themeColor="text1"/>
          <w:szCs w:val="28"/>
          <w:shd w:val="clear" w:color="auto" w:fill="FFFFFF"/>
        </w:rPr>
        <w:t>en virtud del monopolio del uso de la fuerza, solo el Estado está autorizado para fabricar e importar munici</w:t>
      </w:r>
      <w:r w:rsidRPr="005D08AD">
        <w:rPr>
          <w:rFonts w:ascii="Times New Roman" w:hAnsi="Times New Roman" w:cs="Times New Roman"/>
          <w:color w:val="000000" w:themeColor="text1"/>
          <w:szCs w:val="28"/>
          <w:shd w:val="clear" w:color="auto" w:fill="FFFFFF"/>
        </w:rPr>
        <w:t xml:space="preserve">ones </w:t>
      </w:r>
      <w:r w:rsidRPr="005D08AD">
        <w:rPr>
          <w:rFonts w:ascii="Times New Roman" w:hAnsi="Times New Roman" w:cs="Times New Roman"/>
          <w:color w:val="000000" w:themeColor="text1"/>
          <w:szCs w:val="28"/>
          <w:shd w:val="clear" w:color="auto" w:fill="FFFFFF"/>
        </w:rPr>
        <w:t>y explosivos, lo que descarta que un particular (</w:t>
      </w:r>
      <w:r w:rsidRPr="005D08AD">
        <w:rPr>
          <w:rFonts w:ascii="Times New Roman" w:hAnsi="Times New Roman" w:cs="Times New Roman"/>
          <w:color w:val="000000" w:themeColor="text1"/>
          <w:szCs w:val="28"/>
          <w:shd w:val="clear" w:color="auto" w:fill="FFFFFF"/>
        </w:rPr>
        <w:t xml:space="preserve">como </w:t>
      </w:r>
      <w:r w:rsidRPr="005D08AD">
        <w:rPr>
          <w:rFonts w:ascii="Times New Roman" w:hAnsi="Times New Roman" w:cs="Times New Roman"/>
          <w:color w:val="000000" w:themeColor="text1"/>
          <w:szCs w:val="28"/>
          <w:shd w:val="clear" w:color="auto" w:fill="FFFFFF"/>
        </w:rPr>
        <w:t>sujeto pasivo) pudiera encontrarse en la posición de fabricant</w:t>
      </w:r>
      <w:r w:rsidRPr="005D08AD">
        <w:rPr>
          <w:rFonts w:ascii="Times New Roman" w:hAnsi="Times New Roman" w:cs="Times New Roman"/>
          <w:color w:val="000000" w:themeColor="text1"/>
          <w:szCs w:val="28"/>
          <w:shd w:val="clear" w:color="auto" w:fill="FFFFFF"/>
        </w:rPr>
        <w:t xml:space="preserve">e o importador y por ende causar el impuesto; </w:t>
      </w:r>
      <w:r w:rsidRPr="005D08AD">
        <w:rPr>
          <w:rFonts w:ascii="Times New Roman" w:hAnsi="Times New Roman" w:cs="Times New Roman"/>
          <w:i/>
          <w:iCs/>
          <w:color w:val="000000" w:themeColor="text1"/>
          <w:szCs w:val="28"/>
          <w:shd w:val="clear" w:color="auto" w:fill="FFFFFF"/>
        </w:rPr>
        <w:t>(ii)</w:t>
      </w:r>
      <w:r w:rsidRPr="005D08AD">
        <w:rPr>
          <w:rFonts w:ascii="Times New Roman" w:hAnsi="Times New Roman" w:cs="Times New Roman"/>
          <w:color w:val="000000" w:themeColor="text1"/>
          <w:szCs w:val="28"/>
          <w:shd w:val="clear" w:color="auto" w:fill="FFFFFF"/>
        </w:rPr>
        <w:t xml:space="preserve"> de acuerdo con </w:t>
      </w:r>
      <w:r w:rsidRPr="005D08AD">
        <w:rPr>
          <w:rFonts w:ascii="Times New Roman" w:hAnsi="Times New Roman" w:cs="Times New Roman"/>
          <w:color w:val="000000" w:themeColor="text1"/>
          <w:szCs w:val="28"/>
          <w:shd w:val="clear" w:color="auto" w:fill="FFFFFF"/>
        </w:rPr>
        <w:t>Indumil</w:t>
      </w:r>
      <w:r w:rsidRPr="005D08AD">
        <w:rPr>
          <w:rFonts w:ascii="Times New Roman" w:hAnsi="Times New Roman" w:cs="Times New Roman"/>
          <w:color w:val="000000" w:themeColor="text1"/>
          <w:szCs w:val="28"/>
          <w:shd w:val="clear" w:color="auto" w:fill="FFFFFF"/>
        </w:rPr>
        <w:t xml:space="preserve">, no existe un permiso para el porte o tenencia de municiones y explosivos, sino para su compra, de manera que </w:t>
      </w:r>
      <w:r w:rsidRPr="005D08AD">
        <w:rPr>
          <w:rFonts w:ascii="Times New Roman" w:hAnsi="Times New Roman" w:cs="Times New Roman"/>
          <w:color w:val="000000" w:themeColor="text1"/>
          <w:szCs w:val="28"/>
          <w:shd w:val="clear" w:color="auto" w:fill="FFFFFF"/>
        </w:rPr>
        <w:t xml:space="preserve">el porte o </w:t>
      </w:r>
      <w:r w:rsidRPr="005D08AD">
        <w:rPr>
          <w:rFonts w:ascii="Times New Roman" w:hAnsi="Times New Roman" w:cs="Times New Roman"/>
          <w:color w:val="000000" w:themeColor="text1"/>
          <w:szCs w:val="28"/>
          <w:shd w:val="clear" w:color="auto" w:fill="FFFFFF"/>
        </w:rPr>
        <w:t>la tenencia no podrían dar lugar a la causación del impuesto</w:t>
      </w:r>
      <w:r w:rsidRPr="005D08AD">
        <w:rPr>
          <w:rFonts w:ascii="Times New Roman" w:hAnsi="Times New Roman" w:cs="Times New Roman"/>
          <w:color w:val="000000" w:themeColor="text1"/>
          <w:szCs w:val="28"/>
          <w:shd w:val="clear" w:color="auto" w:fill="FFFFFF"/>
        </w:rPr>
        <w:t xml:space="preserve"> </w:t>
      </w:r>
      <w:r w:rsidRPr="005D08AD">
        <w:rPr>
          <w:rFonts w:ascii="Times New Roman" w:hAnsi="Times New Roman" w:cs="Times New Roman"/>
          <w:color w:val="000000" w:themeColor="text1"/>
          <w:szCs w:val="28"/>
          <w:shd w:val="clear" w:color="auto" w:fill="FFFFFF"/>
        </w:rPr>
        <w:t xml:space="preserve">y </w:t>
      </w:r>
      <w:r w:rsidRPr="005D08AD">
        <w:rPr>
          <w:rFonts w:ascii="Times New Roman" w:hAnsi="Times New Roman" w:cs="Times New Roman"/>
          <w:i/>
          <w:iCs/>
          <w:color w:val="000000" w:themeColor="text1"/>
          <w:szCs w:val="28"/>
          <w:shd w:val="clear" w:color="auto" w:fill="FFFFFF"/>
        </w:rPr>
        <w:t>(iii)</w:t>
      </w:r>
      <w:r w:rsidRPr="005D08AD">
        <w:rPr>
          <w:rFonts w:ascii="Times New Roman" w:hAnsi="Times New Roman" w:cs="Times New Roman"/>
          <w:color w:val="000000" w:themeColor="text1"/>
          <w:szCs w:val="28"/>
          <w:shd w:val="clear" w:color="auto" w:fill="FFFFFF"/>
        </w:rPr>
        <w:t xml:space="preserve"> las expresiones </w:t>
      </w:r>
      <w:r w:rsidRPr="005D08AD">
        <w:rPr>
          <w:rFonts w:ascii="Times New Roman" w:hAnsi="Times New Roman" w:cs="Times New Roman"/>
          <w:color w:val="000000" w:themeColor="text1"/>
          <w:szCs w:val="28"/>
          <w:shd w:val="clear" w:color="auto" w:fill="FFFFFF"/>
        </w:rPr>
        <w:t>“</w:t>
      </w:r>
      <w:r w:rsidRPr="005D08AD">
        <w:rPr>
          <w:rFonts w:ascii="Times New Roman" w:hAnsi="Times New Roman" w:cs="Times New Roman"/>
          <w:i/>
          <w:iCs/>
          <w:color w:val="000000" w:themeColor="text1"/>
          <w:szCs w:val="28"/>
          <w:shd w:val="clear" w:color="auto" w:fill="FFFFFF"/>
        </w:rPr>
        <w:t>ad valorem</w:t>
      </w:r>
      <w:r w:rsidRPr="005D08AD">
        <w:rPr>
          <w:rFonts w:ascii="Times New Roman" w:hAnsi="Times New Roman" w:cs="Times New Roman"/>
          <w:color w:val="000000" w:themeColor="text1"/>
          <w:szCs w:val="28"/>
          <w:shd w:val="clear" w:color="auto" w:fill="FFFFFF"/>
        </w:rPr>
        <w:t>”</w:t>
      </w:r>
      <w:r w:rsidRPr="005D08AD">
        <w:rPr>
          <w:rFonts w:ascii="Times New Roman" w:hAnsi="Times New Roman" w:cs="Times New Roman"/>
          <w:color w:val="000000" w:themeColor="text1"/>
          <w:szCs w:val="28"/>
          <w:shd w:val="clear" w:color="auto" w:fill="FFFFFF"/>
        </w:rPr>
        <w:t xml:space="preserve"> y </w:t>
      </w:r>
      <w:r w:rsidRPr="005D08AD">
        <w:rPr>
          <w:rFonts w:ascii="Times New Roman" w:hAnsi="Times New Roman" w:cs="Times New Roman"/>
          <w:color w:val="000000" w:themeColor="text1"/>
          <w:szCs w:val="28"/>
          <w:shd w:val="clear" w:color="auto" w:fill="FFFFFF"/>
        </w:rPr>
        <w:t>“</w:t>
      </w:r>
      <w:r w:rsidRPr="005D08AD">
        <w:rPr>
          <w:rFonts w:ascii="Times New Roman" w:hAnsi="Times New Roman" w:cs="Times New Roman"/>
          <w:i/>
          <w:iCs/>
          <w:color w:val="000000" w:themeColor="text1"/>
          <w:szCs w:val="28"/>
          <w:shd w:val="clear" w:color="auto" w:fill="FFFFFF"/>
        </w:rPr>
        <w:t>cobrará</w:t>
      </w:r>
      <w:r w:rsidRPr="005D08AD">
        <w:rPr>
          <w:rFonts w:ascii="Times New Roman" w:hAnsi="Times New Roman" w:cs="Times New Roman"/>
          <w:color w:val="000000" w:themeColor="text1"/>
          <w:szCs w:val="28"/>
          <w:shd w:val="clear" w:color="auto" w:fill="FFFFFF"/>
        </w:rPr>
        <w:t>”</w:t>
      </w:r>
      <w:r w:rsidRPr="005D08AD">
        <w:rPr>
          <w:rFonts w:ascii="Times New Roman" w:hAnsi="Times New Roman" w:cs="Times New Roman"/>
          <w:color w:val="000000" w:themeColor="text1"/>
          <w:szCs w:val="28"/>
          <w:shd w:val="clear" w:color="auto" w:fill="FFFFFF"/>
        </w:rPr>
        <w:t>, contenidas en la norma en estudio,</w:t>
      </w:r>
      <w:r w:rsidRPr="005D08AD">
        <w:rPr>
          <w:rFonts w:ascii="Times New Roman" w:hAnsi="Times New Roman" w:cs="Times New Roman"/>
          <w:color w:val="000000" w:themeColor="text1"/>
          <w:szCs w:val="28"/>
          <w:shd w:val="clear" w:color="auto" w:fill="FFFFFF"/>
        </w:rPr>
        <w:t xml:space="preserve"> exigen necesariamente la existencia de una transacción con valor o en la que se pague un precio, lo cual, necesariamente, descarta las donaciones</w:t>
      </w:r>
      <w:r w:rsidRPr="005D08AD">
        <w:rPr>
          <w:rFonts w:ascii="Times New Roman" w:hAnsi="Times New Roman" w:cs="Times New Roman"/>
          <w:color w:val="000000" w:themeColor="text1"/>
          <w:szCs w:val="28"/>
          <w:shd w:val="clear" w:color="auto" w:fill="FFFFFF"/>
        </w:rPr>
        <w:t xml:space="preserve">. </w:t>
      </w:r>
    </w:p>
    <w:p w:rsidR="00D96581" w:rsidRPr="005D08AD" w:rsidRDefault="005D08AD" w:rsidP="000F460E">
      <w:pPr>
        <w:rPr>
          <w:rFonts w:ascii="Times New Roman" w:hAnsi="Times New Roman" w:cs="Times New Roman"/>
          <w:sz w:val="28"/>
          <w:highlight w:val="yellow"/>
          <w:shd w:val="clear" w:color="auto" w:fill="FFFFFF"/>
        </w:rPr>
      </w:pPr>
    </w:p>
    <w:p w:rsidR="000F460E"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Por su parte, en lo qu</w:t>
      </w:r>
      <w:r w:rsidRPr="005D08AD">
        <w:rPr>
          <w:rFonts w:ascii="Times New Roman" w:hAnsi="Times New Roman" w:cs="Times New Roman"/>
          <w:szCs w:val="28"/>
          <w:shd w:val="clear" w:color="auto" w:fill="FFFFFF"/>
        </w:rPr>
        <w:t xml:space="preserve">e corresponde al segundo aspecto, esto es, la pretensión de inexequibilidad de la norma por la supuesta indeterminación del hecho generador, </w:t>
      </w:r>
      <w:r w:rsidRPr="005D08AD">
        <w:rPr>
          <w:rFonts w:ascii="Times New Roman" w:hAnsi="Times New Roman" w:cs="Times New Roman"/>
          <w:szCs w:val="28"/>
          <w:shd w:val="clear" w:color="auto" w:fill="FFFFFF"/>
        </w:rPr>
        <w:t xml:space="preserve">esta </w:t>
      </w:r>
      <w:r w:rsidRPr="005D08AD">
        <w:rPr>
          <w:rFonts w:ascii="Times New Roman" w:hAnsi="Times New Roman" w:cs="Times New Roman"/>
          <w:szCs w:val="28"/>
          <w:shd w:val="clear" w:color="auto" w:fill="FFFFFF"/>
        </w:rPr>
        <w:t>tampoco resulta procedente. Como se indicó en la parte motiva de esta decisión, cuando el hecho generador es d</w:t>
      </w:r>
      <w:r w:rsidRPr="005D08AD">
        <w:rPr>
          <w:rFonts w:ascii="Times New Roman" w:hAnsi="Times New Roman" w:cs="Times New Roman"/>
          <w:szCs w:val="28"/>
          <w:shd w:val="clear" w:color="auto" w:fill="FFFFFF"/>
        </w:rPr>
        <w:t>eterminable mediante el uso de las herramientas de hermenéutica jurídica, no procede declarar la inexequibilidad de la norma. En efecto, como lo precisó la Sentencia C-390 de 1996, la exigencia prevista en el artículo 338 de la Constitución se satisface cu</w:t>
      </w:r>
      <w:r w:rsidRPr="005D08AD">
        <w:rPr>
          <w:rFonts w:ascii="Times New Roman" w:hAnsi="Times New Roman" w:cs="Times New Roman"/>
          <w:szCs w:val="28"/>
          <w:shd w:val="clear" w:color="auto" w:fill="FFFFFF"/>
        </w:rPr>
        <w:t>ando los elementos esenciales del tributo son objetivamente determinables a partir de una interpretación sistemática, integral y razonable de la disposición. En esa medida, la sola existencia de una dificultad hermenéutica no conduce, por sí misma, a la in</w:t>
      </w:r>
      <w:r w:rsidRPr="005D08AD">
        <w:rPr>
          <w:rFonts w:ascii="Times New Roman" w:hAnsi="Times New Roman" w:cs="Times New Roman"/>
          <w:szCs w:val="28"/>
          <w:shd w:val="clear" w:color="auto" w:fill="FFFFFF"/>
        </w:rPr>
        <w:t xml:space="preserve">constitucionalidad de la norma, siempre que dicha dificultad pueda ser superada. </w:t>
      </w:r>
    </w:p>
    <w:p w:rsidR="000F460E" w:rsidRPr="005D08AD" w:rsidRDefault="005D08AD" w:rsidP="000F460E">
      <w:pPr>
        <w:pStyle w:val="Prrafodelista"/>
        <w:rPr>
          <w:rFonts w:ascii="Times New Roman" w:hAnsi="Times New Roman" w:cs="Times New Roman"/>
          <w:szCs w:val="28"/>
          <w:shd w:val="clear" w:color="auto" w:fill="FFFFFF"/>
        </w:rPr>
      </w:pPr>
    </w:p>
    <w:p w:rsidR="00D60A42" w:rsidRPr="005D08AD" w:rsidRDefault="005D08AD" w:rsidP="00E72752">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 xml:space="preserve">En el presente caso, la Sala encontró que el régimen especial que gobierna la circulación de municiones y explosivos, así como las expresiones “ad valorem” y “cobrará”, </w:t>
      </w:r>
      <w:r w:rsidRPr="005D08AD">
        <w:rPr>
          <w:rFonts w:ascii="Times New Roman" w:hAnsi="Times New Roman" w:cs="Times New Roman"/>
          <w:szCs w:val="28"/>
          <w:shd w:val="clear" w:color="auto" w:fill="FFFFFF"/>
        </w:rPr>
        <w:t>entendidas dentro de dicho régimen, ofrecen bases suficientes para precisar el alcance de la disposición acusada, por lo que no es posible concluir que la norma sea inconstitucional</w:t>
      </w:r>
      <w:r w:rsidRPr="005D08AD">
        <w:rPr>
          <w:rFonts w:ascii="Times New Roman" w:hAnsi="Times New Roman" w:cs="Times New Roman"/>
          <w:szCs w:val="28"/>
          <w:shd w:val="clear" w:color="auto" w:fill="FFFFFF"/>
        </w:rPr>
        <w:t xml:space="preserve">. </w:t>
      </w:r>
      <w:r w:rsidRPr="005D08AD">
        <w:rPr>
          <w:rFonts w:ascii="Times New Roman" w:hAnsi="Times New Roman" w:cs="Times New Roman"/>
          <w:szCs w:val="28"/>
          <w:shd w:val="clear" w:color="auto" w:fill="FFFFFF"/>
        </w:rPr>
        <w:t>Además</w:t>
      </w:r>
      <w:r w:rsidRPr="005D08AD">
        <w:rPr>
          <w:rFonts w:ascii="Times New Roman" w:hAnsi="Times New Roman" w:cs="Times New Roman"/>
          <w:color w:val="000000" w:themeColor="text1"/>
          <w:szCs w:val="28"/>
          <w:shd w:val="clear" w:color="auto" w:fill="FFFFFF"/>
        </w:rPr>
        <w:t xml:space="preserve">, los demandantes y algunos intervinientes </w:t>
      </w:r>
      <w:r w:rsidRPr="005D08AD">
        <w:rPr>
          <w:rFonts w:ascii="Times New Roman" w:hAnsi="Times New Roman" w:cs="Times New Roman"/>
          <w:color w:val="000000" w:themeColor="text1"/>
          <w:szCs w:val="28"/>
          <w:shd w:val="clear" w:color="auto" w:fill="FFFFFF"/>
        </w:rPr>
        <w:t xml:space="preserve">si bien </w:t>
      </w:r>
      <w:r w:rsidRPr="005D08AD">
        <w:rPr>
          <w:rFonts w:ascii="Times New Roman" w:hAnsi="Times New Roman" w:cs="Times New Roman"/>
          <w:color w:val="000000" w:themeColor="text1"/>
          <w:szCs w:val="28"/>
          <w:shd w:val="clear" w:color="auto" w:fill="FFFFFF"/>
        </w:rPr>
        <w:t>señalaron diverg</w:t>
      </w:r>
      <w:r w:rsidRPr="005D08AD">
        <w:rPr>
          <w:rFonts w:ascii="Times New Roman" w:hAnsi="Times New Roman" w:cs="Times New Roman"/>
          <w:color w:val="000000" w:themeColor="text1"/>
          <w:szCs w:val="28"/>
          <w:shd w:val="clear" w:color="auto" w:fill="FFFFFF"/>
        </w:rPr>
        <w:t>encias interpretativas entre parte de la doctrina de la DIAN y la jurisprudencia del Consejo de Estado, ello no conduce a que la norma acusada sea necesariamente inconstitucional</w:t>
      </w:r>
      <w:r w:rsidRPr="005D08AD">
        <w:rPr>
          <w:rFonts w:ascii="Times New Roman" w:hAnsi="Times New Roman" w:cs="Times New Roman"/>
          <w:color w:val="000000" w:themeColor="text1"/>
          <w:szCs w:val="28"/>
          <w:shd w:val="clear" w:color="auto" w:fill="FFFFFF"/>
        </w:rPr>
        <w:t xml:space="preserve">, toda vez que </w:t>
      </w:r>
      <w:r w:rsidRPr="005D08AD">
        <w:rPr>
          <w:rFonts w:ascii="Times New Roman" w:hAnsi="Times New Roman" w:cs="Times New Roman"/>
          <w:color w:val="000000" w:themeColor="text1"/>
          <w:szCs w:val="28"/>
          <w:shd w:val="clear" w:color="auto" w:fill="FFFFFF"/>
        </w:rPr>
        <w:t xml:space="preserve">una </w:t>
      </w:r>
      <w:r w:rsidRPr="005D08AD">
        <w:rPr>
          <w:rFonts w:ascii="Times New Roman" w:hAnsi="Times New Roman" w:cs="Times New Roman"/>
          <w:color w:val="000000" w:themeColor="text1"/>
          <w:szCs w:val="28"/>
          <w:shd w:val="clear" w:color="auto" w:fill="FFFFFF"/>
        </w:rPr>
        <w:t>misma disposición puede dar lugar a interpretaciones divers</w:t>
      </w:r>
      <w:r w:rsidRPr="005D08AD">
        <w:rPr>
          <w:rFonts w:ascii="Times New Roman" w:hAnsi="Times New Roman" w:cs="Times New Roman"/>
          <w:color w:val="000000" w:themeColor="text1"/>
          <w:szCs w:val="28"/>
          <w:shd w:val="clear" w:color="auto" w:fill="FFFFFF"/>
        </w:rPr>
        <w:t>as sin que, por ese solo hecho, deba concluirse que se infringe el principio de certeza tributaria.</w:t>
      </w:r>
    </w:p>
    <w:p w:rsidR="00521A96" w:rsidRPr="005D08AD" w:rsidRDefault="005D08AD" w:rsidP="005F72BB">
      <w:pPr>
        <w:pStyle w:val="Prrafodelista"/>
        <w:spacing w:after="0" w:line="240" w:lineRule="auto"/>
        <w:ind w:left="0"/>
        <w:rPr>
          <w:rFonts w:ascii="Times New Roman" w:hAnsi="Times New Roman" w:cs="Times New Roman"/>
          <w:szCs w:val="28"/>
          <w:highlight w:val="yellow"/>
          <w:shd w:val="clear" w:color="auto" w:fill="FFFFFF"/>
        </w:rPr>
      </w:pPr>
    </w:p>
    <w:p w:rsidR="00521A96"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Finalmente, teniendo en cuenta que algunos intervinientes</w:t>
      </w:r>
      <w:r w:rsidRPr="005D08AD">
        <w:rPr>
          <w:rStyle w:val="Refdenotaalpie"/>
          <w:rFonts w:ascii="Times New Roman" w:hAnsi="Times New Roman"/>
          <w:szCs w:val="28"/>
          <w:shd w:val="clear" w:color="auto" w:fill="FFFFFF"/>
        </w:rPr>
        <w:footnoteReference w:id="91"/>
      </w:r>
      <w:r w:rsidRPr="005D08AD">
        <w:rPr>
          <w:rFonts w:ascii="Times New Roman" w:hAnsi="Times New Roman" w:cs="Times New Roman"/>
          <w:szCs w:val="28"/>
          <w:shd w:val="clear" w:color="auto" w:fill="FFFFFF"/>
        </w:rPr>
        <w:t xml:space="preserve"> aludieron a la transacción cómo el hecho generador del impuesto social sobre municiones y explos</w:t>
      </w:r>
      <w:r w:rsidRPr="005D08AD">
        <w:rPr>
          <w:rFonts w:ascii="Times New Roman" w:hAnsi="Times New Roman" w:cs="Times New Roman"/>
          <w:szCs w:val="28"/>
          <w:shd w:val="clear" w:color="auto" w:fill="FFFFFF"/>
        </w:rPr>
        <w:t>ivos. Al respecto, debe destacarse que transigir</w:t>
      </w:r>
      <w:r w:rsidRPr="005D08AD">
        <w:rPr>
          <w:rStyle w:val="Refdenotaalpie"/>
          <w:rFonts w:ascii="Times New Roman" w:hAnsi="Times New Roman"/>
          <w:szCs w:val="28"/>
          <w:shd w:val="clear" w:color="auto" w:fill="FFFFFF"/>
        </w:rPr>
        <w:footnoteReference w:id="92"/>
      </w:r>
      <w:r w:rsidRPr="005D08AD">
        <w:rPr>
          <w:rFonts w:ascii="Times New Roman" w:hAnsi="Times New Roman" w:cs="Times New Roman"/>
          <w:szCs w:val="28"/>
          <w:shd w:val="clear" w:color="auto" w:fill="FFFFFF"/>
        </w:rPr>
        <w:t xml:space="preserve"> no es lo mismo que comprar</w:t>
      </w:r>
      <w:r w:rsidRPr="005D08AD">
        <w:rPr>
          <w:rStyle w:val="Refdenotaalpie"/>
          <w:rFonts w:ascii="Times New Roman" w:hAnsi="Times New Roman"/>
          <w:szCs w:val="28"/>
          <w:shd w:val="clear" w:color="auto" w:fill="FFFFFF"/>
        </w:rPr>
        <w:footnoteReference w:id="93"/>
      </w:r>
      <w:r w:rsidRPr="005D08AD">
        <w:rPr>
          <w:rFonts w:ascii="Times New Roman" w:hAnsi="Times New Roman" w:cs="Times New Roman"/>
          <w:szCs w:val="28"/>
          <w:shd w:val="clear" w:color="auto" w:fill="FFFFFF"/>
        </w:rPr>
        <w:t>, en la medida en que se trata de dos acciones distintas que pueden dar lugar a supuestos diferentes. En este sentido y a la luz del presente caso, el hecho generador corresponde a la compra de los insumos señalados en el tributo, a partir de una lectura s</w:t>
      </w:r>
      <w:r w:rsidRPr="005D08AD">
        <w:rPr>
          <w:rFonts w:ascii="Times New Roman" w:hAnsi="Times New Roman" w:cs="Times New Roman"/>
          <w:szCs w:val="28"/>
          <w:shd w:val="clear" w:color="auto" w:fill="FFFFFF"/>
        </w:rPr>
        <w:t xml:space="preserve">istemática </w:t>
      </w:r>
      <w:r w:rsidRPr="005D08AD">
        <w:rPr>
          <w:rFonts w:ascii="Times New Roman" w:hAnsi="Times New Roman" w:cs="Times New Roman"/>
          <w:szCs w:val="28"/>
          <w:shd w:val="clear" w:color="auto" w:fill="FFFFFF"/>
        </w:rPr>
        <w:t xml:space="preserve">de la norma cuestionada </w:t>
      </w:r>
      <w:r w:rsidRPr="005D08AD">
        <w:rPr>
          <w:rFonts w:ascii="Times New Roman" w:hAnsi="Times New Roman" w:cs="Times New Roman"/>
          <w:szCs w:val="28"/>
          <w:shd w:val="clear" w:color="auto" w:fill="FFFFFF"/>
        </w:rPr>
        <w:t xml:space="preserve">con el Decreto Ley 2535 de 1993 que se refiere exclusivamente al permiso de </w:t>
      </w:r>
      <w:r w:rsidRPr="005D08AD">
        <w:rPr>
          <w:rFonts w:ascii="Times New Roman" w:hAnsi="Times New Roman" w:cs="Times New Roman"/>
          <w:i/>
          <w:iCs/>
          <w:szCs w:val="28"/>
          <w:shd w:val="clear" w:color="auto" w:fill="FFFFFF"/>
        </w:rPr>
        <w:t>compra</w:t>
      </w:r>
      <w:r w:rsidRPr="005D08AD">
        <w:rPr>
          <w:rFonts w:ascii="Times New Roman" w:hAnsi="Times New Roman" w:cs="Times New Roman"/>
          <w:szCs w:val="28"/>
          <w:shd w:val="clear" w:color="auto" w:fill="FFFFFF"/>
        </w:rPr>
        <w:t xml:space="preserve">. </w:t>
      </w:r>
    </w:p>
    <w:p w:rsidR="00B77F4C" w:rsidRPr="005D08AD" w:rsidRDefault="005D08AD" w:rsidP="005F72BB">
      <w:pPr>
        <w:rPr>
          <w:rFonts w:ascii="Times New Roman" w:hAnsi="Times New Roman" w:cs="Times New Roman"/>
          <w:sz w:val="28"/>
          <w:szCs w:val="28"/>
          <w:shd w:val="clear" w:color="auto" w:fill="FFFFFF"/>
        </w:rPr>
      </w:pPr>
    </w:p>
    <w:p w:rsidR="0018555B" w:rsidRPr="005D08AD" w:rsidRDefault="005D08AD" w:rsidP="005F72BB">
      <w:pPr>
        <w:pStyle w:val="Prrafodelista"/>
        <w:numPr>
          <w:ilvl w:val="0"/>
          <w:numId w:val="4"/>
        </w:numPr>
        <w:spacing w:after="0" w:line="240" w:lineRule="auto"/>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lang w:val="es-CO"/>
        </w:rPr>
        <w:t xml:space="preserve"> En </w:t>
      </w:r>
      <w:r w:rsidRPr="005D08AD">
        <w:rPr>
          <w:rFonts w:ascii="Times New Roman" w:hAnsi="Times New Roman" w:cs="Times New Roman"/>
          <w:szCs w:val="28"/>
          <w:shd w:val="clear" w:color="auto" w:fill="FFFFFF"/>
          <w:lang w:val="es-CO"/>
        </w:rPr>
        <w:t>este orden de ideas,</w:t>
      </w:r>
      <w:r w:rsidRPr="005D08AD">
        <w:rPr>
          <w:rFonts w:ascii="Times New Roman" w:hAnsi="Times New Roman" w:cs="Times New Roman"/>
          <w:szCs w:val="28"/>
          <w:shd w:val="clear" w:color="auto" w:fill="FFFFFF"/>
          <w:lang w:val="es-CO"/>
        </w:rPr>
        <w:t xml:space="preserve"> la disposición demandada es exequible, pues el hecho generador del tributo </w:t>
      </w:r>
      <w:r w:rsidRPr="005D08AD">
        <w:rPr>
          <w:rFonts w:ascii="Times New Roman" w:hAnsi="Times New Roman" w:cs="Times New Roman"/>
          <w:szCs w:val="28"/>
          <w:shd w:val="clear" w:color="auto" w:fill="FFFFFF"/>
          <w:lang w:val="es-CO"/>
        </w:rPr>
        <w:t>es</w:t>
      </w:r>
      <w:r w:rsidRPr="005D08AD">
        <w:rPr>
          <w:rFonts w:ascii="Times New Roman" w:hAnsi="Times New Roman" w:cs="Times New Roman"/>
          <w:szCs w:val="28"/>
          <w:shd w:val="clear" w:color="auto" w:fill="FFFFFF"/>
          <w:lang w:val="es-CO"/>
        </w:rPr>
        <w:t xml:space="preserve"> determinable y corresponde a la </w:t>
      </w:r>
      <w:r w:rsidRPr="005D08AD">
        <w:rPr>
          <w:rFonts w:ascii="Times New Roman" w:hAnsi="Times New Roman" w:cs="Times New Roman"/>
          <w:szCs w:val="28"/>
          <w:shd w:val="clear" w:color="auto" w:fill="FFFFFF"/>
          <w:lang w:val="es-CO"/>
        </w:rPr>
        <w:t>compra</w:t>
      </w:r>
      <w:r w:rsidRPr="005D08AD">
        <w:rPr>
          <w:rFonts w:ascii="Times New Roman" w:hAnsi="Times New Roman" w:cs="Times New Roman"/>
          <w:szCs w:val="28"/>
          <w:shd w:val="clear" w:color="auto" w:fill="FFFFFF"/>
          <w:lang w:val="es-CO"/>
        </w:rPr>
        <w:t xml:space="preserve"> autorizada</w:t>
      </w:r>
      <w:r w:rsidRPr="005D08AD">
        <w:rPr>
          <w:rFonts w:ascii="Times New Roman" w:hAnsi="Times New Roman" w:cs="Times New Roman"/>
          <w:szCs w:val="28"/>
          <w:shd w:val="clear" w:color="auto" w:fill="FFFFFF"/>
          <w:lang w:val="es-CO"/>
        </w:rPr>
        <w:t xml:space="preserve"> de municiones y explosivos. Por </w:t>
      </w:r>
      <w:r w:rsidRPr="005D08AD">
        <w:rPr>
          <w:rFonts w:ascii="Times New Roman" w:hAnsi="Times New Roman" w:cs="Times New Roman"/>
          <w:szCs w:val="28"/>
          <w:shd w:val="clear" w:color="auto" w:fill="FFFFFF"/>
          <w:lang w:val="es-CO"/>
        </w:rPr>
        <w:t xml:space="preserve">lo </w:t>
      </w:r>
      <w:r w:rsidRPr="005D08AD">
        <w:rPr>
          <w:rFonts w:ascii="Times New Roman" w:hAnsi="Times New Roman" w:cs="Times New Roman"/>
          <w:szCs w:val="28"/>
          <w:shd w:val="clear" w:color="auto" w:fill="FFFFFF"/>
          <w:lang w:val="es-CO"/>
        </w:rPr>
        <w:t xml:space="preserve">tanto, la </w:t>
      </w:r>
      <w:r w:rsidRPr="005D08AD">
        <w:rPr>
          <w:rFonts w:ascii="Times New Roman" w:hAnsi="Times New Roman" w:cs="Times New Roman"/>
          <w:szCs w:val="28"/>
          <w:shd w:val="clear" w:color="auto" w:fill="FFFFFF"/>
          <w:lang w:val="es-CO"/>
        </w:rPr>
        <w:t xml:space="preserve">aparente </w:t>
      </w:r>
      <w:r w:rsidRPr="005D08AD">
        <w:rPr>
          <w:rFonts w:ascii="Times New Roman" w:hAnsi="Times New Roman" w:cs="Times New Roman"/>
          <w:szCs w:val="28"/>
          <w:shd w:val="clear" w:color="auto" w:fill="FFFFFF"/>
          <w:lang w:val="es-CO"/>
        </w:rPr>
        <w:t xml:space="preserve">falta de claridad advertida por el demandante no configura una indeterminación real del elemento esencial de la obligación tributaria, sino una </w:t>
      </w:r>
      <w:r w:rsidRPr="005D08AD">
        <w:rPr>
          <w:rFonts w:ascii="Times New Roman" w:hAnsi="Times New Roman" w:cs="Times New Roman"/>
          <w:szCs w:val="28"/>
          <w:shd w:val="clear" w:color="auto" w:fill="FFFFFF"/>
          <w:lang w:val="es-CO"/>
        </w:rPr>
        <w:t>dificultad</w:t>
      </w:r>
      <w:r w:rsidRPr="005D08AD">
        <w:rPr>
          <w:rFonts w:ascii="Times New Roman" w:hAnsi="Times New Roman" w:cs="Times New Roman"/>
          <w:szCs w:val="28"/>
          <w:shd w:val="clear" w:color="auto" w:fill="FFFFFF"/>
          <w:lang w:val="es-CO"/>
        </w:rPr>
        <w:t xml:space="preserve"> superable dentro del marco co</w:t>
      </w:r>
      <w:r w:rsidRPr="005D08AD">
        <w:rPr>
          <w:rFonts w:ascii="Times New Roman" w:hAnsi="Times New Roman" w:cs="Times New Roman"/>
          <w:szCs w:val="28"/>
          <w:shd w:val="clear" w:color="auto" w:fill="FFFFFF"/>
          <w:lang w:val="es-CO"/>
        </w:rPr>
        <w:t xml:space="preserve">nstitucional. En consecuencia, al no demostrarse una infracción del artículo 338 superior, </w:t>
      </w:r>
      <w:r w:rsidRPr="005D08AD">
        <w:rPr>
          <w:rFonts w:ascii="Times New Roman" w:hAnsi="Times New Roman" w:cs="Times New Roman"/>
          <w:szCs w:val="28"/>
          <w:shd w:val="clear" w:color="auto" w:fill="FFFFFF"/>
          <w:lang w:val="es-CO"/>
        </w:rPr>
        <w:t>la Sala procederá a</w:t>
      </w:r>
      <w:r w:rsidRPr="005D08AD">
        <w:rPr>
          <w:rFonts w:ascii="Times New Roman" w:hAnsi="Times New Roman" w:cs="Times New Roman"/>
          <w:szCs w:val="28"/>
          <w:shd w:val="clear" w:color="auto" w:fill="FFFFFF"/>
          <w:lang w:val="es-CO"/>
        </w:rPr>
        <w:t xml:space="preserve"> </w:t>
      </w:r>
      <w:r w:rsidRPr="005D08AD">
        <w:rPr>
          <w:rFonts w:ascii="Times New Roman" w:hAnsi="Times New Roman" w:cs="Times New Roman"/>
          <w:szCs w:val="28"/>
          <w:shd w:val="clear" w:color="auto" w:fill="FFFFFF"/>
          <w:lang w:val="es-CO"/>
        </w:rPr>
        <w:t>declarar la</w:t>
      </w:r>
      <w:r w:rsidRPr="005D08AD">
        <w:rPr>
          <w:rFonts w:ascii="Times New Roman" w:hAnsi="Times New Roman" w:cs="Times New Roman"/>
          <w:szCs w:val="28"/>
          <w:shd w:val="clear" w:color="auto" w:fill="FFFFFF"/>
          <w:lang w:val="es-CO"/>
        </w:rPr>
        <w:t xml:space="preserve"> exequibilidad de la norma acusada.</w:t>
      </w:r>
    </w:p>
    <w:p w:rsidR="00AC1C77" w:rsidRPr="005D08AD" w:rsidRDefault="005D08AD" w:rsidP="000F460E">
      <w:pPr>
        <w:pStyle w:val="Prrafodelista"/>
        <w:spacing w:after="0" w:line="240" w:lineRule="auto"/>
        <w:ind w:left="0"/>
        <w:mirrorIndents/>
        <w:jc w:val="both"/>
        <w:rPr>
          <w:rFonts w:ascii="Times New Roman" w:hAnsi="Times New Roman" w:cs="Times New Roman"/>
          <w:szCs w:val="28"/>
          <w:shd w:val="clear" w:color="auto" w:fill="FFFFFF"/>
        </w:rPr>
      </w:pPr>
    </w:p>
    <w:p w:rsidR="00501E5F" w:rsidRPr="005D08AD" w:rsidRDefault="005D08AD" w:rsidP="005F72BB">
      <w:pPr>
        <w:pStyle w:val="Ttulo1"/>
        <w:ind w:left="0" w:firstLine="0"/>
        <w:contextualSpacing/>
        <w:mirrorIndents/>
        <w:rPr>
          <w:rFonts w:ascii="Times New Roman" w:hAnsi="Times New Roman" w:cs="Times New Roman"/>
          <w:shd w:val="clear" w:color="auto" w:fill="FFFFFF"/>
        </w:rPr>
      </w:pPr>
      <w:r w:rsidRPr="005D08AD">
        <w:rPr>
          <w:rFonts w:ascii="Times New Roman" w:hAnsi="Times New Roman" w:cs="Times New Roman"/>
          <w:shd w:val="clear" w:color="auto" w:fill="FFFFFF"/>
        </w:rPr>
        <w:t xml:space="preserve">DECISIÓN </w:t>
      </w:r>
    </w:p>
    <w:p w:rsidR="00D75C07" w:rsidRPr="005D08AD" w:rsidRDefault="005D08AD" w:rsidP="005F72BB">
      <w:pPr>
        <w:pStyle w:val="Prrafodelista"/>
        <w:spacing w:after="0" w:line="240" w:lineRule="auto"/>
        <w:ind w:left="0"/>
        <w:mirrorIndents/>
        <w:rPr>
          <w:rFonts w:ascii="Times New Roman" w:hAnsi="Times New Roman" w:cs="Times New Roman"/>
          <w:szCs w:val="28"/>
          <w:shd w:val="clear" w:color="auto" w:fill="FFFFFF"/>
        </w:rPr>
      </w:pPr>
    </w:p>
    <w:p w:rsidR="00052960" w:rsidRPr="005D08AD" w:rsidRDefault="005D08AD" w:rsidP="005F72BB">
      <w:pPr>
        <w:pStyle w:val="Prrafodelista"/>
        <w:spacing w:after="0" w:line="240" w:lineRule="auto"/>
        <w:ind w:left="0"/>
        <w:mirrorIndents/>
        <w:jc w:val="both"/>
        <w:rPr>
          <w:rFonts w:ascii="Times New Roman" w:hAnsi="Times New Roman" w:cs="Times New Roman"/>
          <w:szCs w:val="28"/>
          <w:shd w:val="clear" w:color="auto" w:fill="FFFFFF"/>
        </w:rPr>
      </w:pPr>
      <w:r w:rsidRPr="005D08AD">
        <w:rPr>
          <w:rFonts w:ascii="Times New Roman" w:hAnsi="Times New Roman" w:cs="Times New Roman"/>
          <w:szCs w:val="28"/>
          <w:shd w:val="clear" w:color="auto" w:fill="FFFFFF"/>
        </w:rPr>
        <w:t>En m</w:t>
      </w:r>
      <w:r w:rsidRPr="005D08AD">
        <w:rPr>
          <w:rFonts w:ascii="Times New Roman" w:hAnsi="Times New Roman" w:cs="Times New Roman"/>
          <w:szCs w:val="28"/>
          <w:shd w:val="clear" w:color="auto" w:fill="FFFFFF"/>
        </w:rPr>
        <w:t xml:space="preserve">érito de lo expuesto, la Sala Plena de la Corte Constitucional, administrando justicia, en nombre del pueblo y por mandato de la Constitución, </w:t>
      </w:r>
    </w:p>
    <w:p w:rsidR="00052960" w:rsidRPr="005D08AD" w:rsidRDefault="005D08AD" w:rsidP="005F72BB">
      <w:pPr>
        <w:pStyle w:val="Prrafodelista"/>
        <w:spacing w:after="0" w:line="240" w:lineRule="auto"/>
        <w:ind w:left="0"/>
        <w:mirrorIndents/>
        <w:jc w:val="both"/>
        <w:rPr>
          <w:rFonts w:ascii="Times New Roman" w:hAnsi="Times New Roman" w:cs="Times New Roman"/>
          <w:szCs w:val="28"/>
          <w:shd w:val="clear" w:color="auto" w:fill="FFFFFF"/>
        </w:rPr>
      </w:pPr>
    </w:p>
    <w:p w:rsidR="00D75C07" w:rsidRPr="005D08AD" w:rsidRDefault="005D08AD" w:rsidP="005F72BB">
      <w:pPr>
        <w:pStyle w:val="Prrafodelista"/>
        <w:spacing w:after="0" w:line="240" w:lineRule="auto"/>
        <w:ind w:left="0"/>
        <w:mirrorIndents/>
        <w:jc w:val="center"/>
        <w:rPr>
          <w:rFonts w:ascii="Times New Roman" w:hAnsi="Times New Roman" w:cs="Times New Roman"/>
          <w:b/>
          <w:bCs/>
          <w:szCs w:val="28"/>
          <w:shd w:val="clear" w:color="auto" w:fill="FFFFFF"/>
        </w:rPr>
      </w:pPr>
      <w:r w:rsidRPr="005D08AD">
        <w:rPr>
          <w:rFonts w:ascii="Times New Roman" w:hAnsi="Times New Roman" w:cs="Times New Roman"/>
          <w:b/>
          <w:bCs/>
          <w:szCs w:val="28"/>
          <w:shd w:val="clear" w:color="auto" w:fill="FFFFFF"/>
        </w:rPr>
        <w:t>RESUELVE</w:t>
      </w:r>
    </w:p>
    <w:p w:rsidR="00C16D02" w:rsidRPr="005D08AD" w:rsidRDefault="005D08AD" w:rsidP="005F72BB">
      <w:pPr>
        <w:pStyle w:val="Prrafodelista"/>
        <w:spacing w:after="0" w:line="240" w:lineRule="auto"/>
        <w:ind w:left="0"/>
        <w:mirrorIndents/>
        <w:rPr>
          <w:rFonts w:ascii="Times New Roman" w:hAnsi="Times New Roman" w:cs="Times New Roman"/>
          <w:b/>
          <w:bCs/>
          <w:szCs w:val="28"/>
          <w:shd w:val="clear" w:color="auto" w:fill="FFFFFF"/>
        </w:rPr>
      </w:pPr>
    </w:p>
    <w:p w:rsidR="00C16D02" w:rsidRPr="005D08AD" w:rsidRDefault="005D08AD" w:rsidP="005F72BB">
      <w:pPr>
        <w:tabs>
          <w:tab w:val="left" w:pos="567"/>
        </w:tabs>
        <w:contextualSpacing/>
        <w:mirrorIndents/>
        <w:jc w:val="both"/>
        <w:rPr>
          <w:rFonts w:ascii="Times New Roman" w:hAnsi="Times New Roman" w:cs="Times New Roman"/>
          <w:sz w:val="28"/>
          <w:szCs w:val="28"/>
        </w:rPr>
      </w:pPr>
      <w:r w:rsidRPr="005D08AD">
        <w:rPr>
          <w:rFonts w:ascii="Times New Roman" w:hAnsi="Times New Roman" w:cs="Times New Roman"/>
          <w:b/>
          <w:bCs/>
          <w:color w:val="000000" w:themeColor="text1"/>
          <w:sz w:val="28"/>
          <w:lang w:val="es-ES_tradnl"/>
        </w:rPr>
        <w:t>ÚNICO</w:t>
      </w:r>
      <w:r w:rsidRPr="005D08AD">
        <w:rPr>
          <w:rFonts w:ascii="Times New Roman" w:hAnsi="Times New Roman" w:cs="Times New Roman"/>
          <w:sz w:val="28"/>
          <w:szCs w:val="28"/>
          <w:lang w:val="es-ES_tradnl"/>
        </w:rPr>
        <w:t xml:space="preserve">. </w:t>
      </w:r>
      <w:r w:rsidRPr="005D08AD">
        <w:rPr>
          <w:rFonts w:ascii="Times New Roman" w:hAnsi="Times New Roman" w:cs="Times New Roman"/>
          <w:sz w:val="28"/>
          <w:szCs w:val="28"/>
        </w:rPr>
        <w:t xml:space="preserve">Declarar </w:t>
      </w:r>
      <w:r w:rsidRPr="005D08AD">
        <w:rPr>
          <w:rFonts w:ascii="Times New Roman" w:hAnsi="Times New Roman" w:cs="Times New Roman"/>
          <w:b/>
          <w:bCs/>
          <w:sz w:val="28"/>
          <w:szCs w:val="28"/>
        </w:rPr>
        <w:t>EXEQUIBLE</w:t>
      </w:r>
      <w:r w:rsidRPr="005D08AD">
        <w:rPr>
          <w:rFonts w:ascii="Times New Roman" w:hAnsi="Times New Roman" w:cs="Times New Roman"/>
          <w:sz w:val="28"/>
          <w:szCs w:val="28"/>
        </w:rPr>
        <w:t xml:space="preserve"> el artículo </w:t>
      </w:r>
      <w:r w:rsidRPr="005D08AD">
        <w:rPr>
          <w:rFonts w:ascii="Times New Roman" w:hAnsi="Times New Roman" w:cs="Times New Roman"/>
          <w:sz w:val="28"/>
          <w:szCs w:val="28"/>
        </w:rPr>
        <w:t>48 (parcial)</w:t>
      </w:r>
      <w:r w:rsidRPr="005D08AD">
        <w:rPr>
          <w:rFonts w:ascii="Times New Roman" w:hAnsi="Times New Roman" w:cs="Times New Roman"/>
          <w:sz w:val="28"/>
          <w:szCs w:val="28"/>
        </w:rPr>
        <w:t xml:space="preserve"> de la Ley 1438 de 2011 “por medio de la cual se reforma el Sistema General de Seguridad Social en Salud y se dictan otras disposiciones”</w:t>
      </w:r>
      <w:r w:rsidRPr="005D08AD">
        <w:rPr>
          <w:rFonts w:ascii="Times New Roman" w:hAnsi="Times New Roman" w:cs="Times New Roman"/>
          <w:sz w:val="28"/>
          <w:szCs w:val="28"/>
        </w:rPr>
        <w:t>,</w:t>
      </w:r>
      <w:r w:rsidRPr="005D08AD">
        <w:rPr>
          <w:rFonts w:ascii="Times New Roman" w:hAnsi="Times New Roman" w:cs="Times New Roman"/>
          <w:sz w:val="28"/>
          <w:szCs w:val="28"/>
        </w:rPr>
        <w:t xml:space="preserve"> por el carg</w:t>
      </w:r>
      <w:r w:rsidRPr="005D08AD">
        <w:rPr>
          <w:rFonts w:ascii="Times New Roman" w:hAnsi="Times New Roman" w:cs="Times New Roman"/>
          <w:sz w:val="28"/>
          <w:szCs w:val="28"/>
        </w:rPr>
        <w:t>o analizado.</w:t>
      </w:r>
      <w:r w:rsidRPr="005D08AD">
        <w:rPr>
          <w:rFonts w:ascii="Times New Roman" w:hAnsi="Times New Roman" w:cs="Times New Roman"/>
          <w:sz w:val="28"/>
          <w:szCs w:val="28"/>
        </w:rPr>
        <w:t xml:space="preserve"> </w:t>
      </w:r>
    </w:p>
    <w:p w:rsidR="00C16D02" w:rsidRPr="005D08AD" w:rsidRDefault="005D08AD" w:rsidP="005F72BB">
      <w:pPr>
        <w:tabs>
          <w:tab w:val="left" w:pos="567"/>
        </w:tabs>
        <w:contextualSpacing/>
        <w:mirrorIndents/>
        <w:jc w:val="both"/>
        <w:rPr>
          <w:rFonts w:ascii="Times New Roman" w:hAnsi="Times New Roman" w:cs="Times New Roman"/>
          <w:sz w:val="28"/>
          <w:szCs w:val="28"/>
        </w:rPr>
      </w:pPr>
    </w:p>
    <w:p w:rsidR="00C16D02" w:rsidRPr="005D08AD" w:rsidRDefault="005D08AD" w:rsidP="005F72BB">
      <w:pPr>
        <w:tabs>
          <w:tab w:val="left" w:pos="567"/>
        </w:tabs>
        <w:contextualSpacing/>
        <w:mirrorIndents/>
        <w:jc w:val="both"/>
        <w:rPr>
          <w:rFonts w:ascii="Times New Roman" w:hAnsi="Times New Roman" w:cs="Times New Roman"/>
          <w:sz w:val="28"/>
          <w:szCs w:val="28"/>
        </w:rPr>
      </w:pPr>
      <w:r w:rsidRPr="005D08AD">
        <w:rPr>
          <w:rFonts w:ascii="Times New Roman" w:hAnsi="Times New Roman" w:cs="Times New Roman"/>
          <w:sz w:val="28"/>
          <w:szCs w:val="28"/>
        </w:rPr>
        <w:t>Notifíquese, comuníquese y cúmplase,</w:t>
      </w:r>
    </w:p>
    <w:p w:rsidR="00710468" w:rsidRPr="005D08AD" w:rsidRDefault="005D08AD" w:rsidP="005F72BB">
      <w:pPr>
        <w:tabs>
          <w:tab w:val="left" w:pos="567"/>
        </w:tabs>
        <w:contextualSpacing/>
        <w:mirrorIndents/>
        <w:jc w:val="both"/>
        <w:rPr>
          <w:rFonts w:ascii="Times New Roman" w:hAnsi="Times New Roman" w:cs="Times New Roman"/>
          <w:sz w:val="28"/>
          <w:szCs w:val="28"/>
        </w:rPr>
      </w:pPr>
    </w:p>
    <w:p w:rsidR="00710468" w:rsidRPr="005D08AD" w:rsidRDefault="005D08AD" w:rsidP="00710468">
      <w:pPr>
        <w:tabs>
          <w:tab w:val="left" w:pos="567"/>
        </w:tabs>
        <w:contextualSpacing/>
        <w:mirrorIndents/>
        <w:jc w:val="center"/>
        <w:rPr>
          <w:rFonts w:ascii="Times New Roman" w:hAnsi="Times New Roman" w:cs="Times New Roman"/>
          <w:sz w:val="28"/>
          <w:szCs w:val="28"/>
        </w:rPr>
      </w:pPr>
      <w:r w:rsidRPr="005D08AD">
        <w:rPr>
          <w:rFonts w:ascii="Times New Roman" w:hAnsi="Times New Roman" w:cs="Times New Roman"/>
          <w:sz w:val="28"/>
          <w:szCs w:val="28"/>
        </w:rPr>
        <w:t>PAOLA ANDREA MENESES MOSQUERA</w:t>
      </w:r>
    </w:p>
    <w:p w:rsidR="00710468" w:rsidRPr="005D08AD" w:rsidRDefault="005D08AD" w:rsidP="00710468">
      <w:pPr>
        <w:tabs>
          <w:tab w:val="left" w:pos="567"/>
        </w:tabs>
        <w:contextualSpacing/>
        <w:mirrorIndents/>
        <w:jc w:val="center"/>
        <w:rPr>
          <w:rFonts w:ascii="Times New Roman" w:hAnsi="Times New Roman" w:cs="Times New Roman"/>
          <w:sz w:val="28"/>
          <w:szCs w:val="28"/>
        </w:rPr>
      </w:pPr>
      <w:r w:rsidRPr="005D08AD">
        <w:rPr>
          <w:rFonts w:ascii="Times New Roman" w:hAnsi="Times New Roman" w:cs="Times New Roman"/>
          <w:sz w:val="28"/>
          <w:szCs w:val="28"/>
        </w:rPr>
        <w:t>Presidenta</w:t>
      </w:r>
    </w:p>
    <w:p w:rsidR="00710468" w:rsidRPr="005D08AD" w:rsidRDefault="005D08AD" w:rsidP="005F72BB">
      <w:pPr>
        <w:tabs>
          <w:tab w:val="left" w:pos="567"/>
        </w:tabs>
        <w:contextualSpacing/>
        <w:mirrorIndents/>
        <w:jc w:val="both"/>
        <w:rPr>
          <w:rFonts w:ascii="Times New Roman" w:hAnsi="Times New Roman" w:cs="Times New Roman"/>
          <w:sz w:val="28"/>
          <w:szCs w:val="28"/>
        </w:rPr>
      </w:pPr>
    </w:p>
    <w:p w:rsidR="00710468" w:rsidRPr="005D08AD" w:rsidRDefault="005D08AD" w:rsidP="005F72BB">
      <w:pPr>
        <w:tabs>
          <w:tab w:val="left" w:pos="567"/>
        </w:tabs>
        <w:contextualSpacing/>
        <w:mirrorIndents/>
        <w:jc w:val="both"/>
        <w:rPr>
          <w:rFonts w:ascii="Times New Roman" w:hAnsi="Times New Roman" w:cs="Times New Roman"/>
          <w:sz w:val="28"/>
          <w:szCs w:val="28"/>
        </w:rPr>
      </w:pPr>
    </w:p>
    <w:p w:rsidR="00710468" w:rsidRPr="005D08AD" w:rsidRDefault="005D08AD" w:rsidP="00710468">
      <w:pPr>
        <w:tabs>
          <w:tab w:val="left" w:pos="567"/>
        </w:tabs>
        <w:contextualSpacing/>
        <w:mirrorIndents/>
        <w:jc w:val="center"/>
        <w:rPr>
          <w:rFonts w:ascii="Times New Roman" w:hAnsi="Times New Roman" w:cs="Times New Roman"/>
          <w:sz w:val="28"/>
          <w:szCs w:val="28"/>
        </w:rPr>
      </w:pPr>
      <w:r w:rsidRPr="005D08AD">
        <w:rPr>
          <w:rFonts w:ascii="Times New Roman" w:hAnsi="Times New Roman" w:cs="Times New Roman"/>
          <w:sz w:val="28"/>
          <w:szCs w:val="28"/>
        </w:rPr>
        <w:t>NATALIA ÁN</w:t>
      </w:r>
      <w:r w:rsidRPr="005D08AD">
        <w:rPr>
          <w:rFonts w:ascii="Times New Roman" w:hAnsi="Times New Roman" w:cs="Times New Roman"/>
          <w:sz w:val="28"/>
          <w:szCs w:val="28"/>
        </w:rPr>
        <w:t>GEL CABO</w:t>
      </w:r>
    </w:p>
    <w:p w:rsidR="00710468" w:rsidRPr="005D08AD" w:rsidRDefault="005D08AD" w:rsidP="00710468">
      <w:pPr>
        <w:tabs>
          <w:tab w:val="left" w:pos="567"/>
        </w:tabs>
        <w:contextualSpacing/>
        <w:mirrorIndents/>
        <w:jc w:val="center"/>
        <w:rPr>
          <w:rFonts w:ascii="Times New Roman" w:hAnsi="Times New Roman" w:cs="Times New Roman"/>
          <w:sz w:val="28"/>
          <w:szCs w:val="28"/>
        </w:rPr>
      </w:pPr>
      <w:r w:rsidRPr="005D08AD">
        <w:rPr>
          <w:rFonts w:ascii="Times New Roman" w:hAnsi="Times New Roman" w:cs="Times New Roman"/>
          <w:sz w:val="28"/>
          <w:szCs w:val="28"/>
        </w:rPr>
        <w:t>Magistrada</w:t>
      </w:r>
    </w:p>
    <w:p w:rsidR="00710468" w:rsidRPr="005D08AD" w:rsidRDefault="005D08AD" w:rsidP="005F72BB">
      <w:pPr>
        <w:tabs>
          <w:tab w:val="left" w:pos="567"/>
        </w:tabs>
        <w:contextualSpacing/>
        <w:mirrorIndents/>
        <w:jc w:val="both"/>
        <w:rPr>
          <w:rFonts w:ascii="Times New Roman" w:hAnsi="Times New Roman" w:cs="Times New Roman"/>
          <w:sz w:val="28"/>
          <w:szCs w:val="28"/>
        </w:rPr>
      </w:pPr>
    </w:p>
    <w:p w:rsidR="00710468" w:rsidRPr="005D08AD" w:rsidRDefault="005D08AD" w:rsidP="005F72BB">
      <w:pPr>
        <w:tabs>
          <w:tab w:val="left" w:pos="567"/>
        </w:tabs>
        <w:contextualSpacing/>
        <w:mirrorIndents/>
        <w:jc w:val="both"/>
        <w:rPr>
          <w:rFonts w:ascii="Times New Roman" w:hAnsi="Times New Roman" w:cs="Times New Roman"/>
          <w:sz w:val="28"/>
          <w:szCs w:val="28"/>
        </w:rPr>
      </w:pPr>
    </w:p>
    <w:p w:rsidR="00710468" w:rsidRPr="005D08AD" w:rsidRDefault="005D08AD" w:rsidP="00710468">
      <w:pPr>
        <w:tabs>
          <w:tab w:val="left" w:pos="567"/>
        </w:tabs>
        <w:contextualSpacing/>
        <w:mirrorIndents/>
        <w:jc w:val="center"/>
        <w:rPr>
          <w:rFonts w:ascii="Times New Roman" w:hAnsi="Times New Roman" w:cs="Times New Roman"/>
          <w:sz w:val="28"/>
          <w:szCs w:val="28"/>
        </w:rPr>
      </w:pPr>
      <w:r w:rsidRPr="005D08AD">
        <w:rPr>
          <w:rFonts w:ascii="Times New Roman" w:hAnsi="Times New Roman" w:cs="Times New Roman"/>
          <w:sz w:val="28"/>
          <w:szCs w:val="28"/>
        </w:rPr>
        <w:t>CARLOS CAMARGO ASSIS</w:t>
      </w:r>
    </w:p>
    <w:p w:rsidR="00710468" w:rsidRPr="005D08AD" w:rsidRDefault="005D08AD" w:rsidP="00710468">
      <w:pPr>
        <w:tabs>
          <w:tab w:val="left" w:pos="567"/>
        </w:tabs>
        <w:contextualSpacing/>
        <w:mirrorIndents/>
        <w:jc w:val="center"/>
        <w:rPr>
          <w:rFonts w:ascii="Times New Roman" w:hAnsi="Times New Roman" w:cs="Times New Roman"/>
          <w:sz w:val="28"/>
          <w:szCs w:val="28"/>
        </w:rPr>
      </w:pPr>
      <w:r w:rsidRPr="005D08AD">
        <w:rPr>
          <w:rFonts w:ascii="Times New Roman" w:hAnsi="Times New Roman" w:cs="Times New Roman"/>
          <w:sz w:val="28"/>
          <w:szCs w:val="28"/>
        </w:rPr>
        <w:t>Magistrado</w:t>
      </w:r>
    </w:p>
    <w:p w:rsidR="00710468" w:rsidRPr="005D08AD" w:rsidRDefault="005D08AD" w:rsidP="005F72BB">
      <w:pPr>
        <w:tabs>
          <w:tab w:val="left" w:pos="567"/>
        </w:tabs>
        <w:contextualSpacing/>
        <w:mirrorIndents/>
        <w:jc w:val="both"/>
        <w:rPr>
          <w:rFonts w:ascii="Times New Roman" w:hAnsi="Times New Roman" w:cs="Times New Roman"/>
          <w:sz w:val="28"/>
          <w:szCs w:val="28"/>
        </w:rPr>
      </w:pPr>
    </w:p>
    <w:p w:rsidR="00710468" w:rsidRPr="005D08AD" w:rsidRDefault="005D08AD" w:rsidP="005F72BB">
      <w:pPr>
        <w:tabs>
          <w:tab w:val="left" w:pos="567"/>
        </w:tabs>
        <w:contextualSpacing/>
        <w:mirrorIndents/>
        <w:jc w:val="both"/>
        <w:rPr>
          <w:rFonts w:ascii="Times New Roman" w:hAnsi="Times New Roman" w:cs="Times New Roman"/>
          <w:sz w:val="28"/>
          <w:szCs w:val="28"/>
        </w:rPr>
      </w:pPr>
    </w:p>
    <w:p w:rsidR="00710468" w:rsidRPr="005D08AD" w:rsidRDefault="005D08AD" w:rsidP="00710468">
      <w:pPr>
        <w:tabs>
          <w:tab w:val="left" w:pos="567"/>
        </w:tabs>
        <w:contextualSpacing/>
        <w:mirrorIndents/>
        <w:jc w:val="center"/>
        <w:rPr>
          <w:rFonts w:ascii="Times New Roman" w:hAnsi="Times New Roman" w:cs="Times New Roman"/>
          <w:sz w:val="28"/>
          <w:szCs w:val="28"/>
        </w:rPr>
      </w:pPr>
      <w:r w:rsidRPr="005D08AD">
        <w:rPr>
          <w:rFonts w:ascii="Times New Roman" w:hAnsi="Times New Roman" w:cs="Times New Roman"/>
          <w:sz w:val="28"/>
          <w:szCs w:val="28"/>
        </w:rPr>
        <w:t>HECTOR ALFONSO CARVAJAL LONDOÑO</w:t>
      </w:r>
    </w:p>
    <w:p w:rsidR="00710468" w:rsidRPr="005D08AD" w:rsidRDefault="005D08AD" w:rsidP="00710468">
      <w:pPr>
        <w:tabs>
          <w:tab w:val="left" w:pos="567"/>
        </w:tabs>
        <w:contextualSpacing/>
        <w:mirrorIndents/>
        <w:jc w:val="center"/>
        <w:rPr>
          <w:rFonts w:ascii="Times New Roman" w:hAnsi="Times New Roman" w:cs="Times New Roman"/>
          <w:sz w:val="28"/>
          <w:szCs w:val="28"/>
        </w:rPr>
      </w:pPr>
      <w:r w:rsidRPr="005D08AD">
        <w:rPr>
          <w:rFonts w:ascii="Times New Roman" w:hAnsi="Times New Roman" w:cs="Times New Roman"/>
          <w:sz w:val="28"/>
          <w:szCs w:val="28"/>
        </w:rPr>
        <w:t>Magistrado</w:t>
      </w:r>
    </w:p>
    <w:p w:rsidR="00710468" w:rsidRPr="005D08AD" w:rsidRDefault="005D08AD" w:rsidP="005F72BB">
      <w:pPr>
        <w:tabs>
          <w:tab w:val="left" w:pos="567"/>
        </w:tabs>
        <w:contextualSpacing/>
        <w:mirrorIndents/>
        <w:jc w:val="both"/>
        <w:rPr>
          <w:rFonts w:ascii="Times New Roman" w:hAnsi="Times New Roman" w:cs="Times New Roman"/>
          <w:sz w:val="28"/>
          <w:szCs w:val="28"/>
        </w:rPr>
      </w:pPr>
    </w:p>
    <w:p w:rsidR="00710468" w:rsidRPr="005D08AD" w:rsidRDefault="005D08AD" w:rsidP="005F72BB">
      <w:pPr>
        <w:tabs>
          <w:tab w:val="left" w:pos="567"/>
        </w:tabs>
        <w:contextualSpacing/>
        <w:mirrorIndents/>
        <w:jc w:val="both"/>
        <w:rPr>
          <w:rFonts w:ascii="Times New Roman" w:hAnsi="Times New Roman" w:cs="Times New Roman"/>
          <w:sz w:val="28"/>
          <w:szCs w:val="28"/>
        </w:rPr>
      </w:pPr>
    </w:p>
    <w:p w:rsidR="00710468" w:rsidRPr="005D08AD" w:rsidRDefault="005D08AD" w:rsidP="00710468">
      <w:pPr>
        <w:tabs>
          <w:tab w:val="left" w:pos="567"/>
        </w:tabs>
        <w:contextualSpacing/>
        <w:mirrorIndents/>
        <w:jc w:val="center"/>
        <w:rPr>
          <w:rFonts w:ascii="Times New Roman" w:hAnsi="Times New Roman" w:cs="Times New Roman"/>
          <w:sz w:val="28"/>
          <w:szCs w:val="28"/>
        </w:rPr>
      </w:pPr>
      <w:r w:rsidRPr="005D08AD">
        <w:rPr>
          <w:rFonts w:ascii="Times New Roman" w:hAnsi="Times New Roman" w:cs="Times New Roman"/>
          <w:sz w:val="28"/>
          <w:szCs w:val="28"/>
        </w:rPr>
        <w:t>JUAN CARLOS CORTÉS GONZÁLEZ</w:t>
      </w:r>
    </w:p>
    <w:p w:rsidR="00710468" w:rsidRPr="005D08AD" w:rsidRDefault="005D08AD" w:rsidP="00710468">
      <w:pPr>
        <w:tabs>
          <w:tab w:val="left" w:pos="567"/>
        </w:tabs>
        <w:contextualSpacing/>
        <w:mirrorIndents/>
        <w:jc w:val="center"/>
        <w:rPr>
          <w:rFonts w:ascii="Times New Roman" w:hAnsi="Times New Roman" w:cs="Times New Roman"/>
          <w:sz w:val="28"/>
          <w:szCs w:val="28"/>
        </w:rPr>
      </w:pPr>
      <w:r w:rsidRPr="005D08AD">
        <w:rPr>
          <w:rFonts w:ascii="Times New Roman" w:hAnsi="Times New Roman" w:cs="Times New Roman"/>
          <w:sz w:val="28"/>
          <w:szCs w:val="28"/>
        </w:rPr>
        <w:t>Magistrado</w:t>
      </w:r>
    </w:p>
    <w:p w:rsidR="00710468" w:rsidRPr="005D08AD" w:rsidRDefault="005D08AD" w:rsidP="005F72BB">
      <w:pPr>
        <w:tabs>
          <w:tab w:val="left" w:pos="567"/>
        </w:tabs>
        <w:contextualSpacing/>
        <w:mirrorIndents/>
        <w:jc w:val="both"/>
        <w:rPr>
          <w:rFonts w:ascii="Times New Roman" w:hAnsi="Times New Roman" w:cs="Times New Roman"/>
          <w:sz w:val="28"/>
          <w:szCs w:val="28"/>
        </w:rPr>
      </w:pPr>
    </w:p>
    <w:p w:rsidR="00710468" w:rsidRPr="005D08AD" w:rsidRDefault="005D08AD" w:rsidP="005F72BB">
      <w:pPr>
        <w:tabs>
          <w:tab w:val="left" w:pos="567"/>
        </w:tabs>
        <w:contextualSpacing/>
        <w:mirrorIndents/>
        <w:jc w:val="both"/>
        <w:rPr>
          <w:rFonts w:ascii="Times New Roman" w:hAnsi="Times New Roman" w:cs="Times New Roman"/>
          <w:sz w:val="28"/>
          <w:szCs w:val="28"/>
        </w:rPr>
      </w:pPr>
    </w:p>
    <w:p w:rsidR="00710468" w:rsidRPr="005D08AD" w:rsidRDefault="005D08AD" w:rsidP="00710468">
      <w:pPr>
        <w:tabs>
          <w:tab w:val="left" w:pos="567"/>
        </w:tabs>
        <w:contextualSpacing/>
        <w:mirrorIndents/>
        <w:jc w:val="center"/>
        <w:rPr>
          <w:rFonts w:ascii="Times New Roman" w:hAnsi="Times New Roman" w:cs="Times New Roman"/>
          <w:sz w:val="28"/>
          <w:szCs w:val="28"/>
        </w:rPr>
      </w:pPr>
      <w:r w:rsidRPr="005D08AD">
        <w:rPr>
          <w:rFonts w:ascii="Times New Roman" w:hAnsi="Times New Roman" w:cs="Times New Roman"/>
          <w:sz w:val="28"/>
          <w:szCs w:val="28"/>
        </w:rPr>
        <w:t>LINA MARCELA ESCOBAR MARTÍNEZ</w:t>
      </w:r>
    </w:p>
    <w:p w:rsidR="00710468" w:rsidRPr="005D08AD" w:rsidRDefault="005D08AD" w:rsidP="00710468">
      <w:pPr>
        <w:tabs>
          <w:tab w:val="left" w:pos="567"/>
        </w:tabs>
        <w:contextualSpacing/>
        <w:mirrorIndents/>
        <w:jc w:val="center"/>
        <w:rPr>
          <w:rFonts w:ascii="Times New Roman" w:hAnsi="Times New Roman" w:cs="Times New Roman"/>
          <w:sz w:val="28"/>
          <w:szCs w:val="28"/>
        </w:rPr>
      </w:pPr>
      <w:r w:rsidRPr="005D08AD">
        <w:rPr>
          <w:rFonts w:ascii="Times New Roman" w:hAnsi="Times New Roman" w:cs="Times New Roman"/>
          <w:sz w:val="28"/>
          <w:szCs w:val="28"/>
        </w:rPr>
        <w:t>Magistrada</w:t>
      </w:r>
    </w:p>
    <w:p w:rsidR="00710468" w:rsidRPr="005D08AD" w:rsidRDefault="005D08AD" w:rsidP="005F72BB">
      <w:pPr>
        <w:tabs>
          <w:tab w:val="left" w:pos="567"/>
        </w:tabs>
        <w:contextualSpacing/>
        <w:mirrorIndents/>
        <w:jc w:val="both"/>
        <w:rPr>
          <w:rFonts w:ascii="Times New Roman" w:hAnsi="Times New Roman" w:cs="Times New Roman"/>
          <w:sz w:val="28"/>
          <w:szCs w:val="28"/>
        </w:rPr>
      </w:pPr>
    </w:p>
    <w:p w:rsidR="00710468" w:rsidRPr="005D08AD" w:rsidRDefault="005D08AD" w:rsidP="005F72BB">
      <w:pPr>
        <w:tabs>
          <w:tab w:val="left" w:pos="567"/>
        </w:tabs>
        <w:contextualSpacing/>
        <w:mirrorIndents/>
        <w:jc w:val="both"/>
        <w:rPr>
          <w:rFonts w:ascii="Times New Roman" w:hAnsi="Times New Roman" w:cs="Times New Roman"/>
          <w:sz w:val="28"/>
          <w:szCs w:val="28"/>
        </w:rPr>
      </w:pPr>
    </w:p>
    <w:p w:rsidR="00710468" w:rsidRPr="005D08AD" w:rsidRDefault="005D08AD" w:rsidP="00710468">
      <w:pPr>
        <w:tabs>
          <w:tab w:val="left" w:pos="567"/>
        </w:tabs>
        <w:contextualSpacing/>
        <w:mirrorIndents/>
        <w:jc w:val="center"/>
        <w:rPr>
          <w:rFonts w:ascii="Times New Roman" w:hAnsi="Times New Roman" w:cs="Times New Roman"/>
          <w:sz w:val="28"/>
          <w:szCs w:val="28"/>
        </w:rPr>
      </w:pPr>
      <w:r w:rsidRPr="005D08AD">
        <w:rPr>
          <w:rFonts w:ascii="Times New Roman" w:hAnsi="Times New Roman" w:cs="Times New Roman"/>
          <w:sz w:val="28"/>
          <w:szCs w:val="28"/>
        </w:rPr>
        <w:t>VLADIMIR FERNÁNDEZ ANDRADE</w:t>
      </w:r>
    </w:p>
    <w:p w:rsidR="00710468" w:rsidRPr="005D08AD" w:rsidRDefault="005D08AD" w:rsidP="00710468">
      <w:pPr>
        <w:tabs>
          <w:tab w:val="left" w:pos="567"/>
        </w:tabs>
        <w:contextualSpacing/>
        <w:mirrorIndents/>
        <w:jc w:val="center"/>
        <w:rPr>
          <w:rFonts w:ascii="Times New Roman" w:hAnsi="Times New Roman" w:cs="Times New Roman"/>
          <w:sz w:val="28"/>
          <w:szCs w:val="28"/>
        </w:rPr>
      </w:pPr>
      <w:r w:rsidRPr="005D08AD">
        <w:rPr>
          <w:rFonts w:ascii="Times New Roman" w:hAnsi="Times New Roman" w:cs="Times New Roman"/>
          <w:sz w:val="28"/>
          <w:szCs w:val="28"/>
        </w:rPr>
        <w:t>Magistrado</w:t>
      </w:r>
    </w:p>
    <w:p w:rsidR="00710468" w:rsidRPr="005D08AD" w:rsidRDefault="005D08AD" w:rsidP="005F72BB">
      <w:pPr>
        <w:tabs>
          <w:tab w:val="left" w:pos="567"/>
        </w:tabs>
        <w:contextualSpacing/>
        <w:mirrorIndents/>
        <w:jc w:val="both"/>
        <w:rPr>
          <w:rFonts w:ascii="Times New Roman" w:hAnsi="Times New Roman" w:cs="Times New Roman"/>
          <w:sz w:val="28"/>
          <w:szCs w:val="28"/>
        </w:rPr>
      </w:pPr>
    </w:p>
    <w:p w:rsidR="00710468" w:rsidRPr="005D08AD" w:rsidRDefault="005D08AD" w:rsidP="005F72BB">
      <w:pPr>
        <w:tabs>
          <w:tab w:val="left" w:pos="567"/>
        </w:tabs>
        <w:contextualSpacing/>
        <w:mirrorIndents/>
        <w:jc w:val="both"/>
        <w:rPr>
          <w:rFonts w:ascii="Times New Roman" w:hAnsi="Times New Roman" w:cs="Times New Roman"/>
          <w:sz w:val="28"/>
          <w:szCs w:val="28"/>
        </w:rPr>
      </w:pPr>
    </w:p>
    <w:p w:rsidR="00710468" w:rsidRPr="005D08AD" w:rsidRDefault="005D08AD" w:rsidP="00710468">
      <w:pPr>
        <w:tabs>
          <w:tab w:val="left" w:pos="567"/>
        </w:tabs>
        <w:contextualSpacing/>
        <w:mirrorIndents/>
        <w:jc w:val="center"/>
        <w:rPr>
          <w:rFonts w:ascii="Times New Roman" w:hAnsi="Times New Roman" w:cs="Times New Roman"/>
          <w:sz w:val="28"/>
          <w:szCs w:val="28"/>
        </w:rPr>
      </w:pPr>
      <w:r w:rsidRPr="005D08AD">
        <w:rPr>
          <w:rFonts w:ascii="Times New Roman" w:hAnsi="Times New Roman" w:cs="Times New Roman"/>
          <w:sz w:val="28"/>
          <w:szCs w:val="28"/>
        </w:rPr>
        <w:t xml:space="preserve">JORGE ENRIQUE IBÁÑEZ NAJAR </w:t>
      </w:r>
    </w:p>
    <w:p w:rsidR="00710468" w:rsidRPr="005D08AD" w:rsidRDefault="005D08AD" w:rsidP="00710468">
      <w:pPr>
        <w:tabs>
          <w:tab w:val="left" w:pos="567"/>
        </w:tabs>
        <w:contextualSpacing/>
        <w:mirrorIndents/>
        <w:jc w:val="center"/>
        <w:rPr>
          <w:rFonts w:ascii="Times New Roman" w:hAnsi="Times New Roman" w:cs="Times New Roman"/>
          <w:sz w:val="28"/>
          <w:szCs w:val="28"/>
        </w:rPr>
      </w:pPr>
      <w:r w:rsidRPr="005D08AD">
        <w:rPr>
          <w:rFonts w:ascii="Times New Roman" w:hAnsi="Times New Roman" w:cs="Times New Roman"/>
          <w:sz w:val="28"/>
          <w:szCs w:val="28"/>
        </w:rPr>
        <w:t>Magistrado</w:t>
      </w:r>
    </w:p>
    <w:p w:rsidR="00710468" w:rsidRPr="005D08AD" w:rsidRDefault="005D08AD" w:rsidP="00710468">
      <w:pPr>
        <w:tabs>
          <w:tab w:val="left" w:pos="567"/>
        </w:tabs>
        <w:contextualSpacing/>
        <w:mirrorIndents/>
        <w:jc w:val="center"/>
        <w:rPr>
          <w:rFonts w:ascii="Times New Roman" w:hAnsi="Times New Roman" w:cs="Times New Roman"/>
          <w:sz w:val="28"/>
          <w:szCs w:val="28"/>
        </w:rPr>
      </w:pPr>
      <w:r w:rsidRPr="005D08AD">
        <w:rPr>
          <w:rFonts w:ascii="Times New Roman" w:hAnsi="Times New Roman" w:cs="Times New Roman"/>
          <w:sz w:val="28"/>
          <w:szCs w:val="28"/>
        </w:rPr>
        <w:t>Con salvamento de voto</w:t>
      </w:r>
    </w:p>
    <w:p w:rsidR="00710468" w:rsidRPr="005D08AD" w:rsidRDefault="005D08AD" w:rsidP="005F72BB">
      <w:pPr>
        <w:tabs>
          <w:tab w:val="left" w:pos="567"/>
        </w:tabs>
        <w:contextualSpacing/>
        <w:mirrorIndents/>
        <w:jc w:val="both"/>
        <w:rPr>
          <w:rFonts w:ascii="Times New Roman" w:hAnsi="Times New Roman" w:cs="Times New Roman"/>
          <w:sz w:val="28"/>
          <w:szCs w:val="28"/>
        </w:rPr>
      </w:pPr>
    </w:p>
    <w:p w:rsidR="00710468" w:rsidRPr="005D08AD" w:rsidRDefault="005D08AD" w:rsidP="005F72BB">
      <w:pPr>
        <w:tabs>
          <w:tab w:val="left" w:pos="567"/>
        </w:tabs>
        <w:contextualSpacing/>
        <w:mirrorIndents/>
        <w:jc w:val="both"/>
        <w:rPr>
          <w:rFonts w:ascii="Times New Roman" w:hAnsi="Times New Roman" w:cs="Times New Roman"/>
          <w:sz w:val="28"/>
          <w:szCs w:val="28"/>
        </w:rPr>
      </w:pPr>
    </w:p>
    <w:p w:rsidR="00710468" w:rsidRPr="005D08AD" w:rsidRDefault="005D08AD" w:rsidP="00710468">
      <w:pPr>
        <w:tabs>
          <w:tab w:val="left" w:pos="567"/>
        </w:tabs>
        <w:contextualSpacing/>
        <w:mirrorIndents/>
        <w:jc w:val="center"/>
        <w:rPr>
          <w:rFonts w:ascii="Times New Roman" w:hAnsi="Times New Roman" w:cs="Times New Roman"/>
          <w:sz w:val="28"/>
          <w:szCs w:val="28"/>
        </w:rPr>
      </w:pPr>
      <w:r w:rsidRPr="005D08AD">
        <w:rPr>
          <w:rFonts w:ascii="Times New Roman" w:hAnsi="Times New Roman" w:cs="Times New Roman"/>
          <w:sz w:val="28"/>
          <w:szCs w:val="28"/>
        </w:rPr>
        <w:t>MIGUEL POLO ROSERO</w:t>
      </w:r>
    </w:p>
    <w:p w:rsidR="00710468" w:rsidRPr="005D08AD" w:rsidRDefault="005D08AD" w:rsidP="00710468">
      <w:pPr>
        <w:tabs>
          <w:tab w:val="left" w:pos="567"/>
        </w:tabs>
        <w:contextualSpacing/>
        <w:mirrorIndents/>
        <w:jc w:val="center"/>
        <w:rPr>
          <w:rFonts w:ascii="Times New Roman" w:hAnsi="Times New Roman" w:cs="Times New Roman"/>
          <w:sz w:val="28"/>
          <w:szCs w:val="28"/>
        </w:rPr>
      </w:pPr>
      <w:r w:rsidRPr="005D08AD">
        <w:rPr>
          <w:rFonts w:ascii="Times New Roman" w:hAnsi="Times New Roman" w:cs="Times New Roman"/>
          <w:sz w:val="28"/>
          <w:szCs w:val="28"/>
        </w:rPr>
        <w:t>Magistrado</w:t>
      </w:r>
    </w:p>
    <w:p w:rsidR="00710468" w:rsidRPr="005D08AD" w:rsidRDefault="005D08AD" w:rsidP="00710468">
      <w:pPr>
        <w:tabs>
          <w:tab w:val="left" w:pos="567"/>
        </w:tabs>
        <w:contextualSpacing/>
        <w:mirrorIndents/>
        <w:jc w:val="center"/>
        <w:rPr>
          <w:rFonts w:ascii="Times New Roman" w:hAnsi="Times New Roman" w:cs="Times New Roman"/>
          <w:sz w:val="28"/>
          <w:szCs w:val="28"/>
        </w:rPr>
      </w:pPr>
      <w:r w:rsidRPr="005D08AD">
        <w:rPr>
          <w:rFonts w:ascii="Times New Roman" w:hAnsi="Times New Roman" w:cs="Times New Roman"/>
          <w:sz w:val="28"/>
          <w:szCs w:val="28"/>
        </w:rPr>
        <w:t>Salvamento de voto</w:t>
      </w:r>
    </w:p>
    <w:p w:rsidR="00710468" w:rsidRPr="005D08AD" w:rsidRDefault="005D08AD" w:rsidP="005F72BB">
      <w:pPr>
        <w:tabs>
          <w:tab w:val="left" w:pos="567"/>
        </w:tabs>
        <w:contextualSpacing/>
        <w:mirrorIndents/>
        <w:jc w:val="both"/>
        <w:rPr>
          <w:rFonts w:ascii="Times New Roman" w:hAnsi="Times New Roman" w:cs="Times New Roman"/>
          <w:sz w:val="28"/>
          <w:szCs w:val="28"/>
        </w:rPr>
      </w:pPr>
    </w:p>
    <w:p w:rsidR="00710468" w:rsidRPr="005D08AD" w:rsidRDefault="005D08AD" w:rsidP="005F72BB">
      <w:pPr>
        <w:tabs>
          <w:tab w:val="left" w:pos="567"/>
        </w:tabs>
        <w:contextualSpacing/>
        <w:mirrorIndents/>
        <w:jc w:val="both"/>
        <w:rPr>
          <w:rFonts w:ascii="Times New Roman" w:hAnsi="Times New Roman" w:cs="Times New Roman"/>
          <w:sz w:val="28"/>
          <w:szCs w:val="28"/>
        </w:rPr>
      </w:pPr>
    </w:p>
    <w:p w:rsidR="00710468" w:rsidRPr="005D08AD" w:rsidRDefault="005D08AD" w:rsidP="00710468">
      <w:pPr>
        <w:tabs>
          <w:tab w:val="left" w:pos="567"/>
        </w:tabs>
        <w:contextualSpacing/>
        <w:mirrorIndents/>
        <w:jc w:val="center"/>
        <w:rPr>
          <w:rFonts w:ascii="Times New Roman" w:hAnsi="Times New Roman" w:cs="Times New Roman"/>
          <w:sz w:val="28"/>
          <w:szCs w:val="28"/>
        </w:rPr>
      </w:pPr>
      <w:r w:rsidRPr="005D08AD">
        <w:rPr>
          <w:rFonts w:ascii="Times New Roman" w:hAnsi="Times New Roman" w:cs="Times New Roman"/>
          <w:sz w:val="28"/>
          <w:szCs w:val="28"/>
        </w:rPr>
        <w:t>ANDREA LILIANA ROMERO LOPEZ</w:t>
      </w:r>
    </w:p>
    <w:p w:rsidR="00710468" w:rsidRPr="005D08AD" w:rsidRDefault="005D08AD" w:rsidP="00710468">
      <w:pPr>
        <w:tabs>
          <w:tab w:val="left" w:pos="567"/>
        </w:tabs>
        <w:contextualSpacing/>
        <w:mirrorIndents/>
        <w:jc w:val="center"/>
        <w:rPr>
          <w:rFonts w:ascii="Times New Roman" w:hAnsi="Times New Roman" w:cs="Times New Roman"/>
          <w:sz w:val="28"/>
          <w:szCs w:val="28"/>
        </w:rPr>
      </w:pPr>
      <w:r w:rsidRPr="005D08AD">
        <w:rPr>
          <w:rFonts w:ascii="Times New Roman" w:hAnsi="Times New Roman" w:cs="Times New Roman"/>
          <w:sz w:val="28"/>
          <w:szCs w:val="28"/>
        </w:rPr>
        <w:t>Secretaria General</w:t>
      </w:r>
    </w:p>
    <w:p w:rsidR="00710468" w:rsidRPr="005D08AD" w:rsidRDefault="005D08AD" w:rsidP="005F72BB">
      <w:pPr>
        <w:tabs>
          <w:tab w:val="left" w:pos="567"/>
        </w:tabs>
        <w:contextualSpacing/>
        <w:mirrorIndents/>
        <w:jc w:val="both"/>
        <w:rPr>
          <w:rFonts w:ascii="Times New Roman" w:hAnsi="Times New Roman" w:cs="Times New Roman"/>
          <w:sz w:val="28"/>
          <w:szCs w:val="28"/>
        </w:rPr>
      </w:pPr>
    </w:p>
    <w:p w:rsidR="009861DF" w:rsidRPr="005D08AD" w:rsidRDefault="005D08AD" w:rsidP="00B018F4">
      <w:pPr>
        <w:pStyle w:val="Prrafodelista"/>
        <w:spacing w:after="0" w:line="240" w:lineRule="auto"/>
        <w:ind w:left="0"/>
        <w:jc w:val="center"/>
        <w:outlineLvl w:val="0"/>
        <w:rPr>
          <w:rFonts w:ascii="Times New Roman" w:hAnsi="Times New Roman" w:cs="Times New Roman"/>
          <w:b/>
          <w:szCs w:val="28"/>
          <w:lang w:val="es-ES_tradnl"/>
        </w:rPr>
      </w:pPr>
    </w:p>
    <w:p w:rsidR="009861DF" w:rsidRPr="005D08AD" w:rsidRDefault="005D08AD" w:rsidP="00B018F4">
      <w:pPr>
        <w:pStyle w:val="Prrafodelista"/>
        <w:spacing w:after="0" w:line="240" w:lineRule="auto"/>
        <w:ind w:left="0"/>
        <w:jc w:val="center"/>
        <w:outlineLvl w:val="0"/>
        <w:rPr>
          <w:rFonts w:ascii="Times New Roman" w:hAnsi="Times New Roman" w:cs="Times New Roman"/>
          <w:b/>
          <w:szCs w:val="28"/>
          <w:lang w:val="es-ES_tradnl"/>
        </w:rPr>
      </w:pPr>
    </w:p>
    <w:p w:rsidR="00244E35" w:rsidRPr="005D08AD" w:rsidRDefault="005D08AD" w:rsidP="00B018F4">
      <w:pPr>
        <w:pStyle w:val="Prrafodelista"/>
        <w:spacing w:after="0" w:line="240" w:lineRule="auto"/>
        <w:ind w:left="0"/>
        <w:jc w:val="center"/>
        <w:outlineLvl w:val="0"/>
        <w:rPr>
          <w:rFonts w:ascii="Times New Roman" w:hAnsi="Times New Roman" w:cs="Times New Roman"/>
          <w:b/>
          <w:szCs w:val="28"/>
          <w:lang w:val="es-ES_tradnl"/>
        </w:rPr>
      </w:pPr>
      <w:r w:rsidRPr="005D08AD">
        <w:rPr>
          <w:rFonts w:ascii="Times New Roman" w:hAnsi="Times New Roman" w:cs="Times New Roman"/>
          <w:b/>
          <w:szCs w:val="28"/>
          <w:lang w:val="es-ES_tradnl"/>
        </w:rPr>
        <w:t>SALVAMENTO</w:t>
      </w:r>
      <w:r w:rsidRPr="005D08AD">
        <w:rPr>
          <w:rFonts w:ascii="Times New Roman" w:hAnsi="Times New Roman" w:cs="Times New Roman"/>
          <w:b/>
          <w:szCs w:val="28"/>
          <w:lang w:val="es-ES_tradnl"/>
        </w:rPr>
        <w:t xml:space="preserve"> DE VOTO DEL MAGISTRADO</w:t>
      </w:r>
    </w:p>
    <w:p w:rsidR="00244E35" w:rsidRPr="005D08AD" w:rsidRDefault="005D08AD" w:rsidP="00B018F4">
      <w:pPr>
        <w:pStyle w:val="Prrafodelista"/>
        <w:spacing w:after="0" w:line="240" w:lineRule="auto"/>
        <w:ind w:left="0"/>
        <w:jc w:val="center"/>
        <w:outlineLvl w:val="0"/>
        <w:rPr>
          <w:rFonts w:ascii="Times New Roman" w:hAnsi="Times New Roman" w:cs="Times New Roman"/>
          <w:b/>
          <w:szCs w:val="28"/>
          <w:lang w:val="es-ES_tradnl"/>
        </w:rPr>
      </w:pPr>
      <w:r w:rsidRPr="005D08AD">
        <w:rPr>
          <w:rFonts w:ascii="Times New Roman" w:hAnsi="Times New Roman" w:cs="Times New Roman"/>
          <w:b/>
          <w:szCs w:val="28"/>
          <w:lang w:val="es-ES_tradnl"/>
        </w:rPr>
        <w:t xml:space="preserve"> MIGUEL POLO ROSERO </w:t>
      </w:r>
    </w:p>
    <w:p w:rsidR="00027613" w:rsidRPr="005D08AD" w:rsidRDefault="005D08AD" w:rsidP="00B018F4">
      <w:pPr>
        <w:pStyle w:val="Prrafodelista"/>
        <w:spacing w:after="0" w:line="240" w:lineRule="auto"/>
        <w:ind w:left="0"/>
        <w:jc w:val="center"/>
        <w:outlineLvl w:val="0"/>
        <w:rPr>
          <w:rFonts w:ascii="Times New Roman" w:hAnsi="Times New Roman" w:cs="Times New Roman"/>
          <w:b/>
          <w:szCs w:val="28"/>
          <w:lang w:val="es-ES_tradnl"/>
        </w:rPr>
      </w:pPr>
      <w:r w:rsidRPr="005D08AD">
        <w:rPr>
          <w:rFonts w:ascii="Times New Roman" w:hAnsi="Times New Roman" w:cs="Times New Roman"/>
          <w:b/>
          <w:szCs w:val="28"/>
          <w:lang w:val="es-ES_tradnl"/>
        </w:rPr>
        <w:t xml:space="preserve">A LA SENTENCIA </w:t>
      </w:r>
      <w:r w:rsidRPr="005D08AD">
        <w:rPr>
          <w:rFonts w:ascii="Times New Roman" w:hAnsi="Times New Roman" w:cs="Times New Roman"/>
          <w:b/>
          <w:szCs w:val="28"/>
          <w:lang w:val="es-ES_tradnl"/>
        </w:rPr>
        <w:t>C-097</w:t>
      </w:r>
      <w:r w:rsidRPr="005D08AD">
        <w:rPr>
          <w:rFonts w:ascii="Times New Roman" w:hAnsi="Times New Roman" w:cs="Times New Roman"/>
          <w:b/>
          <w:szCs w:val="28"/>
          <w:lang w:val="es-ES_tradnl"/>
        </w:rPr>
        <w:t>/</w:t>
      </w:r>
      <w:r w:rsidRPr="005D08AD">
        <w:rPr>
          <w:rFonts w:ascii="Times New Roman" w:hAnsi="Times New Roman" w:cs="Times New Roman"/>
          <w:b/>
          <w:szCs w:val="28"/>
          <w:lang w:val="es-ES_tradnl"/>
        </w:rPr>
        <w:t>26</w:t>
      </w:r>
    </w:p>
    <w:p w:rsidR="00027613" w:rsidRPr="005D08AD" w:rsidRDefault="005D08AD" w:rsidP="00FF092D">
      <w:pPr>
        <w:tabs>
          <w:tab w:val="left" w:pos="4678"/>
        </w:tabs>
        <w:suppressAutoHyphens/>
        <w:overflowPunct w:val="0"/>
        <w:autoSpaceDE w:val="0"/>
        <w:autoSpaceDN w:val="0"/>
        <w:adjustRightInd w:val="0"/>
        <w:spacing w:after="0" w:line="240" w:lineRule="auto"/>
        <w:ind w:right="51"/>
        <w:jc w:val="both"/>
        <w:rPr>
          <w:rFonts w:ascii="Times New Roman" w:eastAsia="Times New Roman" w:hAnsi="Times New Roman" w:cs="Times New Roman"/>
          <w:b/>
          <w:sz w:val="28"/>
          <w:szCs w:val="28"/>
          <w:lang w:val="es-ES_tradnl"/>
        </w:rPr>
      </w:pPr>
    </w:p>
    <w:p w:rsidR="00244E35" w:rsidRPr="005D08AD" w:rsidRDefault="005D08AD" w:rsidP="00FF092D">
      <w:pPr>
        <w:tabs>
          <w:tab w:val="left" w:pos="4678"/>
        </w:tabs>
        <w:suppressAutoHyphens/>
        <w:overflowPunct w:val="0"/>
        <w:autoSpaceDE w:val="0"/>
        <w:autoSpaceDN w:val="0"/>
        <w:adjustRightInd w:val="0"/>
        <w:spacing w:after="0" w:line="240" w:lineRule="auto"/>
        <w:ind w:right="51"/>
        <w:jc w:val="both"/>
        <w:rPr>
          <w:rFonts w:ascii="Times New Roman" w:eastAsia="Times New Roman" w:hAnsi="Times New Roman" w:cs="Times New Roman"/>
          <w:b/>
          <w:sz w:val="28"/>
          <w:szCs w:val="28"/>
          <w:lang w:val="es-ES_tradnl"/>
        </w:rPr>
      </w:pPr>
    </w:p>
    <w:p w:rsidR="001A68D9" w:rsidRPr="005D08AD" w:rsidRDefault="005D08AD" w:rsidP="00244E35">
      <w:pPr>
        <w:tabs>
          <w:tab w:val="left" w:pos="4678"/>
        </w:tabs>
        <w:suppressAutoHyphens/>
        <w:overflowPunct w:val="0"/>
        <w:autoSpaceDE w:val="0"/>
        <w:autoSpaceDN w:val="0"/>
        <w:adjustRightInd w:val="0"/>
        <w:spacing w:after="0" w:line="240" w:lineRule="auto"/>
        <w:ind w:left="4140" w:right="-377"/>
        <w:jc w:val="both"/>
        <w:rPr>
          <w:rFonts w:ascii="Times New Roman" w:eastAsia="Times New Roman" w:hAnsi="Times New Roman" w:cs="Times New Roman"/>
          <w:bCs/>
          <w:sz w:val="28"/>
          <w:szCs w:val="28"/>
          <w:lang w:val="es-ES_tradnl"/>
        </w:rPr>
      </w:pPr>
      <w:r w:rsidRPr="005D08AD">
        <w:rPr>
          <w:rFonts w:ascii="Times New Roman" w:eastAsia="Times New Roman" w:hAnsi="Times New Roman" w:cs="Times New Roman"/>
          <w:bCs/>
          <w:sz w:val="28"/>
          <w:szCs w:val="28"/>
          <w:lang w:val="es-ES_tradnl"/>
        </w:rPr>
        <w:t xml:space="preserve">Expediente: </w:t>
      </w:r>
      <w:r w:rsidRPr="005D08AD">
        <w:rPr>
          <w:rFonts w:ascii="Times New Roman" w:eastAsia="Times New Roman" w:hAnsi="Times New Roman" w:cs="Times New Roman"/>
          <w:bCs/>
          <w:sz w:val="28"/>
          <w:szCs w:val="28"/>
          <w:lang w:val="es-ES_tradnl"/>
        </w:rPr>
        <w:t>D-16929</w:t>
      </w:r>
    </w:p>
    <w:p w:rsidR="001A68D9" w:rsidRPr="005D08AD" w:rsidRDefault="005D08AD" w:rsidP="00244E35">
      <w:pPr>
        <w:tabs>
          <w:tab w:val="left" w:pos="4678"/>
        </w:tabs>
        <w:suppressAutoHyphens/>
        <w:overflowPunct w:val="0"/>
        <w:autoSpaceDE w:val="0"/>
        <w:autoSpaceDN w:val="0"/>
        <w:adjustRightInd w:val="0"/>
        <w:spacing w:after="0" w:line="240" w:lineRule="auto"/>
        <w:ind w:right="-377"/>
        <w:jc w:val="both"/>
        <w:rPr>
          <w:rFonts w:ascii="Times New Roman" w:eastAsia="Times New Roman" w:hAnsi="Times New Roman" w:cs="Times New Roman"/>
          <w:bCs/>
          <w:sz w:val="28"/>
          <w:szCs w:val="28"/>
          <w:lang w:val="es-ES_tradnl"/>
        </w:rPr>
      </w:pPr>
    </w:p>
    <w:p w:rsidR="00027613" w:rsidRPr="005D08AD" w:rsidRDefault="005D08AD" w:rsidP="00244E35">
      <w:pPr>
        <w:tabs>
          <w:tab w:val="left" w:pos="4678"/>
        </w:tabs>
        <w:suppressAutoHyphens/>
        <w:overflowPunct w:val="0"/>
        <w:autoSpaceDE w:val="0"/>
        <w:autoSpaceDN w:val="0"/>
        <w:adjustRightInd w:val="0"/>
        <w:spacing w:after="0" w:line="240" w:lineRule="auto"/>
        <w:ind w:left="4140" w:right="-377"/>
        <w:jc w:val="both"/>
        <w:rPr>
          <w:rFonts w:ascii="Times New Roman" w:eastAsia="Times New Roman" w:hAnsi="Times New Roman" w:cs="Times New Roman"/>
          <w:bCs/>
          <w:sz w:val="28"/>
          <w:szCs w:val="28"/>
          <w:lang w:val="es-ES_tradnl"/>
        </w:rPr>
      </w:pPr>
      <w:r w:rsidRPr="005D08AD">
        <w:rPr>
          <w:rFonts w:ascii="Times New Roman" w:eastAsia="Times New Roman" w:hAnsi="Times New Roman" w:cs="Times New Roman"/>
          <w:bCs/>
          <w:sz w:val="28"/>
          <w:szCs w:val="28"/>
          <w:lang w:val="es-ES_tradnl"/>
        </w:rPr>
        <w:t>Asunto:</w:t>
      </w:r>
      <w:r w:rsidRPr="005D08AD">
        <w:rPr>
          <w:rFonts w:ascii="Times New Roman" w:hAnsi="Times New Roman" w:cs="Times New Roman"/>
          <w:bCs/>
          <w:sz w:val="28"/>
          <w:szCs w:val="28"/>
          <w:lang w:val="es-ES_tradnl"/>
        </w:rPr>
        <w:t xml:space="preserve"> </w:t>
      </w:r>
      <w:r w:rsidRPr="005D08AD">
        <w:rPr>
          <w:rFonts w:ascii="Times New Roman" w:hAnsi="Times New Roman" w:cs="Times New Roman"/>
          <w:bCs/>
          <w:sz w:val="28"/>
          <w:szCs w:val="28"/>
          <w:lang w:val="es-ES_tradnl"/>
        </w:rPr>
        <w:t xml:space="preserve">Demanda </w:t>
      </w:r>
      <w:r w:rsidRPr="005D08AD">
        <w:rPr>
          <w:rFonts w:ascii="Times New Roman" w:hAnsi="Times New Roman" w:cs="Times New Roman"/>
          <w:bCs/>
          <w:sz w:val="28"/>
          <w:szCs w:val="28"/>
          <w:lang w:val="es-ES_tradnl"/>
        </w:rPr>
        <w:t>de inconstitucionalidad contra el artículo 48 (parcial) de la Ley 1438 de 2011</w:t>
      </w:r>
    </w:p>
    <w:p w:rsidR="00C02DD7" w:rsidRPr="005D08AD" w:rsidRDefault="005D08AD" w:rsidP="00244E35">
      <w:pPr>
        <w:tabs>
          <w:tab w:val="left" w:pos="4678"/>
        </w:tabs>
        <w:suppressAutoHyphens/>
        <w:overflowPunct w:val="0"/>
        <w:autoSpaceDE w:val="0"/>
        <w:autoSpaceDN w:val="0"/>
        <w:adjustRightInd w:val="0"/>
        <w:spacing w:after="0" w:line="240" w:lineRule="auto"/>
        <w:ind w:right="-377"/>
        <w:jc w:val="both"/>
        <w:rPr>
          <w:rFonts w:ascii="Times New Roman" w:eastAsia="Times New Roman" w:hAnsi="Times New Roman" w:cs="Times New Roman"/>
          <w:bCs/>
          <w:sz w:val="28"/>
          <w:szCs w:val="28"/>
          <w:lang w:val="es-ES_tradnl"/>
        </w:rPr>
      </w:pPr>
    </w:p>
    <w:p w:rsidR="00850C45" w:rsidRPr="005D08AD" w:rsidRDefault="005D08AD" w:rsidP="00244E35">
      <w:pPr>
        <w:tabs>
          <w:tab w:val="left" w:pos="4678"/>
        </w:tabs>
        <w:suppressAutoHyphens/>
        <w:overflowPunct w:val="0"/>
        <w:autoSpaceDE w:val="0"/>
        <w:autoSpaceDN w:val="0"/>
        <w:adjustRightInd w:val="0"/>
        <w:spacing w:after="0" w:line="240" w:lineRule="auto"/>
        <w:ind w:left="4140" w:right="-377"/>
        <w:jc w:val="both"/>
        <w:rPr>
          <w:rFonts w:ascii="Times New Roman" w:eastAsia="Times New Roman" w:hAnsi="Times New Roman" w:cs="Times New Roman"/>
          <w:bCs/>
          <w:sz w:val="28"/>
          <w:szCs w:val="28"/>
          <w:lang w:val="es-ES_tradnl"/>
        </w:rPr>
      </w:pPr>
      <w:r w:rsidRPr="005D08AD">
        <w:rPr>
          <w:rFonts w:ascii="Times New Roman" w:eastAsia="Times New Roman" w:hAnsi="Times New Roman" w:cs="Times New Roman"/>
          <w:bCs/>
          <w:sz w:val="28"/>
          <w:szCs w:val="28"/>
          <w:lang w:val="es-ES_tradnl"/>
        </w:rPr>
        <w:t>Magistrad</w:t>
      </w:r>
      <w:r w:rsidRPr="005D08AD">
        <w:rPr>
          <w:rFonts w:ascii="Times New Roman" w:eastAsia="Times New Roman" w:hAnsi="Times New Roman" w:cs="Times New Roman"/>
          <w:bCs/>
          <w:sz w:val="28"/>
          <w:szCs w:val="28"/>
          <w:lang w:val="es-ES_tradnl"/>
        </w:rPr>
        <w:t>o</w:t>
      </w:r>
      <w:r w:rsidRPr="005D08AD">
        <w:rPr>
          <w:rFonts w:ascii="Times New Roman" w:eastAsia="Times New Roman" w:hAnsi="Times New Roman" w:cs="Times New Roman"/>
          <w:bCs/>
          <w:sz w:val="28"/>
          <w:szCs w:val="28"/>
          <w:lang w:val="es-ES_tradnl"/>
        </w:rPr>
        <w:t xml:space="preserve"> ponente</w:t>
      </w:r>
      <w:r w:rsidRPr="005D08AD">
        <w:rPr>
          <w:rFonts w:ascii="Times New Roman" w:eastAsia="Times New Roman" w:hAnsi="Times New Roman" w:cs="Times New Roman"/>
          <w:bCs/>
          <w:sz w:val="28"/>
          <w:szCs w:val="28"/>
          <w:lang w:val="es-ES_tradnl"/>
        </w:rPr>
        <w:t>:</w:t>
      </w:r>
      <w:r w:rsidRPr="005D08AD">
        <w:rPr>
          <w:rFonts w:ascii="Times New Roman" w:eastAsia="Times New Roman" w:hAnsi="Times New Roman" w:cs="Times New Roman"/>
          <w:bCs/>
          <w:sz w:val="28"/>
          <w:szCs w:val="28"/>
          <w:lang w:val="es-ES_tradnl"/>
        </w:rPr>
        <w:t xml:space="preserve"> </w:t>
      </w:r>
      <w:r w:rsidRPr="005D08AD">
        <w:rPr>
          <w:rFonts w:ascii="Times New Roman" w:eastAsia="Times New Roman" w:hAnsi="Times New Roman" w:cs="Times New Roman"/>
          <w:bCs/>
          <w:sz w:val="28"/>
          <w:szCs w:val="28"/>
          <w:lang w:val="es-ES_tradnl"/>
        </w:rPr>
        <w:t>Vladimir Fernández Andrade</w:t>
      </w:r>
    </w:p>
    <w:p w:rsidR="00850C45" w:rsidRPr="005D08AD" w:rsidRDefault="005D08AD" w:rsidP="00FF092D">
      <w:pPr>
        <w:tabs>
          <w:tab w:val="left" w:pos="4678"/>
        </w:tabs>
        <w:suppressAutoHyphens/>
        <w:overflowPunct w:val="0"/>
        <w:autoSpaceDE w:val="0"/>
        <w:autoSpaceDN w:val="0"/>
        <w:adjustRightInd w:val="0"/>
        <w:spacing w:after="0" w:line="240" w:lineRule="auto"/>
        <w:ind w:right="51"/>
        <w:jc w:val="both"/>
        <w:rPr>
          <w:rFonts w:ascii="Times New Roman" w:hAnsi="Times New Roman" w:cs="Times New Roman"/>
          <w:kern w:val="32"/>
          <w:sz w:val="28"/>
          <w:szCs w:val="28"/>
          <w:u w:val="single"/>
          <w:lang w:val="es-ES_tradnl" w:eastAsia="es-ES"/>
        </w:rPr>
      </w:pPr>
    </w:p>
    <w:p w:rsidR="00244E35" w:rsidRPr="005D08AD" w:rsidRDefault="005D08AD" w:rsidP="00FF092D">
      <w:pPr>
        <w:tabs>
          <w:tab w:val="left" w:pos="4678"/>
        </w:tabs>
        <w:suppressAutoHyphens/>
        <w:overflowPunct w:val="0"/>
        <w:autoSpaceDE w:val="0"/>
        <w:autoSpaceDN w:val="0"/>
        <w:adjustRightInd w:val="0"/>
        <w:spacing w:after="0" w:line="240" w:lineRule="auto"/>
        <w:ind w:right="51"/>
        <w:jc w:val="both"/>
        <w:rPr>
          <w:rFonts w:ascii="Times New Roman" w:hAnsi="Times New Roman" w:cs="Times New Roman"/>
          <w:kern w:val="32"/>
          <w:sz w:val="28"/>
          <w:szCs w:val="28"/>
          <w:u w:val="single"/>
          <w:lang w:val="es-ES_tradnl" w:eastAsia="es-ES"/>
        </w:rPr>
      </w:pPr>
    </w:p>
    <w:p w:rsidR="00FF092D" w:rsidRPr="005D08AD" w:rsidRDefault="005D08AD" w:rsidP="00FF092D">
      <w:pPr>
        <w:pStyle w:val="Prrafodelista"/>
        <w:numPr>
          <w:ilvl w:val="0"/>
          <w:numId w:val="9"/>
        </w:numPr>
        <w:tabs>
          <w:tab w:val="left" w:pos="567"/>
          <w:tab w:val="left" w:pos="4678"/>
        </w:tabs>
        <w:suppressAutoHyphens/>
        <w:overflowPunct w:val="0"/>
        <w:autoSpaceDE w:val="0"/>
        <w:autoSpaceDN w:val="0"/>
        <w:adjustRightInd w:val="0"/>
        <w:spacing w:after="0" w:line="240" w:lineRule="auto"/>
        <w:ind w:left="0" w:right="51" w:firstLine="0"/>
        <w:jc w:val="both"/>
        <w:rPr>
          <w:rFonts w:ascii="Times New Roman" w:hAnsi="Times New Roman" w:cs="Times New Roman"/>
          <w:color w:val="000000" w:themeColor="text1"/>
          <w:kern w:val="32"/>
          <w:szCs w:val="28"/>
          <w:lang w:val="es-CO" w:eastAsia="es-ES"/>
        </w:rPr>
      </w:pPr>
      <w:r w:rsidRPr="005D08AD">
        <w:rPr>
          <w:rFonts w:ascii="Times New Roman" w:hAnsi="Times New Roman" w:cs="Times New Roman"/>
          <w:color w:val="000000" w:themeColor="text1"/>
          <w:kern w:val="32"/>
          <w:szCs w:val="28"/>
          <w:lang w:val="es-ES_tradnl" w:eastAsia="es-ES"/>
        </w:rPr>
        <w:t>Con el respeto acostumbrado por las decisiones adoptadas por la mayoría, el suscrito magistrado presenta salvamento de voto</w:t>
      </w:r>
      <w:r w:rsidRPr="005D08AD">
        <w:rPr>
          <w:rFonts w:ascii="Times New Roman" w:hAnsi="Times New Roman" w:cs="Times New Roman"/>
          <w:color w:val="000000" w:themeColor="text1"/>
          <w:kern w:val="32"/>
          <w:szCs w:val="28"/>
          <w:lang w:val="es-ES_tradnl" w:eastAsia="es-ES"/>
        </w:rPr>
        <w:t xml:space="preserve"> frente a la sentencia C-097 de 2026</w:t>
      </w:r>
      <w:r w:rsidRPr="005D08AD">
        <w:rPr>
          <w:rFonts w:ascii="Times New Roman" w:hAnsi="Times New Roman" w:cs="Times New Roman"/>
          <w:color w:val="000000" w:themeColor="text1"/>
          <w:kern w:val="32"/>
          <w:szCs w:val="28"/>
          <w:lang w:val="es-ES_tradnl" w:eastAsia="es-ES"/>
        </w:rPr>
        <w:t>.</w:t>
      </w:r>
      <w:r w:rsidRPr="005D08AD">
        <w:rPr>
          <w:rFonts w:ascii="Times New Roman" w:hAnsi="Times New Roman" w:cs="Times New Roman"/>
          <w:color w:val="000000" w:themeColor="text1"/>
          <w:kern w:val="32"/>
          <w:szCs w:val="28"/>
          <w:lang w:val="es-ES_tradnl" w:eastAsia="es-ES"/>
        </w:rPr>
        <w:t xml:space="preserve"> </w:t>
      </w:r>
      <w:r w:rsidRPr="005D08AD">
        <w:rPr>
          <w:rFonts w:ascii="Times New Roman" w:hAnsi="Times New Roman" w:cs="Times New Roman"/>
          <w:color w:val="000000" w:themeColor="text1"/>
          <w:kern w:val="32"/>
          <w:szCs w:val="28"/>
          <w:lang w:val="es-CO" w:eastAsia="es-ES"/>
        </w:rPr>
        <w:t>Sin perjuicio de la discusión en torno a si en este caso se presentaba o no la figura de la cosa juzgada aparente, dado que existían algunas consideraciones de la sentencia C-390 de 1996, que sugerían la construcción d</w:t>
      </w:r>
      <w:r w:rsidRPr="005D08AD">
        <w:rPr>
          <w:rFonts w:ascii="Times New Roman" w:hAnsi="Times New Roman" w:cs="Times New Roman"/>
          <w:color w:val="000000" w:themeColor="text1"/>
          <w:kern w:val="32"/>
          <w:szCs w:val="28"/>
          <w:lang w:val="es-CO" w:eastAsia="es-ES"/>
        </w:rPr>
        <w:t>e una referencia, al menos indirecta, sobre el hecho generador, lo que demandaba de esta Corte una argumentación especial para descartar lo resuelto previamente por parte de este Tribunal, lo cierto es que, al haber concluido en esta nueva decisión, que no</w:t>
      </w:r>
      <w:r w:rsidRPr="005D08AD">
        <w:rPr>
          <w:rFonts w:ascii="Times New Roman" w:hAnsi="Times New Roman" w:cs="Times New Roman"/>
          <w:color w:val="000000" w:themeColor="text1"/>
          <w:kern w:val="32"/>
          <w:szCs w:val="28"/>
          <w:lang w:val="es-CO" w:eastAsia="es-ES"/>
        </w:rPr>
        <w:t xml:space="preserve"> existía cosa juzgada, se imponía llegar a una conclusión distinta a la adoptada, consistente en que la regulación sobre el impuesto social a las municiones y explosivos desconoció el principio de legalidad, en la manifestación conocida como principio de c</w:t>
      </w:r>
      <w:r w:rsidRPr="005D08AD">
        <w:rPr>
          <w:rFonts w:ascii="Times New Roman" w:hAnsi="Times New Roman" w:cs="Times New Roman"/>
          <w:color w:val="000000" w:themeColor="text1"/>
          <w:kern w:val="32"/>
          <w:szCs w:val="28"/>
          <w:lang w:val="es-CO" w:eastAsia="es-ES"/>
        </w:rPr>
        <w:t xml:space="preserve">erteza tributaria. </w:t>
      </w:r>
    </w:p>
    <w:p w:rsidR="00FF092D" w:rsidRPr="005D08AD" w:rsidRDefault="005D08AD" w:rsidP="00FF092D">
      <w:pPr>
        <w:pStyle w:val="Prrafodelista"/>
        <w:tabs>
          <w:tab w:val="left" w:pos="567"/>
          <w:tab w:val="left" w:pos="4678"/>
        </w:tabs>
        <w:suppressAutoHyphens/>
        <w:overflowPunct w:val="0"/>
        <w:autoSpaceDE w:val="0"/>
        <w:autoSpaceDN w:val="0"/>
        <w:adjustRightInd w:val="0"/>
        <w:spacing w:after="0" w:line="240" w:lineRule="auto"/>
        <w:ind w:left="0" w:right="51"/>
        <w:jc w:val="both"/>
        <w:rPr>
          <w:rFonts w:ascii="Times New Roman" w:hAnsi="Times New Roman" w:cs="Times New Roman"/>
          <w:color w:val="000000" w:themeColor="text1"/>
          <w:kern w:val="32"/>
          <w:szCs w:val="28"/>
          <w:lang w:val="es-CO" w:eastAsia="es-ES"/>
        </w:rPr>
      </w:pPr>
    </w:p>
    <w:p w:rsidR="00FF092D" w:rsidRPr="005D08AD" w:rsidRDefault="005D08AD" w:rsidP="00FF092D">
      <w:pPr>
        <w:pStyle w:val="Prrafodelista"/>
        <w:numPr>
          <w:ilvl w:val="0"/>
          <w:numId w:val="9"/>
        </w:numPr>
        <w:tabs>
          <w:tab w:val="left" w:pos="567"/>
          <w:tab w:val="left" w:pos="4678"/>
        </w:tabs>
        <w:suppressAutoHyphens/>
        <w:overflowPunct w:val="0"/>
        <w:autoSpaceDE w:val="0"/>
        <w:autoSpaceDN w:val="0"/>
        <w:adjustRightInd w:val="0"/>
        <w:spacing w:after="0" w:line="240" w:lineRule="auto"/>
        <w:ind w:left="0" w:right="51" w:firstLine="0"/>
        <w:jc w:val="both"/>
        <w:rPr>
          <w:rFonts w:ascii="Times New Roman" w:hAnsi="Times New Roman" w:cs="Times New Roman"/>
          <w:color w:val="000000" w:themeColor="text1"/>
          <w:kern w:val="32"/>
          <w:szCs w:val="28"/>
          <w:lang w:val="es-CO" w:eastAsia="es-ES"/>
        </w:rPr>
      </w:pPr>
      <w:r w:rsidRPr="005D08AD">
        <w:rPr>
          <w:rFonts w:ascii="Times New Roman" w:hAnsi="Times New Roman" w:cs="Times New Roman"/>
          <w:color w:val="000000" w:themeColor="text1"/>
          <w:kern w:val="32"/>
          <w:szCs w:val="28"/>
          <w:lang w:val="es-CO" w:eastAsia="es-ES"/>
        </w:rPr>
        <w:t>En efecto, el citado principio prescribe que las disposiciones que creen gravámenes deben también determinarlos con suficiente claridad</w:t>
      </w:r>
      <w:r w:rsidRPr="005D08AD">
        <w:rPr>
          <w:rFonts w:ascii="Times New Roman" w:hAnsi="Times New Roman" w:cs="Times New Roman"/>
          <w:i/>
          <w:iCs/>
          <w:color w:val="000000" w:themeColor="text1"/>
          <w:kern w:val="32"/>
          <w:szCs w:val="28"/>
          <w:lang w:val="es-CO" w:eastAsia="es-ES"/>
        </w:rPr>
        <w:t xml:space="preserve"> y </w:t>
      </w:r>
      <w:r w:rsidRPr="005D08AD">
        <w:rPr>
          <w:rFonts w:ascii="Times New Roman" w:hAnsi="Times New Roman" w:cs="Times New Roman"/>
          <w:color w:val="000000" w:themeColor="text1"/>
          <w:kern w:val="32"/>
          <w:szCs w:val="28"/>
          <w:lang w:val="es-CO" w:eastAsia="es-ES"/>
        </w:rPr>
        <w:t>precisión. Es necesario que en la ley se fijen los sujetos activos y pasivos, los hechos generado</w:t>
      </w:r>
      <w:r w:rsidRPr="005D08AD">
        <w:rPr>
          <w:rFonts w:ascii="Times New Roman" w:hAnsi="Times New Roman" w:cs="Times New Roman"/>
          <w:color w:val="000000" w:themeColor="text1"/>
          <w:kern w:val="32"/>
          <w:szCs w:val="28"/>
          <w:lang w:val="es-CO" w:eastAsia="es-ES"/>
        </w:rPr>
        <w:t>res, las bases gravables y las tarifas de las obligaciones tributarias, para que puedan estimarse ajustadas a la Constitución</w:t>
      </w:r>
      <w:r w:rsidRPr="005D08AD">
        <w:rPr>
          <w:rFonts w:ascii="Times New Roman" w:hAnsi="Times New Roman" w:cs="Times New Roman"/>
          <w:color w:val="000000" w:themeColor="text1"/>
          <w:kern w:val="32"/>
          <w:szCs w:val="28"/>
          <w:vertAlign w:val="superscript"/>
          <w:lang w:val="es-CO" w:eastAsia="es-ES"/>
        </w:rPr>
        <w:footnoteReference w:id="94"/>
      </w:r>
      <w:r w:rsidRPr="005D08AD">
        <w:rPr>
          <w:rFonts w:ascii="Times New Roman" w:hAnsi="Times New Roman" w:cs="Times New Roman"/>
          <w:color w:val="000000" w:themeColor="text1"/>
          <w:kern w:val="32"/>
          <w:szCs w:val="28"/>
          <w:lang w:val="es-CO" w:eastAsia="es-ES"/>
        </w:rPr>
        <w:t>. En ningún caso, el Congreso está excluido del deber de delimitar los ingredientes que permiten imponer cargas fiscales, salvo en</w:t>
      </w:r>
      <w:r w:rsidRPr="005D08AD">
        <w:rPr>
          <w:rFonts w:ascii="Times New Roman" w:hAnsi="Times New Roman" w:cs="Times New Roman"/>
          <w:color w:val="000000" w:themeColor="text1"/>
          <w:kern w:val="32"/>
          <w:szCs w:val="28"/>
          <w:lang w:val="es-CO" w:eastAsia="es-ES"/>
        </w:rPr>
        <w:t xml:space="preserve"> el supuesto específico de la fijación de la tarifa de las tasas y las contribuciones, como lo dispone el inciso 2 del artículo 338 de la Carta.</w:t>
      </w:r>
    </w:p>
    <w:p w:rsidR="00FF092D" w:rsidRPr="005D08AD" w:rsidRDefault="005D08AD" w:rsidP="00FF092D">
      <w:pPr>
        <w:pStyle w:val="Prrafodelista"/>
        <w:tabs>
          <w:tab w:val="left" w:pos="567"/>
          <w:tab w:val="left" w:pos="4678"/>
        </w:tabs>
        <w:suppressAutoHyphens/>
        <w:overflowPunct w:val="0"/>
        <w:autoSpaceDE w:val="0"/>
        <w:autoSpaceDN w:val="0"/>
        <w:adjustRightInd w:val="0"/>
        <w:spacing w:after="0" w:line="240" w:lineRule="auto"/>
        <w:ind w:left="0" w:right="51"/>
        <w:jc w:val="both"/>
        <w:rPr>
          <w:rFonts w:ascii="Times New Roman" w:hAnsi="Times New Roman" w:cs="Times New Roman"/>
          <w:color w:val="000000" w:themeColor="text1"/>
          <w:kern w:val="32"/>
          <w:szCs w:val="28"/>
          <w:lang w:val="es-CO" w:eastAsia="es-ES"/>
        </w:rPr>
      </w:pPr>
    </w:p>
    <w:p w:rsidR="00FF092D" w:rsidRPr="005D08AD" w:rsidRDefault="005D08AD" w:rsidP="00FF092D">
      <w:pPr>
        <w:pStyle w:val="Prrafodelista"/>
        <w:numPr>
          <w:ilvl w:val="0"/>
          <w:numId w:val="9"/>
        </w:numPr>
        <w:tabs>
          <w:tab w:val="left" w:pos="567"/>
          <w:tab w:val="left" w:pos="4678"/>
        </w:tabs>
        <w:suppressAutoHyphens/>
        <w:overflowPunct w:val="0"/>
        <w:autoSpaceDE w:val="0"/>
        <w:autoSpaceDN w:val="0"/>
        <w:adjustRightInd w:val="0"/>
        <w:spacing w:after="0" w:line="240" w:lineRule="auto"/>
        <w:ind w:left="0" w:right="51" w:firstLine="0"/>
        <w:jc w:val="both"/>
        <w:rPr>
          <w:rFonts w:ascii="Times New Roman" w:hAnsi="Times New Roman" w:cs="Times New Roman"/>
          <w:color w:val="000000" w:themeColor="text1"/>
          <w:kern w:val="32"/>
          <w:szCs w:val="28"/>
          <w:lang w:val="es-MX" w:eastAsia="es-ES"/>
        </w:rPr>
      </w:pPr>
      <w:r w:rsidRPr="005D08AD">
        <w:rPr>
          <w:rFonts w:ascii="Times New Roman" w:hAnsi="Times New Roman" w:cs="Times New Roman"/>
          <w:color w:val="000000" w:themeColor="text1"/>
          <w:kern w:val="32"/>
          <w:szCs w:val="28"/>
          <w:lang w:val="es-CO" w:eastAsia="es-ES"/>
        </w:rPr>
        <w:t xml:space="preserve">En este contexto, </w:t>
      </w:r>
      <w:r w:rsidRPr="005D08AD">
        <w:rPr>
          <w:rFonts w:ascii="Times New Roman" w:hAnsi="Times New Roman" w:cs="Times New Roman"/>
          <w:i/>
          <w:iCs/>
          <w:color w:val="000000" w:themeColor="text1"/>
          <w:kern w:val="32"/>
          <w:szCs w:val="28"/>
          <w:lang w:val="es-CO" w:eastAsia="es-ES"/>
        </w:rPr>
        <w:t>prima facie</w:t>
      </w:r>
      <w:r w:rsidRPr="005D08AD">
        <w:rPr>
          <w:rFonts w:ascii="Times New Roman" w:hAnsi="Times New Roman" w:cs="Times New Roman"/>
          <w:color w:val="000000" w:themeColor="text1"/>
          <w:kern w:val="32"/>
          <w:szCs w:val="28"/>
          <w:lang w:val="es-CO" w:eastAsia="es-ES"/>
        </w:rPr>
        <w:t xml:space="preserve">, se menoscaba el principio de legalidad de los tributos si el Congreso no </w:t>
      </w:r>
      <w:r w:rsidRPr="005D08AD">
        <w:rPr>
          <w:rFonts w:ascii="Times New Roman" w:hAnsi="Times New Roman" w:cs="Times New Roman"/>
          <w:color w:val="000000" w:themeColor="text1"/>
          <w:kern w:val="32"/>
          <w:szCs w:val="28"/>
          <w:lang w:val="es-CO" w:eastAsia="es-ES"/>
        </w:rPr>
        <w:t>establece con exactitud todos los elementos que los estructuran, lo que incluye, en el caso de los impuestos, la tarifa. Así, se</w:t>
      </w:r>
      <w:r w:rsidRPr="005D08AD">
        <w:rPr>
          <w:rFonts w:ascii="Times New Roman" w:hAnsi="Times New Roman" w:cs="Times New Roman"/>
          <w:color w:val="000000" w:themeColor="text1"/>
          <w:kern w:val="32"/>
          <w:szCs w:val="28"/>
          <w:lang w:val="es-MX" w:eastAsia="es-ES"/>
        </w:rPr>
        <w:t xml:space="preserve"> ha considerado que la imprecisión de las expresiones que se utilicen en la definición de dichos elementos puede conducir a la d</w:t>
      </w:r>
      <w:r w:rsidRPr="005D08AD">
        <w:rPr>
          <w:rFonts w:ascii="Times New Roman" w:hAnsi="Times New Roman" w:cs="Times New Roman"/>
          <w:color w:val="000000" w:themeColor="text1"/>
          <w:kern w:val="32"/>
          <w:szCs w:val="28"/>
          <w:lang w:val="es-MX" w:eastAsia="es-ES"/>
        </w:rPr>
        <w:t>eclaración de inconstitucionalidad de los preceptos respectivos, incluso del tributo en sí mismo considerado, cuando tal indeterminación sea insuperable, es decir, si no es posible establecer el sentido de las disposiciones que los consagran, de conformida</w:t>
      </w:r>
      <w:r w:rsidRPr="005D08AD">
        <w:rPr>
          <w:rFonts w:ascii="Times New Roman" w:hAnsi="Times New Roman" w:cs="Times New Roman"/>
          <w:color w:val="000000" w:themeColor="text1"/>
          <w:kern w:val="32"/>
          <w:szCs w:val="28"/>
          <w:lang w:val="es-MX" w:eastAsia="es-ES"/>
        </w:rPr>
        <w:t xml:space="preserve">d con las pautas y cánones generales de interpretación jurídica. Bajo esta regla, el problema constitucional se presenta en aquellos supuestos en los cuales la indeterminación sobre el alcance de los elementos esenciales </w:t>
      </w:r>
      <w:r w:rsidRPr="005D08AD">
        <w:rPr>
          <w:rFonts w:ascii="Times New Roman" w:hAnsi="Times New Roman" w:cs="Times New Roman"/>
          <w:color w:val="000000" w:themeColor="text1"/>
          <w:kern w:val="32"/>
          <w:szCs w:val="28"/>
          <w:lang w:val="es-CO" w:eastAsia="es-ES"/>
        </w:rPr>
        <w:t>se </w:t>
      </w:r>
      <w:r w:rsidRPr="005D08AD">
        <w:rPr>
          <w:rFonts w:ascii="Times New Roman" w:hAnsi="Times New Roman" w:cs="Times New Roman"/>
          <w:color w:val="000000" w:themeColor="text1"/>
          <w:kern w:val="32"/>
          <w:szCs w:val="28"/>
          <w:lang w:val="es-MX" w:eastAsia="es-ES"/>
        </w:rPr>
        <w:t>torna por completo irresoluble.</w:t>
      </w:r>
    </w:p>
    <w:p w:rsidR="00FF092D" w:rsidRPr="005D08AD" w:rsidRDefault="005D08AD" w:rsidP="00FF092D">
      <w:pPr>
        <w:pStyle w:val="Prrafodelista"/>
        <w:tabs>
          <w:tab w:val="left" w:pos="567"/>
          <w:tab w:val="left" w:pos="4678"/>
        </w:tabs>
        <w:suppressAutoHyphens/>
        <w:overflowPunct w:val="0"/>
        <w:autoSpaceDE w:val="0"/>
        <w:autoSpaceDN w:val="0"/>
        <w:adjustRightInd w:val="0"/>
        <w:spacing w:after="0" w:line="240" w:lineRule="auto"/>
        <w:ind w:left="0" w:right="51"/>
        <w:jc w:val="both"/>
        <w:rPr>
          <w:rFonts w:ascii="Times New Roman" w:hAnsi="Times New Roman" w:cs="Times New Roman"/>
          <w:color w:val="000000" w:themeColor="text1"/>
          <w:kern w:val="32"/>
          <w:szCs w:val="28"/>
          <w:lang w:val="es-MX" w:eastAsia="es-ES"/>
        </w:rPr>
      </w:pPr>
    </w:p>
    <w:p w:rsidR="00FF092D" w:rsidRPr="005D08AD" w:rsidRDefault="005D08AD" w:rsidP="00A06FB5">
      <w:pPr>
        <w:pStyle w:val="Prrafodelista"/>
        <w:numPr>
          <w:ilvl w:val="0"/>
          <w:numId w:val="9"/>
        </w:numPr>
        <w:tabs>
          <w:tab w:val="left" w:pos="567"/>
          <w:tab w:val="left" w:pos="4678"/>
        </w:tabs>
        <w:suppressAutoHyphens/>
        <w:overflowPunct w:val="0"/>
        <w:autoSpaceDE w:val="0"/>
        <w:autoSpaceDN w:val="0"/>
        <w:adjustRightInd w:val="0"/>
        <w:spacing w:after="0" w:line="240" w:lineRule="auto"/>
        <w:ind w:left="0" w:right="51" w:firstLine="0"/>
        <w:jc w:val="both"/>
        <w:rPr>
          <w:rFonts w:ascii="Times New Roman" w:hAnsi="Times New Roman" w:cs="Times New Roman"/>
          <w:color w:val="000000" w:themeColor="text1"/>
          <w:kern w:val="32"/>
          <w:szCs w:val="28"/>
          <w:lang w:val="es-MX" w:eastAsia="es-ES"/>
        </w:rPr>
      </w:pPr>
      <w:r w:rsidRPr="005D08AD">
        <w:rPr>
          <w:rFonts w:ascii="Times New Roman" w:hAnsi="Times New Roman" w:cs="Times New Roman"/>
          <w:color w:val="000000" w:themeColor="text1"/>
          <w:kern w:val="32"/>
          <w:szCs w:val="28"/>
          <w:lang w:val="es-MX" w:eastAsia="es-ES"/>
        </w:rPr>
        <w:t>En el asunto bajo examen, la solución que incorpora la sentencia frente al problema planteado es realmente compleja, por cuanto señala que el hecho</w:t>
      </w:r>
      <w:r w:rsidRPr="005D08AD">
        <w:rPr>
          <w:rFonts w:ascii="Times New Roman" w:hAnsi="Times New Roman" w:cs="Times New Roman"/>
          <w:color w:val="000000" w:themeColor="text1"/>
          <w:kern w:val="32"/>
          <w:szCs w:val="28"/>
          <w:lang w:val="es-MX" w:eastAsia="es-ES"/>
        </w:rPr>
        <w:t xml:space="preserve"> generador</w:t>
      </w:r>
      <w:r w:rsidRPr="005D08AD">
        <w:rPr>
          <w:rFonts w:ascii="Times New Roman" w:hAnsi="Times New Roman" w:cs="Times New Roman"/>
          <w:color w:val="000000" w:themeColor="text1"/>
          <w:kern w:val="32"/>
          <w:szCs w:val="28"/>
          <w:lang w:val="es-MX" w:eastAsia="es-ES"/>
        </w:rPr>
        <w:t xml:space="preserve"> del impuesto a las municiones y explosivos corresponde a </w:t>
      </w:r>
      <w:r w:rsidRPr="005D08AD">
        <w:rPr>
          <w:rFonts w:ascii="Times New Roman" w:hAnsi="Times New Roman" w:cs="Times New Roman"/>
          <w:color w:val="000000" w:themeColor="text1"/>
          <w:kern w:val="32"/>
          <w:szCs w:val="28"/>
          <w:lang w:val="es-MX" w:eastAsia="es-ES"/>
        </w:rPr>
        <w:t xml:space="preserve">la </w:t>
      </w:r>
      <w:r w:rsidRPr="005D08AD">
        <w:rPr>
          <w:rFonts w:ascii="Times New Roman" w:hAnsi="Times New Roman" w:cs="Times New Roman"/>
          <w:color w:val="000000" w:themeColor="text1"/>
          <w:kern w:val="32"/>
          <w:szCs w:val="28"/>
          <w:lang w:val="es-MX" w:eastAsia="es-ES"/>
        </w:rPr>
        <w:t>“</w:t>
      </w:r>
      <w:r w:rsidRPr="005D08AD">
        <w:rPr>
          <w:rFonts w:ascii="Times New Roman" w:hAnsi="Times New Roman" w:cs="Times New Roman"/>
          <w:b/>
          <w:bCs/>
          <w:color w:val="000000" w:themeColor="text1"/>
          <w:kern w:val="32"/>
          <w:szCs w:val="28"/>
          <w:lang w:val="es-MX" w:eastAsia="es-ES"/>
        </w:rPr>
        <w:t>compra</w:t>
      </w:r>
      <w:r w:rsidRPr="005D08AD">
        <w:rPr>
          <w:rFonts w:ascii="Times New Roman" w:hAnsi="Times New Roman" w:cs="Times New Roman"/>
          <w:color w:val="000000" w:themeColor="text1"/>
          <w:kern w:val="32"/>
          <w:szCs w:val="28"/>
          <w:lang w:val="es-MX" w:eastAsia="es-ES"/>
        </w:rPr>
        <w:t>”</w:t>
      </w:r>
      <w:r w:rsidRPr="005D08AD">
        <w:rPr>
          <w:rFonts w:ascii="Times New Roman" w:hAnsi="Times New Roman" w:cs="Times New Roman"/>
          <w:color w:val="000000" w:themeColor="text1"/>
          <w:kern w:val="32"/>
          <w:szCs w:val="28"/>
          <w:lang w:val="es-MX" w:eastAsia="es-ES"/>
        </w:rPr>
        <w:t xml:space="preserve"> autorizada </w:t>
      </w:r>
      <w:r w:rsidRPr="005D08AD">
        <w:rPr>
          <w:rFonts w:ascii="Times New Roman" w:hAnsi="Times New Roman" w:cs="Times New Roman"/>
          <w:color w:val="000000" w:themeColor="text1"/>
          <w:kern w:val="32"/>
          <w:szCs w:val="28"/>
          <w:lang w:val="es-MX" w:eastAsia="es-ES"/>
        </w:rPr>
        <w:t xml:space="preserve">de tales </w:t>
      </w:r>
      <w:r w:rsidRPr="005D08AD">
        <w:rPr>
          <w:rFonts w:ascii="Times New Roman" w:hAnsi="Times New Roman" w:cs="Times New Roman"/>
          <w:color w:val="000000" w:themeColor="text1"/>
          <w:kern w:val="32"/>
          <w:szCs w:val="28"/>
          <w:lang w:val="es-MX" w:eastAsia="es-ES"/>
        </w:rPr>
        <w:t>elementos. Esta interpretación, que se deriva básicamente del Decreto Ley 2535 de 1993, es cuestionable por tres razones fundamentales.</w:t>
      </w:r>
    </w:p>
    <w:p w:rsidR="00FF092D" w:rsidRPr="005D08AD" w:rsidRDefault="005D08AD" w:rsidP="00FF092D">
      <w:pPr>
        <w:pStyle w:val="Prrafodelista"/>
        <w:tabs>
          <w:tab w:val="left" w:pos="567"/>
          <w:tab w:val="left" w:pos="4678"/>
        </w:tabs>
        <w:suppressAutoHyphens/>
        <w:overflowPunct w:val="0"/>
        <w:autoSpaceDE w:val="0"/>
        <w:autoSpaceDN w:val="0"/>
        <w:adjustRightInd w:val="0"/>
        <w:spacing w:after="0" w:line="240" w:lineRule="auto"/>
        <w:ind w:left="0" w:right="51"/>
        <w:jc w:val="both"/>
        <w:rPr>
          <w:rFonts w:ascii="Times New Roman" w:hAnsi="Times New Roman" w:cs="Times New Roman"/>
          <w:color w:val="000000" w:themeColor="text1"/>
          <w:kern w:val="32"/>
          <w:szCs w:val="28"/>
          <w:lang w:val="es-MX" w:eastAsia="es-ES"/>
        </w:rPr>
      </w:pPr>
    </w:p>
    <w:p w:rsidR="00FF092D" w:rsidRPr="005D08AD" w:rsidRDefault="005D08AD" w:rsidP="00FF092D">
      <w:pPr>
        <w:pStyle w:val="Prrafodelista"/>
        <w:numPr>
          <w:ilvl w:val="0"/>
          <w:numId w:val="9"/>
        </w:numPr>
        <w:tabs>
          <w:tab w:val="left" w:pos="567"/>
          <w:tab w:val="left" w:pos="4678"/>
        </w:tabs>
        <w:suppressAutoHyphens/>
        <w:overflowPunct w:val="0"/>
        <w:autoSpaceDE w:val="0"/>
        <w:autoSpaceDN w:val="0"/>
        <w:adjustRightInd w:val="0"/>
        <w:spacing w:after="0" w:line="240" w:lineRule="auto"/>
        <w:ind w:left="0" w:right="51" w:firstLine="0"/>
        <w:jc w:val="both"/>
        <w:rPr>
          <w:rFonts w:ascii="Times New Roman" w:hAnsi="Times New Roman" w:cs="Times New Roman"/>
          <w:color w:val="000000" w:themeColor="text1"/>
          <w:kern w:val="32"/>
          <w:szCs w:val="28"/>
          <w:lang w:val="es-MX" w:eastAsia="es-ES"/>
        </w:rPr>
      </w:pPr>
      <w:r w:rsidRPr="005D08AD">
        <w:rPr>
          <w:rFonts w:ascii="Times New Roman" w:hAnsi="Times New Roman" w:cs="Times New Roman"/>
          <w:i/>
          <w:iCs/>
          <w:color w:val="000000" w:themeColor="text1"/>
          <w:kern w:val="32"/>
          <w:szCs w:val="28"/>
          <w:lang w:val="es-MX" w:eastAsia="es-ES"/>
        </w:rPr>
        <w:t>Primero</w:t>
      </w:r>
      <w:r w:rsidRPr="005D08AD">
        <w:rPr>
          <w:rFonts w:ascii="Times New Roman" w:hAnsi="Times New Roman" w:cs="Times New Roman"/>
          <w:color w:val="000000" w:themeColor="text1"/>
          <w:kern w:val="32"/>
          <w:szCs w:val="28"/>
          <w:lang w:val="es-MX" w:eastAsia="es-ES"/>
        </w:rPr>
        <w:t>, la ley no señala a la compraventa autorizada como hecho generador. El artículo 224 de la Ley 100 de 1993, modi</w:t>
      </w:r>
      <w:r w:rsidRPr="005D08AD">
        <w:rPr>
          <w:rFonts w:ascii="Times New Roman" w:hAnsi="Times New Roman" w:cs="Times New Roman"/>
          <w:color w:val="000000" w:themeColor="text1"/>
          <w:kern w:val="32"/>
          <w:szCs w:val="28"/>
          <w:lang w:val="es-MX" w:eastAsia="es-ES"/>
        </w:rPr>
        <w:t>ficado por el artículo 48 de la Ley 1438 de 2011, no grava negocios jurídicos, ni transacciones económicas, tan solo refiere al verbo rector “</w:t>
      </w:r>
      <w:r w:rsidRPr="005D08AD">
        <w:rPr>
          <w:rFonts w:ascii="Times New Roman" w:hAnsi="Times New Roman" w:cs="Times New Roman"/>
          <w:i/>
          <w:iCs/>
          <w:color w:val="000000" w:themeColor="text1"/>
          <w:kern w:val="32"/>
          <w:szCs w:val="28"/>
          <w:lang w:val="es-MX" w:eastAsia="es-ES"/>
        </w:rPr>
        <w:t>portar</w:t>
      </w:r>
      <w:r w:rsidRPr="005D08AD">
        <w:rPr>
          <w:rFonts w:ascii="Times New Roman" w:hAnsi="Times New Roman" w:cs="Times New Roman"/>
          <w:color w:val="000000" w:themeColor="text1"/>
          <w:kern w:val="32"/>
          <w:szCs w:val="28"/>
          <w:lang w:val="es-MX" w:eastAsia="es-ES"/>
        </w:rPr>
        <w:t>”, y al cobro vinculado con la expedición o renovación del respectivo permiso para ello, dentro del impuesto</w:t>
      </w:r>
      <w:r w:rsidRPr="005D08AD">
        <w:rPr>
          <w:rFonts w:ascii="Times New Roman" w:hAnsi="Times New Roman" w:cs="Times New Roman"/>
          <w:color w:val="000000" w:themeColor="text1"/>
          <w:kern w:val="32"/>
          <w:szCs w:val="28"/>
          <w:lang w:val="es-MX" w:eastAsia="es-ES"/>
        </w:rPr>
        <w:t xml:space="preserve"> social a las armas de fuego, el cual fue avalado por la Corte en la sentencia C-390 de 1996. De ahí que, en la norma demandada, simplemente se advierte la referencia a </w:t>
      </w:r>
      <w:r w:rsidRPr="005D08AD">
        <w:rPr>
          <w:rFonts w:ascii="Times New Roman" w:hAnsi="Times New Roman" w:cs="Times New Roman"/>
          <w:i/>
          <w:iCs/>
          <w:color w:val="000000" w:themeColor="text1"/>
          <w:kern w:val="32"/>
          <w:szCs w:val="28"/>
          <w:lang w:val="es-MX" w:eastAsia="es-ES"/>
        </w:rPr>
        <w:t xml:space="preserve">situaciones administrativas que se vinculan </w:t>
      </w:r>
      <w:r w:rsidRPr="005D08AD">
        <w:rPr>
          <w:rFonts w:ascii="Times New Roman" w:hAnsi="Times New Roman" w:cs="Times New Roman"/>
          <w:color w:val="000000" w:themeColor="text1"/>
          <w:kern w:val="32"/>
          <w:szCs w:val="28"/>
          <w:lang w:val="es-MX" w:eastAsia="es-ES"/>
        </w:rPr>
        <w:t>con permisos, y no a contratos de compraven</w:t>
      </w:r>
      <w:r w:rsidRPr="005D08AD">
        <w:rPr>
          <w:rFonts w:ascii="Times New Roman" w:hAnsi="Times New Roman" w:cs="Times New Roman"/>
          <w:color w:val="000000" w:themeColor="text1"/>
          <w:kern w:val="32"/>
          <w:szCs w:val="28"/>
          <w:lang w:val="es-MX" w:eastAsia="es-ES"/>
        </w:rPr>
        <w:t>ta, ni a una operación jurídica determinada con valor económico.</w:t>
      </w:r>
    </w:p>
    <w:p w:rsidR="00FF092D" w:rsidRPr="005D08AD" w:rsidRDefault="005D08AD" w:rsidP="00FF092D">
      <w:pPr>
        <w:pStyle w:val="Prrafodelista"/>
        <w:tabs>
          <w:tab w:val="left" w:pos="567"/>
          <w:tab w:val="left" w:pos="4678"/>
        </w:tabs>
        <w:suppressAutoHyphens/>
        <w:overflowPunct w:val="0"/>
        <w:autoSpaceDE w:val="0"/>
        <w:autoSpaceDN w:val="0"/>
        <w:adjustRightInd w:val="0"/>
        <w:spacing w:after="0" w:line="240" w:lineRule="auto"/>
        <w:ind w:left="0" w:right="51"/>
        <w:jc w:val="both"/>
        <w:rPr>
          <w:rFonts w:ascii="Times New Roman" w:hAnsi="Times New Roman" w:cs="Times New Roman"/>
          <w:color w:val="000000" w:themeColor="text1"/>
          <w:kern w:val="32"/>
          <w:szCs w:val="28"/>
          <w:lang w:val="es-CO" w:eastAsia="es-ES"/>
        </w:rPr>
      </w:pPr>
    </w:p>
    <w:p w:rsidR="00FF092D" w:rsidRPr="005D08AD" w:rsidRDefault="005D08AD" w:rsidP="00FF092D">
      <w:pPr>
        <w:pStyle w:val="Prrafodelista"/>
        <w:numPr>
          <w:ilvl w:val="0"/>
          <w:numId w:val="9"/>
        </w:numPr>
        <w:tabs>
          <w:tab w:val="left" w:pos="567"/>
          <w:tab w:val="left" w:pos="4678"/>
        </w:tabs>
        <w:suppressAutoHyphens/>
        <w:overflowPunct w:val="0"/>
        <w:autoSpaceDE w:val="0"/>
        <w:autoSpaceDN w:val="0"/>
        <w:adjustRightInd w:val="0"/>
        <w:spacing w:after="0" w:line="240" w:lineRule="auto"/>
        <w:ind w:left="0" w:right="51" w:firstLine="0"/>
        <w:jc w:val="both"/>
        <w:rPr>
          <w:rFonts w:ascii="Times New Roman" w:hAnsi="Times New Roman" w:cs="Times New Roman"/>
          <w:color w:val="000000" w:themeColor="text1"/>
          <w:kern w:val="32"/>
          <w:szCs w:val="28"/>
          <w:lang w:val="es-MX" w:eastAsia="es-ES"/>
        </w:rPr>
      </w:pPr>
      <w:r w:rsidRPr="005D08AD">
        <w:rPr>
          <w:rFonts w:ascii="Times New Roman" w:hAnsi="Times New Roman" w:cs="Times New Roman"/>
          <w:i/>
          <w:iCs/>
          <w:color w:val="000000" w:themeColor="text1"/>
          <w:kern w:val="32"/>
          <w:szCs w:val="28"/>
          <w:lang w:val="es-MX" w:eastAsia="es-ES"/>
        </w:rPr>
        <w:t>Segundo</w:t>
      </w:r>
      <w:r w:rsidRPr="005D08AD">
        <w:rPr>
          <w:rFonts w:ascii="Times New Roman" w:hAnsi="Times New Roman" w:cs="Times New Roman"/>
          <w:color w:val="000000" w:themeColor="text1"/>
          <w:kern w:val="32"/>
          <w:szCs w:val="28"/>
          <w:lang w:val="es-MX" w:eastAsia="es-ES"/>
        </w:rPr>
        <w:t xml:space="preserve">, la tesis de la compraventa proviene de una hermenéutica que ha sido acogida por la DIAN, pero que no se encuentra prevista por el legislador. Para llegar a ella, la sentencia se </w:t>
      </w:r>
      <w:r w:rsidRPr="005D08AD">
        <w:rPr>
          <w:rFonts w:ascii="Times New Roman" w:hAnsi="Times New Roman" w:cs="Times New Roman"/>
          <w:color w:val="000000" w:themeColor="text1"/>
          <w:kern w:val="32"/>
          <w:szCs w:val="28"/>
          <w:lang w:val="es-MX" w:eastAsia="es-ES"/>
        </w:rPr>
        <w:t>refiere al monopolio constitucional de las armas, al Decreto Ley 2535 de 1993 y a la lectura conjunta de las expresiones “</w:t>
      </w:r>
      <w:r w:rsidRPr="005D08AD">
        <w:rPr>
          <w:rFonts w:ascii="Times New Roman" w:hAnsi="Times New Roman" w:cs="Times New Roman"/>
          <w:i/>
          <w:iCs/>
          <w:color w:val="000000" w:themeColor="text1"/>
          <w:kern w:val="32"/>
          <w:szCs w:val="28"/>
          <w:lang w:val="es-MX" w:eastAsia="es-ES"/>
        </w:rPr>
        <w:t>ad valorem</w:t>
      </w:r>
      <w:r w:rsidRPr="005D08AD">
        <w:rPr>
          <w:rFonts w:ascii="Times New Roman" w:hAnsi="Times New Roman" w:cs="Times New Roman"/>
          <w:color w:val="000000" w:themeColor="text1"/>
          <w:kern w:val="32"/>
          <w:szCs w:val="28"/>
          <w:lang w:val="es-MX" w:eastAsia="es-ES"/>
        </w:rPr>
        <w:t>” y “</w:t>
      </w:r>
      <w:r w:rsidRPr="005D08AD">
        <w:rPr>
          <w:rFonts w:ascii="Times New Roman" w:hAnsi="Times New Roman" w:cs="Times New Roman"/>
          <w:i/>
          <w:iCs/>
          <w:color w:val="000000" w:themeColor="text1"/>
          <w:kern w:val="32"/>
          <w:szCs w:val="28"/>
          <w:lang w:val="es-MX" w:eastAsia="es-ES"/>
        </w:rPr>
        <w:t>cobrará</w:t>
      </w:r>
      <w:r w:rsidRPr="005D08AD">
        <w:rPr>
          <w:rFonts w:ascii="Times New Roman" w:hAnsi="Times New Roman" w:cs="Times New Roman"/>
          <w:color w:val="000000" w:themeColor="text1"/>
          <w:kern w:val="32"/>
          <w:szCs w:val="28"/>
          <w:lang w:val="es-MX" w:eastAsia="es-ES"/>
        </w:rPr>
        <w:t xml:space="preserve">” contenidas en la disposición demandada. Nótese que (i) el artículo 223 de </w:t>
      </w:r>
      <w:r w:rsidRPr="005D08AD">
        <w:rPr>
          <w:rFonts w:ascii="Times New Roman" w:hAnsi="Times New Roman" w:cs="Times New Roman"/>
          <w:color w:val="000000" w:themeColor="text1"/>
          <w:kern w:val="32"/>
          <w:szCs w:val="28"/>
          <w:lang w:val="es-MX" w:eastAsia="es-ES"/>
        </w:rPr>
        <w:t xml:space="preserve">la Carta, que consagra el monopolio </w:t>
      </w:r>
      <w:r w:rsidRPr="005D08AD">
        <w:rPr>
          <w:rFonts w:ascii="Times New Roman" w:hAnsi="Times New Roman" w:cs="Times New Roman"/>
          <w:color w:val="000000" w:themeColor="text1"/>
          <w:kern w:val="32"/>
          <w:szCs w:val="28"/>
          <w:lang w:val="es-MX" w:eastAsia="es-ES"/>
        </w:rPr>
        <w:t>en mención, no incorpora ningún mandato de carácter fiscal que pueda servir de base para la determinación de un impuesto, y allí ni siquiera aparece la figura de la compraventa; y (ii) las expresiones reseñadas tienen un rol distinto, la primera, al referi</w:t>
      </w:r>
      <w:r w:rsidRPr="005D08AD">
        <w:rPr>
          <w:rFonts w:ascii="Times New Roman" w:hAnsi="Times New Roman" w:cs="Times New Roman"/>
          <w:color w:val="000000" w:themeColor="text1"/>
          <w:kern w:val="32"/>
          <w:szCs w:val="28"/>
          <w:lang w:val="es-MX" w:eastAsia="es-ES"/>
        </w:rPr>
        <w:t>r al precio de un bien (</w:t>
      </w:r>
      <w:r w:rsidRPr="005D08AD">
        <w:rPr>
          <w:rFonts w:ascii="Times New Roman" w:hAnsi="Times New Roman" w:cs="Times New Roman"/>
          <w:i/>
          <w:iCs/>
          <w:color w:val="000000" w:themeColor="text1"/>
          <w:kern w:val="32"/>
          <w:szCs w:val="28"/>
          <w:lang w:val="es-MX" w:eastAsia="es-ES"/>
        </w:rPr>
        <w:t>ad valorem</w:t>
      </w:r>
      <w:r w:rsidRPr="005D08AD">
        <w:rPr>
          <w:rFonts w:ascii="Times New Roman" w:hAnsi="Times New Roman" w:cs="Times New Roman"/>
          <w:color w:val="000000" w:themeColor="text1"/>
          <w:kern w:val="32"/>
          <w:szCs w:val="28"/>
          <w:lang w:val="es-MX" w:eastAsia="es-ES"/>
        </w:rPr>
        <w:t>), se relaciona con la base gravable, y la segunda, al determinar la exigibilidad del cobro, simplemente reitera el carácter obligatorio de los tributos.</w:t>
      </w:r>
    </w:p>
    <w:p w:rsidR="00FF092D" w:rsidRPr="005D08AD" w:rsidRDefault="005D08AD" w:rsidP="00FF092D">
      <w:pPr>
        <w:pStyle w:val="Prrafodelista"/>
        <w:tabs>
          <w:tab w:val="left" w:pos="567"/>
          <w:tab w:val="left" w:pos="4678"/>
        </w:tabs>
        <w:suppressAutoHyphens/>
        <w:overflowPunct w:val="0"/>
        <w:autoSpaceDE w:val="0"/>
        <w:autoSpaceDN w:val="0"/>
        <w:adjustRightInd w:val="0"/>
        <w:spacing w:after="0" w:line="240" w:lineRule="auto"/>
        <w:ind w:left="0" w:right="51"/>
        <w:jc w:val="both"/>
        <w:rPr>
          <w:rFonts w:ascii="Times New Roman" w:hAnsi="Times New Roman" w:cs="Times New Roman"/>
          <w:color w:val="000000" w:themeColor="text1"/>
          <w:kern w:val="32"/>
          <w:szCs w:val="28"/>
          <w:lang w:val="es-MX" w:eastAsia="es-ES"/>
        </w:rPr>
      </w:pPr>
    </w:p>
    <w:p w:rsidR="00FF092D" w:rsidRPr="005D08AD" w:rsidRDefault="005D08AD" w:rsidP="00FF092D">
      <w:pPr>
        <w:pStyle w:val="Prrafodelista"/>
        <w:numPr>
          <w:ilvl w:val="0"/>
          <w:numId w:val="9"/>
        </w:numPr>
        <w:tabs>
          <w:tab w:val="left" w:pos="567"/>
          <w:tab w:val="left" w:pos="4678"/>
        </w:tabs>
        <w:suppressAutoHyphens/>
        <w:overflowPunct w:val="0"/>
        <w:autoSpaceDE w:val="0"/>
        <w:autoSpaceDN w:val="0"/>
        <w:adjustRightInd w:val="0"/>
        <w:spacing w:after="0" w:line="240" w:lineRule="auto"/>
        <w:ind w:left="0" w:right="51" w:firstLine="0"/>
        <w:jc w:val="both"/>
        <w:rPr>
          <w:rFonts w:ascii="Times New Roman" w:hAnsi="Times New Roman" w:cs="Times New Roman"/>
          <w:color w:val="000000" w:themeColor="text1"/>
          <w:kern w:val="32"/>
          <w:szCs w:val="28"/>
          <w:lang w:val="es-CO" w:eastAsia="es-ES"/>
        </w:rPr>
      </w:pPr>
      <w:r w:rsidRPr="005D08AD">
        <w:rPr>
          <w:rFonts w:ascii="Times New Roman" w:hAnsi="Times New Roman" w:cs="Times New Roman"/>
          <w:color w:val="000000" w:themeColor="text1"/>
          <w:kern w:val="32"/>
          <w:szCs w:val="28"/>
          <w:lang w:val="es-MX" w:eastAsia="es-ES"/>
        </w:rPr>
        <w:t>En este orden de ideas,</w:t>
      </w:r>
      <w:r w:rsidRPr="005D08AD">
        <w:rPr>
          <w:rFonts w:ascii="Times New Roman" w:hAnsi="Times New Roman" w:cs="Times New Roman"/>
          <w:color w:val="000000" w:themeColor="text1"/>
          <w:kern w:val="32"/>
          <w:szCs w:val="28"/>
          <w:lang w:val="es-MX" w:eastAsia="es-ES"/>
        </w:rPr>
        <w:t xml:space="preserve"> (iii)</w:t>
      </w:r>
      <w:r w:rsidRPr="005D08AD">
        <w:rPr>
          <w:rFonts w:ascii="Times New Roman" w:hAnsi="Times New Roman" w:cs="Times New Roman"/>
          <w:color w:val="000000" w:themeColor="text1"/>
          <w:kern w:val="32"/>
          <w:szCs w:val="28"/>
          <w:lang w:val="es-MX" w:eastAsia="es-ES"/>
        </w:rPr>
        <w:t xml:space="preserve"> la sentencia realmente asume a la compraventa, a partir de la regulación </w:t>
      </w:r>
      <w:r w:rsidRPr="005D08AD">
        <w:rPr>
          <w:rFonts w:ascii="Times New Roman" w:hAnsi="Times New Roman" w:cs="Times New Roman"/>
          <w:i/>
          <w:iCs/>
          <w:color w:val="000000" w:themeColor="text1"/>
          <w:kern w:val="32"/>
          <w:szCs w:val="28"/>
          <w:lang w:val="es-MX" w:eastAsia="es-ES"/>
        </w:rPr>
        <w:t>exclusiva</w:t>
      </w:r>
      <w:r w:rsidRPr="005D08AD">
        <w:rPr>
          <w:rFonts w:ascii="Times New Roman" w:hAnsi="Times New Roman" w:cs="Times New Roman"/>
          <w:color w:val="000000" w:themeColor="text1"/>
          <w:kern w:val="32"/>
          <w:szCs w:val="28"/>
          <w:lang w:val="es-MX" w:eastAsia="es-ES"/>
        </w:rPr>
        <w:t xml:space="preserve"> del Decreto Ley 2535 de 1993, como la base para señalar que, acudiendo a las pautas generales de interpretación sistemática, es posible identificar el hecho gravable del im</w:t>
      </w:r>
      <w:r w:rsidRPr="005D08AD">
        <w:rPr>
          <w:rFonts w:ascii="Times New Roman" w:hAnsi="Times New Roman" w:cs="Times New Roman"/>
          <w:color w:val="000000" w:themeColor="text1"/>
          <w:kern w:val="32"/>
          <w:szCs w:val="28"/>
          <w:lang w:val="es-MX" w:eastAsia="es-ES"/>
        </w:rPr>
        <w:t>puesto social a las municiones y explosivos. Sin embargo, el citado decreto no solo no consagra a la citada figura jurídica, como única alternativa que podría llegar a realizarse sobre dichos elementos, sino que en él también se regulan los permisos de </w:t>
      </w:r>
      <w:r w:rsidRPr="005D08AD">
        <w:rPr>
          <w:rFonts w:ascii="Times New Roman" w:hAnsi="Times New Roman" w:cs="Times New Roman"/>
          <w:i/>
          <w:iCs/>
          <w:color w:val="000000" w:themeColor="text1"/>
          <w:kern w:val="32"/>
          <w:szCs w:val="28"/>
          <w:lang w:val="es-MX" w:eastAsia="es-ES"/>
        </w:rPr>
        <w:t>fab</w:t>
      </w:r>
      <w:r w:rsidRPr="005D08AD">
        <w:rPr>
          <w:rFonts w:ascii="Times New Roman" w:hAnsi="Times New Roman" w:cs="Times New Roman"/>
          <w:i/>
          <w:iCs/>
          <w:color w:val="000000" w:themeColor="text1"/>
          <w:kern w:val="32"/>
          <w:szCs w:val="28"/>
          <w:lang w:val="es-MX" w:eastAsia="es-ES"/>
        </w:rPr>
        <w:t>ricación, venta, transporte, almacenamiento y uso</w:t>
      </w:r>
      <w:r w:rsidRPr="005D08AD">
        <w:rPr>
          <w:rFonts w:ascii="Times New Roman" w:hAnsi="Times New Roman" w:cs="Times New Roman"/>
          <w:color w:val="000000" w:themeColor="text1"/>
          <w:kern w:val="32"/>
          <w:szCs w:val="28"/>
          <w:lang w:val="es-MX" w:eastAsia="es-ES"/>
        </w:rPr>
        <w:t>, e incluso, se establece la posibilidad de provocar su </w:t>
      </w:r>
      <w:r w:rsidRPr="005D08AD">
        <w:rPr>
          <w:rFonts w:ascii="Times New Roman" w:hAnsi="Times New Roman" w:cs="Times New Roman"/>
          <w:i/>
          <w:iCs/>
          <w:color w:val="000000" w:themeColor="text1"/>
          <w:kern w:val="32"/>
          <w:szCs w:val="28"/>
          <w:lang w:val="es-MX" w:eastAsia="es-ES"/>
        </w:rPr>
        <w:t>importación</w:t>
      </w:r>
      <w:r w:rsidRPr="005D08AD">
        <w:rPr>
          <w:rFonts w:ascii="Times New Roman" w:hAnsi="Times New Roman" w:cs="Times New Roman"/>
          <w:color w:val="000000" w:themeColor="text1"/>
          <w:kern w:val="32"/>
          <w:szCs w:val="28"/>
          <w:lang w:val="es-MX" w:eastAsia="es-ES"/>
        </w:rPr>
        <w:t> (artículos 48, 49, 50, 51, 52, 55, 56 y 57).</w:t>
      </w:r>
      <w:r w:rsidRPr="005D08AD">
        <w:rPr>
          <w:rFonts w:ascii="Times New Roman" w:hAnsi="Times New Roman" w:cs="Times New Roman"/>
          <w:color w:val="000000" w:themeColor="text1"/>
          <w:kern w:val="32"/>
          <w:szCs w:val="28"/>
          <w:lang w:val="es-CO" w:eastAsia="es-ES"/>
        </w:rPr>
        <w:t> </w:t>
      </w:r>
    </w:p>
    <w:p w:rsidR="00FF092D" w:rsidRPr="005D08AD" w:rsidRDefault="005D08AD" w:rsidP="00FF092D">
      <w:pPr>
        <w:pStyle w:val="Prrafodelista"/>
        <w:tabs>
          <w:tab w:val="left" w:pos="567"/>
          <w:tab w:val="left" w:pos="4678"/>
        </w:tabs>
        <w:suppressAutoHyphens/>
        <w:overflowPunct w:val="0"/>
        <w:autoSpaceDE w:val="0"/>
        <w:autoSpaceDN w:val="0"/>
        <w:adjustRightInd w:val="0"/>
        <w:spacing w:after="0" w:line="240" w:lineRule="auto"/>
        <w:ind w:left="0" w:right="51"/>
        <w:jc w:val="both"/>
        <w:rPr>
          <w:rFonts w:ascii="Times New Roman" w:hAnsi="Times New Roman" w:cs="Times New Roman"/>
          <w:color w:val="000000" w:themeColor="text1"/>
          <w:kern w:val="32"/>
          <w:szCs w:val="28"/>
          <w:lang w:val="es-CO" w:eastAsia="es-ES"/>
        </w:rPr>
      </w:pPr>
    </w:p>
    <w:p w:rsidR="00FF092D" w:rsidRPr="005D08AD" w:rsidRDefault="005D08AD" w:rsidP="00FF092D">
      <w:pPr>
        <w:pStyle w:val="Prrafodelista"/>
        <w:numPr>
          <w:ilvl w:val="0"/>
          <w:numId w:val="9"/>
        </w:numPr>
        <w:tabs>
          <w:tab w:val="left" w:pos="567"/>
          <w:tab w:val="left" w:pos="4678"/>
        </w:tabs>
        <w:suppressAutoHyphens/>
        <w:overflowPunct w:val="0"/>
        <w:autoSpaceDE w:val="0"/>
        <w:autoSpaceDN w:val="0"/>
        <w:adjustRightInd w:val="0"/>
        <w:spacing w:after="0" w:line="240" w:lineRule="auto"/>
        <w:ind w:left="0" w:right="51" w:firstLine="0"/>
        <w:jc w:val="both"/>
        <w:rPr>
          <w:rFonts w:ascii="Times New Roman" w:hAnsi="Times New Roman" w:cs="Times New Roman"/>
          <w:color w:val="000000" w:themeColor="text1"/>
          <w:kern w:val="32"/>
          <w:szCs w:val="28"/>
          <w:lang w:val="es-CO" w:eastAsia="es-ES"/>
        </w:rPr>
      </w:pPr>
      <w:r w:rsidRPr="005D08AD">
        <w:rPr>
          <w:rFonts w:ascii="Times New Roman" w:hAnsi="Times New Roman" w:cs="Times New Roman"/>
          <w:color w:val="000000" w:themeColor="text1"/>
          <w:kern w:val="32"/>
          <w:szCs w:val="28"/>
          <w:lang w:val="es-MX" w:eastAsia="es-ES"/>
        </w:rPr>
        <w:t>Resulta entonces un verdadero contrasentido afirmar que el hecho generador es “</w:t>
      </w:r>
      <w:r w:rsidRPr="005D08AD">
        <w:rPr>
          <w:rFonts w:ascii="Times New Roman" w:hAnsi="Times New Roman" w:cs="Times New Roman"/>
          <w:i/>
          <w:iCs/>
          <w:color w:val="000000" w:themeColor="text1"/>
          <w:kern w:val="32"/>
          <w:szCs w:val="28"/>
          <w:lang w:val="es-MX" w:eastAsia="es-ES"/>
        </w:rPr>
        <w:t>determinable</w:t>
      </w:r>
      <w:r w:rsidRPr="005D08AD">
        <w:rPr>
          <w:rFonts w:ascii="Times New Roman" w:hAnsi="Times New Roman" w:cs="Times New Roman"/>
          <w:color w:val="000000" w:themeColor="text1"/>
          <w:kern w:val="32"/>
          <w:szCs w:val="28"/>
          <w:lang w:val="es-MX" w:eastAsia="es-ES"/>
        </w:rPr>
        <w:t>”</w:t>
      </w:r>
      <w:r w:rsidRPr="005D08AD">
        <w:rPr>
          <w:rFonts w:ascii="Times New Roman" w:hAnsi="Times New Roman" w:cs="Times New Roman"/>
          <w:color w:val="000000" w:themeColor="text1"/>
          <w:kern w:val="32"/>
          <w:szCs w:val="28"/>
          <w:lang w:val="es-MX" w:eastAsia="es-ES"/>
        </w:rPr>
        <w:t>, cuando no puede inferirse razonablemente del texto de la ley, y solo puede reconstruirse a partir de una norma distinta y de desarrollo de figuras de naturaleza administrativa, las cuales no solo refieren a la compraventa, sino a una multiplicidad de act</w:t>
      </w:r>
      <w:r w:rsidRPr="005D08AD">
        <w:rPr>
          <w:rFonts w:ascii="Times New Roman" w:hAnsi="Times New Roman" w:cs="Times New Roman"/>
          <w:color w:val="000000" w:themeColor="text1"/>
          <w:kern w:val="32"/>
          <w:szCs w:val="28"/>
          <w:lang w:val="es-MX" w:eastAsia="es-ES"/>
        </w:rPr>
        <w:t xml:space="preserve">os que descartan la existencia de una única interpretación. </w:t>
      </w:r>
    </w:p>
    <w:p w:rsidR="00FF092D" w:rsidRPr="005D08AD" w:rsidRDefault="005D08AD" w:rsidP="00FF092D">
      <w:pPr>
        <w:pStyle w:val="Prrafodelista"/>
        <w:tabs>
          <w:tab w:val="left" w:pos="567"/>
          <w:tab w:val="left" w:pos="4678"/>
        </w:tabs>
        <w:suppressAutoHyphens/>
        <w:overflowPunct w:val="0"/>
        <w:autoSpaceDE w:val="0"/>
        <w:autoSpaceDN w:val="0"/>
        <w:adjustRightInd w:val="0"/>
        <w:spacing w:after="0" w:line="240" w:lineRule="auto"/>
        <w:ind w:left="0" w:right="51"/>
        <w:jc w:val="both"/>
        <w:rPr>
          <w:rFonts w:ascii="Times New Roman" w:hAnsi="Times New Roman" w:cs="Times New Roman"/>
          <w:color w:val="000000" w:themeColor="text1"/>
          <w:kern w:val="32"/>
          <w:szCs w:val="28"/>
          <w:lang w:val="es-CO" w:eastAsia="es-ES"/>
        </w:rPr>
      </w:pPr>
    </w:p>
    <w:p w:rsidR="00FF092D" w:rsidRPr="005D08AD" w:rsidRDefault="005D08AD" w:rsidP="00FF092D">
      <w:pPr>
        <w:pStyle w:val="Prrafodelista"/>
        <w:numPr>
          <w:ilvl w:val="0"/>
          <w:numId w:val="9"/>
        </w:numPr>
        <w:tabs>
          <w:tab w:val="left" w:pos="567"/>
          <w:tab w:val="left" w:pos="4678"/>
        </w:tabs>
        <w:suppressAutoHyphens/>
        <w:overflowPunct w:val="0"/>
        <w:autoSpaceDE w:val="0"/>
        <w:autoSpaceDN w:val="0"/>
        <w:adjustRightInd w:val="0"/>
        <w:spacing w:after="0" w:line="240" w:lineRule="auto"/>
        <w:ind w:left="0" w:right="51" w:firstLine="0"/>
        <w:jc w:val="both"/>
        <w:rPr>
          <w:rFonts w:ascii="Times New Roman" w:hAnsi="Times New Roman" w:cs="Times New Roman"/>
          <w:color w:val="000000" w:themeColor="text1"/>
          <w:kern w:val="32"/>
          <w:szCs w:val="28"/>
          <w:lang w:val="es-CO" w:eastAsia="es-ES"/>
        </w:rPr>
      </w:pPr>
      <w:r w:rsidRPr="005D08AD">
        <w:rPr>
          <w:rFonts w:ascii="Times New Roman" w:hAnsi="Times New Roman" w:cs="Times New Roman"/>
          <w:color w:val="000000" w:themeColor="text1"/>
          <w:kern w:val="32"/>
          <w:szCs w:val="28"/>
          <w:lang w:val="es-MX" w:eastAsia="es-ES"/>
        </w:rPr>
        <w:t xml:space="preserve">Desde la perspectiva constitucional, el ejercicio interpretativo realizado en el fallo no llena el vacío que se demanda, sino que confirma su existencia. En efecto, el principio de legalidad </w:t>
      </w:r>
      <w:r w:rsidRPr="005D08AD">
        <w:rPr>
          <w:rFonts w:ascii="Times New Roman" w:hAnsi="Times New Roman" w:cs="Times New Roman"/>
          <w:color w:val="000000" w:themeColor="text1"/>
          <w:kern w:val="32"/>
          <w:szCs w:val="28"/>
          <w:lang w:val="es-MX" w:eastAsia="es-ES"/>
        </w:rPr>
        <w:t>tributaria exige que los elementos esenciales del tributo se encuentren definidos o sean determinables a partir de la ley misma, sin que sea posible desplazar esa carga normativa con el uso de otros instrumentos que, lejos de servir para brindar claridad y</w:t>
      </w:r>
      <w:r w:rsidRPr="005D08AD">
        <w:rPr>
          <w:rFonts w:ascii="Times New Roman" w:hAnsi="Times New Roman" w:cs="Times New Roman"/>
          <w:color w:val="000000" w:themeColor="text1"/>
          <w:kern w:val="32"/>
          <w:szCs w:val="28"/>
          <w:lang w:val="es-MX" w:eastAsia="es-ES"/>
        </w:rPr>
        <w:t xml:space="preserve"> certeza sobre el tributo, lo que hacen es resaltar la existencia de un </w:t>
      </w:r>
      <w:r w:rsidRPr="005D08AD">
        <w:rPr>
          <w:rFonts w:ascii="Times New Roman" w:hAnsi="Times New Roman" w:cs="Times New Roman"/>
          <w:i/>
          <w:iCs/>
          <w:color w:val="000000" w:themeColor="text1"/>
          <w:kern w:val="32"/>
          <w:szCs w:val="28"/>
          <w:lang w:val="es-MX" w:eastAsia="es-ES"/>
        </w:rPr>
        <w:t>vacío insuperable</w:t>
      </w:r>
      <w:r w:rsidRPr="005D08AD">
        <w:rPr>
          <w:rFonts w:ascii="Times New Roman" w:hAnsi="Times New Roman" w:cs="Times New Roman"/>
          <w:color w:val="000000" w:themeColor="text1"/>
          <w:kern w:val="32"/>
          <w:szCs w:val="28"/>
          <w:lang w:val="es-MX" w:eastAsia="es-ES"/>
        </w:rPr>
        <w:t>. </w:t>
      </w:r>
      <w:r w:rsidRPr="005D08AD">
        <w:rPr>
          <w:rFonts w:ascii="Times New Roman" w:hAnsi="Times New Roman" w:cs="Times New Roman"/>
          <w:color w:val="000000" w:themeColor="text1"/>
          <w:kern w:val="32"/>
          <w:szCs w:val="28"/>
          <w:lang w:val="es-CO" w:eastAsia="es-ES"/>
        </w:rPr>
        <w:t> </w:t>
      </w:r>
    </w:p>
    <w:p w:rsidR="00FF092D" w:rsidRPr="005D08AD" w:rsidRDefault="005D08AD" w:rsidP="00FF092D">
      <w:pPr>
        <w:pStyle w:val="Prrafodelista"/>
        <w:tabs>
          <w:tab w:val="left" w:pos="567"/>
          <w:tab w:val="left" w:pos="4678"/>
        </w:tabs>
        <w:suppressAutoHyphens/>
        <w:overflowPunct w:val="0"/>
        <w:autoSpaceDE w:val="0"/>
        <w:autoSpaceDN w:val="0"/>
        <w:adjustRightInd w:val="0"/>
        <w:spacing w:after="0" w:line="240" w:lineRule="auto"/>
        <w:ind w:left="0" w:right="51"/>
        <w:jc w:val="both"/>
        <w:rPr>
          <w:rFonts w:ascii="Times New Roman" w:hAnsi="Times New Roman" w:cs="Times New Roman"/>
          <w:color w:val="000000" w:themeColor="text1"/>
          <w:kern w:val="32"/>
          <w:szCs w:val="28"/>
          <w:lang w:val="es-CO" w:eastAsia="es-ES"/>
        </w:rPr>
      </w:pPr>
    </w:p>
    <w:p w:rsidR="00FF092D" w:rsidRPr="005D08AD" w:rsidRDefault="005D08AD" w:rsidP="00FF092D">
      <w:pPr>
        <w:pStyle w:val="Prrafodelista"/>
        <w:numPr>
          <w:ilvl w:val="0"/>
          <w:numId w:val="9"/>
        </w:numPr>
        <w:tabs>
          <w:tab w:val="left" w:pos="567"/>
          <w:tab w:val="left" w:pos="4678"/>
        </w:tabs>
        <w:suppressAutoHyphens/>
        <w:overflowPunct w:val="0"/>
        <w:autoSpaceDE w:val="0"/>
        <w:autoSpaceDN w:val="0"/>
        <w:adjustRightInd w:val="0"/>
        <w:spacing w:after="0" w:line="240" w:lineRule="auto"/>
        <w:ind w:left="0" w:right="51" w:firstLine="0"/>
        <w:jc w:val="both"/>
        <w:rPr>
          <w:rFonts w:ascii="Times New Roman" w:hAnsi="Times New Roman" w:cs="Times New Roman"/>
          <w:color w:val="000000" w:themeColor="text1"/>
          <w:kern w:val="32"/>
          <w:szCs w:val="28"/>
          <w:lang w:val="es-CO" w:eastAsia="es-ES"/>
        </w:rPr>
      </w:pPr>
      <w:r w:rsidRPr="005D08AD">
        <w:rPr>
          <w:rFonts w:ascii="Times New Roman" w:hAnsi="Times New Roman" w:cs="Times New Roman"/>
          <w:i/>
          <w:iCs/>
          <w:color w:val="000000" w:themeColor="text1"/>
          <w:kern w:val="32"/>
          <w:szCs w:val="28"/>
          <w:lang w:val="es-CO" w:eastAsia="es-ES"/>
        </w:rPr>
        <w:t>Tercero</w:t>
      </w:r>
      <w:r w:rsidRPr="005D08AD">
        <w:rPr>
          <w:rFonts w:ascii="Times New Roman" w:hAnsi="Times New Roman" w:cs="Times New Roman"/>
          <w:color w:val="000000" w:themeColor="text1"/>
          <w:kern w:val="32"/>
          <w:szCs w:val="28"/>
          <w:lang w:val="es-MX" w:eastAsia="es-ES"/>
        </w:rPr>
        <w:t>, la solución adoptada tiene una complejidad adicional vinculada con el tipo de acto al que se recurre para definir el hecho generador, pues, como se menci</w:t>
      </w:r>
      <w:r w:rsidRPr="005D08AD">
        <w:rPr>
          <w:rFonts w:ascii="Times New Roman" w:hAnsi="Times New Roman" w:cs="Times New Roman"/>
          <w:color w:val="000000" w:themeColor="text1"/>
          <w:kern w:val="32"/>
          <w:szCs w:val="28"/>
          <w:lang w:val="es-MX" w:eastAsia="es-ES"/>
        </w:rPr>
        <w:t xml:space="preserve">onó, el sustento lo es el Decreto Ley 2535 de 1993. Tal solución pone a la Corte en un claro escenario </w:t>
      </w:r>
      <w:r w:rsidRPr="005D08AD">
        <w:rPr>
          <w:rFonts w:ascii="Times New Roman" w:hAnsi="Times New Roman" w:cs="Times New Roman"/>
          <w:i/>
          <w:iCs/>
          <w:color w:val="000000" w:themeColor="text1"/>
          <w:kern w:val="32"/>
          <w:szCs w:val="28"/>
          <w:lang w:val="es-MX" w:eastAsia="es-ES"/>
        </w:rPr>
        <w:t xml:space="preserve">de </w:t>
      </w:r>
      <w:r w:rsidRPr="005D08AD">
        <w:rPr>
          <w:rFonts w:ascii="Times New Roman" w:hAnsi="Times New Roman" w:cs="Times New Roman"/>
          <w:b/>
          <w:bCs/>
          <w:i/>
          <w:iCs/>
          <w:color w:val="000000" w:themeColor="text1"/>
          <w:kern w:val="32"/>
          <w:szCs w:val="28"/>
          <w:lang w:val="es-MX" w:eastAsia="es-ES"/>
        </w:rPr>
        <w:t>infracción o violación constitucional</w:t>
      </w:r>
      <w:r w:rsidRPr="005D08AD">
        <w:rPr>
          <w:rFonts w:ascii="Times New Roman" w:hAnsi="Times New Roman" w:cs="Times New Roman"/>
          <w:color w:val="000000" w:themeColor="text1"/>
          <w:kern w:val="32"/>
          <w:szCs w:val="28"/>
          <w:lang w:val="es-MX" w:eastAsia="es-ES"/>
        </w:rPr>
        <w:t xml:space="preserve">, que no generó reparo en la mayoría de la Sala, por cuanto existe </w:t>
      </w:r>
      <w:r w:rsidRPr="005D08AD">
        <w:rPr>
          <w:rFonts w:ascii="Times New Roman" w:hAnsi="Times New Roman" w:cs="Times New Roman"/>
          <w:b/>
          <w:bCs/>
          <w:i/>
          <w:iCs/>
          <w:color w:val="000000" w:themeColor="text1"/>
          <w:kern w:val="32"/>
          <w:szCs w:val="28"/>
          <w:lang w:val="es-MX" w:eastAsia="es-ES"/>
        </w:rPr>
        <w:t>prohibición constitucional</w:t>
      </w:r>
      <w:r w:rsidRPr="005D08AD">
        <w:rPr>
          <w:rFonts w:ascii="Times New Roman" w:hAnsi="Times New Roman" w:cs="Times New Roman"/>
          <w:color w:val="000000" w:themeColor="text1"/>
          <w:kern w:val="32"/>
          <w:szCs w:val="28"/>
          <w:lang w:val="es-MX" w:eastAsia="es-ES"/>
        </w:rPr>
        <w:t xml:space="preserve"> expresa en el artículo 150, numeral 10, de la Carta, para “</w:t>
      </w:r>
      <w:r w:rsidRPr="005D08AD">
        <w:rPr>
          <w:rFonts w:ascii="Times New Roman" w:hAnsi="Times New Roman" w:cs="Times New Roman"/>
          <w:i/>
          <w:iCs/>
          <w:color w:val="000000" w:themeColor="text1"/>
          <w:kern w:val="32"/>
          <w:szCs w:val="28"/>
          <w:lang w:val="es-MX" w:eastAsia="es-ES"/>
        </w:rPr>
        <w:t>decretar impuestos</w:t>
      </w:r>
      <w:r w:rsidRPr="005D08AD">
        <w:rPr>
          <w:rFonts w:ascii="Times New Roman" w:hAnsi="Times New Roman" w:cs="Times New Roman"/>
          <w:color w:val="000000" w:themeColor="text1"/>
          <w:kern w:val="32"/>
          <w:szCs w:val="28"/>
          <w:lang w:val="es-MX" w:eastAsia="es-ES"/>
        </w:rPr>
        <w:t>” por vía de decretos expedidos al amparo de facultades extraordinarias, como ocurre con el decreto en mención</w:t>
      </w:r>
      <w:r w:rsidRPr="005D08AD">
        <w:rPr>
          <w:rFonts w:ascii="Times New Roman" w:hAnsi="Times New Roman" w:cs="Times New Roman"/>
          <w:color w:val="000000" w:themeColor="text1"/>
          <w:kern w:val="32"/>
          <w:szCs w:val="28"/>
          <w:vertAlign w:val="superscript"/>
          <w:lang w:val="es-MX" w:eastAsia="es-ES"/>
        </w:rPr>
        <w:footnoteReference w:id="95"/>
      </w:r>
      <w:r w:rsidRPr="005D08AD">
        <w:rPr>
          <w:rFonts w:ascii="Times New Roman" w:hAnsi="Times New Roman" w:cs="Times New Roman"/>
          <w:color w:val="000000" w:themeColor="text1"/>
          <w:kern w:val="32"/>
          <w:szCs w:val="28"/>
          <w:lang w:val="es-MX" w:eastAsia="es-ES"/>
        </w:rPr>
        <w:t>; de ahí que, incluso contrariando un claro y directo mandato de la</w:t>
      </w:r>
      <w:r w:rsidRPr="005D08AD">
        <w:rPr>
          <w:rFonts w:ascii="Times New Roman" w:hAnsi="Times New Roman" w:cs="Times New Roman"/>
          <w:color w:val="000000" w:themeColor="text1"/>
          <w:kern w:val="32"/>
          <w:szCs w:val="28"/>
          <w:lang w:val="es-MX" w:eastAsia="es-ES"/>
        </w:rPr>
        <w:t xml:space="preserve"> Carta, se decidió recurrir a esa fuente para inferir de ahí, sin poder hacerlo, el hecho generador de un tributo. Recuérdese que la jurisprudencia de este Tribunal le ha dado una lectura amplia a la citada prohibición, en el sentido de que “[e]s</w:t>
      </w:r>
      <w:r w:rsidRPr="005D08AD">
        <w:rPr>
          <w:rFonts w:ascii="Times New Roman" w:hAnsi="Times New Roman" w:cs="Times New Roman"/>
          <w:i/>
          <w:iCs/>
          <w:color w:val="000000" w:themeColor="text1"/>
          <w:kern w:val="32"/>
          <w:szCs w:val="28"/>
          <w:lang w:val="es-CO" w:eastAsia="es-ES"/>
        </w:rPr>
        <w:t xml:space="preserve"> evidente </w:t>
      </w:r>
      <w:r w:rsidRPr="005D08AD">
        <w:rPr>
          <w:rFonts w:ascii="Times New Roman" w:hAnsi="Times New Roman" w:cs="Times New Roman"/>
          <w:i/>
          <w:iCs/>
          <w:color w:val="000000" w:themeColor="text1"/>
          <w:kern w:val="32"/>
          <w:szCs w:val="28"/>
          <w:lang w:val="es-CO" w:eastAsia="es-ES"/>
        </w:rPr>
        <w:t>que la Constitución de 1991 prohibió al Congreso conferir facultades en materia tributaria, no solamente en cuanto a la creación de impuestos sino en punto de su modificación, los aumentos y disminuciones, la supresión y la sustitución de los mismos, ya qu</w:t>
      </w:r>
      <w:r w:rsidRPr="005D08AD">
        <w:rPr>
          <w:rFonts w:ascii="Times New Roman" w:hAnsi="Times New Roman" w:cs="Times New Roman"/>
          <w:i/>
          <w:iCs/>
          <w:color w:val="000000" w:themeColor="text1"/>
          <w:kern w:val="32"/>
          <w:szCs w:val="28"/>
          <w:lang w:val="es-CO" w:eastAsia="es-ES"/>
        </w:rPr>
        <w:t>e reservó a la Rama Legislativa la atribución de adoptar decisiones al respecto</w:t>
      </w:r>
      <w:r w:rsidRPr="005D08AD">
        <w:rPr>
          <w:rFonts w:ascii="Times New Roman" w:hAnsi="Times New Roman" w:cs="Times New Roman"/>
          <w:color w:val="000000" w:themeColor="text1"/>
          <w:kern w:val="32"/>
          <w:szCs w:val="28"/>
          <w:lang w:val="es-CO" w:eastAsia="es-ES"/>
        </w:rPr>
        <w:t>”. (sentencia C-246 de 1995). </w:t>
      </w:r>
    </w:p>
    <w:p w:rsidR="00FF092D" w:rsidRPr="005D08AD" w:rsidRDefault="005D08AD" w:rsidP="00FF092D">
      <w:pPr>
        <w:pStyle w:val="Prrafodelista"/>
        <w:tabs>
          <w:tab w:val="left" w:pos="567"/>
          <w:tab w:val="left" w:pos="4678"/>
        </w:tabs>
        <w:suppressAutoHyphens/>
        <w:overflowPunct w:val="0"/>
        <w:autoSpaceDE w:val="0"/>
        <w:autoSpaceDN w:val="0"/>
        <w:adjustRightInd w:val="0"/>
        <w:spacing w:after="0" w:line="240" w:lineRule="auto"/>
        <w:ind w:left="0" w:right="51"/>
        <w:jc w:val="both"/>
        <w:rPr>
          <w:rFonts w:ascii="Times New Roman" w:hAnsi="Times New Roman" w:cs="Times New Roman"/>
          <w:color w:val="000000" w:themeColor="text1"/>
          <w:kern w:val="32"/>
          <w:szCs w:val="28"/>
          <w:lang w:val="es-CO" w:eastAsia="es-ES"/>
        </w:rPr>
      </w:pPr>
    </w:p>
    <w:p w:rsidR="00986B8C" w:rsidRPr="005D08AD" w:rsidRDefault="005D08AD" w:rsidP="00FF092D">
      <w:pPr>
        <w:pStyle w:val="Prrafodelista"/>
        <w:numPr>
          <w:ilvl w:val="0"/>
          <w:numId w:val="9"/>
        </w:numPr>
        <w:tabs>
          <w:tab w:val="left" w:pos="567"/>
          <w:tab w:val="left" w:pos="4678"/>
        </w:tabs>
        <w:suppressAutoHyphens/>
        <w:overflowPunct w:val="0"/>
        <w:autoSpaceDE w:val="0"/>
        <w:autoSpaceDN w:val="0"/>
        <w:adjustRightInd w:val="0"/>
        <w:spacing w:after="0" w:line="240" w:lineRule="auto"/>
        <w:ind w:left="0" w:right="51" w:firstLine="0"/>
        <w:jc w:val="both"/>
        <w:rPr>
          <w:rFonts w:ascii="Times New Roman" w:hAnsi="Times New Roman" w:cs="Times New Roman"/>
          <w:color w:val="000000" w:themeColor="text1"/>
          <w:kern w:val="32"/>
          <w:szCs w:val="28"/>
          <w:lang w:val="es-ES_tradnl" w:eastAsia="es-ES"/>
        </w:rPr>
      </w:pPr>
      <w:bookmarkStart w:id="5" w:name="_Hlk177306574"/>
      <w:r w:rsidRPr="005D08AD">
        <w:rPr>
          <w:rFonts w:ascii="Times New Roman" w:hAnsi="Times New Roman" w:cs="Times New Roman"/>
          <w:szCs w:val="28"/>
        </w:rPr>
        <w:t>El principio de certeza tributaria no se satisface porque sea posible construir, mediante un elaborado ejercicio hermenéutico, una interpretación</w:t>
      </w:r>
      <w:r w:rsidRPr="005D08AD">
        <w:rPr>
          <w:rFonts w:ascii="Times New Roman" w:hAnsi="Times New Roman" w:cs="Times New Roman"/>
          <w:szCs w:val="28"/>
        </w:rPr>
        <w:t xml:space="preserve"> que permita dotar de contenido a una disposición legal. Su finalidad consiste, precisamente, en que sea el propio legislador quien establezca, de manera clara y previa, los elementos esenciales del tributo, de forma que tanto los contribuyentes como la ad</w:t>
      </w:r>
      <w:r w:rsidRPr="005D08AD">
        <w:rPr>
          <w:rFonts w:ascii="Times New Roman" w:hAnsi="Times New Roman" w:cs="Times New Roman"/>
          <w:szCs w:val="28"/>
        </w:rPr>
        <w:t>ministración puedan conocer con certeza el alcance de la obligación fiscal. Cuando ese contenido solo puede obtenerse a partir de una reconstrucción</w:t>
      </w:r>
      <w:r w:rsidRPr="005D08AD">
        <w:rPr>
          <w:rFonts w:ascii="Times New Roman" w:hAnsi="Times New Roman" w:cs="Times New Roman"/>
          <w:szCs w:val="28"/>
        </w:rPr>
        <w:t xml:space="preserve"> íntegramente</w:t>
      </w:r>
      <w:r w:rsidRPr="005D08AD">
        <w:rPr>
          <w:rFonts w:ascii="Times New Roman" w:hAnsi="Times New Roman" w:cs="Times New Roman"/>
          <w:szCs w:val="28"/>
        </w:rPr>
        <w:t xml:space="preserve"> judicial, deja de tratarse de un problema de interpretación</w:t>
      </w:r>
      <w:r w:rsidRPr="005D08AD">
        <w:rPr>
          <w:rFonts w:ascii="Times New Roman" w:hAnsi="Times New Roman" w:cs="Times New Roman"/>
          <w:szCs w:val="28"/>
        </w:rPr>
        <w:t>,</w:t>
      </w:r>
      <w:r w:rsidRPr="005D08AD">
        <w:rPr>
          <w:rFonts w:ascii="Times New Roman" w:hAnsi="Times New Roman" w:cs="Times New Roman"/>
          <w:szCs w:val="28"/>
        </w:rPr>
        <w:t xml:space="preserve"> y pasa a evidenciarse un déficit </w:t>
      </w:r>
      <w:r w:rsidRPr="005D08AD">
        <w:rPr>
          <w:rFonts w:ascii="Times New Roman" w:hAnsi="Times New Roman" w:cs="Times New Roman"/>
          <w:szCs w:val="28"/>
        </w:rPr>
        <w:t>legislativo que la jurisdicción constitucional no está llamada a subsanar</w:t>
      </w:r>
      <w:r w:rsidRPr="005D08AD">
        <w:rPr>
          <w:rFonts w:ascii="Times New Roman" w:hAnsi="Times New Roman" w:cs="Times New Roman"/>
          <w:szCs w:val="28"/>
        </w:rPr>
        <w:t>, sobre todo cuando para ello se recurre a una fórmula que desconoce una clara prohibición constitucional, dada la imposibilidad de fijar los tributos y sus elementos esenciales, a tr</w:t>
      </w:r>
      <w:r w:rsidRPr="005D08AD">
        <w:rPr>
          <w:rFonts w:ascii="Times New Roman" w:hAnsi="Times New Roman" w:cs="Times New Roman"/>
          <w:szCs w:val="28"/>
        </w:rPr>
        <w:t xml:space="preserve">avés de decretos leyes proferidos al amparo de facultades extraordinarias. </w:t>
      </w:r>
    </w:p>
    <w:p w:rsidR="00B018F4" w:rsidRPr="005D08AD" w:rsidRDefault="005D08AD" w:rsidP="00B018F4">
      <w:pPr>
        <w:pStyle w:val="Prrafodelista"/>
        <w:rPr>
          <w:rFonts w:ascii="Times New Roman" w:hAnsi="Times New Roman" w:cs="Times New Roman"/>
          <w:color w:val="000000" w:themeColor="text1"/>
          <w:kern w:val="32"/>
          <w:szCs w:val="28"/>
          <w:lang w:val="es-ES_tradnl" w:eastAsia="es-ES"/>
        </w:rPr>
      </w:pPr>
    </w:p>
    <w:p w:rsidR="003259BE" w:rsidRPr="005D08AD" w:rsidRDefault="005D08AD" w:rsidP="00D35AD4">
      <w:pPr>
        <w:pStyle w:val="Prrafodelista"/>
        <w:numPr>
          <w:ilvl w:val="0"/>
          <w:numId w:val="9"/>
        </w:numPr>
        <w:tabs>
          <w:tab w:val="left" w:pos="567"/>
          <w:tab w:val="left" w:pos="4678"/>
        </w:tabs>
        <w:suppressAutoHyphens/>
        <w:overflowPunct w:val="0"/>
        <w:autoSpaceDE w:val="0"/>
        <w:autoSpaceDN w:val="0"/>
        <w:adjustRightInd w:val="0"/>
        <w:spacing w:after="0" w:line="240" w:lineRule="auto"/>
        <w:ind w:left="0" w:right="51" w:firstLine="0"/>
        <w:jc w:val="both"/>
        <w:rPr>
          <w:rFonts w:ascii="Times New Roman" w:hAnsi="Times New Roman" w:cs="Times New Roman"/>
          <w:szCs w:val="28"/>
        </w:rPr>
      </w:pPr>
      <w:r w:rsidRPr="005D08AD">
        <w:rPr>
          <w:rFonts w:ascii="Times New Roman" w:hAnsi="Times New Roman" w:cs="Times New Roman"/>
          <w:color w:val="000000" w:themeColor="text1"/>
          <w:kern w:val="32"/>
          <w:szCs w:val="28"/>
          <w:lang w:val="es-CO" w:eastAsia="es-ES"/>
        </w:rPr>
        <w:t xml:space="preserve">En conclusión, para el suscrito magistrado, no solo era irresoluble el problema de la identificación del hecho generador, sino que, además, la fórmula acogida es patente de una </w:t>
      </w:r>
      <w:r w:rsidRPr="005D08AD">
        <w:rPr>
          <w:rFonts w:ascii="Times New Roman" w:hAnsi="Times New Roman" w:cs="Times New Roman"/>
          <w:b/>
          <w:bCs/>
          <w:color w:val="000000" w:themeColor="text1"/>
          <w:kern w:val="32"/>
          <w:szCs w:val="28"/>
          <w:lang w:val="es-CO" w:eastAsia="es-ES"/>
        </w:rPr>
        <w:t>cl</w:t>
      </w:r>
      <w:r w:rsidRPr="005D08AD">
        <w:rPr>
          <w:rFonts w:ascii="Times New Roman" w:hAnsi="Times New Roman" w:cs="Times New Roman"/>
          <w:b/>
          <w:bCs/>
          <w:color w:val="000000" w:themeColor="text1"/>
          <w:kern w:val="32"/>
          <w:szCs w:val="28"/>
          <w:lang w:val="es-CO" w:eastAsia="es-ES"/>
        </w:rPr>
        <w:t xml:space="preserve">ara </w:t>
      </w:r>
      <w:r w:rsidRPr="005D08AD">
        <w:rPr>
          <w:rFonts w:ascii="Times New Roman" w:hAnsi="Times New Roman" w:cs="Times New Roman"/>
          <w:b/>
          <w:bCs/>
          <w:color w:val="000000" w:themeColor="text1"/>
          <w:kern w:val="32"/>
          <w:szCs w:val="28"/>
          <w:lang w:val="es-MX" w:eastAsia="es-ES"/>
        </w:rPr>
        <w:t>infracción constitucional</w:t>
      </w:r>
      <w:r w:rsidRPr="005D08AD">
        <w:rPr>
          <w:rFonts w:ascii="Times New Roman" w:hAnsi="Times New Roman" w:cs="Times New Roman"/>
          <w:color w:val="000000" w:themeColor="text1"/>
          <w:kern w:val="32"/>
          <w:szCs w:val="28"/>
          <w:lang w:val="es-MX" w:eastAsia="es-ES"/>
        </w:rPr>
        <w:t>.</w:t>
      </w:r>
      <w:bookmarkEnd w:id="5"/>
      <w:r w:rsidRPr="005D08AD">
        <w:rPr>
          <w:rFonts w:ascii="Times New Roman" w:hAnsi="Times New Roman" w:cs="Times New Roman"/>
          <w:color w:val="000000" w:themeColor="text1"/>
          <w:kern w:val="32"/>
          <w:szCs w:val="28"/>
          <w:lang w:val="es-MX" w:eastAsia="es-ES"/>
        </w:rPr>
        <w:t xml:space="preserve"> </w:t>
      </w:r>
      <w:r w:rsidRPr="005D08AD">
        <w:rPr>
          <w:rFonts w:ascii="Times New Roman" w:hAnsi="Times New Roman" w:cs="Times New Roman"/>
          <w:szCs w:val="28"/>
        </w:rPr>
        <w:t>En los términos expuestos presento mi postura</w:t>
      </w:r>
      <w:r w:rsidRPr="005D08AD">
        <w:rPr>
          <w:rFonts w:ascii="Times New Roman" w:hAnsi="Times New Roman" w:cs="Times New Roman"/>
          <w:szCs w:val="28"/>
        </w:rPr>
        <w:t>,</w:t>
      </w:r>
      <w:r w:rsidRPr="005D08AD">
        <w:rPr>
          <w:rFonts w:ascii="Times New Roman" w:hAnsi="Times New Roman" w:cs="Times New Roman"/>
          <w:szCs w:val="28"/>
        </w:rPr>
        <w:t xml:space="preserve"> a fin de </w:t>
      </w:r>
      <w:r w:rsidRPr="005D08AD">
        <w:rPr>
          <w:rFonts w:ascii="Times New Roman" w:hAnsi="Times New Roman" w:cs="Times New Roman"/>
          <w:szCs w:val="28"/>
        </w:rPr>
        <w:t xml:space="preserve">salvar </w:t>
      </w:r>
      <w:r w:rsidRPr="005D08AD">
        <w:rPr>
          <w:rFonts w:ascii="Times New Roman" w:hAnsi="Times New Roman" w:cs="Times New Roman"/>
          <w:szCs w:val="28"/>
        </w:rPr>
        <w:t>mi voto en la providencia de la referencia</w:t>
      </w:r>
      <w:r w:rsidRPr="005D08AD">
        <w:rPr>
          <w:rFonts w:ascii="Times New Roman" w:hAnsi="Times New Roman" w:cs="Times New Roman"/>
          <w:szCs w:val="28"/>
        </w:rPr>
        <w:t xml:space="preserve">.  </w:t>
      </w:r>
    </w:p>
    <w:p w:rsidR="001B66D8" w:rsidRPr="005D08AD" w:rsidRDefault="005D08AD" w:rsidP="00FF092D">
      <w:pPr>
        <w:pStyle w:val="Textoindependiente"/>
        <w:spacing w:after="0"/>
        <w:rPr>
          <w:sz w:val="28"/>
          <w:szCs w:val="28"/>
        </w:rPr>
      </w:pPr>
    </w:p>
    <w:p w:rsidR="00CC1D0F" w:rsidRPr="005D08AD" w:rsidRDefault="005D08AD" w:rsidP="00B018F4">
      <w:pPr>
        <w:pStyle w:val="Textoindependiente"/>
        <w:spacing w:after="0"/>
        <w:ind w:right="51"/>
        <w:jc w:val="both"/>
        <w:rPr>
          <w:i/>
          <w:iCs/>
          <w:sz w:val="28"/>
          <w:szCs w:val="28"/>
        </w:rPr>
      </w:pPr>
      <w:r w:rsidRPr="005D08AD">
        <w:rPr>
          <w:sz w:val="28"/>
          <w:szCs w:val="28"/>
        </w:rPr>
        <w:t xml:space="preserve">Fecha </w:t>
      </w:r>
      <w:r w:rsidRPr="005D08AD">
        <w:rPr>
          <w:i/>
          <w:iCs/>
          <w:sz w:val="28"/>
          <w:szCs w:val="28"/>
        </w:rPr>
        <w:t>ut supra.</w:t>
      </w:r>
    </w:p>
    <w:p w:rsidR="00C27194" w:rsidRPr="005D08AD" w:rsidRDefault="005D08AD" w:rsidP="00B018F4">
      <w:pPr>
        <w:pStyle w:val="Textoindependiente"/>
        <w:spacing w:after="0"/>
        <w:ind w:right="51"/>
        <w:jc w:val="both"/>
        <w:rPr>
          <w:sz w:val="28"/>
          <w:szCs w:val="28"/>
          <w:lang w:val="es-ES_tradnl"/>
        </w:rPr>
      </w:pPr>
    </w:p>
    <w:p w:rsidR="00C27194" w:rsidRPr="005D08AD" w:rsidRDefault="005D08AD" w:rsidP="00C27194">
      <w:pPr>
        <w:pStyle w:val="Textoindependiente"/>
        <w:spacing w:after="0"/>
        <w:ind w:right="51"/>
        <w:jc w:val="center"/>
        <w:rPr>
          <w:b/>
          <w:bCs/>
          <w:sz w:val="28"/>
          <w:szCs w:val="28"/>
          <w:lang w:val="es-ES_tradnl"/>
        </w:rPr>
      </w:pPr>
      <w:r w:rsidRPr="005D08AD">
        <w:rPr>
          <w:b/>
          <w:bCs/>
          <w:sz w:val="28"/>
          <w:szCs w:val="28"/>
          <w:lang w:val="es-ES_tradnl"/>
        </w:rPr>
        <w:t>MIGUEL POLO ROSERO</w:t>
      </w:r>
    </w:p>
    <w:p w:rsidR="00C27194" w:rsidRPr="005D08AD" w:rsidRDefault="005D08AD" w:rsidP="00C27194">
      <w:pPr>
        <w:pStyle w:val="Textoindependiente"/>
        <w:spacing w:after="0"/>
        <w:ind w:right="51"/>
        <w:jc w:val="center"/>
        <w:rPr>
          <w:b/>
          <w:bCs/>
          <w:sz w:val="28"/>
          <w:szCs w:val="28"/>
          <w:lang w:val="es-ES_tradnl"/>
        </w:rPr>
      </w:pPr>
      <w:r w:rsidRPr="005D08AD">
        <w:rPr>
          <w:b/>
          <w:bCs/>
          <w:sz w:val="28"/>
          <w:szCs w:val="28"/>
          <w:lang w:val="es-ES_tradnl"/>
        </w:rPr>
        <w:t>Magistrado</w:t>
      </w:r>
    </w:p>
    <w:p w:rsidR="00C27194" w:rsidRPr="005D08AD" w:rsidRDefault="005D08AD" w:rsidP="00B018F4">
      <w:pPr>
        <w:pStyle w:val="Textoindependiente"/>
        <w:spacing w:after="0"/>
        <w:ind w:right="51"/>
        <w:jc w:val="both"/>
        <w:rPr>
          <w:b/>
          <w:bCs/>
          <w:sz w:val="28"/>
          <w:szCs w:val="28"/>
          <w:lang w:val="es-ES_tradnl"/>
        </w:rPr>
      </w:pPr>
    </w:p>
    <w:sectPr w:rsidR="00C27194" w:rsidRPr="005D08AD">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5D08AD">
      <w:pPr>
        <w:spacing w:after="0" w:line="240" w:lineRule="auto"/>
      </w:pPr>
      <w:r>
        <w:separator/>
      </w:r>
    </w:p>
  </w:endnote>
  <w:endnote w:type="continuationSeparator" w:id="0">
    <w:p w:rsidR="00000000" w:rsidRDefault="005D08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5D08AD">
      <w:pPr>
        <w:spacing w:after="0" w:line="240" w:lineRule="auto"/>
      </w:pPr>
      <w:r>
        <w:separator/>
      </w:r>
    </w:p>
  </w:footnote>
  <w:footnote w:type="continuationSeparator" w:id="0">
    <w:p w:rsidR="00000000" w:rsidRDefault="005D08AD">
      <w:pPr>
        <w:spacing w:after="0" w:line="240" w:lineRule="auto"/>
      </w:pPr>
      <w:r>
        <w:continuationSeparator/>
      </w:r>
    </w:p>
  </w:footnote>
  <w:footnote w:id="1">
    <w:p w:rsidR="00FA1C20" w:rsidRPr="00E01707" w:rsidRDefault="005D08AD">
      <w:pPr>
        <w:pStyle w:val="Textonotapie"/>
        <w:rPr>
          <w:lang w:val="es-CO"/>
        </w:rPr>
      </w:pPr>
      <w:r w:rsidRPr="00E01707">
        <w:rPr>
          <w:rStyle w:val="Refdenotaalpie"/>
        </w:rPr>
        <w:footnoteRef/>
      </w:r>
      <w:r w:rsidRPr="00E01707">
        <w:t xml:space="preserve"> Que modificó el artículo 224 de la Ley 100 de 1993.</w:t>
      </w:r>
    </w:p>
  </w:footnote>
  <w:footnote w:id="2">
    <w:p w:rsidR="00FA1C20" w:rsidRPr="00E01707" w:rsidRDefault="005D08AD">
      <w:pPr>
        <w:pStyle w:val="Textonotapie"/>
        <w:rPr>
          <w:lang w:val="es-MX"/>
        </w:rPr>
      </w:pPr>
      <w:r w:rsidRPr="00E01707">
        <w:rPr>
          <w:rStyle w:val="Refdenotaalpie"/>
        </w:rPr>
        <w:footnoteRef/>
      </w:r>
      <w:r w:rsidRPr="00E01707">
        <w:t xml:space="preserve"> Ver archivo: “D0016929-Auto Admisorio-(2025-10-07 04-17-50).pdf”</w:t>
      </w:r>
      <w:r>
        <w:t>.</w:t>
      </w:r>
    </w:p>
  </w:footnote>
  <w:footnote w:id="3">
    <w:p w:rsidR="00FA1C20" w:rsidRPr="00E01707" w:rsidRDefault="005D08AD">
      <w:pPr>
        <w:pStyle w:val="Textonotapie"/>
      </w:pPr>
      <w:r w:rsidRPr="00E01707">
        <w:rPr>
          <w:rStyle w:val="Refdenotaalpie"/>
        </w:rPr>
        <w:footnoteRef/>
      </w:r>
      <w:r w:rsidRPr="00E01707">
        <w:t xml:space="preserve"> Artículos 242.2 y 278.5 de la Constitución y el inciso primero del artículo 7 del Decreto Ley 2067 de 1991.</w:t>
      </w:r>
    </w:p>
  </w:footnote>
  <w:footnote w:id="4">
    <w:p w:rsidR="00FA1C20" w:rsidRPr="00E01707" w:rsidRDefault="005D08AD">
      <w:pPr>
        <w:pStyle w:val="Textonotapie"/>
      </w:pPr>
      <w:r w:rsidRPr="00E01707">
        <w:rPr>
          <w:rStyle w:val="Refdenotaalpie"/>
        </w:rPr>
        <w:footnoteRef/>
      </w:r>
      <w:r w:rsidRPr="00E01707">
        <w:t xml:space="preserve"> Artículo 242.1 de la Constitución y el inciso segundo del artículo 7 del Decr</w:t>
      </w:r>
      <w:r w:rsidRPr="00E01707">
        <w:t xml:space="preserve">eto Ley 2067 de 1991. </w:t>
      </w:r>
    </w:p>
  </w:footnote>
  <w:footnote w:id="5">
    <w:p w:rsidR="00FA1C20" w:rsidRPr="00E01707" w:rsidRDefault="005D08AD">
      <w:pPr>
        <w:pStyle w:val="Textonotapie"/>
      </w:pPr>
      <w:r w:rsidRPr="00E01707">
        <w:rPr>
          <w:rStyle w:val="Refdenotaalpie"/>
        </w:rPr>
        <w:footnoteRef/>
      </w:r>
      <w:r w:rsidRPr="00E01707">
        <w:t xml:space="preserve"> Artículo 11 del Decreto Ley 2067 de 1991.</w:t>
      </w:r>
    </w:p>
  </w:footnote>
  <w:footnote w:id="6">
    <w:p w:rsidR="00FA1C20" w:rsidRPr="00E01707" w:rsidRDefault="005D08AD">
      <w:pPr>
        <w:pStyle w:val="Textonotapie"/>
      </w:pPr>
      <w:r w:rsidRPr="00E01707">
        <w:rPr>
          <w:rStyle w:val="Refdenotaalpie"/>
        </w:rPr>
        <w:footnoteRef/>
      </w:r>
      <w:r w:rsidRPr="00E01707">
        <w:t xml:space="preserve"> Artículo 13 del Decreto Ley 2067 de 1991.</w:t>
      </w:r>
    </w:p>
  </w:footnote>
  <w:footnote w:id="7">
    <w:p w:rsidR="00FA1C20" w:rsidRPr="00E01707" w:rsidRDefault="005D08AD">
      <w:pPr>
        <w:pStyle w:val="Textonotapie"/>
        <w:rPr>
          <w:lang w:val="es-CO"/>
        </w:rPr>
      </w:pPr>
      <w:r w:rsidRPr="00E01707">
        <w:rPr>
          <w:rStyle w:val="Refdenotaalpie"/>
        </w:rPr>
        <w:footnoteRef/>
      </w:r>
      <w:r w:rsidRPr="00E01707">
        <w:t xml:space="preserve"> Ver archivo: “D0016929-Presentación Demanda-(2025-09-15 11-10-52).pdf</w:t>
      </w:r>
      <w:r>
        <w:t>.</w:t>
      </w:r>
    </w:p>
  </w:footnote>
  <w:footnote w:id="8">
    <w:p w:rsidR="00FA1C20" w:rsidRPr="000660BF" w:rsidRDefault="005D08AD">
      <w:pPr>
        <w:pStyle w:val="Textonotapie"/>
        <w:rPr>
          <w:lang w:val="es-CO"/>
        </w:rPr>
      </w:pPr>
      <w:r w:rsidRPr="000660BF">
        <w:rPr>
          <w:rStyle w:val="Refdenotaalpie"/>
        </w:rPr>
        <w:footnoteRef/>
      </w:r>
      <w:r w:rsidRPr="000660BF">
        <w:t xml:space="preserve"> La fijación en lista tuvo a lugar desde el 16 de octubre hasta el 29 d</w:t>
      </w:r>
      <w:r w:rsidRPr="000660BF">
        <w:t>e octubre de 2025.</w:t>
      </w:r>
    </w:p>
  </w:footnote>
  <w:footnote w:id="9">
    <w:p w:rsidR="00FA1C20" w:rsidRPr="000660BF" w:rsidRDefault="005D08AD" w:rsidP="00F538AE">
      <w:pPr>
        <w:pStyle w:val="Textonotapie"/>
        <w:jc w:val="both"/>
      </w:pPr>
      <w:r w:rsidRPr="000660BF">
        <w:rPr>
          <w:rStyle w:val="Refdenotaalpie"/>
        </w:rPr>
        <w:footnoteRef/>
      </w:r>
      <w:r w:rsidRPr="000660BF">
        <w:t xml:space="preserve"> Durante el término de fijación en lista se allegaron las Dian, Asociación Colombiana de Minería (ACM), Universidad Nacional, Adres, Ana María Barbosa Rodríguez, Margarita Salas Sánchez y Juan Mateo Martínez Riveros, Ministerio de Hacie</w:t>
      </w:r>
      <w:r w:rsidRPr="000660BF">
        <w:t>nda y Crédito Público, Universidad del Rosario, Juan Manuel Charry Ureña, José Alejandro Herrera Carvajal, Fundación Universitaria del Área Andina, Marina Henao Falabella y Valentina Vergara Echeverri, Fenalcarbón, Indumil y César Camilo Cermeño y Néstor S</w:t>
      </w:r>
      <w:r w:rsidRPr="000660BF">
        <w:t>aúl Saray Franco.</w:t>
      </w:r>
    </w:p>
  </w:footnote>
  <w:footnote w:id="10">
    <w:p w:rsidR="00FA1C20" w:rsidRPr="00E01707" w:rsidRDefault="005D08AD" w:rsidP="000F460E">
      <w:pPr>
        <w:pStyle w:val="Textonotapie"/>
        <w:jc w:val="both"/>
      </w:pPr>
      <w:r w:rsidRPr="000660BF">
        <w:rPr>
          <w:rStyle w:val="Refdenotaalpie"/>
        </w:rPr>
        <w:footnoteRef/>
      </w:r>
      <w:r w:rsidRPr="000660BF">
        <w:t xml:space="preserve"> De forma extemporánea se recibieron las intervenciones de Jonathan Stiven Melo Castro y el Instituto Colombiano de Derecho Tributario.</w:t>
      </w:r>
    </w:p>
  </w:footnote>
  <w:footnote w:id="11">
    <w:p w:rsidR="00FA1C20" w:rsidRPr="00E01707" w:rsidRDefault="005D08AD" w:rsidP="0051332F">
      <w:pPr>
        <w:pStyle w:val="Textonotapie"/>
        <w:jc w:val="both"/>
      </w:pPr>
      <w:r w:rsidRPr="00E01707">
        <w:rPr>
          <w:rStyle w:val="Refdenotaalpie"/>
        </w:rPr>
        <w:footnoteRef/>
      </w:r>
      <w:r w:rsidRPr="00E01707">
        <w:t xml:space="preserve"> Ver archivo: “D0016929-Conceptos e Intervenciones-(2025-10-29 20-49-48).pdf” págs. 6-8</w:t>
      </w:r>
      <w:r>
        <w:t>.</w:t>
      </w:r>
    </w:p>
  </w:footnote>
  <w:footnote w:id="12">
    <w:p w:rsidR="00FA1C20" w:rsidRPr="00E01707" w:rsidRDefault="005D08AD" w:rsidP="0051332F">
      <w:pPr>
        <w:pStyle w:val="Textonotapie"/>
        <w:jc w:val="both"/>
        <w:rPr>
          <w:lang w:val="es-CO"/>
        </w:rPr>
      </w:pPr>
      <w:r w:rsidRPr="00E01707">
        <w:rPr>
          <w:rStyle w:val="Refdenotaalpie"/>
        </w:rPr>
        <w:footnoteRef/>
      </w:r>
      <w:r w:rsidRPr="00E01707">
        <w:t xml:space="preserve"> Ver archi</w:t>
      </w:r>
      <w:r w:rsidRPr="00E01707">
        <w:t>vo: “5a00e98b-5b18-4e78-b371-30ba01d11f50.pdf” págs. 8-25</w:t>
      </w:r>
      <w:r>
        <w:t>.</w:t>
      </w:r>
    </w:p>
  </w:footnote>
  <w:footnote w:id="13">
    <w:p w:rsidR="00FA1C20" w:rsidRPr="00E01707" w:rsidRDefault="005D08AD" w:rsidP="0051332F">
      <w:pPr>
        <w:pStyle w:val="Textonotapie"/>
        <w:jc w:val="both"/>
      </w:pPr>
      <w:r w:rsidRPr="00E01707">
        <w:rPr>
          <w:rStyle w:val="Refdenotaalpie"/>
        </w:rPr>
        <w:footnoteRef/>
      </w:r>
      <w:r w:rsidRPr="00E01707">
        <w:t xml:space="preserve"> Ver archivo: “D0016929-Conceptos e Intervenciones-(2025-10-29 19-59-18).pdf” págs. 4-25</w:t>
      </w:r>
      <w:r>
        <w:t>.</w:t>
      </w:r>
    </w:p>
  </w:footnote>
  <w:footnote w:id="14">
    <w:p w:rsidR="00FA1C20" w:rsidRPr="00E01707" w:rsidRDefault="005D08AD" w:rsidP="0051332F">
      <w:pPr>
        <w:pStyle w:val="Textonotapie"/>
        <w:jc w:val="both"/>
        <w:rPr>
          <w:lang w:val="es-CO"/>
        </w:rPr>
      </w:pPr>
      <w:r w:rsidRPr="00E01707">
        <w:rPr>
          <w:rStyle w:val="Refdenotaalpie"/>
        </w:rPr>
        <w:footnoteRef/>
      </w:r>
      <w:r w:rsidRPr="00E01707">
        <w:t xml:space="preserve"> </w:t>
      </w:r>
      <w:r w:rsidRPr="00E01707">
        <w:rPr>
          <w:lang w:val="es-CO"/>
        </w:rPr>
        <w:t>Ver archivo: “D0016929-Conceptos e Intervenciones-(2025-10-29 21-39-28).pdf” págs. 3-9</w:t>
      </w:r>
      <w:r>
        <w:rPr>
          <w:lang w:val="es-CO"/>
        </w:rPr>
        <w:t>.</w:t>
      </w:r>
    </w:p>
  </w:footnote>
  <w:footnote w:id="15">
    <w:p w:rsidR="00FA1C20" w:rsidRPr="00E01707" w:rsidRDefault="005D08AD" w:rsidP="0051332F">
      <w:pPr>
        <w:pStyle w:val="Textonotapie"/>
        <w:jc w:val="both"/>
      </w:pPr>
      <w:r w:rsidRPr="00E01707">
        <w:rPr>
          <w:rStyle w:val="Refdenotaalpie"/>
        </w:rPr>
        <w:footnoteRef/>
      </w:r>
      <w:r w:rsidRPr="00E01707">
        <w:t xml:space="preserve"> Ver archivo: “</w:t>
      </w:r>
      <w:r w:rsidRPr="00E01707">
        <w:t>0fc2c8f8-43b4-4ef2-bd35-58ca44fcc6e6.pdf” págs. 5-10</w:t>
      </w:r>
    </w:p>
  </w:footnote>
  <w:footnote w:id="16">
    <w:p w:rsidR="00FA1C20" w:rsidRPr="00E01707" w:rsidRDefault="005D08AD" w:rsidP="0051332F">
      <w:pPr>
        <w:pStyle w:val="Textonotapie"/>
        <w:jc w:val="both"/>
      </w:pPr>
      <w:r w:rsidRPr="00E01707">
        <w:rPr>
          <w:rStyle w:val="Refdenotaalpie"/>
        </w:rPr>
        <w:footnoteRef/>
      </w:r>
      <w:r w:rsidRPr="00E01707">
        <w:t xml:space="preserve"> Ver archivo: “D0016929-Conceptos e Intervenciones-(2025-10-29 20-35-25).pdf” págs. 4-5</w:t>
      </w:r>
    </w:p>
  </w:footnote>
  <w:footnote w:id="17">
    <w:p w:rsidR="00FA1C20" w:rsidRPr="00E01707" w:rsidRDefault="005D08AD" w:rsidP="0051332F">
      <w:pPr>
        <w:pStyle w:val="Textonotapie"/>
        <w:jc w:val="both"/>
        <w:rPr>
          <w:lang w:val="es-CO"/>
        </w:rPr>
      </w:pPr>
      <w:r w:rsidRPr="00E01707">
        <w:rPr>
          <w:rStyle w:val="Refdenotaalpie"/>
        </w:rPr>
        <w:footnoteRef/>
      </w:r>
      <w:r w:rsidRPr="00E01707">
        <w:t xml:space="preserve"> Ver archivo: “d0016929-Conceptos e Intervenciones-(2025-10-30 08-07-42).pdf” págs. 4-14</w:t>
      </w:r>
      <w:r>
        <w:t>.</w:t>
      </w:r>
    </w:p>
  </w:footnote>
  <w:footnote w:id="18">
    <w:p w:rsidR="00FA1C20" w:rsidRPr="00E01707" w:rsidRDefault="005D08AD" w:rsidP="0051332F">
      <w:pPr>
        <w:pStyle w:val="Textonotapie"/>
        <w:jc w:val="both"/>
        <w:rPr>
          <w:lang w:val="es-CO"/>
        </w:rPr>
      </w:pPr>
      <w:r w:rsidRPr="00E01707">
        <w:rPr>
          <w:rStyle w:val="Refdenotaalpie"/>
        </w:rPr>
        <w:footnoteRef/>
      </w:r>
      <w:r w:rsidRPr="00E01707">
        <w:t xml:space="preserve"> </w:t>
      </w:r>
      <w:r w:rsidRPr="00E01707">
        <w:rPr>
          <w:lang w:val="es-CO"/>
        </w:rPr>
        <w:t>Ver archivo: “D001692</w:t>
      </w:r>
      <w:r w:rsidRPr="00E01707">
        <w:rPr>
          <w:lang w:val="es-CO"/>
        </w:rPr>
        <w:t>9-Conceptos e Intervenciones-(2025-10-30 11-14-03).pdf” págs. 4-9</w:t>
      </w:r>
      <w:r>
        <w:rPr>
          <w:lang w:val="es-CO"/>
        </w:rPr>
        <w:t>.</w:t>
      </w:r>
    </w:p>
  </w:footnote>
  <w:footnote w:id="19">
    <w:p w:rsidR="00FA1C20" w:rsidRPr="00E01707" w:rsidRDefault="005D08AD" w:rsidP="0051332F">
      <w:pPr>
        <w:pStyle w:val="Textonotapie"/>
        <w:jc w:val="both"/>
        <w:rPr>
          <w:lang w:val="es-CO"/>
        </w:rPr>
      </w:pPr>
      <w:r w:rsidRPr="00E01707">
        <w:rPr>
          <w:rStyle w:val="Refdenotaalpie"/>
        </w:rPr>
        <w:footnoteRef/>
      </w:r>
      <w:r w:rsidRPr="00E01707">
        <w:t xml:space="preserve"> </w:t>
      </w:r>
      <w:r w:rsidRPr="00E01707">
        <w:rPr>
          <w:lang w:val="es-CO"/>
        </w:rPr>
        <w:t>Ver archivo: “4512fa98-9991-4373-af06-ade145fcdd35.pdf” págs. 3-6</w:t>
      </w:r>
      <w:r>
        <w:rPr>
          <w:lang w:val="es-CO"/>
        </w:rPr>
        <w:t>.</w:t>
      </w:r>
    </w:p>
  </w:footnote>
  <w:footnote w:id="20">
    <w:p w:rsidR="00FA1C20" w:rsidRPr="00E01707" w:rsidRDefault="005D08AD" w:rsidP="0051332F">
      <w:pPr>
        <w:pStyle w:val="Textonotapie"/>
        <w:jc w:val="both"/>
      </w:pPr>
      <w:r w:rsidRPr="00E01707">
        <w:rPr>
          <w:rStyle w:val="Refdenotaalpie"/>
        </w:rPr>
        <w:footnoteRef/>
      </w:r>
      <w:r w:rsidRPr="00E01707">
        <w:t xml:space="preserve"> Ver archivo: “2059d67f-3bba-4127-8e3b-17751503790f.pdf” págs. 6-9</w:t>
      </w:r>
      <w:r>
        <w:t>.</w:t>
      </w:r>
    </w:p>
  </w:footnote>
  <w:footnote w:id="21">
    <w:p w:rsidR="00FA1C20" w:rsidRPr="00E01707" w:rsidRDefault="005D08AD" w:rsidP="0051332F">
      <w:pPr>
        <w:pStyle w:val="Textonotapie"/>
        <w:jc w:val="both"/>
      </w:pPr>
      <w:r w:rsidRPr="00E01707">
        <w:rPr>
          <w:rStyle w:val="Refdenotaalpie"/>
        </w:rPr>
        <w:footnoteRef/>
      </w:r>
      <w:r w:rsidRPr="00E01707">
        <w:t xml:space="preserve"> Ver archivo: “D0016929-Conceptos e Intervenciones-(2025-10-29 20-13-28).pdf” págs. 13-14</w:t>
      </w:r>
      <w:r>
        <w:t>.</w:t>
      </w:r>
    </w:p>
  </w:footnote>
  <w:footnote w:id="22">
    <w:p w:rsidR="00FA1C20" w:rsidRPr="00E01707" w:rsidRDefault="005D08AD" w:rsidP="0051332F">
      <w:pPr>
        <w:pStyle w:val="Textonotapie"/>
        <w:jc w:val="both"/>
      </w:pPr>
      <w:r w:rsidRPr="00E01707">
        <w:rPr>
          <w:rStyle w:val="Refdenotaalpie"/>
        </w:rPr>
        <w:footnoteRef/>
      </w:r>
      <w:r w:rsidRPr="00E01707">
        <w:t xml:space="preserve"> Ver archivo: “4133880f-dd2e-4765-b609-8229e9febcc9.pdf” págs. 3-8</w:t>
      </w:r>
      <w:r>
        <w:t>.</w:t>
      </w:r>
    </w:p>
  </w:footnote>
  <w:footnote w:id="23">
    <w:p w:rsidR="00FA1C20" w:rsidRPr="00E01707" w:rsidRDefault="005D08AD" w:rsidP="0051332F">
      <w:pPr>
        <w:pStyle w:val="Textonotapie"/>
        <w:jc w:val="both"/>
      </w:pPr>
      <w:r w:rsidRPr="00E01707">
        <w:rPr>
          <w:rStyle w:val="Refdenotaalpie"/>
        </w:rPr>
        <w:footnoteRef/>
      </w:r>
      <w:r w:rsidRPr="00E01707">
        <w:t xml:space="preserve"> Ver archivo: “D0016929-Conceptos e Intervenciones-(2025-10-29 21-11-15).pdf” págs. 4-27</w:t>
      </w:r>
      <w:r>
        <w:t>.</w:t>
      </w:r>
    </w:p>
  </w:footnote>
  <w:footnote w:id="24">
    <w:p w:rsidR="00FA1C20" w:rsidRPr="00E01707" w:rsidRDefault="005D08AD" w:rsidP="0051332F">
      <w:pPr>
        <w:pStyle w:val="Textonotapie"/>
        <w:jc w:val="both"/>
      </w:pPr>
      <w:r w:rsidRPr="00E01707">
        <w:rPr>
          <w:rStyle w:val="Refdenotaalpie"/>
        </w:rPr>
        <w:footnoteRef/>
      </w:r>
      <w:r w:rsidRPr="00E01707">
        <w:t xml:space="preserve"> Ver archivo: “D0016929-Conceptos e Intervenciones-(2025-10-30 11-12-35).pdf.” págs. 1-9</w:t>
      </w:r>
      <w:r>
        <w:t>.</w:t>
      </w:r>
    </w:p>
  </w:footnote>
  <w:footnote w:id="25">
    <w:p w:rsidR="00FA1C20" w:rsidRPr="00E01707" w:rsidRDefault="005D08AD" w:rsidP="0051332F">
      <w:pPr>
        <w:pStyle w:val="Textonotapie"/>
        <w:jc w:val="both"/>
      </w:pPr>
      <w:r w:rsidRPr="00E01707">
        <w:rPr>
          <w:rStyle w:val="Refdenotaalpie"/>
        </w:rPr>
        <w:footnoteRef/>
      </w:r>
      <w:r w:rsidRPr="00E01707">
        <w:t xml:space="preserve"> Ver archivo: “d0016929-Conceptos e Intervenciones-(2025-10-30 11-14-34).pdf” págs. 4-8</w:t>
      </w:r>
      <w:r>
        <w:t>.</w:t>
      </w:r>
    </w:p>
  </w:footnote>
  <w:footnote w:id="26">
    <w:p w:rsidR="00FA1C20" w:rsidRPr="00E01707" w:rsidRDefault="005D08AD" w:rsidP="0051332F">
      <w:pPr>
        <w:pStyle w:val="Textonotapie"/>
        <w:spacing w:line="480" w:lineRule="auto"/>
        <w:jc w:val="both"/>
      </w:pPr>
      <w:r w:rsidRPr="00E01707">
        <w:rPr>
          <w:rStyle w:val="Refdenotaalpie"/>
        </w:rPr>
        <w:footnoteRef/>
      </w:r>
      <w:r w:rsidRPr="00E01707">
        <w:t xml:space="preserve"> Ver archivo: “d0016929-Conceptos e Intervenciones-Cédula-(2025-10-30 11-13</w:t>
      </w:r>
      <w:r w:rsidRPr="00E01707">
        <w:t>-31).pdf” págs. 3-7</w:t>
      </w:r>
      <w:r>
        <w:t>.</w:t>
      </w:r>
    </w:p>
  </w:footnote>
  <w:footnote w:id="27">
    <w:p w:rsidR="00FA1C20" w:rsidRPr="00E01707" w:rsidRDefault="005D08AD" w:rsidP="004E3A74">
      <w:pPr>
        <w:pStyle w:val="Textonotapie"/>
        <w:jc w:val="both"/>
        <w:rPr>
          <w:lang w:val="es-CO"/>
        </w:rPr>
      </w:pPr>
      <w:r w:rsidRPr="00E01707">
        <w:rPr>
          <w:rStyle w:val="Refdenotaalpie"/>
        </w:rPr>
        <w:footnoteRef/>
      </w:r>
      <w:r w:rsidRPr="00E01707">
        <w:t xml:space="preserve"> Corte Constitucional, Sentencias C-419 de 2014, C-541 de 2016, C-096 de 2019, C-100 de 2019, entre otras</w:t>
      </w:r>
    </w:p>
  </w:footnote>
  <w:footnote w:id="28">
    <w:p w:rsidR="00FA1C20" w:rsidRPr="00E01707" w:rsidRDefault="005D08AD" w:rsidP="00CF2FF1">
      <w:pPr>
        <w:pStyle w:val="Textonotapie"/>
        <w:jc w:val="both"/>
      </w:pPr>
      <w:r w:rsidRPr="00E01707">
        <w:rPr>
          <w:rStyle w:val="Refdenotaalpie"/>
        </w:rPr>
        <w:footnoteRef/>
      </w:r>
      <w:r w:rsidRPr="00E01707">
        <w:t xml:space="preserve"> La jurisprudencia constitucional en varias oportunidades se ha referido al fundamento de la cosa juzgada constitucional, así s</w:t>
      </w:r>
      <w:r w:rsidRPr="00E01707">
        <w:t xml:space="preserve">e encuentra las Sentencias C-774 de 2001, C-600 de 2010, C-241 de 2012, C-006 de 2016 entre otras. </w:t>
      </w:r>
    </w:p>
  </w:footnote>
  <w:footnote w:id="29">
    <w:p w:rsidR="00FA1C20" w:rsidRPr="00E01707" w:rsidRDefault="005D08AD">
      <w:pPr>
        <w:pStyle w:val="Textonotapie"/>
      </w:pPr>
      <w:r w:rsidRPr="00E01707">
        <w:rPr>
          <w:rStyle w:val="Refdenotaalpie"/>
        </w:rPr>
        <w:footnoteRef/>
      </w:r>
      <w:r w:rsidRPr="00E01707">
        <w:t xml:space="preserve"> Corte Constitucional, Sentencia C-222 de 2019, C-007 de 2016, C-228 de 2015</w:t>
      </w:r>
    </w:p>
  </w:footnote>
  <w:footnote w:id="30">
    <w:p w:rsidR="00FA1C20" w:rsidRPr="00E01707" w:rsidRDefault="005D08AD" w:rsidP="007F59B2">
      <w:pPr>
        <w:pStyle w:val="Textonotapie"/>
        <w:jc w:val="both"/>
      </w:pPr>
      <w:r w:rsidRPr="00E01707">
        <w:rPr>
          <w:rStyle w:val="Refdenotaalpie"/>
        </w:rPr>
        <w:footnoteRef/>
      </w:r>
      <w:r w:rsidRPr="00E01707">
        <w:t xml:space="preserve"> La Corte en sus inicios dio a conocer que antes de la nueva constitución la </w:t>
      </w:r>
      <w:r w:rsidRPr="00E01707">
        <w:t>Corte Suprema de Justicia solo aceptaba la idea de cosa juzgada formal y no material, lo que impedía volver a demandar el mismo texto legal, pero no otro con igual contenido normativa. Sin embargo, con la constitución de 1991 y, en atención al artículo 243</w:t>
      </w:r>
      <w:r w:rsidRPr="00E01707">
        <w:t xml:space="preserve"> Superior la Corte adopta una nueva posición, esto es que la cosa juzgada material si existe. En ese sentido, se adoptó una distinción entre la cosa juzgada-formal y material-Ver al respecto: Sentencia C-427 de 1996, C-301 de 1993, C-1216 de 2001.  </w:t>
      </w:r>
    </w:p>
  </w:footnote>
  <w:footnote w:id="31">
    <w:p w:rsidR="00FA1C20" w:rsidRPr="00E01707" w:rsidRDefault="005D08AD" w:rsidP="007F59B2">
      <w:pPr>
        <w:pStyle w:val="Textonotapie"/>
        <w:jc w:val="both"/>
      </w:pPr>
      <w:r w:rsidRPr="00E01707">
        <w:rPr>
          <w:rStyle w:val="Refdenotaalpie"/>
        </w:rPr>
        <w:footnoteRef/>
      </w:r>
      <w:r w:rsidRPr="00E01707">
        <w:t xml:space="preserve"> La j</w:t>
      </w:r>
      <w:r w:rsidRPr="00E01707">
        <w:t>urisprudencia constitucional ha determinado que la cosa juzgada material puede ser en sentido estricto o en sentido amplio. En sentido estricto opera, en principio, cuando la inexequibilidad de la decisión se dio por razones de fondo y el parámetro de cont</w:t>
      </w:r>
      <w:r w:rsidRPr="00E01707">
        <w:t>rol sigue siendo el mismo y, en sentido amplio se configura en el momento en que la Corte declara exequible la norma, pero, aun así, se decide emitir un pronunciamiento de fondo, argumentando que no se seguirá la sentencia que constituye un precedente impo</w:t>
      </w:r>
      <w:r w:rsidRPr="00E01707">
        <w:t>rtante.</w:t>
      </w:r>
      <w:r w:rsidRPr="00E01707">
        <w:rPr>
          <w:lang w:val="es-MX"/>
        </w:rPr>
        <w:t xml:space="preserve"> “Una vez reproducida la norma exequible, la Corte debe apreciar si en el nuevo contexto dentro del cual fue expedida, ésta adquirió un alcance o unos efectos distintos, lo cual justificaría un fallo de fondo en un sentido diferente al anterior. Lo </w:t>
      </w:r>
      <w:r w:rsidRPr="00E01707">
        <w:rPr>
          <w:lang w:val="es-MX"/>
        </w:rPr>
        <w:t xml:space="preserve">mismo sucedería en caso de que la Corte encuentre razones poderosas para introducir ajustes en su jurisprudencia o cambiarla”. Ver al respecto la sentencias: C-096 de 2003 y C-393 de 2011. </w:t>
      </w:r>
    </w:p>
  </w:footnote>
  <w:footnote w:id="32">
    <w:p w:rsidR="00FA1C20" w:rsidRPr="00E01707" w:rsidRDefault="005D08AD" w:rsidP="00B36F01">
      <w:pPr>
        <w:pStyle w:val="Textonotapie"/>
        <w:jc w:val="both"/>
      </w:pPr>
      <w:r w:rsidRPr="00E01707">
        <w:rPr>
          <w:rStyle w:val="Refdenotaalpie"/>
        </w:rPr>
        <w:footnoteRef/>
      </w:r>
      <w:r w:rsidRPr="00E01707">
        <w:t xml:space="preserve"> La Corte Constitucional ha determinado que cuando la revisión de</w:t>
      </w:r>
      <w:r w:rsidRPr="00E01707">
        <w:t xml:space="preserve"> una norma se hace de forma general y no en su caso particular se produce cosa juzgada absoluta. Esto significa que nadie puede volver a demandar esa norma por ninguna otra razón porque ya fue analizada completamente. Ver al respecto las Sentencias C-492 d</w:t>
      </w:r>
      <w:r w:rsidRPr="00E01707">
        <w:t xml:space="preserve">e 2000, C-153 de 2003, C-337 de 2007, C-546 de 2011, C-007 de 2016 entre otras. </w:t>
      </w:r>
    </w:p>
  </w:footnote>
  <w:footnote w:id="33">
    <w:p w:rsidR="00FA1C20" w:rsidRPr="00E01707" w:rsidRDefault="005D08AD" w:rsidP="00467F17">
      <w:pPr>
        <w:pStyle w:val="Textonotapie"/>
        <w:jc w:val="both"/>
      </w:pPr>
      <w:r w:rsidRPr="00E01707">
        <w:rPr>
          <w:rStyle w:val="Refdenotaalpie"/>
        </w:rPr>
        <w:footnoteRef/>
      </w:r>
      <w:r w:rsidRPr="00E01707">
        <w:t xml:space="preserve"> La Corte Constitucional ha indicado que cuando una norma es declarada inexequible la cosa juzgada es absoluta. Por ende, debe estarse a lo resuelto a la sentencia que declar</w:t>
      </w:r>
      <w:r w:rsidRPr="00E01707">
        <w:t xml:space="preserve">ó la inexequibilidad siempre que no se trate de otra norma y el parámetro del control sea el mismo. Así, por ejemplo, las siguientes sentencias declararon la existencia de cosa juzgada constitucional por la inconstitucionalidad de la norma: C-194 de 1993, </w:t>
      </w:r>
      <w:r w:rsidRPr="00E01707">
        <w:t xml:space="preserve">C-217 de 1993, C-993 de 2001, C-957 de 2001, C-096 de 2017. </w:t>
      </w:r>
    </w:p>
  </w:footnote>
  <w:footnote w:id="34">
    <w:p w:rsidR="00FA1C20" w:rsidRPr="00E01707" w:rsidRDefault="005D08AD" w:rsidP="004E3A74">
      <w:pPr>
        <w:pStyle w:val="Textonotapie"/>
        <w:jc w:val="both"/>
        <w:rPr>
          <w:lang w:val="es-CO"/>
        </w:rPr>
      </w:pPr>
      <w:r w:rsidRPr="00E01707">
        <w:rPr>
          <w:rStyle w:val="Refdenotaalpie"/>
        </w:rPr>
        <w:footnoteRef/>
      </w:r>
      <w:r w:rsidRPr="00E01707">
        <w:t xml:space="preserve"> Corte Constitucional, Sentencias C-269 de 1999, C-920 de 2001, C-1036 de 2003, C-382 de 2005, C-510 de 2010 entre otras. </w:t>
      </w:r>
    </w:p>
  </w:footnote>
  <w:footnote w:id="35">
    <w:p w:rsidR="00FA1C20" w:rsidRPr="00E01707" w:rsidRDefault="005D08AD" w:rsidP="004E3A74">
      <w:pPr>
        <w:pStyle w:val="Textonotapie"/>
        <w:jc w:val="both"/>
        <w:rPr>
          <w:lang w:val="es-CO"/>
        </w:rPr>
      </w:pPr>
      <w:r w:rsidRPr="00E01707">
        <w:rPr>
          <w:rStyle w:val="Refdenotaalpie"/>
        </w:rPr>
        <w:footnoteRef/>
      </w:r>
      <w:r w:rsidRPr="00E01707">
        <w:t xml:space="preserve"> En Sentencia C-007 de 2016 la Corte al sistematizar las reglas de la </w:t>
      </w:r>
      <w:r w:rsidRPr="00E01707">
        <w:t>cosa juzgada indicó que la cosa juzgada relativa explícita se da cuando en la parte resolutiva de la sentencia se establece expresamente que el pronunciamiento de la Corte se limita a los cargos analizados. Por el contrario, será implícita cuando, pese a n</w:t>
      </w:r>
      <w:r w:rsidRPr="00E01707">
        <w:t>o hacerse tal referencia en la parte resolutiva, de las consideraciones de la sentencia se puede desprender que la Corte limitó su juicio a determinados cargos.</w:t>
      </w:r>
    </w:p>
  </w:footnote>
  <w:footnote w:id="36">
    <w:p w:rsidR="00FA1C20" w:rsidRPr="00E01707" w:rsidRDefault="005D08AD">
      <w:pPr>
        <w:pStyle w:val="Textonotapie"/>
      </w:pPr>
      <w:r w:rsidRPr="00E01707">
        <w:rPr>
          <w:rStyle w:val="Refdenotaalpie"/>
        </w:rPr>
        <w:footnoteRef/>
      </w:r>
      <w:r w:rsidRPr="00E01707">
        <w:t xml:space="preserve"> Corte Constitucional Sentencias C-389 de 2014, C-044 de 2002</w:t>
      </w:r>
    </w:p>
  </w:footnote>
  <w:footnote w:id="37">
    <w:p w:rsidR="00FA1C20" w:rsidRPr="00E01707" w:rsidRDefault="005D08AD" w:rsidP="004E3A74">
      <w:pPr>
        <w:pStyle w:val="Textonotapie"/>
        <w:jc w:val="both"/>
      </w:pPr>
      <w:r w:rsidRPr="00E01707">
        <w:rPr>
          <w:rStyle w:val="Refdenotaalpie"/>
        </w:rPr>
        <w:footnoteRef/>
      </w:r>
      <w:r w:rsidRPr="00E01707">
        <w:t xml:space="preserve"> Así, por ejemplo, en Sentencia</w:t>
      </w:r>
      <w:r w:rsidRPr="00E01707">
        <w:t xml:space="preserve">s C-389 de 2014 y C-254 de 2012 la Corte refirió que la doctrina constitucional dispone tres excepciones al alcance de la cosa juzgada, entre tales excepciones se refirió la cosa juzgada relativa. </w:t>
      </w:r>
    </w:p>
  </w:footnote>
  <w:footnote w:id="38">
    <w:p w:rsidR="00FA1C20" w:rsidRPr="00E01707" w:rsidRDefault="005D08AD">
      <w:pPr>
        <w:pStyle w:val="Textonotapie"/>
        <w:rPr>
          <w:lang w:val="es-CO"/>
        </w:rPr>
      </w:pPr>
      <w:r w:rsidRPr="00E01707">
        <w:rPr>
          <w:rStyle w:val="Refdenotaalpie"/>
        </w:rPr>
        <w:footnoteRef/>
      </w:r>
      <w:r w:rsidRPr="00E01707">
        <w:t xml:space="preserve"> </w:t>
      </w:r>
      <w:r w:rsidRPr="00E01707">
        <w:rPr>
          <w:lang w:val="es-CO"/>
        </w:rPr>
        <w:t>Corte Constitucional, Sentencias C-295 de 1993, C-774 de</w:t>
      </w:r>
      <w:r w:rsidRPr="00E01707">
        <w:rPr>
          <w:lang w:val="es-CO"/>
        </w:rPr>
        <w:t xml:space="preserve"> 2001, C-332 de 2013, C-073 de 2017, C-007 de 2016, C-369 de 2017, C-055 de 2022 entre otras. </w:t>
      </w:r>
    </w:p>
  </w:footnote>
  <w:footnote w:id="39">
    <w:p w:rsidR="00FA1C20" w:rsidRPr="00E01707" w:rsidRDefault="005D08AD" w:rsidP="000A1C16">
      <w:pPr>
        <w:pStyle w:val="Textonotapie"/>
        <w:jc w:val="both"/>
      </w:pPr>
      <w:r w:rsidRPr="00E01707">
        <w:rPr>
          <w:rStyle w:val="Refdenotaalpie"/>
        </w:rPr>
        <w:footnoteRef/>
      </w:r>
      <w:r w:rsidRPr="00E01707">
        <w:t xml:space="preserve"> Así, por ejemplo, en Sentencia C-055 de 2022 la Corte al evaluar el artículo 122 de la Ley 599 de 2000 que penalizaba el aborto, consideró que si bien la norma</w:t>
      </w:r>
      <w:r w:rsidRPr="00E01707">
        <w:t xml:space="preserve"> había sido estudiada en la Sentencia C-355 de 2006 determinó, entre otras razones porque varió el contexto normativo que objeto de control en la mencionada sentencia de 2006 debido a que han aparecido otras normas, políticas y sentencias que han llegado a</w:t>
      </w:r>
      <w:r w:rsidRPr="00E01707">
        <w:t xml:space="preserve"> considerar que incluso en Colombia “existe un derecho fundamental a la interrupción voluntaria del embarazo en los supuestos despenalizados”. Adicionalmente, consideró que existe una modificación en el sentido materia de la constitución que permiten estab</w:t>
      </w:r>
      <w:r w:rsidRPr="00E01707">
        <w:t xml:space="preserve">lecer un cambio en la interpretación que se hacer en la interrupción voluntaria del embarazo. </w:t>
      </w:r>
    </w:p>
  </w:footnote>
  <w:footnote w:id="40">
    <w:p w:rsidR="00FA1C20" w:rsidRPr="00E01707" w:rsidRDefault="005D08AD" w:rsidP="00C7120A">
      <w:pPr>
        <w:pStyle w:val="Textonotapie"/>
        <w:jc w:val="both"/>
        <w:rPr>
          <w:lang w:val="es-CO"/>
        </w:rPr>
      </w:pPr>
      <w:r w:rsidRPr="00E01707">
        <w:rPr>
          <w:rStyle w:val="Refdenotaalpie"/>
        </w:rPr>
        <w:footnoteRef/>
      </w:r>
      <w:r w:rsidRPr="00E01707">
        <w:t xml:space="preserve"> Artículo 224 de la Ley 100 de 1993. Impuesto social a las armas y municiones. “</w:t>
      </w:r>
      <w:r w:rsidRPr="00E01707">
        <w:rPr>
          <w:shd w:val="clear" w:color="auto" w:fill="FFFFFF"/>
        </w:rPr>
        <w:t xml:space="preserve">A partir del 1º de enero de 1996 créase el impuesto social a las armas de fuego </w:t>
      </w:r>
      <w:r w:rsidRPr="00E01707">
        <w:rPr>
          <w:shd w:val="clear" w:color="auto" w:fill="FFFFFF"/>
        </w:rPr>
        <w:t>que será pagado por quienes las porten en el territorio nacional, y que será cobrado con la expedición o renovación del respectivo permiso y por el término de éste. El recaudo de este impuesto se destinará al Fondo de Solidaridad previsto en el artículo 22</w:t>
      </w:r>
      <w:r w:rsidRPr="00E01707">
        <w:rPr>
          <w:shd w:val="clear" w:color="auto" w:fill="FFFFFF"/>
        </w:rPr>
        <w:t xml:space="preserve">1 de esta Ley. El impuesto tendrá un monto equivalente al 10% de un salario mínimo mensual. Igualmente, créase el impuesto social a las municiones y explosivos que se cobrará como un impuesto </w:t>
      </w:r>
      <w:r w:rsidRPr="000F460E">
        <w:rPr>
          <w:i/>
          <w:iCs/>
          <w:shd w:val="clear" w:color="auto" w:fill="FFFFFF"/>
        </w:rPr>
        <w:t>ad valorem</w:t>
      </w:r>
      <w:r w:rsidRPr="00E01707">
        <w:rPr>
          <w:shd w:val="clear" w:color="auto" w:fill="FFFFFF"/>
        </w:rPr>
        <w:t xml:space="preserve"> con una tasa del 5%. El Gobierno reglamentará los mec</w:t>
      </w:r>
      <w:r w:rsidRPr="00E01707">
        <w:rPr>
          <w:shd w:val="clear" w:color="auto" w:fill="FFFFFF"/>
        </w:rPr>
        <w:t>anismos y los procedimientos necesarios para su operación.”</w:t>
      </w:r>
    </w:p>
  </w:footnote>
  <w:footnote w:id="41">
    <w:p w:rsidR="00FA1C20" w:rsidRPr="00E01707" w:rsidRDefault="005D08AD" w:rsidP="00C7120A">
      <w:pPr>
        <w:pStyle w:val="Textonotapie"/>
        <w:jc w:val="both"/>
        <w:rPr>
          <w:lang w:val="es-CO"/>
        </w:rPr>
      </w:pPr>
      <w:r w:rsidRPr="00E01707">
        <w:rPr>
          <w:rStyle w:val="Refdenotaalpie"/>
        </w:rPr>
        <w:footnoteRef/>
      </w:r>
      <w:r w:rsidRPr="00E01707">
        <w:t xml:space="preserve"> Sobre el segundo alcance, la Sentencia C-390 de 1996 resolvió que la norma no afectaba el principio de unidad de materia por cuanto si bien la seguridad social es separable del poder de imposici</w:t>
      </w:r>
      <w:r w:rsidRPr="00E01707">
        <w:t>ón pueden vincularse materialmente cuando “se aprecia que, para el adecuado e integral cumplimiento de los cometidos sociales subyacentes a esa normatividad, son indispensables la canalización de recursos y el arbitrio rentístico”.</w:t>
      </w:r>
    </w:p>
  </w:footnote>
  <w:footnote w:id="42">
    <w:p w:rsidR="00FA1C20" w:rsidRPr="000660BF" w:rsidRDefault="005D08AD" w:rsidP="00252E69">
      <w:pPr>
        <w:pStyle w:val="Textonotapie"/>
        <w:jc w:val="both"/>
      </w:pPr>
      <w:r w:rsidRPr="000660BF">
        <w:rPr>
          <w:rStyle w:val="Refdenotaalpie"/>
        </w:rPr>
        <w:footnoteRef/>
      </w:r>
      <w:r w:rsidRPr="000660BF">
        <w:t xml:space="preserve"> Artículo 48 de la Ley 1438 de 2011. Modifíquese el artículo 224 de la Ley 100 de 1993, el cual quedará de la siguiente manera: “Artículo 224. Impuesto social a las armas y municiones. A partir del 1o de enero de 1996, créase el impuesto social a las armas</w:t>
      </w:r>
      <w:r w:rsidRPr="000660BF">
        <w:t xml:space="preserve"> de fuego que será pagado por quienes las porten en el territorio nacional, y que será cobrado con la expedición o renovación del respectivo permiso y por el término de este. El recaudo de este impuesto se destinará al fondo de solidaridad previsto en el a</w:t>
      </w:r>
      <w:r w:rsidRPr="000660BF">
        <w:t>rtículo 221 de esta ley. El impuesto tendrá un monto equivalente al 30% de un salario mínimo mensual. Igualmente, créase el impuesto social a las municiones y explosivos, que se cobrará como un impuesto</w:t>
      </w:r>
      <w:r w:rsidRPr="000660BF">
        <w:rPr>
          <w:i/>
          <w:iCs/>
        </w:rPr>
        <w:t xml:space="preserve"> ad valorem</w:t>
      </w:r>
      <w:r w:rsidRPr="000660BF">
        <w:t xml:space="preserve"> con una tasa del 20%. El gobierno reglamen</w:t>
      </w:r>
      <w:r w:rsidRPr="000660BF">
        <w:t>tará los mecanismos de pago y el uso de estos recursos: el Plan de Beneficios, los beneficiarios y los procedimientos necesarios para su operación.</w:t>
      </w:r>
    </w:p>
    <w:p w:rsidR="00FA1C20" w:rsidRPr="000660BF" w:rsidRDefault="005D08AD" w:rsidP="00252E69">
      <w:pPr>
        <w:pStyle w:val="Textonotapie"/>
        <w:jc w:val="both"/>
        <w:rPr>
          <w:lang w:val="es-CO"/>
        </w:rPr>
      </w:pPr>
      <w:r w:rsidRPr="000660BF">
        <w:t>PARÁGRAFO. Se exceptúan de este impuesto las armas de fuego y municiones y explosivos que posean las Fuerzas</w:t>
      </w:r>
      <w:r w:rsidRPr="000660BF">
        <w:t xml:space="preserve"> Armadas y de Policía y las entidades de seguridad del Estado”.</w:t>
      </w:r>
    </w:p>
  </w:footnote>
  <w:footnote w:id="43">
    <w:p w:rsidR="00FA1C20" w:rsidRPr="00E01707" w:rsidRDefault="005D08AD" w:rsidP="00A32ACD">
      <w:pPr>
        <w:pStyle w:val="Textonotapie"/>
        <w:jc w:val="both"/>
        <w:rPr>
          <w:lang w:val="es-CO"/>
        </w:rPr>
      </w:pPr>
      <w:r w:rsidRPr="000660BF">
        <w:rPr>
          <w:rStyle w:val="Refdenotaalpie"/>
        </w:rPr>
        <w:footnoteRef/>
      </w:r>
      <w:r w:rsidRPr="000660BF">
        <w:t xml:space="preserve"> El demandante consideró que se vulneraba el artículo 154.4 de la Constitución –según</w:t>
      </w:r>
      <w:r>
        <w:t xml:space="preserve"> </w:t>
      </w:r>
      <w:r w:rsidRPr="00E01707">
        <w:t>el cual los proyectos de naturaleza tributaria deben iniciar su trámite en la Cámara de Representantes</w:t>
      </w:r>
      <w:r>
        <w:t>– R</w:t>
      </w:r>
      <w:r>
        <w:t xml:space="preserve">especto de esto, </w:t>
      </w:r>
      <w:r w:rsidRPr="00E01707">
        <w:t>la Corte consideró que este no se vio afectado debido a que el proyecto de ley por medio del cual se expidió la Ley 1438 de 2011 fue sesionado, en primer debate, de forma conjunta por las comisiones constitucionales séptimas de Cámara y Se</w:t>
      </w:r>
      <w:r w:rsidRPr="00E01707">
        <w:t>nado.</w:t>
      </w:r>
    </w:p>
  </w:footnote>
  <w:footnote w:id="44">
    <w:p w:rsidR="00FA1C20" w:rsidRPr="00E01707" w:rsidRDefault="005D08AD">
      <w:pPr>
        <w:pStyle w:val="Textonotapie"/>
      </w:pPr>
      <w:r w:rsidRPr="00E01707">
        <w:rPr>
          <w:rStyle w:val="Refdenotaalpie"/>
        </w:rPr>
        <w:footnoteRef/>
      </w:r>
      <w:r w:rsidRPr="00E01707">
        <w:t xml:space="preserve"> Corte Constitucional, Sentencias, C-066 de 2021, C-200 de 2021, C-260 de 2015 entre otras. </w:t>
      </w:r>
    </w:p>
  </w:footnote>
  <w:footnote w:id="45">
    <w:p w:rsidR="00FA1C20" w:rsidRPr="00A12D7F" w:rsidRDefault="005D08AD" w:rsidP="00337B81">
      <w:pPr>
        <w:pStyle w:val="Textonotapie"/>
        <w:jc w:val="both"/>
      </w:pPr>
      <w:r w:rsidRPr="00E01707">
        <w:rPr>
          <w:rStyle w:val="Refdenotaalpie"/>
        </w:rPr>
        <w:footnoteRef/>
      </w:r>
      <w:r w:rsidRPr="00E01707">
        <w:t xml:space="preserve"> Corte Constitucional, Sentencia C-484 de 2020 que reitera las Sentencias C-060 de 2018, C-056 de 2019, C-278 de 2019 </w:t>
      </w:r>
      <w:r>
        <w:t xml:space="preserve">y </w:t>
      </w:r>
      <w:r w:rsidRPr="00E01707">
        <w:t>sistematizó las reglas del principi</w:t>
      </w:r>
      <w:r w:rsidRPr="00E01707">
        <w:t xml:space="preserve">o de legalidad en relación con la certeza tributaria. </w:t>
      </w:r>
    </w:p>
  </w:footnote>
  <w:footnote w:id="46">
    <w:p w:rsidR="00FA1C20" w:rsidRPr="00E01707" w:rsidRDefault="005D08AD">
      <w:pPr>
        <w:pStyle w:val="Textonotapie"/>
        <w:rPr>
          <w:lang w:val="es-CO"/>
        </w:rPr>
      </w:pPr>
      <w:r w:rsidRPr="00E01707">
        <w:rPr>
          <w:rStyle w:val="Refdenotaalpie"/>
        </w:rPr>
        <w:footnoteRef/>
      </w:r>
      <w:r w:rsidRPr="00E01707">
        <w:t xml:space="preserve"> Así, la legalidad del tributo también se predica de los diferentes ingresos tributarios.</w:t>
      </w:r>
    </w:p>
  </w:footnote>
  <w:footnote w:id="47">
    <w:p w:rsidR="00FA1C20" w:rsidRPr="00BE6F49" w:rsidRDefault="005D08AD">
      <w:pPr>
        <w:pStyle w:val="Textonotapie"/>
      </w:pPr>
      <w:r>
        <w:rPr>
          <w:rStyle w:val="Refdenotaalpie"/>
        </w:rPr>
        <w:footnoteRef/>
      </w:r>
      <w:r>
        <w:t xml:space="preserve"> Corte Constitucional, Sentencia C-200 de 2021</w:t>
      </w:r>
    </w:p>
  </w:footnote>
  <w:footnote w:id="48">
    <w:p w:rsidR="00FA1C20" w:rsidRPr="00E01707" w:rsidRDefault="005D08AD">
      <w:pPr>
        <w:pStyle w:val="Textonotapie"/>
      </w:pPr>
      <w:r w:rsidRPr="00E01707">
        <w:rPr>
          <w:rStyle w:val="Refdenotaalpie"/>
        </w:rPr>
        <w:footnoteRef/>
      </w:r>
      <w:r w:rsidRPr="00E01707">
        <w:t xml:space="preserve"> Corte Constitucional, Sentencia C-019 de 2022.</w:t>
      </w:r>
    </w:p>
  </w:footnote>
  <w:footnote w:id="49">
    <w:p w:rsidR="00FA1C20" w:rsidRPr="00E01707" w:rsidRDefault="005D08AD">
      <w:pPr>
        <w:pStyle w:val="Textonotapie"/>
      </w:pPr>
      <w:r w:rsidRPr="00E01707">
        <w:rPr>
          <w:rStyle w:val="Refdenotaalpie"/>
        </w:rPr>
        <w:footnoteRef/>
      </w:r>
      <w:r w:rsidRPr="00E01707">
        <w:t xml:space="preserve"> Corte Const</w:t>
      </w:r>
      <w:r w:rsidRPr="00E01707">
        <w:t xml:space="preserve">itucional, Sentencia C-891 de 2012 </w:t>
      </w:r>
    </w:p>
  </w:footnote>
  <w:footnote w:id="50">
    <w:p w:rsidR="00FA1C20" w:rsidRPr="00E01707" w:rsidRDefault="005D08AD" w:rsidP="009A0E88">
      <w:pPr>
        <w:pStyle w:val="Textonotapie"/>
        <w:jc w:val="both"/>
      </w:pPr>
      <w:r w:rsidRPr="00E01707">
        <w:rPr>
          <w:rStyle w:val="Refdenotaalpie"/>
        </w:rPr>
        <w:footnoteRef/>
      </w:r>
      <w:r w:rsidRPr="00E01707">
        <w:t xml:space="preserve"> </w:t>
      </w:r>
      <w:r w:rsidRPr="00E01707">
        <w:rPr>
          <w:lang w:val="es-CO"/>
        </w:rPr>
        <w:t>Corte Constitucional, Sentencia</w:t>
      </w:r>
      <w:r>
        <w:rPr>
          <w:lang w:val="es-CO"/>
        </w:rPr>
        <w:t>s</w:t>
      </w:r>
      <w:r w:rsidRPr="00E01707">
        <w:rPr>
          <w:lang w:val="es-CO"/>
        </w:rPr>
        <w:t xml:space="preserve"> C-593 de 2019, C-161 de 2022, C-594 de 2010, entre otras.</w:t>
      </w:r>
    </w:p>
  </w:footnote>
  <w:footnote w:id="51">
    <w:p w:rsidR="00FA1C20" w:rsidRPr="00E01707" w:rsidRDefault="005D08AD" w:rsidP="00AC33EC">
      <w:pPr>
        <w:pStyle w:val="Textonotapie"/>
        <w:jc w:val="both"/>
      </w:pPr>
      <w:r w:rsidRPr="00E01707">
        <w:rPr>
          <w:rStyle w:val="Refdenotaalpie"/>
        </w:rPr>
        <w:footnoteRef/>
      </w:r>
      <w:r w:rsidRPr="00E01707">
        <w:t xml:space="preserve"> Así, por ejemplo, en las Sentencias C-035 de 2009, C-459 de 2013, C-269 de 2019 y C-101 de 2022, la Corte sostuvo que, cuando</w:t>
      </w:r>
      <w:r w:rsidRPr="00E01707">
        <w:t xml:space="preserve"> se autoriza la creación de tributos territoriales, al legislador solo se le exige fijar dos elementos mínimos: (i) la autorización del gravamen y (ii) la delimitación del hecho generador. Por su parte, en relación con la determinación de la base gravable,</w:t>
      </w:r>
      <w:r w:rsidRPr="00E01707">
        <w:t xml:space="preserve"> en las Sentencias C-449 de 2015 y C-019 de 2019 la Corte consideró que el estándar de exigencia es menos estricto, dado que en algunos casos su definición puede requerir una actualización constante del precio. En estos eventos, la exigencia constitucional</w:t>
      </w:r>
      <w:r w:rsidRPr="00E01707">
        <w:t xml:space="preserve"> radica en que la administración no fije directamente la base gravable, sino que se limite a concretar o certificar un precio que: (i) tenga una contrapartida cierta en la realidad económica y, por su naturaleza variable, requiera actualización permanente;</w:t>
      </w:r>
      <w:r w:rsidRPr="00E01707">
        <w:t xml:space="preserve"> y (ii) esté determinado con base en criterios o pautas previamente establecidos por el legislador, que orienten la forma en que la administración debe calcular, concretar, certificar o liquidar dicho precio.</w:t>
      </w:r>
    </w:p>
  </w:footnote>
  <w:footnote w:id="52">
    <w:p w:rsidR="00FA1C20" w:rsidRPr="00E01707" w:rsidRDefault="005D08AD" w:rsidP="00341472">
      <w:pPr>
        <w:pStyle w:val="Textonotapie"/>
        <w:jc w:val="both"/>
      </w:pPr>
      <w:r w:rsidRPr="00E01707">
        <w:rPr>
          <w:rStyle w:val="Refdenotaalpie"/>
        </w:rPr>
        <w:footnoteRef/>
      </w:r>
      <w:r w:rsidRPr="00E01707">
        <w:t xml:space="preserve"> La Corte en la Sentencia C-488 de 2000 al est</w:t>
      </w:r>
      <w:r w:rsidRPr="00E01707">
        <w:t xml:space="preserve">udiar el nivel de precisión de un hecho generador del impuesto al valor agregado, aseveró que </w:t>
      </w:r>
      <w:r w:rsidRPr="00E01707">
        <w:rPr>
          <w:i/>
          <w:iCs/>
        </w:rPr>
        <w:t>“[l]a ambigüedad y confusión de las expresiones que se utilicen en la descripción de los elementos del tributo puede conducir a la declaratoria de inconstituciona</w:t>
      </w:r>
      <w:r w:rsidRPr="00E01707">
        <w:rPr>
          <w:i/>
          <w:iCs/>
        </w:rPr>
        <w:t>lidad, únicamente, en aquellos casos en que no es posible, de acuerdo con las reglas de interpretación de las leyes, determinarlos</w:t>
      </w:r>
      <w:r w:rsidRPr="00E01707">
        <w:t>”. Este criterio ha sido reiterado de forma consistente y pacífica en la jurisprudencia de la Corte. Lo cual se puede verifica</w:t>
      </w:r>
      <w:r w:rsidRPr="00E01707">
        <w:t>r en las sentencias C-690 de 2003, C-121 de 2006, C-1153 de 2008, C-459 de 2013, C-585 de 2015, C-019 de 2022, C-506 de 2023, entre otras.</w:t>
      </w:r>
    </w:p>
  </w:footnote>
  <w:footnote w:id="53">
    <w:p w:rsidR="00FA1C20" w:rsidRPr="00E01707" w:rsidRDefault="005D08AD">
      <w:pPr>
        <w:pStyle w:val="Textonotapie"/>
        <w:rPr>
          <w:lang w:val="es-CO"/>
        </w:rPr>
      </w:pPr>
      <w:r w:rsidRPr="00E01707">
        <w:rPr>
          <w:rStyle w:val="Refdenotaalpie"/>
        </w:rPr>
        <w:footnoteRef/>
      </w:r>
      <w:r w:rsidRPr="00E01707">
        <w:t xml:space="preserve"> Corte Constitucional, Sentencia C-506 de 2023, que reitera la Sentencia C-486 de 2020</w:t>
      </w:r>
      <w:r>
        <w:t>.</w:t>
      </w:r>
    </w:p>
  </w:footnote>
  <w:footnote w:id="54">
    <w:p w:rsidR="00FA1C20" w:rsidRPr="00E01707" w:rsidRDefault="005D08AD" w:rsidP="001621A7">
      <w:pPr>
        <w:pStyle w:val="Textonotapie"/>
        <w:jc w:val="both"/>
      </w:pPr>
      <w:r w:rsidRPr="00E01707">
        <w:rPr>
          <w:rStyle w:val="Refdenotaalpie"/>
        </w:rPr>
        <w:footnoteRef/>
      </w:r>
      <w:r w:rsidRPr="00E01707">
        <w:t xml:space="preserve"> Así, por ejemplo, en la Se</w:t>
      </w:r>
      <w:r w:rsidRPr="00E01707">
        <w:t>ntencia C-167 de 2014 la Corte estudió las expresiones “los demás gastos que se requieran” y “los demás hechos que se presenten en desarrollo de los objetivos del Invima”, con el fin de establecer si permitían determinar el hecho generador de la tasa por l</w:t>
      </w:r>
      <w:r w:rsidRPr="00E01707">
        <w:t>os servicios prestados por el INVIMA. Al respecto, concluyó que la expresión “los demás hechos que se presenten en desarrollo de los objetivos del Invima” adolecía de una falta de claridad insubsanable, pues no contenía elementos adicionales que permitiera</w:t>
      </w:r>
      <w:r w:rsidRPr="00E01707">
        <w:t>n delimitar el hecho gravable. En criterio de la Corte, la referencia genérica a “hechos” implicaba que cualquier actuación vinculada al desarrollo de los objetivos de la entidad podía ser gravada. Esta indeterminación se agravaba por el Decreto 2078 de 20</w:t>
      </w:r>
      <w:r w:rsidRPr="00E01707">
        <w:t>12, que incorporó fines aún más amplios —como actuar como institución nacional de referencia—, pese a tratarse de una norma reglamentaria y no legal. Finalmente, la Corte descartó que fuera admisible redefinir por vía interpretativa el término “hechos” com</w:t>
      </w:r>
      <w:r w:rsidRPr="00E01707">
        <w:t>o “servicios”, en la medida en que ello trasladaba al intérprete una determinación que debía estar claramente fijada por el legislador.</w:t>
      </w:r>
    </w:p>
  </w:footnote>
  <w:footnote w:id="55">
    <w:p w:rsidR="00FA1C20" w:rsidRPr="00E01707" w:rsidRDefault="005D08AD" w:rsidP="00EA05E4">
      <w:pPr>
        <w:pStyle w:val="Textonotapie"/>
        <w:jc w:val="both"/>
      </w:pPr>
      <w:r w:rsidRPr="00E01707">
        <w:rPr>
          <w:rStyle w:val="Refdenotaalpie"/>
        </w:rPr>
        <w:footnoteRef/>
      </w:r>
      <w:r w:rsidRPr="00E01707">
        <w:t xml:space="preserve"> La Corte en Sentencia C-486 de 2020, reiterada en Sentencia C-506 de 2023 agrupo los diferentes métodos de interpretac</w:t>
      </w:r>
      <w:r w:rsidRPr="00E01707">
        <w:t xml:space="preserve">ión. </w:t>
      </w:r>
    </w:p>
  </w:footnote>
  <w:footnote w:id="56">
    <w:p w:rsidR="00FA1C20" w:rsidRPr="00E01707" w:rsidRDefault="005D08AD" w:rsidP="00420D4A">
      <w:pPr>
        <w:pStyle w:val="Textonotapie"/>
        <w:jc w:val="both"/>
      </w:pPr>
      <w:r w:rsidRPr="00E01707">
        <w:rPr>
          <w:rStyle w:val="Refdenotaalpie"/>
        </w:rPr>
        <w:footnoteRef/>
      </w:r>
      <w:r w:rsidRPr="00E01707">
        <w:t>Así, por ejemplo, en la sentencia C-459 de 2013 la Corte evaluó la constitucionalidad del artículo 52 de la Ley 1430 de 2010, que determinó que, para el sector financiero, la base gravable incluía “ingresos varios”. Dada la ambigüedad en la expresió</w:t>
      </w:r>
      <w:r w:rsidRPr="00E01707">
        <w:t>n consideró que en ese caso la misma se trataba de una categoría residual que comprendía todos los ingresos operacionales de las entidades financieras que no estuviesen especificados en la Ley 14 de 1983 ni en el Decreto 1333 de 1986. Para arribar a esta c</w:t>
      </w:r>
      <w:r w:rsidRPr="00E01707">
        <w:t xml:space="preserve">onclusión se tomó como punto de referencia el entendimiento generalizado de esta expresión en el sector financiero, que suele utilizarla para referirse a todos aquellos rubros que se generan con ocasión de las actividades que hacen parte del objeto propio </w:t>
      </w:r>
      <w:r w:rsidRPr="00E01707">
        <w:t>de las correspondientes entidades, es decir, dentro del giro ordinario de los negocios, pero que no se encuentran especificados o detallados en la correspondiente normatividad.</w:t>
      </w:r>
    </w:p>
  </w:footnote>
  <w:footnote w:id="57">
    <w:p w:rsidR="00FA1C20" w:rsidRPr="00E01707" w:rsidRDefault="005D08AD" w:rsidP="00A42FD7">
      <w:pPr>
        <w:pStyle w:val="Textonotapie"/>
        <w:jc w:val="both"/>
      </w:pPr>
      <w:r w:rsidRPr="00E01707">
        <w:rPr>
          <w:rStyle w:val="Refdenotaalpie"/>
        </w:rPr>
        <w:footnoteRef/>
      </w:r>
      <w:r w:rsidRPr="00E01707">
        <w:t xml:space="preserve"> Así, por ejemplo, en la sentencia C-1153 de 2008 la Corte al evaluar la constitucionalidad del artículo 6 de la Ley 1106 de 2006 que establecía como hecho generador del denominado “impuesto de guerra”, los contratos de obra pública celebrados con entidade</w:t>
      </w:r>
      <w:r w:rsidRPr="00E01707">
        <w:t>s públicas y las adiciones a los mismos, concluyó que las definiciones de la Ley 80 de 1993 podían ser utilizadas en este escenario, y que por tanto, “no se presenta una falta de claridad y de certeza insuperable en la definición del hecho gravado, pues cu</w:t>
      </w:r>
      <w:r w:rsidRPr="00E01707">
        <w:t>ando la norma acusada expresamente prescribe que la contribución que regula se causa por el hecho de suscribir ‘contratos de obra pública’, con ‘entidades de derecho público’, o celebrar contratos de adición al valor de los existentes, no cabe otra interpr</w:t>
      </w:r>
      <w:r w:rsidRPr="00E01707">
        <w:t>etación plausible distinta de aquella que el contrato al que se refiere es el definido en el estatuto de contratación a partir de elementos subjetivos, referentes a la calidad pública de la entidad contratante”.</w:t>
      </w:r>
    </w:p>
  </w:footnote>
  <w:footnote w:id="58">
    <w:p w:rsidR="00FA1C20" w:rsidRPr="00E01707" w:rsidRDefault="005D08AD" w:rsidP="001344D8">
      <w:pPr>
        <w:pStyle w:val="Textonotapie"/>
        <w:jc w:val="both"/>
      </w:pPr>
      <w:r w:rsidRPr="00E01707">
        <w:rPr>
          <w:rStyle w:val="Refdenotaalpie"/>
        </w:rPr>
        <w:footnoteRef/>
      </w:r>
      <w:r w:rsidRPr="00E01707">
        <w:t xml:space="preserve"> Así, por ejemplo, en la Sentencia C-714 de</w:t>
      </w:r>
      <w:r w:rsidRPr="00E01707">
        <w:t xml:space="preserve"> 2009 la Corte al evaluar la constitucionalidad del artículo 158.3 de la Ley 863 de 2003, que estableció como deducción del impuesto a la renta el 30% del valor de las inversiones efectuadas en activos fijos reales productivos adquiridos bajo de la modalid</w:t>
      </w:r>
      <w:r w:rsidRPr="00E01707">
        <w:t xml:space="preserve">ad de leasing financiero con opción irrevocable de compra. Arribó a la conclusión de que la expresión “activos fijos reales productivos” no generaba una indeterminación en la base gravable del impuesto a la renta, por la ambigüedad y polisemia de cada una </w:t>
      </w:r>
      <w:r w:rsidRPr="00E01707">
        <w:t>de las palabras anteriores, porque el artículo 60 del Estatuto Tributario definía “activos fijos”, y que no existían indicios de que el legislador hubiese querido asignar a esta locución un sentido distinto. En el mismo sentido, en la sentencia C-114 de 20</w:t>
      </w:r>
      <w:r w:rsidRPr="00E01707">
        <w:t xml:space="preserve">06 el análisis recayó sobre la expresión “o de otro género”, contenida en el artículo 871 del Estatuto Tributario, según el cual el hecho generador del Gravamen a los Movimientos Financiero era los “débitos que se efectúen a cuentas contables y de </w:t>
      </w:r>
      <w:r w:rsidRPr="00E01707">
        <w:rPr>
          <w:i/>
          <w:iCs/>
        </w:rPr>
        <w:t>otro gén</w:t>
      </w:r>
      <w:r w:rsidRPr="00E01707">
        <w:rPr>
          <w:i/>
          <w:iCs/>
        </w:rPr>
        <w:t>ero</w:t>
      </w:r>
      <w:r w:rsidRPr="00E01707">
        <w:t xml:space="preserve">, diferentes a las corrientes, de ahorro o de depósito, para la realización de cualquier pago”. En este caso la Corte concluyó que la expresión “y otro género” no configuraba una infracción al principio de certeza en materia tributaria, como quiera que </w:t>
      </w:r>
      <w:r w:rsidRPr="00E01707">
        <w:t>una vez ubicada y contextualizada en el artículo 871 del Estatuto Tributario, era posible concluir razonablemente que la expresión apuntaba a destacar que el impuesto se producía cuando se efectúa un débito respecto de cualquier tipo de cuenta de una entid</w:t>
      </w:r>
      <w:r w:rsidRPr="00E01707">
        <w:t>ad financiera, independientemente de su denominación o calificación legal, salvo que se trate de una cuenta corriente, de ahorros o de depósito.</w:t>
      </w:r>
    </w:p>
  </w:footnote>
  <w:footnote w:id="59">
    <w:p w:rsidR="00FA1C20" w:rsidRPr="00E01707" w:rsidRDefault="005D08AD" w:rsidP="00F14B3E">
      <w:pPr>
        <w:pStyle w:val="Textonotapie"/>
        <w:jc w:val="both"/>
        <w:rPr>
          <w:lang w:val="es-CO"/>
        </w:rPr>
      </w:pPr>
      <w:r w:rsidRPr="00E01707">
        <w:rPr>
          <w:rStyle w:val="Refdenotaalpie"/>
        </w:rPr>
        <w:footnoteRef/>
      </w:r>
      <w:r w:rsidRPr="00E01707">
        <w:t xml:space="preserve"> La Corte, en la Sentencia C-669 de 2009, al evaluar la validez de la norma que fijaba el hecho generador, la base gravable y la tarifa del impuesto al consumo de cigarrillos y tabaco elaborado, determinó que, aun cuando el legislador guardó silencio sobre</w:t>
      </w:r>
      <w:r w:rsidRPr="00E01707">
        <w:t xml:space="preserve"> la actualización de la cifra que servía de referencia para la base gravable y tarifa, ello no vulneraba el principio de certeza tributaria ya que de los antecedentes legislativos se desprendía que la decisión obedecía a una finalidad deliberada de increme</w:t>
      </w:r>
      <w:r w:rsidRPr="00E01707">
        <w:t>ntar el recaudo y desestimular el consumo.</w:t>
      </w:r>
    </w:p>
  </w:footnote>
  <w:footnote w:id="60">
    <w:p w:rsidR="00FA1C20" w:rsidRPr="00E01707" w:rsidRDefault="005D08AD" w:rsidP="0017302F">
      <w:pPr>
        <w:pStyle w:val="Textonotapie"/>
        <w:jc w:val="both"/>
        <w:rPr>
          <w:lang w:val="es-CO"/>
        </w:rPr>
      </w:pPr>
      <w:r w:rsidRPr="00E01707">
        <w:rPr>
          <w:rStyle w:val="Refdenotaalpie"/>
        </w:rPr>
        <w:footnoteRef/>
      </w:r>
      <w:r w:rsidRPr="00E01707">
        <w:t xml:space="preserve"> La Corte en Sentencia C-622 de 2015 indicó que esta herramienta se utiliza cuando las dificultades hermenéuticas advertidas por el accionante en un proceso de constitucionalidad abstracta no es un obstáculo para</w:t>
      </w:r>
      <w:r w:rsidRPr="00E01707">
        <w:t xml:space="preserve"> los operadores jurídicos, entonces el juez debe descartar el cargo porque el funcionamiento de la norma en la comunidad jurídica demuestra que las presuntas indeterminaciones lingüísticas y lógicas pueden ser superadas mediante los criterios de interpreta</w:t>
      </w:r>
      <w:r w:rsidRPr="00E01707">
        <w:t xml:space="preserve">ción.  </w:t>
      </w:r>
    </w:p>
  </w:footnote>
  <w:footnote w:id="61">
    <w:p w:rsidR="00FA1C20" w:rsidRPr="00E01707" w:rsidRDefault="005D08AD" w:rsidP="00A118DE">
      <w:pPr>
        <w:pStyle w:val="Textonotapie"/>
        <w:jc w:val="both"/>
      </w:pPr>
      <w:r w:rsidRPr="00E01707">
        <w:rPr>
          <w:rStyle w:val="Refdenotaalpie"/>
        </w:rPr>
        <w:footnoteRef/>
      </w:r>
      <w:r w:rsidRPr="00E01707">
        <w:t xml:space="preserve"> La Corte Constitucional en la Sentencia C-009 de 2003 recordó el concepto de la obligación tributaria establecida en la jurisprudencia y en la doctrina y precisó que “el objeto u obligación que consiste en dar, hacer y no hacer. Es decir, </w:t>
      </w:r>
      <w:r w:rsidRPr="00E01707">
        <w:rPr>
          <w:b/>
          <w:bCs/>
        </w:rPr>
        <w:t>dar</w:t>
      </w:r>
      <w:r w:rsidRPr="00E01707">
        <w:t>: en</w:t>
      </w:r>
      <w:r w:rsidRPr="00E01707">
        <w:t xml:space="preserve"> cuanto el sujeto </w:t>
      </w:r>
      <w:r w:rsidRPr="00E01707">
        <w:rPr>
          <w:i/>
          <w:iCs/>
        </w:rPr>
        <w:t>pasivo tiene que pagar el valor del impuesto a cargo en efectivo</w:t>
      </w:r>
      <w:r w:rsidRPr="00E01707">
        <w:t xml:space="preserve">, con títulos valores u otros medios económicamente idóneos; </w:t>
      </w:r>
      <w:r w:rsidRPr="00E01707">
        <w:rPr>
          <w:b/>
          <w:bCs/>
        </w:rPr>
        <w:t>hacer:</w:t>
      </w:r>
      <w:r w:rsidRPr="00E01707">
        <w:t xml:space="preserve"> que se traduce en una serie de actos positivos, tales como </w:t>
      </w:r>
      <w:r w:rsidRPr="00E01707">
        <w:rPr>
          <w:i/>
          <w:iCs/>
        </w:rPr>
        <w:t xml:space="preserve">declarar, retener en la fuente, certificar esa </w:t>
      </w:r>
      <w:r w:rsidRPr="00E01707">
        <w:rPr>
          <w:i/>
          <w:iCs/>
        </w:rPr>
        <w:t>retención</w:t>
      </w:r>
      <w:r w:rsidRPr="00E01707">
        <w:t>, e informar en los casos y condiciones que la Administración Tributaria lo exija con arreglo a la Constitución y la ley. Conductas que por otra parte explican el hecho de que los no contribuyentes sean considerados sujetos pasivos de la obligació</w:t>
      </w:r>
      <w:r w:rsidRPr="00E01707">
        <w:t>n fiscal, pues según se aprecia, el carácter de sujeto pasivo no es exclusivo de quienes están obligados a pagar. Antes bien, el simple llamado o invitación a un no contribuyente para que rinda legalmente cierta información ante la Administración Tributari</w:t>
      </w:r>
      <w:r w:rsidRPr="00E01707">
        <w:t xml:space="preserve">a, lo hace sin más sujeto pasivo de la obligación tributaria; </w:t>
      </w:r>
      <w:r w:rsidRPr="00E01707">
        <w:rPr>
          <w:b/>
          <w:bCs/>
        </w:rPr>
        <w:t>no hacer</w:t>
      </w:r>
      <w:r w:rsidRPr="00E01707">
        <w:t xml:space="preserve">, que implica una abstención, entendida ésta como </w:t>
      </w:r>
      <w:r w:rsidRPr="00E01707">
        <w:rPr>
          <w:i/>
          <w:iCs/>
        </w:rPr>
        <w:t>la prohibición legal de evadir o eludir el tributo</w:t>
      </w:r>
      <w:r w:rsidRPr="00E01707">
        <w:t>.” (énfasis añadido)</w:t>
      </w:r>
    </w:p>
  </w:footnote>
  <w:footnote w:id="62">
    <w:p w:rsidR="00FA1C20" w:rsidRPr="00E01707" w:rsidRDefault="005D08AD">
      <w:pPr>
        <w:pStyle w:val="Textonotapie"/>
        <w:rPr>
          <w:lang w:val="es-CO"/>
        </w:rPr>
      </w:pPr>
      <w:r w:rsidRPr="00E01707">
        <w:rPr>
          <w:rStyle w:val="Refdenotaalpie"/>
        </w:rPr>
        <w:footnoteRef/>
      </w:r>
      <w:r w:rsidRPr="00E01707">
        <w:t xml:space="preserve"> </w:t>
      </w:r>
      <w:r w:rsidRPr="00E01707">
        <w:rPr>
          <w:lang w:val="es-CO"/>
        </w:rPr>
        <w:t xml:space="preserve">Corte Constitucional, Sentencias C-094 de 2021, C-272 de 2022, </w:t>
      </w:r>
      <w:r w:rsidRPr="00E01707">
        <w:rPr>
          <w:lang w:val="es-CO"/>
        </w:rPr>
        <w:t>C-102 de 2015 entre otras.</w:t>
      </w:r>
    </w:p>
  </w:footnote>
  <w:footnote w:id="63">
    <w:p w:rsidR="00FA1C20" w:rsidRPr="00E01707" w:rsidRDefault="005D08AD" w:rsidP="00733A41">
      <w:pPr>
        <w:pStyle w:val="Textonotapie"/>
        <w:jc w:val="both"/>
      </w:pPr>
      <w:r w:rsidRPr="00E01707">
        <w:rPr>
          <w:rStyle w:val="Refdenotaalpie"/>
        </w:rPr>
        <w:footnoteRef/>
      </w:r>
      <w:r w:rsidRPr="00E01707">
        <w:t xml:space="preserve"> De acuerdo con la Sentencia C-733 de 2003 “los deberes formales en la tributación han venido cambiando, para superar la creencia de que representan apenas un subproducto de la regulación sustantiva del tributo, un simple reflej</w:t>
      </w:r>
      <w:r w:rsidRPr="00E01707">
        <w:t>o de poderes administrativos ajenos al campo de los derechos de los administrados y que solo compromete al sujeto pasivo del tributo. En efecto, el desarrollo y perfeccionamiento cada vez más creciente del sistema tributario y la gran preocupación por el c</w:t>
      </w:r>
      <w:r w:rsidRPr="00E01707">
        <w:t>ontrol a la evasión tributaria y al contrabando, entre otros asuntos, han generado la necesidad de contar con herramientas de información sobre la realidad económica y personal de los contribuyentes. También ha coadyuvado el traslado de la gestión tributar</w:t>
      </w:r>
      <w:r w:rsidRPr="00E01707">
        <w:t>ia hacia nuevas fuentes de recaudación y obtención de datos con relevancia tributaria v. gr. las autoliquidaciones, las retenciones, etc., que multiplican las obligaciones formales involucrando además de los contribuyentes a otras personas, como por ejempl</w:t>
      </w:r>
      <w:r w:rsidRPr="00E01707">
        <w:t>o los agentes retenedores o los responsables directos del pago del impuesto”</w:t>
      </w:r>
    </w:p>
  </w:footnote>
  <w:footnote w:id="64">
    <w:p w:rsidR="00FA1C20" w:rsidRPr="00E01707" w:rsidRDefault="005D08AD" w:rsidP="00B83C7B">
      <w:pPr>
        <w:pStyle w:val="Textonotapie"/>
        <w:jc w:val="both"/>
        <w:rPr>
          <w:lang w:val="es-CO"/>
        </w:rPr>
      </w:pPr>
      <w:r w:rsidRPr="00E01707">
        <w:rPr>
          <w:rStyle w:val="Refdenotaalpie"/>
        </w:rPr>
        <w:footnoteRef/>
      </w:r>
      <w:r w:rsidRPr="00E01707">
        <w:t>Conforme a la Sentencia C-</w:t>
      </w:r>
      <w:r w:rsidRPr="00E01707">
        <w:rPr>
          <w:lang w:val="es-CO"/>
        </w:rPr>
        <w:t xml:space="preserve"> 055 de 2024 el sujeto activo es: “(i) quien tiene la potestad de crear y regular un impuesto determinado; (ii) quien tiene la facultad de exigir la pre</w:t>
      </w:r>
      <w:r w:rsidRPr="00E01707">
        <w:rPr>
          <w:lang w:val="es-CO"/>
        </w:rPr>
        <w:t>stación económica materializada en el tributo, o (iii) el beneficiario que puede disponer de los recursos recaudados”</w:t>
      </w:r>
    </w:p>
  </w:footnote>
  <w:footnote w:id="65">
    <w:p w:rsidR="00FA1C20" w:rsidRPr="00E01707" w:rsidRDefault="005D08AD" w:rsidP="00B83C7B">
      <w:pPr>
        <w:pStyle w:val="Textonotapie"/>
        <w:jc w:val="both"/>
        <w:rPr>
          <w:highlight w:val="yellow"/>
          <w:lang w:val="es-CO"/>
        </w:rPr>
      </w:pPr>
      <w:r w:rsidRPr="00E01707">
        <w:rPr>
          <w:rStyle w:val="Refdenotaalpie"/>
        </w:rPr>
        <w:footnoteRef/>
      </w:r>
      <w:r w:rsidRPr="00E01707">
        <w:t xml:space="preserve"> Conforme a la Sentencia C-</w:t>
      </w:r>
      <w:r w:rsidRPr="00E01707">
        <w:rPr>
          <w:lang w:val="es-CO"/>
        </w:rPr>
        <w:t xml:space="preserve"> 055 de 2024 el sujeto pasivo es “(i) quien paga formalmente el impuesto, o (ii) quien debe soportar las conse</w:t>
      </w:r>
      <w:r w:rsidRPr="00E01707">
        <w:rPr>
          <w:lang w:val="es-CO"/>
        </w:rPr>
        <w:t>cuencias económicas del tributo”</w:t>
      </w:r>
    </w:p>
  </w:footnote>
  <w:footnote w:id="66">
    <w:p w:rsidR="00FA1C20" w:rsidRPr="00E01707" w:rsidRDefault="005D08AD">
      <w:pPr>
        <w:pStyle w:val="Textonotapie"/>
        <w:rPr>
          <w:highlight w:val="yellow"/>
          <w:lang w:val="es-CO"/>
        </w:rPr>
      </w:pPr>
      <w:r w:rsidRPr="00E01707">
        <w:rPr>
          <w:rStyle w:val="Refdenotaalpie"/>
        </w:rPr>
        <w:footnoteRef/>
      </w:r>
      <w:r w:rsidRPr="00E01707">
        <w:t xml:space="preserve"> Conforme a la Sentencia C-</w:t>
      </w:r>
      <w:r w:rsidRPr="00E01707">
        <w:rPr>
          <w:lang w:val="es-CO"/>
        </w:rPr>
        <w:t xml:space="preserve"> 055 de 2024 la base gravable es “la cuantificación del hecho gravable sobre el que se aplica la tarifa”</w:t>
      </w:r>
    </w:p>
  </w:footnote>
  <w:footnote w:id="67">
    <w:p w:rsidR="00FA1C20" w:rsidRPr="00E01707" w:rsidRDefault="005D08AD" w:rsidP="00821702">
      <w:pPr>
        <w:pStyle w:val="Textonotapie"/>
        <w:jc w:val="both"/>
        <w:rPr>
          <w:lang w:val="es-CO"/>
        </w:rPr>
      </w:pPr>
      <w:r w:rsidRPr="00E01707">
        <w:rPr>
          <w:rStyle w:val="Refdenotaalpie"/>
        </w:rPr>
        <w:footnoteRef/>
      </w:r>
      <w:r w:rsidRPr="00E01707">
        <w:t xml:space="preserve"> Conforme a la Sentencia C-</w:t>
      </w:r>
      <w:r w:rsidRPr="00E01707">
        <w:rPr>
          <w:lang w:val="es-CO"/>
        </w:rPr>
        <w:t xml:space="preserve"> 055 de 2024 la tarifa “se refiere al monto que se aplica a la</w:t>
      </w:r>
      <w:r w:rsidRPr="00E01707">
        <w:rPr>
          <w:lang w:val="es-CO"/>
        </w:rPr>
        <w:t xml:space="preserve"> base gravable y determina el valor final del tributo que debe pagar el contribuyente. Se precisa que este elemento, en el caso de las tasas y contribuciones, puede ser fijado por las autoridades, pero el sistema y el método para definir tales costos y ben</w:t>
      </w:r>
      <w:r w:rsidRPr="00E01707">
        <w:rPr>
          <w:lang w:val="es-CO"/>
        </w:rPr>
        <w:t>eficios, y la forma de hacer su reparto, deben ser fijados por la ley, las ordenanzas o los acuerdos”</w:t>
      </w:r>
    </w:p>
  </w:footnote>
  <w:footnote w:id="68">
    <w:p w:rsidR="00FA1C20" w:rsidRPr="00E01707" w:rsidRDefault="005D08AD">
      <w:pPr>
        <w:pStyle w:val="Textonotapie"/>
      </w:pPr>
      <w:r w:rsidRPr="00E01707">
        <w:rPr>
          <w:rStyle w:val="Refdenotaalpie"/>
        </w:rPr>
        <w:footnoteRef/>
      </w:r>
      <w:r w:rsidRPr="00E01707">
        <w:t xml:space="preserve"> Corte Constitucional, Sentencia C-055 de 2024 y C-169 de 2014.</w:t>
      </w:r>
    </w:p>
  </w:footnote>
  <w:footnote w:id="69">
    <w:p w:rsidR="00FA1C20" w:rsidRPr="00E01707" w:rsidRDefault="005D08AD" w:rsidP="00593446">
      <w:pPr>
        <w:jc w:val="both"/>
        <w:rPr>
          <w:sz w:val="20"/>
          <w:szCs w:val="20"/>
        </w:rPr>
      </w:pPr>
      <w:r w:rsidRPr="00E01707">
        <w:rPr>
          <w:rStyle w:val="Refdenotaalpie"/>
          <w:sz w:val="20"/>
          <w:szCs w:val="20"/>
        </w:rPr>
        <w:footnoteRef/>
      </w:r>
      <w:r w:rsidRPr="00E01707">
        <w:rPr>
          <w:sz w:val="20"/>
          <w:szCs w:val="20"/>
        </w:rPr>
        <w:t xml:space="preserve"> </w:t>
      </w:r>
      <w:r w:rsidRPr="00E01707">
        <w:rPr>
          <w:sz w:val="20"/>
          <w:szCs w:val="20"/>
        </w:rPr>
        <w:t xml:space="preserve">Piza Rodríguez, J. R., &amp; Zornoza Pérez, J. J. (2010). </w:t>
      </w:r>
      <w:r w:rsidRPr="00E01707">
        <w:rPr>
          <w:i/>
          <w:iCs/>
          <w:sz w:val="20"/>
          <w:szCs w:val="20"/>
        </w:rPr>
        <w:t>Curso de derecho tributario, proc</w:t>
      </w:r>
      <w:r w:rsidRPr="00E01707">
        <w:rPr>
          <w:i/>
          <w:iCs/>
          <w:sz w:val="20"/>
          <w:szCs w:val="20"/>
        </w:rPr>
        <w:t>edimiento y régimen sancionatorio / Juan José Zornoza Pérez ... [et al.] ; Julio Roberto Piza Rodríguez, editor.</w:t>
      </w:r>
      <w:r w:rsidRPr="00E01707">
        <w:rPr>
          <w:sz w:val="20"/>
          <w:szCs w:val="20"/>
        </w:rPr>
        <w:t xml:space="preserve"> (J. Roberto. Piza Rodríguez, Ed.). Universidad Externado de Colombia. Págs. 316 a 324</w:t>
      </w:r>
    </w:p>
  </w:footnote>
  <w:footnote w:id="70">
    <w:p w:rsidR="00FA1C20" w:rsidRPr="00E01707" w:rsidRDefault="005D08AD" w:rsidP="000312CC">
      <w:pPr>
        <w:pStyle w:val="Textonotapie"/>
        <w:jc w:val="both"/>
        <w:rPr>
          <w:lang w:val="es-MX"/>
        </w:rPr>
      </w:pPr>
      <w:r w:rsidRPr="00E01707">
        <w:rPr>
          <w:rStyle w:val="Refdenotaalpie"/>
        </w:rPr>
        <w:footnoteRef/>
      </w:r>
      <w:r w:rsidRPr="00E01707">
        <w:t xml:space="preserve"> Conforme a Valdés Costa todos los elementos del hecho generado deben estar establecidos en la ley. Sin embargo, “en la práctica suele ocurrir que alguno de ellos no esté enunciado en forma expresa. En tal caso el administrador o juez deberá determinar el </w:t>
      </w:r>
      <w:r w:rsidRPr="00E01707">
        <w:t>significado de la ley por vía de interpretación o integración sin posibilidades de alterarlo”. Así, resalta que puede haber situaciones en que el elemento se encuentre a partir de un concepto jurídico indeterminable vrg. cuando los impuestos son ad valorem</w:t>
      </w:r>
      <w:r w:rsidRPr="00E01707">
        <w:t>. Pero también resalta que puede haber casos en los que la norma no determine el sujeto pasivo-elemento subjetivo. Valdes Costa, R. (1996). Curso de derecho tributario: ingresos públicos, normas tributarias, relación jurídica tributaria / Ramón Valdés Cost</w:t>
      </w:r>
      <w:r w:rsidRPr="00E01707">
        <w:t>a. (2a. ed.). Editorial Temis. Pág 308.</w:t>
      </w:r>
    </w:p>
  </w:footnote>
  <w:footnote w:id="71">
    <w:p w:rsidR="00FA1C20" w:rsidRPr="00E01707" w:rsidRDefault="005D08AD" w:rsidP="00C63F75">
      <w:pPr>
        <w:pStyle w:val="Textonotapie"/>
        <w:jc w:val="both"/>
      </w:pPr>
      <w:r w:rsidRPr="00E01707">
        <w:rPr>
          <w:rStyle w:val="Refdenotaalpie"/>
        </w:rPr>
        <w:footnoteRef/>
      </w:r>
      <w:r w:rsidRPr="00E01707">
        <w:t xml:space="preserve"> Así, por ejemplo, en la Sentencia C-594 de 2010 la Corte consideró que el aspecto temporal como elemento del hecho generador no necesariamente debía estar determinado en la norma debido a que este elemento puede se</w:t>
      </w:r>
      <w:r w:rsidRPr="00E01707">
        <w:t>r implícito. En el mismo sentido, en la Sentencia C-121 de 2006 la Corte encontró que el legislador acudió a remisiones normativas para concretar el hecho generador. En este último</w:t>
      </w:r>
      <w:r>
        <w:t xml:space="preserve"> </w:t>
      </w:r>
      <w:r w:rsidRPr="00E01707">
        <w:t>caso, aunque el legislador acudió a un aspecto material genérico que no fue</w:t>
      </w:r>
      <w:r w:rsidRPr="00E01707">
        <w:t xml:space="preserve"> precisado expresamente en la norma esto no impidió para que el juez a partir de la hermenéutica jurídica estableciera el alcance de la norma.  </w:t>
      </w:r>
    </w:p>
  </w:footnote>
  <w:footnote w:id="72">
    <w:p w:rsidR="00FA1C20" w:rsidRPr="00A234EF" w:rsidRDefault="005D08AD" w:rsidP="000F460E">
      <w:pPr>
        <w:pStyle w:val="Textonotapie"/>
        <w:jc w:val="both"/>
      </w:pPr>
      <w:r>
        <w:rPr>
          <w:rStyle w:val="Refdenotaalpie"/>
        </w:rPr>
        <w:footnoteRef/>
      </w:r>
      <w:r>
        <w:t xml:space="preserve"> De acuerdo con la Sentencia C-090 de 2022 que referencia a la Sentencia C-461 de 2011 la interpretación siste</w:t>
      </w:r>
      <w:r>
        <w:t xml:space="preserve">mática se define </w:t>
      </w:r>
      <w:r w:rsidRPr="000F460E">
        <w:rPr>
          <w:color w:val="000000" w:themeColor="text1"/>
          <w:shd w:val="clear" w:color="auto" w:fill="FFFFFF"/>
          <w:lang w:val="es-CO"/>
        </w:rPr>
        <w:t>como “</w:t>
      </w:r>
      <w:r w:rsidRPr="000F460E">
        <w:rPr>
          <w:i/>
          <w:color w:val="000000" w:themeColor="text1"/>
          <w:shd w:val="clear" w:color="auto" w:fill="FFFFFF"/>
          <w:lang w:val="es-CO"/>
        </w:rPr>
        <w:t>aquel entendimiento de una norma que se deriva de la comparación del precepto con la norma o normas en las que se integra</w:t>
      </w:r>
      <w:r w:rsidRPr="000F460E">
        <w:rPr>
          <w:color w:val="000000" w:themeColor="text1"/>
          <w:shd w:val="clear" w:color="auto" w:fill="FFFFFF"/>
          <w:lang w:val="es-CO"/>
        </w:rPr>
        <w:t>”</w:t>
      </w:r>
      <w:r w:rsidRPr="000F460E">
        <w:rPr>
          <w:color w:val="000000" w:themeColor="text1"/>
          <w:bdr w:val="none" w:sz="0" w:space="0" w:color="auto" w:frame="1"/>
          <w:shd w:val="clear" w:color="auto" w:fill="FFFFFF"/>
          <w:vertAlign w:val="superscript"/>
          <w:lang w:val="es-ES_tradnl"/>
        </w:rPr>
        <w:t>.</w:t>
      </w:r>
    </w:p>
  </w:footnote>
  <w:footnote w:id="73">
    <w:p w:rsidR="00FA1C20" w:rsidRPr="00E01707" w:rsidRDefault="005D08AD">
      <w:pPr>
        <w:pStyle w:val="Textonotapie"/>
      </w:pPr>
      <w:r w:rsidRPr="00E01707">
        <w:rPr>
          <w:rStyle w:val="Refdenotaalpie"/>
        </w:rPr>
        <w:footnoteRef/>
      </w:r>
      <w:r w:rsidRPr="00E01707">
        <w:t xml:space="preserve"> Corte Constitucional, Sentencia C-253 de 2025</w:t>
      </w:r>
    </w:p>
  </w:footnote>
  <w:footnote w:id="74">
    <w:p w:rsidR="00FA1C20" w:rsidRPr="00E01707" w:rsidRDefault="005D08AD" w:rsidP="004475DA">
      <w:pPr>
        <w:pStyle w:val="Textonotapie"/>
        <w:jc w:val="both"/>
      </w:pPr>
      <w:r w:rsidRPr="00E01707">
        <w:rPr>
          <w:rStyle w:val="Refdenotaalpie"/>
        </w:rPr>
        <w:footnoteRef/>
      </w:r>
      <w:r w:rsidRPr="00E01707">
        <w:t xml:space="preserve"> La Corte Constitucional en la Sentencia C-253 de 2025 al es</w:t>
      </w:r>
      <w:r w:rsidRPr="00E01707">
        <w:t>tudiar el Decreto Ley 2535 de 1993 resaltó que durante 1980 y comienzos de 1990 Colombia vivía una delicada situación de orden público y seguridad. Adicionalmente, los años 90 estuvieron marcados por diferentes procesos de paz. Por ello, en el trámite legi</w:t>
      </w:r>
      <w:r w:rsidRPr="00E01707">
        <w:t>slativo de la Ley 61 de 1993 se estableció que dada la situación que vivía el país era necesario crear “condiciones propicias desde el punto de vista objetivo para el buen comportamiento ciudadano, y una de esas condiciones necesariamente tiene que ver con</w:t>
      </w:r>
      <w:r w:rsidRPr="00E01707">
        <w:t xml:space="preserve"> la tenencia y porte de armas, municiones y explosivos”</w:t>
      </w:r>
      <w:r>
        <w:t>.</w:t>
      </w:r>
    </w:p>
  </w:footnote>
  <w:footnote w:id="75">
    <w:p w:rsidR="00FA1C20" w:rsidRPr="00E01707" w:rsidRDefault="005D08AD" w:rsidP="000F460E">
      <w:pPr>
        <w:pStyle w:val="Textonotapie"/>
        <w:jc w:val="both"/>
        <w:rPr>
          <w:lang w:val="es-CO"/>
        </w:rPr>
      </w:pPr>
      <w:r w:rsidRPr="00E01707">
        <w:rPr>
          <w:rStyle w:val="Refdenotaalpie"/>
        </w:rPr>
        <w:footnoteRef/>
      </w:r>
      <w:r w:rsidRPr="00E01707">
        <w:t xml:space="preserve"> El Presidente de la República de Colombia, en ejercicio de las </w:t>
      </w:r>
      <w:r w:rsidRPr="00E01707">
        <w:rPr>
          <w:i/>
          <w:iCs/>
        </w:rPr>
        <w:t>facultades extraordinarias</w:t>
      </w:r>
      <w:r w:rsidRPr="00E01707">
        <w:t xml:space="preserve"> conferidas por los literales a), b), c), d), e), f), g), h), i) de la Ley 61 de 1993 y teniendo en cuenta l</w:t>
      </w:r>
      <w:r w:rsidRPr="00E01707">
        <w:t>as recomendaciones de la Comisión del Congreso de que trata el artículo 2º de la misma.</w:t>
      </w:r>
    </w:p>
  </w:footnote>
  <w:footnote w:id="76">
    <w:p w:rsidR="00FA1C20" w:rsidRPr="00E01707" w:rsidRDefault="005D08AD">
      <w:pPr>
        <w:pStyle w:val="Textonotapie"/>
        <w:rPr>
          <w:lang w:val="es-MX"/>
        </w:rPr>
      </w:pPr>
      <w:r w:rsidRPr="00E01707">
        <w:rPr>
          <w:rStyle w:val="Refdenotaalpie"/>
        </w:rPr>
        <w:footnoteRef/>
      </w:r>
      <w:r w:rsidRPr="00E01707">
        <w:t xml:space="preserve"> </w:t>
      </w:r>
      <w:r w:rsidRPr="00E01707">
        <w:rPr>
          <w:lang w:val="es-MX"/>
        </w:rPr>
        <w:t>Artículo 5 del Decreto Ley 2535 de 1993.</w:t>
      </w:r>
    </w:p>
  </w:footnote>
  <w:footnote w:id="77">
    <w:p w:rsidR="00FA1C20" w:rsidRPr="00E01707" w:rsidRDefault="005D08AD">
      <w:pPr>
        <w:pStyle w:val="Textonotapie"/>
        <w:rPr>
          <w:lang w:val="es-MX"/>
        </w:rPr>
      </w:pPr>
      <w:r w:rsidRPr="00E01707">
        <w:rPr>
          <w:rStyle w:val="Refdenotaalpie"/>
        </w:rPr>
        <w:footnoteRef/>
      </w:r>
      <w:r w:rsidRPr="00E01707">
        <w:t xml:space="preserve"> Artículo 7 del Decreto Ley 2535 de 1993.</w:t>
      </w:r>
    </w:p>
  </w:footnote>
  <w:footnote w:id="78">
    <w:p w:rsidR="00FA1C20" w:rsidRPr="00E01707" w:rsidRDefault="005D08AD" w:rsidP="001E01F7">
      <w:pPr>
        <w:pStyle w:val="Textonotapie"/>
        <w:rPr>
          <w:lang w:val="es-MX"/>
        </w:rPr>
      </w:pPr>
      <w:r w:rsidRPr="00E01707">
        <w:rPr>
          <w:rStyle w:val="Refdenotaalpie"/>
        </w:rPr>
        <w:footnoteRef/>
      </w:r>
      <w:r w:rsidRPr="00E01707">
        <w:t xml:space="preserve"> Artículo 22 del Decreto Ley 2535 de 1993</w:t>
      </w:r>
    </w:p>
  </w:footnote>
  <w:footnote w:id="79">
    <w:p w:rsidR="00FA1C20" w:rsidRPr="00E01707" w:rsidRDefault="005D08AD" w:rsidP="001E01F7">
      <w:pPr>
        <w:pStyle w:val="Textonotapie"/>
        <w:rPr>
          <w:lang w:val="es-MX"/>
        </w:rPr>
      </w:pPr>
      <w:r w:rsidRPr="00E01707">
        <w:rPr>
          <w:rStyle w:val="Refdenotaalpie"/>
        </w:rPr>
        <w:footnoteRef/>
      </w:r>
      <w:r w:rsidRPr="00E01707">
        <w:t xml:space="preserve"> Artículo 23 del Decreto Ley 2535 de 1993.</w:t>
      </w:r>
    </w:p>
  </w:footnote>
  <w:footnote w:id="80">
    <w:p w:rsidR="00FA1C20" w:rsidRPr="00E01707" w:rsidRDefault="005D08AD">
      <w:pPr>
        <w:pStyle w:val="Textonotapie"/>
        <w:rPr>
          <w:lang w:val="es-MX"/>
        </w:rPr>
      </w:pPr>
      <w:r w:rsidRPr="00E01707">
        <w:rPr>
          <w:rStyle w:val="Refdenotaalpie"/>
        </w:rPr>
        <w:footnoteRef/>
      </w:r>
      <w:r w:rsidRPr="00E01707">
        <w:t xml:space="preserve"> Artículo 24 del Decreto Ley 2535 de 1993.</w:t>
      </w:r>
    </w:p>
  </w:footnote>
  <w:footnote w:id="81">
    <w:p w:rsidR="00FA1C20" w:rsidRPr="00E01707" w:rsidRDefault="005D08AD">
      <w:pPr>
        <w:pStyle w:val="Textonotapie"/>
        <w:rPr>
          <w:lang w:val="es-MX"/>
        </w:rPr>
      </w:pPr>
      <w:r w:rsidRPr="00E01707">
        <w:rPr>
          <w:rStyle w:val="Refdenotaalpie"/>
        </w:rPr>
        <w:footnoteRef/>
      </w:r>
      <w:r w:rsidRPr="00E01707">
        <w:t xml:space="preserve"> Artículo 46 del Decreto Ley 2535 de 1993.</w:t>
      </w:r>
    </w:p>
  </w:footnote>
  <w:footnote w:id="82">
    <w:p w:rsidR="00FA1C20" w:rsidRPr="00E01707" w:rsidRDefault="005D08AD">
      <w:pPr>
        <w:pStyle w:val="Textonotapie"/>
        <w:rPr>
          <w:lang w:val="es-MX"/>
        </w:rPr>
      </w:pPr>
      <w:r w:rsidRPr="00E01707">
        <w:rPr>
          <w:rStyle w:val="Refdenotaalpie"/>
        </w:rPr>
        <w:footnoteRef/>
      </w:r>
      <w:r w:rsidRPr="00E01707">
        <w:t xml:space="preserve"> Artículo 50 del Decreto Ley 2535 de 1993.</w:t>
      </w:r>
    </w:p>
  </w:footnote>
  <w:footnote w:id="83">
    <w:p w:rsidR="00FA1C20" w:rsidRPr="00E01707" w:rsidRDefault="005D08AD" w:rsidP="00AB0C4C">
      <w:pPr>
        <w:pStyle w:val="Textonotapie"/>
        <w:jc w:val="both"/>
      </w:pPr>
      <w:r w:rsidRPr="00E01707">
        <w:rPr>
          <w:rStyle w:val="Refdenotaalpie"/>
        </w:rPr>
        <w:footnoteRef/>
      </w:r>
      <w:r w:rsidRPr="00E01707">
        <w:t xml:space="preserve"> En el trámite legislativo, el Congreso de la Republica en un inicio no previó l</w:t>
      </w:r>
      <w:r w:rsidRPr="00E01707">
        <w:t>a inclusión de un impuesto social-Gaceta del Congreso 397 de 1993-. Posteriormente, ante plenaria de la Cámara de Representantes se estimó necesario la inclusión de un impuesto social a las armas con fundamento en la proposición efectuada por el Ministro d</w:t>
      </w:r>
      <w:r w:rsidRPr="00E01707">
        <w:t>e Salud, fundamentado en los siguientes términos “un impuesto a la compra de armas, para que sean recaudadoras las brigadas que las venden, y ese impuesto llega al fondo de solidaridad en salud, para se tiendan con una mayor destriza las urgencias, en razó</w:t>
      </w:r>
      <w:r w:rsidRPr="00E01707">
        <w:t>n a que la mayoría de hospitales se congestionan en urgencias, y sus costos son altos, con los heridos con armas de fuego”- Gaceta del Congreso 154 de 1993, pág. 15 y Gaceta del Congreso 434 de 1993, pág. 30-. Finalmente, en el trámite de conciliación el C</w:t>
      </w:r>
      <w:r w:rsidRPr="00E01707">
        <w:t xml:space="preserve">ongreso estimó necesario que el impuesto no fuera únicamente a las armas, sino que también se incluyera otro impuesto a los elementos de municiones y explosivos- Gacetas del Congreso 463 de 1993 y 472 de 1993. </w:t>
      </w:r>
    </w:p>
  </w:footnote>
  <w:footnote w:id="84">
    <w:p w:rsidR="00FA1C20" w:rsidRPr="00E01707" w:rsidRDefault="005D08AD" w:rsidP="00E95B68">
      <w:pPr>
        <w:pStyle w:val="Textonotapie"/>
        <w:jc w:val="both"/>
      </w:pPr>
      <w:r w:rsidRPr="00E01707">
        <w:rPr>
          <w:rStyle w:val="Refdenotaalpie"/>
        </w:rPr>
        <w:footnoteRef/>
      </w:r>
      <w:r w:rsidRPr="00E01707">
        <w:t xml:space="preserve"> De acuerdo con los antecedentes legislativo</w:t>
      </w:r>
      <w:r w:rsidRPr="00E01707">
        <w:t>s de la Ley 1438 de 2011, el Congreso motivo la modificación del artículo 224 de la Ley 100 de 1993 bajo el siguiente argumento “[e]l proyecto de ley pretende aumentar los ingresos del Fondo de Solidaridad y Garantías (Fosyga) mediante el incremento del im</w:t>
      </w:r>
      <w:r w:rsidRPr="00E01707">
        <w:t>puesto social de armas de fuego, explosivos, y municiones con el objeto de: (i) aumentar la atención de las víctimas que han sufrido daño en su integralidad física en accidentes de tránsito, atentados terroristas, catástrofes y otro eventos, (ii) ampliar e</w:t>
      </w:r>
      <w:r w:rsidRPr="00E01707">
        <w:t>l alcance y la usos de los recursos en las subcuentas de compensación; (iii) solidificar la financiación de pago de licencias por incapacidad y licencias de maternidad; (iv) acrecentar los ingresos para el reconocimiento y pago de atención y medicamentos n</w:t>
      </w:r>
      <w:r w:rsidRPr="00E01707">
        <w:t>o estipuladas en el POS, (v) fortalecer las investigaciones para obtener una base de datos unificada de los afiliados al sistema de seguridad social, evitar multiafiliaciones y tener una base de datos de las historias clínicas de los pacientes en forma org</w:t>
      </w:r>
      <w:r w:rsidRPr="00E01707">
        <w:t>anizada, (vi) elevar la afiliación de la población pobre y vulnerable al régimen subsidiado del régimen de seguridad social en salud; y (vii) permitir la financiación de campañas preventivas de educación de enfermedades terciarias.” Ver al respecto: Gaceta</w:t>
      </w:r>
      <w:r w:rsidRPr="00E01707">
        <w:t xml:space="preserve"> del Congreso 913 de 2010.</w:t>
      </w:r>
    </w:p>
  </w:footnote>
  <w:footnote w:id="85">
    <w:p w:rsidR="00FA1C20" w:rsidRPr="00E01707" w:rsidRDefault="005D08AD" w:rsidP="00C43E1A">
      <w:pPr>
        <w:pStyle w:val="Textonotapie"/>
        <w:jc w:val="both"/>
      </w:pPr>
      <w:r w:rsidRPr="00E01707">
        <w:rPr>
          <w:rStyle w:val="Refdenotaalpie"/>
        </w:rPr>
        <w:footnoteRef/>
      </w:r>
      <w:r w:rsidRPr="00E01707">
        <w:t xml:space="preserve"> Los intervinientes que consideraron que la norma era exequible en virtud de las sentencias del Consejo de Estado fueron: la DIAN, el Ministerio de Hacienda y Crédito Público y la Universidad Nacional. </w:t>
      </w:r>
    </w:p>
  </w:footnote>
  <w:footnote w:id="86">
    <w:p w:rsidR="00FA1C20" w:rsidRPr="00FF649C" w:rsidRDefault="005D08AD" w:rsidP="00FF649C">
      <w:pPr>
        <w:pStyle w:val="Textonotapie"/>
        <w:jc w:val="both"/>
        <w:rPr>
          <w:lang w:val="es-CO"/>
        </w:rPr>
      </w:pPr>
      <w:r>
        <w:rPr>
          <w:rStyle w:val="Refdenotaalpie"/>
        </w:rPr>
        <w:footnoteRef/>
      </w:r>
      <w:r>
        <w:t xml:space="preserve"> En otras consideracione</w:t>
      </w:r>
      <w:r>
        <w:t xml:space="preserve">s, la Sección Cuarta de la Sala de lo Contencioso Administrativo </w:t>
      </w:r>
      <w:r>
        <w:rPr>
          <w:lang w:val="es-CO"/>
        </w:rPr>
        <w:t xml:space="preserve">del Consejo de Estado ha analizado casos en donde los </w:t>
      </w:r>
      <w:r w:rsidRPr="000D1FA3">
        <w:rPr>
          <w:szCs w:val="28"/>
          <w:shd w:val="clear" w:color="auto" w:fill="FFFFFF"/>
        </w:rPr>
        <w:t>los demandantes han solicitado la nulidad de facturas emitidas por Indumil por concepto del impuesto social de municiones y explosivos, e</w:t>
      </w:r>
      <w:r w:rsidRPr="000D1FA3">
        <w:rPr>
          <w:szCs w:val="28"/>
          <w:shd w:val="clear" w:color="auto" w:fill="FFFFFF"/>
        </w:rPr>
        <w:t xml:space="preserve">ntre otras razones, porque consideran que no han realizado el hecho generador que, en criterio de los demandantes, es el </w:t>
      </w:r>
      <w:r w:rsidRPr="00620598">
        <w:rPr>
          <w:szCs w:val="28"/>
          <w:shd w:val="clear" w:color="auto" w:fill="FFFFFF"/>
        </w:rPr>
        <w:t>porte.</w:t>
      </w:r>
      <w:r w:rsidRPr="000D1FA3">
        <w:rPr>
          <w:szCs w:val="28"/>
          <w:shd w:val="clear" w:color="auto" w:fill="FFFFFF"/>
        </w:rPr>
        <w:t xml:space="preserve"> En estos casos, el Consejo de Estado ha considerado que el hecho generador del mencionado impuesto es un acto transaccional, que</w:t>
      </w:r>
      <w:r w:rsidRPr="000D1FA3">
        <w:rPr>
          <w:szCs w:val="28"/>
          <w:shd w:val="clear" w:color="auto" w:fill="FFFFFF"/>
        </w:rPr>
        <w:t xml:space="preserve"> se concreta en la </w:t>
      </w:r>
      <w:r w:rsidRPr="00FF649C">
        <w:rPr>
          <w:b/>
          <w:bCs/>
          <w:i/>
          <w:iCs/>
          <w:szCs w:val="28"/>
          <w:shd w:val="clear" w:color="auto" w:fill="FFFFFF"/>
        </w:rPr>
        <w:t>compraventa</w:t>
      </w:r>
      <w:r w:rsidRPr="00FF649C">
        <w:rPr>
          <w:b/>
          <w:bCs/>
          <w:szCs w:val="28"/>
          <w:shd w:val="clear" w:color="auto" w:fill="FFFFFF"/>
        </w:rPr>
        <w:t xml:space="preserve"> </w:t>
      </w:r>
      <w:r w:rsidRPr="000D1FA3">
        <w:rPr>
          <w:szCs w:val="28"/>
          <w:shd w:val="clear" w:color="auto" w:fill="FFFFFF"/>
        </w:rPr>
        <w:t>de esos insumos.</w:t>
      </w:r>
      <w:r>
        <w:rPr>
          <w:szCs w:val="28"/>
          <w:shd w:val="clear" w:color="auto" w:fill="FFFFFF"/>
        </w:rPr>
        <w:t xml:space="preserve"> Para llegar a tal conclusión ha considerado: (i) </w:t>
      </w:r>
      <w:r w:rsidRPr="000D1FA3">
        <w:rPr>
          <w:szCs w:val="28"/>
          <w:shd w:val="clear" w:color="auto" w:fill="FFFFFF"/>
        </w:rPr>
        <w:t>tipo de impuesto el cual es “ad valorem”</w:t>
      </w:r>
      <w:r>
        <w:rPr>
          <w:szCs w:val="28"/>
          <w:shd w:val="clear" w:color="auto" w:fill="FFFFFF"/>
        </w:rPr>
        <w:t xml:space="preserve"> – </w:t>
      </w:r>
      <w:r w:rsidRPr="00E01707">
        <w:t>sentencias radicado 20001-23-33-000-2013-00423-02 (22561) de 2019 y 20001-23-33-000-2014-00045-01 (22266) de 20219</w:t>
      </w:r>
      <w:r>
        <w:t xml:space="preserve"> –</w:t>
      </w:r>
      <w:r>
        <w:t xml:space="preserve">; (ii) </w:t>
      </w:r>
      <w:r w:rsidRPr="003C6C6F">
        <w:t>la relación entre las expresiones “ad valorem” y “se cobrará</w:t>
      </w:r>
      <w:r>
        <w:t xml:space="preserve">” – Sentencias </w:t>
      </w:r>
      <w:r w:rsidRPr="00F84D9B">
        <w:t>20001-23-33-000-2013-00344-02 (22559) de 2019, sentencia rad. 20001-23-33-000-2013-00364-01(22552) de 2019</w:t>
      </w:r>
      <w:r>
        <w:t xml:space="preserve"> – y; (iii) el monopolio estatal sobre las armas, municiones y explosivos y </w:t>
      </w:r>
      <w:r w:rsidRPr="00F84D9B">
        <w:t xml:space="preserve">la jurisprudencia de </w:t>
      </w:r>
      <w:r>
        <w:t xml:space="preserve">la Corte – en la </w:t>
      </w:r>
      <w:r w:rsidRPr="00E01707">
        <w:t>Sentencia rad. 20001-23-33-000-2013-00300-01(22081) de 2019, hizo referencia tanto a la Sentencia C-390 de 1996 que determinó el sujeto pasivo</w:t>
      </w:r>
      <w:r w:rsidRPr="00E01707">
        <w:t xml:space="preserve"> del impuesto, como a las expresiones “ad valorem” y “cobrará” para establecer que el hecho generador recae en una transacción</w:t>
      </w:r>
      <w:r>
        <w:t xml:space="preserve">- </w:t>
      </w:r>
    </w:p>
  </w:footnote>
  <w:footnote w:id="87">
    <w:p w:rsidR="00FA1C20" w:rsidRPr="004F2007" w:rsidRDefault="005D08AD" w:rsidP="007C524A">
      <w:pPr>
        <w:pStyle w:val="Textonotapie"/>
        <w:jc w:val="both"/>
      </w:pPr>
      <w:r w:rsidRPr="0037405C">
        <w:rPr>
          <w:rStyle w:val="Refdenotaalpie"/>
        </w:rPr>
        <w:footnoteRef/>
      </w:r>
      <w:r w:rsidRPr="0037405C">
        <w:t xml:space="preserve"> La Corte, en la Sentencia C-249 de 2019, estableció que “el mismo numeral 10 del artículo 150 excluye del ejercicio de la pot</w:t>
      </w:r>
      <w:r w:rsidRPr="0037405C">
        <w:t>estad legislativa extraordinaria la regulación de los tributos. Nótese que ese límite material impide que el Jefe de Estado modifique los elementos esenciales de los impuestos y tributos, toda vez que los órganos de representación no pueden delegar funcion</w:t>
      </w:r>
      <w:r w:rsidRPr="0037405C">
        <w:t>es que les son inherentes en una democracia constitucional”. Sin perjuicio de lo anterior, ello no implica que todo decreto ley expedido en ejercicio de facultades extraordinarias y utilizado como referente para determinar el alcance de un tributo conduzca</w:t>
      </w:r>
      <w:r w:rsidRPr="0037405C">
        <w:t>, de manera automática, a concluir que el legislador delegó en cabeza del Ejecutivo la definición de los elementos esenciales del tributo. Por el contrario, la Sala ha estudiado casos en los que la falta de claridad sobre un elemento esencial de un impuest</w:t>
      </w:r>
      <w:r w:rsidRPr="0037405C">
        <w:t>o puede superarse mediante la remisión a decretos con fuerza de ley, sin que ello implique asumir que el legislador trasladó dicha competencia. Lo anterior entonces, supone reconocer que, en algunos casos, el legislador define el elemento esencial del trib</w:t>
      </w:r>
      <w:r w:rsidRPr="0037405C">
        <w:t>uto teniendo en cuenta el marco normativo vigente ya sea de forma expresa o implícita. Así, por ejemplo, en la Sentencia C-220 de 1996, la Corte estudió una demanda contra el artículo 36 de la Ley 14 de 1983 (subrogado por el artículo 199 del Decreto Ley 1</w:t>
      </w:r>
      <w:r w:rsidRPr="0037405C">
        <w:t>33 de 1986), relacionado con el impuesto de industria y comercio, y consideró que la expresión “o análogos” no desconocía el principio de legalidad, en la medida en que tanto la ley como el decreto ley que la subrogó definían las actividades susceptibles d</w:t>
      </w:r>
      <w:r w:rsidRPr="0037405C">
        <w:t>e ser comprendidas por analogía. En la Sentencia C-287 de 2009 la Corte conoció una demanda en la que se tuvo en cuenta que el sujeto pasivo del impuesto de remates de bienes muebles e inmuebles se encontraba determinado en la Ley 6ª de 1992 y, luego en el</w:t>
      </w:r>
      <w:r w:rsidRPr="0037405C">
        <w:t xml:space="preserve"> Decreto Ley 2117 de 1992. De igual forma, debe recordarse que en 1989 el Presidente de la República expidió el Decreto Ley 624 de 1989, en uso de facultades extraordinarias conferidas por los artículos 90, numeral 5°, de la Ley 75 de 1986 y 41 de la Ley 4</w:t>
      </w:r>
      <w:r w:rsidRPr="0037405C">
        <w:t>3 de 1987, mediante el cual se expidió el Estatuto Tributario de los impuestos administrados por la Dirección General de Impuestos Nacionales, de esta forma en la Sentencia C-714 de 2009 la Corte tuvo en cuenta, entre otros, el mencionado Decreto para dete</w:t>
      </w:r>
      <w:r w:rsidRPr="0037405C">
        <w:t>rminar el alcance de “reales productivos”. Igualmente, el artículo 343 de la Ley 1819 de 2016 tuvo en cuenta las reglas de causación del impuesto de industria y comercio dispuestas en el artículo 211 del Decreto Ley 1333 de 1986-</w:t>
      </w:r>
      <w:r>
        <w:t xml:space="preserve"> </w:t>
      </w:r>
    </w:p>
  </w:footnote>
  <w:footnote w:id="88">
    <w:p w:rsidR="00FA1C20" w:rsidRPr="0037405C" w:rsidRDefault="005D08AD" w:rsidP="00594B80">
      <w:pPr>
        <w:pStyle w:val="Textonotapie"/>
        <w:jc w:val="both"/>
      </w:pPr>
      <w:r w:rsidRPr="0037405C">
        <w:rPr>
          <w:rStyle w:val="Refdenotaalpie"/>
        </w:rPr>
        <w:footnoteRef/>
      </w:r>
      <w:r w:rsidRPr="0037405C">
        <w:t xml:space="preserve"> Los intervinientes que </w:t>
      </w:r>
      <w:r w:rsidRPr="0037405C">
        <w:t xml:space="preserve">consideraron que la norma era exequible en el entendido que el hecho generador fuera el porte de municiones y explosivos fueron: la Universidad de San Buenaventura, Fenalcarbón Mariana Henao y Valentina Vergara. </w:t>
      </w:r>
    </w:p>
  </w:footnote>
  <w:footnote w:id="89">
    <w:p w:rsidR="00FA1C20" w:rsidRPr="0037405C" w:rsidRDefault="005D08AD" w:rsidP="007540F4">
      <w:pPr>
        <w:pStyle w:val="Textonotapie"/>
        <w:jc w:val="both"/>
      </w:pPr>
      <w:r w:rsidRPr="0037405C">
        <w:rPr>
          <w:rStyle w:val="Refdenotaalpie"/>
        </w:rPr>
        <w:footnoteRef/>
      </w:r>
      <w:r w:rsidRPr="0037405C">
        <w:t xml:space="preserve"> La intervención de la Universidad del Ros</w:t>
      </w:r>
      <w:r w:rsidRPr="0037405C">
        <w:t xml:space="preserve">ario y la Universidad del Área Andina aluden a otros posibles hechos generadores como importación, la enajenación, transporte, destrucción o almacenamiento. </w:t>
      </w:r>
    </w:p>
  </w:footnote>
  <w:footnote w:id="90">
    <w:p w:rsidR="00FA1C20" w:rsidRPr="00E01707" w:rsidRDefault="005D08AD" w:rsidP="00594B80">
      <w:pPr>
        <w:pStyle w:val="Textonotapie"/>
        <w:jc w:val="both"/>
      </w:pPr>
      <w:r w:rsidRPr="0037405C">
        <w:rPr>
          <w:rStyle w:val="Refdenotaalpie"/>
        </w:rPr>
        <w:footnoteRef/>
      </w:r>
      <w:r w:rsidRPr="0037405C">
        <w:t xml:space="preserve"> Los intervinientes que consideraron que la norma era inexequible fueron la ACM, Fenalcarbón, la </w:t>
      </w:r>
      <w:r w:rsidRPr="0037405C">
        <w:t>Universidad de San Buenaventura, Areandina, Universidad de los Andes, el Instituto Colombiano de Derecho Tributario ICDT, Ana María Barbosa Rodríguez, Margarita Salas Sánchez y Juan Mateo Martínez Riveros, Juan Manuel Charry y José Alejandro Herrera Carvaj</w:t>
      </w:r>
      <w:r w:rsidRPr="0037405C">
        <w:t>al.</w:t>
      </w:r>
      <w:r w:rsidRPr="00E01707">
        <w:t xml:space="preserve"> </w:t>
      </w:r>
    </w:p>
  </w:footnote>
  <w:footnote w:id="91">
    <w:p w:rsidR="00FA1C20" w:rsidRPr="007C7BD7" w:rsidRDefault="005D08AD" w:rsidP="00521A96">
      <w:pPr>
        <w:pStyle w:val="Textonotapie"/>
      </w:pPr>
      <w:r>
        <w:rPr>
          <w:rStyle w:val="Refdenotaalpie"/>
        </w:rPr>
        <w:footnoteRef/>
      </w:r>
      <w:r>
        <w:t xml:space="preserve"> Los intervinientes que se refirieron a la transacción son el Adres, la DIAN y la Universidad Nacional. </w:t>
      </w:r>
    </w:p>
  </w:footnote>
  <w:footnote w:id="92">
    <w:p w:rsidR="00FA1C20" w:rsidRPr="00461372" w:rsidRDefault="005D08AD" w:rsidP="00521A96">
      <w:pPr>
        <w:pStyle w:val="Textonotapie"/>
        <w:jc w:val="both"/>
      </w:pPr>
      <w:r>
        <w:rPr>
          <w:rStyle w:val="Refdenotaalpie"/>
        </w:rPr>
        <w:footnoteRef/>
      </w:r>
      <w:r>
        <w:t xml:space="preserve"> De acuerdo con la RAE, transigir hace referencia a “[c]</w:t>
      </w:r>
      <w:r w:rsidRPr="00DE3C56">
        <w:t>onsentir en parte con lo que no se cree justo,</w:t>
      </w:r>
      <w:r>
        <w:t xml:space="preserve"> </w:t>
      </w:r>
      <w:r w:rsidRPr="00DE3C56">
        <w:t>razonable o verdadero, a fin de acabar co</w:t>
      </w:r>
      <w:r w:rsidRPr="00DE3C56">
        <w:t>n una diferencia</w:t>
      </w:r>
      <w:r>
        <w:t xml:space="preserve">” o “[a]justar algun punto dudoso o litigio, conviniendo las partes voluntariamente en algún medio que componga y parta la diferencia de la disputa”. Ver al respecto: </w:t>
      </w:r>
      <w:hyperlink r:id="rId1" w:history="1">
        <w:r w:rsidRPr="00076410">
          <w:rPr>
            <w:rStyle w:val="Hipervnculo"/>
          </w:rPr>
          <w:t>https://dle.rae.es/transigir</w:t>
        </w:r>
      </w:hyperlink>
      <w:r>
        <w:t xml:space="preserve"> </w:t>
      </w:r>
    </w:p>
  </w:footnote>
  <w:footnote w:id="93">
    <w:p w:rsidR="00FA1C20" w:rsidRPr="00461372" w:rsidRDefault="005D08AD" w:rsidP="00521A96">
      <w:pPr>
        <w:pStyle w:val="Textonotapie"/>
        <w:jc w:val="both"/>
      </w:pPr>
      <w:r>
        <w:rPr>
          <w:rStyle w:val="Refdenotaalpie"/>
        </w:rPr>
        <w:footnoteRef/>
      </w:r>
      <w:r>
        <w:t xml:space="preserve"> De acuerdo a la RAE, comprar hace referencia a la obtención de algo por un precio</w:t>
      </w:r>
      <w:r w:rsidRPr="00461372">
        <w:t>.</w:t>
      </w:r>
      <w:r>
        <w:t xml:space="preserve"> Ver al respecto: </w:t>
      </w:r>
      <w:hyperlink r:id="rId2" w:history="1">
        <w:r w:rsidRPr="00076410">
          <w:rPr>
            <w:rStyle w:val="Hipervnculo"/>
          </w:rPr>
          <w:t>https://dle.rae.es/comprar</w:t>
        </w:r>
      </w:hyperlink>
      <w:r>
        <w:t xml:space="preserve"> </w:t>
      </w:r>
    </w:p>
  </w:footnote>
  <w:footnote w:id="94">
    <w:p w:rsidR="00FF092D" w:rsidRPr="00282A31" w:rsidRDefault="005D08AD" w:rsidP="00FF092D">
      <w:pPr>
        <w:pStyle w:val="Textonotapie"/>
        <w:jc w:val="both"/>
        <w:rPr>
          <w:rFonts w:ascii="Times New Roman" w:hAnsi="Times New Roman" w:cs="Times New Roman"/>
        </w:rPr>
      </w:pPr>
      <w:r w:rsidRPr="00282A31">
        <w:rPr>
          <w:rStyle w:val="Refdenotaalpie"/>
          <w:rFonts w:ascii="Times New Roman" w:hAnsi="Times New Roman"/>
        </w:rPr>
        <w:footnoteRef/>
      </w:r>
      <w:r w:rsidRPr="00282A31">
        <w:rPr>
          <w:rFonts w:ascii="Times New Roman" w:hAnsi="Times New Roman" w:cs="Times New Roman"/>
        </w:rPr>
        <w:t xml:space="preserve"> Ello, con la salvedad del reconocimiento de la capacidad fiscal de las asamblea</w:t>
      </w:r>
      <w:r w:rsidRPr="00282A31">
        <w:rPr>
          <w:rFonts w:ascii="Times New Roman" w:hAnsi="Times New Roman" w:cs="Times New Roman"/>
        </w:rPr>
        <w:t xml:space="preserve">s departamentales y concejos distritales y municipales, en donde la jurisprudencia ha señalado que </w:t>
      </w:r>
      <w:r w:rsidRPr="00282A31">
        <w:rPr>
          <w:rFonts w:ascii="Times New Roman" w:hAnsi="Times New Roman" w:cs="Times New Roman"/>
          <w:bCs/>
        </w:rPr>
        <w:t>la armonización entre la autonomía territorial y el principio de unidad, que subyace en el ejercicio de la potestad impositiva, conduce a entender que el Con</w:t>
      </w:r>
      <w:r w:rsidRPr="00282A31">
        <w:rPr>
          <w:rFonts w:ascii="Times New Roman" w:hAnsi="Times New Roman" w:cs="Times New Roman"/>
          <w:bCs/>
        </w:rPr>
        <w:t xml:space="preserve">greso de la República tiene la facultad exclusiva para fijar todos los elementos esenciales de los tributos de </w:t>
      </w:r>
      <w:r w:rsidRPr="00282A31">
        <w:rPr>
          <w:rFonts w:ascii="Times New Roman" w:hAnsi="Times New Roman" w:cs="Times New Roman"/>
          <w:bCs/>
          <w:i/>
          <w:iCs/>
        </w:rPr>
        <w:t>carácter nacional</w:t>
      </w:r>
      <w:r w:rsidRPr="00282A31">
        <w:rPr>
          <w:rFonts w:ascii="Times New Roman" w:hAnsi="Times New Roman" w:cs="Times New Roman"/>
          <w:bCs/>
        </w:rPr>
        <w:t xml:space="preserve">, mientras que, en lo atinente a los del </w:t>
      </w:r>
      <w:r w:rsidRPr="00282A31">
        <w:rPr>
          <w:rFonts w:ascii="Times New Roman" w:hAnsi="Times New Roman" w:cs="Times New Roman"/>
          <w:bCs/>
          <w:i/>
          <w:iCs/>
        </w:rPr>
        <w:t>orden territorial</w:t>
      </w:r>
      <w:r w:rsidRPr="00282A31">
        <w:rPr>
          <w:rFonts w:ascii="Times New Roman" w:hAnsi="Times New Roman" w:cs="Times New Roman"/>
          <w:bCs/>
        </w:rPr>
        <w:t>, debe como mínimo crear o autorizar su creación, bajo la carga de preservar la autonomía fiscal que la Constitución le otorga a las entidades territoriales, cuyo límite exigible, según se expuso en las sentencias C-077 de 2012 y C-587 de 2014, lo constitu</w:t>
      </w:r>
      <w:r w:rsidRPr="00282A31">
        <w:rPr>
          <w:rFonts w:ascii="Times New Roman" w:hAnsi="Times New Roman" w:cs="Times New Roman"/>
          <w:bCs/>
        </w:rPr>
        <w:t xml:space="preserve">ye el hecho de permitirles fijar la tarifa o tasa impositiva, sin perjuicio del deber de salvaguardar la libre administración, recaudo y control sobre los mismos. </w:t>
      </w:r>
      <w:r w:rsidRPr="007D6F75">
        <w:rPr>
          <w:rFonts w:ascii="Times New Roman" w:hAnsi="Times New Roman" w:cs="Times New Roman"/>
          <w:bCs/>
        </w:rPr>
        <w:t>En efecto, como lo ha dicho en otras oportunidades esta Corporación, “el Congreso de la Repúb</w:t>
      </w:r>
      <w:r w:rsidRPr="007D6F75">
        <w:rPr>
          <w:rFonts w:ascii="Times New Roman" w:hAnsi="Times New Roman" w:cs="Times New Roman"/>
          <w:bCs/>
        </w:rPr>
        <w:t>lica no puede establecerlo todo”</w:t>
      </w:r>
      <w:r w:rsidRPr="00282A31">
        <w:rPr>
          <w:rFonts w:ascii="Times New Roman" w:hAnsi="Times New Roman" w:cs="Times New Roman"/>
          <w:bCs/>
        </w:rPr>
        <w:t xml:space="preserve"> (sentencia C-504 de 2002).</w:t>
      </w:r>
    </w:p>
  </w:footnote>
  <w:footnote w:id="95">
    <w:p w:rsidR="00FF092D" w:rsidRPr="00BE0824" w:rsidRDefault="005D08AD" w:rsidP="00FF092D">
      <w:pPr>
        <w:pStyle w:val="Textonotapie"/>
        <w:jc w:val="both"/>
        <w:rPr>
          <w:rFonts w:ascii="Times New Roman" w:hAnsi="Times New Roman" w:cs="Times New Roman"/>
          <w:lang w:val="es-MX"/>
        </w:rPr>
      </w:pPr>
      <w:r w:rsidRPr="00BE0824">
        <w:rPr>
          <w:rStyle w:val="Refdenotaalpie"/>
          <w:rFonts w:ascii="Times New Roman" w:hAnsi="Times New Roman"/>
        </w:rPr>
        <w:footnoteRef/>
      </w:r>
      <w:r w:rsidRPr="00BE0824">
        <w:rPr>
          <w:rFonts w:ascii="Times New Roman" w:hAnsi="Times New Roman" w:cs="Times New Roman"/>
        </w:rPr>
        <w:t xml:space="preserve"> En su encabezado se advierte que se expide “</w:t>
      </w:r>
      <w:r w:rsidRPr="00BE0824">
        <w:rPr>
          <w:rFonts w:ascii="Times New Roman" w:hAnsi="Times New Roman" w:cs="Times New Roman"/>
          <w:i/>
          <w:iCs/>
        </w:rPr>
        <w:t xml:space="preserve">en ejercicio de las </w:t>
      </w:r>
      <w:r w:rsidRPr="00BE0824">
        <w:rPr>
          <w:rFonts w:ascii="Times New Roman" w:hAnsi="Times New Roman" w:cs="Times New Roman"/>
          <w:b/>
          <w:bCs/>
          <w:i/>
          <w:iCs/>
        </w:rPr>
        <w:t>facultades extraordinarias</w:t>
      </w:r>
      <w:r w:rsidRPr="00BE0824">
        <w:rPr>
          <w:rFonts w:ascii="Times New Roman" w:hAnsi="Times New Roman" w:cs="Times New Roman"/>
          <w:i/>
          <w:iCs/>
        </w:rPr>
        <w:t xml:space="preserve"> conferidas por los literales a), b), c), d), e), f), g), h), i), de la Ley 61 de 1993 y teniendo en cue</w:t>
      </w:r>
      <w:r w:rsidRPr="00BE0824">
        <w:rPr>
          <w:rFonts w:ascii="Times New Roman" w:hAnsi="Times New Roman" w:cs="Times New Roman"/>
          <w:i/>
          <w:iCs/>
        </w:rPr>
        <w:t>nta las recomendaciones de la Comisión del Congreso de que trata el artículo 2 de la misma</w:t>
      </w:r>
      <w:r w:rsidRPr="00BE0824">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40602"/>
    <w:multiLevelType w:val="hybridMultilevel"/>
    <w:tmpl w:val="4D869C06"/>
    <w:lvl w:ilvl="0" w:tplc="1FB257F6">
      <w:start w:val="1"/>
      <w:numFmt w:val="upperRoman"/>
      <w:pStyle w:val="Ttulo1"/>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 w15:restartNumberingAfterBreak="0">
    <w:nsid w:val="0E741910"/>
    <w:multiLevelType w:val="hybridMultilevel"/>
    <w:tmpl w:val="1062C4F4"/>
    <w:lvl w:ilvl="0" w:tplc="679E880E">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716BDA"/>
    <w:multiLevelType w:val="hybridMultilevel"/>
    <w:tmpl w:val="6D6E7C7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87904A5"/>
    <w:multiLevelType w:val="hybridMultilevel"/>
    <w:tmpl w:val="4D701B0E"/>
    <w:lvl w:ilvl="0" w:tplc="2FD213B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E492A42"/>
    <w:multiLevelType w:val="hybridMultilevel"/>
    <w:tmpl w:val="31CCD0E0"/>
    <w:lvl w:ilvl="0" w:tplc="9FBA5072">
      <w:start w:val="1"/>
      <w:numFmt w:val="decimal"/>
      <w:pStyle w:val="Estilo1"/>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39278A0"/>
    <w:multiLevelType w:val="multilevel"/>
    <w:tmpl w:val="425C5A00"/>
    <w:lvl w:ilvl="0">
      <w:start w:val="1"/>
      <w:numFmt w:val="decimal"/>
      <w:lvlText w:val="%1."/>
      <w:lvlJc w:val="left"/>
      <w:pPr>
        <w:tabs>
          <w:tab w:val="num" w:pos="397"/>
        </w:tabs>
        <w:ind w:left="0" w:firstLine="0"/>
      </w:pPr>
      <w:rPr>
        <w:rFonts w:ascii="Times New Roman" w:hAnsi="Times New Roman" w:cs="Times New Roman" w:hint="default"/>
        <w:b w:val="0"/>
        <w:bCs w:val="0"/>
        <w:i w:val="0"/>
        <w:iCs w:val="0"/>
        <w:sz w:val="28"/>
        <w:szCs w:val="28"/>
      </w:rPr>
    </w:lvl>
    <w:lvl w:ilvl="1">
      <w:start w:val="1"/>
      <w:numFmt w:val="decimal"/>
      <w:lvlText w:val="%1.%2."/>
      <w:lvlJc w:val="left"/>
      <w:pPr>
        <w:ind w:left="792" w:hanging="432"/>
      </w:pPr>
      <w:rPr>
        <w:rFonts w:hint="default"/>
        <w:i w:val="0"/>
        <w:i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C4777FD"/>
    <w:multiLevelType w:val="hybridMultilevel"/>
    <w:tmpl w:val="E410C438"/>
    <w:lvl w:ilvl="0" w:tplc="53E86FAE">
      <w:start w:val="1"/>
      <w:numFmt w:val="upperLetter"/>
      <w:lvlText w:val="%1."/>
      <w:lvlJc w:val="left"/>
      <w:pPr>
        <w:ind w:left="720" w:hanging="360"/>
      </w:pPr>
      <w:rPr>
        <w:rFonts w:cs="Times New Roman" w:hint="default"/>
        <w:b/>
        <w:bCs/>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5CE62F56"/>
    <w:multiLevelType w:val="hybridMultilevel"/>
    <w:tmpl w:val="FFFFFFFF"/>
    <w:lvl w:ilvl="0" w:tplc="8C147142">
      <w:numFmt w:val="bullet"/>
      <w:pStyle w:val="Ttulo4"/>
      <w:lvlText w:val="-"/>
      <w:lvlJc w:val="left"/>
      <w:pPr>
        <w:ind w:left="360" w:hanging="360"/>
      </w:pPr>
      <w:rPr>
        <w:rFonts w:ascii="Times New Roman" w:eastAsia="Times New Roman" w:hAnsi="Times New Roman"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6AF7424F"/>
    <w:multiLevelType w:val="hybridMultilevel"/>
    <w:tmpl w:val="C67E63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7"/>
  </w:num>
  <w:num w:numId="3">
    <w:abstractNumId w:val="4"/>
  </w:num>
  <w:num w:numId="4">
    <w:abstractNumId w:val="5"/>
  </w:num>
  <w:num w:numId="5">
    <w:abstractNumId w:val="2"/>
  </w:num>
  <w:num w:numId="6">
    <w:abstractNumId w:val="6"/>
  </w:num>
  <w:num w:numId="7">
    <w:abstractNumId w:val="3"/>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A815BD"/>
    <w:rsid w:val="005D08AD"/>
    <w:rsid w:val="00A815BD"/>
    <w:rsid w:val="00D943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D407C1D1-AA7B-4FD3-8FE0-CE69AD323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13118C"/>
    <w:pPr>
      <w:numPr>
        <w:numId w:val="1"/>
      </w:numPr>
      <w:jc w:val="both"/>
      <w:outlineLvl w:val="0"/>
    </w:pPr>
    <w:rPr>
      <w:b/>
      <w:bCs/>
      <w:color w:val="000000" w:themeColor="text1"/>
      <w:sz w:val="28"/>
      <w:szCs w:val="28"/>
      <w:lang w:val="es-ES"/>
    </w:rPr>
  </w:style>
  <w:style w:type="paragraph" w:styleId="Ttulo2">
    <w:name w:val="heading 2"/>
    <w:basedOn w:val="Normal"/>
    <w:next w:val="Normal"/>
    <w:link w:val="Ttulo2Car"/>
    <w:uiPriority w:val="9"/>
    <w:semiHidden/>
    <w:unhideWhenUsed/>
    <w:qFormat/>
    <w:rsid w:val="00A521E1"/>
    <w:pPr>
      <w:keepNext/>
      <w:keepLines/>
      <w:spacing w:before="40"/>
      <w:outlineLvl w:val="1"/>
    </w:pPr>
    <w:rPr>
      <w:rFonts w:asciiTheme="majorHAnsi" w:eastAsiaTheme="majorEastAsia" w:hAnsiTheme="majorHAnsi" w:cstheme="majorBidi"/>
      <w:color w:val="2F5496" w:themeColor="accent1" w:themeShade="BF"/>
      <w:kern w:val="2"/>
      <w:sz w:val="26"/>
      <w:szCs w:val="26"/>
      <w:lang w:eastAsia="en-US"/>
    </w:rPr>
  </w:style>
  <w:style w:type="paragraph" w:styleId="Ttulo3">
    <w:name w:val="heading 3"/>
    <w:basedOn w:val="Normal"/>
    <w:next w:val="Normal"/>
    <w:link w:val="Ttulo3Car"/>
    <w:uiPriority w:val="9"/>
    <w:semiHidden/>
    <w:unhideWhenUsed/>
    <w:qFormat/>
    <w:rsid w:val="00913FCB"/>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4E3D5E"/>
    <w:pPr>
      <w:numPr>
        <w:numId w:val="2"/>
      </w:numPr>
      <w:tabs>
        <w:tab w:val="left" w:pos="426"/>
      </w:tabs>
      <w:outlineLvl w:val="3"/>
    </w:pPr>
    <w:rPr>
      <w:b/>
      <w:bCs/>
      <w:i/>
      <w:iCs/>
      <w:color w:val="000000"/>
      <w:sz w:val="28"/>
      <w:szCs w:val="28"/>
      <w:lang w:eastAsia="en-US"/>
    </w:rPr>
  </w:style>
  <w:style w:type="paragraph" w:styleId="Ttulo5">
    <w:name w:val="heading 5"/>
    <w:basedOn w:val="Normal"/>
    <w:next w:val="Normal"/>
    <w:link w:val="Ttulo5Car"/>
    <w:uiPriority w:val="9"/>
    <w:semiHidden/>
    <w:unhideWhenUsed/>
    <w:qFormat/>
    <w:rsid w:val="004B2977"/>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3118C"/>
    <w:rPr>
      <w:rFonts w:ascii="Times New Roman" w:eastAsia="Times New Roman" w:hAnsi="Times New Roman" w:cs="Times New Roman"/>
      <w:b/>
      <w:bCs/>
      <w:color w:val="000000" w:themeColor="text1"/>
      <w:kern w:val="0"/>
      <w:sz w:val="28"/>
      <w:szCs w:val="28"/>
      <w:lang w:val="es-ES" w:eastAsia="es-CO"/>
    </w:rPr>
  </w:style>
  <w:style w:type="paragraph" w:styleId="Encabezado">
    <w:name w:val="header"/>
    <w:basedOn w:val="Normal"/>
    <w:link w:val="EncabezadoCar"/>
    <w:uiPriority w:val="99"/>
    <w:unhideWhenUsed/>
    <w:rsid w:val="0013118C"/>
    <w:pPr>
      <w:tabs>
        <w:tab w:val="center" w:pos="4419"/>
        <w:tab w:val="right" w:pos="8838"/>
      </w:tabs>
    </w:pPr>
    <w:rPr>
      <w:sz w:val="28"/>
      <w:lang w:val="es-ES" w:eastAsia="en-US"/>
    </w:rPr>
  </w:style>
  <w:style w:type="character" w:customStyle="1" w:styleId="EncabezadoCar">
    <w:name w:val="Encabezado Car"/>
    <w:basedOn w:val="Fuentedeprrafopredeter"/>
    <w:link w:val="Encabezado"/>
    <w:uiPriority w:val="99"/>
    <w:rsid w:val="0013118C"/>
    <w:rPr>
      <w:rFonts w:ascii="Times New Roman" w:eastAsia="Times New Roman" w:hAnsi="Times New Roman" w:cs="Times New Roman"/>
      <w:kern w:val="0"/>
      <w:sz w:val="28"/>
      <w:szCs w:val="22"/>
      <w:lang w:val="es-ES"/>
    </w:rPr>
  </w:style>
  <w:style w:type="paragraph" w:styleId="Prrafodelista">
    <w:name w:val="List Paragraph"/>
    <w:aliases w:val="Colorful List - Accent 11,Ha,List Paragraph1,lp1,Footnote,Normal1,Normal2,List Paragraph2,Lista vistosa - Énfasis 11,párrafos sentencia,Normal21,List1,titulo 3,Párrafo de lista1,Bullets,Párrafo de lista2,Cuadrícula clara - Énfasis 31"/>
    <w:basedOn w:val="Normal"/>
    <w:link w:val="PrrafodelistaCar"/>
    <w:uiPriority w:val="34"/>
    <w:qFormat/>
    <w:rsid w:val="0013118C"/>
    <w:pPr>
      <w:spacing w:after="200" w:line="276" w:lineRule="auto"/>
      <w:ind w:left="720"/>
      <w:contextualSpacing/>
    </w:pPr>
    <w:rPr>
      <w:sz w:val="28"/>
      <w:lang w:val="es-ES" w:eastAsia="en-US"/>
    </w:rPr>
  </w:style>
  <w:style w:type="character" w:customStyle="1" w:styleId="PrrafodelistaCar">
    <w:name w:val="Párrafo de lista Car"/>
    <w:aliases w:val="Colorful List - Accent 11 Car,Ha Car,List Paragraph1 Car,lp1 Car,Footnote Car,Normal1 Car,Normal2 Car,List Paragraph2 Car,Lista vistosa - Énfasis 11 Car,párrafos sentencia Car,Normal21 Car,List1 Car,titulo 3 Car,Bullets Car"/>
    <w:link w:val="Prrafodelista"/>
    <w:uiPriority w:val="34"/>
    <w:qFormat/>
    <w:locked/>
    <w:rsid w:val="0013118C"/>
    <w:rPr>
      <w:rFonts w:ascii="Times New Roman" w:eastAsia="Times New Roman" w:hAnsi="Times New Roman" w:cs="Times New Roman"/>
      <w:kern w:val="0"/>
      <w:sz w:val="28"/>
      <w:szCs w:val="22"/>
      <w:lang w:val="es-ES"/>
    </w:rPr>
  </w:style>
  <w:style w:type="paragraph" w:customStyle="1" w:styleId="Sinespaciado1">
    <w:name w:val="Sin espaciado1"/>
    <w:link w:val="NoSpacingCar"/>
    <w:uiPriority w:val="99"/>
    <w:qFormat/>
    <w:rsid w:val="0013118C"/>
    <w:rPr>
      <w:rFonts w:ascii="Calibri" w:eastAsia="Times New Roman" w:hAnsi="Calibri" w:cs="Calibri"/>
    </w:rPr>
  </w:style>
  <w:style w:type="paragraph" w:styleId="Textonotapie">
    <w:name w:val="footnote text"/>
    <w:aliases w:val="Ref. de nota al pie1,Texto de nota al pie,referencia nota al pie,Footnotes refss,Appel note de bas de page,Texto nota pie Car Car,Footnote Text Char Char Char Char Char Char1 Car,Footnote referenc Car,Footnote number,f,BVI fnr,Nota a pie"/>
    <w:basedOn w:val="Normal"/>
    <w:link w:val="TextonotapieCar"/>
    <w:uiPriority w:val="99"/>
    <w:unhideWhenUsed/>
    <w:qFormat/>
    <w:rsid w:val="0013118C"/>
    <w:rPr>
      <w:sz w:val="20"/>
      <w:szCs w:val="20"/>
      <w:lang w:val="es-ES" w:eastAsia="en-US"/>
    </w:rPr>
  </w:style>
  <w:style w:type="character" w:customStyle="1" w:styleId="TextonotapieCar">
    <w:name w:val="Texto nota pie Car"/>
    <w:aliases w:val="Ref. de nota al pie1 Car,Texto de nota al pie Car,referencia nota al pie Car,Footnotes refss Car,Appel note de bas de page Car,Texto nota pie Car Car Car,Footnote Text Char Char Char Char Char Char1 Car Car,Footnote referenc Car Car"/>
    <w:basedOn w:val="Fuentedeprrafopredeter"/>
    <w:link w:val="Textonotapie"/>
    <w:uiPriority w:val="99"/>
    <w:qFormat/>
    <w:rsid w:val="0013118C"/>
    <w:rPr>
      <w:rFonts w:ascii="Times New Roman" w:eastAsia="Times New Roman" w:hAnsi="Times New Roman" w:cs="Times New Roman"/>
      <w:kern w:val="0"/>
      <w:sz w:val="20"/>
      <w:szCs w:val="20"/>
      <w:lang w:val="es-ES"/>
    </w:rPr>
  </w:style>
  <w:style w:type="character" w:styleId="Refdenotaalpie">
    <w:name w:val="footnote reference"/>
    <w:aliases w:val="Ref. de nota al pie 2,4_G,16 Point,Superscript 6 Point,Texto nota al pie,Pie de Página,FC,Texto de nota al pi,Pie de P_gi,Ref. de nota al pie2,Pie de pagina,Footnote Reference Char3,Ref,de nota al pie,Ref1,R,Appel note de bas de...,F"/>
    <w:basedOn w:val="Fuentedeprrafopredeter"/>
    <w:link w:val="4GChar"/>
    <w:uiPriority w:val="99"/>
    <w:unhideWhenUsed/>
    <w:qFormat/>
    <w:rsid w:val="0013118C"/>
    <w:rPr>
      <w:rFonts w:cs="Times New Roman"/>
      <w:vertAlign w:val="superscript"/>
    </w:rPr>
  </w:style>
  <w:style w:type="paragraph" w:customStyle="1" w:styleId="4GChar">
    <w:name w:val="4_G Char"/>
    <w:aliases w:val="Appel note de bas de page Char Char Char Char Char Char Char Char Char Char Char Char Char Char Char Char Char Char Char,Appel note de bas de page Char Char Char Char,Appel note de bas de page Char"/>
    <w:basedOn w:val="Normal"/>
    <w:link w:val="Refdenotaalpie"/>
    <w:uiPriority w:val="99"/>
    <w:rsid w:val="0013118C"/>
    <w:pPr>
      <w:jc w:val="both"/>
    </w:pPr>
    <w:rPr>
      <w:rFonts w:eastAsiaTheme="minorHAnsi"/>
      <w:kern w:val="2"/>
      <w:vertAlign w:val="superscript"/>
      <w:lang w:eastAsia="en-US"/>
    </w:rPr>
  </w:style>
  <w:style w:type="table" w:styleId="Tablaconcuadrcula">
    <w:name w:val="Table Grid"/>
    <w:basedOn w:val="Tablanormal"/>
    <w:uiPriority w:val="39"/>
    <w:rsid w:val="0013118C"/>
    <w:rPr>
      <w:rFonts w:ascii="Times New Roman" w:eastAsia="Times New Roman" w:hAnsi="Times New Roman"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vistoso-nfasis31">
    <w:name w:val="Sombreado vistoso - Énfasis 31"/>
    <w:basedOn w:val="Normal"/>
    <w:uiPriority w:val="34"/>
    <w:qFormat/>
    <w:rsid w:val="0013118C"/>
    <w:pPr>
      <w:widowControl w:val="0"/>
      <w:ind w:left="720"/>
      <w:contextualSpacing/>
      <w:jc w:val="both"/>
    </w:pPr>
    <w:rPr>
      <w:color w:val="000000"/>
      <w:sz w:val="28"/>
      <w:szCs w:val="28"/>
      <w:lang w:val="es-ES" w:eastAsia="es-ES"/>
    </w:rPr>
  </w:style>
  <w:style w:type="character" w:styleId="Hipervnculo">
    <w:name w:val="Hyperlink"/>
    <w:basedOn w:val="Fuentedeprrafopredeter"/>
    <w:uiPriority w:val="99"/>
    <w:unhideWhenUsed/>
    <w:rsid w:val="0013118C"/>
    <w:rPr>
      <w:rFonts w:cs="Times New Roman"/>
      <w:color w:val="0000FF"/>
      <w:u w:val="single"/>
    </w:rPr>
  </w:style>
  <w:style w:type="paragraph" w:styleId="NormalWeb">
    <w:name w:val="Normal (Web)"/>
    <w:basedOn w:val="Normal"/>
    <w:uiPriority w:val="99"/>
    <w:unhideWhenUsed/>
    <w:rsid w:val="0013118C"/>
    <w:pPr>
      <w:spacing w:after="200" w:line="276" w:lineRule="auto"/>
    </w:pPr>
    <w:rPr>
      <w:lang w:val="es-ES" w:eastAsia="en-US"/>
    </w:rPr>
  </w:style>
  <w:style w:type="character" w:styleId="Mencinsinresolver">
    <w:name w:val="Unresolved Mention"/>
    <w:basedOn w:val="Fuentedeprrafopredeter"/>
    <w:uiPriority w:val="99"/>
    <w:semiHidden/>
    <w:unhideWhenUsed/>
    <w:rsid w:val="0013118C"/>
    <w:rPr>
      <w:color w:val="605E5C"/>
      <w:shd w:val="clear" w:color="auto" w:fill="E1DFDD"/>
    </w:rPr>
  </w:style>
  <w:style w:type="paragraph" w:styleId="Piedepgina">
    <w:name w:val="footer"/>
    <w:basedOn w:val="Normal"/>
    <w:link w:val="PiedepginaCar"/>
    <w:uiPriority w:val="99"/>
    <w:unhideWhenUsed/>
    <w:rsid w:val="0013118C"/>
    <w:pPr>
      <w:tabs>
        <w:tab w:val="center" w:pos="4419"/>
        <w:tab w:val="right" w:pos="8838"/>
      </w:tabs>
    </w:pPr>
    <w:rPr>
      <w:sz w:val="28"/>
      <w:lang w:val="es-ES" w:eastAsia="en-US"/>
    </w:rPr>
  </w:style>
  <w:style w:type="character" w:customStyle="1" w:styleId="PiedepginaCar">
    <w:name w:val="Pie de página Car"/>
    <w:basedOn w:val="Fuentedeprrafopredeter"/>
    <w:link w:val="Piedepgina"/>
    <w:uiPriority w:val="99"/>
    <w:rsid w:val="0013118C"/>
    <w:rPr>
      <w:rFonts w:ascii="Times New Roman" w:eastAsia="Times New Roman" w:hAnsi="Times New Roman" w:cs="Times New Roman"/>
      <w:kern w:val="0"/>
      <w:sz w:val="28"/>
      <w:szCs w:val="22"/>
      <w:lang w:val="es-ES"/>
    </w:rPr>
  </w:style>
  <w:style w:type="character" w:styleId="Hipervnculovisitado">
    <w:name w:val="FollowedHyperlink"/>
    <w:basedOn w:val="Fuentedeprrafopredeter"/>
    <w:uiPriority w:val="99"/>
    <w:semiHidden/>
    <w:unhideWhenUsed/>
    <w:rsid w:val="0013118C"/>
    <w:rPr>
      <w:color w:val="954F72" w:themeColor="followedHyperlink"/>
      <w:u w:val="single"/>
    </w:rPr>
  </w:style>
  <w:style w:type="character" w:styleId="Refdecomentario">
    <w:name w:val="annotation reference"/>
    <w:basedOn w:val="Fuentedeprrafopredeter"/>
    <w:uiPriority w:val="99"/>
    <w:semiHidden/>
    <w:unhideWhenUsed/>
    <w:rsid w:val="0013118C"/>
    <w:rPr>
      <w:sz w:val="16"/>
      <w:szCs w:val="16"/>
    </w:rPr>
  </w:style>
  <w:style w:type="paragraph" w:styleId="Textocomentario">
    <w:name w:val="annotation text"/>
    <w:basedOn w:val="Normal"/>
    <w:link w:val="TextocomentarioCar"/>
    <w:uiPriority w:val="99"/>
    <w:unhideWhenUsed/>
    <w:rsid w:val="0013118C"/>
    <w:pPr>
      <w:spacing w:after="200"/>
    </w:pPr>
    <w:rPr>
      <w:sz w:val="20"/>
      <w:szCs w:val="20"/>
      <w:lang w:val="es-ES" w:eastAsia="en-US"/>
    </w:rPr>
  </w:style>
  <w:style w:type="character" w:customStyle="1" w:styleId="TextocomentarioCar">
    <w:name w:val="Texto comentario Car"/>
    <w:basedOn w:val="Fuentedeprrafopredeter"/>
    <w:link w:val="Textocomentario"/>
    <w:uiPriority w:val="99"/>
    <w:rsid w:val="0013118C"/>
    <w:rPr>
      <w:rFonts w:ascii="Times New Roman" w:eastAsia="Times New Roman" w:hAnsi="Times New Roman" w:cs="Times New Roman"/>
      <w:kern w:val="0"/>
      <w:sz w:val="20"/>
      <w:szCs w:val="20"/>
      <w:lang w:val="es-ES"/>
    </w:rPr>
  </w:style>
  <w:style w:type="paragraph" w:styleId="Asuntodelcomentario">
    <w:name w:val="annotation subject"/>
    <w:basedOn w:val="Textocomentario"/>
    <w:next w:val="Textocomentario"/>
    <w:link w:val="AsuntodelcomentarioCar"/>
    <w:uiPriority w:val="99"/>
    <w:semiHidden/>
    <w:unhideWhenUsed/>
    <w:rsid w:val="0013118C"/>
    <w:rPr>
      <w:b/>
      <w:bCs/>
    </w:rPr>
  </w:style>
  <w:style w:type="character" w:customStyle="1" w:styleId="AsuntodelcomentarioCar">
    <w:name w:val="Asunto del comentario Car"/>
    <w:basedOn w:val="TextocomentarioCar"/>
    <w:link w:val="Asuntodelcomentario"/>
    <w:uiPriority w:val="99"/>
    <w:semiHidden/>
    <w:rsid w:val="0013118C"/>
    <w:rPr>
      <w:rFonts w:ascii="Times New Roman" w:eastAsia="Times New Roman" w:hAnsi="Times New Roman" w:cs="Times New Roman"/>
      <w:b/>
      <w:bCs/>
      <w:kern w:val="0"/>
      <w:sz w:val="20"/>
      <w:szCs w:val="20"/>
      <w:lang w:val="es-ES"/>
    </w:rPr>
  </w:style>
  <w:style w:type="character" w:customStyle="1" w:styleId="iaj">
    <w:name w:val="iaj"/>
    <w:basedOn w:val="Fuentedeprrafopredeter"/>
    <w:rsid w:val="0013118C"/>
  </w:style>
  <w:style w:type="character" w:customStyle="1" w:styleId="apple-converted-space">
    <w:name w:val="apple-converted-space"/>
    <w:basedOn w:val="Fuentedeprrafopredeter"/>
    <w:rsid w:val="0013118C"/>
  </w:style>
  <w:style w:type="paragraph" w:styleId="Revisin">
    <w:name w:val="Revision"/>
    <w:hidden/>
    <w:uiPriority w:val="99"/>
    <w:semiHidden/>
    <w:rsid w:val="0013118C"/>
    <w:rPr>
      <w:rFonts w:ascii="Times New Roman" w:eastAsia="Times New Roman" w:hAnsi="Times New Roman" w:cs="Times New Roman"/>
      <w:lang w:eastAsia="es-MX"/>
    </w:rPr>
  </w:style>
  <w:style w:type="character" w:customStyle="1" w:styleId="TextonotapieCar1">
    <w:name w:val="Texto nota pie Car1"/>
    <w:aliases w:val="Footnote Text Char Char Char Char Char Car,Footnote Text Char Char Char Char Car,Footnote reference Car,FA Fu Car,texto de nota al pie Car,Footnote Text Char Car,Footnote Text Char Char Char Char Char Char Char Char Car"/>
    <w:basedOn w:val="Fuentedeprrafopredeter"/>
    <w:uiPriority w:val="99"/>
    <w:rsid w:val="001E2C82"/>
    <w:rPr>
      <w:rFonts w:ascii="Bookman Old Style" w:eastAsia="Times New Roman" w:hAnsi="Bookman Old Style" w:cs="Bookman Old Style"/>
      <w:kern w:val="0"/>
      <w:sz w:val="20"/>
      <w:szCs w:val="20"/>
      <w:lang w:val="es-ES_tradnl" w:eastAsia="es-ES"/>
    </w:rPr>
  </w:style>
  <w:style w:type="paragraph" w:styleId="Sangra2detindependiente">
    <w:name w:val="Body Text Indent 2"/>
    <w:basedOn w:val="Normal"/>
    <w:link w:val="Sangra2detindependienteCar"/>
    <w:uiPriority w:val="99"/>
    <w:rsid w:val="001E2C82"/>
    <w:pPr>
      <w:autoSpaceDE w:val="0"/>
      <w:autoSpaceDN w:val="0"/>
      <w:ind w:left="3261"/>
      <w:jc w:val="both"/>
    </w:pPr>
    <w:rPr>
      <w:rFonts w:ascii="Bookman Old Style" w:hAnsi="Bookman Old Style" w:cs="Bookman Old Style"/>
      <w:b/>
      <w:bCs/>
      <w:sz w:val="28"/>
      <w:szCs w:val="28"/>
      <w:lang w:val="es-ES" w:eastAsia="es-ES"/>
    </w:rPr>
  </w:style>
  <w:style w:type="character" w:customStyle="1" w:styleId="Sangra2detindependienteCar">
    <w:name w:val="Sangría 2 de t. independiente Car"/>
    <w:basedOn w:val="Fuentedeprrafopredeter"/>
    <w:link w:val="Sangra2detindependiente"/>
    <w:uiPriority w:val="99"/>
    <w:rsid w:val="001E2C82"/>
    <w:rPr>
      <w:rFonts w:ascii="Bookman Old Style" w:eastAsia="Times New Roman" w:hAnsi="Bookman Old Style" w:cs="Bookman Old Style"/>
      <w:b/>
      <w:bCs/>
      <w:kern w:val="0"/>
      <w:sz w:val="28"/>
      <w:szCs w:val="28"/>
      <w:lang w:val="es-ES" w:eastAsia="es-ES"/>
    </w:rPr>
  </w:style>
  <w:style w:type="character" w:customStyle="1" w:styleId="baj">
    <w:name w:val="b_aj"/>
    <w:basedOn w:val="Fuentedeprrafopredeter"/>
    <w:rsid w:val="0022378F"/>
  </w:style>
  <w:style w:type="paragraph" w:customStyle="1" w:styleId="Estilo1">
    <w:name w:val="Estilo1"/>
    <w:basedOn w:val="Prrafodelista"/>
    <w:qFormat/>
    <w:rsid w:val="0068422D"/>
    <w:pPr>
      <w:numPr>
        <w:numId w:val="3"/>
      </w:numPr>
      <w:shd w:val="clear" w:color="auto" w:fill="FFFFFF"/>
      <w:spacing w:after="0" w:line="240" w:lineRule="auto"/>
      <w:ind w:right="51"/>
      <w:jc w:val="both"/>
    </w:pPr>
    <w:rPr>
      <w:rFonts w:eastAsiaTheme="minorHAnsi"/>
      <w:kern w:val="2"/>
      <w:sz w:val="18"/>
      <w:vertAlign w:val="superscript"/>
      <w:lang w:val="es-CO"/>
    </w:rPr>
  </w:style>
  <w:style w:type="character" w:customStyle="1" w:styleId="Ttulo4Car">
    <w:name w:val="Título 4 Car"/>
    <w:basedOn w:val="Fuentedeprrafopredeter"/>
    <w:link w:val="Ttulo4"/>
    <w:uiPriority w:val="9"/>
    <w:rsid w:val="004E3D5E"/>
    <w:rPr>
      <w:rFonts w:ascii="Times New Roman" w:eastAsia="Times New Roman" w:hAnsi="Times New Roman" w:cs="Times New Roman"/>
      <w:b/>
      <w:bCs/>
      <w:i/>
      <w:iCs/>
      <w:color w:val="000000"/>
      <w:kern w:val="0"/>
      <w:sz w:val="28"/>
      <w:szCs w:val="28"/>
    </w:rPr>
  </w:style>
  <w:style w:type="paragraph" w:styleId="Sinespaciado">
    <w:name w:val="No Spacing"/>
    <w:basedOn w:val="Normal"/>
    <w:uiPriority w:val="1"/>
    <w:qFormat/>
    <w:rsid w:val="004E3D5E"/>
    <w:pPr>
      <w:spacing w:before="100" w:beforeAutospacing="1" w:after="100" w:afterAutospacing="1"/>
    </w:pPr>
  </w:style>
  <w:style w:type="character" w:customStyle="1" w:styleId="Ttulo2Car">
    <w:name w:val="Título 2 Car"/>
    <w:basedOn w:val="Fuentedeprrafopredeter"/>
    <w:link w:val="Ttulo2"/>
    <w:uiPriority w:val="9"/>
    <w:rsid w:val="00A521E1"/>
    <w:rPr>
      <w:rFonts w:asciiTheme="majorHAnsi" w:eastAsiaTheme="majorEastAsia" w:hAnsiTheme="majorHAnsi" w:cstheme="majorBidi"/>
      <w:color w:val="2F5496" w:themeColor="accent1" w:themeShade="BF"/>
      <w:sz w:val="26"/>
      <w:szCs w:val="26"/>
    </w:rPr>
  </w:style>
  <w:style w:type="character" w:styleId="Textoennegrita">
    <w:name w:val="Strong"/>
    <w:basedOn w:val="Fuentedeprrafopredeter"/>
    <w:uiPriority w:val="22"/>
    <w:qFormat/>
    <w:rsid w:val="00A521E1"/>
    <w:rPr>
      <w:b/>
      <w:bCs/>
    </w:rPr>
  </w:style>
  <w:style w:type="character" w:styleId="nfasis">
    <w:name w:val="Emphasis"/>
    <w:basedOn w:val="Fuentedeprrafopredeter"/>
    <w:uiPriority w:val="20"/>
    <w:qFormat/>
    <w:rsid w:val="00A521E1"/>
    <w:rPr>
      <w:i/>
      <w:iCs/>
    </w:rPr>
  </w:style>
  <w:style w:type="character" w:customStyle="1" w:styleId="user-highlighted-active">
    <w:name w:val="user-highlighted-active"/>
    <w:basedOn w:val="Fuentedeprrafopredeter"/>
    <w:rsid w:val="00805CB4"/>
  </w:style>
  <w:style w:type="paragraph" w:customStyle="1" w:styleId="stk-block-texttext">
    <w:name w:val="stk-block-text__text"/>
    <w:basedOn w:val="Normal"/>
    <w:rsid w:val="00BA5405"/>
    <w:pPr>
      <w:spacing w:before="100" w:beforeAutospacing="1" w:after="100" w:afterAutospacing="1"/>
    </w:pPr>
  </w:style>
  <w:style w:type="character" w:customStyle="1" w:styleId="normaltextrun">
    <w:name w:val="normaltextrun"/>
    <w:basedOn w:val="Fuentedeprrafopredeter"/>
    <w:rsid w:val="001E5677"/>
  </w:style>
  <w:style w:type="character" w:customStyle="1" w:styleId="eop">
    <w:name w:val="eop"/>
    <w:basedOn w:val="Fuentedeprrafopredeter"/>
    <w:rsid w:val="001E5677"/>
  </w:style>
  <w:style w:type="paragraph" w:customStyle="1" w:styleId="Textocomentario1">
    <w:name w:val="Texto comentario1"/>
    <w:basedOn w:val="Normal"/>
    <w:next w:val="Textocomentario"/>
    <w:uiPriority w:val="99"/>
    <w:semiHidden/>
    <w:unhideWhenUsed/>
    <w:rsid w:val="00D54E33"/>
    <w:rPr>
      <w:rFonts w:eastAsiaTheme="minorHAnsi"/>
      <w:kern w:val="2"/>
      <w:sz w:val="20"/>
      <w:szCs w:val="20"/>
      <w:lang w:eastAsia="en-US"/>
    </w:rPr>
  </w:style>
  <w:style w:type="character" w:customStyle="1" w:styleId="Ttulo3Car">
    <w:name w:val="Título 3 Car"/>
    <w:basedOn w:val="Fuentedeprrafopredeter"/>
    <w:link w:val="Ttulo3"/>
    <w:uiPriority w:val="9"/>
    <w:rsid w:val="00913FCB"/>
    <w:rPr>
      <w:rFonts w:asciiTheme="majorHAnsi" w:eastAsiaTheme="majorEastAsia" w:hAnsiTheme="majorHAnsi" w:cstheme="majorBidi"/>
      <w:color w:val="1F3763" w:themeColor="accent1" w:themeShade="7F"/>
      <w:kern w:val="0"/>
      <w:lang w:eastAsia="es-MX"/>
    </w:rPr>
  </w:style>
  <w:style w:type="paragraph" w:styleId="Textodeglobo">
    <w:name w:val="Balloon Text"/>
    <w:basedOn w:val="Normal"/>
    <w:link w:val="TextodegloboCar"/>
    <w:uiPriority w:val="99"/>
    <w:semiHidden/>
    <w:unhideWhenUsed/>
    <w:rsid w:val="00143E5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43E50"/>
    <w:rPr>
      <w:rFonts w:ascii="Segoe UI" w:eastAsia="Times New Roman" w:hAnsi="Segoe UI" w:cs="Segoe UI"/>
      <w:kern w:val="0"/>
      <w:sz w:val="18"/>
      <w:szCs w:val="18"/>
      <w:lang w:eastAsia="es-MX"/>
    </w:rPr>
  </w:style>
  <w:style w:type="paragraph" w:styleId="Textoindependiente2">
    <w:name w:val="Body Text 2"/>
    <w:basedOn w:val="Normal"/>
    <w:link w:val="Textoindependiente2Car"/>
    <w:uiPriority w:val="99"/>
    <w:unhideWhenUsed/>
    <w:rsid w:val="0000143A"/>
    <w:pPr>
      <w:spacing w:after="120" w:line="480" w:lineRule="auto"/>
    </w:pPr>
    <w:rPr>
      <w:rFonts w:eastAsiaTheme="minorHAnsi"/>
      <w:kern w:val="2"/>
      <w:lang w:eastAsia="en-US"/>
    </w:rPr>
  </w:style>
  <w:style w:type="character" w:customStyle="1" w:styleId="Textoindependiente2Car">
    <w:name w:val="Texto independiente 2 Car"/>
    <w:basedOn w:val="Fuentedeprrafopredeter"/>
    <w:link w:val="Textoindependiente2"/>
    <w:uiPriority w:val="99"/>
    <w:rsid w:val="0000143A"/>
    <w:rPr>
      <w:sz w:val="22"/>
      <w:szCs w:val="22"/>
    </w:rPr>
  </w:style>
  <w:style w:type="table" w:styleId="Tablaconcuadrculaclara">
    <w:name w:val="Grid Table Light"/>
    <w:basedOn w:val="Tablanormal"/>
    <w:uiPriority w:val="40"/>
    <w:rsid w:val="00F0167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ighlighted">
    <w:name w:val="highlighted"/>
    <w:basedOn w:val="Fuentedeprrafopredeter"/>
    <w:rsid w:val="005C6908"/>
  </w:style>
  <w:style w:type="paragraph" w:styleId="Lista">
    <w:name w:val="List"/>
    <w:basedOn w:val="Normal"/>
    <w:uiPriority w:val="99"/>
    <w:semiHidden/>
    <w:unhideWhenUsed/>
    <w:rsid w:val="002A028D"/>
    <w:pPr>
      <w:spacing w:before="100" w:beforeAutospacing="1" w:after="100" w:afterAutospacing="1"/>
    </w:pPr>
  </w:style>
  <w:style w:type="table" w:styleId="Tabladecuadrcula2">
    <w:name w:val="Grid Table 2"/>
    <w:basedOn w:val="Tablanormal"/>
    <w:uiPriority w:val="47"/>
    <w:rsid w:val="00811D0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1clara">
    <w:name w:val="List Table 1 Light"/>
    <w:basedOn w:val="Tablanormal"/>
    <w:uiPriority w:val="46"/>
    <w:rsid w:val="00C2289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4-nfasis3">
    <w:name w:val="List Table 4 Accent 3"/>
    <w:basedOn w:val="Tablanormal"/>
    <w:uiPriority w:val="49"/>
    <w:rsid w:val="00C2289E"/>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Ttulo5Car">
    <w:name w:val="Título 5 Car"/>
    <w:basedOn w:val="Fuentedeprrafopredeter"/>
    <w:link w:val="Ttulo5"/>
    <w:uiPriority w:val="9"/>
    <w:rsid w:val="004B2977"/>
    <w:rPr>
      <w:rFonts w:asciiTheme="majorHAnsi" w:eastAsiaTheme="majorEastAsia" w:hAnsiTheme="majorHAnsi" w:cstheme="majorBidi"/>
      <w:color w:val="2F5496" w:themeColor="accent1" w:themeShade="BF"/>
      <w:kern w:val="0"/>
      <w:lang w:eastAsia="es-MX"/>
    </w:rPr>
  </w:style>
  <w:style w:type="table" w:styleId="Tablaconcuadrcula6concolores">
    <w:name w:val="Grid Table 6 Colorful"/>
    <w:basedOn w:val="Tablanormal"/>
    <w:uiPriority w:val="51"/>
    <w:rsid w:val="00ED655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3-nfasis3">
    <w:name w:val="List Table 3 Accent 3"/>
    <w:basedOn w:val="Tablanormal"/>
    <w:uiPriority w:val="48"/>
    <w:rsid w:val="00ED6556"/>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customStyle="1" w:styleId="pa8">
    <w:name w:val="pa8"/>
    <w:basedOn w:val="Normal"/>
    <w:rsid w:val="00264212"/>
    <w:pPr>
      <w:spacing w:before="100" w:beforeAutospacing="1" w:after="100" w:afterAutospacing="1"/>
    </w:pPr>
  </w:style>
  <w:style w:type="character" w:customStyle="1" w:styleId="vcitation">
    <w:name w:val="vcitation"/>
    <w:basedOn w:val="Fuentedeprrafopredeter"/>
    <w:rsid w:val="00D73593"/>
  </w:style>
  <w:style w:type="character" w:customStyle="1" w:styleId="toctoggle">
    <w:name w:val="toctoggle"/>
    <w:basedOn w:val="Fuentedeprrafopredeter"/>
    <w:rsid w:val="0052241A"/>
  </w:style>
  <w:style w:type="paragraph" w:customStyle="1" w:styleId="Default">
    <w:name w:val="Default"/>
    <w:rsid w:val="00221AF8"/>
    <w:pPr>
      <w:autoSpaceDE w:val="0"/>
      <w:autoSpaceDN w:val="0"/>
      <w:adjustRightInd w:val="0"/>
    </w:pPr>
    <w:rPr>
      <w:rFonts w:ascii="Times New Roman" w:hAnsi="Times New Roman" w:cs="Times New Roman"/>
      <w:color w:val="000000"/>
    </w:rPr>
  </w:style>
  <w:style w:type="paragraph" w:customStyle="1" w:styleId="Piedepagina">
    <w:name w:val="Pie de pagina"/>
    <w:aliases w:val="Nota de pie"/>
    <w:basedOn w:val="Normal"/>
    <w:uiPriority w:val="99"/>
    <w:qFormat/>
    <w:rsid w:val="008D5E1A"/>
    <w:pPr>
      <w:spacing w:line="240" w:lineRule="exact"/>
    </w:pPr>
    <w:rPr>
      <w:vertAlign w:val="superscript"/>
    </w:rPr>
  </w:style>
  <w:style w:type="paragraph" w:customStyle="1" w:styleId="BodyText21">
    <w:name w:val="Body Text 21"/>
    <w:basedOn w:val="Normal"/>
    <w:rsid w:val="008D5E1A"/>
    <w:pPr>
      <w:widowControl w:val="0"/>
      <w:overflowPunct w:val="0"/>
      <w:autoSpaceDE w:val="0"/>
      <w:autoSpaceDN w:val="0"/>
      <w:adjustRightInd w:val="0"/>
      <w:spacing w:after="0" w:line="360" w:lineRule="atLeast"/>
      <w:ind w:right="51"/>
      <w:jc w:val="both"/>
      <w:textAlignment w:val="baseline"/>
    </w:pPr>
    <w:rPr>
      <w:rFonts w:ascii="Arial" w:eastAsia="Times New Roman" w:hAnsi="Arial" w:cs="Times New Roman"/>
      <w:sz w:val="28"/>
      <w:szCs w:val="20"/>
      <w:lang w:eastAsia="es-ES"/>
    </w:rPr>
  </w:style>
  <w:style w:type="character" w:customStyle="1" w:styleId="NoSpacingCar">
    <w:name w:val="No Spacing Car"/>
    <w:link w:val="Sinespaciado1"/>
    <w:locked/>
    <w:rsid w:val="008D5E1A"/>
    <w:rPr>
      <w:rFonts w:ascii="Times New Roman" w:eastAsia="Calibri" w:hAnsi="Times New Roman" w:cs="Times New Roman"/>
      <w:sz w:val="24"/>
      <w:szCs w:val="24"/>
      <w:lang w:eastAsia="es-ES"/>
    </w:rPr>
  </w:style>
  <w:style w:type="paragraph" w:styleId="Textoindependiente3">
    <w:name w:val="Body Text 3"/>
    <w:basedOn w:val="Normal"/>
    <w:link w:val="Textoindependiente3Car"/>
    <w:uiPriority w:val="99"/>
    <w:rsid w:val="008D5E1A"/>
    <w:pPr>
      <w:autoSpaceDE w:val="0"/>
      <w:autoSpaceDN w:val="0"/>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8D5E1A"/>
    <w:rPr>
      <w:rFonts w:ascii="Times New Roman" w:eastAsia="Times New Roman" w:hAnsi="Times New Roman" w:cs="Times New Roman"/>
      <w:sz w:val="16"/>
      <w:szCs w:val="16"/>
      <w:lang w:val="es-CO" w:eastAsia="es-ES"/>
    </w:rPr>
  </w:style>
  <w:style w:type="character" w:styleId="Nmerodepgina">
    <w:name w:val="page number"/>
    <w:basedOn w:val="Fuentedeprrafopredeter"/>
    <w:uiPriority w:val="99"/>
    <w:unhideWhenUsed/>
    <w:rsid w:val="008D5E1A"/>
  </w:style>
  <w:style w:type="paragraph" w:styleId="Textoindependiente">
    <w:name w:val="Body Text"/>
    <w:basedOn w:val="Normal"/>
    <w:link w:val="TextoindependienteCar"/>
    <w:uiPriority w:val="99"/>
    <w:rsid w:val="008D5E1A"/>
    <w:pPr>
      <w:spacing w:after="120" w:line="240" w:lineRule="auto"/>
    </w:pPr>
    <w:rPr>
      <w:rFonts w:ascii="Times New Roman" w:eastAsia="Calibri" w:hAnsi="Times New Roman" w:cs="Times New Roman"/>
      <w:sz w:val="24"/>
      <w:szCs w:val="24"/>
      <w:lang w:eastAsia="es-ES"/>
    </w:rPr>
  </w:style>
  <w:style w:type="character" w:customStyle="1" w:styleId="TextoindependienteCar">
    <w:name w:val="Texto independiente Car"/>
    <w:basedOn w:val="Fuentedeprrafopredeter"/>
    <w:link w:val="Textoindependiente"/>
    <w:uiPriority w:val="99"/>
    <w:rsid w:val="008D5E1A"/>
    <w:rPr>
      <w:rFonts w:ascii="Times New Roman" w:eastAsia="Calibri" w:hAnsi="Times New Roman" w:cs="Times New Roman"/>
      <w:sz w:val="24"/>
      <w:szCs w:val="24"/>
      <w:lang w:val="es-CO" w:eastAsia="es-ES"/>
    </w:rPr>
  </w:style>
  <w:style w:type="paragraph" w:styleId="Mapadeldocumento">
    <w:name w:val="Document Map"/>
    <w:basedOn w:val="Normal"/>
    <w:link w:val="MapadeldocumentoCar"/>
    <w:uiPriority w:val="99"/>
    <w:semiHidden/>
    <w:unhideWhenUsed/>
    <w:rsid w:val="008D5E1A"/>
    <w:pPr>
      <w:spacing w:after="0" w:line="240" w:lineRule="auto"/>
    </w:pPr>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8D5E1A"/>
    <w:rPr>
      <w:rFonts w:ascii="Tahoma" w:hAnsi="Tahoma" w:cs="Tahoma"/>
      <w:sz w:val="16"/>
      <w:szCs w:val="16"/>
    </w:rPr>
  </w:style>
  <w:style w:type="paragraph" w:styleId="Sangradetextonormal">
    <w:name w:val="Body Text Indent"/>
    <w:basedOn w:val="Normal"/>
    <w:link w:val="SangradetextonormalCar"/>
    <w:uiPriority w:val="99"/>
    <w:unhideWhenUsed/>
    <w:rsid w:val="008D5E1A"/>
    <w:pPr>
      <w:spacing w:after="120"/>
      <w:ind w:left="283"/>
    </w:pPr>
  </w:style>
  <w:style w:type="character" w:customStyle="1" w:styleId="SangradetextonormalCar">
    <w:name w:val="Sangría de texto normal Car"/>
    <w:basedOn w:val="Fuentedeprrafopredeter"/>
    <w:link w:val="Sangradetextonormal"/>
    <w:uiPriority w:val="99"/>
    <w:rsid w:val="008D5E1A"/>
  </w:style>
  <w:style w:type="paragraph" w:customStyle="1" w:styleId="Niveldenota21">
    <w:name w:val="Nivel de nota 21"/>
    <w:uiPriority w:val="99"/>
    <w:rsid w:val="008D5E1A"/>
    <w:pPr>
      <w:spacing w:after="0" w:line="240" w:lineRule="auto"/>
    </w:pPr>
    <w:rPr>
      <w:rFonts w:ascii="Times New Roman" w:eastAsia="Times New Roman" w:hAnsi="Times New Roman" w:cs="Times New Roman"/>
      <w:sz w:val="24"/>
      <w:szCs w:val="24"/>
      <w:lang w:eastAsia="es-ES"/>
    </w:rPr>
  </w:style>
  <w:style w:type="paragraph" w:customStyle="1" w:styleId="Sinespaciado2">
    <w:name w:val="Sin espaciado2"/>
    <w:rsid w:val="008D5E1A"/>
    <w:pPr>
      <w:overflowPunct w:val="0"/>
      <w:autoSpaceDE w:val="0"/>
      <w:autoSpaceDN w:val="0"/>
      <w:adjustRightInd w:val="0"/>
      <w:spacing w:after="0" w:line="240" w:lineRule="auto"/>
      <w:textAlignment w:val="baseline"/>
    </w:pPr>
    <w:rPr>
      <w:rFonts w:ascii="Times New Roman" w:eastAsia="Times New Roman" w:hAnsi="Times New Roman" w:cs="Times New Roman"/>
      <w:sz w:val="28"/>
      <w:szCs w:val="28"/>
      <w:lang w:eastAsia="es-ES"/>
    </w:rPr>
  </w:style>
  <w:style w:type="paragraph" w:customStyle="1" w:styleId="sinespaciado10">
    <w:name w:val="sinespaciado1"/>
    <w:basedOn w:val="Normal"/>
    <w:rsid w:val="008D5E1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fasisintenso1">
    <w:name w:val="Énfasis intenso1"/>
    <w:rsid w:val="008D5E1A"/>
    <w:rPr>
      <w:b/>
      <w:color w:val="auto"/>
    </w:rPr>
  </w:style>
  <w:style w:type="paragraph" w:customStyle="1" w:styleId="Style1">
    <w:name w:val="Style1"/>
    <w:basedOn w:val="Normal"/>
    <w:uiPriority w:val="99"/>
    <w:rsid w:val="008D5E1A"/>
    <w:pPr>
      <w:widowControl w:val="0"/>
      <w:autoSpaceDE w:val="0"/>
      <w:autoSpaceDN w:val="0"/>
      <w:adjustRightInd w:val="0"/>
      <w:spacing w:after="0" w:line="240" w:lineRule="auto"/>
    </w:pPr>
    <w:rPr>
      <w:rFonts w:ascii="Times New Roman" w:eastAsia="Times New Roman" w:hAnsi="Times New Roman" w:cs="Times New Roman"/>
      <w:sz w:val="24"/>
      <w:szCs w:val="24"/>
      <w:lang w:eastAsia="es-ES"/>
    </w:rPr>
  </w:style>
  <w:style w:type="paragraph" w:customStyle="1" w:styleId="Style3">
    <w:name w:val="Style3"/>
    <w:basedOn w:val="Normal"/>
    <w:uiPriority w:val="99"/>
    <w:rsid w:val="008D5E1A"/>
    <w:pPr>
      <w:widowControl w:val="0"/>
      <w:autoSpaceDE w:val="0"/>
      <w:autoSpaceDN w:val="0"/>
      <w:adjustRightInd w:val="0"/>
      <w:spacing w:after="0" w:line="317" w:lineRule="exact"/>
      <w:jc w:val="center"/>
    </w:pPr>
    <w:rPr>
      <w:rFonts w:ascii="Times New Roman" w:eastAsia="Times New Roman" w:hAnsi="Times New Roman" w:cs="Times New Roman"/>
      <w:sz w:val="24"/>
      <w:szCs w:val="24"/>
      <w:lang w:eastAsia="es-ES"/>
    </w:rPr>
  </w:style>
  <w:style w:type="paragraph" w:customStyle="1" w:styleId="Style4">
    <w:name w:val="Style4"/>
    <w:basedOn w:val="Normal"/>
    <w:uiPriority w:val="99"/>
    <w:rsid w:val="008D5E1A"/>
    <w:pPr>
      <w:widowControl w:val="0"/>
      <w:autoSpaceDE w:val="0"/>
      <w:autoSpaceDN w:val="0"/>
      <w:adjustRightInd w:val="0"/>
      <w:spacing w:after="0" w:line="324" w:lineRule="exact"/>
      <w:jc w:val="both"/>
    </w:pPr>
    <w:rPr>
      <w:rFonts w:ascii="Times New Roman" w:eastAsia="Times New Roman" w:hAnsi="Times New Roman" w:cs="Times New Roman"/>
      <w:sz w:val="24"/>
      <w:szCs w:val="24"/>
      <w:lang w:eastAsia="es-ES"/>
    </w:rPr>
  </w:style>
  <w:style w:type="paragraph" w:customStyle="1" w:styleId="Style5">
    <w:name w:val="Style5"/>
    <w:basedOn w:val="Normal"/>
    <w:uiPriority w:val="99"/>
    <w:rsid w:val="008D5E1A"/>
    <w:pPr>
      <w:widowControl w:val="0"/>
      <w:autoSpaceDE w:val="0"/>
      <w:autoSpaceDN w:val="0"/>
      <w:adjustRightInd w:val="0"/>
      <w:spacing w:after="0" w:line="235" w:lineRule="exact"/>
      <w:jc w:val="both"/>
    </w:pPr>
    <w:rPr>
      <w:rFonts w:ascii="Times New Roman" w:eastAsia="Times New Roman" w:hAnsi="Times New Roman" w:cs="Times New Roman"/>
      <w:sz w:val="24"/>
      <w:szCs w:val="24"/>
      <w:lang w:eastAsia="es-ES"/>
    </w:rPr>
  </w:style>
  <w:style w:type="paragraph" w:customStyle="1" w:styleId="Style6">
    <w:name w:val="Style6"/>
    <w:basedOn w:val="Normal"/>
    <w:uiPriority w:val="99"/>
    <w:rsid w:val="008D5E1A"/>
    <w:pPr>
      <w:widowControl w:val="0"/>
      <w:autoSpaceDE w:val="0"/>
      <w:autoSpaceDN w:val="0"/>
      <w:adjustRightInd w:val="0"/>
      <w:spacing w:after="0" w:line="322" w:lineRule="exact"/>
      <w:jc w:val="both"/>
    </w:pPr>
    <w:rPr>
      <w:rFonts w:ascii="Times New Roman" w:eastAsia="Times New Roman" w:hAnsi="Times New Roman" w:cs="Times New Roman"/>
      <w:sz w:val="24"/>
      <w:szCs w:val="24"/>
      <w:lang w:eastAsia="es-ES"/>
    </w:rPr>
  </w:style>
  <w:style w:type="character" w:customStyle="1" w:styleId="FontStyle12">
    <w:name w:val="Font Style12"/>
    <w:uiPriority w:val="99"/>
    <w:rsid w:val="008D5E1A"/>
    <w:rPr>
      <w:rFonts w:ascii="Times New Roman" w:hAnsi="Times New Roman"/>
      <w:b/>
      <w:sz w:val="26"/>
    </w:rPr>
  </w:style>
  <w:style w:type="character" w:customStyle="1" w:styleId="FontStyle13">
    <w:name w:val="Font Style13"/>
    <w:uiPriority w:val="99"/>
    <w:rsid w:val="008D5E1A"/>
    <w:rPr>
      <w:rFonts w:ascii="Times New Roman" w:hAnsi="Times New Roman"/>
      <w:sz w:val="26"/>
    </w:rPr>
  </w:style>
  <w:style w:type="character" w:customStyle="1" w:styleId="FontStyle14">
    <w:name w:val="Font Style14"/>
    <w:uiPriority w:val="99"/>
    <w:rsid w:val="008D5E1A"/>
    <w:rPr>
      <w:rFonts w:ascii="Times New Roman" w:hAnsi="Times New Roman"/>
      <w:i/>
      <w:sz w:val="28"/>
    </w:rPr>
  </w:style>
  <w:style w:type="character" w:customStyle="1" w:styleId="FontStyle15">
    <w:name w:val="Font Style15"/>
    <w:uiPriority w:val="99"/>
    <w:rsid w:val="008D5E1A"/>
    <w:rPr>
      <w:rFonts w:ascii="Times New Roman" w:hAnsi="Times New Roman"/>
      <w:sz w:val="18"/>
    </w:rPr>
  </w:style>
  <w:style w:type="paragraph" w:customStyle="1" w:styleId="bodytext210">
    <w:name w:val="bodytext210"/>
    <w:basedOn w:val="Normal"/>
    <w:rsid w:val="008D5E1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uadrculamedia1-nfasis21">
    <w:name w:val="Cuadrícula media 1 - Énfasis 21"/>
    <w:basedOn w:val="Normal"/>
    <w:qFormat/>
    <w:rsid w:val="008D5E1A"/>
    <w:pPr>
      <w:spacing w:after="0" w:line="240" w:lineRule="auto"/>
      <w:ind w:left="720"/>
    </w:pPr>
    <w:rPr>
      <w:rFonts w:ascii="Times New Roman" w:eastAsia="Times New Roman" w:hAnsi="Times New Roman" w:cs="Times New Roman"/>
      <w:sz w:val="24"/>
      <w:szCs w:val="24"/>
      <w:lang w:eastAsia="es-ES"/>
    </w:rPr>
  </w:style>
  <w:style w:type="paragraph" w:customStyle="1" w:styleId="NoSpacing1">
    <w:name w:val="No Spacing1"/>
    <w:uiPriority w:val="99"/>
    <w:rsid w:val="002A50C6"/>
    <w:pPr>
      <w:overflowPunct w:val="0"/>
      <w:autoSpaceDE w:val="0"/>
      <w:autoSpaceDN w:val="0"/>
      <w:adjustRightInd w:val="0"/>
      <w:spacing w:after="0" w:line="240" w:lineRule="auto"/>
      <w:textAlignment w:val="baseline"/>
    </w:pPr>
    <w:rPr>
      <w:rFonts w:ascii="Times New Roman" w:eastAsia="Times New Roman" w:hAnsi="Times New Roman" w:cs="Times New Roman"/>
      <w:sz w:val="28"/>
      <w:szCs w:val="28"/>
      <w:lang w:eastAsia="es-ES"/>
    </w:rPr>
  </w:style>
  <w:style w:type="character" w:customStyle="1" w:styleId="Mencinsinresolver1">
    <w:name w:val="Mención sin resolver1"/>
    <w:basedOn w:val="Fuentedeprrafopredeter"/>
    <w:uiPriority w:val="99"/>
    <w:semiHidden/>
    <w:unhideWhenUsed/>
    <w:rsid w:val="0029050A"/>
    <w:rPr>
      <w:color w:val="605E5C"/>
      <w:shd w:val="clear" w:color="auto" w:fill="E1DFDD"/>
    </w:rPr>
  </w:style>
  <w:style w:type="paragraph" w:customStyle="1" w:styleId="paragraph">
    <w:name w:val="paragraph"/>
    <w:basedOn w:val="Normal"/>
    <w:rsid w:val="00585FCF"/>
    <w:pPr>
      <w:spacing w:before="100" w:beforeAutospacing="1" w:after="100" w:afterAutospacing="1" w:line="240" w:lineRule="auto"/>
    </w:pPr>
    <w:rPr>
      <w:rFonts w:ascii="Times New Roman" w:eastAsia="Times New Roman" w:hAnsi="Times New Roman" w:cs="Times New Roman"/>
      <w:sz w:val="24"/>
      <w:szCs w:val="24"/>
    </w:rPr>
  </w:style>
  <w:style w:type="paragraph" w:styleId="Textoindependienteprimerasangra2">
    <w:name w:val="Body Text First Indent 2"/>
    <w:basedOn w:val="Sangradetextonormal"/>
    <w:link w:val="Textoindependienteprimerasangra2Car"/>
    <w:uiPriority w:val="99"/>
    <w:semiHidden/>
    <w:unhideWhenUsed/>
    <w:rsid w:val="00AA0908"/>
    <w:pPr>
      <w:spacing w:after="0" w:line="240" w:lineRule="auto"/>
      <w:ind w:left="360" w:firstLine="360"/>
    </w:pPr>
    <w:rPr>
      <w:rFonts w:ascii="Times New Roman" w:eastAsia="Times New Roman" w:hAnsi="Times New Roman" w:cs="Times New Roman"/>
      <w:sz w:val="24"/>
      <w:szCs w:val="24"/>
      <w:lang w:val="pt-BR" w:eastAsia="pt-BR"/>
    </w:rPr>
  </w:style>
  <w:style w:type="character" w:customStyle="1" w:styleId="Textoindependienteprimerasangra2Car">
    <w:name w:val="Texto independiente primera sangría 2 Car"/>
    <w:basedOn w:val="SangradetextonormalCar"/>
    <w:link w:val="Textoindependienteprimerasangra2"/>
    <w:uiPriority w:val="99"/>
    <w:semiHidden/>
    <w:rsid w:val="00AA0908"/>
    <w:rPr>
      <w:rFonts w:ascii="Times New Roman" w:eastAsia="Times New Roman" w:hAnsi="Times New Roman" w:cs="Times New Roman"/>
      <w:sz w:val="24"/>
      <w:szCs w:val="24"/>
      <w:lang w:val="pt-BR" w:eastAsia="pt-BR"/>
    </w:rPr>
  </w:style>
  <w:style w:type="paragraph" w:customStyle="1" w:styleId="Normal1">
    <w:name w:val="Normal 1"/>
    <w:basedOn w:val="Lista"/>
    <w:link w:val="Normal1Car"/>
    <w:qFormat/>
    <w:rsid w:val="00AA0908"/>
    <w:pPr>
      <w:tabs>
        <w:tab w:val="left" w:pos="0"/>
        <w:tab w:val="left" w:pos="567"/>
      </w:tabs>
      <w:spacing w:after="0" w:line="240" w:lineRule="auto"/>
      <w:jc w:val="both"/>
    </w:pPr>
    <w:rPr>
      <w:rFonts w:ascii="Times New Roman" w:eastAsia="Calibri" w:hAnsi="Times New Roman" w:cs="Times New Roman"/>
      <w:sz w:val="28"/>
      <w:szCs w:val="28"/>
      <w:lang w:val="es-ES_tradnl"/>
    </w:rPr>
  </w:style>
  <w:style w:type="character" w:customStyle="1" w:styleId="Normal1Car">
    <w:name w:val="Normal 1 Car"/>
    <w:basedOn w:val="Fuentedeprrafopredeter"/>
    <w:link w:val="Normal1"/>
    <w:rsid w:val="00AA0908"/>
    <w:rPr>
      <w:rFonts w:ascii="Times New Roman" w:eastAsia="Calibri" w:hAnsi="Times New Roman" w:cs="Times New Roman"/>
      <w:sz w:val="28"/>
      <w:szCs w:val="28"/>
      <w:lang w:val="es-ES_tradnl"/>
    </w:rPr>
  </w:style>
  <w:style w:type="paragraph" w:customStyle="1" w:styleId="p1">
    <w:name w:val="p1"/>
    <w:basedOn w:val="Normal"/>
    <w:rsid w:val="00FD66D0"/>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s21">
    <w:name w:val="s21"/>
    <w:basedOn w:val="Normal"/>
    <w:rsid w:val="004A46DA"/>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s26">
    <w:name w:val="s26"/>
    <w:basedOn w:val="Normal"/>
    <w:rsid w:val="004A46DA"/>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s3">
    <w:name w:val="s3"/>
    <w:basedOn w:val="Normal"/>
    <w:rsid w:val="00EE6EBD"/>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s16">
    <w:name w:val="s16"/>
    <w:basedOn w:val="Normal"/>
    <w:rsid w:val="00EE6EBD"/>
    <w:pPr>
      <w:spacing w:before="100" w:beforeAutospacing="1" w:after="100" w:afterAutospacing="1" w:line="240" w:lineRule="auto"/>
    </w:pPr>
    <w:rPr>
      <w:rFonts w:ascii="Times New Roman" w:eastAsia="Times New Roman" w:hAnsi="Times New Roman" w:cs="Times New Roman"/>
      <w:sz w:val="2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dle.rae.es/comprar" TargetMode="External"/><Relationship Id="rId1" Type="http://schemas.openxmlformats.org/officeDocument/2006/relationships/hyperlink" Target="https://dle.rae.es/transigi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15182</Words>
  <Characters>83504</Characters>
  <Application>Microsoft Office Word</Application>
  <DocSecurity>0</DocSecurity>
  <Lines>695</Lines>
  <Paragraphs>196</Paragraphs>
  <ScaleCrop>false</ScaleCrop>
  <Company/>
  <LinksUpToDate>false</LinksUpToDate>
  <CharactersWithSpaces>98490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wilmancc</dc:creator>
  <cp:keywords/>
  <dc:description/>
  <cp:lastModifiedBy>wilmancc</cp:lastModifiedBy>
  <cp:revision>2</cp:revision>
  <dcterms:created xsi:type="dcterms:W3CDTF">2026-08-20T14:54:00Z</dcterms:created>
  <dcterms:modified xsi:type="dcterms:W3CDTF">2026-08-20T14:54:00Z</dcterms:modified>
</cp:coreProperties>
</file>