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39FF" w:rsidRPr="004530CF" w:rsidRDefault="00863593">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4530CF">
        <w:rPr>
          <w:rFonts w:ascii="Times New Roman" w:hAnsi="Times New Roman" w:cs="Times New Roman"/>
          <w:sz w:val="28"/>
          <w:szCs w:val="24"/>
        </w:rPr>
        <w:t xml:space="preserve"> </w:t>
      </w:r>
    </w:p>
    <w:p w:rsidR="005539FF" w:rsidRPr="004530CF" w:rsidRDefault="005539FF">
      <w:pPr>
        <w:widowControl w:val="0"/>
        <w:autoSpaceDE w:val="0"/>
        <w:autoSpaceDN w:val="0"/>
        <w:adjustRightInd w:val="0"/>
        <w:spacing w:after="0" w:line="240" w:lineRule="auto"/>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center"/>
        <w:rPr>
          <w:rFonts w:ascii="Times New Roman" w:hAnsi="Times New Roman" w:cs="Times New Roman"/>
          <w:b/>
          <w:bCs/>
          <w:sz w:val="28"/>
          <w:szCs w:val="28"/>
        </w:rPr>
      </w:pPr>
      <w:r w:rsidRPr="004530CF">
        <w:rPr>
          <w:rFonts w:ascii="Times New Roman" w:hAnsi="Times New Roman" w:cs="Times New Roman"/>
          <w:b/>
          <w:bCs/>
          <w:sz w:val="28"/>
          <w:szCs w:val="28"/>
        </w:rPr>
        <w:t xml:space="preserve">TEMAS-SUBTEMAS </w:t>
      </w:r>
    </w:p>
    <w:p w:rsidR="005539FF" w:rsidRPr="004530CF" w:rsidRDefault="005539FF">
      <w:pPr>
        <w:widowControl w:val="0"/>
        <w:autoSpaceDE w:val="0"/>
        <w:autoSpaceDN w:val="0"/>
        <w:adjustRightInd w:val="0"/>
        <w:spacing w:after="0" w:line="240" w:lineRule="auto"/>
        <w:jc w:val="center"/>
        <w:rPr>
          <w:rFonts w:ascii="Times New Roman" w:hAnsi="Times New Roman" w:cs="Times New Roman"/>
          <w:b/>
          <w:bCs/>
          <w:sz w:val="28"/>
          <w:szCs w:val="28"/>
        </w:rPr>
      </w:pPr>
    </w:p>
    <w:p w:rsidR="005539FF" w:rsidRPr="004530CF" w:rsidRDefault="00863593">
      <w:pPr>
        <w:widowControl w:val="0"/>
        <w:autoSpaceDE w:val="0"/>
        <w:autoSpaceDN w:val="0"/>
        <w:adjustRightInd w:val="0"/>
        <w:spacing w:after="0" w:line="240" w:lineRule="auto"/>
        <w:jc w:val="center"/>
        <w:rPr>
          <w:rFonts w:ascii="Times New Roman" w:hAnsi="Times New Roman" w:cs="Times New Roman"/>
          <w:sz w:val="28"/>
          <w:szCs w:val="28"/>
        </w:rPr>
      </w:pPr>
      <w:r w:rsidRPr="004530CF">
        <w:rPr>
          <w:rFonts w:ascii="Times New Roman" w:hAnsi="Times New Roman" w:cs="Times New Roman"/>
          <w:b/>
          <w:bCs/>
          <w:sz w:val="28"/>
          <w:szCs w:val="28"/>
        </w:rPr>
        <w:t xml:space="preserve">Sentencia C-098/26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DERECHO A LA IGUALDAD EN ACCESO A LA ADMINISTRACION DE JUSTICIA</w:t>
      </w:r>
      <w:r w:rsidRPr="004530CF">
        <w:rPr>
          <w:rFonts w:ascii="Times New Roman" w:hAnsi="Times New Roman" w:cs="Times New Roman"/>
          <w:sz w:val="28"/>
          <w:szCs w:val="28"/>
        </w:rPr>
        <w:t>-No vulneración por competencia del Consejo de Estado para decidir en única instancia los procesos de nulidad electoral de altos funcionarios del Estado</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i/>
          <w:iCs/>
          <w:sz w:val="28"/>
          <w:szCs w:val="28"/>
        </w:rPr>
        <w:t xml:space="preserve">La Sala Plena de la Corte indicó que el primer grupo objeto de comparación, sujeto al trámite de única instancia ante el Consejo de Estado, se integra por servidores a cuyo cargo se encuentra el cumplimiento de responsabilidades con notorio impacto nacional, incluyendo al Alcalde Mayor de Bogotá, por razón del estatus especial que al distrito capital le asigna la Constitución. A su vez, el segundo grupo comparado, sujeto a un trámite procesal compuesto por dos instancias, se conforma por funcionarios cuyas competencias, indudablemente importantes, tienen un impacto principalmente local o territorial. Considerando estas diferencias, la Sala afirmó que los grupos delimitados en la demanda no eran comparables y, en consecuencia, concluyó que no existía afectación del derecho de acceder a la administración de justicia en condiciones de igualdad. Dicho de otra forma, concluyó que el legislador se encontraba habilitado para establecer la distinción, en razón del mayor grado de incidencia que en el funcionamiento del Estado tienen ciertos cargos y en la necesidad de que los juicios sobre la validez de su elección se resuelvan con celeridad.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INHIBICION DE LA CORTE CONSTITUCIONAL POR INEPTITUD SUSTANTIVA DE LA DEMANDA</w:t>
      </w:r>
      <w:r w:rsidRPr="004530CF">
        <w:rPr>
          <w:rFonts w:ascii="Times New Roman" w:hAnsi="Times New Roman" w:cs="Times New Roman"/>
          <w:sz w:val="28"/>
          <w:szCs w:val="28"/>
        </w:rPr>
        <w:t xml:space="preserve">-Incumplimiento del requisito de certeza en los cargos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ACCION DE NULIDAD ELECTORAL</w:t>
      </w:r>
      <w:r w:rsidRPr="004530CF">
        <w:rPr>
          <w:rFonts w:ascii="Times New Roman" w:hAnsi="Times New Roman" w:cs="Times New Roman"/>
          <w:sz w:val="28"/>
          <w:szCs w:val="28"/>
        </w:rPr>
        <w:t xml:space="preserve">-Contexto normativo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ACCION DE NULIDAD ELECTORAL</w:t>
      </w:r>
      <w:r w:rsidRPr="004530CF">
        <w:rPr>
          <w:rFonts w:ascii="Times New Roman" w:hAnsi="Times New Roman" w:cs="Times New Roman"/>
          <w:sz w:val="28"/>
          <w:szCs w:val="28"/>
        </w:rPr>
        <w:t>-Naturaleza</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i/>
          <w:iCs/>
          <w:sz w:val="28"/>
          <w:szCs w:val="28"/>
        </w:rPr>
        <w:t xml:space="preserve">(...) constituye un instrumento previsto para controvertir, ante la Jurisdicción de lo Contencioso Administrativo, la legalidad del acto de elección o nombramiento de diferentes servidores públicos. Al respecto, la Corte ha establecido de forma clara y uniforme que se trata de “una acción pública especial de legalidad y de impugnación de un acto administrativo de elección o de nombramiento”.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ACCION DE NULIDAD ELECTORAL</w:t>
      </w:r>
      <w:r w:rsidRPr="004530CF">
        <w:rPr>
          <w:rFonts w:ascii="Times New Roman" w:hAnsi="Times New Roman" w:cs="Times New Roman"/>
          <w:sz w:val="28"/>
          <w:szCs w:val="28"/>
        </w:rPr>
        <w:t xml:space="preserve">-Características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ACCION DE NULIDAD ELECTORAL</w:t>
      </w:r>
      <w:r w:rsidRPr="004530CF">
        <w:rPr>
          <w:rFonts w:ascii="Times New Roman" w:hAnsi="Times New Roman" w:cs="Times New Roman"/>
          <w:sz w:val="28"/>
          <w:szCs w:val="28"/>
        </w:rPr>
        <w:t xml:space="preserve">-Jurisprudencia del Consejo de Estado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ACCION DE NULIDAD ELECTORAL Y ACCION DE PERDIDA DE INVESTIDURA</w:t>
      </w:r>
      <w:r w:rsidRPr="004530CF">
        <w:rPr>
          <w:rFonts w:ascii="Times New Roman" w:hAnsi="Times New Roman" w:cs="Times New Roman"/>
          <w:sz w:val="28"/>
          <w:szCs w:val="28"/>
        </w:rPr>
        <w:t xml:space="preserve">-Diferencias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PRINCIPIO DE IGUALDAD</w:t>
      </w:r>
      <w:r w:rsidRPr="004530CF">
        <w:rPr>
          <w:rFonts w:ascii="Times New Roman" w:hAnsi="Times New Roman" w:cs="Times New Roman"/>
          <w:sz w:val="28"/>
          <w:szCs w:val="28"/>
        </w:rPr>
        <w:t>-Alcance</w:t>
      </w:r>
      <w:r w:rsidRPr="004530CF">
        <w:rPr>
          <w:rFonts w:ascii="Times New Roman" w:hAnsi="Times New Roman" w:cs="Times New Roman"/>
          <w:b/>
          <w:bCs/>
          <w:sz w:val="28"/>
          <w:szCs w:val="28"/>
        </w:rPr>
        <w:t>/PRINCIPIO DE IGUALDAD</w:t>
      </w:r>
      <w:r w:rsidRPr="004530CF">
        <w:rPr>
          <w:rFonts w:ascii="Times New Roman" w:hAnsi="Times New Roman" w:cs="Times New Roman"/>
          <w:sz w:val="28"/>
          <w:szCs w:val="28"/>
        </w:rPr>
        <w:t xml:space="preserve">-Mandatos que comprende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DERECHO A LA IGUALDAD</w:t>
      </w:r>
      <w:r w:rsidRPr="004530CF">
        <w:rPr>
          <w:rFonts w:ascii="Times New Roman" w:hAnsi="Times New Roman" w:cs="Times New Roman"/>
          <w:sz w:val="28"/>
          <w:szCs w:val="28"/>
        </w:rPr>
        <w:t xml:space="preserve">-Criterio de comparación o tertium comparationis para establecer si existe diferencia de trato injustificado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JUICIO DE IGUALDAD</w:t>
      </w:r>
      <w:r w:rsidRPr="004530CF">
        <w:rPr>
          <w:rFonts w:ascii="Times New Roman" w:hAnsi="Times New Roman" w:cs="Times New Roman"/>
          <w:sz w:val="28"/>
          <w:szCs w:val="28"/>
        </w:rPr>
        <w:t>-Metodología de análisis</w:t>
      </w:r>
      <w:r w:rsidRPr="004530CF">
        <w:rPr>
          <w:rFonts w:ascii="Times New Roman" w:hAnsi="Times New Roman" w:cs="Times New Roman"/>
          <w:b/>
          <w:bCs/>
          <w:sz w:val="28"/>
          <w:szCs w:val="28"/>
        </w:rPr>
        <w:t>/JUICIO DE IGUALDAD</w:t>
      </w:r>
      <w:r w:rsidRPr="004530CF">
        <w:rPr>
          <w:rFonts w:ascii="Times New Roman" w:hAnsi="Times New Roman" w:cs="Times New Roman"/>
          <w:sz w:val="28"/>
          <w:szCs w:val="28"/>
        </w:rPr>
        <w:t xml:space="preserve">-Etapas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JUICIO INTEGRADO DE IGUALDAD</w:t>
      </w:r>
      <w:r w:rsidRPr="004530CF">
        <w:rPr>
          <w:rFonts w:ascii="Times New Roman" w:hAnsi="Times New Roman" w:cs="Times New Roman"/>
          <w:sz w:val="28"/>
          <w:szCs w:val="28"/>
        </w:rPr>
        <w:t xml:space="preserve">-Contenido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863593">
      <w:pPr>
        <w:widowControl w:val="0"/>
        <w:autoSpaceDE w:val="0"/>
        <w:autoSpaceDN w:val="0"/>
        <w:adjustRightInd w:val="0"/>
        <w:spacing w:after="0" w:line="240" w:lineRule="auto"/>
        <w:jc w:val="both"/>
        <w:rPr>
          <w:rFonts w:ascii="Times New Roman" w:hAnsi="Times New Roman" w:cs="Times New Roman"/>
          <w:sz w:val="28"/>
          <w:szCs w:val="28"/>
        </w:rPr>
      </w:pPr>
      <w:r w:rsidRPr="004530CF">
        <w:rPr>
          <w:rFonts w:ascii="Times New Roman" w:hAnsi="Times New Roman" w:cs="Times New Roman"/>
          <w:b/>
          <w:bCs/>
          <w:sz w:val="28"/>
          <w:szCs w:val="28"/>
        </w:rPr>
        <w:t>JUICIO DE IGUALDAD</w:t>
      </w:r>
      <w:r w:rsidRPr="004530CF">
        <w:rPr>
          <w:rFonts w:ascii="Times New Roman" w:hAnsi="Times New Roman" w:cs="Times New Roman"/>
          <w:sz w:val="28"/>
          <w:szCs w:val="28"/>
        </w:rPr>
        <w:t xml:space="preserve">-Inexistencia de término común de comparación </w:t>
      </w:r>
    </w:p>
    <w:p w:rsidR="005539FF" w:rsidRPr="004530CF" w:rsidRDefault="005539FF">
      <w:pPr>
        <w:widowControl w:val="0"/>
        <w:autoSpaceDE w:val="0"/>
        <w:autoSpaceDN w:val="0"/>
        <w:adjustRightInd w:val="0"/>
        <w:spacing w:after="0" w:line="240" w:lineRule="auto"/>
        <w:jc w:val="both"/>
        <w:rPr>
          <w:rFonts w:ascii="Times New Roman" w:hAnsi="Times New Roman" w:cs="Times New Roman"/>
          <w:sz w:val="28"/>
          <w:szCs w:val="28"/>
        </w:rPr>
      </w:pPr>
    </w:p>
    <w:p w:rsidR="005539FF" w:rsidRPr="004530CF" w:rsidRDefault="004530CF">
      <w:pPr>
        <w:widowControl w:val="0"/>
        <w:autoSpaceDE w:val="0"/>
        <w:autoSpaceDN w:val="0"/>
        <w:adjustRightInd w:val="0"/>
        <w:spacing w:after="0" w:line="240" w:lineRule="auto"/>
        <w:jc w:val="both"/>
        <w:rPr>
          <w:rFonts w:ascii="Times New Roman" w:hAnsi="Times New Roman" w:cs="Times New Roman"/>
          <w:sz w:val="28"/>
        </w:rPr>
      </w:pPr>
      <w:r w:rsidRPr="004530CF">
        <w:rPr>
          <w:rFonts w:ascii="Times New Roman" w:hAnsi="Times New Roman" w:cs="Times New Roman"/>
          <w:sz w:val="28"/>
          <w:szCs w:val="28"/>
        </w:rPr>
        <w:pict>
          <v:rect id="_x0000_i1025" style="width:0;height:1.5pt" o:hralign="center" o:hrstd="t" o:hr="t" fillcolor="#a0a0a0" stroked="f"/>
        </w:pict>
      </w:r>
    </w:p>
    <w:p w:rsidR="00FC25BB" w:rsidRPr="004530CF" w:rsidRDefault="004530CF" w:rsidP="004C7B30">
      <w:pPr>
        <w:ind w:right="49"/>
        <w:jc w:val="center"/>
        <w:rPr>
          <w:rFonts w:ascii="Times New Roman" w:hAnsi="Times New Roman" w:cs="Times New Roman"/>
          <w:b/>
          <w:sz w:val="28"/>
          <w:szCs w:val="28"/>
          <w:lang w:eastAsia="es-ES"/>
        </w:rPr>
      </w:pPr>
      <w:r w:rsidRPr="004530CF">
        <w:rPr>
          <w:rFonts w:ascii="Times New Roman" w:hAnsi="Times New Roman" w:cs="Times New Roman"/>
          <w:b/>
          <w:sz w:val="28"/>
          <w:szCs w:val="28"/>
          <w:lang w:eastAsia="es-ES"/>
        </w:rPr>
        <w:t>REPÚBLIC</w:t>
      </w:r>
      <w:r w:rsidRPr="004530CF">
        <w:rPr>
          <w:rFonts w:ascii="Times New Roman" w:hAnsi="Times New Roman" w:cs="Times New Roman"/>
          <w:b/>
          <w:sz w:val="28"/>
          <w:szCs w:val="28"/>
          <w:lang w:eastAsia="es-ES"/>
        </w:rPr>
        <w:t>A DE COLOMBIA</w:t>
      </w:r>
    </w:p>
    <w:p w:rsidR="00FC25BB" w:rsidRPr="004530CF" w:rsidRDefault="004530CF" w:rsidP="004C7B30">
      <w:pPr>
        <w:ind w:right="11"/>
        <w:jc w:val="center"/>
        <w:rPr>
          <w:rFonts w:ascii="Times New Roman" w:hAnsi="Times New Roman" w:cs="Times New Roman"/>
          <w:b/>
          <w:sz w:val="28"/>
          <w:szCs w:val="28"/>
        </w:rPr>
      </w:pPr>
      <w:r w:rsidRPr="004530CF">
        <w:rPr>
          <w:rFonts w:ascii="Times New Roman" w:hAnsi="Times New Roman" w:cs="Times New Roman"/>
          <w:b/>
          <w:noProof/>
          <w:sz w:val="28"/>
          <w:szCs w:val="28"/>
        </w:rPr>
        <w:drawing>
          <wp:inline distT="0" distB="0" distL="0" distR="0" wp14:anchorId="1218EC12" wp14:editId="612528E8">
            <wp:extent cx="590550" cy="577985"/>
            <wp:effectExtent l="0" t="0" r="0" b="0"/>
            <wp:docPr id="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a:blip r:embed="rId7"/>
                    <a:stretch>
                      <a:fillRect/>
                    </a:stretch>
                  </pic:blipFill>
                  <pic:spPr>
                    <a:xfrm>
                      <a:off x="0" y="0"/>
                      <a:ext cx="593274" cy="580651"/>
                    </a:xfrm>
                    <a:prstGeom prst="rect">
                      <a:avLst/>
                    </a:prstGeom>
                  </pic:spPr>
                </pic:pic>
              </a:graphicData>
            </a:graphic>
          </wp:inline>
        </w:drawing>
      </w:r>
    </w:p>
    <w:p w:rsidR="00FC25BB" w:rsidRPr="004530CF" w:rsidRDefault="004530CF" w:rsidP="004C7B30">
      <w:pPr>
        <w:ind w:right="11"/>
        <w:jc w:val="center"/>
        <w:rPr>
          <w:rFonts w:ascii="Times New Roman" w:hAnsi="Times New Roman" w:cs="Times New Roman"/>
          <w:b/>
          <w:sz w:val="28"/>
          <w:szCs w:val="28"/>
        </w:rPr>
      </w:pPr>
      <w:r w:rsidRPr="004530CF">
        <w:rPr>
          <w:rFonts w:ascii="Times New Roman" w:hAnsi="Times New Roman" w:cs="Times New Roman"/>
          <w:b/>
          <w:sz w:val="28"/>
          <w:szCs w:val="28"/>
        </w:rPr>
        <w:t>CORTE CONSTITUCIONAL</w:t>
      </w:r>
    </w:p>
    <w:p w:rsidR="00FC25BB" w:rsidRPr="004530CF" w:rsidRDefault="004530CF" w:rsidP="004C7B30">
      <w:pPr>
        <w:ind w:right="11"/>
        <w:jc w:val="center"/>
        <w:rPr>
          <w:rFonts w:ascii="Times New Roman" w:hAnsi="Times New Roman" w:cs="Times New Roman"/>
          <w:b/>
          <w:sz w:val="28"/>
          <w:szCs w:val="28"/>
        </w:rPr>
      </w:pPr>
      <w:r w:rsidRPr="004530CF">
        <w:rPr>
          <w:rFonts w:ascii="Times New Roman" w:hAnsi="Times New Roman" w:cs="Times New Roman"/>
          <w:b/>
          <w:sz w:val="28"/>
          <w:szCs w:val="28"/>
        </w:rPr>
        <w:t>-Sala Plena-</w:t>
      </w:r>
    </w:p>
    <w:p w:rsidR="00FC25BB" w:rsidRPr="004530CF" w:rsidRDefault="004530CF" w:rsidP="004C7B30">
      <w:pPr>
        <w:ind w:right="11"/>
        <w:jc w:val="center"/>
        <w:rPr>
          <w:rFonts w:ascii="Times New Roman" w:hAnsi="Times New Roman" w:cs="Times New Roman"/>
          <w:b/>
          <w:sz w:val="28"/>
          <w:szCs w:val="28"/>
        </w:rPr>
      </w:pPr>
    </w:p>
    <w:p w:rsidR="00FC25BB" w:rsidRPr="004530CF" w:rsidRDefault="004530CF" w:rsidP="004C7B30">
      <w:pPr>
        <w:ind w:right="11"/>
        <w:jc w:val="center"/>
        <w:rPr>
          <w:rFonts w:ascii="Times New Roman" w:hAnsi="Times New Roman" w:cs="Times New Roman"/>
          <w:b/>
          <w:sz w:val="28"/>
          <w:szCs w:val="28"/>
        </w:rPr>
      </w:pPr>
      <w:r w:rsidRPr="004530CF">
        <w:rPr>
          <w:rFonts w:ascii="Times New Roman" w:hAnsi="Times New Roman" w:cs="Times New Roman"/>
          <w:b/>
          <w:sz w:val="28"/>
          <w:szCs w:val="28"/>
        </w:rPr>
        <w:t>SENTENCIA C-</w:t>
      </w:r>
      <w:r w:rsidRPr="004530CF">
        <w:rPr>
          <w:rFonts w:ascii="Times New Roman" w:hAnsi="Times New Roman" w:cs="Times New Roman"/>
          <w:b/>
          <w:sz w:val="28"/>
          <w:szCs w:val="28"/>
        </w:rPr>
        <w:t>098</w:t>
      </w:r>
      <w:r w:rsidRPr="004530CF">
        <w:rPr>
          <w:rFonts w:ascii="Times New Roman" w:hAnsi="Times New Roman" w:cs="Times New Roman"/>
          <w:b/>
          <w:sz w:val="28"/>
          <w:szCs w:val="28"/>
        </w:rPr>
        <w:t xml:space="preserve"> de 202</w:t>
      </w:r>
      <w:r w:rsidRPr="004530CF">
        <w:rPr>
          <w:rFonts w:ascii="Times New Roman" w:hAnsi="Times New Roman" w:cs="Times New Roman"/>
          <w:b/>
          <w:sz w:val="28"/>
          <w:szCs w:val="28"/>
        </w:rPr>
        <w:t>6</w:t>
      </w:r>
    </w:p>
    <w:p w:rsidR="00FC25BB" w:rsidRPr="004530CF" w:rsidRDefault="004530CF" w:rsidP="004C7B30">
      <w:pPr>
        <w:ind w:right="51"/>
        <w:jc w:val="both"/>
        <w:rPr>
          <w:rFonts w:ascii="Times New Roman" w:hAnsi="Times New Roman" w:cs="Times New Roman"/>
          <w:b/>
          <w:sz w:val="28"/>
          <w:szCs w:val="28"/>
        </w:rPr>
      </w:pPr>
    </w:p>
    <w:p w:rsidR="00FC25BB" w:rsidRPr="004530CF" w:rsidRDefault="004530CF" w:rsidP="004C7B30">
      <w:pPr>
        <w:ind w:left="4678" w:right="51"/>
        <w:jc w:val="both"/>
        <w:rPr>
          <w:rFonts w:ascii="Times New Roman" w:hAnsi="Times New Roman" w:cs="Times New Roman"/>
          <w:sz w:val="28"/>
          <w:szCs w:val="28"/>
        </w:rPr>
      </w:pPr>
      <w:r w:rsidRPr="004530CF">
        <w:rPr>
          <w:rFonts w:ascii="Times New Roman" w:hAnsi="Times New Roman" w:cs="Times New Roman"/>
          <w:b/>
          <w:bCs/>
          <w:sz w:val="28"/>
          <w:szCs w:val="28"/>
        </w:rPr>
        <w:t>Referencia</w:t>
      </w:r>
      <w:r w:rsidRPr="004530CF">
        <w:rPr>
          <w:rFonts w:ascii="Times New Roman" w:hAnsi="Times New Roman" w:cs="Times New Roman"/>
          <w:sz w:val="28"/>
          <w:szCs w:val="28"/>
        </w:rPr>
        <w:t>: Expediente D-16563</w:t>
      </w:r>
    </w:p>
    <w:p w:rsidR="00FC25BB" w:rsidRPr="004530CF" w:rsidRDefault="004530CF" w:rsidP="004C7B30">
      <w:pPr>
        <w:ind w:left="4678" w:right="51"/>
        <w:jc w:val="both"/>
        <w:rPr>
          <w:rFonts w:ascii="Times New Roman" w:hAnsi="Times New Roman" w:cs="Times New Roman"/>
          <w:sz w:val="28"/>
          <w:szCs w:val="28"/>
        </w:rPr>
      </w:pPr>
    </w:p>
    <w:p w:rsidR="00FC25BB" w:rsidRPr="004530CF" w:rsidRDefault="004530CF" w:rsidP="004C7B30">
      <w:pPr>
        <w:tabs>
          <w:tab w:val="left" w:pos="3969"/>
        </w:tabs>
        <w:ind w:left="4678" w:right="51"/>
        <w:jc w:val="both"/>
        <w:rPr>
          <w:rFonts w:ascii="Times New Roman" w:hAnsi="Times New Roman" w:cs="Times New Roman"/>
          <w:bCs/>
          <w:sz w:val="28"/>
          <w:szCs w:val="28"/>
        </w:rPr>
      </w:pPr>
      <w:r w:rsidRPr="004530CF">
        <w:rPr>
          <w:rFonts w:ascii="Times New Roman" w:hAnsi="Times New Roman" w:cs="Times New Roman"/>
          <w:b/>
          <w:bCs/>
          <w:sz w:val="28"/>
          <w:szCs w:val="28"/>
        </w:rPr>
        <w:t>Asunto</w:t>
      </w:r>
      <w:r w:rsidRPr="004530CF">
        <w:rPr>
          <w:rFonts w:ascii="Times New Roman" w:hAnsi="Times New Roman" w:cs="Times New Roman"/>
          <w:sz w:val="28"/>
          <w:szCs w:val="28"/>
        </w:rPr>
        <w:t xml:space="preserve">: </w:t>
      </w:r>
      <w:r w:rsidRPr="004530CF">
        <w:rPr>
          <w:rFonts w:ascii="Times New Roman" w:hAnsi="Times New Roman" w:cs="Times New Roman"/>
          <w:bCs/>
          <w:sz w:val="28"/>
          <w:szCs w:val="28"/>
        </w:rPr>
        <w:t xml:space="preserve">demanda de inconstitucionalidad contra el artículo 149 (parcial) de la Ley </w:t>
      </w:r>
      <w:r w:rsidRPr="004530CF">
        <w:rPr>
          <w:rFonts w:ascii="Times New Roman" w:hAnsi="Times New Roman" w:cs="Times New Roman"/>
          <w:bCs/>
          <w:sz w:val="28"/>
          <w:szCs w:val="28"/>
        </w:rPr>
        <w:t>1437 de 2011, “</w:t>
      </w:r>
      <w:r w:rsidRPr="004530CF">
        <w:rPr>
          <w:rFonts w:ascii="Times New Roman" w:hAnsi="Times New Roman" w:cs="Times New Roman"/>
          <w:bCs/>
          <w:sz w:val="28"/>
          <w:szCs w:val="28"/>
        </w:rPr>
        <w:t>[p]</w:t>
      </w:r>
      <w:r w:rsidRPr="004530CF">
        <w:rPr>
          <w:rFonts w:ascii="Times New Roman" w:hAnsi="Times New Roman" w:cs="Times New Roman"/>
          <w:bCs/>
          <w:i/>
          <w:iCs/>
          <w:sz w:val="28"/>
          <w:szCs w:val="28"/>
        </w:rPr>
        <w:t>or la cual se expide el Código de Procedimiento Administrativo y de lo Contencioso Administrativo</w:t>
      </w:r>
      <w:r w:rsidRPr="004530CF">
        <w:rPr>
          <w:rFonts w:ascii="Times New Roman" w:hAnsi="Times New Roman" w:cs="Times New Roman"/>
          <w:bCs/>
          <w:sz w:val="28"/>
          <w:szCs w:val="28"/>
        </w:rPr>
        <w:t>”</w:t>
      </w:r>
    </w:p>
    <w:p w:rsidR="00FC25BB" w:rsidRPr="004530CF" w:rsidRDefault="004530CF" w:rsidP="004C7B30">
      <w:pPr>
        <w:tabs>
          <w:tab w:val="left" w:pos="3969"/>
        </w:tabs>
        <w:ind w:left="4678" w:right="51"/>
        <w:jc w:val="both"/>
        <w:rPr>
          <w:rFonts w:ascii="Times New Roman" w:hAnsi="Times New Roman" w:cs="Times New Roman"/>
          <w:sz w:val="28"/>
          <w:szCs w:val="28"/>
        </w:rPr>
      </w:pPr>
    </w:p>
    <w:p w:rsidR="00FC25BB" w:rsidRPr="004530CF" w:rsidRDefault="004530CF" w:rsidP="004C7B30">
      <w:pPr>
        <w:tabs>
          <w:tab w:val="left" w:pos="3969"/>
        </w:tabs>
        <w:ind w:left="4678" w:right="51"/>
        <w:jc w:val="both"/>
        <w:rPr>
          <w:rFonts w:ascii="Times New Roman" w:hAnsi="Times New Roman" w:cs="Times New Roman"/>
          <w:b/>
          <w:bCs/>
          <w:sz w:val="28"/>
          <w:szCs w:val="28"/>
        </w:rPr>
      </w:pPr>
      <w:r w:rsidRPr="004530CF">
        <w:rPr>
          <w:rFonts w:ascii="Times New Roman" w:hAnsi="Times New Roman" w:cs="Times New Roman"/>
          <w:b/>
          <w:bCs/>
          <w:sz w:val="28"/>
          <w:szCs w:val="28"/>
        </w:rPr>
        <w:t>Demandante:</w:t>
      </w:r>
      <w:r w:rsidRPr="004530CF">
        <w:rPr>
          <w:rFonts w:ascii="Times New Roman" w:hAnsi="Times New Roman" w:cs="Times New Roman"/>
          <w:sz w:val="28"/>
          <w:szCs w:val="28"/>
        </w:rPr>
        <w:t xml:space="preserve"> Alirio Uribe Muñoz</w:t>
      </w:r>
    </w:p>
    <w:p w:rsidR="00FC25BB" w:rsidRPr="004530CF" w:rsidRDefault="004530CF" w:rsidP="004C7B30">
      <w:pPr>
        <w:tabs>
          <w:tab w:val="left" w:pos="3969"/>
        </w:tabs>
        <w:ind w:left="4678" w:right="51"/>
        <w:jc w:val="both"/>
        <w:rPr>
          <w:rFonts w:ascii="Times New Roman" w:hAnsi="Times New Roman" w:cs="Times New Roman"/>
          <w:sz w:val="28"/>
          <w:szCs w:val="28"/>
        </w:rPr>
      </w:pPr>
    </w:p>
    <w:p w:rsidR="00FC25BB" w:rsidRPr="004530CF" w:rsidRDefault="004530CF" w:rsidP="004C7B30">
      <w:pPr>
        <w:tabs>
          <w:tab w:val="left" w:pos="3969"/>
        </w:tabs>
        <w:ind w:left="4678" w:right="51"/>
        <w:jc w:val="both"/>
        <w:rPr>
          <w:rFonts w:ascii="Times New Roman" w:hAnsi="Times New Roman" w:cs="Times New Roman"/>
          <w:sz w:val="28"/>
          <w:szCs w:val="28"/>
        </w:rPr>
      </w:pPr>
      <w:r w:rsidRPr="004530CF">
        <w:rPr>
          <w:rFonts w:ascii="Times New Roman" w:hAnsi="Times New Roman" w:cs="Times New Roman"/>
          <w:b/>
          <w:bCs/>
          <w:sz w:val="28"/>
          <w:szCs w:val="28"/>
        </w:rPr>
        <w:t>Magistrado Ponente</w:t>
      </w:r>
      <w:r w:rsidRPr="004530CF">
        <w:rPr>
          <w:rFonts w:ascii="Times New Roman" w:hAnsi="Times New Roman" w:cs="Times New Roman"/>
          <w:sz w:val="28"/>
          <w:szCs w:val="28"/>
        </w:rPr>
        <w:t xml:space="preserve">: </w:t>
      </w:r>
    </w:p>
    <w:p w:rsidR="00FC25BB" w:rsidRPr="004530CF" w:rsidRDefault="004530CF" w:rsidP="004C7B30">
      <w:pPr>
        <w:tabs>
          <w:tab w:val="left" w:pos="3969"/>
        </w:tabs>
        <w:ind w:left="4678" w:right="51"/>
        <w:jc w:val="both"/>
        <w:rPr>
          <w:rFonts w:ascii="Times New Roman" w:hAnsi="Times New Roman" w:cs="Times New Roman"/>
          <w:sz w:val="28"/>
          <w:szCs w:val="28"/>
        </w:rPr>
      </w:pPr>
      <w:r w:rsidRPr="004530CF">
        <w:rPr>
          <w:rFonts w:ascii="Times New Roman" w:hAnsi="Times New Roman" w:cs="Times New Roman"/>
          <w:sz w:val="28"/>
          <w:szCs w:val="28"/>
        </w:rPr>
        <w:t>Miguel Polo Rosero</w:t>
      </w:r>
    </w:p>
    <w:p w:rsidR="00FC25BB" w:rsidRPr="004530CF" w:rsidRDefault="004530CF" w:rsidP="004C7B30">
      <w:pPr>
        <w:ind w:right="51"/>
        <w:jc w:val="both"/>
        <w:rPr>
          <w:rFonts w:ascii="Times New Roman" w:hAnsi="Times New Roman" w:cs="Times New Roman"/>
          <w:sz w:val="28"/>
          <w:szCs w:val="28"/>
        </w:rPr>
      </w:pPr>
    </w:p>
    <w:p w:rsidR="00FC25BB" w:rsidRPr="004530CF" w:rsidRDefault="004530CF" w:rsidP="004C7B30">
      <w:pPr>
        <w:jc w:val="both"/>
        <w:rPr>
          <w:rFonts w:ascii="Times New Roman" w:hAnsi="Times New Roman" w:cs="Times New Roman"/>
          <w:sz w:val="28"/>
          <w:szCs w:val="28"/>
        </w:rPr>
      </w:pPr>
      <w:r w:rsidRPr="004530CF">
        <w:rPr>
          <w:rFonts w:ascii="Times New Roman" w:hAnsi="Times New Roman" w:cs="Times New Roman"/>
          <w:sz w:val="28"/>
          <w:szCs w:val="28"/>
        </w:rPr>
        <w:t xml:space="preserve">Bogotá D.C., </w:t>
      </w:r>
      <w:r w:rsidRPr="004530CF">
        <w:rPr>
          <w:rFonts w:ascii="Times New Roman" w:hAnsi="Times New Roman" w:cs="Times New Roman"/>
          <w:sz w:val="28"/>
          <w:szCs w:val="28"/>
        </w:rPr>
        <w:t>veintidós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22</w:t>
      </w:r>
      <w:r w:rsidRPr="004530CF">
        <w:rPr>
          <w:rFonts w:ascii="Times New Roman" w:hAnsi="Times New Roman" w:cs="Times New Roman"/>
          <w:sz w:val="28"/>
          <w:szCs w:val="28"/>
        </w:rPr>
        <w:t xml:space="preserve">) de </w:t>
      </w:r>
      <w:r w:rsidRPr="004530CF">
        <w:rPr>
          <w:rFonts w:ascii="Times New Roman" w:hAnsi="Times New Roman" w:cs="Times New Roman"/>
          <w:sz w:val="28"/>
          <w:szCs w:val="28"/>
        </w:rPr>
        <w:t>abril</w:t>
      </w:r>
      <w:r w:rsidRPr="004530CF">
        <w:rPr>
          <w:rFonts w:ascii="Times New Roman" w:hAnsi="Times New Roman" w:cs="Times New Roman"/>
          <w:sz w:val="28"/>
          <w:szCs w:val="28"/>
        </w:rPr>
        <w:t xml:space="preserve"> de dos mil</w:t>
      </w:r>
      <w:r w:rsidRPr="004530CF">
        <w:rPr>
          <w:rFonts w:ascii="Times New Roman" w:hAnsi="Times New Roman" w:cs="Times New Roman"/>
          <w:sz w:val="28"/>
          <w:szCs w:val="28"/>
        </w:rPr>
        <w:t xml:space="preserve"> veintiséis</w:t>
      </w:r>
      <w:r w:rsidRPr="004530CF">
        <w:rPr>
          <w:rFonts w:ascii="Times New Roman" w:hAnsi="Times New Roman" w:cs="Times New Roman"/>
          <w:sz w:val="28"/>
          <w:szCs w:val="28"/>
        </w:rPr>
        <w:t xml:space="preserve"> (202</w:t>
      </w:r>
      <w:r w:rsidRPr="004530CF">
        <w:rPr>
          <w:rFonts w:ascii="Times New Roman" w:hAnsi="Times New Roman" w:cs="Times New Roman"/>
          <w:sz w:val="28"/>
          <w:szCs w:val="28"/>
        </w:rPr>
        <w:t>6</w:t>
      </w:r>
      <w:r w:rsidRPr="004530CF">
        <w:rPr>
          <w:rFonts w:ascii="Times New Roman" w:hAnsi="Times New Roman" w:cs="Times New Roman"/>
          <w:sz w:val="28"/>
          <w:szCs w:val="28"/>
        </w:rPr>
        <w:t>)</w:t>
      </w:r>
      <w:r w:rsidRPr="004530CF">
        <w:rPr>
          <w:rFonts w:ascii="Times New Roman" w:hAnsi="Times New Roman" w:cs="Times New Roman"/>
          <w:sz w:val="28"/>
          <w:szCs w:val="28"/>
        </w:rPr>
        <w:t>.</w:t>
      </w:r>
    </w:p>
    <w:p w:rsidR="00FC25BB" w:rsidRPr="004530CF" w:rsidRDefault="004530CF" w:rsidP="004C7B30">
      <w:pPr>
        <w:jc w:val="both"/>
        <w:rPr>
          <w:rFonts w:ascii="Times New Roman" w:hAnsi="Times New Roman" w:cs="Times New Roman"/>
          <w:sz w:val="28"/>
          <w:szCs w:val="28"/>
        </w:rPr>
      </w:pPr>
    </w:p>
    <w:p w:rsidR="00FC25BB" w:rsidRPr="004530CF" w:rsidRDefault="004530CF" w:rsidP="004C7B30">
      <w:pPr>
        <w:jc w:val="both"/>
        <w:rPr>
          <w:rFonts w:ascii="Times New Roman" w:hAnsi="Times New Roman" w:cs="Times New Roman"/>
          <w:sz w:val="28"/>
          <w:szCs w:val="28"/>
        </w:rPr>
      </w:pPr>
      <w:r w:rsidRPr="004530CF">
        <w:rPr>
          <w:rFonts w:ascii="Times New Roman" w:hAnsi="Times New Roman" w:cs="Times New Roman"/>
          <w:sz w:val="28"/>
          <w:szCs w:val="28"/>
        </w:rPr>
        <w:t>La Sala Plena de la Corte Constitucional, en ejercicio de sus atribuciones constitucionales y legales, específicamente las previstas en el artículo 241 de la Constitución y en el Decreto Ley 2067 de 1991, profiere la siguiente providencia, con fundament</w:t>
      </w:r>
      <w:r w:rsidRPr="004530CF">
        <w:rPr>
          <w:rFonts w:ascii="Times New Roman" w:hAnsi="Times New Roman" w:cs="Times New Roman"/>
          <w:sz w:val="28"/>
          <w:szCs w:val="28"/>
        </w:rPr>
        <w:t>o en los siguientes:</w:t>
      </w:r>
    </w:p>
    <w:p w:rsidR="00FC25BB" w:rsidRPr="004530CF" w:rsidRDefault="004530CF" w:rsidP="004C7B30">
      <w:pPr>
        <w:jc w:val="both"/>
        <w:rPr>
          <w:rFonts w:ascii="Times New Roman" w:hAnsi="Times New Roman" w:cs="Times New Roman"/>
          <w:b/>
          <w:bCs/>
          <w:sz w:val="28"/>
          <w:szCs w:val="28"/>
        </w:rPr>
      </w:pPr>
    </w:p>
    <w:p w:rsidR="00FC25BB" w:rsidRPr="004530CF" w:rsidRDefault="004530CF" w:rsidP="004C7B30">
      <w:pPr>
        <w:pStyle w:val="Numerales"/>
        <w:numPr>
          <w:ilvl w:val="0"/>
          <w:numId w:val="1"/>
        </w:numPr>
        <w:ind w:left="0" w:firstLine="0"/>
        <w:jc w:val="center"/>
        <w:outlineLvl w:val="0"/>
        <w:rPr>
          <w:rStyle w:val="Ttulo1Car"/>
          <w:rFonts w:ascii="Times New Roman" w:hAnsi="Times New Roman" w:cs="Times New Roman"/>
          <w:bCs/>
          <w:sz w:val="28"/>
          <w:szCs w:val="28"/>
        </w:rPr>
      </w:pPr>
      <w:r w:rsidRPr="004530CF">
        <w:rPr>
          <w:rStyle w:val="Ttulo1Car"/>
          <w:rFonts w:ascii="Times New Roman" w:hAnsi="Times New Roman" w:cs="Times New Roman"/>
          <w:bCs/>
          <w:sz w:val="28"/>
          <w:szCs w:val="28"/>
        </w:rPr>
        <w:t>ANTECEDENTES</w:t>
      </w:r>
    </w:p>
    <w:p w:rsidR="00FC25BB" w:rsidRPr="004530CF" w:rsidRDefault="004530CF" w:rsidP="004C7B30">
      <w:pPr>
        <w:jc w:val="both"/>
        <w:rPr>
          <w:rFonts w:ascii="Times New Roman" w:hAnsi="Times New Roman" w:cs="Times New Roman"/>
          <w:sz w:val="28"/>
          <w:szCs w:val="28"/>
        </w:rPr>
      </w:pPr>
    </w:p>
    <w:p w:rsidR="00FC25BB" w:rsidRPr="004530CF" w:rsidRDefault="004530CF" w:rsidP="004C7B30">
      <w:pPr>
        <w:pStyle w:val="Prrafodelista"/>
        <w:tabs>
          <w:tab w:val="left" w:pos="567"/>
        </w:tabs>
        <w:ind w:left="0"/>
        <w:jc w:val="both"/>
        <w:rPr>
          <w:rFonts w:ascii="Times New Roman" w:hAnsi="Times New Roman" w:cs="Times New Roman"/>
          <w:sz w:val="28"/>
          <w:szCs w:val="28"/>
        </w:rPr>
      </w:pPr>
      <w:r w:rsidRPr="004530CF">
        <w:rPr>
          <w:rFonts w:ascii="Times New Roman" w:hAnsi="Times New Roman" w:cs="Times New Roman"/>
          <w:sz w:val="28"/>
          <w:szCs w:val="28"/>
        </w:rPr>
        <w:t>En</w:t>
      </w:r>
      <w:r w:rsidRPr="004530CF">
        <w:rPr>
          <w:rFonts w:ascii="Times New Roman" w:hAnsi="Times New Roman" w:cs="Times New Roman"/>
          <w:bCs/>
          <w:sz w:val="28"/>
          <w:szCs w:val="28"/>
        </w:rPr>
        <w:t xml:space="preserve"> este acápite la Corte realizará una síntesis de esta sentencia, luego de lo cual hará una presentación de los hechos relevantes, la norma demandada, los argumentos planteados por el accionante, las intervenciones form</w:t>
      </w:r>
      <w:r w:rsidRPr="004530CF">
        <w:rPr>
          <w:rFonts w:ascii="Times New Roman" w:hAnsi="Times New Roman" w:cs="Times New Roman"/>
          <w:bCs/>
          <w:sz w:val="28"/>
          <w:szCs w:val="28"/>
        </w:rPr>
        <w:t>uladas en el término dispuesto para ello y el concepto remitido por el Procurador General de la Nación.</w:t>
      </w:r>
    </w:p>
    <w:p w:rsidR="00C44A76" w:rsidRPr="004530CF" w:rsidRDefault="004530CF" w:rsidP="004C7B30">
      <w:pPr>
        <w:pStyle w:val="Prrafodelista"/>
        <w:tabs>
          <w:tab w:val="left" w:pos="567"/>
        </w:tabs>
        <w:ind w:left="0"/>
        <w:jc w:val="both"/>
        <w:rPr>
          <w:rFonts w:ascii="Times New Roman" w:hAnsi="Times New Roman" w:cs="Times New Roman"/>
          <w:sz w:val="28"/>
          <w:szCs w:val="28"/>
        </w:rPr>
      </w:pPr>
    </w:p>
    <w:p w:rsidR="00C44A76" w:rsidRPr="004530CF" w:rsidRDefault="004530CF" w:rsidP="004C7B30">
      <w:pPr>
        <w:pStyle w:val="Ttulo2"/>
        <w:numPr>
          <w:ilvl w:val="0"/>
          <w:numId w:val="2"/>
        </w:numPr>
        <w:spacing w:before="0"/>
        <w:ind w:left="1276" w:hanging="567"/>
        <w:jc w:val="both"/>
        <w:rPr>
          <w:rStyle w:val="Ttulo1Car"/>
          <w:rFonts w:ascii="Times New Roman" w:hAnsi="Times New Roman" w:cs="Times New Roman"/>
          <w:b/>
          <w:color w:val="auto"/>
          <w:sz w:val="28"/>
          <w:szCs w:val="28"/>
        </w:rPr>
      </w:pPr>
      <w:r w:rsidRPr="004530CF">
        <w:rPr>
          <w:rStyle w:val="Ttulo1Car"/>
          <w:rFonts w:ascii="Times New Roman" w:hAnsi="Times New Roman" w:cs="Times New Roman"/>
          <w:b/>
          <w:color w:val="auto"/>
          <w:sz w:val="28"/>
          <w:szCs w:val="28"/>
        </w:rPr>
        <w:t>Síntesis de la decisión</w:t>
      </w:r>
    </w:p>
    <w:p w:rsidR="004A6680" w:rsidRPr="004530CF" w:rsidRDefault="004530CF" w:rsidP="004C7B30">
      <w:pPr>
        <w:jc w:val="both"/>
        <w:rPr>
          <w:rFonts w:ascii="Times New Roman" w:hAnsi="Times New Roman" w:cs="Times New Roman"/>
          <w:sz w:val="28"/>
          <w:szCs w:val="28"/>
        </w:rPr>
      </w:pPr>
    </w:p>
    <w:p w:rsidR="004A6680" w:rsidRPr="004530CF" w:rsidRDefault="004530CF" w:rsidP="004C7B30">
      <w:pPr>
        <w:pStyle w:val="Prrafodelista"/>
        <w:numPr>
          <w:ilvl w:val="3"/>
          <w:numId w:val="2"/>
        </w:numPr>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La Sala Plena de la Corte Constitucional conoció de una demanda de inconstitucionalidad formulada en contra del numeral 3 </w:t>
      </w:r>
      <w:r w:rsidRPr="004530CF">
        <w:rPr>
          <w:rFonts w:ascii="Times New Roman" w:hAnsi="Times New Roman" w:cs="Times New Roman"/>
          <w:sz w:val="28"/>
          <w:szCs w:val="28"/>
        </w:rPr>
        <w:t xml:space="preserve">(parcial) del artículo 149 de la Ley 1437 de 2011, modificado por la Ley 2080 de 2021, que atribuye al Consejo de Estado el conocimiento en única instancia de los procesos de nulidad electoral respecto de altos funcionarios del Estado. Para fundamentar su </w:t>
      </w:r>
      <w:r w:rsidRPr="004530CF">
        <w:rPr>
          <w:rFonts w:ascii="Times New Roman" w:hAnsi="Times New Roman" w:cs="Times New Roman"/>
          <w:sz w:val="28"/>
          <w:szCs w:val="28"/>
        </w:rPr>
        <w:t>solicitud el demandante presentó tres cargos.</w:t>
      </w:r>
    </w:p>
    <w:p w:rsidR="004A6680" w:rsidRPr="004530CF" w:rsidRDefault="004530CF" w:rsidP="004C7B30">
      <w:pPr>
        <w:pStyle w:val="Prrafodelista"/>
        <w:ind w:left="0"/>
        <w:jc w:val="both"/>
        <w:rPr>
          <w:rFonts w:ascii="Times New Roman" w:hAnsi="Times New Roman" w:cs="Times New Roman"/>
          <w:sz w:val="28"/>
          <w:szCs w:val="28"/>
        </w:rPr>
      </w:pPr>
    </w:p>
    <w:p w:rsidR="00A2587D" w:rsidRPr="004530CF" w:rsidRDefault="004530CF" w:rsidP="004C7B30">
      <w:pPr>
        <w:pStyle w:val="Prrafodelista"/>
        <w:numPr>
          <w:ilvl w:val="3"/>
          <w:numId w:val="2"/>
        </w:numPr>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En el primer cargo, el ciudadano alegó la infracción del </w:t>
      </w:r>
      <w:r w:rsidRPr="004530CF">
        <w:rPr>
          <w:rFonts w:ascii="Times New Roman" w:hAnsi="Times New Roman" w:cs="Times New Roman"/>
          <w:b/>
          <w:bCs/>
          <w:sz w:val="28"/>
          <w:szCs w:val="28"/>
        </w:rPr>
        <w:t xml:space="preserve">derecho de acceder a la administración de justicia en condiciones de igualdad. </w:t>
      </w:r>
      <w:r w:rsidRPr="004530CF">
        <w:rPr>
          <w:rFonts w:ascii="Times New Roman" w:hAnsi="Times New Roman" w:cs="Times New Roman"/>
          <w:sz w:val="28"/>
          <w:szCs w:val="28"/>
        </w:rPr>
        <w:t>Al respecto,</w:t>
      </w:r>
      <w:r w:rsidRPr="004530CF">
        <w:rPr>
          <w:rFonts w:ascii="Times New Roman" w:hAnsi="Times New Roman" w:cs="Times New Roman"/>
          <w:b/>
          <w:bCs/>
          <w:sz w:val="28"/>
          <w:szCs w:val="28"/>
        </w:rPr>
        <w:t xml:space="preserve"> </w:t>
      </w:r>
      <w:r w:rsidRPr="004530CF">
        <w:rPr>
          <w:rFonts w:ascii="Times New Roman" w:hAnsi="Times New Roman" w:cs="Times New Roman"/>
          <w:sz w:val="28"/>
          <w:szCs w:val="28"/>
        </w:rPr>
        <w:t>destacó que la regulación demandada establece un tratamiento</w:t>
      </w:r>
      <w:r w:rsidRPr="004530CF">
        <w:rPr>
          <w:rFonts w:ascii="Times New Roman" w:hAnsi="Times New Roman" w:cs="Times New Roman"/>
          <w:sz w:val="28"/>
          <w:szCs w:val="28"/>
        </w:rPr>
        <w:t xml:space="preserve"> diferente entre dos grupos de servidores públicos </w:t>
      </w:r>
      <w:r w:rsidRPr="004530CF">
        <w:rPr>
          <w:rFonts w:ascii="Times New Roman" w:hAnsi="Times New Roman" w:cs="Times New Roman"/>
          <w:i/>
          <w:iCs/>
          <w:sz w:val="28"/>
          <w:szCs w:val="28"/>
        </w:rPr>
        <w:t>elegidos popularmente</w:t>
      </w:r>
      <w:r w:rsidRPr="004530CF">
        <w:rPr>
          <w:rFonts w:ascii="Times New Roman" w:hAnsi="Times New Roman" w:cs="Times New Roman"/>
          <w:sz w:val="28"/>
          <w:szCs w:val="28"/>
        </w:rPr>
        <w:t xml:space="preserve">. Según su planteamiento, (i) mientras que la disposición demandada establece que se conocen en única instancia los procesos de nulidad electoral relacionados con el </w:t>
      </w:r>
      <w:r w:rsidRPr="004530CF">
        <w:rPr>
          <w:rFonts w:ascii="Times New Roman" w:hAnsi="Times New Roman" w:cs="Times New Roman"/>
          <w:i/>
          <w:iCs/>
          <w:sz w:val="28"/>
          <w:szCs w:val="28"/>
        </w:rPr>
        <w:t>presidente y el vi</w:t>
      </w:r>
      <w:r w:rsidRPr="004530CF">
        <w:rPr>
          <w:rFonts w:ascii="Times New Roman" w:hAnsi="Times New Roman" w:cs="Times New Roman"/>
          <w:i/>
          <w:iCs/>
          <w:sz w:val="28"/>
          <w:szCs w:val="28"/>
        </w:rPr>
        <w:t>cepresidente de la República, los senadores, los representantes a la Cámara, los representantes al Parlamento Andino, los gobernadores y el Alcalde Mayor de Bogotá</w:t>
      </w:r>
      <w:r w:rsidRPr="004530CF">
        <w:rPr>
          <w:rFonts w:ascii="Times New Roman" w:hAnsi="Times New Roman" w:cs="Times New Roman"/>
          <w:sz w:val="28"/>
          <w:szCs w:val="28"/>
        </w:rPr>
        <w:t>, (ii) el literal a) del numeral 7 del artículo 152 de la Ley 1437 de 2011 prevé que, en el c</w:t>
      </w:r>
      <w:r w:rsidRPr="004530CF">
        <w:rPr>
          <w:rFonts w:ascii="Times New Roman" w:hAnsi="Times New Roman" w:cs="Times New Roman"/>
          <w:sz w:val="28"/>
          <w:szCs w:val="28"/>
        </w:rPr>
        <w:t xml:space="preserve">aso </w:t>
      </w:r>
      <w:r w:rsidRPr="004530CF">
        <w:rPr>
          <w:rFonts w:ascii="Times New Roman" w:hAnsi="Times New Roman" w:cs="Times New Roman"/>
          <w:i/>
          <w:iCs/>
          <w:sz w:val="28"/>
          <w:szCs w:val="28"/>
        </w:rPr>
        <w:t>de los diputados de las asambleas departamentales, de</w:t>
      </w:r>
      <w:r w:rsidRPr="004530CF">
        <w:rPr>
          <w:rFonts w:ascii="Times New Roman" w:hAnsi="Times New Roman" w:cs="Times New Roman"/>
          <w:i/>
          <w:iCs/>
          <w:sz w:val="28"/>
          <w:szCs w:val="28"/>
        </w:rPr>
        <w:t xml:space="preserve"> </w:t>
      </w:r>
      <w:r w:rsidRPr="004530CF">
        <w:rPr>
          <w:rFonts w:ascii="Times New Roman" w:hAnsi="Times New Roman" w:cs="Times New Roman"/>
          <w:i/>
          <w:iCs/>
          <w:sz w:val="28"/>
          <w:szCs w:val="28"/>
        </w:rPr>
        <w:t>los concejales del Distrito Capital de Bogotá, de los alcaldes municipales y</w:t>
      </w:r>
      <w:r w:rsidRPr="004530CF">
        <w:rPr>
          <w:rFonts w:ascii="Times New Roman" w:hAnsi="Times New Roman" w:cs="Times New Roman"/>
          <w:i/>
          <w:iCs/>
          <w:sz w:val="28"/>
          <w:szCs w:val="28"/>
        </w:rPr>
        <w:t xml:space="preserve"> </w:t>
      </w:r>
      <w:r w:rsidRPr="004530CF">
        <w:rPr>
          <w:rFonts w:ascii="Times New Roman" w:hAnsi="Times New Roman" w:cs="Times New Roman"/>
          <w:i/>
          <w:iCs/>
          <w:sz w:val="28"/>
          <w:szCs w:val="28"/>
        </w:rPr>
        <w:t>distritales, de los miembros de corporaciones públicas de los municipios y</w:t>
      </w:r>
      <w:r w:rsidRPr="004530CF">
        <w:rPr>
          <w:rFonts w:ascii="Times New Roman" w:hAnsi="Times New Roman" w:cs="Times New Roman"/>
          <w:i/>
          <w:iCs/>
          <w:sz w:val="28"/>
          <w:szCs w:val="28"/>
        </w:rPr>
        <w:t xml:space="preserve"> </w:t>
      </w:r>
      <w:r w:rsidRPr="004530CF">
        <w:rPr>
          <w:rFonts w:ascii="Times New Roman" w:hAnsi="Times New Roman" w:cs="Times New Roman"/>
          <w:i/>
          <w:iCs/>
          <w:sz w:val="28"/>
          <w:szCs w:val="28"/>
        </w:rPr>
        <w:t>distritos</w:t>
      </w:r>
      <w:r w:rsidRPr="004530CF">
        <w:rPr>
          <w:rFonts w:ascii="Times New Roman" w:hAnsi="Times New Roman" w:cs="Times New Roman"/>
          <w:sz w:val="28"/>
          <w:szCs w:val="28"/>
        </w:rPr>
        <w:t xml:space="preserve">, el proceso de nulidad electoral se </w:t>
      </w:r>
      <w:r w:rsidRPr="004530CF">
        <w:rPr>
          <w:rFonts w:ascii="Times New Roman" w:hAnsi="Times New Roman" w:cs="Times New Roman"/>
          <w:sz w:val="28"/>
          <w:szCs w:val="28"/>
        </w:rPr>
        <w:t>surtiría en un trámite de dos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instancias.</w:t>
      </w:r>
    </w:p>
    <w:p w:rsidR="00A2587D" w:rsidRPr="004530CF" w:rsidRDefault="004530CF" w:rsidP="004C7B30">
      <w:pPr>
        <w:pStyle w:val="Prrafodelista"/>
        <w:rPr>
          <w:rFonts w:ascii="Times New Roman" w:hAnsi="Times New Roman" w:cs="Times New Roman"/>
          <w:sz w:val="28"/>
          <w:szCs w:val="28"/>
        </w:rPr>
      </w:pPr>
    </w:p>
    <w:p w:rsidR="00A2587D" w:rsidRPr="004530CF" w:rsidRDefault="004530CF" w:rsidP="004C7B30">
      <w:pPr>
        <w:pStyle w:val="Prrafodelista"/>
        <w:numPr>
          <w:ilvl w:val="3"/>
          <w:numId w:val="2"/>
        </w:numPr>
        <w:ind w:left="0" w:firstLine="0"/>
        <w:jc w:val="both"/>
        <w:rPr>
          <w:rFonts w:ascii="Times New Roman" w:hAnsi="Times New Roman" w:cs="Times New Roman"/>
          <w:sz w:val="28"/>
          <w:szCs w:val="28"/>
        </w:rPr>
      </w:pPr>
      <w:r w:rsidRPr="004530CF">
        <w:rPr>
          <w:rFonts w:ascii="Times New Roman" w:hAnsi="Times New Roman" w:cs="Times New Roman"/>
          <w:sz w:val="28"/>
          <w:szCs w:val="28"/>
        </w:rPr>
        <w:t>Luego de constatar la aptitud del cargo, este Tribunal asumió su estudio de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fondo a partir de la metodología acogida por su jurisprudencia para el examen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 este tipo de reparos. Con fundamento en lo anterior, des</w:t>
      </w:r>
      <w:r w:rsidRPr="004530CF">
        <w:rPr>
          <w:rFonts w:ascii="Times New Roman" w:hAnsi="Times New Roman" w:cs="Times New Roman"/>
          <w:sz w:val="28"/>
          <w:szCs w:val="28"/>
        </w:rPr>
        <w:t>tacó que la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finalidad de la disposición demandada consiste en reducir el impacto que,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para el funcionamiento del Estado, tiene la incertidumbre originada por la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posibilidad de que la justicia anule la elección de un determinado servidor</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público. Es por ell</w:t>
      </w:r>
      <w:r w:rsidRPr="004530CF">
        <w:rPr>
          <w:rFonts w:ascii="Times New Roman" w:hAnsi="Times New Roman" w:cs="Times New Roman"/>
          <w:sz w:val="28"/>
          <w:szCs w:val="28"/>
        </w:rPr>
        <w:t>o que, en atención a ese propósito, el criterio de comparación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relevante no era el </w:t>
      </w:r>
      <w:r w:rsidRPr="004530CF">
        <w:rPr>
          <w:rFonts w:ascii="Times New Roman" w:hAnsi="Times New Roman" w:cs="Times New Roman"/>
          <w:i/>
          <w:iCs/>
          <w:sz w:val="28"/>
          <w:szCs w:val="28"/>
        </w:rPr>
        <w:t xml:space="preserve">origen popular de la elección </w:t>
      </w:r>
      <w:r w:rsidRPr="004530CF">
        <w:rPr>
          <w:rFonts w:ascii="Times New Roman" w:hAnsi="Times New Roman" w:cs="Times New Roman"/>
          <w:sz w:val="28"/>
          <w:szCs w:val="28"/>
        </w:rPr>
        <w:t>sino, en otra dirección, el</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grado de incidencia que en la actividad y funcionamiento del Estado tiene el</w:t>
      </w:r>
      <w:r w:rsidRPr="004530CF">
        <w:rPr>
          <w:rFonts w:ascii="Times New Roman" w:hAnsi="Times New Roman" w:cs="Times New Roman"/>
          <w:i/>
          <w:iCs/>
          <w:sz w:val="28"/>
          <w:szCs w:val="28"/>
        </w:rPr>
        <w:t xml:space="preserve"> </w:t>
      </w:r>
      <w:r w:rsidRPr="004530CF">
        <w:rPr>
          <w:rFonts w:ascii="Times New Roman" w:hAnsi="Times New Roman" w:cs="Times New Roman"/>
          <w:i/>
          <w:iCs/>
          <w:sz w:val="28"/>
          <w:szCs w:val="28"/>
        </w:rPr>
        <w:t xml:space="preserve">servidor público </w:t>
      </w:r>
      <w:r w:rsidRPr="004530CF">
        <w:rPr>
          <w:rFonts w:ascii="Times New Roman" w:hAnsi="Times New Roman" w:cs="Times New Roman"/>
          <w:sz w:val="28"/>
          <w:szCs w:val="28"/>
        </w:rPr>
        <w:t xml:space="preserve">cuya elección se </w:t>
      </w:r>
      <w:r w:rsidRPr="004530CF">
        <w:rPr>
          <w:rFonts w:ascii="Times New Roman" w:hAnsi="Times New Roman" w:cs="Times New Roman"/>
          <w:sz w:val="28"/>
          <w:szCs w:val="28"/>
        </w:rPr>
        <w:t>demanda.</w:t>
      </w:r>
    </w:p>
    <w:p w:rsidR="00A2587D" w:rsidRPr="004530CF" w:rsidRDefault="004530CF" w:rsidP="004C7B30">
      <w:pPr>
        <w:pStyle w:val="Prrafodelista"/>
        <w:rPr>
          <w:rFonts w:ascii="Times New Roman" w:hAnsi="Times New Roman" w:cs="Times New Roman"/>
          <w:sz w:val="28"/>
          <w:szCs w:val="28"/>
        </w:rPr>
      </w:pPr>
    </w:p>
    <w:p w:rsidR="00A2587D" w:rsidRPr="004530CF" w:rsidRDefault="004530CF" w:rsidP="004C7B30">
      <w:pPr>
        <w:pStyle w:val="Prrafodelista"/>
        <w:numPr>
          <w:ilvl w:val="3"/>
          <w:numId w:val="2"/>
        </w:numPr>
        <w:ind w:left="0" w:firstLine="0"/>
        <w:jc w:val="both"/>
        <w:rPr>
          <w:rFonts w:ascii="Times New Roman" w:hAnsi="Times New Roman" w:cs="Times New Roman"/>
          <w:sz w:val="28"/>
          <w:szCs w:val="28"/>
        </w:rPr>
      </w:pPr>
      <w:r w:rsidRPr="004530CF">
        <w:rPr>
          <w:rFonts w:ascii="Times New Roman" w:hAnsi="Times New Roman" w:cs="Times New Roman"/>
          <w:sz w:val="28"/>
          <w:szCs w:val="28"/>
        </w:rPr>
        <w:t>La Sala Plena de la Corte indicó que el primer grupo objeto de comparación,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sujeto al trámite de </w:t>
      </w:r>
      <w:r w:rsidRPr="004530CF">
        <w:rPr>
          <w:rFonts w:ascii="Times New Roman" w:hAnsi="Times New Roman" w:cs="Times New Roman"/>
          <w:i/>
          <w:iCs/>
          <w:sz w:val="28"/>
          <w:szCs w:val="28"/>
        </w:rPr>
        <w:t>única insta</w:t>
      </w:r>
      <w:r w:rsidRPr="004530CF">
        <w:rPr>
          <w:rFonts w:ascii="Times New Roman" w:hAnsi="Times New Roman" w:cs="Times New Roman"/>
          <w:sz w:val="28"/>
          <w:szCs w:val="28"/>
        </w:rPr>
        <w:t>ncia ante el Consejo de Estado, se integra por</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servidores a cuyo cargo se encuentra el cumplimiento de responsabilidades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con notorio impac</w:t>
      </w:r>
      <w:r w:rsidRPr="004530CF">
        <w:rPr>
          <w:rFonts w:ascii="Times New Roman" w:hAnsi="Times New Roman" w:cs="Times New Roman"/>
          <w:sz w:val="28"/>
          <w:szCs w:val="28"/>
        </w:rPr>
        <w:t>to nacional, incluyendo al Alcalde Mayor de Bogotá, por</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razón del estatus especial que al distrito capital le asigna la Constitución. A su</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vez, el segundo grupo comparado, sujeto a un trámite procesal compuesto por</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dos instancias, se conforma por funcionar</w:t>
      </w:r>
      <w:r w:rsidRPr="004530CF">
        <w:rPr>
          <w:rFonts w:ascii="Times New Roman" w:hAnsi="Times New Roman" w:cs="Times New Roman"/>
          <w:sz w:val="28"/>
          <w:szCs w:val="28"/>
        </w:rPr>
        <w:t>ios cuyas competencias,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indudablemente importantes, tienen un impacto principalmente local 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territorial. Considerando estas diferencias, la Sala afirmó que los grupos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delimitados en la demanda no eran comparables y, en consecuencia,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concluyó que no existí</w:t>
      </w:r>
      <w:r w:rsidRPr="004530CF">
        <w:rPr>
          <w:rFonts w:ascii="Times New Roman" w:hAnsi="Times New Roman" w:cs="Times New Roman"/>
          <w:sz w:val="28"/>
          <w:szCs w:val="28"/>
        </w:rPr>
        <w:t xml:space="preserve">a afectación del </w:t>
      </w:r>
      <w:r w:rsidRPr="004530CF">
        <w:rPr>
          <w:rFonts w:ascii="Times New Roman" w:hAnsi="Times New Roman" w:cs="Times New Roman"/>
          <w:b/>
          <w:bCs/>
          <w:sz w:val="28"/>
          <w:szCs w:val="28"/>
        </w:rPr>
        <w:t>derecho de acceder a la administración</w:t>
      </w:r>
      <w:r w:rsidRPr="004530CF">
        <w:rPr>
          <w:rFonts w:ascii="Times New Roman" w:hAnsi="Times New Roman" w:cs="Times New Roman"/>
          <w:b/>
          <w:bCs/>
          <w:sz w:val="28"/>
          <w:szCs w:val="28"/>
        </w:rPr>
        <w:t xml:space="preserve"> </w:t>
      </w:r>
      <w:r w:rsidRPr="004530CF">
        <w:rPr>
          <w:rFonts w:ascii="Times New Roman" w:hAnsi="Times New Roman" w:cs="Times New Roman"/>
          <w:b/>
          <w:bCs/>
          <w:sz w:val="28"/>
          <w:szCs w:val="28"/>
        </w:rPr>
        <w:t>de justicia en condiciones de igualdad</w:t>
      </w:r>
      <w:r w:rsidRPr="004530CF">
        <w:rPr>
          <w:rFonts w:ascii="Times New Roman" w:hAnsi="Times New Roman" w:cs="Times New Roman"/>
          <w:sz w:val="28"/>
          <w:szCs w:val="28"/>
        </w:rPr>
        <w:t>. Dicho de otra forma, concluyó que el</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legislador se encontraba habilitado para establecer la distinción, en razón del</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mayor grado de incidencia que en el funcion</w:t>
      </w:r>
      <w:r w:rsidRPr="004530CF">
        <w:rPr>
          <w:rFonts w:ascii="Times New Roman" w:hAnsi="Times New Roman" w:cs="Times New Roman"/>
          <w:sz w:val="28"/>
          <w:szCs w:val="28"/>
        </w:rPr>
        <w:t>amiento del Estado tienen ciertos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cargos y en la necesidad de que los juicios sobre la validez de su elección se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resuelvan con celeridad.</w:t>
      </w:r>
      <w:r w:rsidRPr="004530CF">
        <w:rPr>
          <w:rFonts w:ascii="Times New Roman" w:hAnsi="Times New Roman" w:cs="Times New Roman"/>
          <w:sz w:val="28"/>
          <w:szCs w:val="28"/>
        </w:rPr>
        <w:t xml:space="preserve"> </w:t>
      </w:r>
    </w:p>
    <w:p w:rsidR="00A2587D" w:rsidRPr="004530CF" w:rsidRDefault="004530CF" w:rsidP="004C7B30">
      <w:pPr>
        <w:pStyle w:val="Prrafodelista"/>
        <w:ind w:left="0"/>
        <w:jc w:val="both"/>
        <w:rPr>
          <w:rFonts w:ascii="Times New Roman" w:hAnsi="Times New Roman" w:cs="Times New Roman"/>
          <w:sz w:val="28"/>
          <w:szCs w:val="28"/>
        </w:rPr>
      </w:pPr>
    </w:p>
    <w:p w:rsidR="00FE46D4" w:rsidRPr="004530CF" w:rsidRDefault="004530CF" w:rsidP="004C7B30">
      <w:pPr>
        <w:pStyle w:val="Prrafodelista"/>
        <w:numPr>
          <w:ilvl w:val="3"/>
          <w:numId w:val="2"/>
        </w:numPr>
        <w:ind w:left="0" w:firstLine="0"/>
        <w:jc w:val="both"/>
        <w:rPr>
          <w:rFonts w:ascii="Times New Roman" w:hAnsi="Times New Roman" w:cs="Times New Roman"/>
          <w:sz w:val="28"/>
          <w:szCs w:val="28"/>
        </w:rPr>
      </w:pPr>
      <w:r w:rsidRPr="004530CF">
        <w:rPr>
          <w:rFonts w:ascii="Times New Roman" w:hAnsi="Times New Roman" w:cs="Times New Roman"/>
          <w:sz w:val="28"/>
          <w:szCs w:val="28"/>
        </w:rPr>
        <w:t>Por su parte, al formular el segundo y tercer cargo, el actor sostuvo que la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inexistencia de una segunda instancia q</w:t>
      </w:r>
      <w:r w:rsidRPr="004530CF">
        <w:rPr>
          <w:rFonts w:ascii="Times New Roman" w:hAnsi="Times New Roman" w:cs="Times New Roman"/>
          <w:sz w:val="28"/>
          <w:szCs w:val="28"/>
        </w:rPr>
        <w:t>ue permitiera recurrir la sentencia que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decide la nulidad electoral, de una parte, vulneraba los estándares nacionales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e internacionales asociados a la protección de los derechos políticos (segundo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cargo) y, de otra, violaba la garantía procesal de la impu</w:t>
      </w:r>
      <w:r w:rsidRPr="004530CF">
        <w:rPr>
          <w:rFonts w:ascii="Times New Roman" w:hAnsi="Times New Roman" w:cs="Times New Roman"/>
          <w:sz w:val="28"/>
          <w:szCs w:val="28"/>
        </w:rPr>
        <w:t>gnación (tercer</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cargo). Señalaba la demanda que la naturaleza sancionatoria del proceso de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nulidad electoral, así como sus efectos para el ejercicio de derechos políticos,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eran factores que exigían establecer la posibilidad de contar con un trámite de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dobl</w:t>
      </w:r>
      <w:r w:rsidRPr="004530CF">
        <w:rPr>
          <w:rFonts w:ascii="Times New Roman" w:hAnsi="Times New Roman" w:cs="Times New Roman"/>
          <w:sz w:val="28"/>
          <w:szCs w:val="28"/>
        </w:rPr>
        <w:t>e instancia.</w:t>
      </w:r>
    </w:p>
    <w:p w:rsidR="00FE46D4" w:rsidRPr="004530CF" w:rsidRDefault="004530CF" w:rsidP="004C7B30">
      <w:pPr>
        <w:pStyle w:val="Prrafodelista"/>
        <w:rPr>
          <w:rFonts w:ascii="Times New Roman" w:hAnsi="Times New Roman" w:cs="Times New Roman"/>
          <w:sz w:val="28"/>
          <w:szCs w:val="28"/>
        </w:rPr>
      </w:pPr>
    </w:p>
    <w:p w:rsidR="00FE46D4" w:rsidRPr="004530CF" w:rsidRDefault="004530CF" w:rsidP="004C7B30">
      <w:pPr>
        <w:pStyle w:val="Prrafodelista"/>
        <w:numPr>
          <w:ilvl w:val="3"/>
          <w:numId w:val="2"/>
        </w:numPr>
        <w:ind w:left="0" w:firstLine="0"/>
        <w:jc w:val="both"/>
        <w:rPr>
          <w:rFonts w:ascii="Times New Roman" w:hAnsi="Times New Roman" w:cs="Times New Roman"/>
          <w:sz w:val="28"/>
          <w:szCs w:val="28"/>
        </w:rPr>
      </w:pPr>
      <w:r w:rsidRPr="004530CF">
        <w:rPr>
          <w:rFonts w:ascii="Times New Roman" w:hAnsi="Times New Roman" w:cs="Times New Roman"/>
          <w:sz w:val="28"/>
          <w:szCs w:val="28"/>
        </w:rPr>
        <w:t>La Sala Plena descartó la aptitud sustantiva de la demanda frente a estos dos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cargos por varias razones. De una parte, señaló que las acusaciones carecían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de </w:t>
      </w:r>
      <w:r w:rsidRPr="004530CF">
        <w:rPr>
          <w:rFonts w:ascii="Times New Roman" w:hAnsi="Times New Roman" w:cs="Times New Roman"/>
          <w:i/>
          <w:iCs/>
          <w:sz w:val="28"/>
          <w:szCs w:val="28"/>
        </w:rPr>
        <w:t>certeza</w:t>
      </w:r>
      <w:r w:rsidRPr="004530CF">
        <w:rPr>
          <w:rFonts w:ascii="Times New Roman" w:hAnsi="Times New Roman" w:cs="Times New Roman"/>
          <w:sz w:val="28"/>
          <w:szCs w:val="28"/>
        </w:rPr>
        <w:t>, al afirmar que el proceso de nulidad electoral tenía un carácter</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sancionatorio o era expresión del </w:t>
      </w:r>
      <w:r w:rsidRPr="004530CF">
        <w:rPr>
          <w:rFonts w:ascii="Times New Roman" w:hAnsi="Times New Roman" w:cs="Times New Roman"/>
          <w:i/>
          <w:iCs/>
          <w:sz w:val="28"/>
          <w:szCs w:val="28"/>
        </w:rPr>
        <w:t>ius puniendi</w:t>
      </w:r>
      <w:r w:rsidRPr="004530CF">
        <w:rPr>
          <w:rFonts w:ascii="Times New Roman" w:hAnsi="Times New Roman" w:cs="Times New Roman"/>
          <w:sz w:val="28"/>
          <w:szCs w:val="28"/>
        </w:rPr>
        <w:t>, desconociendo con ello la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naturaleza de dicho medio de control y su carácter marcadamente objetivo.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 otra parte, indicó que los cargos no satisfacían la exigencia de</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especificidad</w:t>
      </w:r>
      <w:r w:rsidRPr="004530CF">
        <w:rPr>
          <w:rFonts w:ascii="Times New Roman" w:hAnsi="Times New Roman" w:cs="Times New Roman"/>
          <w:sz w:val="28"/>
          <w:szCs w:val="28"/>
        </w:rPr>
        <w:t xml:space="preserve">, dado que no consideraban </w:t>
      </w:r>
      <w:r w:rsidRPr="004530CF">
        <w:rPr>
          <w:rFonts w:ascii="Times New Roman" w:hAnsi="Times New Roman" w:cs="Times New Roman"/>
          <w:sz w:val="28"/>
          <w:szCs w:val="28"/>
        </w:rPr>
        <w:t>de manera precisa el parágrafo del</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artículo 264 de la Constitución, en el que se prevé </w:t>
      </w:r>
      <w:r w:rsidRPr="004530CF">
        <w:rPr>
          <w:rFonts w:ascii="Times New Roman" w:hAnsi="Times New Roman" w:cs="Times New Roman"/>
          <w:i/>
          <w:iCs/>
          <w:sz w:val="28"/>
          <w:szCs w:val="28"/>
        </w:rPr>
        <w:t>expresamente la</w:t>
      </w:r>
      <w:r w:rsidRPr="004530CF">
        <w:rPr>
          <w:rFonts w:ascii="Times New Roman" w:hAnsi="Times New Roman" w:cs="Times New Roman"/>
          <w:i/>
          <w:iCs/>
          <w:sz w:val="28"/>
          <w:szCs w:val="28"/>
        </w:rPr>
        <w:t xml:space="preserve"> </w:t>
      </w:r>
      <w:r w:rsidRPr="004530CF">
        <w:rPr>
          <w:rFonts w:ascii="Times New Roman" w:hAnsi="Times New Roman" w:cs="Times New Roman"/>
          <w:i/>
          <w:iCs/>
          <w:sz w:val="28"/>
          <w:szCs w:val="28"/>
        </w:rPr>
        <w:t>competencia del legislador para establecer procesos de única instancia en</w:t>
      </w:r>
      <w:r w:rsidRPr="004530CF">
        <w:rPr>
          <w:rFonts w:ascii="Times New Roman" w:hAnsi="Times New Roman" w:cs="Times New Roman"/>
          <w:i/>
          <w:iCs/>
          <w:sz w:val="28"/>
          <w:szCs w:val="28"/>
        </w:rPr>
        <w:t xml:space="preserve"> </w:t>
      </w:r>
      <w:r w:rsidRPr="004530CF">
        <w:rPr>
          <w:rFonts w:ascii="Times New Roman" w:hAnsi="Times New Roman" w:cs="Times New Roman"/>
          <w:i/>
          <w:iCs/>
          <w:sz w:val="28"/>
          <w:szCs w:val="28"/>
        </w:rPr>
        <w:t>materia electoral</w:t>
      </w:r>
      <w:r w:rsidRPr="004530CF">
        <w:rPr>
          <w:rFonts w:ascii="Times New Roman" w:hAnsi="Times New Roman" w:cs="Times New Roman"/>
          <w:sz w:val="28"/>
          <w:szCs w:val="28"/>
        </w:rPr>
        <w:t>. Tales deficiencias, a su vez, afectaban la suficiencia del</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w:t>
      </w:r>
      <w:r w:rsidRPr="004530CF">
        <w:rPr>
          <w:rFonts w:ascii="Times New Roman" w:hAnsi="Times New Roman" w:cs="Times New Roman"/>
          <w:sz w:val="28"/>
          <w:szCs w:val="28"/>
        </w:rPr>
        <w:t>argo en tanto impedían el surgimiento de una duda mínima sobre la validez</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constitucional de las expresiones demandadas.</w:t>
      </w:r>
    </w:p>
    <w:p w:rsidR="00FE46D4" w:rsidRPr="004530CF" w:rsidRDefault="004530CF" w:rsidP="004C7B30">
      <w:pPr>
        <w:pStyle w:val="Prrafodelista"/>
        <w:rPr>
          <w:rFonts w:ascii="Times New Roman" w:hAnsi="Times New Roman" w:cs="Times New Roman"/>
          <w:sz w:val="28"/>
          <w:szCs w:val="28"/>
        </w:rPr>
      </w:pPr>
    </w:p>
    <w:p w:rsidR="004A6680" w:rsidRPr="004530CF" w:rsidRDefault="004530CF" w:rsidP="004C7B30">
      <w:pPr>
        <w:pStyle w:val="Prrafodelista"/>
        <w:numPr>
          <w:ilvl w:val="3"/>
          <w:numId w:val="2"/>
        </w:numPr>
        <w:ind w:left="0" w:firstLine="0"/>
        <w:jc w:val="both"/>
        <w:rPr>
          <w:rFonts w:ascii="Times New Roman" w:hAnsi="Times New Roman" w:cs="Times New Roman"/>
          <w:sz w:val="28"/>
          <w:szCs w:val="28"/>
        </w:rPr>
      </w:pPr>
      <w:r w:rsidRPr="004530CF">
        <w:rPr>
          <w:rFonts w:ascii="Times New Roman" w:hAnsi="Times New Roman" w:cs="Times New Roman"/>
          <w:sz w:val="28"/>
          <w:szCs w:val="28"/>
        </w:rPr>
        <w:t>Con fundamento en estas razones, la Sala Plena concluyó que la disposición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acusada no desconocía el </w:t>
      </w:r>
      <w:r w:rsidRPr="004530CF">
        <w:rPr>
          <w:rFonts w:ascii="Times New Roman" w:hAnsi="Times New Roman" w:cs="Times New Roman"/>
          <w:b/>
          <w:bCs/>
          <w:sz w:val="28"/>
          <w:szCs w:val="28"/>
        </w:rPr>
        <w:t>derecho de acceder a la administrac</w:t>
      </w:r>
      <w:r w:rsidRPr="004530CF">
        <w:rPr>
          <w:rFonts w:ascii="Times New Roman" w:hAnsi="Times New Roman" w:cs="Times New Roman"/>
          <w:b/>
          <w:bCs/>
          <w:sz w:val="28"/>
          <w:szCs w:val="28"/>
        </w:rPr>
        <w:t>ión de justicia</w:t>
      </w:r>
      <w:r w:rsidRPr="004530CF">
        <w:rPr>
          <w:rFonts w:ascii="Times New Roman" w:hAnsi="Times New Roman" w:cs="Times New Roman"/>
          <w:b/>
          <w:bCs/>
          <w:sz w:val="28"/>
          <w:szCs w:val="28"/>
        </w:rPr>
        <w:t xml:space="preserve"> </w:t>
      </w:r>
      <w:r w:rsidRPr="004530CF">
        <w:rPr>
          <w:rFonts w:ascii="Times New Roman" w:hAnsi="Times New Roman" w:cs="Times New Roman"/>
          <w:b/>
          <w:bCs/>
          <w:sz w:val="28"/>
          <w:szCs w:val="28"/>
        </w:rPr>
        <w:t>en condiciones de igualdad</w:t>
      </w:r>
      <w:r w:rsidRPr="004530CF">
        <w:rPr>
          <w:rFonts w:ascii="Times New Roman" w:hAnsi="Times New Roman" w:cs="Times New Roman"/>
          <w:sz w:val="28"/>
          <w:szCs w:val="28"/>
        </w:rPr>
        <w:t>. A su vez, se inhibió de pronunciarse de fondo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sobre los cargos relativos (i) a la vulneración de los estándares nacionales 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internacionales asociados a la defensa de derechos políticos y (ii) a la violación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 l</w:t>
      </w:r>
      <w:r w:rsidRPr="004530CF">
        <w:rPr>
          <w:rFonts w:ascii="Times New Roman" w:hAnsi="Times New Roman" w:cs="Times New Roman"/>
          <w:sz w:val="28"/>
          <w:szCs w:val="28"/>
        </w:rPr>
        <w:t>a garantía procesal de la impugnación, por ineptitud sustantiva de la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demanda.</w:t>
      </w:r>
    </w:p>
    <w:p w:rsidR="006B5DD1" w:rsidRPr="004530CF" w:rsidRDefault="004530CF" w:rsidP="004C7B30">
      <w:pPr>
        <w:pStyle w:val="Prrafodelista"/>
        <w:rPr>
          <w:rFonts w:ascii="Times New Roman" w:hAnsi="Times New Roman" w:cs="Times New Roman"/>
          <w:sz w:val="28"/>
          <w:szCs w:val="28"/>
        </w:rPr>
      </w:pPr>
    </w:p>
    <w:p w:rsidR="006B5DD1" w:rsidRPr="004530CF" w:rsidRDefault="004530CF" w:rsidP="004C7B30">
      <w:pPr>
        <w:pStyle w:val="Ttulo2"/>
        <w:numPr>
          <w:ilvl w:val="0"/>
          <w:numId w:val="2"/>
        </w:numPr>
        <w:spacing w:before="0"/>
        <w:ind w:left="1134" w:hanging="567"/>
        <w:jc w:val="both"/>
        <w:rPr>
          <w:rFonts w:ascii="Times New Roman" w:eastAsia="Cambria" w:hAnsi="Times New Roman" w:cs="Times New Roman"/>
          <w:b w:val="0"/>
          <w:color w:val="auto"/>
        </w:rPr>
      </w:pPr>
      <w:r w:rsidRPr="004530CF">
        <w:rPr>
          <w:rStyle w:val="Ttulo1Car"/>
          <w:rFonts w:ascii="Times New Roman" w:hAnsi="Times New Roman" w:cs="Times New Roman"/>
          <w:b/>
          <w:color w:val="auto"/>
          <w:sz w:val="28"/>
          <w:szCs w:val="28"/>
        </w:rPr>
        <w:t>Hechos relevantes</w:t>
      </w:r>
    </w:p>
    <w:p w:rsidR="006B5DD1" w:rsidRPr="004530CF" w:rsidRDefault="004530CF" w:rsidP="004C7B30">
      <w:pPr>
        <w:pStyle w:val="Prrafodelista"/>
        <w:tabs>
          <w:tab w:val="left" w:pos="567"/>
        </w:tabs>
        <w:ind w:left="0"/>
        <w:jc w:val="both"/>
        <w:rPr>
          <w:rFonts w:ascii="Times New Roman" w:hAnsi="Times New Roman" w:cs="Times New Roman"/>
          <w:sz w:val="28"/>
          <w:szCs w:val="28"/>
        </w:rPr>
      </w:pPr>
    </w:p>
    <w:p w:rsidR="00D35B2E"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eastAsia="Calibri" w:hAnsi="Times New Roman" w:cs="Times New Roman"/>
          <w:sz w:val="28"/>
          <w:szCs w:val="28"/>
        </w:rPr>
        <w:t>El 30 de abril de 2025, el señor Alirio Uribe Muñoz, en ejercicio de la acción pública prevista en los artículos 40.6, 241 y 242 de la Constitución, presentó</w:t>
      </w:r>
      <w:r w:rsidRPr="004530CF">
        <w:rPr>
          <w:rFonts w:ascii="Times New Roman" w:eastAsia="Calibri" w:hAnsi="Times New Roman" w:cs="Times New Roman"/>
          <w:sz w:val="28"/>
          <w:szCs w:val="28"/>
        </w:rPr>
        <w:t xml:space="preserve"> demanda de inconstitucionalidad contra el artículo 149 (parcial) de la Ley 1437 de 2011 (en adelante, CPACA), “[p]</w:t>
      </w:r>
      <w:r w:rsidRPr="004530CF">
        <w:rPr>
          <w:rFonts w:ascii="Times New Roman" w:eastAsia="Calibri" w:hAnsi="Times New Roman" w:cs="Times New Roman"/>
          <w:i/>
          <w:sz w:val="28"/>
          <w:szCs w:val="28"/>
        </w:rPr>
        <w:t>or la cual se expide el Código de Procedimiento Administrativo y de lo Contencioso Administrativo</w:t>
      </w:r>
      <w:r w:rsidRPr="004530CF">
        <w:rPr>
          <w:rFonts w:ascii="Times New Roman" w:eastAsia="Calibri" w:hAnsi="Times New Roman" w:cs="Times New Roman"/>
          <w:sz w:val="28"/>
          <w:szCs w:val="28"/>
        </w:rPr>
        <w:t>”</w:t>
      </w:r>
      <w:r w:rsidRPr="004530CF">
        <w:rPr>
          <w:rFonts w:ascii="Times New Roman" w:eastAsia="Calibri" w:hAnsi="Times New Roman" w:cs="Times New Roman"/>
          <w:sz w:val="28"/>
          <w:szCs w:val="28"/>
        </w:rPr>
        <w:t xml:space="preserve">, </w:t>
      </w:r>
      <w:r w:rsidRPr="004530CF">
        <w:rPr>
          <w:rFonts w:ascii="Times New Roman" w:eastAsia="Calibri" w:hAnsi="Times New Roman" w:cs="Times New Roman"/>
          <w:sz w:val="28"/>
          <w:szCs w:val="28"/>
        </w:rPr>
        <w:t>tal y como fue modificado por el artículo</w:t>
      </w:r>
      <w:r w:rsidRPr="004530CF">
        <w:rPr>
          <w:rFonts w:ascii="Times New Roman" w:eastAsia="Calibri" w:hAnsi="Times New Roman" w:cs="Times New Roman"/>
          <w:sz w:val="28"/>
          <w:szCs w:val="28"/>
        </w:rPr>
        <w:t xml:space="preserve"> 24 de la Ley 2080 de 2021</w:t>
      </w:r>
      <w:r w:rsidRPr="004530CF">
        <w:rPr>
          <w:rFonts w:ascii="Times New Roman" w:eastAsia="Calibri" w:hAnsi="Times New Roman" w:cs="Times New Roman"/>
          <w:sz w:val="28"/>
          <w:szCs w:val="28"/>
        </w:rPr>
        <w:t>,</w:t>
      </w:r>
      <w:r w:rsidRPr="004530CF">
        <w:rPr>
          <w:rFonts w:ascii="Times New Roman" w:eastAsia="Calibri" w:hAnsi="Times New Roman" w:cs="Times New Roman"/>
          <w:sz w:val="28"/>
          <w:szCs w:val="28"/>
        </w:rPr>
        <w:t xml:space="preserve"> por el presunto desconocimiento de los artículos 13, 29, 31 y 229 de la Constitución,</w:t>
      </w:r>
      <w:r w:rsidRPr="004530CF">
        <w:rPr>
          <w:rFonts w:ascii="Times New Roman" w:eastAsia="Calibri" w:hAnsi="Times New Roman" w:cs="Times New Roman"/>
          <w:sz w:val="28"/>
          <w:szCs w:val="28"/>
        </w:rPr>
        <w:t xml:space="preserve"> los</w:t>
      </w:r>
      <w:r w:rsidRPr="004530CF">
        <w:rPr>
          <w:rFonts w:ascii="Times New Roman" w:eastAsia="Calibri" w:hAnsi="Times New Roman" w:cs="Times New Roman"/>
          <w:sz w:val="28"/>
          <w:szCs w:val="28"/>
        </w:rPr>
        <w:t xml:space="preserve"> artículos 8.2.h y 23.2 de la Convención Americana </w:t>
      </w:r>
      <w:r w:rsidRPr="004530CF">
        <w:rPr>
          <w:rFonts w:ascii="Times New Roman" w:eastAsia="Calibri" w:hAnsi="Times New Roman" w:cs="Times New Roman"/>
          <w:sz w:val="28"/>
          <w:szCs w:val="28"/>
        </w:rPr>
        <w:t>sobre</w:t>
      </w:r>
      <w:r w:rsidRPr="004530CF">
        <w:rPr>
          <w:rFonts w:ascii="Times New Roman" w:eastAsia="Calibri" w:hAnsi="Times New Roman" w:cs="Times New Roman"/>
          <w:sz w:val="28"/>
          <w:szCs w:val="28"/>
        </w:rPr>
        <w:t xml:space="preserve"> Derechos Humanos (</w:t>
      </w:r>
      <w:r w:rsidRPr="004530CF">
        <w:rPr>
          <w:rFonts w:ascii="Times New Roman" w:eastAsia="Calibri" w:hAnsi="Times New Roman" w:cs="Times New Roman"/>
          <w:sz w:val="28"/>
          <w:szCs w:val="28"/>
        </w:rPr>
        <w:t>en adelante</w:t>
      </w:r>
      <w:r w:rsidRPr="004530CF">
        <w:rPr>
          <w:rFonts w:ascii="Times New Roman" w:eastAsia="Calibri" w:hAnsi="Times New Roman" w:cs="Times New Roman"/>
          <w:sz w:val="28"/>
          <w:szCs w:val="28"/>
        </w:rPr>
        <w:t>,</w:t>
      </w:r>
      <w:r w:rsidRPr="004530CF">
        <w:rPr>
          <w:rFonts w:ascii="Times New Roman" w:eastAsia="Calibri" w:hAnsi="Times New Roman" w:cs="Times New Roman"/>
          <w:sz w:val="28"/>
          <w:szCs w:val="28"/>
        </w:rPr>
        <w:t xml:space="preserve"> </w:t>
      </w:r>
      <w:r w:rsidRPr="004530CF">
        <w:rPr>
          <w:rFonts w:ascii="Times New Roman" w:eastAsia="Calibri" w:hAnsi="Times New Roman" w:cs="Times New Roman"/>
          <w:sz w:val="28"/>
          <w:szCs w:val="28"/>
        </w:rPr>
        <w:t>CADH), y</w:t>
      </w:r>
      <w:r w:rsidRPr="004530CF">
        <w:rPr>
          <w:rFonts w:ascii="Times New Roman" w:eastAsia="Calibri" w:hAnsi="Times New Roman" w:cs="Times New Roman"/>
          <w:sz w:val="28"/>
          <w:szCs w:val="28"/>
        </w:rPr>
        <w:t xml:space="preserve"> el artículo</w:t>
      </w:r>
      <w:r w:rsidRPr="004530CF">
        <w:rPr>
          <w:rFonts w:ascii="Times New Roman" w:eastAsia="Calibri" w:hAnsi="Times New Roman" w:cs="Times New Roman"/>
          <w:sz w:val="28"/>
          <w:szCs w:val="28"/>
        </w:rPr>
        <w:t xml:space="preserve"> 14.5 del Pacto Internacional d</w:t>
      </w:r>
      <w:r w:rsidRPr="004530CF">
        <w:rPr>
          <w:rFonts w:ascii="Times New Roman" w:eastAsia="Calibri" w:hAnsi="Times New Roman" w:cs="Times New Roman"/>
          <w:sz w:val="28"/>
          <w:szCs w:val="28"/>
        </w:rPr>
        <w:t>e Derechos Civiles y Políticos (</w:t>
      </w:r>
      <w:r w:rsidRPr="004530CF">
        <w:rPr>
          <w:rFonts w:ascii="Times New Roman" w:eastAsia="Calibri" w:hAnsi="Times New Roman" w:cs="Times New Roman"/>
          <w:sz w:val="28"/>
          <w:szCs w:val="28"/>
        </w:rPr>
        <w:t xml:space="preserve">en adelante </w:t>
      </w:r>
      <w:r w:rsidRPr="004530CF">
        <w:rPr>
          <w:rFonts w:ascii="Times New Roman" w:eastAsia="Calibri" w:hAnsi="Times New Roman" w:cs="Times New Roman"/>
          <w:sz w:val="28"/>
          <w:szCs w:val="28"/>
        </w:rPr>
        <w:t>PIDCP).</w:t>
      </w:r>
    </w:p>
    <w:p w:rsidR="00D35B2E" w:rsidRPr="004530CF" w:rsidRDefault="004530CF" w:rsidP="004C7B30">
      <w:pPr>
        <w:pStyle w:val="Prrafodelista"/>
        <w:tabs>
          <w:tab w:val="left" w:pos="567"/>
        </w:tabs>
        <w:ind w:left="0"/>
        <w:jc w:val="both"/>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kern w:val="1"/>
          <w:sz w:val="28"/>
          <w:szCs w:val="28"/>
        </w:rPr>
        <w:t>El magistrado sustanciador inadmitió la demanda mediante auto del 3 junio de 2025,</w:t>
      </w:r>
      <w:r w:rsidRPr="004530CF">
        <w:rPr>
          <w:rFonts w:ascii="Times New Roman" w:hAnsi="Times New Roman" w:cs="Times New Roman"/>
          <w:kern w:val="1"/>
          <w:sz w:val="28"/>
          <w:szCs w:val="28"/>
        </w:rPr>
        <w:t xml:space="preserve"> </w:t>
      </w:r>
      <w:r w:rsidRPr="004530CF">
        <w:rPr>
          <w:rFonts w:ascii="Times New Roman" w:hAnsi="Times New Roman" w:cs="Times New Roman"/>
          <w:kern w:val="1"/>
          <w:sz w:val="28"/>
          <w:szCs w:val="28"/>
        </w:rPr>
        <w:t>luego</w:t>
      </w:r>
      <w:r w:rsidRPr="004530CF">
        <w:rPr>
          <w:rFonts w:ascii="Times New Roman" w:hAnsi="Times New Roman" w:cs="Times New Roman"/>
          <w:kern w:val="1"/>
          <w:sz w:val="28"/>
          <w:szCs w:val="28"/>
        </w:rPr>
        <w:t xml:space="preserve"> </w:t>
      </w:r>
      <w:r w:rsidRPr="004530CF">
        <w:rPr>
          <w:rFonts w:ascii="Times New Roman" w:hAnsi="Times New Roman" w:cs="Times New Roman"/>
          <w:kern w:val="1"/>
          <w:sz w:val="28"/>
          <w:szCs w:val="28"/>
        </w:rPr>
        <w:t xml:space="preserve">de </w:t>
      </w:r>
      <w:r w:rsidRPr="004530CF">
        <w:rPr>
          <w:rFonts w:ascii="Times New Roman" w:hAnsi="Times New Roman" w:cs="Times New Roman"/>
          <w:kern w:val="1"/>
          <w:sz w:val="28"/>
          <w:szCs w:val="28"/>
        </w:rPr>
        <w:t xml:space="preserve">considerar que </w:t>
      </w:r>
      <w:r w:rsidRPr="004530CF">
        <w:rPr>
          <w:rFonts w:ascii="Times New Roman" w:hAnsi="Times New Roman" w:cs="Times New Roman"/>
          <w:kern w:val="1"/>
          <w:sz w:val="28"/>
          <w:szCs w:val="28"/>
        </w:rPr>
        <w:t xml:space="preserve">las acusaciones formuladas no cumplían con la </w:t>
      </w:r>
      <w:r w:rsidRPr="004530CF">
        <w:rPr>
          <w:rFonts w:ascii="Times New Roman" w:hAnsi="Times New Roman" w:cs="Times New Roman"/>
          <w:iCs/>
          <w:kern w:val="1"/>
          <w:sz w:val="28"/>
          <w:szCs w:val="28"/>
        </w:rPr>
        <w:t>carga mínima argumentativa</w:t>
      </w:r>
      <w:r w:rsidRPr="004530CF">
        <w:rPr>
          <w:rFonts w:ascii="Times New Roman" w:hAnsi="Times New Roman" w:cs="Times New Roman"/>
          <w:iCs/>
          <w:kern w:val="1"/>
          <w:sz w:val="28"/>
          <w:szCs w:val="28"/>
        </w:rPr>
        <w:t>,</w:t>
      </w:r>
      <w:r w:rsidRPr="004530CF">
        <w:rPr>
          <w:rFonts w:ascii="Times New Roman" w:hAnsi="Times New Roman" w:cs="Times New Roman"/>
          <w:kern w:val="1"/>
          <w:sz w:val="28"/>
          <w:szCs w:val="28"/>
        </w:rPr>
        <w:t xml:space="preserve"> al no atender las exigencias de </w:t>
      </w:r>
      <w:r w:rsidRPr="004530CF">
        <w:rPr>
          <w:rFonts w:ascii="Times New Roman" w:hAnsi="Times New Roman" w:cs="Times New Roman"/>
          <w:iCs/>
          <w:kern w:val="1"/>
          <w:sz w:val="28"/>
          <w:szCs w:val="28"/>
        </w:rPr>
        <w:t>claridad, certeza, pert</w:t>
      </w:r>
      <w:r w:rsidRPr="004530CF">
        <w:rPr>
          <w:rFonts w:ascii="Times New Roman" w:hAnsi="Times New Roman" w:cs="Times New Roman"/>
          <w:iCs/>
          <w:kern w:val="1"/>
          <w:sz w:val="28"/>
          <w:szCs w:val="28"/>
        </w:rPr>
        <w:t>i</w:t>
      </w:r>
      <w:r w:rsidRPr="004530CF">
        <w:rPr>
          <w:rFonts w:ascii="Times New Roman" w:hAnsi="Times New Roman" w:cs="Times New Roman"/>
          <w:iCs/>
          <w:kern w:val="1"/>
          <w:sz w:val="28"/>
          <w:szCs w:val="28"/>
        </w:rPr>
        <w:t xml:space="preserve">nencia, especificidad y suficiencia, </w:t>
      </w:r>
      <w:r w:rsidRPr="004530CF">
        <w:rPr>
          <w:rFonts w:ascii="Times New Roman" w:hAnsi="Times New Roman" w:cs="Times New Roman"/>
          <w:kern w:val="1"/>
          <w:sz w:val="28"/>
          <w:szCs w:val="28"/>
        </w:rPr>
        <w:t>desarrolladas por la jurisprudencia de la Corte, entre otras, en las sentencias C-1052 de 2001 y C-104 de 2016.</w:t>
      </w:r>
    </w:p>
    <w:p w:rsidR="006B5DD1" w:rsidRPr="004530CF" w:rsidRDefault="004530CF" w:rsidP="004C7B30">
      <w:pPr>
        <w:pStyle w:val="Prrafodelista"/>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eastAsia="Calibri" w:hAnsi="Times New Roman" w:cs="Times New Roman"/>
          <w:sz w:val="28"/>
          <w:szCs w:val="28"/>
        </w:rPr>
        <w:t xml:space="preserve">Presentado el escrito de corrección, en auto del </w:t>
      </w:r>
      <w:r w:rsidRPr="004530CF">
        <w:rPr>
          <w:rFonts w:ascii="Times New Roman" w:eastAsia="Calibri" w:hAnsi="Times New Roman" w:cs="Times New Roman"/>
          <w:sz w:val="28"/>
          <w:szCs w:val="28"/>
        </w:rPr>
        <w:t xml:space="preserve">26 de junio de 2025, </w:t>
      </w:r>
      <w:r w:rsidRPr="004530CF">
        <w:rPr>
          <w:rFonts w:ascii="Times New Roman" w:eastAsia="Calibri" w:hAnsi="Times New Roman" w:cs="Times New Roman"/>
          <w:sz w:val="28"/>
          <w:szCs w:val="28"/>
        </w:rPr>
        <w:t xml:space="preserve">el magistrado sustanciador </w:t>
      </w:r>
      <w:r w:rsidRPr="004530CF">
        <w:rPr>
          <w:rFonts w:ascii="Times New Roman" w:eastAsia="Calibri" w:hAnsi="Times New Roman" w:cs="Times New Roman"/>
          <w:sz w:val="28"/>
          <w:szCs w:val="28"/>
        </w:rPr>
        <w:t>admitió la demanda por los tres cargos formulados, así:</w:t>
      </w:r>
      <w:r w:rsidRPr="004530CF">
        <w:rPr>
          <w:rFonts w:ascii="Times New Roman" w:hAnsi="Times New Roman" w:cs="Times New Roman"/>
          <w:sz w:val="28"/>
          <w:szCs w:val="28"/>
        </w:rPr>
        <w:t xml:space="preserve"> (i) vulneración del derecho de acceso a la administración de justicia en condiciones de igualdad</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CP </w:t>
      </w:r>
      <w:r w:rsidRPr="004530CF">
        <w:rPr>
          <w:rFonts w:ascii="Times New Roman" w:hAnsi="Times New Roman" w:cs="Times New Roman"/>
          <w:sz w:val="28"/>
          <w:szCs w:val="28"/>
        </w:rPr>
        <w:t>arts. 13 y 229);</w:t>
      </w:r>
      <w:r w:rsidRPr="004530CF">
        <w:rPr>
          <w:rFonts w:ascii="Times New Roman" w:hAnsi="Times New Roman" w:cs="Times New Roman"/>
          <w:sz w:val="28"/>
          <w:szCs w:val="28"/>
        </w:rPr>
        <w:t xml:space="preserve"> (ii) vulneración de los derechos p</w:t>
      </w:r>
      <w:r w:rsidRPr="004530CF">
        <w:rPr>
          <w:rFonts w:ascii="Times New Roman" w:hAnsi="Times New Roman" w:cs="Times New Roman"/>
          <w:sz w:val="28"/>
          <w:szCs w:val="28"/>
        </w:rPr>
        <w:t>olíticos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CADH </w:t>
      </w:r>
      <w:r w:rsidRPr="004530CF">
        <w:rPr>
          <w:rFonts w:ascii="Times New Roman" w:hAnsi="Times New Roman" w:cs="Times New Roman"/>
          <w:sz w:val="28"/>
          <w:szCs w:val="28"/>
        </w:rPr>
        <w:t>ar</w:t>
      </w:r>
      <w:r w:rsidRPr="004530CF">
        <w:rPr>
          <w:rFonts w:ascii="Times New Roman" w:hAnsi="Times New Roman" w:cs="Times New Roman"/>
          <w:sz w:val="28"/>
          <w:szCs w:val="28"/>
        </w:rPr>
        <w:t xml:space="preserve">t. </w:t>
      </w:r>
      <w:r w:rsidRPr="004530CF">
        <w:rPr>
          <w:rFonts w:ascii="Times New Roman" w:hAnsi="Times New Roman" w:cs="Times New Roman"/>
          <w:sz w:val="28"/>
          <w:szCs w:val="28"/>
        </w:rPr>
        <w:t>23.2</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y (iii) vulneración de la garantía de impugnación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CP </w:t>
      </w:r>
      <w:r w:rsidRPr="004530CF">
        <w:rPr>
          <w:rFonts w:ascii="Times New Roman" w:hAnsi="Times New Roman" w:cs="Times New Roman"/>
          <w:sz w:val="28"/>
          <w:szCs w:val="28"/>
        </w:rPr>
        <w:t>arts. 29 y 31</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CADH </w:t>
      </w:r>
      <w:r w:rsidRPr="004530CF">
        <w:rPr>
          <w:rFonts w:ascii="Times New Roman" w:hAnsi="Times New Roman" w:cs="Times New Roman"/>
          <w:sz w:val="28"/>
          <w:szCs w:val="28"/>
        </w:rPr>
        <w:t>art</w:t>
      </w:r>
      <w:r w:rsidRPr="004530CF">
        <w:rPr>
          <w:rFonts w:ascii="Times New Roman" w:hAnsi="Times New Roman" w:cs="Times New Roman"/>
          <w:sz w:val="28"/>
          <w:szCs w:val="28"/>
        </w:rPr>
        <w:t>. 8.2.h</w:t>
      </w:r>
      <w:r w:rsidRPr="004530CF">
        <w:rPr>
          <w:rFonts w:ascii="Times New Roman" w:hAnsi="Times New Roman" w:cs="Times New Roman"/>
          <w:sz w:val="28"/>
          <w:szCs w:val="28"/>
        </w:rPr>
        <w:t xml:space="preserve"> y </w:t>
      </w:r>
      <w:r w:rsidRPr="004530CF">
        <w:rPr>
          <w:rFonts w:ascii="Times New Roman" w:hAnsi="Times New Roman" w:cs="Times New Roman"/>
          <w:sz w:val="28"/>
          <w:szCs w:val="28"/>
        </w:rPr>
        <w:t xml:space="preserve">PIDCP </w:t>
      </w:r>
      <w:r w:rsidRPr="004530CF">
        <w:rPr>
          <w:rFonts w:ascii="Times New Roman" w:hAnsi="Times New Roman" w:cs="Times New Roman"/>
          <w:sz w:val="28"/>
          <w:szCs w:val="28"/>
        </w:rPr>
        <w:t>art. 14.5</w:t>
      </w:r>
      <w:r w:rsidRPr="004530CF">
        <w:rPr>
          <w:rFonts w:ascii="Times New Roman" w:eastAsia="Calibri" w:hAnsi="Times New Roman" w:cs="Times New Roman"/>
          <w:sz w:val="28"/>
          <w:szCs w:val="28"/>
        </w:rPr>
        <w:t>)</w:t>
      </w:r>
      <w:r w:rsidRPr="004530CF">
        <w:rPr>
          <w:rFonts w:ascii="Times New Roman" w:hAnsi="Times New Roman" w:cs="Times New Roman"/>
          <w:sz w:val="28"/>
          <w:szCs w:val="28"/>
        </w:rPr>
        <w:t xml:space="preserve">. </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En el mismo auto, se ordenó (i) comunicar el inicio del proceso al presidente de la República, al presidente del Congreso </w:t>
      </w:r>
      <w:r w:rsidRPr="004530CF">
        <w:rPr>
          <w:rFonts w:ascii="Times New Roman" w:hAnsi="Times New Roman" w:cs="Times New Roman"/>
          <w:sz w:val="28"/>
          <w:szCs w:val="28"/>
        </w:rPr>
        <w:t>de la República, al Ministerio del Interior, y al Ministerio de Justicia y del Derecho; (ii) correr traslado para que el Procurador General de la Nación rind</w:t>
      </w:r>
      <w:r w:rsidRPr="004530CF">
        <w:rPr>
          <w:rFonts w:ascii="Times New Roman" w:hAnsi="Times New Roman" w:cs="Times New Roman"/>
          <w:sz w:val="28"/>
          <w:szCs w:val="28"/>
        </w:rPr>
        <w:t>a</w:t>
      </w:r>
      <w:r w:rsidRPr="004530CF">
        <w:rPr>
          <w:rFonts w:ascii="Times New Roman" w:hAnsi="Times New Roman" w:cs="Times New Roman"/>
          <w:sz w:val="28"/>
          <w:szCs w:val="28"/>
        </w:rPr>
        <w:t xml:space="preserve"> su concepto; y (iii) fijar en lista el proceso. Asimismo, </w:t>
      </w:r>
      <w:r w:rsidRPr="004530CF">
        <w:rPr>
          <w:rFonts w:ascii="Times New Roman" w:hAnsi="Times New Roman" w:cs="Times New Roman"/>
          <w:sz w:val="28"/>
          <w:szCs w:val="28"/>
        </w:rPr>
        <w:t xml:space="preserve">se </w:t>
      </w:r>
      <w:r w:rsidRPr="004530CF">
        <w:rPr>
          <w:rFonts w:ascii="Times New Roman" w:hAnsi="Times New Roman" w:cs="Times New Roman"/>
          <w:sz w:val="28"/>
          <w:szCs w:val="28"/>
        </w:rPr>
        <w:t>invitó a participar a varias entidad</w:t>
      </w:r>
      <w:r w:rsidRPr="004530CF">
        <w:rPr>
          <w:rFonts w:ascii="Times New Roman" w:hAnsi="Times New Roman" w:cs="Times New Roman"/>
          <w:sz w:val="28"/>
          <w:szCs w:val="28"/>
        </w:rPr>
        <w:t>es, organizaciones y universidades.</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En oficio del 21 de agosto de 2025, el Procurador General de la Nación se declaró impedido para rendir concepto por “</w:t>
      </w:r>
      <w:r w:rsidRPr="004530CF">
        <w:rPr>
          <w:rFonts w:ascii="Times New Roman" w:hAnsi="Times New Roman" w:cs="Times New Roman"/>
          <w:i/>
          <w:iCs/>
          <w:sz w:val="28"/>
          <w:szCs w:val="28"/>
        </w:rPr>
        <w:t>haber intervenido durante el trámite legislativo</w:t>
      </w:r>
      <w:r w:rsidRPr="004530CF">
        <w:rPr>
          <w:rFonts w:ascii="Times New Roman" w:hAnsi="Times New Roman" w:cs="Times New Roman"/>
          <w:sz w:val="28"/>
          <w:szCs w:val="28"/>
        </w:rPr>
        <w:t>” de la Ley 2080 de 2021</w:t>
      </w:r>
      <w:r w:rsidRPr="004530CF">
        <w:rPr>
          <w:rStyle w:val="Refdenotaalpie"/>
          <w:rFonts w:ascii="Times New Roman" w:hAnsi="Times New Roman" w:cs="Times New Roman"/>
          <w:sz w:val="28"/>
          <w:szCs w:val="28"/>
        </w:rPr>
        <w:footnoteReference w:id="1"/>
      </w:r>
      <w:r w:rsidRPr="004530CF">
        <w:rPr>
          <w:rFonts w:ascii="Times New Roman" w:hAnsi="Times New Roman" w:cs="Times New Roman"/>
          <w:sz w:val="28"/>
          <w:szCs w:val="28"/>
        </w:rPr>
        <w:t xml:space="preserve">. Señaló </w:t>
      </w:r>
      <w:r w:rsidRPr="004530CF">
        <w:rPr>
          <w:rFonts w:ascii="Times New Roman" w:hAnsi="Times New Roman" w:cs="Times New Roman"/>
          <w:sz w:val="28"/>
          <w:szCs w:val="28"/>
        </w:rPr>
        <w:t>que</w:t>
      </w:r>
      <w:r w:rsidRPr="004530CF">
        <w:rPr>
          <w:rFonts w:ascii="Times New Roman" w:hAnsi="Times New Roman" w:cs="Times New Roman"/>
          <w:sz w:val="28"/>
          <w:szCs w:val="28"/>
        </w:rPr>
        <w:t xml:space="preserve"> dicha ley</w:t>
      </w:r>
      <w:r w:rsidRPr="004530CF">
        <w:rPr>
          <w:rFonts w:ascii="Times New Roman" w:hAnsi="Times New Roman" w:cs="Times New Roman"/>
          <w:sz w:val="28"/>
          <w:szCs w:val="28"/>
        </w:rPr>
        <w:t xml:space="preserve"> modifi</w:t>
      </w:r>
      <w:r w:rsidRPr="004530CF">
        <w:rPr>
          <w:rFonts w:ascii="Times New Roman" w:hAnsi="Times New Roman" w:cs="Times New Roman"/>
          <w:sz w:val="28"/>
          <w:szCs w:val="28"/>
        </w:rPr>
        <w:t xml:space="preserve">có la Ley 1437 de 2011, objeto de esta demanda, </w:t>
      </w:r>
      <w:r w:rsidRPr="004530CF">
        <w:rPr>
          <w:rFonts w:ascii="Times New Roman" w:hAnsi="Times New Roman" w:cs="Times New Roman"/>
          <w:sz w:val="28"/>
          <w:szCs w:val="28"/>
        </w:rPr>
        <w:t>siendo en ese</w:t>
      </w:r>
      <w:r w:rsidRPr="004530CF">
        <w:rPr>
          <w:rFonts w:ascii="Times New Roman" w:hAnsi="Times New Roman" w:cs="Times New Roman"/>
          <w:sz w:val="28"/>
          <w:szCs w:val="28"/>
        </w:rPr>
        <w:t xml:space="preserve"> entonces secretario general del Senado de la República. </w:t>
      </w:r>
      <w:r w:rsidRPr="004530CF">
        <w:rPr>
          <w:rFonts w:ascii="Times New Roman" w:hAnsi="Times New Roman" w:cs="Times New Roman"/>
          <w:sz w:val="28"/>
          <w:szCs w:val="28"/>
        </w:rPr>
        <w:t>En</w:t>
      </w:r>
      <w:r w:rsidRPr="004530CF">
        <w:rPr>
          <w:rFonts w:ascii="Times New Roman" w:hAnsi="Times New Roman" w:cs="Times New Roman"/>
          <w:sz w:val="28"/>
          <w:szCs w:val="28"/>
        </w:rPr>
        <w:t xml:space="preserve"> auto 1726 del 29 de octubre siguiente, se declaró infundado.</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Cumplidos los trámites previstos en el artículo 242 de la Constitución y </w:t>
      </w:r>
      <w:r w:rsidRPr="004530CF">
        <w:rPr>
          <w:rFonts w:ascii="Times New Roman" w:hAnsi="Times New Roman" w:cs="Times New Roman"/>
          <w:sz w:val="28"/>
          <w:szCs w:val="28"/>
        </w:rPr>
        <w:t>en el Decreto Ley 2067 de 1991, procede la Corte a decidir sobre la demanda de la referencia.</w:t>
      </w:r>
    </w:p>
    <w:p w:rsidR="006B5DD1" w:rsidRPr="004530CF" w:rsidRDefault="004530CF" w:rsidP="004C7B30">
      <w:pPr>
        <w:pStyle w:val="Prrafodelista"/>
        <w:tabs>
          <w:tab w:val="left" w:pos="567"/>
        </w:tabs>
        <w:ind w:left="0"/>
        <w:jc w:val="both"/>
        <w:rPr>
          <w:rFonts w:ascii="Times New Roman" w:hAnsi="Times New Roman" w:cs="Times New Roman"/>
          <w:sz w:val="28"/>
          <w:szCs w:val="28"/>
        </w:rPr>
      </w:pPr>
    </w:p>
    <w:p w:rsidR="006B5DD1" w:rsidRPr="004530CF" w:rsidRDefault="004530CF" w:rsidP="004C7B30">
      <w:pPr>
        <w:pStyle w:val="Ttulo2"/>
        <w:numPr>
          <w:ilvl w:val="0"/>
          <w:numId w:val="2"/>
        </w:numPr>
        <w:spacing w:before="0"/>
        <w:ind w:left="1134" w:hanging="567"/>
        <w:jc w:val="both"/>
        <w:rPr>
          <w:rStyle w:val="Ttulo1Car"/>
          <w:rFonts w:ascii="Times New Roman" w:hAnsi="Times New Roman" w:cs="Times New Roman"/>
          <w:b/>
          <w:color w:val="auto"/>
          <w:sz w:val="28"/>
          <w:szCs w:val="28"/>
        </w:rPr>
      </w:pPr>
      <w:r w:rsidRPr="004530CF">
        <w:rPr>
          <w:rStyle w:val="Ttulo1Car"/>
          <w:rFonts w:ascii="Times New Roman" w:hAnsi="Times New Roman" w:cs="Times New Roman"/>
          <w:b/>
          <w:color w:val="auto"/>
          <w:sz w:val="28"/>
          <w:szCs w:val="28"/>
        </w:rPr>
        <w:t>Norma demandada</w:t>
      </w:r>
    </w:p>
    <w:p w:rsidR="006B5DD1" w:rsidRPr="004530CF" w:rsidRDefault="004530CF" w:rsidP="004C7B30">
      <w:pPr>
        <w:pStyle w:val="Prrafodelista"/>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bCs/>
          <w:sz w:val="28"/>
          <w:szCs w:val="28"/>
        </w:rPr>
        <w:t xml:space="preserve">A continuación, se transcribe el contenido de la disposición </w:t>
      </w:r>
      <w:r w:rsidRPr="004530CF">
        <w:rPr>
          <w:rFonts w:ascii="Times New Roman" w:hAnsi="Times New Roman" w:cs="Times New Roman"/>
          <w:bCs/>
          <w:sz w:val="28"/>
          <w:szCs w:val="28"/>
        </w:rPr>
        <w:t xml:space="preserve">parcialmente </w:t>
      </w:r>
      <w:r w:rsidRPr="004530CF">
        <w:rPr>
          <w:rFonts w:ascii="Times New Roman" w:hAnsi="Times New Roman" w:cs="Times New Roman"/>
          <w:bCs/>
          <w:sz w:val="28"/>
          <w:szCs w:val="28"/>
        </w:rPr>
        <w:t xml:space="preserve">acusada, tal y como fue modificada por el artículo 24 de la </w:t>
      </w:r>
      <w:r w:rsidRPr="004530CF">
        <w:rPr>
          <w:rFonts w:ascii="Times New Roman" w:hAnsi="Times New Roman" w:cs="Times New Roman"/>
          <w:bCs/>
          <w:sz w:val="28"/>
          <w:szCs w:val="28"/>
        </w:rPr>
        <w:t>L</w:t>
      </w:r>
      <w:r w:rsidRPr="004530CF">
        <w:rPr>
          <w:rFonts w:ascii="Times New Roman" w:hAnsi="Times New Roman" w:cs="Times New Roman"/>
          <w:bCs/>
          <w:sz w:val="28"/>
          <w:szCs w:val="28"/>
        </w:rPr>
        <w:t xml:space="preserve">ey 2080 de 2021, </w:t>
      </w:r>
      <w:r w:rsidRPr="004530CF">
        <w:rPr>
          <w:rFonts w:ascii="Times New Roman" w:hAnsi="Times New Roman" w:cs="Times New Roman"/>
          <w:bCs/>
          <w:sz w:val="28"/>
          <w:szCs w:val="28"/>
        </w:rPr>
        <w:t xml:space="preserve">según el texto publicado </w:t>
      </w:r>
      <w:r w:rsidRPr="004530CF">
        <w:rPr>
          <w:rFonts w:ascii="Times New Roman" w:hAnsi="Times New Roman" w:cs="Times New Roman"/>
          <w:bCs/>
          <w:sz w:val="28"/>
          <w:szCs w:val="28"/>
        </w:rPr>
        <w:t>en el Diario Oficial No. 51.568 de 2021</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w:t>
      </w:r>
      <w:r w:rsidRPr="004530CF">
        <w:rPr>
          <w:rFonts w:ascii="Times New Roman" w:hAnsi="Times New Roman" w:cs="Times New Roman"/>
          <w:bCs/>
          <w:sz w:val="28"/>
          <w:szCs w:val="28"/>
        </w:rPr>
        <w:t>S</w:t>
      </w:r>
      <w:r w:rsidRPr="004530CF">
        <w:rPr>
          <w:rFonts w:ascii="Times New Roman" w:hAnsi="Times New Roman" w:cs="Times New Roman"/>
          <w:bCs/>
          <w:sz w:val="28"/>
          <w:szCs w:val="28"/>
        </w:rPr>
        <w:t>e subraya el aparte demandado:</w:t>
      </w:r>
    </w:p>
    <w:p w:rsidR="00FC25BB" w:rsidRPr="004530CF" w:rsidRDefault="004530CF" w:rsidP="004C7B30">
      <w:pPr>
        <w:pBdr>
          <w:top w:val="nil"/>
          <w:left w:val="nil"/>
          <w:bottom w:val="nil"/>
          <w:right w:val="nil"/>
          <w:between w:val="nil"/>
        </w:pBdr>
        <w:ind w:right="56"/>
        <w:contextualSpacing/>
        <w:jc w:val="both"/>
        <w:rPr>
          <w:rFonts w:ascii="Times New Roman" w:hAnsi="Times New Roman" w:cs="Times New Roman"/>
          <w:sz w:val="28"/>
          <w:szCs w:val="28"/>
        </w:rPr>
      </w:pPr>
    </w:p>
    <w:p w:rsidR="00FC25BB" w:rsidRPr="004530CF" w:rsidRDefault="004530CF" w:rsidP="004C7B30">
      <w:pPr>
        <w:ind w:left="567" w:right="615"/>
        <w:jc w:val="center"/>
        <w:rPr>
          <w:rFonts w:ascii="Times New Roman" w:hAnsi="Times New Roman" w:cs="Times New Roman"/>
          <w:sz w:val="28"/>
          <w:szCs w:val="24"/>
        </w:rPr>
      </w:pPr>
      <w:r w:rsidRPr="004530CF">
        <w:rPr>
          <w:rFonts w:ascii="Times New Roman" w:hAnsi="Times New Roman" w:cs="Times New Roman"/>
          <w:sz w:val="28"/>
          <w:szCs w:val="24"/>
        </w:rPr>
        <w:t>“</w:t>
      </w:r>
      <w:r w:rsidRPr="004530CF">
        <w:rPr>
          <w:rFonts w:ascii="Times New Roman" w:hAnsi="Times New Roman" w:cs="Times New Roman"/>
          <w:b/>
          <w:bCs/>
          <w:sz w:val="28"/>
          <w:szCs w:val="24"/>
        </w:rPr>
        <w:t>Ley 1437 de 2011”</w:t>
      </w:r>
    </w:p>
    <w:p w:rsidR="00FC25BB" w:rsidRPr="004530CF" w:rsidRDefault="004530CF" w:rsidP="004C7B30">
      <w:pPr>
        <w:ind w:left="567" w:right="615"/>
        <w:jc w:val="center"/>
        <w:rPr>
          <w:rFonts w:ascii="Times New Roman" w:hAnsi="Times New Roman" w:cs="Times New Roman"/>
          <w:sz w:val="28"/>
          <w:szCs w:val="24"/>
        </w:rPr>
      </w:pPr>
    </w:p>
    <w:p w:rsidR="00FC25BB" w:rsidRPr="004530CF" w:rsidRDefault="004530CF" w:rsidP="004C7B30">
      <w:pPr>
        <w:ind w:right="48"/>
        <w:jc w:val="center"/>
        <w:rPr>
          <w:rFonts w:ascii="Times New Roman" w:hAnsi="Times New Roman" w:cs="Times New Roman"/>
          <w:sz w:val="28"/>
          <w:szCs w:val="24"/>
        </w:rPr>
      </w:pPr>
      <w:r w:rsidRPr="004530CF">
        <w:rPr>
          <w:rFonts w:ascii="Times New Roman" w:hAnsi="Times New Roman" w:cs="Times New Roman"/>
          <w:i/>
          <w:iCs/>
          <w:sz w:val="28"/>
          <w:szCs w:val="24"/>
        </w:rPr>
        <w:t>Por la cual se expide el Código de Procedimiento Administrativo y de lo Contencioso Administrativo</w:t>
      </w:r>
    </w:p>
    <w:p w:rsidR="00FC25BB" w:rsidRPr="004530CF" w:rsidRDefault="004530CF" w:rsidP="004C7B30">
      <w:pPr>
        <w:ind w:left="567" w:right="615"/>
        <w:jc w:val="center"/>
        <w:rPr>
          <w:rFonts w:ascii="Times New Roman" w:hAnsi="Times New Roman" w:cs="Times New Roman"/>
          <w:sz w:val="28"/>
          <w:szCs w:val="24"/>
        </w:rPr>
      </w:pPr>
    </w:p>
    <w:p w:rsidR="00FC25BB" w:rsidRPr="004530CF" w:rsidRDefault="004530CF" w:rsidP="004C7B30">
      <w:pPr>
        <w:ind w:left="567" w:right="615"/>
        <w:jc w:val="both"/>
        <w:rPr>
          <w:rFonts w:ascii="Times New Roman" w:hAnsi="Times New Roman" w:cs="Times New Roman"/>
          <w:bCs/>
          <w:i/>
          <w:iCs/>
          <w:sz w:val="28"/>
          <w:szCs w:val="24"/>
        </w:rPr>
      </w:pPr>
      <w:r w:rsidRPr="004530CF">
        <w:rPr>
          <w:rFonts w:ascii="Times New Roman" w:hAnsi="Times New Roman" w:cs="Times New Roman"/>
          <w:bCs/>
          <w:i/>
          <w:iCs/>
          <w:sz w:val="28"/>
          <w:szCs w:val="24"/>
        </w:rPr>
        <w:t xml:space="preserve"> </w:t>
      </w:r>
      <w:r w:rsidRPr="004530CF">
        <w:rPr>
          <w:rFonts w:ascii="Times New Roman" w:hAnsi="Times New Roman" w:cs="Times New Roman"/>
          <w:bCs/>
          <w:i/>
          <w:iCs/>
          <w:sz w:val="28"/>
          <w:szCs w:val="24"/>
        </w:rPr>
        <w:t>(...)</w:t>
      </w:r>
    </w:p>
    <w:p w:rsidR="00FC25BB" w:rsidRPr="004530CF" w:rsidRDefault="004530CF" w:rsidP="004C7B30">
      <w:pPr>
        <w:ind w:left="567" w:right="615"/>
        <w:jc w:val="both"/>
        <w:rPr>
          <w:rFonts w:ascii="Times New Roman" w:hAnsi="Times New Roman" w:cs="Times New Roman"/>
          <w:bCs/>
          <w:i/>
          <w:iCs/>
          <w:sz w:val="28"/>
          <w:szCs w:val="24"/>
          <w:u w:val="single"/>
        </w:rPr>
      </w:pPr>
    </w:p>
    <w:p w:rsidR="00FC25BB" w:rsidRPr="004530CF" w:rsidRDefault="004530CF" w:rsidP="004C7B30">
      <w:pPr>
        <w:ind w:left="567" w:right="615"/>
        <w:jc w:val="both"/>
        <w:rPr>
          <w:rFonts w:ascii="Times New Roman" w:hAnsi="Times New Roman" w:cs="Times New Roman"/>
          <w:bCs/>
          <w:i/>
          <w:iCs/>
          <w:sz w:val="28"/>
          <w:szCs w:val="24"/>
        </w:rPr>
      </w:pPr>
      <w:r w:rsidRPr="004530CF">
        <w:rPr>
          <w:rFonts w:ascii="Times New Roman" w:hAnsi="Times New Roman" w:cs="Times New Roman"/>
          <w:b/>
          <w:i/>
          <w:iCs/>
          <w:sz w:val="28"/>
          <w:szCs w:val="24"/>
        </w:rPr>
        <w:t>A</w:t>
      </w:r>
      <w:r w:rsidRPr="004530CF">
        <w:rPr>
          <w:rFonts w:ascii="Times New Roman" w:hAnsi="Times New Roman" w:cs="Times New Roman"/>
          <w:b/>
          <w:i/>
          <w:iCs/>
          <w:sz w:val="28"/>
          <w:szCs w:val="24"/>
        </w:rPr>
        <w:t>rtículo</w:t>
      </w:r>
      <w:r w:rsidRPr="004530CF">
        <w:rPr>
          <w:rFonts w:ascii="Times New Roman" w:hAnsi="Times New Roman" w:cs="Times New Roman"/>
          <w:b/>
          <w:i/>
          <w:iCs/>
          <w:sz w:val="28"/>
          <w:szCs w:val="24"/>
        </w:rPr>
        <w:t xml:space="preserve"> 149. C</w:t>
      </w:r>
      <w:r w:rsidRPr="004530CF">
        <w:rPr>
          <w:rFonts w:ascii="Times New Roman" w:hAnsi="Times New Roman" w:cs="Times New Roman"/>
          <w:b/>
          <w:i/>
          <w:iCs/>
          <w:sz w:val="28"/>
          <w:szCs w:val="24"/>
        </w:rPr>
        <w:t>ompetencia del Consejo de Estado en única instancia</w:t>
      </w:r>
      <w:r w:rsidRPr="004530CF">
        <w:rPr>
          <w:rFonts w:ascii="Times New Roman" w:hAnsi="Times New Roman" w:cs="Times New Roman"/>
          <w:b/>
          <w:i/>
          <w:iCs/>
          <w:sz w:val="28"/>
          <w:szCs w:val="24"/>
        </w:rPr>
        <w:t>.</w:t>
      </w:r>
      <w:r w:rsidRPr="004530CF">
        <w:rPr>
          <w:rFonts w:ascii="Times New Roman" w:hAnsi="Times New Roman" w:cs="Times New Roman"/>
          <w:bCs/>
          <w:i/>
          <w:iCs/>
          <w:sz w:val="28"/>
          <w:szCs w:val="24"/>
        </w:rPr>
        <w:t xml:space="preserve"> El Consejo de Estado, en Sala Plena de lo Contencioso Administrativo, por intermedio de sus secciones, subsecciones o salas especiales, con arreglo a la distribución de trabajo que el reglamento d</w:t>
      </w:r>
      <w:r w:rsidRPr="004530CF">
        <w:rPr>
          <w:rFonts w:ascii="Times New Roman" w:hAnsi="Times New Roman" w:cs="Times New Roman"/>
          <w:bCs/>
          <w:i/>
          <w:iCs/>
          <w:sz w:val="28"/>
          <w:szCs w:val="24"/>
        </w:rPr>
        <w:t>isponga, conocerá en única</w:t>
      </w:r>
      <w:r w:rsidRPr="004530CF">
        <w:rPr>
          <w:rFonts w:ascii="Times New Roman" w:hAnsi="Times New Roman" w:cs="Times New Roman"/>
          <w:bCs/>
          <w:i/>
          <w:iCs/>
          <w:sz w:val="28"/>
          <w:szCs w:val="24"/>
        </w:rPr>
        <w:t xml:space="preserve"> </w:t>
      </w:r>
      <w:r w:rsidRPr="004530CF">
        <w:rPr>
          <w:rFonts w:ascii="Times New Roman" w:hAnsi="Times New Roman" w:cs="Times New Roman"/>
          <w:bCs/>
          <w:i/>
          <w:iCs/>
          <w:sz w:val="28"/>
          <w:szCs w:val="24"/>
        </w:rPr>
        <w:t xml:space="preserve">instancia de los siguientes asuntos: </w:t>
      </w:r>
    </w:p>
    <w:p w:rsidR="00FC25BB" w:rsidRPr="004530CF" w:rsidRDefault="004530CF" w:rsidP="004C7B30">
      <w:pPr>
        <w:ind w:left="567" w:right="615"/>
        <w:jc w:val="both"/>
        <w:rPr>
          <w:rFonts w:ascii="Times New Roman" w:hAnsi="Times New Roman" w:cs="Times New Roman"/>
          <w:bCs/>
          <w:i/>
          <w:iCs/>
          <w:sz w:val="28"/>
          <w:szCs w:val="24"/>
        </w:rPr>
      </w:pPr>
    </w:p>
    <w:p w:rsidR="00FC25BB" w:rsidRPr="004530CF" w:rsidRDefault="004530CF" w:rsidP="004C7B30">
      <w:pPr>
        <w:ind w:left="567" w:right="615"/>
        <w:jc w:val="both"/>
        <w:rPr>
          <w:rFonts w:ascii="Times New Roman" w:hAnsi="Times New Roman" w:cs="Times New Roman"/>
          <w:bCs/>
          <w:i/>
          <w:iCs/>
          <w:sz w:val="28"/>
          <w:szCs w:val="24"/>
        </w:rPr>
      </w:pPr>
      <w:r w:rsidRPr="004530CF">
        <w:rPr>
          <w:rFonts w:ascii="Times New Roman" w:hAnsi="Times New Roman" w:cs="Times New Roman"/>
          <w:bCs/>
          <w:i/>
          <w:iCs/>
          <w:sz w:val="28"/>
          <w:szCs w:val="24"/>
        </w:rPr>
        <w:t xml:space="preserve">1. De la nulidad de los actos administrativos expedidos por las autoridades del orden nacional, o por las personas o entidades de derecho privado que cumplan funciones administrativas en el </w:t>
      </w:r>
      <w:r w:rsidRPr="004530CF">
        <w:rPr>
          <w:rFonts w:ascii="Times New Roman" w:hAnsi="Times New Roman" w:cs="Times New Roman"/>
          <w:bCs/>
          <w:i/>
          <w:iCs/>
          <w:sz w:val="28"/>
          <w:szCs w:val="24"/>
        </w:rPr>
        <w:t>mismo orden, salvo que se trate de actos de certificación o registro, respecto de los cuales la competencia está radicada en los tribunales administrativos.</w:t>
      </w:r>
    </w:p>
    <w:p w:rsidR="00FC25BB" w:rsidRPr="004530CF" w:rsidRDefault="004530CF" w:rsidP="004C7B30">
      <w:pPr>
        <w:ind w:left="567" w:right="615"/>
        <w:jc w:val="both"/>
        <w:rPr>
          <w:rFonts w:ascii="Times New Roman" w:hAnsi="Times New Roman" w:cs="Times New Roman"/>
          <w:bCs/>
          <w:i/>
          <w:iCs/>
          <w:sz w:val="28"/>
          <w:szCs w:val="24"/>
        </w:rPr>
      </w:pPr>
    </w:p>
    <w:p w:rsidR="00FC25BB" w:rsidRPr="004530CF" w:rsidRDefault="004530CF" w:rsidP="004C7B30">
      <w:pPr>
        <w:ind w:left="567" w:right="615"/>
        <w:jc w:val="both"/>
        <w:rPr>
          <w:rFonts w:ascii="Times New Roman" w:hAnsi="Times New Roman" w:cs="Times New Roman"/>
          <w:bCs/>
          <w:i/>
          <w:iCs/>
          <w:sz w:val="28"/>
          <w:szCs w:val="24"/>
        </w:rPr>
      </w:pPr>
      <w:r w:rsidRPr="004530CF">
        <w:rPr>
          <w:rFonts w:ascii="Times New Roman" w:hAnsi="Times New Roman" w:cs="Times New Roman"/>
          <w:bCs/>
          <w:i/>
          <w:iCs/>
          <w:sz w:val="28"/>
          <w:szCs w:val="24"/>
        </w:rPr>
        <w:t>2. De la nulidad del acto electoral que declare los resultados del referendo, el plebiscito y la c</w:t>
      </w:r>
      <w:r w:rsidRPr="004530CF">
        <w:rPr>
          <w:rFonts w:ascii="Times New Roman" w:hAnsi="Times New Roman" w:cs="Times New Roman"/>
          <w:bCs/>
          <w:i/>
          <w:iCs/>
          <w:sz w:val="28"/>
          <w:szCs w:val="24"/>
        </w:rPr>
        <w:t>onsulta popular del orden nacional.</w:t>
      </w:r>
    </w:p>
    <w:p w:rsidR="00FC25BB" w:rsidRPr="004530CF" w:rsidRDefault="004530CF" w:rsidP="004C7B30">
      <w:pPr>
        <w:ind w:left="567" w:right="615"/>
        <w:jc w:val="both"/>
        <w:rPr>
          <w:rFonts w:ascii="Times New Roman" w:hAnsi="Times New Roman" w:cs="Times New Roman"/>
          <w:bCs/>
          <w:i/>
          <w:iCs/>
          <w:sz w:val="28"/>
          <w:szCs w:val="24"/>
        </w:rPr>
      </w:pPr>
    </w:p>
    <w:p w:rsidR="00FC25BB" w:rsidRPr="004530CF" w:rsidRDefault="004530CF" w:rsidP="004C7B30">
      <w:pPr>
        <w:ind w:left="567" w:right="615"/>
        <w:jc w:val="both"/>
        <w:rPr>
          <w:rFonts w:ascii="Times New Roman" w:hAnsi="Times New Roman" w:cs="Times New Roman"/>
          <w:bCs/>
          <w:i/>
          <w:iCs/>
          <w:sz w:val="28"/>
          <w:szCs w:val="24"/>
        </w:rPr>
      </w:pPr>
      <w:r w:rsidRPr="004530CF">
        <w:rPr>
          <w:rFonts w:ascii="Times New Roman" w:hAnsi="Times New Roman" w:cs="Times New Roman"/>
          <w:bCs/>
          <w:i/>
          <w:iCs/>
          <w:sz w:val="28"/>
          <w:szCs w:val="24"/>
        </w:rPr>
        <w:t xml:space="preserve">3. De la nulidad del acto de elección o llamamiento a ocupar la curul, según el caso, </w:t>
      </w:r>
      <w:r w:rsidRPr="004530CF">
        <w:rPr>
          <w:rFonts w:ascii="Times New Roman" w:hAnsi="Times New Roman" w:cs="Times New Roman"/>
          <w:b/>
          <w:i/>
          <w:iCs/>
          <w:sz w:val="28"/>
          <w:szCs w:val="24"/>
          <w:u w:val="single"/>
        </w:rPr>
        <w:t>del presidente y el vicepresidente de la República, de los Senadores, de los representantes a la Cámara, de los representantes al Par</w:t>
      </w:r>
      <w:r w:rsidRPr="004530CF">
        <w:rPr>
          <w:rFonts w:ascii="Times New Roman" w:hAnsi="Times New Roman" w:cs="Times New Roman"/>
          <w:b/>
          <w:i/>
          <w:iCs/>
          <w:sz w:val="28"/>
          <w:szCs w:val="24"/>
          <w:u w:val="single"/>
        </w:rPr>
        <w:t>lamento Andino, de los gobernadores, del alcalde Mayor de Bogotá</w:t>
      </w:r>
      <w:r w:rsidRPr="004530CF">
        <w:rPr>
          <w:rFonts w:ascii="Times New Roman" w:hAnsi="Times New Roman" w:cs="Times New Roman"/>
          <w:bCs/>
          <w:i/>
          <w:iCs/>
          <w:sz w:val="28"/>
          <w:szCs w:val="24"/>
        </w:rPr>
        <w:t>, de los miembros de la junta directiva o consejo directivo de las entidades públicas del orden nacional, de los entes autónomos del orden nacional y de las comisiones de regulación. Se except</w:t>
      </w:r>
      <w:r w:rsidRPr="004530CF">
        <w:rPr>
          <w:rFonts w:ascii="Times New Roman" w:hAnsi="Times New Roman" w:cs="Times New Roman"/>
          <w:bCs/>
          <w:i/>
          <w:iCs/>
          <w:sz w:val="28"/>
          <w:szCs w:val="24"/>
        </w:rPr>
        <w:t>úan aquellos regulados en el numeral 7, literal a), del artículo 152 de esta ley.</w:t>
      </w:r>
    </w:p>
    <w:p w:rsidR="00FC25BB" w:rsidRPr="004530CF" w:rsidRDefault="004530CF" w:rsidP="004C7B30">
      <w:pPr>
        <w:ind w:left="567" w:right="615"/>
        <w:jc w:val="both"/>
        <w:rPr>
          <w:rFonts w:ascii="Times New Roman" w:hAnsi="Times New Roman" w:cs="Times New Roman"/>
          <w:bCs/>
          <w:i/>
          <w:iCs/>
          <w:sz w:val="28"/>
          <w:szCs w:val="24"/>
        </w:rPr>
      </w:pPr>
    </w:p>
    <w:p w:rsidR="00FC25BB" w:rsidRPr="004530CF" w:rsidRDefault="004530CF" w:rsidP="004C7B30">
      <w:pPr>
        <w:ind w:left="567" w:right="615"/>
        <w:jc w:val="both"/>
        <w:rPr>
          <w:rFonts w:ascii="Times New Roman" w:hAnsi="Times New Roman" w:cs="Times New Roman"/>
          <w:bCs/>
          <w:i/>
          <w:iCs/>
          <w:sz w:val="28"/>
          <w:szCs w:val="24"/>
        </w:rPr>
      </w:pPr>
      <w:r w:rsidRPr="004530CF">
        <w:rPr>
          <w:rFonts w:ascii="Times New Roman" w:hAnsi="Times New Roman" w:cs="Times New Roman"/>
          <w:bCs/>
          <w:i/>
          <w:iCs/>
          <w:sz w:val="28"/>
          <w:szCs w:val="24"/>
        </w:rPr>
        <w:t xml:space="preserve">4. De la nulidad de los actos de elección expedidos por el Congreso de la República, sus Cámaras y sus comisiones, la Corte Suprema de Justicia, la Corte Constitucional, el </w:t>
      </w:r>
      <w:r w:rsidRPr="004530CF">
        <w:rPr>
          <w:rFonts w:ascii="Times New Roman" w:hAnsi="Times New Roman" w:cs="Times New Roman"/>
          <w:bCs/>
          <w:i/>
          <w:iCs/>
          <w:sz w:val="28"/>
          <w:szCs w:val="24"/>
        </w:rPr>
        <w:t>Consejo Superior de la Judicatura, la junta directiva o consejo directivo de los entes autónomos del orden nacional y las comisiones de regulación. Igualmente, de la nulidad del acto de nombramiento del Viceprocurador General de la Nación, del Vicecontralo</w:t>
      </w:r>
      <w:r w:rsidRPr="004530CF">
        <w:rPr>
          <w:rFonts w:ascii="Times New Roman" w:hAnsi="Times New Roman" w:cs="Times New Roman"/>
          <w:bCs/>
          <w:i/>
          <w:iCs/>
          <w:sz w:val="28"/>
          <w:szCs w:val="24"/>
        </w:rPr>
        <w:t>r General de la República, del Vicefiscal General de la Nación y del Vicedefensor del Pueblo.</w:t>
      </w:r>
    </w:p>
    <w:p w:rsidR="00FC25BB" w:rsidRPr="004530CF" w:rsidRDefault="004530CF" w:rsidP="004C7B30">
      <w:pPr>
        <w:ind w:left="567" w:right="615"/>
        <w:jc w:val="both"/>
        <w:rPr>
          <w:rFonts w:ascii="Times New Roman" w:hAnsi="Times New Roman" w:cs="Times New Roman"/>
          <w:bCs/>
          <w:i/>
          <w:iCs/>
          <w:sz w:val="28"/>
          <w:szCs w:val="24"/>
        </w:rPr>
      </w:pPr>
    </w:p>
    <w:p w:rsidR="00FC25BB" w:rsidRPr="004530CF" w:rsidRDefault="004530CF" w:rsidP="004C7B30">
      <w:pPr>
        <w:ind w:left="567" w:right="615"/>
        <w:jc w:val="both"/>
        <w:rPr>
          <w:rFonts w:ascii="Times New Roman" w:hAnsi="Times New Roman" w:cs="Times New Roman"/>
          <w:bCs/>
          <w:i/>
          <w:iCs/>
          <w:sz w:val="28"/>
          <w:szCs w:val="24"/>
        </w:rPr>
      </w:pPr>
      <w:r w:rsidRPr="004530CF">
        <w:rPr>
          <w:rFonts w:ascii="Times New Roman" w:hAnsi="Times New Roman" w:cs="Times New Roman"/>
          <w:bCs/>
          <w:i/>
          <w:iCs/>
          <w:sz w:val="28"/>
          <w:szCs w:val="24"/>
        </w:rPr>
        <w:t>5. De la nulidad de los actos de nombramiento de los representantes legales de las entidades públicas del orden nacional</w:t>
      </w:r>
      <w:r w:rsidRPr="004530CF">
        <w:rPr>
          <w:rFonts w:ascii="Times New Roman" w:hAnsi="Times New Roman" w:cs="Times New Roman"/>
          <w:bCs/>
          <w:i/>
          <w:iCs/>
          <w:sz w:val="28"/>
          <w:szCs w:val="24"/>
        </w:rPr>
        <w:t xml:space="preserve"> </w:t>
      </w:r>
      <w:r w:rsidRPr="004530CF">
        <w:rPr>
          <w:rFonts w:ascii="Times New Roman" w:hAnsi="Times New Roman" w:cs="Times New Roman"/>
          <w:bCs/>
          <w:iCs/>
          <w:sz w:val="28"/>
          <w:szCs w:val="24"/>
        </w:rPr>
        <w:t>(…)</w:t>
      </w:r>
      <w:r w:rsidRPr="004530CF">
        <w:rPr>
          <w:rFonts w:ascii="Times New Roman" w:hAnsi="Times New Roman" w:cs="Times New Roman"/>
          <w:bCs/>
          <w:i/>
          <w:iCs/>
          <w:sz w:val="28"/>
          <w:szCs w:val="24"/>
        </w:rPr>
        <w:t>”.</w:t>
      </w:r>
    </w:p>
    <w:p w:rsidR="00FC25BB" w:rsidRPr="004530CF" w:rsidRDefault="004530CF" w:rsidP="004C7B30">
      <w:pPr>
        <w:ind w:right="615"/>
        <w:jc w:val="both"/>
        <w:rPr>
          <w:rFonts w:ascii="Times New Roman" w:hAnsi="Times New Roman" w:cs="Times New Roman"/>
          <w:bCs/>
          <w:sz w:val="28"/>
        </w:rPr>
      </w:pPr>
    </w:p>
    <w:p w:rsidR="00FC25BB" w:rsidRPr="004530CF" w:rsidRDefault="004530CF" w:rsidP="004C7B30">
      <w:pPr>
        <w:pStyle w:val="Ttulo2"/>
        <w:numPr>
          <w:ilvl w:val="0"/>
          <w:numId w:val="2"/>
        </w:numPr>
        <w:spacing w:before="0"/>
        <w:ind w:left="1134" w:hanging="567"/>
        <w:jc w:val="both"/>
        <w:rPr>
          <w:rFonts w:ascii="Times New Roman" w:eastAsia="Cambria" w:hAnsi="Times New Roman" w:cs="Times New Roman"/>
          <w:b w:val="0"/>
          <w:color w:val="auto"/>
        </w:rPr>
      </w:pPr>
      <w:r w:rsidRPr="004530CF">
        <w:rPr>
          <w:rStyle w:val="Ttulo1Car"/>
          <w:rFonts w:ascii="Times New Roman" w:hAnsi="Times New Roman" w:cs="Times New Roman"/>
          <w:b/>
          <w:color w:val="auto"/>
          <w:sz w:val="28"/>
          <w:szCs w:val="28"/>
        </w:rPr>
        <w:t>Argumentos de la demanda</w:t>
      </w:r>
    </w:p>
    <w:p w:rsidR="00FC25BB" w:rsidRPr="004530CF" w:rsidRDefault="004530CF" w:rsidP="004C7B30">
      <w:pPr>
        <w:pStyle w:val="Prrafodelista"/>
        <w:tabs>
          <w:tab w:val="left" w:pos="567"/>
        </w:tabs>
        <w:ind w:left="0"/>
        <w:jc w:val="both"/>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eastAsia="Cambria" w:hAnsi="Times New Roman" w:cs="Times New Roman"/>
          <w:sz w:val="28"/>
          <w:szCs w:val="28"/>
        </w:rPr>
      </w:pPr>
      <w:r w:rsidRPr="004530CF">
        <w:rPr>
          <w:rStyle w:val="Ttulo1Car"/>
          <w:rFonts w:ascii="Times New Roman" w:hAnsi="Times New Roman" w:cs="Times New Roman"/>
          <w:b w:val="0"/>
          <w:sz w:val="28"/>
          <w:szCs w:val="28"/>
        </w:rPr>
        <w:t xml:space="preserve">La </w:t>
      </w:r>
      <w:r w:rsidRPr="004530CF">
        <w:rPr>
          <w:rStyle w:val="Ttulo1Car"/>
          <w:rFonts w:ascii="Times New Roman" w:hAnsi="Times New Roman" w:cs="Times New Roman"/>
          <w:b w:val="0"/>
          <w:sz w:val="28"/>
          <w:szCs w:val="28"/>
        </w:rPr>
        <w:t>demanda en contra del</w:t>
      </w:r>
      <w:r w:rsidRPr="004530CF">
        <w:rPr>
          <w:rFonts w:ascii="Times New Roman" w:hAnsi="Times New Roman" w:cs="Times New Roman"/>
          <w:sz w:val="28"/>
          <w:szCs w:val="28"/>
          <w:lang w:eastAsia="es-ES"/>
        </w:rPr>
        <w:t xml:space="preserve"> artículo 149 (parcial) de la Ley 1437 de 2011, se admitió por </w:t>
      </w:r>
      <w:r w:rsidRPr="004530CF">
        <w:rPr>
          <w:rFonts w:ascii="Times New Roman" w:hAnsi="Times New Roman" w:cs="Times New Roman"/>
          <w:sz w:val="28"/>
          <w:szCs w:val="28"/>
          <w:lang w:eastAsia="es-ES"/>
        </w:rPr>
        <w:t xml:space="preserve">tres cargos: </w:t>
      </w:r>
      <w:r w:rsidRPr="004530CF">
        <w:rPr>
          <w:rFonts w:ascii="Times New Roman" w:hAnsi="Times New Roman" w:cs="Times New Roman"/>
          <w:sz w:val="28"/>
          <w:szCs w:val="28"/>
        </w:rPr>
        <w:t xml:space="preserve">(i) vulneración del derecho de acceso a la administración de justicia en condiciones de igualdad </w:t>
      </w:r>
      <w:r w:rsidRPr="004530CF">
        <w:rPr>
          <w:rFonts w:ascii="Times New Roman" w:hAnsi="Times New Roman" w:cs="Times New Roman"/>
          <w:sz w:val="28"/>
          <w:szCs w:val="28"/>
          <w:lang w:eastAsia="es-ES"/>
        </w:rPr>
        <w:t>(</w:t>
      </w:r>
      <w:r w:rsidRPr="004530CF">
        <w:rPr>
          <w:rFonts w:ascii="Times New Roman" w:hAnsi="Times New Roman" w:cs="Times New Roman"/>
          <w:sz w:val="28"/>
          <w:szCs w:val="28"/>
          <w:lang w:eastAsia="es-ES"/>
        </w:rPr>
        <w:t xml:space="preserve">CP </w:t>
      </w:r>
      <w:r w:rsidRPr="004530CF">
        <w:rPr>
          <w:rFonts w:ascii="Times New Roman" w:hAnsi="Times New Roman" w:cs="Times New Roman"/>
          <w:sz w:val="28"/>
          <w:szCs w:val="28"/>
          <w:lang w:eastAsia="es-ES"/>
        </w:rPr>
        <w:t>art</w:t>
      </w:r>
      <w:r w:rsidRPr="004530CF">
        <w:rPr>
          <w:rFonts w:ascii="Times New Roman" w:hAnsi="Times New Roman" w:cs="Times New Roman"/>
          <w:sz w:val="28"/>
          <w:szCs w:val="28"/>
          <w:lang w:eastAsia="es-ES"/>
        </w:rPr>
        <w:t>s.</w:t>
      </w:r>
      <w:r w:rsidRPr="004530CF">
        <w:rPr>
          <w:rFonts w:ascii="Times New Roman" w:hAnsi="Times New Roman" w:cs="Times New Roman"/>
          <w:sz w:val="28"/>
          <w:szCs w:val="28"/>
          <w:lang w:eastAsia="es-ES"/>
        </w:rPr>
        <w:t xml:space="preserve"> 13 y 229)</w:t>
      </w:r>
      <w:r w:rsidRPr="004530CF">
        <w:rPr>
          <w:rFonts w:ascii="Times New Roman" w:hAnsi="Times New Roman" w:cs="Times New Roman"/>
          <w:sz w:val="28"/>
          <w:szCs w:val="28"/>
        </w:rPr>
        <w:t>; (ii) vulneración de los derechos político</w:t>
      </w:r>
      <w:r w:rsidRPr="004530CF">
        <w:rPr>
          <w:rFonts w:ascii="Times New Roman" w:hAnsi="Times New Roman" w:cs="Times New Roman"/>
          <w:sz w:val="28"/>
          <w:szCs w:val="28"/>
        </w:rPr>
        <w:t>s (</w:t>
      </w:r>
      <w:r w:rsidRPr="004530CF">
        <w:rPr>
          <w:rFonts w:ascii="Times New Roman" w:hAnsi="Times New Roman" w:cs="Times New Roman"/>
          <w:sz w:val="28"/>
          <w:szCs w:val="28"/>
        </w:rPr>
        <w:t xml:space="preserve">CADH </w:t>
      </w:r>
      <w:r w:rsidRPr="004530CF">
        <w:rPr>
          <w:rFonts w:ascii="Times New Roman" w:hAnsi="Times New Roman" w:cs="Times New Roman"/>
          <w:sz w:val="28"/>
          <w:szCs w:val="28"/>
        </w:rPr>
        <w:t>art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23.2); y (iii) vulneración de la garantía de impugnación</w:t>
      </w:r>
      <w:r w:rsidRPr="004530CF">
        <w:rPr>
          <w:rFonts w:ascii="Times New Roman" w:hAnsi="Times New Roman" w:cs="Times New Roman"/>
          <w:sz w:val="28"/>
          <w:szCs w:val="28"/>
          <w:lang w:eastAsia="es-ES"/>
        </w:rPr>
        <w:t xml:space="preserve"> </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CP </w:t>
      </w:r>
      <w:r w:rsidRPr="004530CF">
        <w:rPr>
          <w:rFonts w:ascii="Times New Roman" w:hAnsi="Times New Roman" w:cs="Times New Roman"/>
          <w:sz w:val="28"/>
          <w:szCs w:val="28"/>
        </w:rPr>
        <w:t>art</w:t>
      </w:r>
      <w:r w:rsidRPr="004530CF">
        <w:rPr>
          <w:rFonts w:ascii="Times New Roman" w:hAnsi="Times New Roman" w:cs="Times New Roman"/>
          <w:sz w:val="28"/>
          <w:szCs w:val="28"/>
        </w:rPr>
        <w:t>s.</w:t>
      </w:r>
      <w:r w:rsidRPr="004530CF">
        <w:rPr>
          <w:rFonts w:ascii="Times New Roman" w:hAnsi="Times New Roman" w:cs="Times New Roman"/>
          <w:sz w:val="28"/>
          <w:szCs w:val="28"/>
        </w:rPr>
        <w:t xml:space="preserve"> 29 y 31</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CADH </w:t>
      </w:r>
      <w:r w:rsidRPr="004530CF">
        <w:rPr>
          <w:rFonts w:ascii="Times New Roman" w:hAnsi="Times New Roman" w:cs="Times New Roman"/>
          <w:sz w:val="28"/>
          <w:szCs w:val="28"/>
        </w:rPr>
        <w:t>art. 8.2.h</w:t>
      </w:r>
      <w:r w:rsidRPr="004530CF">
        <w:rPr>
          <w:rFonts w:ascii="Times New Roman" w:hAnsi="Times New Roman" w:cs="Times New Roman"/>
          <w:sz w:val="28"/>
          <w:szCs w:val="28"/>
        </w:rPr>
        <w:t xml:space="preserve"> y </w:t>
      </w:r>
      <w:r w:rsidRPr="004530CF">
        <w:rPr>
          <w:rFonts w:ascii="Times New Roman" w:hAnsi="Times New Roman" w:cs="Times New Roman"/>
          <w:sz w:val="28"/>
          <w:szCs w:val="28"/>
        </w:rPr>
        <w:t xml:space="preserve">PIDCP </w:t>
      </w:r>
      <w:r w:rsidRPr="004530CF">
        <w:rPr>
          <w:rFonts w:ascii="Times New Roman" w:hAnsi="Times New Roman" w:cs="Times New Roman"/>
          <w:sz w:val="28"/>
          <w:szCs w:val="28"/>
        </w:rPr>
        <w:t>ar</w:t>
      </w:r>
      <w:r w:rsidRPr="004530CF">
        <w:rPr>
          <w:rFonts w:ascii="Times New Roman" w:hAnsi="Times New Roman" w:cs="Times New Roman"/>
          <w:sz w:val="28"/>
          <w:szCs w:val="28"/>
        </w:rPr>
        <w:t>t.</w:t>
      </w:r>
      <w:r w:rsidRPr="004530CF">
        <w:rPr>
          <w:rFonts w:ascii="Times New Roman" w:hAnsi="Times New Roman" w:cs="Times New Roman"/>
          <w:sz w:val="28"/>
          <w:szCs w:val="28"/>
        </w:rPr>
        <w:t xml:space="preserve"> 14.5).</w:t>
      </w:r>
    </w:p>
    <w:p w:rsidR="006B5DD1" w:rsidRPr="004530CF" w:rsidRDefault="004530CF" w:rsidP="004C7B30">
      <w:pPr>
        <w:pStyle w:val="Prrafodelista"/>
        <w:tabs>
          <w:tab w:val="left" w:pos="567"/>
        </w:tabs>
        <w:ind w:left="0"/>
        <w:jc w:val="both"/>
        <w:rPr>
          <w:rFonts w:ascii="Times New Roman" w:eastAsia="Cambria" w:hAnsi="Times New Roman" w:cs="Times New Roman"/>
          <w:sz w:val="28"/>
          <w:szCs w:val="28"/>
        </w:rPr>
      </w:pPr>
    </w:p>
    <w:p w:rsidR="00E82E9D" w:rsidRPr="004530CF" w:rsidRDefault="004530CF" w:rsidP="004C7B30">
      <w:pPr>
        <w:pStyle w:val="Prrafodelista"/>
        <w:numPr>
          <w:ilvl w:val="0"/>
          <w:numId w:val="3"/>
        </w:numPr>
        <w:tabs>
          <w:tab w:val="left" w:pos="567"/>
        </w:tabs>
        <w:ind w:left="0" w:firstLine="0"/>
        <w:jc w:val="both"/>
        <w:rPr>
          <w:rFonts w:ascii="Times New Roman" w:eastAsia="Cambria" w:hAnsi="Times New Roman" w:cs="Times New Roman"/>
          <w:sz w:val="28"/>
          <w:szCs w:val="28"/>
        </w:rPr>
      </w:pPr>
      <w:r w:rsidRPr="004530CF">
        <w:rPr>
          <w:rFonts w:ascii="Times New Roman" w:eastAsia="Cambria" w:hAnsi="Times New Roman" w:cs="Times New Roman"/>
          <w:b/>
          <w:sz w:val="28"/>
          <w:szCs w:val="28"/>
        </w:rPr>
        <w:t xml:space="preserve">Primer cargo. </w:t>
      </w:r>
      <w:r w:rsidRPr="004530CF">
        <w:rPr>
          <w:rFonts w:ascii="Times New Roman" w:eastAsia="Cambria" w:hAnsi="Times New Roman" w:cs="Times New Roman"/>
          <w:sz w:val="28"/>
          <w:szCs w:val="28"/>
        </w:rPr>
        <w:t>Según indica el demandante</w:t>
      </w:r>
      <w:r w:rsidRPr="004530CF">
        <w:rPr>
          <w:rFonts w:ascii="Times New Roman" w:eastAsia="Cambria" w:hAnsi="Times New Roman" w:cs="Times New Roman"/>
          <w:sz w:val="28"/>
          <w:szCs w:val="28"/>
        </w:rPr>
        <w:t>,</w:t>
      </w:r>
      <w:r w:rsidRPr="004530CF">
        <w:rPr>
          <w:rFonts w:ascii="Times New Roman" w:eastAsia="Cambria" w:hAnsi="Times New Roman" w:cs="Times New Roman"/>
          <w:sz w:val="28"/>
          <w:szCs w:val="28"/>
        </w:rPr>
        <w:t xml:space="preserve"> la regulación acusada desconoce los artículos 13 y 229 del Texto Superior</w:t>
      </w:r>
      <w:r w:rsidRPr="004530CF">
        <w:rPr>
          <w:rFonts w:ascii="Times New Roman" w:eastAsia="Cambria" w:hAnsi="Times New Roman" w:cs="Times New Roman"/>
          <w:sz w:val="28"/>
          <w:szCs w:val="28"/>
        </w:rPr>
        <w:t>,</w:t>
      </w:r>
      <w:r w:rsidRPr="004530CF">
        <w:rPr>
          <w:rFonts w:ascii="Times New Roman" w:eastAsia="Cambria" w:hAnsi="Times New Roman" w:cs="Times New Roman"/>
          <w:sz w:val="28"/>
          <w:szCs w:val="28"/>
        </w:rPr>
        <w:t xml:space="preserve"> en los que se establecen los derechos a la igualdad y al acceso a la administración de justicia. En es</w:t>
      </w:r>
      <w:r w:rsidRPr="004530CF">
        <w:rPr>
          <w:rFonts w:ascii="Times New Roman" w:eastAsia="Cambria" w:hAnsi="Times New Roman" w:cs="Times New Roman"/>
          <w:sz w:val="28"/>
          <w:szCs w:val="28"/>
        </w:rPr>
        <w:t>t</w:t>
      </w:r>
      <w:r w:rsidRPr="004530CF">
        <w:rPr>
          <w:rFonts w:ascii="Times New Roman" w:eastAsia="Cambria" w:hAnsi="Times New Roman" w:cs="Times New Roman"/>
          <w:sz w:val="28"/>
          <w:szCs w:val="28"/>
        </w:rPr>
        <w:t xml:space="preserve">e sentido, señaló que </w:t>
      </w:r>
      <w:r w:rsidRPr="004530CF">
        <w:rPr>
          <w:rFonts w:ascii="Times New Roman" w:eastAsia="Cambria" w:hAnsi="Times New Roman" w:cs="Times New Roman"/>
          <w:sz w:val="28"/>
          <w:szCs w:val="28"/>
        </w:rPr>
        <w:t xml:space="preserve">se vulneran las citadas garantías, en </w:t>
      </w:r>
      <w:r w:rsidRPr="004530CF">
        <w:rPr>
          <w:rFonts w:ascii="Times New Roman" w:eastAsia="Cambria" w:hAnsi="Times New Roman" w:cs="Times New Roman"/>
          <w:sz w:val="28"/>
          <w:szCs w:val="28"/>
        </w:rPr>
        <w:t xml:space="preserve">la </w:t>
      </w:r>
      <w:r w:rsidRPr="004530CF">
        <w:rPr>
          <w:rFonts w:ascii="Times New Roman" w:eastAsia="Cambria" w:hAnsi="Times New Roman" w:cs="Times New Roman"/>
          <w:sz w:val="28"/>
          <w:szCs w:val="28"/>
        </w:rPr>
        <w:t xml:space="preserve">medida </w:t>
      </w:r>
      <w:r w:rsidRPr="004530CF">
        <w:rPr>
          <w:rFonts w:ascii="Times New Roman" w:eastAsia="Cambria" w:hAnsi="Times New Roman" w:cs="Times New Roman"/>
          <w:sz w:val="28"/>
          <w:szCs w:val="28"/>
        </w:rPr>
        <w:t xml:space="preserve">que </w:t>
      </w:r>
      <w:r w:rsidRPr="004530CF">
        <w:rPr>
          <w:rFonts w:ascii="Times New Roman" w:eastAsia="Cambria" w:hAnsi="Times New Roman" w:cs="Times New Roman"/>
          <w:iCs/>
          <w:sz w:val="28"/>
          <w:szCs w:val="28"/>
        </w:rPr>
        <w:t>se</w:t>
      </w:r>
      <w:r w:rsidRPr="004530CF">
        <w:rPr>
          <w:rFonts w:ascii="Times New Roman" w:eastAsia="Cambria" w:hAnsi="Times New Roman" w:cs="Times New Roman"/>
          <w:iCs/>
          <w:sz w:val="28"/>
          <w:szCs w:val="28"/>
        </w:rPr>
        <w:t xml:space="preserve"> establecen</w:t>
      </w:r>
      <w:r w:rsidRPr="004530CF">
        <w:rPr>
          <w:rFonts w:ascii="Times New Roman" w:eastAsia="Cambria" w:hAnsi="Times New Roman" w:cs="Times New Roman"/>
          <w:i/>
          <w:iCs/>
          <w:sz w:val="28"/>
          <w:szCs w:val="28"/>
        </w:rPr>
        <w:t xml:space="preserve"> </w:t>
      </w:r>
      <w:r w:rsidRPr="004530CF">
        <w:rPr>
          <w:rFonts w:ascii="Times New Roman" w:eastAsia="Cambria" w:hAnsi="Times New Roman" w:cs="Times New Roman"/>
          <w:iCs/>
          <w:sz w:val="28"/>
          <w:szCs w:val="28"/>
        </w:rPr>
        <w:t>“</w:t>
      </w:r>
      <w:r w:rsidRPr="004530CF">
        <w:rPr>
          <w:rFonts w:ascii="Times New Roman" w:eastAsia="Cambria" w:hAnsi="Times New Roman" w:cs="Times New Roman"/>
          <w:i/>
          <w:iCs/>
          <w:sz w:val="28"/>
          <w:szCs w:val="28"/>
        </w:rPr>
        <w:t>procesos de única instancia</w:t>
      </w:r>
      <w:r w:rsidRPr="004530CF">
        <w:rPr>
          <w:rFonts w:ascii="Times New Roman" w:eastAsia="Cambria" w:hAnsi="Times New Roman" w:cs="Times New Roman"/>
          <w:iCs/>
          <w:sz w:val="28"/>
          <w:szCs w:val="28"/>
        </w:rPr>
        <w:t>”</w:t>
      </w:r>
      <w:r w:rsidRPr="004530CF">
        <w:rPr>
          <w:rFonts w:ascii="Times New Roman" w:eastAsia="Cambria" w:hAnsi="Times New Roman" w:cs="Times New Roman"/>
          <w:i/>
          <w:iCs/>
          <w:sz w:val="28"/>
          <w:szCs w:val="28"/>
        </w:rPr>
        <w:t xml:space="preserve"> </w:t>
      </w:r>
      <w:r w:rsidRPr="004530CF">
        <w:rPr>
          <w:rFonts w:ascii="Times New Roman" w:eastAsia="Cambria" w:hAnsi="Times New Roman" w:cs="Times New Roman"/>
          <w:iCs/>
          <w:sz w:val="28"/>
          <w:szCs w:val="28"/>
        </w:rPr>
        <w:t xml:space="preserve">en los juicios de nulidad </w:t>
      </w:r>
      <w:r w:rsidRPr="004530CF">
        <w:rPr>
          <w:rFonts w:ascii="Times New Roman" w:eastAsia="Cambria" w:hAnsi="Times New Roman" w:cs="Times New Roman"/>
          <w:iCs/>
          <w:sz w:val="28"/>
          <w:szCs w:val="28"/>
        </w:rPr>
        <w:t>electoral respecto de</w:t>
      </w:r>
      <w:r w:rsidRPr="004530CF">
        <w:rPr>
          <w:rFonts w:ascii="Times New Roman" w:eastAsia="Cambria" w:hAnsi="Times New Roman" w:cs="Times New Roman"/>
          <w:i/>
          <w:iCs/>
          <w:sz w:val="28"/>
          <w:szCs w:val="28"/>
        </w:rPr>
        <w:t xml:space="preserve"> </w:t>
      </w:r>
      <w:r w:rsidRPr="004530CF">
        <w:rPr>
          <w:rFonts w:ascii="Times New Roman" w:eastAsia="Cambria" w:hAnsi="Times New Roman" w:cs="Times New Roman"/>
          <w:iCs/>
          <w:sz w:val="28"/>
          <w:szCs w:val="28"/>
        </w:rPr>
        <w:t>“</w:t>
      </w:r>
      <w:r w:rsidRPr="004530CF">
        <w:rPr>
          <w:rFonts w:ascii="Times New Roman" w:eastAsia="Cambria" w:hAnsi="Times New Roman" w:cs="Times New Roman"/>
          <w:i/>
          <w:iCs/>
          <w:sz w:val="28"/>
          <w:szCs w:val="28"/>
        </w:rPr>
        <w:t>los servidores públicos de elección popular descritos en la norma demandada, mientras que para otros se consagre un proceso de doble instancia</w:t>
      </w:r>
      <w:r w:rsidRPr="004530CF">
        <w:rPr>
          <w:rFonts w:ascii="Times New Roman" w:eastAsia="Cambria" w:hAnsi="Times New Roman" w:cs="Times New Roman"/>
          <w:sz w:val="28"/>
          <w:szCs w:val="28"/>
        </w:rPr>
        <w:t>”</w:t>
      </w:r>
      <w:r w:rsidRPr="004530CF">
        <w:rPr>
          <w:rStyle w:val="Refdenotaalpie"/>
          <w:rFonts w:ascii="Times New Roman" w:eastAsia="Cambria" w:hAnsi="Times New Roman" w:cs="Times New Roman"/>
          <w:i/>
          <w:iCs/>
          <w:sz w:val="28"/>
          <w:szCs w:val="28"/>
        </w:rPr>
        <w:footnoteReference w:id="2"/>
      </w:r>
      <w:r w:rsidRPr="004530CF">
        <w:rPr>
          <w:rFonts w:ascii="Times New Roman" w:eastAsia="Cambria" w:hAnsi="Times New Roman" w:cs="Times New Roman"/>
          <w:sz w:val="28"/>
          <w:szCs w:val="28"/>
        </w:rPr>
        <w:t xml:space="preserve">. </w:t>
      </w:r>
    </w:p>
    <w:p w:rsidR="00E82E9D" w:rsidRPr="004530CF" w:rsidRDefault="004530CF" w:rsidP="004C7B30">
      <w:pPr>
        <w:pStyle w:val="Prrafodelista"/>
        <w:ind w:left="0"/>
        <w:rPr>
          <w:rFonts w:ascii="Times New Roman" w:eastAsia="Cambria"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eastAsia="Cambria" w:hAnsi="Times New Roman" w:cs="Times New Roman"/>
          <w:sz w:val="28"/>
          <w:szCs w:val="28"/>
        </w:rPr>
      </w:pPr>
      <w:r w:rsidRPr="004530CF">
        <w:rPr>
          <w:rFonts w:ascii="Times New Roman" w:eastAsia="Cambria" w:hAnsi="Times New Roman" w:cs="Times New Roman"/>
          <w:sz w:val="28"/>
          <w:szCs w:val="28"/>
        </w:rPr>
        <w:t>En este sentido, s</w:t>
      </w:r>
      <w:r w:rsidRPr="004530CF">
        <w:rPr>
          <w:rFonts w:ascii="Times New Roman" w:eastAsia="Cambria" w:hAnsi="Times New Roman" w:cs="Times New Roman"/>
          <w:sz w:val="28"/>
          <w:szCs w:val="28"/>
        </w:rPr>
        <w:t>ostuvo que</w:t>
      </w:r>
      <w:r w:rsidRPr="004530CF">
        <w:rPr>
          <w:rFonts w:ascii="Times New Roman" w:eastAsia="Cambria" w:hAnsi="Times New Roman" w:cs="Times New Roman"/>
          <w:sz w:val="28"/>
          <w:szCs w:val="28"/>
        </w:rPr>
        <w:t>,</w:t>
      </w:r>
      <w:r w:rsidRPr="004530CF">
        <w:rPr>
          <w:rFonts w:ascii="Times New Roman" w:eastAsia="Cambria" w:hAnsi="Times New Roman" w:cs="Times New Roman"/>
          <w:sz w:val="28"/>
          <w:szCs w:val="28"/>
        </w:rPr>
        <w:t xml:space="preserve"> mientras el artículo 152.7 del CPACA establece un proce</w:t>
      </w:r>
      <w:r w:rsidRPr="004530CF">
        <w:rPr>
          <w:rFonts w:ascii="Times New Roman" w:eastAsia="Cambria" w:hAnsi="Times New Roman" w:cs="Times New Roman"/>
          <w:sz w:val="28"/>
          <w:szCs w:val="28"/>
        </w:rPr>
        <w:t>so de doble instancia en el marco de la nulidad electoral</w:t>
      </w:r>
      <w:r w:rsidRPr="004530CF">
        <w:rPr>
          <w:rFonts w:ascii="Times New Roman" w:eastAsia="Cambria" w:hAnsi="Times New Roman" w:cs="Times New Roman"/>
          <w:sz w:val="28"/>
          <w:szCs w:val="28"/>
        </w:rPr>
        <w:t xml:space="preserve"> para determinados cargos de elección popular (</w:t>
      </w:r>
      <w:r w:rsidRPr="004530CF">
        <w:rPr>
          <w:rFonts w:ascii="Times New Roman" w:eastAsia="Cambria" w:hAnsi="Times New Roman" w:cs="Times New Roman"/>
          <w:i/>
          <w:sz w:val="28"/>
          <w:szCs w:val="28"/>
        </w:rPr>
        <w:t xml:space="preserve">diputados de asambleas departamentales, </w:t>
      </w:r>
      <w:r w:rsidRPr="004530CF">
        <w:rPr>
          <w:rFonts w:ascii="Times New Roman" w:eastAsia="Cambria" w:hAnsi="Times New Roman" w:cs="Times New Roman"/>
          <w:i/>
          <w:sz w:val="28"/>
          <w:szCs w:val="28"/>
        </w:rPr>
        <w:t>concejales de Bogotá, alcaldes municipales y distritales, miembros de corporaciones públicas de los municipios y</w:t>
      </w:r>
      <w:r w:rsidRPr="004530CF">
        <w:rPr>
          <w:rFonts w:ascii="Times New Roman" w:eastAsia="Cambria" w:hAnsi="Times New Roman" w:cs="Times New Roman"/>
          <w:i/>
          <w:sz w:val="28"/>
          <w:szCs w:val="28"/>
        </w:rPr>
        <w:t xml:space="preserve"> distritos</w:t>
      </w:r>
      <w:r w:rsidRPr="004530CF">
        <w:rPr>
          <w:rFonts w:ascii="Times New Roman" w:eastAsia="Cambria" w:hAnsi="Times New Roman" w:cs="Times New Roman"/>
          <w:sz w:val="28"/>
          <w:szCs w:val="28"/>
        </w:rPr>
        <w:t>)</w:t>
      </w:r>
      <w:r w:rsidRPr="004530CF">
        <w:rPr>
          <w:rFonts w:ascii="Times New Roman" w:eastAsia="Cambria" w:hAnsi="Times New Roman" w:cs="Times New Roman"/>
          <w:sz w:val="28"/>
          <w:szCs w:val="28"/>
        </w:rPr>
        <w:t>, el artículo 149.3 de</w:t>
      </w:r>
      <w:r w:rsidRPr="004530CF">
        <w:rPr>
          <w:rFonts w:ascii="Times New Roman" w:eastAsia="Cambria" w:hAnsi="Times New Roman" w:cs="Times New Roman"/>
          <w:sz w:val="28"/>
          <w:szCs w:val="28"/>
        </w:rPr>
        <w:t>l mismo código</w:t>
      </w:r>
      <w:r w:rsidRPr="004530CF">
        <w:rPr>
          <w:rFonts w:ascii="Times New Roman" w:eastAsia="Cambria" w:hAnsi="Times New Roman" w:cs="Times New Roman"/>
          <w:sz w:val="28"/>
          <w:szCs w:val="28"/>
        </w:rPr>
        <w:t xml:space="preserve">, </w:t>
      </w:r>
      <w:r w:rsidRPr="004530CF">
        <w:rPr>
          <w:rFonts w:ascii="Times New Roman" w:eastAsia="Cambria" w:hAnsi="Times New Roman" w:cs="Times New Roman"/>
          <w:sz w:val="28"/>
          <w:szCs w:val="28"/>
        </w:rPr>
        <w:t xml:space="preserve">sin justificación alguna, </w:t>
      </w:r>
      <w:r w:rsidRPr="004530CF">
        <w:rPr>
          <w:rFonts w:ascii="Times New Roman" w:eastAsia="Cambria" w:hAnsi="Times New Roman" w:cs="Times New Roman"/>
          <w:sz w:val="28"/>
          <w:szCs w:val="28"/>
        </w:rPr>
        <w:t xml:space="preserve">contempla un proceso de única instancia para otro tipo </w:t>
      </w:r>
      <w:r w:rsidRPr="004530CF">
        <w:rPr>
          <w:rFonts w:ascii="Times New Roman" w:eastAsia="Cambria" w:hAnsi="Times New Roman" w:cs="Times New Roman"/>
          <w:sz w:val="28"/>
          <w:szCs w:val="28"/>
        </w:rPr>
        <w:t xml:space="preserve">de </w:t>
      </w:r>
      <w:r w:rsidRPr="004530CF">
        <w:rPr>
          <w:rFonts w:ascii="Times New Roman" w:eastAsia="Cambria" w:hAnsi="Times New Roman" w:cs="Times New Roman"/>
          <w:sz w:val="28"/>
          <w:szCs w:val="28"/>
        </w:rPr>
        <w:t>funcionarios (</w:t>
      </w:r>
      <w:r w:rsidRPr="004530CF">
        <w:rPr>
          <w:rFonts w:ascii="Times New Roman" w:eastAsia="Cambria" w:hAnsi="Times New Roman" w:cs="Times New Roman"/>
          <w:i/>
          <w:sz w:val="28"/>
          <w:szCs w:val="28"/>
        </w:rPr>
        <w:t>presidente</w:t>
      </w:r>
      <w:r w:rsidRPr="004530CF">
        <w:rPr>
          <w:rFonts w:ascii="Times New Roman" w:eastAsia="Cambria" w:hAnsi="Times New Roman" w:cs="Times New Roman"/>
          <w:i/>
          <w:sz w:val="28"/>
          <w:szCs w:val="28"/>
        </w:rPr>
        <w:t xml:space="preserve"> de la República</w:t>
      </w:r>
      <w:r w:rsidRPr="004530CF">
        <w:rPr>
          <w:rFonts w:ascii="Times New Roman" w:eastAsia="Cambria" w:hAnsi="Times New Roman" w:cs="Times New Roman"/>
          <w:i/>
          <w:sz w:val="28"/>
          <w:szCs w:val="28"/>
        </w:rPr>
        <w:t>, vicepresidente</w:t>
      </w:r>
      <w:r w:rsidRPr="004530CF">
        <w:rPr>
          <w:rFonts w:ascii="Times New Roman" w:eastAsia="Cambria" w:hAnsi="Times New Roman" w:cs="Times New Roman"/>
          <w:i/>
          <w:sz w:val="28"/>
          <w:szCs w:val="28"/>
        </w:rPr>
        <w:t xml:space="preserve"> de la República</w:t>
      </w:r>
      <w:r w:rsidRPr="004530CF">
        <w:rPr>
          <w:rFonts w:ascii="Times New Roman" w:eastAsia="Cambria" w:hAnsi="Times New Roman" w:cs="Times New Roman"/>
          <w:i/>
          <w:sz w:val="28"/>
          <w:szCs w:val="28"/>
        </w:rPr>
        <w:t xml:space="preserve">, senadores, representantes a la Cámara, </w:t>
      </w:r>
      <w:r w:rsidRPr="004530CF">
        <w:rPr>
          <w:rFonts w:ascii="Times New Roman" w:eastAsia="Cambria" w:hAnsi="Times New Roman" w:cs="Times New Roman"/>
          <w:i/>
          <w:sz w:val="28"/>
          <w:szCs w:val="28"/>
        </w:rPr>
        <w:t>representantes al Parlamento Andino, gobernadores y alcalde mayor de Bogotá</w:t>
      </w:r>
      <w:r w:rsidRPr="004530CF">
        <w:rPr>
          <w:rFonts w:ascii="Times New Roman" w:eastAsia="Cambria" w:hAnsi="Times New Roman" w:cs="Times New Roman"/>
          <w:sz w:val="28"/>
          <w:szCs w:val="28"/>
        </w:rPr>
        <w:t>)</w:t>
      </w:r>
      <w:r w:rsidRPr="004530CF">
        <w:rPr>
          <w:rFonts w:ascii="Times New Roman" w:eastAsia="Cambria" w:hAnsi="Times New Roman" w:cs="Times New Roman"/>
          <w:sz w:val="28"/>
          <w:szCs w:val="28"/>
        </w:rPr>
        <w:t>.</w:t>
      </w:r>
      <w:r w:rsidRPr="004530CF">
        <w:rPr>
          <w:rFonts w:ascii="Times New Roman" w:eastAsia="Cambria" w:hAnsi="Times New Roman" w:cs="Times New Roman"/>
          <w:sz w:val="28"/>
          <w:szCs w:val="28"/>
        </w:rPr>
        <w:t xml:space="preserve"> </w:t>
      </w:r>
    </w:p>
    <w:p w:rsidR="006B5DD1" w:rsidRPr="004530CF" w:rsidRDefault="004530CF" w:rsidP="004C7B30">
      <w:pPr>
        <w:pStyle w:val="Prrafodelista"/>
        <w:tabs>
          <w:tab w:val="left" w:pos="567"/>
        </w:tabs>
        <w:ind w:left="0"/>
        <w:jc w:val="both"/>
        <w:rPr>
          <w:rFonts w:ascii="Times New Roman" w:eastAsia="Cambria"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eastAsia="Cambria" w:hAnsi="Times New Roman" w:cs="Times New Roman"/>
          <w:sz w:val="28"/>
          <w:szCs w:val="28"/>
        </w:rPr>
      </w:pPr>
      <w:r w:rsidRPr="004530CF">
        <w:rPr>
          <w:rFonts w:ascii="Times New Roman" w:eastAsia="Cambria" w:hAnsi="Times New Roman" w:cs="Times New Roman"/>
          <w:sz w:val="28"/>
          <w:szCs w:val="28"/>
        </w:rPr>
        <w:t xml:space="preserve">El demandante </w:t>
      </w:r>
      <w:r w:rsidRPr="004530CF">
        <w:rPr>
          <w:rFonts w:ascii="Times New Roman" w:eastAsia="Cambria" w:hAnsi="Times New Roman" w:cs="Times New Roman"/>
          <w:sz w:val="28"/>
          <w:szCs w:val="28"/>
        </w:rPr>
        <w:t xml:space="preserve">señala que debe </w:t>
      </w:r>
      <w:r w:rsidRPr="004530CF">
        <w:rPr>
          <w:rFonts w:ascii="Times New Roman" w:eastAsia="Cambria" w:hAnsi="Times New Roman" w:cs="Times New Roman"/>
          <w:sz w:val="28"/>
          <w:szCs w:val="28"/>
        </w:rPr>
        <w:t>aplicar</w:t>
      </w:r>
      <w:r w:rsidRPr="004530CF">
        <w:rPr>
          <w:rFonts w:ascii="Times New Roman" w:eastAsia="Cambria" w:hAnsi="Times New Roman" w:cs="Times New Roman"/>
          <w:sz w:val="28"/>
          <w:szCs w:val="28"/>
        </w:rPr>
        <w:t>se</w:t>
      </w:r>
      <w:r w:rsidRPr="004530CF">
        <w:rPr>
          <w:rFonts w:ascii="Times New Roman" w:eastAsia="Cambria" w:hAnsi="Times New Roman" w:cs="Times New Roman"/>
          <w:sz w:val="28"/>
          <w:szCs w:val="28"/>
        </w:rPr>
        <w:t xml:space="preserve"> un juicio integrado de igualdad</w:t>
      </w:r>
      <w:r w:rsidRPr="004530CF">
        <w:rPr>
          <w:rFonts w:ascii="Times New Roman" w:eastAsia="Cambria" w:hAnsi="Times New Roman" w:cs="Times New Roman"/>
          <w:sz w:val="28"/>
          <w:szCs w:val="28"/>
        </w:rPr>
        <w:t>,</w:t>
      </w:r>
      <w:r w:rsidRPr="004530CF">
        <w:rPr>
          <w:rFonts w:ascii="Times New Roman" w:eastAsia="Cambria" w:hAnsi="Times New Roman" w:cs="Times New Roman"/>
          <w:sz w:val="28"/>
          <w:szCs w:val="28"/>
        </w:rPr>
        <w:t xml:space="preserve"> a fin de establecer si el trato diferente se encuentra justificado. Sostiene que los grupos son compara</w:t>
      </w:r>
      <w:r w:rsidRPr="004530CF">
        <w:rPr>
          <w:rFonts w:ascii="Times New Roman" w:eastAsia="Cambria" w:hAnsi="Times New Roman" w:cs="Times New Roman"/>
          <w:sz w:val="28"/>
          <w:szCs w:val="28"/>
        </w:rPr>
        <w:t>bles por</w:t>
      </w:r>
      <w:r w:rsidRPr="004530CF">
        <w:rPr>
          <w:rFonts w:ascii="Times New Roman" w:eastAsia="Cambria" w:hAnsi="Times New Roman" w:cs="Times New Roman"/>
          <w:sz w:val="28"/>
          <w:szCs w:val="28"/>
        </w:rPr>
        <w:t xml:space="preserve"> cinco razones:</w:t>
      </w:r>
      <w:r w:rsidRPr="004530CF">
        <w:rPr>
          <w:rFonts w:ascii="Times New Roman" w:eastAsia="Cambria" w:hAnsi="Times New Roman" w:cs="Times New Roman"/>
          <w:sz w:val="28"/>
          <w:szCs w:val="28"/>
        </w:rPr>
        <w:t xml:space="preserve"> (i) en ambos casos se trata de funcionarios elegidos por voto popular; (ii) las personas legitimadas para ejercer el medio de control son las mismas; (iii) las causales de nulidad coinciden en cada proceso; (iv) la única diferencia </w:t>
      </w:r>
      <w:r w:rsidRPr="004530CF">
        <w:rPr>
          <w:rFonts w:ascii="Times New Roman" w:eastAsia="Cambria" w:hAnsi="Times New Roman" w:cs="Times New Roman"/>
          <w:sz w:val="28"/>
          <w:szCs w:val="28"/>
        </w:rPr>
        <w:t>entre los procedimientos radica en la existencia o no de segunda instancia; y (v) las autoridades judiciales competentes para conocer</w:t>
      </w:r>
      <w:r w:rsidRPr="004530CF">
        <w:rPr>
          <w:rFonts w:ascii="Times New Roman" w:eastAsia="Cambria" w:hAnsi="Times New Roman" w:cs="Times New Roman"/>
          <w:sz w:val="28"/>
          <w:szCs w:val="28"/>
        </w:rPr>
        <w:t xml:space="preserve"> la</w:t>
      </w:r>
      <w:r w:rsidRPr="004530CF">
        <w:rPr>
          <w:rFonts w:ascii="Times New Roman" w:eastAsia="Cambria" w:hAnsi="Times New Roman" w:cs="Times New Roman"/>
          <w:sz w:val="28"/>
          <w:szCs w:val="28"/>
        </w:rPr>
        <w:t xml:space="preserve"> nulidad </w:t>
      </w:r>
      <w:r w:rsidRPr="004530CF">
        <w:rPr>
          <w:rFonts w:ascii="Times New Roman" w:eastAsia="Cambria" w:hAnsi="Times New Roman" w:cs="Times New Roman"/>
          <w:sz w:val="28"/>
          <w:szCs w:val="28"/>
        </w:rPr>
        <w:t xml:space="preserve">electoral </w:t>
      </w:r>
      <w:r w:rsidRPr="004530CF">
        <w:rPr>
          <w:rFonts w:ascii="Times New Roman" w:eastAsia="Cambria" w:hAnsi="Times New Roman" w:cs="Times New Roman"/>
          <w:sz w:val="28"/>
          <w:szCs w:val="28"/>
        </w:rPr>
        <w:t>presentan similitudes relevantes.</w:t>
      </w:r>
    </w:p>
    <w:p w:rsidR="006B5DD1" w:rsidRPr="004530CF" w:rsidRDefault="004530CF" w:rsidP="004C7B30">
      <w:pPr>
        <w:pStyle w:val="Prrafodelista"/>
        <w:ind w:left="0"/>
        <w:rPr>
          <w:rFonts w:ascii="Times New Roman" w:eastAsia="Cambria"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eastAsia="Cambria" w:hAnsi="Times New Roman" w:cs="Times New Roman"/>
          <w:sz w:val="28"/>
          <w:szCs w:val="28"/>
        </w:rPr>
      </w:pPr>
      <w:r w:rsidRPr="004530CF">
        <w:rPr>
          <w:rFonts w:ascii="Times New Roman" w:eastAsia="Cambria" w:hAnsi="Times New Roman" w:cs="Times New Roman"/>
          <w:sz w:val="28"/>
          <w:szCs w:val="28"/>
        </w:rPr>
        <w:t>S</w:t>
      </w:r>
      <w:r w:rsidRPr="004530CF">
        <w:rPr>
          <w:rFonts w:ascii="Times New Roman" w:eastAsia="Cambria" w:hAnsi="Times New Roman" w:cs="Times New Roman"/>
          <w:sz w:val="28"/>
          <w:szCs w:val="28"/>
        </w:rPr>
        <w:t>eñala que existe un trato diferencial en “</w:t>
      </w:r>
      <w:r w:rsidRPr="004530CF">
        <w:rPr>
          <w:rFonts w:ascii="Times New Roman" w:eastAsia="Cambria" w:hAnsi="Times New Roman" w:cs="Times New Roman"/>
          <w:i/>
          <w:iCs/>
          <w:sz w:val="28"/>
          <w:szCs w:val="28"/>
        </w:rPr>
        <w:t>el plano fáctico y jurí</w:t>
      </w:r>
      <w:r w:rsidRPr="004530CF">
        <w:rPr>
          <w:rFonts w:ascii="Times New Roman" w:eastAsia="Cambria" w:hAnsi="Times New Roman" w:cs="Times New Roman"/>
          <w:i/>
          <w:iCs/>
          <w:sz w:val="28"/>
          <w:szCs w:val="28"/>
        </w:rPr>
        <w:t>dico</w:t>
      </w:r>
      <w:r w:rsidRPr="004530CF">
        <w:rPr>
          <w:rFonts w:ascii="Times New Roman" w:eastAsia="Cambria" w:hAnsi="Times New Roman" w:cs="Times New Roman"/>
          <w:sz w:val="28"/>
          <w:szCs w:val="28"/>
        </w:rPr>
        <w:t>[,</w:t>
      </w:r>
      <w:r w:rsidRPr="004530CF">
        <w:rPr>
          <w:rFonts w:ascii="Times New Roman" w:eastAsia="Cambria" w:hAnsi="Times New Roman" w:cs="Times New Roman"/>
          <w:sz w:val="28"/>
          <w:szCs w:val="28"/>
        </w:rPr>
        <w:t>]</w:t>
      </w:r>
      <w:r w:rsidRPr="004530CF">
        <w:rPr>
          <w:rFonts w:ascii="Times New Roman" w:eastAsia="Cambria" w:hAnsi="Times New Roman" w:cs="Times New Roman"/>
          <w:sz w:val="28"/>
          <w:szCs w:val="28"/>
        </w:rPr>
        <w:t xml:space="preserve"> </w:t>
      </w:r>
      <w:r w:rsidRPr="004530CF">
        <w:rPr>
          <w:rFonts w:ascii="Times New Roman" w:eastAsia="Cambria" w:hAnsi="Times New Roman" w:cs="Times New Roman"/>
          <w:sz w:val="28"/>
          <w:szCs w:val="28"/>
        </w:rPr>
        <w:t>[</w:t>
      </w:r>
      <w:r w:rsidRPr="004530CF">
        <w:rPr>
          <w:rFonts w:ascii="Times New Roman" w:eastAsia="Cambria" w:hAnsi="Times New Roman" w:cs="Times New Roman"/>
          <w:sz w:val="28"/>
          <w:szCs w:val="28"/>
        </w:rPr>
        <w:t>que]</w:t>
      </w:r>
      <w:r w:rsidRPr="004530CF">
        <w:rPr>
          <w:rFonts w:ascii="Times New Roman" w:eastAsia="Cambria" w:hAnsi="Times New Roman" w:cs="Times New Roman"/>
          <w:i/>
          <w:iCs/>
          <w:sz w:val="28"/>
          <w:szCs w:val="28"/>
        </w:rPr>
        <w:t xml:space="preserve"> se resume en que mientras los primeros sujetos pueden apelar una sentencia y lograr que dos jueces diferentes se refieran acerca de una controversia similar, sobre los segundos funcionarios este derecho no existe</w:t>
      </w:r>
      <w:r w:rsidRPr="004530CF">
        <w:rPr>
          <w:rFonts w:ascii="Times New Roman" w:eastAsia="Cambria" w:hAnsi="Times New Roman" w:cs="Times New Roman"/>
          <w:iCs/>
          <w:sz w:val="28"/>
          <w:szCs w:val="28"/>
        </w:rPr>
        <w:t>[,]</w:t>
      </w:r>
      <w:r w:rsidRPr="004530CF">
        <w:rPr>
          <w:rFonts w:ascii="Times New Roman" w:eastAsia="Cambria" w:hAnsi="Times New Roman" w:cs="Times New Roman"/>
          <w:i/>
          <w:iCs/>
          <w:sz w:val="28"/>
          <w:szCs w:val="28"/>
        </w:rPr>
        <w:t xml:space="preserve"> a pesar de que sobre ellos</w:t>
      </w:r>
      <w:r w:rsidRPr="004530CF">
        <w:rPr>
          <w:rFonts w:ascii="Times New Roman" w:eastAsia="Cambria" w:hAnsi="Times New Roman" w:cs="Times New Roman"/>
          <w:i/>
          <w:iCs/>
          <w:sz w:val="28"/>
          <w:szCs w:val="28"/>
        </w:rPr>
        <w:t xml:space="preserve"> recaiga el mismo medio de control”</w:t>
      </w:r>
      <w:r w:rsidRPr="004530CF">
        <w:rPr>
          <w:rFonts w:ascii="Times New Roman" w:eastAsia="Cambria" w:hAnsi="Times New Roman" w:cs="Times New Roman"/>
          <w:sz w:val="28"/>
          <w:szCs w:val="28"/>
        </w:rPr>
        <w:t>. Destaca que “</w:t>
      </w:r>
      <w:r w:rsidRPr="004530CF">
        <w:rPr>
          <w:rFonts w:ascii="Times New Roman" w:eastAsia="Cambria" w:hAnsi="Times New Roman" w:cs="Times New Roman"/>
          <w:i/>
          <w:iCs/>
          <w:sz w:val="28"/>
          <w:szCs w:val="28"/>
        </w:rPr>
        <w:t>lo desproporcionado de la medida está en el hecho de que sujetos procesales similares no tengan las mismas herramientas y la única distinción que exista para negarles la doble instancia, sea el nivel del ca</w:t>
      </w:r>
      <w:r w:rsidRPr="004530CF">
        <w:rPr>
          <w:rFonts w:ascii="Times New Roman" w:eastAsia="Cambria" w:hAnsi="Times New Roman" w:cs="Times New Roman"/>
          <w:i/>
          <w:iCs/>
          <w:sz w:val="28"/>
          <w:szCs w:val="28"/>
        </w:rPr>
        <w:t>rgo de elección popular para el cual fueron electos</w:t>
      </w:r>
      <w:r w:rsidRPr="004530CF">
        <w:rPr>
          <w:rFonts w:ascii="Times New Roman" w:eastAsia="Cambria" w:hAnsi="Times New Roman" w:cs="Times New Roman"/>
          <w:sz w:val="28"/>
          <w:szCs w:val="28"/>
        </w:rPr>
        <w:t>”</w:t>
      </w:r>
      <w:r w:rsidRPr="004530CF">
        <w:rPr>
          <w:rStyle w:val="Refdenotaalpie"/>
          <w:rFonts w:ascii="Times New Roman" w:eastAsia="Cambria" w:hAnsi="Times New Roman" w:cs="Times New Roman"/>
          <w:sz w:val="28"/>
          <w:szCs w:val="28"/>
        </w:rPr>
        <w:footnoteReference w:id="3"/>
      </w:r>
      <w:r w:rsidRPr="004530CF">
        <w:rPr>
          <w:rFonts w:ascii="Times New Roman" w:eastAsia="Cambria" w:hAnsi="Times New Roman" w:cs="Times New Roman"/>
          <w:sz w:val="28"/>
          <w:szCs w:val="28"/>
        </w:rPr>
        <w:t>.</w:t>
      </w:r>
    </w:p>
    <w:p w:rsidR="006B5DD1" w:rsidRPr="004530CF" w:rsidRDefault="004530CF" w:rsidP="004C7B30">
      <w:pPr>
        <w:pStyle w:val="Prrafodelista"/>
        <w:ind w:left="0"/>
        <w:rPr>
          <w:rFonts w:ascii="Times New Roman" w:eastAsia="Cambria"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eastAsia="Cambria" w:hAnsi="Times New Roman" w:cs="Times New Roman"/>
          <w:sz w:val="28"/>
          <w:szCs w:val="28"/>
        </w:rPr>
      </w:pPr>
      <w:r w:rsidRPr="004530CF">
        <w:rPr>
          <w:rFonts w:ascii="Times New Roman" w:hAnsi="Times New Roman" w:cs="Times New Roman"/>
          <w:b/>
          <w:sz w:val="28"/>
          <w:szCs w:val="28"/>
          <w:lang w:eastAsia="es-ES"/>
        </w:rPr>
        <w:t>Segundo cargo.</w:t>
      </w:r>
      <w:r w:rsidRPr="004530CF">
        <w:rPr>
          <w:rFonts w:ascii="Times New Roman" w:hAnsi="Times New Roman" w:cs="Times New Roman"/>
          <w:sz w:val="28"/>
          <w:szCs w:val="28"/>
          <w:lang w:eastAsia="es-ES"/>
        </w:rPr>
        <w:t xml:space="preserve"> E</w:t>
      </w:r>
      <w:r w:rsidRPr="004530CF">
        <w:rPr>
          <w:rFonts w:ascii="Times New Roman" w:hAnsi="Times New Roman" w:cs="Times New Roman"/>
          <w:sz w:val="28"/>
          <w:szCs w:val="28"/>
          <w:lang w:eastAsia="es-ES"/>
        </w:rPr>
        <w:t xml:space="preserve">l demandante sostiene que se vulnera </w:t>
      </w:r>
      <w:r w:rsidRPr="004530CF">
        <w:rPr>
          <w:rFonts w:ascii="Times New Roman" w:hAnsi="Times New Roman" w:cs="Times New Roman"/>
          <w:sz w:val="28"/>
          <w:szCs w:val="28"/>
          <w:lang w:eastAsia="es-ES"/>
        </w:rPr>
        <w:t>el</w:t>
      </w:r>
      <w:r w:rsidRPr="004530CF">
        <w:rPr>
          <w:rFonts w:ascii="Times New Roman" w:hAnsi="Times New Roman" w:cs="Times New Roman"/>
          <w:sz w:val="28"/>
          <w:szCs w:val="28"/>
          <w:lang w:eastAsia="es-ES"/>
        </w:rPr>
        <w:t xml:space="preserve"> artículo</w:t>
      </w:r>
      <w:r w:rsidRPr="004530CF">
        <w:rPr>
          <w:rFonts w:ascii="Times New Roman" w:hAnsi="Times New Roman" w:cs="Times New Roman"/>
          <w:sz w:val="28"/>
          <w:szCs w:val="28"/>
          <w:lang w:eastAsia="es-ES"/>
        </w:rPr>
        <w:t xml:space="preserve"> </w:t>
      </w:r>
      <w:r w:rsidRPr="004530CF">
        <w:rPr>
          <w:rFonts w:ascii="Times New Roman" w:hAnsi="Times New Roman" w:cs="Times New Roman"/>
          <w:sz w:val="28"/>
          <w:szCs w:val="28"/>
          <w:lang w:eastAsia="es-ES"/>
        </w:rPr>
        <w:t xml:space="preserve">23.2 de la CADH. Aduce que, conforme </w:t>
      </w:r>
      <w:r w:rsidRPr="004530CF">
        <w:rPr>
          <w:rFonts w:ascii="Times New Roman" w:hAnsi="Times New Roman" w:cs="Times New Roman"/>
          <w:sz w:val="28"/>
          <w:szCs w:val="28"/>
          <w:lang w:eastAsia="es-ES"/>
        </w:rPr>
        <w:t>con</w:t>
      </w:r>
      <w:r w:rsidRPr="004530CF">
        <w:rPr>
          <w:rFonts w:ascii="Times New Roman" w:hAnsi="Times New Roman" w:cs="Times New Roman"/>
          <w:sz w:val="28"/>
          <w:szCs w:val="28"/>
          <w:lang w:eastAsia="es-ES"/>
        </w:rPr>
        <w:t xml:space="preserve"> lo establecido por</w:t>
      </w:r>
      <w:r w:rsidRPr="004530CF">
        <w:rPr>
          <w:rFonts w:ascii="Times New Roman" w:hAnsi="Times New Roman" w:cs="Times New Roman"/>
          <w:sz w:val="28"/>
          <w:szCs w:val="28"/>
          <w:lang w:eastAsia="es-ES"/>
        </w:rPr>
        <w:t xml:space="preserve"> el Sistema Interamericano</w:t>
      </w:r>
      <w:r w:rsidRPr="004530CF">
        <w:rPr>
          <w:rFonts w:ascii="Times New Roman" w:hAnsi="Times New Roman" w:cs="Times New Roman"/>
          <w:sz w:val="28"/>
          <w:szCs w:val="28"/>
          <w:lang w:eastAsia="es-ES"/>
        </w:rPr>
        <w:t xml:space="preserve">, las limitaciones a los derechos políticos se </w:t>
      </w:r>
      <w:r w:rsidRPr="004530CF">
        <w:rPr>
          <w:rFonts w:ascii="Times New Roman" w:hAnsi="Times New Roman" w:cs="Times New Roman"/>
          <w:sz w:val="28"/>
          <w:szCs w:val="28"/>
          <w:lang w:eastAsia="es-ES"/>
        </w:rPr>
        <w:t>deben “</w:t>
      </w:r>
      <w:r w:rsidRPr="004530CF">
        <w:rPr>
          <w:rFonts w:ascii="Times New Roman" w:hAnsi="Times New Roman" w:cs="Times New Roman"/>
          <w:i/>
          <w:iCs/>
          <w:sz w:val="28"/>
          <w:szCs w:val="28"/>
          <w:lang w:eastAsia="es-ES"/>
        </w:rPr>
        <w:t>dar respetando todas las garantías procesales presentes en un proceso penal</w:t>
      </w:r>
      <w:r w:rsidRPr="004530CF">
        <w:rPr>
          <w:rFonts w:ascii="Times New Roman" w:hAnsi="Times New Roman" w:cs="Times New Roman"/>
          <w:sz w:val="28"/>
          <w:szCs w:val="28"/>
          <w:lang w:eastAsia="es-ES"/>
        </w:rPr>
        <w:t>”. En es</w:t>
      </w:r>
      <w:r w:rsidRPr="004530CF">
        <w:rPr>
          <w:rFonts w:ascii="Times New Roman" w:hAnsi="Times New Roman" w:cs="Times New Roman"/>
          <w:sz w:val="28"/>
          <w:szCs w:val="28"/>
          <w:lang w:eastAsia="es-ES"/>
        </w:rPr>
        <w:t>t</w:t>
      </w:r>
      <w:r w:rsidRPr="004530CF">
        <w:rPr>
          <w:rFonts w:ascii="Times New Roman" w:hAnsi="Times New Roman" w:cs="Times New Roman"/>
          <w:sz w:val="28"/>
          <w:szCs w:val="28"/>
          <w:lang w:eastAsia="es-ES"/>
        </w:rPr>
        <w:t>e sentido, destaca que una de las garantías del proceso penal es la</w:t>
      </w:r>
      <w:r w:rsidRPr="004530CF">
        <w:rPr>
          <w:rFonts w:ascii="Times New Roman" w:hAnsi="Times New Roman" w:cs="Times New Roman"/>
          <w:sz w:val="28"/>
          <w:szCs w:val="28"/>
          <w:lang w:eastAsia="es-ES"/>
        </w:rPr>
        <w:t xml:space="preserve"> facultad</w:t>
      </w:r>
      <w:r w:rsidRPr="004530CF">
        <w:rPr>
          <w:rFonts w:ascii="Times New Roman" w:hAnsi="Times New Roman" w:cs="Times New Roman"/>
          <w:sz w:val="28"/>
          <w:szCs w:val="28"/>
          <w:lang w:eastAsia="es-ES"/>
        </w:rPr>
        <w:t xml:space="preserve"> de impugnar, por lo que “</w:t>
      </w:r>
      <w:r w:rsidRPr="004530CF">
        <w:rPr>
          <w:rFonts w:ascii="Times New Roman" w:hAnsi="Times New Roman" w:cs="Times New Roman"/>
          <w:i/>
          <w:iCs/>
          <w:sz w:val="28"/>
          <w:szCs w:val="28"/>
        </w:rPr>
        <w:t>la posibilidad de tomar decisiones en única instancia que pueda</w:t>
      </w:r>
      <w:r w:rsidRPr="004530CF">
        <w:rPr>
          <w:rFonts w:ascii="Times New Roman" w:hAnsi="Times New Roman" w:cs="Times New Roman"/>
          <w:i/>
          <w:iCs/>
          <w:sz w:val="28"/>
          <w:szCs w:val="28"/>
        </w:rPr>
        <w:t>n significar una afectación a los derechos políticos en los procesos de nulidad electoral, contradice el estándar de protección de estos, pues dichos procesos deciden la limitación sobre el derecho político a ser elegido de una persona</w:t>
      </w:r>
      <w:r w:rsidRPr="004530CF">
        <w:rPr>
          <w:rFonts w:ascii="Times New Roman" w:hAnsi="Times New Roman" w:cs="Times New Roman"/>
          <w:iCs/>
          <w:sz w:val="28"/>
          <w:szCs w:val="28"/>
        </w:rPr>
        <w:t>[,]</w:t>
      </w:r>
      <w:r w:rsidRPr="004530CF">
        <w:rPr>
          <w:rFonts w:ascii="Times New Roman" w:hAnsi="Times New Roman" w:cs="Times New Roman"/>
          <w:i/>
          <w:iCs/>
          <w:sz w:val="28"/>
          <w:szCs w:val="28"/>
        </w:rPr>
        <w:t xml:space="preserve"> sin tener todas las garantías propias de un proceso penal</w:t>
      </w:r>
      <w:r w:rsidRPr="004530CF">
        <w:rPr>
          <w:rFonts w:ascii="Times New Roman" w:hAnsi="Times New Roman" w:cs="Times New Roman"/>
          <w:iCs/>
          <w:sz w:val="28"/>
          <w:szCs w:val="28"/>
        </w:rPr>
        <w:t>[,]</w:t>
      </w:r>
      <w:r w:rsidRPr="004530CF">
        <w:rPr>
          <w:rFonts w:ascii="Times New Roman" w:hAnsi="Times New Roman" w:cs="Times New Roman"/>
          <w:i/>
          <w:iCs/>
          <w:sz w:val="28"/>
          <w:szCs w:val="28"/>
        </w:rPr>
        <w:t xml:space="preserve"> ante la imposibilidad de poder ejercer adecuadamente el derecho a la defensa en la etapa posterior de la sentencia</w:t>
      </w:r>
      <w:r w:rsidRPr="004530CF">
        <w:rPr>
          <w:rFonts w:ascii="Times New Roman" w:hAnsi="Times New Roman" w:cs="Times New Roman"/>
          <w:sz w:val="28"/>
          <w:szCs w:val="28"/>
        </w:rPr>
        <w:t>”</w:t>
      </w:r>
      <w:r w:rsidRPr="004530CF">
        <w:rPr>
          <w:rStyle w:val="Refdenotaalpie"/>
          <w:rFonts w:ascii="Times New Roman" w:hAnsi="Times New Roman" w:cs="Times New Roman"/>
          <w:sz w:val="28"/>
          <w:szCs w:val="28"/>
        </w:rPr>
        <w:footnoteReference w:id="4"/>
      </w:r>
      <w:r w:rsidRPr="004530CF">
        <w:rPr>
          <w:rFonts w:ascii="Times New Roman" w:hAnsi="Times New Roman" w:cs="Times New Roman"/>
          <w:sz w:val="28"/>
          <w:szCs w:val="28"/>
        </w:rPr>
        <w:t>.</w:t>
      </w:r>
    </w:p>
    <w:p w:rsidR="006B5DD1" w:rsidRPr="004530CF" w:rsidRDefault="004530CF" w:rsidP="004C7B30">
      <w:pPr>
        <w:pStyle w:val="Prrafodelista"/>
        <w:ind w:left="0"/>
        <w:rPr>
          <w:rFonts w:ascii="Times New Roman" w:eastAsia="Cambria"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eastAsia="Cambria" w:hAnsi="Times New Roman" w:cs="Times New Roman"/>
          <w:sz w:val="28"/>
          <w:szCs w:val="28"/>
        </w:rPr>
      </w:pPr>
      <w:r w:rsidRPr="004530CF">
        <w:rPr>
          <w:rFonts w:ascii="Times New Roman" w:hAnsi="Times New Roman" w:cs="Times New Roman"/>
          <w:b/>
          <w:sz w:val="28"/>
          <w:szCs w:val="28"/>
          <w:lang w:eastAsia="es-ES"/>
        </w:rPr>
        <w:t>Tercer cargo.</w:t>
      </w:r>
      <w:r w:rsidRPr="004530CF">
        <w:rPr>
          <w:rFonts w:ascii="Times New Roman" w:hAnsi="Times New Roman" w:cs="Times New Roman"/>
          <w:sz w:val="28"/>
          <w:szCs w:val="28"/>
          <w:lang w:eastAsia="es-ES"/>
        </w:rPr>
        <w:t xml:space="preserve"> Sostiene la </w:t>
      </w:r>
      <w:r w:rsidRPr="004530CF">
        <w:rPr>
          <w:rFonts w:ascii="Times New Roman" w:hAnsi="Times New Roman" w:cs="Times New Roman"/>
          <w:sz w:val="28"/>
          <w:szCs w:val="28"/>
          <w:lang w:eastAsia="es-ES"/>
        </w:rPr>
        <w:t>vulneración de la garantía procesal de la impugna</w:t>
      </w:r>
      <w:r w:rsidRPr="004530CF">
        <w:rPr>
          <w:rFonts w:ascii="Times New Roman" w:hAnsi="Times New Roman" w:cs="Times New Roman"/>
          <w:sz w:val="28"/>
          <w:szCs w:val="28"/>
          <w:lang w:eastAsia="es-ES"/>
        </w:rPr>
        <w:t>ción</w:t>
      </w:r>
      <w:r w:rsidRPr="004530CF">
        <w:rPr>
          <w:rFonts w:ascii="Times New Roman" w:hAnsi="Times New Roman" w:cs="Times New Roman"/>
          <w:sz w:val="28"/>
          <w:szCs w:val="28"/>
          <w:lang w:eastAsia="es-ES"/>
        </w:rPr>
        <w:t xml:space="preserve"> </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CP </w:t>
      </w:r>
      <w:r w:rsidRPr="004530CF">
        <w:rPr>
          <w:rFonts w:ascii="Times New Roman" w:hAnsi="Times New Roman" w:cs="Times New Roman"/>
          <w:sz w:val="28"/>
          <w:szCs w:val="28"/>
        </w:rPr>
        <w:t>art</w:t>
      </w:r>
      <w:r w:rsidRPr="004530CF">
        <w:rPr>
          <w:rFonts w:ascii="Times New Roman" w:hAnsi="Times New Roman" w:cs="Times New Roman"/>
          <w:sz w:val="28"/>
          <w:szCs w:val="28"/>
        </w:rPr>
        <w:t>s.</w:t>
      </w:r>
      <w:r w:rsidRPr="004530CF">
        <w:rPr>
          <w:rFonts w:ascii="Times New Roman" w:hAnsi="Times New Roman" w:cs="Times New Roman"/>
          <w:sz w:val="28"/>
          <w:szCs w:val="28"/>
        </w:rPr>
        <w:t xml:space="preserve"> 29 y 31</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CADH </w:t>
      </w:r>
      <w:r w:rsidRPr="004530CF">
        <w:rPr>
          <w:rFonts w:ascii="Times New Roman" w:hAnsi="Times New Roman" w:cs="Times New Roman"/>
          <w:sz w:val="28"/>
          <w:szCs w:val="28"/>
        </w:rPr>
        <w:t>art. 8.2</w:t>
      </w:r>
      <w:r w:rsidRPr="004530CF">
        <w:rPr>
          <w:rFonts w:ascii="Times New Roman" w:hAnsi="Times New Roman" w:cs="Times New Roman"/>
          <w:sz w:val="28"/>
          <w:szCs w:val="28"/>
        </w:rPr>
        <w:t xml:space="preserve"> y </w:t>
      </w:r>
      <w:r w:rsidRPr="004530CF">
        <w:rPr>
          <w:rFonts w:ascii="Times New Roman" w:hAnsi="Times New Roman" w:cs="Times New Roman"/>
          <w:sz w:val="28"/>
          <w:szCs w:val="28"/>
        </w:rPr>
        <w:t xml:space="preserve">PIDCP </w:t>
      </w:r>
      <w:r w:rsidRPr="004530CF">
        <w:rPr>
          <w:rFonts w:ascii="Times New Roman" w:hAnsi="Times New Roman" w:cs="Times New Roman"/>
          <w:sz w:val="28"/>
          <w:szCs w:val="28"/>
        </w:rPr>
        <w:t>art</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14.5)</w:t>
      </w:r>
      <w:r w:rsidRPr="004530CF">
        <w:rPr>
          <w:rFonts w:ascii="Times New Roman" w:hAnsi="Times New Roman" w:cs="Times New Roman"/>
          <w:sz w:val="28"/>
          <w:szCs w:val="28"/>
          <w:lang w:eastAsia="es-ES"/>
        </w:rPr>
        <w:t>.</w:t>
      </w:r>
      <w:r w:rsidRPr="004530CF">
        <w:rPr>
          <w:rFonts w:ascii="Times New Roman" w:hAnsi="Times New Roman" w:cs="Times New Roman"/>
          <w:sz w:val="28"/>
          <w:szCs w:val="28"/>
          <w:lang w:eastAsia="es-ES"/>
        </w:rPr>
        <w:t xml:space="preserve"> </w:t>
      </w:r>
      <w:r w:rsidRPr="004530CF">
        <w:rPr>
          <w:rFonts w:ascii="Times New Roman" w:hAnsi="Times New Roman" w:cs="Times New Roman"/>
          <w:sz w:val="28"/>
          <w:szCs w:val="28"/>
          <w:lang w:eastAsia="es-ES"/>
        </w:rPr>
        <w:t xml:space="preserve">Advierte </w:t>
      </w:r>
      <w:r w:rsidRPr="004530CF">
        <w:rPr>
          <w:rFonts w:ascii="Times New Roman" w:hAnsi="Times New Roman" w:cs="Times New Roman"/>
          <w:sz w:val="28"/>
          <w:szCs w:val="28"/>
          <w:lang w:eastAsia="es-ES"/>
        </w:rPr>
        <w:t>el demandante que</w:t>
      </w:r>
      <w:r w:rsidRPr="004530CF">
        <w:rPr>
          <w:rFonts w:ascii="Times New Roman" w:hAnsi="Times New Roman" w:cs="Times New Roman"/>
          <w:sz w:val="28"/>
          <w:szCs w:val="28"/>
          <w:lang w:eastAsia="es-ES"/>
        </w:rPr>
        <w:t>,</w:t>
      </w:r>
      <w:r w:rsidRPr="004530CF">
        <w:rPr>
          <w:rFonts w:ascii="Times New Roman" w:hAnsi="Times New Roman" w:cs="Times New Roman"/>
          <w:sz w:val="28"/>
          <w:szCs w:val="28"/>
          <w:lang w:eastAsia="es-ES"/>
        </w:rPr>
        <w:t xml:space="preserve"> a pesar de que</w:t>
      </w:r>
      <w:r w:rsidRPr="004530CF">
        <w:rPr>
          <w:rFonts w:ascii="Times New Roman" w:hAnsi="Times New Roman" w:cs="Times New Roman"/>
          <w:sz w:val="28"/>
          <w:szCs w:val="28"/>
          <w:lang w:eastAsia="es-ES"/>
        </w:rPr>
        <w:t xml:space="preserve"> </w:t>
      </w:r>
      <w:r w:rsidRPr="004530CF">
        <w:rPr>
          <w:rFonts w:ascii="Times New Roman" w:hAnsi="Times New Roman" w:cs="Times New Roman"/>
          <w:sz w:val="28"/>
          <w:szCs w:val="28"/>
          <w:lang w:eastAsia="es-ES"/>
        </w:rPr>
        <w:t xml:space="preserve">el medio de control </w:t>
      </w:r>
      <w:r w:rsidRPr="004530CF">
        <w:rPr>
          <w:rFonts w:ascii="Times New Roman" w:hAnsi="Times New Roman" w:cs="Times New Roman"/>
          <w:sz w:val="28"/>
          <w:szCs w:val="28"/>
          <w:lang w:eastAsia="es-ES"/>
        </w:rPr>
        <w:t xml:space="preserve">de nulidad electoral tiene la finalidad de controvertir los actos de elección y nombramiento de los funcionarios de elección popular, </w:t>
      </w:r>
      <w:r w:rsidRPr="004530CF">
        <w:rPr>
          <w:rFonts w:ascii="Times New Roman" w:hAnsi="Times New Roman" w:cs="Times New Roman"/>
          <w:sz w:val="28"/>
          <w:szCs w:val="28"/>
          <w:lang w:eastAsia="es-ES"/>
        </w:rPr>
        <w:t xml:space="preserve">se trata de </w:t>
      </w:r>
      <w:r w:rsidRPr="004530CF">
        <w:rPr>
          <w:rFonts w:ascii="Times New Roman" w:hAnsi="Times New Roman" w:cs="Times New Roman"/>
          <w:sz w:val="28"/>
          <w:szCs w:val="28"/>
          <w:lang w:eastAsia="es-ES"/>
        </w:rPr>
        <w:t>un “</w:t>
      </w:r>
      <w:r w:rsidRPr="004530CF">
        <w:rPr>
          <w:rFonts w:ascii="Times New Roman" w:hAnsi="Times New Roman" w:cs="Times New Roman"/>
          <w:i/>
          <w:iCs/>
          <w:sz w:val="28"/>
          <w:szCs w:val="28"/>
        </w:rPr>
        <w:t>mecanismo legal dispuesto para sancionar una situación irregular</w:t>
      </w:r>
      <w:r w:rsidRPr="004530CF">
        <w:rPr>
          <w:rFonts w:ascii="Times New Roman" w:hAnsi="Times New Roman" w:cs="Times New Roman"/>
          <w:iCs/>
          <w:sz w:val="28"/>
          <w:szCs w:val="28"/>
        </w:rPr>
        <w:t xml:space="preserve"> (…)</w:t>
      </w:r>
      <w:r w:rsidRPr="004530CF">
        <w:rPr>
          <w:rFonts w:ascii="Times New Roman" w:hAnsi="Times New Roman" w:cs="Times New Roman"/>
          <w:iCs/>
          <w:sz w:val="28"/>
          <w:szCs w:val="28"/>
        </w:rPr>
        <w:t>”</w:t>
      </w:r>
      <w:r w:rsidRPr="004530CF">
        <w:rPr>
          <w:rStyle w:val="Refdenotaalpie"/>
          <w:rFonts w:ascii="Times New Roman" w:hAnsi="Times New Roman" w:cs="Times New Roman"/>
          <w:iCs/>
          <w:sz w:val="28"/>
          <w:szCs w:val="28"/>
        </w:rPr>
        <w:footnoteReference w:id="5"/>
      </w:r>
      <w:r w:rsidRPr="004530CF">
        <w:rPr>
          <w:rFonts w:ascii="Times New Roman" w:hAnsi="Times New Roman" w:cs="Times New Roman"/>
          <w:iCs/>
          <w:sz w:val="28"/>
          <w:szCs w:val="28"/>
        </w:rPr>
        <w:t xml:space="preserve"> y, por ello,</w:t>
      </w:r>
      <w:r w:rsidRPr="004530CF">
        <w:rPr>
          <w:rFonts w:ascii="Times New Roman" w:hAnsi="Times New Roman" w:cs="Times New Roman"/>
          <w:iCs/>
          <w:sz w:val="28"/>
          <w:szCs w:val="28"/>
        </w:rPr>
        <w:t xml:space="preserve"> “</w:t>
      </w:r>
      <w:r w:rsidRPr="004530CF">
        <w:rPr>
          <w:rFonts w:ascii="Times New Roman" w:hAnsi="Times New Roman" w:cs="Times New Roman"/>
          <w:i/>
          <w:iCs/>
          <w:sz w:val="28"/>
          <w:szCs w:val="28"/>
        </w:rPr>
        <w:t>debe contar con todas las garantías del debido proceso sancionador</w:t>
      </w:r>
      <w:r w:rsidRPr="004530CF">
        <w:rPr>
          <w:rFonts w:ascii="Times New Roman" w:hAnsi="Times New Roman" w:cs="Times New Roman"/>
          <w:iCs/>
          <w:sz w:val="28"/>
          <w:szCs w:val="28"/>
        </w:rPr>
        <w:t>”</w:t>
      </w:r>
      <w:r w:rsidRPr="004530CF">
        <w:rPr>
          <w:rStyle w:val="Refdenotaalpie"/>
          <w:rFonts w:ascii="Times New Roman" w:hAnsi="Times New Roman" w:cs="Times New Roman"/>
          <w:iCs/>
          <w:sz w:val="28"/>
          <w:szCs w:val="28"/>
        </w:rPr>
        <w:footnoteReference w:id="6"/>
      </w:r>
      <w:r w:rsidRPr="004530CF">
        <w:rPr>
          <w:rFonts w:ascii="Times New Roman" w:hAnsi="Times New Roman" w:cs="Times New Roman"/>
          <w:iCs/>
          <w:sz w:val="28"/>
          <w:szCs w:val="28"/>
        </w:rPr>
        <w:t>. Señala entonces que</w:t>
      </w:r>
      <w:r w:rsidRPr="004530CF">
        <w:rPr>
          <w:rFonts w:ascii="Times New Roman" w:hAnsi="Times New Roman" w:cs="Times New Roman"/>
          <w:i/>
          <w:iCs/>
          <w:sz w:val="28"/>
          <w:szCs w:val="28"/>
        </w:rPr>
        <w:t xml:space="preserve"> </w:t>
      </w:r>
      <w:r w:rsidRPr="004530CF">
        <w:rPr>
          <w:rFonts w:ascii="Times New Roman" w:hAnsi="Times New Roman" w:cs="Times New Roman"/>
          <w:iCs/>
          <w:sz w:val="28"/>
          <w:szCs w:val="28"/>
        </w:rPr>
        <w:t>“</w:t>
      </w:r>
      <w:r w:rsidRPr="004530CF">
        <w:rPr>
          <w:rFonts w:ascii="Times New Roman" w:hAnsi="Times New Roman" w:cs="Times New Roman"/>
          <w:i/>
          <w:iCs/>
          <w:sz w:val="28"/>
          <w:szCs w:val="28"/>
        </w:rPr>
        <w:t xml:space="preserve">la acción de nulidad electoral hace parte del ius puniendi </w:t>
      </w:r>
      <w:r w:rsidRPr="004530CF">
        <w:rPr>
          <w:rFonts w:ascii="Times New Roman" w:hAnsi="Times New Roman" w:cs="Times New Roman"/>
          <w:i/>
          <w:iCs/>
          <w:sz w:val="28"/>
          <w:szCs w:val="28"/>
        </w:rPr>
        <w:t>e</w:t>
      </w:r>
      <w:r w:rsidRPr="004530CF">
        <w:rPr>
          <w:rFonts w:ascii="Times New Roman" w:hAnsi="Times New Roman" w:cs="Times New Roman"/>
          <w:i/>
          <w:iCs/>
          <w:sz w:val="28"/>
          <w:szCs w:val="28"/>
        </w:rPr>
        <w:t>stat</w:t>
      </w:r>
      <w:r w:rsidRPr="004530CF">
        <w:rPr>
          <w:rFonts w:ascii="Times New Roman" w:hAnsi="Times New Roman" w:cs="Times New Roman"/>
          <w:i/>
          <w:iCs/>
          <w:sz w:val="28"/>
          <w:szCs w:val="28"/>
        </w:rPr>
        <w:t>al</w:t>
      </w:r>
      <w:r w:rsidRPr="004530CF">
        <w:rPr>
          <w:rFonts w:ascii="Times New Roman" w:hAnsi="Times New Roman" w:cs="Times New Roman"/>
          <w:sz w:val="28"/>
          <w:szCs w:val="28"/>
        </w:rPr>
        <w:t>”</w:t>
      </w:r>
      <w:r w:rsidRPr="004530CF">
        <w:rPr>
          <w:rStyle w:val="Refdenotaalpie"/>
          <w:rFonts w:ascii="Times New Roman" w:hAnsi="Times New Roman" w:cs="Times New Roman"/>
          <w:sz w:val="28"/>
          <w:szCs w:val="28"/>
        </w:rPr>
        <w:footnoteReference w:id="7"/>
      </w:r>
      <w:r w:rsidRPr="004530CF">
        <w:rPr>
          <w:rFonts w:ascii="Times New Roman" w:hAnsi="Times New Roman" w:cs="Times New Roman"/>
          <w:sz w:val="28"/>
          <w:szCs w:val="28"/>
        </w:rPr>
        <w:t>.</w:t>
      </w:r>
    </w:p>
    <w:p w:rsidR="006B5DD1" w:rsidRPr="004530CF" w:rsidRDefault="004530CF" w:rsidP="004C7B30">
      <w:pPr>
        <w:pStyle w:val="Prrafodelista"/>
        <w:ind w:left="0"/>
        <w:rPr>
          <w:rFonts w:ascii="Times New Roman" w:eastAsia="Cambria"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eastAsia="Cambria" w:hAnsi="Times New Roman" w:cs="Times New Roman"/>
          <w:sz w:val="28"/>
          <w:szCs w:val="28"/>
        </w:rPr>
      </w:pPr>
      <w:r w:rsidRPr="004530CF">
        <w:rPr>
          <w:rFonts w:ascii="Times New Roman" w:hAnsi="Times New Roman" w:cs="Times New Roman"/>
          <w:sz w:val="28"/>
          <w:szCs w:val="28"/>
        </w:rPr>
        <w:t xml:space="preserve">Indica </w:t>
      </w:r>
      <w:r w:rsidRPr="004530CF">
        <w:rPr>
          <w:rFonts w:ascii="Times New Roman" w:hAnsi="Times New Roman" w:cs="Times New Roman"/>
          <w:sz w:val="28"/>
          <w:szCs w:val="28"/>
        </w:rPr>
        <w:t>que la nulidad electoral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al ser un proceso donde están involucrados derechos políticos, “</w:t>
      </w:r>
      <w:r w:rsidRPr="004530CF">
        <w:rPr>
          <w:rFonts w:ascii="Times New Roman" w:hAnsi="Times New Roman" w:cs="Times New Roman"/>
          <w:i/>
          <w:iCs/>
          <w:sz w:val="28"/>
          <w:szCs w:val="28"/>
        </w:rPr>
        <w:t>debe garantizar el derecho a la impugnación, haciendo una lectura desde la Convención Americana de Derechos Humanos</w:t>
      </w:r>
      <w:r w:rsidRPr="004530CF">
        <w:rPr>
          <w:rFonts w:ascii="Times New Roman" w:hAnsi="Times New Roman" w:cs="Times New Roman"/>
          <w:sz w:val="28"/>
          <w:szCs w:val="28"/>
        </w:rPr>
        <w:t>” y</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específico, de su artículo 23.2. Por lo tanto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el proceso de nulidad electoral es un proceso judicial en el que deben estar todas las garantías de un proceso penal</w:t>
      </w:r>
      <w:r w:rsidRPr="004530CF">
        <w:rPr>
          <w:rFonts w:ascii="Times New Roman" w:hAnsi="Times New Roman" w:cs="Times New Roman"/>
          <w:iCs/>
          <w:sz w:val="28"/>
          <w:szCs w:val="28"/>
        </w:rPr>
        <w:t>[,]</w:t>
      </w:r>
      <w:r w:rsidRPr="004530CF">
        <w:rPr>
          <w:rFonts w:ascii="Times New Roman" w:hAnsi="Times New Roman" w:cs="Times New Roman"/>
          <w:i/>
          <w:iCs/>
          <w:sz w:val="28"/>
          <w:szCs w:val="28"/>
        </w:rPr>
        <w:t xml:space="preserve"> al involucrar a personas que fueron electas popularmente”</w:t>
      </w:r>
      <w:r w:rsidRPr="004530CF">
        <w:rPr>
          <w:rFonts w:ascii="Times New Roman" w:hAnsi="Times New Roman" w:cs="Times New Roman"/>
          <w:sz w:val="28"/>
          <w:szCs w:val="28"/>
        </w:rPr>
        <w:t>, lo contrario</w:t>
      </w:r>
      <w:r w:rsidRPr="004530CF">
        <w:rPr>
          <w:rFonts w:ascii="Times New Roman" w:hAnsi="Times New Roman" w:cs="Times New Roman"/>
          <w:sz w:val="28"/>
          <w:szCs w:val="28"/>
        </w:rPr>
        <w:t xml:space="preserve"> se opondría </w:t>
      </w:r>
      <w:r w:rsidRPr="004530CF">
        <w:rPr>
          <w:rFonts w:ascii="Times New Roman" w:hAnsi="Times New Roman" w:cs="Times New Roman"/>
          <w:sz w:val="28"/>
          <w:szCs w:val="28"/>
        </w:rPr>
        <w:t>a</w:t>
      </w:r>
      <w:r w:rsidRPr="004530CF">
        <w:rPr>
          <w:rFonts w:ascii="Times New Roman" w:hAnsi="Times New Roman" w:cs="Times New Roman"/>
          <w:sz w:val="28"/>
          <w:szCs w:val="28"/>
        </w:rPr>
        <w:t xml:space="preserve">l artículo 29 </w:t>
      </w:r>
      <w:r w:rsidRPr="004530CF">
        <w:rPr>
          <w:rFonts w:ascii="Times New Roman" w:hAnsi="Times New Roman" w:cs="Times New Roman"/>
          <w:sz w:val="28"/>
          <w:szCs w:val="28"/>
        </w:rPr>
        <w:t xml:space="preserve">del Texto </w:t>
      </w:r>
      <w:r w:rsidRPr="004530CF">
        <w:rPr>
          <w:rFonts w:ascii="Times New Roman" w:hAnsi="Times New Roman" w:cs="Times New Roman"/>
          <w:sz w:val="28"/>
          <w:szCs w:val="28"/>
        </w:rPr>
        <w:t>Superior</w:t>
      </w:r>
      <w:r w:rsidRPr="004530CF">
        <w:rPr>
          <w:rStyle w:val="Refdenotaalpie"/>
          <w:rFonts w:ascii="Times New Roman" w:hAnsi="Times New Roman" w:cs="Times New Roman"/>
          <w:sz w:val="28"/>
          <w:szCs w:val="28"/>
        </w:rPr>
        <w:footnoteReference w:id="8"/>
      </w:r>
      <w:r w:rsidRPr="004530CF">
        <w:rPr>
          <w:rFonts w:ascii="Times New Roman" w:hAnsi="Times New Roman" w:cs="Times New Roman"/>
          <w:sz w:val="28"/>
          <w:szCs w:val="28"/>
        </w:rPr>
        <w:t>.</w:t>
      </w:r>
    </w:p>
    <w:p w:rsidR="006B5DD1" w:rsidRPr="004530CF" w:rsidRDefault="004530CF" w:rsidP="004C7B30">
      <w:pPr>
        <w:pStyle w:val="Prrafodelista"/>
        <w:ind w:left="0"/>
        <w:rPr>
          <w:rFonts w:ascii="Times New Roman" w:eastAsia="Cambria"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eastAsia="Cambria" w:hAnsi="Times New Roman" w:cs="Times New Roman"/>
          <w:sz w:val="28"/>
          <w:szCs w:val="28"/>
        </w:rPr>
      </w:pPr>
      <w:r w:rsidRPr="004530CF">
        <w:rPr>
          <w:rFonts w:ascii="Times New Roman" w:hAnsi="Times New Roman" w:cs="Times New Roman"/>
          <w:b/>
          <w:kern w:val="1"/>
          <w:sz w:val="28"/>
          <w:szCs w:val="28"/>
        </w:rPr>
        <w:t>Pretensiones</w:t>
      </w:r>
      <w:r w:rsidRPr="004530CF">
        <w:rPr>
          <w:rFonts w:ascii="Times New Roman" w:hAnsi="Times New Roman" w:cs="Times New Roman"/>
          <w:kern w:val="1"/>
          <w:sz w:val="28"/>
          <w:szCs w:val="28"/>
        </w:rPr>
        <w:t>. E</w:t>
      </w:r>
      <w:r w:rsidRPr="004530CF">
        <w:rPr>
          <w:rFonts w:ascii="Times New Roman" w:hAnsi="Times New Roman" w:cs="Times New Roman"/>
          <w:kern w:val="1"/>
          <w:sz w:val="28"/>
          <w:szCs w:val="28"/>
        </w:rPr>
        <w:t xml:space="preserve">l </w:t>
      </w:r>
      <w:r w:rsidRPr="004530CF">
        <w:rPr>
          <w:rFonts w:ascii="Times New Roman" w:hAnsi="Times New Roman" w:cs="Times New Roman"/>
          <w:kern w:val="1"/>
          <w:sz w:val="28"/>
          <w:szCs w:val="28"/>
        </w:rPr>
        <w:t>actor</w:t>
      </w:r>
      <w:r w:rsidRPr="004530CF">
        <w:rPr>
          <w:rFonts w:ascii="Times New Roman" w:hAnsi="Times New Roman" w:cs="Times New Roman"/>
          <w:kern w:val="1"/>
          <w:sz w:val="28"/>
          <w:szCs w:val="28"/>
        </w:rPr>
        <w:t xml:space="preserve"> </w:t>
      </w:r>
      <w:r w:rsidRPr="004530CF">
        <w:rPr>
          <w:rFonts w:ascii="Times New Roman" w:hAnsi="Times New Roman" w:cs="Times New Roman"/>
          <w:kern w:val="1"/>
          <w:sz w:val="28"/>
          <w:szCs w:val="28"/>
        </w:rPr>
        <w:t>formula tres solicitudes:</w:t>
      </w:r>
      <w:r w:rsidRPr="004530CF">
        <w:rPr>
          <w:rFonts w:ascii="Times New Roman" w:hAnsi="Times New Roman" w:cs="Times New Roman"/>
          <w:kern w:val="1"/>
          <w:sz w:val="28"/>
          <w:szCs w:val="28"/>
        </w:rPr>
        <w:t xml:space="preserve"> (i) “</w:t>
      </w:r>
      <w:r w:rsidRPr="004530CF">
        <w:rPr>
          <w:rFonts w:ascii="Times New Roman" w:hAnsi="Times New Roman" w:cs="Times New Roman"/>
          <w:i/>
          <w:iCs/>
          <w:kern w:val="1"/>
          <w:sz w:val="28"/>
          <w:szCs w:val="28"/>
        </w:rPr>
        <w:t>declarar la exequibilidad condicionada de la expresión ‘</w:t>
      </w:r>
      <w:r w:rsidRPr="004530CF">
        <w:rPr>
          <w:rFonts w:ascii="Times New Roman" w:hAnsi="Times New Roman" w:cs="Times New Roman"/>
          <w:bCs/>
          <w:i/>
          <w:iCs/>
          <w:kern w:val="1"/>
          <w:sz w:val="28"/>
          <w:szCs w:val="28"/>
        </w:rPr>
        <w:t xml:space="preserve">del </w:t>
      </w:r>
      <w:r w:rsidRPr="004530CF">
        <w:rPr>
          <w:rFonts w:ascii="Times New Roman" w:hAnsi="Times New Roman" w:cs="Times New Roman"/>
          <w:bCs/>
          <w:i/>
          <w:iCs/>
          <w:kern w:val="1"/>
          <w:sz w:val="28"/>
          <w:szCs w:val="28"/>
        </w:rPr>
        <w:t>p</w:t>
      </w:r>
      <w:r w:rsidRPr="004530CF">
        <w:rPr>
          <w:rFonts w:ascii="Times New Roman" w:hAnsi="Times New Roman" w:cs="Times New Roman"/>
          <w:bCs/>
          <w:i/>
          <w:iCs/>
          <w:kern w:val="1"/>
          <w:sz w:val="28"/>
          <w:szCs w:val="28"/>
        </w:rPr>
        <w:t xml:space="preserve">residente y el </w:t>
      </w:r>
      <w:r w:rsidRPr="004530CF">
        <w:rPr>
          <w:rFonts w:ascii="Times New Roman" w:hAnsi="Times New Roman" w:cs="Times New Roman"/>
          <w:bCs/>
          <w:i/>
          <w:iCs/>
          <w:kern w:val="1"/>
          <w:sz w:val="28"/>
          <w:szCs w:val="28"/>
        </w:rPr>
        <w:t>v</w:t>
      </w:r>
      <w:r w:rsidRPr="004530CF">
        <w:rPr>
          <w:rFonts w:ascii="Times New Roman" w:hAnsi="Times New Roman" w:cs="Times New Roman"/>
          <w:bCs/>
          <w:i/>
          <w:iCs/>
          <w:kern w:val="1"/>
          <w:sz w:val="28"/>
          <w:szCs w:val="28"/>
        </w:rPr>
        <w:t xml:space="preserve">icepresidente de la República, de los </w:t>
      </w:r>
      <w:r w:rsidRPr="004530CF">
        <w:rPr>
          <w:rFonts w:ascii="Times New Roman" w:hAnsi="Times New Roman" w:cs="Times New Roman"/>
          <w:bCs/>
          <w:i/>
          <w:iCs/>
          <w:kern w:val="1"/>
          <w:sz w:val="28"/>
          <w:szCs w:val="28"/>
        </w:rPr>
        <w:t>s</w:t>
      </w:r>
      <w:r w:rsidRPr="004530CF">
        <w:rPr>
          <w:rFonts w:ascii="Times New Roman" w:hAnsi="Times New Roman" w:cs="Times New Roman"/>
          <w:bCs/>
          <w:i/>
          <w:iCs/>
          <w:kern w:val="1"/>
          <w:sz w:val="28"/>
          <w:szCs w:val="28"/>
        </w:rPr>
        <w:t xml:space="preserve">enadores, de los representantes a la cámara, de </w:t>
      </w:r>
      <w:r w:rsidRPr="004530CF">
        <w:rPr>
          <w:rFonts w:ascii="Times New Roman" w:hAnsi="Times New Roman" w:cs="Times New Roman"/>
          <w:bCs/>
          <w:i/>
          <w:iCs/>
          <w:kern w:val="1"/>
          <w:sz w:val="28"/>
          <w:szCs w:val="28"/>
        </w:rPr>
        <w:t>los representantes del Parlamento Andino, de los gobernadores, del Alcalde Mayor de Bogotá’</w:t>
      </w:r>
      <w:r w:rsidRPr="004530CF">
        <w:rPr>
          <w:rFonts w:ascii="Times New Roman" w:hAnsi="Times New Roman" w:cs="Times New Roman"/>
          <w:i/>
          <w:iCs/>
          <w:kern w:val="1"/>
          <w:sz w:val="28"/>
          <w:szCs w:val="28"/>
        </w:rPr>
        <w:t xml:space="preserve">  presente en el numeral 3 del artículo 149 de la Ley 1437 de 201</w:t>
      </w:r>
      <w:r w:rsidRPr="004530CF">
        <w:rPr>
          <w:rFonts w:ascii="Times New Roman" w:hAnsi="Times New Roman" w:cs="Times New Roman"/>
          <w:i/>
          <w:iCs/>
          <w:kern w:val="1"/>
          <w:sz w:val="28"/>
          <w:szCs w:val="28"/>
        </w:rPr>
        <w:t>1</w:t>
      </w:r>
      <w:r w:rsidRPr="004530CF">
        <w:rPr>
          <w:rFonts w:ascii="Times New Roman" w:hAnsi="Times New Roman" w:cs="Times New Roman"/>
          <w:iCs/>
          <w:kern w:val="1"/>
          <w:sz w:val="28"/>
          <w:szCs w:val="28"/>
        </w:rPr>
        <w:t>[,]</w:t>
      </w:r>
      <w:r w:rsidRPr="004530CF">
        <w:rPr>
          <w:rFonts w:ascii="Times New Roman" w:hAnsi="Times New Roman" w:cs="Times New Roman"/>
          <w:i/>
          <w:iCs/>
          <w:kern w:val="1"/>
          <w:sz w:val="28"/>
          <w:szCs w:val="28"/>
        </w:rPr>
        <w:t xml:space="preserve"> modificado por el artículo 24 de la Ley 2080 de 2021, en el entendido en que en los procesos de</w:t>
      </w:r>
      <w:r w:rsidRPr="004530CF">
        <w:rPr>
          <w:rFonts w:ascii="Times New Roman" w:hAnsi="Times New Roman" w:cs="Times New Roman"/>
          <w:i/>
          <w:iCs/>
          <w:kern w:val="1"/>
          <w:sz w:val="28"/>
          <w:szCs w:val="28"/>
        </w:rPr>
        <w:t xml:space="preserve"> nulidad electoral sobre los mencionados funcionarios, se deberá garantizar el derecho a la impugnación y a la doble instancia</w:t>
      </w:r>
      <w:r w:rsidRPr="004530CF">
        <w:rPr>
          <w:rFonts w:ascii="Times New Roman" w:hAnsi="Times New Roman" w:cs="Times New Roman"/>
          <w:kern w:val="1"/>
          <w:sz w:val="28"/>
          <w:szCs w:val="28"/>
        </w:rPr>
        <w:t>”;</w:t>
      </w:r>
      <w:r w:rsidRPr="004530CF">
        <w:rPr>
          <w:rFonts w:ascii="Times New Roman" w:hAnsi="Times New Roman" w:cs="Times New Roman"/>
          <w:i/>
          <w:iCs/>
          <w:kern w:val="1"/>
          <w:sz w:val="28"/>
          <w:szCs w:val="28"/>
        </w:rPr>
        <w:t xml:space="preserve"> </w:t>
      </w:r>
      <w:r w:rsidRPr="004530CF">
        <w:rPr>
          <w:rFonts w:ascii="Times New Roman" w:hAnsi="Times New Roman" w:cs="Times New Roman"/>
          <w:kern w:val="1"/>
          <w:sz w:val="28"/>
          <w:szCs w:val="28"/>
        </w:rPr>
        <w:t xml:space="preserve">(ii) </w:t>
      </w:r>
      <w:bookmarkStart w:id="1" w:name="_Hlk197415887"/>
      <w:r w:rsidRPr="004530CF">
        <w:rPr>
          <w:rFonts w:ascii="Times New Roman" w:hAnsi="Times New Roman" w:cs="Times New Roman"/>
          <w:kern w:val="1"/>
          <w:sz w:val="28"/>
          <w:szCs w:val="28"/>
        </w:rPr>
        <w:t>“</w:t>
      </w:r>
      <w:r w:rsidRPr="004530CF">
        <w:rPr>
          <w:rFonts w:ascii="Times New Roman" w:hAnsi="Times New Roman" w:cs="Times New Roman"/>
          <w:i/>
          <w:iCs/>
          <w:kern w:val="1"/>
          <w:sz w:val="28"/>
          <w:szCs w:val="28"/>
        </w:rPr>
        <w:t xml:space="preserve">ordenar al Consejo de Estado la adopción de normas transitorias para que en los procesos de nulidad electoral contra los </w:t>
      </w:r>
      <w:r w:rsidRPr="004530CF">
        <w:rPr>
          <w:rFonts w:ascii="Times New Roman" w:hAnsi="Times New Roman" w:cs="Times New Roman"/>
          <w:i/>
          <w:iCs/>
          <w:kern w:val="1"/>
          <w:sz w:val="28"/>
          <w:szCs w:val="28"/>
        </w:rPr>
        <w:t>funcionarios de elección popular descritos en el numeral 3 del artículo 149 de la Ley 1437 de 2011</w:t>
      </w:r>
      <w:r w:rsidRPr="004530CF">
        <w:rPr>
          <w:rFonts w:ascii="Times New Roman" w:hAnsi="Times New Roman" w:cs="Times New Roman"/>
          <w:iCs/>
          <w:kern w:val="1"/>
          <w:sz w:val="28"/>
          <w:szCs w:val="28"/>
        </w:rPr>
        <w:t>[,]</w:t>
      </w:r>
      <w:r w:rsidRPr="004530CF">
        <w:rPr>
          <w:rFonts w:ascii="Times New Roman" w:hAnsi="Times New Roman" w:cs="Times New Roman"/>
          <w:i/>
          <w:iCs/>
          <w:kern w:val="1"/>
          <w:sz w:val="28"/>
          <w:szCs w:val="28"/>
        </w:rPr>
        <w:t xml:space="preserve"> modificado por el artículo 24 de la Ley 2080 de 2021, se garantice el derecho a la impugnación y a la doble instancia</w:t>
      </w:r>
      <w:r w:rsidRPr="004530CF">
        <w:rPr>
          <w:rFonts w:ascii="Times New Roman" w:hAnsi="Times New Roman" w:cs="Times New Roman"/>
          <w:kern w:val="1"/>
          <w:sz w:val="28"/>
          <w:szCs w:val="28"/>
        </w:rPr>
        <w:t>”</w:t>
      </w:r>
      <w:bookmarkEnd w:id="1"/>
      <w:r w:rsidRPr="004530CF">
        <w:rPr>
          <w:rFonts w:ascii="Times New Roman" w:hAnsi="Times New Roman" w:cs="Times New Roman"/>
          <w:kern w:val="1"/>
          <w:sz w:val="28"/>
          <w:szCs w:val="28"/>
        </w:rPr>
        <w:t>; y (iii) “</w:t>
      </w:r>
      <w:r w:rsidRPr="004530CF">
        <w:rPr>
          <w:rFonts w:ascii="Times New Roman" w:hAnsi="Times New Roman" w:cs="Times New Roman"/>
          <w:i/>
          <w:iCs/>
          <w:kern w:val="1"/>
          <w:sz w:val="28"/>
          <w:szCs w:val="28"/>
        </w:rPr>
        <w:t>exhortar al Congreso de l</w:t>
      </w:r>
      <w:r w:rsidRPr="004530CF">
        <w:rPr>
          <w:rFonts w:ascii="Times New Roman" w:hAnsi="Times New Roman" w:cs="Times New Roman"/>
          <w:i/>
          <w:iCs/>
          <w:kern w:val="1"/>
          <w:sz w:val="28"/>
          <w:szCs w:val="28"/>
        </w:rPr>
        <w:t>a República para tramitar y aprobar una ley en donde se reglamente la impugnación y la doble instancia en los procesos de nulidad electoral contra los funcionarios de elección popular descritos en el numeral 3 del artículo 149 de la Ley 1437 de 2011</w:t>
      </w:r>
      <w:r w:rsidRPr="004530CF">
        <w:rPr>
          <w:rFonts w:ascii="Times New Roman" w:hAnsi="Times New Roman" w:cs="Times New Roman"/>
          <w:iCs/>
          <w:kern w:val="1"/>
          <w:sz w:val="28"/>
          <w:szCs w:val="28"/>
        </w:rPr>
        <w:t>[,]</w:t>
      </w:r>
      <w:r w:rsidRPr="004530CF">
        <w:rPr>
          <w:rFonts w:ascii="Times New Roman" w:hAnsi="Times New Roman" w:cs="Times New Roman"/>
          <w:i/>
          <w:iCs/>
          <w:kern w:val="1"/>
          <w:sz w:val="28"/>
          <w:szCs w:val="28"/>
        </w:rPr>
        <w:t xml:space="preserve"> mod</w:t>
      </w:r>
      <w:r w:rsidRPr="004530CF">
        <w:rPr>
          <w:rFonts w:ascii="Times New Roman" w:hAnsi="Times New Roman" w:cs="Times New Roman"/>
          <w:i/>
          <w:iCs/>
          <w:kern w:val="1"/>
          <w:sz w:val="28"/>
          <w:szCs w:val="28"/>
        </w:rPr>
        <w:t>ificado por el artículo 24 de la Ley 2080 de 2021</w:t>
      </w:r>
      <w:r w:rsidRPr="004530CF">
        <w:rPr>
          <w:rFonts w:ascii="Times New Roman" w:hAnsi="Times New Roman" w:cs="Times New Roman"/>
          <w:kern w:val="1"/>
          <w:sz w:val="28"/>
          <w:szCs w:val="28"/>
        </w:rPr>
        <w:t>”</w:t>
      </w:r>
      <w:r w:rsidRPr="004530CF">
        <w:rPr>
          <w:rStyle w:val="Refdenotaalpie"/>
          <w:rFonts w:ascii="Times New Roman" w:hAnsi="Times New Roman" w:cs="Times New Roman"/>
          <w:kern w:val="1"/>
          <w:sz w:val="28"/>
          <w:szCs w:val="28"/>
        </w:rPr>
        <w:footnoteReference w:id="9"/>
      </w:r>
      <w:r w:rsidRPr="004530CF">
        <w:rPr>
          <w:rFonts w:ascii="Times New Roman" w:hAnsi="Times New Roman" w:cs="Times New Roman"/>
          <w:kern w:val="1"/>
          <w:sz w:val="28"/>
          <w:szCs w:val="28"/>
        </w:rPr>
        <w:t>.</w:t>
      </w:r>
    </w:p>
    <w:p w:rsidR="00FC25BB" w:rsidRPr="004530CF" w:rsidRDefault="004530CF" w:rsidP="004C7B30">
      <w:pPr>
        <w:pStyle w:val="Prrafodelista"/>
        <w:tabs>
          <w:tab w:val="left" w:pos="567"/>
        </w:tabs>
        <w:ind w:left="0"/>
        <w:jc w:val="both"/>
        <w:rPr>
          <w:rFonts w:ascii="Times New Roman" w:hAnsi="Times New Roman" w:cs="Times New Roman"/>
          <w:sz w:val="28"/>
          <w:szCs w:val="28"/>
        </w:rPr>
      </w:pPr>
    </w:p>
    <w:p w:rsidR="00FC25BB" w:rsidRPr="004530CF" w:rsidRDefault="004530CF" w:rsidP="004C7B30">
      <w:pPr>
        <w:pStyle w:val="Ttulo2"/>
        <w:numPr>
          <w:ilvl w:val="0"/>
          <w:numId w:val="2"/>
        </w:numPr>
        <w:spacing w:before="0"/>
        <w:ind w:left="1134" w:hanging="567"/>
        <w:jc w:val="both"/>
        <w:rPr>
          <w:rStyle w:val="Ttulo1Car"/>
          <w:rFonts w:ascii="Times New Roman" w:hAnsi="Times New Roman" w:cs="Times New Roman"/>
          <w:b/>
          <w:color w:val="auto"/>
          <w:sz w:val="28"/>
          <w:szCs w:val="28"/>
        </w:rPr>
      </w:pPr>
      <w:r w:rsidRPr="004530CF">
        <w:rPr>
          <w:rStyle w:val="Ttulo1Car"/>
          <w:rFonts w:ascii="Times New Roman" w:hAnsi="Times New Roman" w:cs="Times New Roman"/>
          <w:b/>
          <w:color w:val="auto"/>
          <w:sz w:val="28"/>
          <w:szCs w:val="28"/>
        </w:rPr>
        <w:t>Intervenciones ciudadanas y conceptos</w:t>
      </w:r>
    </w:p>
    <w:p w:rsidR="00FC25BB" w:rsidRPr="004530CF" w:rsidRDefault="004530CF" w:rsidP="004C7B30">
      <w:pPr>
        <w:jc w:val="both"/>
        <w:rPr>
          <w:rFonts w:ascii="Times New Roman" w:hAnsi="Times New Roman" w:cs="Times New Roman"/>
          <w:b/>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En la siguiente tabla se sintetiza el sentido de las intervenciones recibidas</w:t>
      </w:r>
      <w:r w:rsidRPr="004530CF">
        <w:rPr>
          <w:rStyle w:val="Refdenotaalpie"/>
          <w:rFonts w:ascii="Times New Roman" w:hAnsi="Times New Roman" w:cs="Times New Roman"/>
          <w:sz w:val="28"/>
          <w:szCs w:val="24"/>
        </w:rPr>
        <w:footnoteReference w:id="10"/>
      </w:r>
      <w:r w:rsidRPr="004530CF">
        <w:rPr>
          <w:rFonts w:ascii="Times New Roman" w:hAnsi="Times New Roman" w:cs="Times New Roman"/>
          <w:sz w:val="28"/>
          <w:szCs w:val="28"/>
        </w:rPr>
        <w:t>:</w:t>
      </w:r>
    </w:p>
    <w:p w:rsidR="00FC25BB" w:rsidRPr="004530CF" w:rsidRDefault="004530CF" w:rsidP="004C7B30">
      <w:pPr>
        <w:jc w:val="both"/>
        <w:rPr>
          <w:rFonts w:ascii="Times New Roman" w:hAnsi="Times New Roman" w:cs="Times New Roman"/>
          <w:sz w:val="28"/>
          <w:szCs w:val="28"/>
        </w:rPr>
      </w:pPr>
    </w:p>
    <w:tbl>
      <w:tblPr>
        <w:tblStyle w:val="Tablaconcuadrcula"/>
        <w:tblW w:w="5000" w:type="pct"/>
        <w:jc w:val="center"/>
        <w:tblLook w:val="04A0" w:firstRow="1" w:lastRow="0" w:firstColumn="1" w:lastColumn="0" w:noHBand="0" w:noVBand="1"/>
      </w:tblPr>
      <w:tblGrid>
        <w:gridCol w:w="2752"/>
        <w:gridCol w:w="2184"/>
        <w:gridCol w:w="2231"/>
        <w:gridCol w:w="2229"/>
      </w:tblGrid>
      <w:tr w:rsidR="00FC25BB" w:rsidRPr="004530CF" w:rsidTr="000659F7">
        <w:trPr>
          <w:tblHeader/>
          <w:jc w:val="center"/>
        </w:trPr>
        <w:tc>
          <w:tcPr>
            <w:tcW w:w="1465" w:type="pct"/>
            <w:shd w:val="clear" w:color="auto" w:fill="D0CECE" w:themeFill="background2" w:themeFillShade="E6"/>
          </w:tcPr>
          <w:p w:rsidR="00572F36" w:rsidRPr="004530CF" w:rsidRDefault="004530CF" w:rsidP="004C7B30">
            <w:pPr>
              <w:pStyle w:val="Prrafodelista"/>
              <w:ind w:left="0"/>
              <w:jc w:val="center"/>
              <w:rPr>
                <w:b/>
                <w:bCs/>
                <w:color w:val="auto"/>
                <w:sz w:val="28"/>
              </w:rPr>
            </w:pPr>
          </w:p>
          <w:p w:rsidR="00572F36" w:rsidRPr="004530CF" w:rsidRDefault="004530CF" w:rsidP="004C7B30">
            <w:pPr>
              <w:pStyle w:val="Prrafodelista"/>
              <w:ind w:left="0"/>
              <w:jc w:val="center"/>
              <w:rPr>
                <w:b/>
                <w:bCs/>
                <w:color w:val="auto"/>
                <w:sz w:val="28"/>
              </w:rPr>
            </w:pPr>
          </w:p>
          <w:p w:rsidR="00FC25BB" w:rsidRPr="004530CF" w:rsidRDefault="004530CF" w:rsidP="004C7B30">
            <w:pPr>
              <w:pStyle w:val="Prrafodelista"/>
              <w:ind w:left="0"/>
              <w:jc w:val="center"/>
              <w:rPr>
                <w:b/>
                <w:bCs/>
                <w:color w:val="auto"/>
                <w:sz w:val="28"/>
              </w:rPr>
            </w:pPr>
            <w:r w:rsidRPr="004530CF">
              <w:rPr>
                <w:b/>
                <w:bCs/>
                <w:color w:val="auto"/>
                <w:sz w:val="28"/>
              </w:rPr>
              <w:t>Tipo de participación</w:t>
            </w:r>
          </w:p>
        </w:tc>
        <w:tc>
          <w:tcPr>
            <w:tcW w:w="1162" w:type="pct"/>
            <w:shd w:val="clear" w:color="auto" w:fill="D0CECE" w:themeFill="background2" w:themeFillShade="E6"/>
          </w:tcPr>
          <w:p w:rsidR="00572F36" w:rsidRPr="004530CF" w:rsidRDefault="004530CF" w:rsidP="004C7B30">
            <w:pPr>
              <w:pStyle w:val="Prrafodelista"/>
              <w:ind w:left="0"/>
              <w:jc w:val="center"/>
              <w:rPr>
                <w:b/>
                <w:bCs/>
                <w:color w:val="auto"/>
                <w:sz w:val="28"/>
              </w:rPr>
            </w:pPr>
          </w:p>
          <w:p w:rsidR="00572F36" w:rsidRPr="004530CF" w:rsidRDefault="004530CF" w:rsidP="004C7B30">
            <w:pPr>
              <w:pStyle w:val="Prrafodelista"/>
              <w:ind w:left="0"/>
              <w:jc w:val="center"/>
              <w:rPr>
                <w:b/>
                <w:bCs/>
                <w:color w:val="auto"/>
                <w:sz w:val="28"/>
              </w:rPr>
            </w:pPr>
          </w:p>
          <w:p w:rsidR="00FC25BB" w:rsidRPr="004530CF" w:rsidRDefault="004530CF" w:rsidP="004C7B30">
            <w:pPr>
              <w:pStyle w:val="Prrafodelista"/>
              <w:ind w:left="0"/>
              <w:jc w:val="center"/>
              <w:rPr>
                <w:b/>
                <w:bCs/>
                <w:color w:val="auto"/>
                <w:sz w:val="28"/>
              </w:rPr>
            </w:pPr>
            <w:r w:rsidRPr="004530CF">
              <w:rPr>
                <w:b/>
                <w:bCs/>
                <w:color w:val="auto"/>
                <w:sz w:val="28"/>
              </w:rPr>
              <w:t>Exequibilidad</w:t>
            </w:r>
          </w:p>
        </w:tc>
        <w:tc>
          <w:tcPr>
            <w:tcW w:w="1187" w:type="pct"/>
            <w:shd w:val="clear" w:color="auto" w:fill="D0CECE" w:themeFill="background2" w:themeFillShade="E6"/>
          </w:tcPr>
          <w:p w:rsidR="00572F36" w:rsidRPr="004530CF" w:rsidRDefault="004530CF" w:rsidP="004C7B30">
            <w:pPr>
              <w:pStyle w:val="Prrafodelista"/>
              <w:ind w:left="0"/>
              <w:jc w:val="center"/>
              <w:rPr>
                <w:b/>
                <w:bCs/>
                <w:color w:val="auto"/>
                <w:sz w:val="28"/>
              </w:rPr>
            </w:pPr>
          </w:p>
          <w:p w:rsidR="00572F36" w:rsidRPr="004530CF" w:rsidRDefault="004530CF" w:rsidP="004C7B30">
            <w:pPr>
              <w:pStyle w:val="Prrafodelista"/>
              <w:ind w:left="0"/>
              <w:jc w:val="center"/>
              <w:rPr>
                <w:b/>
                <w:bCs/>
                <w:color w:val="auto"/>
                <w:sz w:val="28"/>
              </w:rPr>
            </w:pPr>
          </w:p>
          <w:p w:rsidR="00FC25BB" w:rsidRPr="004530CF" w:rsidRDefault="004530CF" w:rsidP="004C7B30">
            <w:pPr>
              <w:pStyle w:val="Prrafodelista"/>
              <w:ind w:left="0"/>
              <w:jc w:val="center"/>
              <w:rPr>
                <w:b/>
                <w:bCs/>
                <w:color w:val="auto"/>
                <w:sz w:val="28"/>
              </w:rPr>
            </w:pPr>
            <w:r w:rsidRPr="004530CF">
              <w:rPr>
                <w:b/>
                <w:bCs/>
                <w:color w:val="auto"/>
                <w:sz w:val="28"/>
              </w:rPr>
              <w:t>Exequibilidad condicionada</w:t>
            </w:r>
          </w:p>
        </w:tc>
        <w:tc>
          <w:tcPr>
            <w:tcW w:w="1186" w:type="pct"/>
            <w:shd w:val="clear" w:color="auto" w:fill="D0CECE" w:themeFill="background2" w:themeFillShade="E6"/>
          </w:tcPr>
          <w:p w:rsidR="00FC25BB" w:rsidRPr="004530CF" w:rsidRDefault="004530CF" w:rsidP="004C7B30">
            <w:pPr>
              <w:pStyle w:val="Prrafodelista"/>
              <w:ind w:left="0"/>
              <w:jc w:val="center"/>
              <w:rPr>
                <w:b/>
                <w:color w:val="auto"/>
                <w:sz w:val="28"/>
              </w:rPr>
            </w:pPr>
            <w:r w:rsidRPr="004530CF">
              <w:rPr>
                <w:b/>
                <w:color w:val="auto"/>
                <w:sz w:val="28"/>
                <w:szCs w:val="28"/>
              </w:rPr>
              <w:t xml:space="preserve">Sin </w:t>
            </w:r>
            <w:r w:rsidRPr="004530CF">
              <w:rPr>
                <w:b/>
                <w:color w:val="auto"/>
                <w:sz w:val="28"/>
                <w:szCs w:val="28"/>
              </w:rPr>
              <w:t>indicación específica sobre el sentido de la decisión que debe adoptar la Corte</w:t>
            </w:r>
            <w:r w:rsidRPr="004530CF" w:rsidDel="00572F36">
              <w:rPr>
                <w:b/>
                <w:color w:val="auto"/>
                <w:sz w:val="28"/>
              </w:rPr>
              <w:t xml:space="preserve"> </w:t>
            </w:r>
          </w:p>
        </w:tc>
      </w:tr>
      <w:tr w:rsidR="00FC25BB" w:rsidRPr="004530CF" w:rsidTr="000659F7">
        <w:trPr>
          <w:jc w:val="center"/>
        </w:trPr>
        <w:tc>
          <w:tcPr>
            <w:tcW w:w="1465" w:type="pct"/>
            <w:vAlign w:val="center"/>
          </w:tcPr>
          <w:p w:rsidR="00FC25BB" w:rsidRPr="004530CF" w:rsidRDefault="004530CF" w:rsidP="004C7B30">
            <w:pPr>
              <w:pStyle w:val="Prrafodelista"/>
              <w:ind w:left="0"/>
              <w:jc w:val="center"/>
              <w:rPr>
                <w:color w:val="auto"/>
                <w:sz w:val="28"/>
              </w:rPr>
            </w:pPr>
            <w:r w:rsidRPr="004530CF">
              <w:rPr>
                <w:color w:val="auto"/>
                <w:sz w:val="28"/>
              </w:rPr>
              <w:t xml:space="preserve">Conceptos de organismos y entidades del Estado </w:t>
            </w:r>
            <w:r w:rsidRPr="004530CF">
              <w:rPr>
                <w:rStyle w:val="Ttulo1Car"/>
                <w:rFonts w:ascii="Times New Roman" w:hAnsi="Times New Roman" w:cs="Times New Roman"/>
                <w:b w:val="0"/>
                <w:color w:val="auto"/>
                <w:sz w:val="28"/>
                <w:szCs w:val="20"/>
              </w:rPr>
              <w:t>(artículo 11</w:t>
            </w:r>
            <w:r w:rsidRPr="004530CF">
              <w:rPr>
                <w:rStyle w:val="Ttulo1Car"/>
                <w:rFonts w:ascii="Times New Roman" w:hAnsi="Times New Roman" w:cs="Times New Roman"/>
                <w:color w:val="auto"/>
                <w:sz w:val="28"/>
                <w:szCs w:val="20"/>
              </w:rPr>
              <w:t xml:space="preserve"> </w:t>
            </w:r>
            <w:r w:rsidRPr="004530CF">
              <w:rPr>
                <w:rStyle w:val="Ttulo1Car"/>
                <w:rFonts w:ascii="Times New Roman" w:hAnsi="Times New Roman" w:cs="Times New Roman"/>
                <w:b w:val="0"/>
                <w:color w:val="auto"/>
                <w:sz w:val="28"/>
                <w:szCs w:val="20"/>
              </w:rPr>
              <w:t>del Decreto 2067 de 1991)</w:t>
            </w:r>
            <w:r w:rsidRPr="004530CF">
              <w:rPr>
                <w:rStyle w:val="Refdenotaalpie"/>
                <w:color w:val="auto"/>
                <w:sz w:val="28"/>
              </w:rPr>
              <w:footnoteReference w:id="11"/>
            </w:r>
            <w:r w:rsidRPr="004530CF">
              <w:rPr>
                <w:color w:val="auto"/>
                <w:sz w:val="28"/>
              </w:rPr>
              <w:t>.</w:t>
            </w:r>
          </w:p>
        </w:tc>
        <w:tc>
          <w:tcPr>
            <w:tcW w:w="1162" w:type="pct"/>
            <w:vAlign w:val="center"/>
          </w:tcPr>
          <w:p w:rsidR="00FC25BB" w:rsidRPr="004530CF" w:rsidRDefault="004530CF" w:rsidP="004C7B30">
            <w:pPr>
              <w:pStyle w:val="Prrafodelista"/>
              <w:ind w:left="0"/>
              <w:jc w:val="center"/>
              <w:rPr>
                <w:color w:val="auto"/>
                <w:sz w:val="28"/>
              </w:rPr>
            </w:pPr>
            <w:r w:rsidRPr="004530CF">
              <w:rPr>
                <w:color w:val="auto"/>
                <w:sz w:val="28"/>
              </w:rPr>
              <w:t xml:space="preserve">Consejo de Estado </w:t>
            </w:r>
          </w:p>
        </w:tc>
        <w:tc>
          <w:tcPr>
            <w:tcW w:w="1187" w:type="pct"/>
            <w:vAlign w:val="center"/>
          </w:tcPr>
          <w:p w:rsidR="00FC25BB" w:rsidRPr="004530CF" w:rsidRDefault="004530CF" w:rsidP="004C7B30">
            <w:pPr>
              <w:pStyle w:val="Prrafodelista"/>
              <w:ind w:left="0"/>
              <w:jc w:val="center"/>
              <w:rPr>
                <w:color w:val="auto"/>
                <w:sz w:val="28"/>
              </w:rPr>
            </w:pPr>
          </w:p>
        </w:tc>
        <w:tc>
          <w:tcPr>
            <w:tcW w:w="1186" w:type="pct"/>
          </w:tcPr>
          <w:p w:rsidR="00FC25BB" w:rsidRPr="004530CF" w:rsidRDefault="004530CF" w:rsidP="004C7B30">
            <w:pPr>
              <w:pStyle w:val="Prrafodelista"/>
              <w:ind w:left="0"/>
              <w:jc w:val="center"/>
              <w:rPr>
                <w:color w:val="auto"/>
                <w:sz w:val="28"/>
              </w:rPr>
            </w:pPr>
          </w:p>
        </w:tc>
      </w:tr>
      <w:tr w:rsidR="00FC25BB" w:rsidRPr="004530CF" w:rsidTr="000659F7">
        <w:trPr>
          <w:jc w:val="center"/>
        </w:trPr>
        <w:tc>
          <w:tcPr>
            <w:tcW w:w="1465" w:type="pct"/>
            <w:vAlign w:val="center"/>
          </w:tcPr>
          <w:p w:rsidR="00FC25BB" w:rsidRPr="004530CF" w:rsidRDefault="004530CF" w:rsidP="004C7B30">
            <w:pPr>
              <w:pStyle w:val="Prrafodelista"/>
              <w:ind w:left="0"/>
              <w:jc w:val="center"/>
              <w:rPr>
                <w:color w:val="auto"/>
                <w:sz w:val="28"/>
              </w:rPr>
            </w:pPr>
            <w:r w:rsidRPr="004530CF">
              <w:rPr>
                <w:rStyle w:val="Ttulo1Car"/>
                <w:rFonts w:ascii="Times New Roman" w:hAnsi="Times New Roman" w:cs="Times New Roman"/>
                <w:b w:val="0"/>
                <w:color w:val="auto"/>
                <w:sz w:val="28"/>
                <w:szCs w:val="20"/>
              </w:rPr>
              <w:t xml:space="preserve">Conceptos de organizaciones, entidades y expertos invitados </w:t>
            </w:r>
            <w:r w:rsidRPr="004530CF">
              <w:rPr>
                <w:rStyle w:val="Ttulo1Car"/>
                <w:rFonts w:ascii="Times New Roman" w:hAnsi="Times New Roman" w:cs="Times New Roman"/>
                <w:b w:val="0"/>
                <w:color w:val="auto"/>
                <w:sz w:val="28"/>
                <w:szCs w:val="20"/>
              </w:rPr>
              <w:t>(artículo 13 del Decreto 2067 de 1991)</w:t>
            </w:r>
            <w:r w:rsidRPr="004530CF">
              <w:rPr>
                <w:rStyle w:val="Refdenotaalpie"/>
                <w:color w:val="auto"/>
                <w:sz w:val="28"/>
                <w:shd w:val="clear" w:color="auto" w:fill="FFFFFF"/>
              </w:rPr>
              <w:footnoteReference w:id="12"/>
            </w:r>
            <w:r w:rsidRPr="004530CF">
              <w:rPr>
                <w:color w:val="auto"/>
                <w:sz w:val="28"/>
                <w:shd w:val="clear" w:color="auto" w:fill="FFFFFF"/>
              </w:rPr>
              <w:t>.</w:t>
            </w:r>
          </w:p>
        </w:tc>
        <w:tc>
          <w:tcPr>
            <w:tcW w:w="1162" w:type="pct"/>
            <w:vAlign w:val="center"/>
          </w:tcPr>
          <w:p w:rsidR="00FC25BB" w:rsidRPr="004530CF" w:rsidRDefault="004530CF" w:rsidP="004C7B30">
            <w:pPr>
              <w:pStyle w:val="Prrafodelista"/>
              <w:ind w:left="0"/>
              <w:jc w:val="center"/>
              <w:rPr>
                <w:color w:val="auto"/>
                <w:sz w:val="28"/>
              </w:rPr>
            </w:pPr>
            <w:r w:rsidRPr="004530CF">
              <w:rPr>
                <w:color w:val="auto"/>
                <w:sz w:val="28"/>
              </w:rPr>
              <w:t>Academia Colombiana de Jurisprudencia</w:t>
            </w:r>
          </w:p>
        </w:tc>
        <w:tc>
          <w:tcPr>
            <w:tcW w:w="1187" w:type="pct"/>
            <w:vAlign w:val="center"/>
          </w:tcPr>
          <w:p w:rsidR="00FC25BB" w:rsidRPr="004530CF" w:rsidRDefault="004530CF" w:rsidP="004C7B30">
            <w:pPr>
              <w:widowControl/>
              <w:jc w:val="center"/>
              <w:rPr>
                <w:color w:val="auto"/>
                <w:sz w:val="28"/>
              </w:rPr>
            </w:pPr>
            <w:r w:rsidRPr="004530CF">
              <w:rPr>
                <w:color w:val="auto"/>
                <w:sz w:val="28"/>
              </w:rPr>
              <w:t>Corporación Viva la Ciudadanía; Universidad Libre; Universidad de Caldas; Comisión Colombiana de Jurista</w:t>
            </w:r>
            <w:r w:rsidRPr="004530CF">
              <w:rPr>
                <w:color w:val="auto"/>
                <w:sz w:val="28"/>
              </w:rPr>
              <w:t>s</w:t>
            </w:r>
            <w:r w:rsidRPr="004530CF">
              <w:rPr>
                <w:color w:val="auto"/>
                <w:sz w:val="28"/>
              </w:rPr>
              <w:t>; Colectivo de Abogados y Abogadas “José Alvear Restrepo”</w:t>
            </w:r>
          </w:p>
        </w:tc>
        <w:tc>
          <w:tcPr>
            <w:tcW w:w="1186" w:type="pct"/>
          </w:tcPr>
          <w:p w:rsidR="00AB3E50" w:rsidRPr="004530CF" w:rsidRDefault="004530CF" w:rsidP="004C7B30">
            <w:pPr>
              <w:widowControl/>
              <w:jc w:val="center"/>
              <w:rPr>
                <w:color w:val="auto"/>
                <w:sz w:val="28"/>
              </w:rPr>
            </w:pPr>
          </w:p>
          <w:p w:rsidR="00AB3E50" w:rsidRPr="004530CF" w:rsidRDefault="004530CF" w:rsidP="004C7B30">
            <w:pPr>
              <w:widowControl/>
              <w:jc w:val="center"/>
              <w:rPr>
                <w:color w:val="auto"/>
                <w:sz w:val="28"/>
              </w:rPr>
            </w:pPr>
          </w:p>
          <w:p w:rsidR="00FC25BB" w:rsidRPr="004530CF" w:rsidRDefault="004530CF" w:rsidP="004C7B30">
            <w:pPr>
              <w:widowControl/>
              <w:jc w:val="center"/>
              <w:rPr>
                <w:color w:val="auto"/>
                <w:sz w:val="28"/>
              </w:rPr>
            </w:pPr>
            <w:r w:rsidRPr="004530CF">
              <w:rPr>
                <w:color w:val="auto"/>
                <w:sz w:val="28"/>
              </w:rPr>
              <w:t>Instituto Co</w:t>
            </w:r>
            <w:r w:rsidRPr="004530CF">
              <w:rPr>
                <w:color w:val="auto"/>
                <w:sz w:val="28"/>
              </w:rPr>
              <w:t>lombiano de Derecho Procesal - ICDP</w:t>
            </w:r>
          </w:p>
        </w:tc>
      </w:tr>
      <w:tr w:rsidR="00FC25BB" w:rsidRPr="004530CF" w:rsidTr="000659F7">
        <w:trPr>
          <w:jc w:val="center"/>
        </w:trPr>
        <w:tc>
          <w:tcPr>
            <w:tcW w:w="1465" w:type="pct"/>
            <w:vAlign w:val="center"/>
          </w:tcPr>
          <w:p w:rsidR="00FC25BB" w:rsidRPr="004530CF" w:rsidRDefault="004530CF" w:rsidP="004C7B30">
            <w:pPr>
              <w:pStyle w:val="Prrafodelista"/>
              <w:ind w:left="0"/>
              <w:jc w:val="center"/>
              <w:rPr>
                <w:rStyle w:val="Ttulo1Car"/>
                <w:rFonts w:ascii="Times New Roman" w:hAnsi="Times New Roman" w:cs="Times New Roman"/>
                <w:b w:val="0"/>
                <w:color w:val="auto"/>
                <w:sz w:val="28"/>
                <w:szCs w:val="20"/>
              </w:rPr>
            </w:pPr>
            <w:r w:rsidRPr="004530CF">
              <w:rPr>
                <w:rStyle w:val="Ttulo1Car"/>
                <w:rFonts w:ascii="Times New Roman" w:hAnsi="Times New Roman" w:cs="Times New Roman"/>
                <w:b w:val="0"/>
                <w:color w:val="auto"/>
                <w:sz w:val="28"/>
                <w:szCs w:val="20"/>
              </w:rPr>
              <w:t>Concepto del</w:t>
            </w:r>
            <w:r w:rsidRPr="004530CF">
              <w:rPr>
                <w:rStyle w:val="Ttulo1Car"/>
                <w:rFonts w:ascii="Times New Roman" w:hAnsi="Times New Roman" w:cs="Times New Roman"/>
                <w:color w:val="auto"/>
                <w:sz w:val="28"/>
                <w:szCs w:val="20"/>
              </w:rPr>
              <w:t xml:space="preserve"> </w:t>
            </w:r>
            <w:r w:rsidRPr="004530CF">
              <w:rPr>
                <w:rStyle w:val="Ttulo1Car"/>
                <w:rFonts w:ascii="Times New Roman" w:hAnsi="Times New Roman" w:cs="Times New Roman"/>
                <w:b w:val="0"/>
                <w:color w:val="auto"/>
                <w:sz w:val="28"/>
                <w:szCs w:val="20"/>
              </w:rPr>
              <w:t>Procurador General de la Nación (artículo 7 del Decreto 2067 de 1991)</w:t>
            </w:r>
          </w:p>
        </w:tc>
        <w:tc>
          <w:tcPr>
            <w:tcW w:w="3535" w:type="pct"/>
            <w:gridSpan w:val="3"/>
            <w:vAlign w:val="center"/>
          </w:tcPr>
          <w:p w:rsidR="00FC25BB" w:rsidRPr="004530CF" w:rsidRDefault="004530CF" w:rsidP="004C7B30">
            <w:pPr>
              <w:widowControl/>
              <w:jc w:val="center"/>
              <w:rPr>
                <w:color w:val="auto"/>
                <w:sz w:val="28"/>
              </w:rPr>
            </w:pPr>
            <w:r w:rsidRPr="004530CF">
              <w:rPr>
                <w:color w:val="auto"/>
                <w:sz w:val="28"/>
              </w:rPr>
              <w:t>Exequibilidad</w:t>
            </w:r>
          </w:p>
        </w:tc>
      </w:tr>
    </w:tbl>
    <w:p w:rsidR="00FC25BB" w:rsidRPr="004530CF" w:rsidRDefault="004530CF" w:rsidP="004C7B30">
      <w:pPr>
        <w:pStyle w:val="Numerales"/>
        <w:rPr>
          <w:rFonts w:ascii="Times New Roman" w:hAnsi="Times New Roman" w:cs="Times New Roman"/>
        </w:rPr>
      </w:pPr>
    </w:p>
    <w:p w:rsidR="00FC25BB" w:rsidRPr="004530CF" w:rsidRDefault="004530CF" w:rsidP="004C7B30">
      <w:pPr>
        <w:pStyle w:val="Ttulo3"/>
        <w:numPr>
          <w:ilvl w:val="0"/>
          <w:numId w:val="4"/>
        </w:numPr>
        <w:spacing w:before="0"/>
        <w:ind w:left="1276"/>
        <w:rPr>
          <w:rStyle w:val="Ttulo1Car"/>
          <w:rFonts w:ascii="Times New Roman" w:hAnsi="Times New Roman" w:cs="Times New Roman"/>
          <w:b/>
          <w:color w:val="auto"/>
          <w:sz w:val="28"/>
          <w:szCs w:val="28"/>
        </w:rPr>
      </w:pPr>
      <w:r w:rsidRPr="004530CF">
        <w:rPr>
          <w:rStyle w:val="Ttulo1Car"/>
          <w:rFonts w:ascii="Times New Roman" w:eastAsiaTheme="majorEastAsia" w:hAnsi="Times New Roman" w:cs="Times New Roman"/>
          <w:b/>
          <w:color w:val="auto"/>
          <w:sz w:val="28"/>
          <w:szCs w:val="24"/>
        </w:rPr>
        <w:t>Argumentos</w:t>
      </w:r>
      <w:r w:rsidRPr="004530CF">
        <w:rPr>
          <w:rStyle w:val="Ttulo1Car"/>
          <w:rFonts w:ascii="Times New Roman" w:eastAsiaTheme="majorEastAsia" w:hAnsi="Times New Roman" w:cs="Times New Roman"/>
          <w:b/>
          <w:color w:val="auto"/>
          <w:sz w:val="28"/>
          <w:szCs w:val="24"/>
        </w:rPr>
        <w:t xml:space="preserve"> para adoptar una decisión de</w:t>
      </w:r>
      <w:r w:rsidRPr="004530CF">
        <w:rPr>
          <w:rStyle w:val="Ttulo1Car"/>
          <w:rFonts w:ascii="Times New Roman" w:hAnsi="Times New Roman" w:cs="Times New Roman"/>
          <w:b/>
          <w:color w:val="auto"/>
          <w:sz w:val="28"/>
          <w:szCs w:val="28"/>
        </w:rPr>
        <w:t xml:space="preserve"> </w:t>
      </w:r>
      <w:r w:rsidRPr="004530CF">
        <w:rPr>
          <w:rStyle w:val="Ttulo1Car"/>
          <w:rFonts w:ascii="Times New Roman" w:hAnsi="Times New Roman" w:cs="Times New Roman"/>
          <w:b/>
          <w:color w:val="auto"/>
          <w:sz w:val="28"/>
          <w:szCs w:val="28"/>
        </w:rPr>
        <w:t>exequibilidad</w:t>
      </w:r>
    </w:p>
    <w:p w:rsidR="00FC25BB" w:rsidRPr="004530CF" w:rsidRDefault="004530CF" w:rsidP="004C7B30">
      <w:pPr>
        <w:tabs>
          <w:tab w:val="left" w:pos="567"/>
        </w:tabs>
        <w:rPr>
          <w:rFonts w:ascii="Times New Roman" w:hAnsi="Times New Roman" w:cs="Times New Roman"/>
          <w:b/>
          <w:bCs/>
          <w:i/>
          <w:iCs/>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El Consejo de Estado y la Academia Colombiana de Jurisprudencia </w:t>
      </w:r>
      <w:r w:rsidRPr="004530CF">
        <w:rPr>
          <w:rFonts w:ascii="Times New Roman" w:hAnsi="Times New Roman" w:cs="Times New Roman"/>
          <w:sz w:val="28"/>
          <w:szCs w:val="28"/>
        </w:rPr>
        <w:t>solicitan que se declare exequible la disposición demandada.</w:t>
      </w:r>
    </w:p>
    <w:p w:rsidR="006B5DD1" w:rsidRPr="004530CF" w:rsidRDefault="004530CF" w:rsidP="004C7B30">
      <w:pPr>
        <w:pStyle w:val="Prrafodelista"/>
        <w:tabs>
          <w:tab w:val="left" w:pos="567"/>
        </w:tabs>
        <w:ind w:left="0"/>
        <w:jc w:val="both"/>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El </w:t>
      </w:r>
      <w:r w:rsidRPr="004530CF">
        <w:rPr>
          <w:rFonts w:ascii="Times New Roman" w:hAnsi="Times New Roman" w:cs="Times New Roman"/>
          <w:b/>
          <w:bCs/>
          <w:i/>
          <w:iCs/>
          <w:sz w:val="28"/>
          <w:szCs w:val="28"/>
        </w:rPr>
        <w:t>Consejo de Estado</w:t>
      </w:r>
      <w:r w:rsidRPr="004530CF">
        <w:rPr>
          <w:rFonts w:ascii="Times New Roman" w:hAnsi="Times New Roman" w:cs="Times New Roman"/>
          <w:b/>
          <w:bCs/>
          <w:i/>
          <w:iCs/>
          <w:sz w:val="28"/>
          <w:szCs w:val="28"/>
        </w:rPr>
        <w:t xml:space="preserve"> </w:t>
      </w:r>
      <w:r w:rsidRPr="004530CF">
        <w:rPr>
          <w:rFonts w:ascii="Times New Roman" w:hAnsi="Times New Roman" w:cs="Times New Roman"/>
          <w:sz w:val="28"/>
          <w:szCs w:val="28"/>
        </w:rPr>
        <w:t xml:space="preserve">argumenta que la Corte debe </w:t>
      </w:r>
      <w:r w:rsidRPr="004530CF">
        <w:rPr>
          <w:rFonts w:ascii="Times New Roman" w:hAnsi="Times New Roman" w:cs="Times New Roman"/>
          <w:sz w:val="28"/>
          <w:szCs w:val="28"/>
        </w:rPr>
        <w:t>proferir una decisión de exequibilidad</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dado que </w:t>
      </w:r>
      <w:r w:rsidRPr="004530CF">
        <w:rPr>
          <w:rFonts w:ascii="Times New Roman" w:hAnsi="Times New Roman" w:cs="Times New Roman"/>
          <w:sz w:val="28"/>
          <w:szCs w:val="28"/>
        </w:rPr>
        <w:t>“</w:t>
      </w:r>
      <w:r w:rsidRPr="004530CF">
        <w:rPr>
          <w:rFonts w:ascii="Times New Roman" w:hAnsi="Times New Roman" w:cs="Times New Roman"/>
          <w:i/>
          <w:iCs/>
          <w:sz w:val="28"/>
          <w:szCs w:val="28"/>
        </w:rPr>
        <w:t>la exclusión de la doble instancia en los procesos de nulidad electoral señalados por el actor,</w:t>
      </w:r>
      <w:r w:rsidRPr="004530CF">
        <w:rPr>
          <w:rFonts w:ascii="Times New Roman" w:hAnsi="Times New Roman" w:cs="Times New Roman"/>
          <w:i/>
          <w:iCs/>
          <w:sz w:val="28"/>
          <w:szCs w:val="28"/>
        </w:rPr>
        <w:t xml:space="preserve"> no </w:t>
      </w:r>
      <w:r w:rsidRPr="004530CF">
        <w:rPr>
          <w:rFonts w:ascii="Times New Roman" w:hAnsi="Times New Roman" w:cs="Times New Roman"/>
          <w:iCs/>
          <w:sz w:val="28"/>
          <w:szCs w:val="28"/>
        </w:rPr>
        <w:t>[es]</w:t>
      </w:r>
      <w:r w:rsidRPr="004530CF">
        <w:rPr>
          <w:rFonts w:ascii="Times New Roman" w:hAnsi="Times New Roman" w:cs="Times New Roman"/>
          <w:i/>
          <w:iCs/>
          <w:sz w:val="28"/>
          <w:szCs w:val="28"/>
        </w:rPr>
        <w:t xml:space="preserve"> irrazonable ni desproporcionada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y, en consecuencia,</w:t>
      </w:r>
      <w:r w:rsidRPr="004530CF">
        <w:rPr>
          <w:rFonts w:ascii="Times New Roman" w:hAnsi="Times New Roman" w:cs="Times New Roman"/>
          <w:sz w:val="28"/>
          <w:szCs w:val="28"/>
        </w:rPr>
        <w:t xml:space="preserve"> no afecta el debido proceso. Sostiene que la norma reprochada se encuentra dentro del margen de configuración normativa que la Constitución Política le otorga al legisla</w:t>
      </w:r>
      <w:r w:rsidRPr="004530CF">
        <w:rPr>
          <w:rFonts w:ascii="Times New Roman" w:hAnsi="Times New Roman" w:cs="Times New Roman"/>
          <w:sz w:val="28"/>
          <w:szCs w:val="28"/>
        </w:rPr>
        <w:t>dor</w:t>
      </w:r>
      <w:r w:rsidRPr="004530CF">
        <w:rPr>
          <w:rFonts w:ascii="Times New Roman" w:hAnsi="Times New Roman" w:cs="Times New Roman"/>
          <w:sz w:val="28"/>
          <w:szCs w:val="28"/>
        </w:rPr>
        <w:t>. Aduce que las person</w:t>
      </w:r>
      <w:r w:rsidRPr="004530CF">
        <w:rPr>
          <w:rFonts w:ascii="Times New Roman" w:hAnsi="Times New Roman" w:cs="Times New Roman"/>
          <w:sz w:val="28"/>
          <w:szCs w:val="28"/>
        </w:rPr>
        <w:t>as demandadas en un proceso de nulidad electoral, “</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cuentan con otras vías judiciales para cuestionar las providencias que se produzcan en su contra vía nulidad electoral cuando se reúnan las condiciones para el efecto, a través del recurso extraordinar</w:t>
      </w:r>
      <w:r w:rsidRPr="004530CF">
        <w:rPr>
          <w:rFonts w:ascii="Times New Roman" w:hAnsi="Times New Roman" w:cs="Times New Roman"/>
          <w:i/>
          <w:iCs/>
          <w:sz w:val="28"/>
          <w:szCs w:val="28"/>
        </w:rPr>
        <w:t>io de revisión e, incluso, la misma acción de tutela</w:t>
      </w:r>
      <w:r w:rsidRPr="004530CF">
        <w:rPr>
          <w:rFonts w:ascii="Times New Roman" w:hAnsi="Times New Roman" w:cs="Times New Roman"/>
          <w:sz w:val="28"/>
          <w:szCs w:val="28"/>
        </w:rPr>
        <w:t xml:space="preserve">”. </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Asimismo, señala que el principio de doble conformidad “</w:t>
      </w:r>
      <w:r w:rsidRPr="004530CF">
        <w:rPr>
          <w:rFonts w:ascii="Times New Roman" w:hAnsi="Times New Roman" w:cs="Times New Roman"/>
          <w:i/>
          <w:iCs/>
          <w:sz w:val="28"/>
          <w:szCs w:val="28"/>
        </w:rPr>
        <w:t xml:space="preserve">se circunscribe a </w:t>
      </w:r>
      <w:r w:rsidRPr="004530CF">
        <w:rPr>
          <w:rFonts w:ascii="Times New Roman" w:hAnsi="Times New Roman" w:cs="Times New Roman"/>
          <w:iCs/>
          <w:sz w:val="28"/>
          <w:szCs w:val="28"/>
        </w:rPr>
        <w:t xml:space="preserve">[las] </w:t>
      </w:r>
      <w:r w:rsidRPr="004530CF">
        <w:rPr>
          <w:rFonts w:ascii="Times New Roman" w:hAnsi="Times New Roman" w:cs="Times New Roman"/>
          <w:i/>
          <w:iCs/>
          <w:sz w:val="28"/>
          <w:szCs w:val="28"/>
        </w:rPr>
        <w:t>decisiones de carácter sancionatorio</w:t>
      </w:r>
      <w:r w:rsidRPr="004530CF">
        <w:rPr>
          <w:rFonts w:ascii="Times New Roman" w:hAnsi="Times New Roman" w:cs="Times New Roman"/>
          <w:sz w:val="28"/>
          <w:szCs w:val="28"/>
        </w:rPr>
        <w:t>”, y que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el juicio de nulidad electoral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 xml:space="preserve">no se lleva a cabo un estudio de </w:t>
      </w:r>
      <w:r w:rsidRPr="004530CF">
        <w:rPr>
          <w:rFonts w:ascii="Times New Roman" w:hAnsi="Times New Roman" w:cs="Times New Roman"/>
          <w:i/>
          <w:iCs/>
          <w:sz w:val="28"/>
          <w:szCs w:val="28"/>
        </w:rPr>
        <w:t>culpabilidad y, por ende, su propósito no es imponer sanciones a los elegidos por su conducta, pues simplemente se realiza un análisis objetivo del acto de designación</w:t>
      </w:r>
      <w:r w:rsidRPr="004530CF">
        <w:rPr>
          <w:rFonts w:ascii="Times New Roman" w:hAnsi="Times New Roman" w:cs="Times New Roman"/>
          <w:sz w:val="28"/>
          <w:szCs w:val="28"/>
        </w:rPr>
        <w:t>”, razón por la cual “</w:t>
      </w:r>
      <w:r w:rsidRPr="004530CF">
        <w:rPr>
          <w:rFonts w:ascii="Times New Roman" w:hAnsi="Times New Roman" w:cs="Times New Roman"/>
          <w:i/>
          <w:iCs/>
          <w:sz w:val="28"/>
          <w:szCs w:val="28"/>
        </w:rPr>
        <w:t>resulta impropio predicar que en el referido medio de control tiene</w:t>
      </w:r>
      <w:r w:rsidRPr="004530CF">
        <w:rPr>
          <w:rFonts w:ascii="Times New Roman" w:hAnsi="Times New Roman" w:cs="Times New Roman"/>
          <w:i/>
          <w:iCs/>
          <w:sz w:val="28"/>
          <w:szCs w:val="28"/>
        </w:rPr>
        <w:t xml:space="preserve"> lugar el principio de doble conformidad</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Además, d</w:t>
      </w:r>
      <w:r w:rsidRPr="004530CF">
        <w:rPr>
          <w:rFonts w:ascii="Times New Roman" w:hAnsi="Times New Roman" w:cs="Times New Roman"/>
          <w:sz w:val="28"/>
          <w:szCs w:val="28"/>
        </w:rPr>
        <w:t>estaca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que la nulidad electoral es de naturaleza especial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cuanto “</w:t>
      </w:r>
      <w:r w:rsidRPr="004530CF">
        <w:rPr>
          <w:rFonts w:ascii="Times New Roman" w:hAnsi="Times New Roman" w:cs="Times New Roman"/>
          <w:i/>
          <w:iCs/>
          <w:sz w:val="28"/>
          <w:szCs w:val="28"/>
        </w:rPr>
        <w:t>el tipo de actos que estudia, requiere celeridad en su decisión, máxime tratándose de altos dignatarios del Estado</w:t>
      </w:r>
      <w:r w:rsidRPr="004530CF">
        <w:rPr>
          <w:rFonts w:ascii="Times New Roman" w:hAnsi="Times New Roman" w:cs="Times New Roman"/>
          <w:sz w:val="28"/>
          <w:szCs w:val="28"/>
        </w:rPr>
        <w:t>”.</w:t>
      </w:r>
    </w:p>
    <w:p w:rsidR="006B5DD1" w:rsidRPr="004530CF" w:rsidRDefault="004530CF" w:rsidP="004C7B30">
      <w:pPr>
        <w:pStyle w:val="Prrafodelista"/>
        <w:ind w:left="0"/>
        <w:rPr>
          <w:rFonts w:ascii="Times New Roman" w:hAnsi="Times New Roman" w:cs="Times New Roman"/>
          <w:sz w:val="28"/>
          <w:szCs w:val="28"/>
        </w:rPr>
      </w:pPr>
    </w:p>
    <w:p w:rsidR="00D668DF"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También señala q</w:t>
      </w:r>
      <w:r w:rsidRPr="004530CF">
        <w:rPr>
          <w:rFonts w:ascii="Times New Roman" w:hAnsi="Times New Roman" w:cs="Times New Roman"/>
          <w:sz w:val="28"/>
          <w:szCs w:val="28"/>
        </w:rPr>
        <w:t xml:space="preserve">ue el parágrafo del artículo 264 de la Constitución, </w:t>
      </w:r>
      <w:r w:rsidRPr="004530CF">
        <w:rPr>
          <w:rFonts w:ascii="Times New Roman" w:hAnsi="Times New Roman" w:cs="Times New Roman"/>
          <w:sz w:val="28"/>
          <w:szCs w:val="28"/>
        </w:rPr>
        <w:t xml:space="preserve">prescribe que el término para </w:t>
      </w:r>
      <w:r w:rsidRPr="004530CF">
        <w:rPr>
          <w:rFonts w:ascii="Times New Roman" w:hAnsi="Times New Roman" w:cs="Times New Roman"/>
          <w:sz w:val="28"/>
          <w:szCs w:val="28"/>
        </w:rPr>
        <w:t xml:space="preserve">fallar la nulidad electoral </w:t>
      </w:r>
      <w:r w:rsidRPr="004530CF">
        <w:rPr>
          <w:rFonts w:ascii="Times New Roman" w:hAnsi="Times New Roman" w:cs="Times New Roman"/>
          <w:sz w:val="28"/>
          <w:szCs w:val="28"/>
        </w:rPr>
        <w:t>será</w:t>
      </w:r>
      <w:r w:rsidRPr="004530CF">
        <w:rPr>
          <w:rFonts w:ascii="Times New Roman" w:hAnsi="Times New Roman" w:cs="Times New Roman"/>
          <w:sz w:val="28"/>
          <w:szCs w:val="28"/>
        </w:rPr>
        <w:t xml:space="preserve"> de </w:t>
      </w:r>
      <w:r w:rsidRPr="004530CF">
        <w:rPr>
          <w:rFonts w:ascii="Times New Roman" w:hAnsi="Times New Roman" w:cs="Times New Roman"/>
          <w:sz w:val="28"/>
          <w:szCs w:val="28"/>
        </w:rPr>
        <w:t>un (</w:t>
      </w:r>
      <w:r w:rsidRPr="004530CF">
        <w:rPr>
          <w:rFonts w:ascii="Times New Roman" w:hAnsi="Times New Roman" w:cs="Times New Roman"/>
          <w:sz w:val="28"/>
          <w:szCs w:val="28"/>
        </w:rPr>
        <w:t>1</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año, excepto en los casos de única instancia donde el término será de </w:t>
      </w:r>
      <w:r w:rsidRPr="004530CF">
        <w:rPr>
          <w:rFonts w:ascii="Times New Roman" w:hAnsi="Times New Roman" w:cs="Times New Roman"/>
          <w:sz w:val="28"/>
          <w:szCs w:val="28"/>
        </w:rPr>
        <w:t>seis (</w:t>
      </w:r>
      <w:r w:rsidRPr="004530CF">
        <w:rPr>
          <w:rFonts w:ascii="Times New Roman" w:hAnsi="Times New Roman" w:cs="Times New Roman"/>
          <w:sz w:val="28"/>
          <w:szCs w:val="28"/>
        </w:rPr>
        <w:t>6</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meses. Sos</w:t>
      </w:r>
      <w:r w:rsidRPr="004530CF">
        <w:rPr>
          <w:rFonts w:ascii="Times New Roman" w:hAnsi="Times New Roman" w:cs="Times New Roman"/>
          <w:sz w:val="28"/>
          <w:szCs w:val="28"/>
        </w:rPr>
        <w:t>tiene que “</w:t>
      </w:r>
      <w:r w:rsidRPr="004530CF">
        <w:rPr>
          <w:rFonts w:ascii="Times New Roman" w:hAnsi="Times New Roman" w:cs="Times New Roman"/>
          <w:i/>
          <w:iCs/>
          <w:sz w:val="28"/>
          <w:szCs w:val="28"/>
        </w:rPr>
        <w:t xml:space="preserve">fue el mismo </w:t>
      </w:r>
      <w:r w:rsidRPr="004530CF">
        <w:rPr>
          <w:rFonts w:ascii="Times New Roman" w:hAnsi="Times New Roman" w:cs="Times New Roman"/>
          <w:i/>
          <w:iCs/>
          <w:sz w:val="28"/>
          <w:szCs w:val="28"/>
        </w:rPr>
        <w:t>C</w:t>
      </w:r>
      <w:r w:rsidRPr="004530CF">
        <w:rPr>
          <w:rFonts w:ascii="Times New Roman" w:hAnsi="Times New Roman" w:cs="Times New Roman"/>
          <w:i/>
          <w:iCs/>
          <w:sz w:val="28"/>
          <w:szCs w:val="28"/>
        </w:rPr>
        <w:t xml:space="preserve">onstituyente el </w:t>
      </w:r>
      <w:r w:rsidRPr="004530CF">
        <w:rPr>
          <w:rFonts w:ascii="Times New Roman" w:hAnsi="Times New Roman" w:cs="Times New Roman"/>
          <w:i/>
          <w:iCs/>
          <w:sz w:val="28"/>
          <w:szCs w:val="28"/>
        </w:rPr>
        <w:t>que determinó que este tipo de juicios deben resolverse de manera célere, sobre todo si se tiene en cuenta que los funcionarios enlistados en la norma acusada están sometidos a un período para el ejercicio de sus cargos y, resulta extremadamente urgente qu</w:t>
      </w:r>
      <w:r w:rsidRPr="004530CF">
        <w:rPr>
          <w:rFonts w:ascii="Times New Roman" w:hAnsi="Times New Roman" w:cs="Times New Roman"/>
          <w:i/>
          <w:iCs/>
          <w:sz w:val="28"/>
          <w:szCs w:val="28"/>
        </w:rPr>
        <w:t>e se decida en forma temprana su permanencia o no en aquellos</w:t>
      </w:r>
      <w:r w:rsidRPr="004530CF">
        <w:rPr>
          <w:rFonts w:ascii="Times New Roman" w:hAnsi="Times New Roman" w:cs="Times New Roman"/>
          <w:i/>
          <w:iCs/>
          <w:sz w:val="28"/>
          <w:szCs w:val="28"/>
        </w:rPr>
        <w:t>,</w:t>
      </w:r>
      <w:r w:rsidRPr="004530CF">
        <w:rPr>
          <w:rFonts w:ascii="Times New Roman" w:hAnsi="Times New Roman" w:cs="Times New Roman"/>
          <w:i/>
          <w:iCs/>
          <w:sz w:val="28"/>
          <w:szCs w:val="28"/>
        </w:rPr>
        <w:t xml:space="preserve"> so pena de afectar principios superiores tales como la institucionalidad y el principio democrático del Estado Social de Derecho</w:t>
      </w:r>
      <w:r w:rsidRPr="004530CF">
        <w:rPr>
          <w:rFonts w:ascii="Times New Roman" w:hAnsi="Times New Roman" w:cs="Times New Roman"/>
          <w:sz w:val="28"/>
          <w:szCs w:val="28"/>
        </w:rPr>
        <w:t>”.</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La </w:t>
      </w:r>
      <w:r w:rsidRPr="004530CF">
        <w:rPr>
          <w:rFonts w:ascii="Times New Roman" w:hAnsi="Times New Roman" w:cs="Times New Roman"/>
          <w:b/>
          <w:bCs/>
          <w:i/>
          <w:iCs/>
          <w:sz w:val="28"/>
          <w:szCs w:val="28"/>
        </w:rPr>
        <w:t>Academia Colombiana de Jurisprudencia</w:t>
      </w:r>
      <w:r w:rsidRPr="004530CF">
        <w:rPr>
          <w:rFonts w:ascii="Times New Roman" w:hAnsi="Times New Roman" w:cs="Times New Roman"/>
          <w:sz w:val="28"/>
          <w:szCs w:val="28"/>
        </w:rPr>
        <w:t xml:space="preserve"> defiende la constitu</w:t>
      </w:r>
      <w:r w:rsidRPr="004530CF">
        <w:rPr>
          <w:rFonts w:ascii="Times New Roman" w:hAnsi="Times New Roman" w:cs="Times New Roman"/>
          <w:sz w:val="28"/>
          <w:szCs w:val="28"/>
        </w:rPr>
        <w:t>cionalidad de la norma y señala que “</w:t>
      </w:r>
      <w:r w:rsidRPr="004530CF">
        <w:rPr>
          <w:rFonts w:ascii="Times New Roman" w:hAnsi="Times New Roman" w:cs="Times New Roman"/>
          <w:i/>
          <w:iCs/>
          <w:sz w:val="28"/>
          <w:szCs w:val="28"/>
        </w:rPr>
        <w:t>el demandante incurre en un yerro conceptual</w:t>
      </w:r>
      <w:r w:rsidRPr="004530CF">
        <w:rPr>
          <w:rFonts w:ascii="Times New Roman" w:hAnsi="Times New Roman" w:cs="Times New Roman"/>
          <w:iCs/>
          <w:sz w:val="28"/>
          <w:szCs w:val="28"/>
        </w:rPr>
        <w:t>[,]</w:t>
      </w:r>
      <w:r w:rsidRPr="004530CF">
        <w:rPr>
          <w:rFonts w:ascii="Times New Roman" w:hAnsi="Times New Roman" w:cs="Times New Roman"/>
          <w:i/>
          <w:iCs/>
          <w:sz w:val="28"/>
          <w:szCs w:val="28"/>
        </w:rPr>
        <w:t xml:space="preserve"> al pretender que las garantías propias del derecho penal, como la de la doble instancia, se trasladen sin matices al ámbito de las decisiones judiciales de la </w:t>
      </w:r>
      <w:r w:rsidRPr="004530CF">
        <w:rPr>
          <w:rFonts w:ascii="Times New Roman" w:hAnsi="Times New Roman" w:cs="Times New Roman"/>
          <w:i/>
          <w:iCs/>
          <w:sz w:val="28"/>
          <w:szCs w:val="28"/>
        </w:rPr>
        <w:t>J</w:t>
      </w:r>
      <w:r w:rsidRPr="004530CF">
        <w:rPr>
          <w:rFonts w:ascii="Times New Roman" w:hAnsi="Times New Roman" w:cs="Times New Roman"/>
          <w:i/>
          <w:iCs/>
          <w:sz w:val="28"/>
          <w:szCs w:val="28"/>
        </w:rPr>
        <w:t>urisdicción</w:t>
      </w:r>
      <w:r w:rsidRPr="004530CF">
        <w:rPr>
          <w:rFonts w:ascii="Times New Roman" w:hAnsi="Times New Roman" w:cs="Times New Roman"/>
          <w:i/>
          <w:iCs/>
          <w:sz w:val="28"/>
          <w:szCs w:val="28"/>
        </w:rPr>
        <w:t xml:space="preserve"> de lo </w:t>
      </w:r>
      <w:r w:rsidRPr="004530CF">
        <w:rPr>
          <w:rFonts w:ascii="Times New Roman" w:hAnsi="Times New Roman" w:cs="Times New Roman"/>
          <w:i/>
          <w:iCs/>
          <w:sz w:val="28"/>
          <w:szCs w:val="28"/>
        </w:rPr>
        <w:t>C</w:t>
      </w:r>
      <w:r w:rsidRPr="004530CF">
        <w:rPr>
          <w:rFonts w:ascii="Times New Roman" w:hAnsi="Times New Roman" w:cs="Times New Roman"/>
          <w:i/>
          <w:iCs/>
          <w:sz w:val="28"/>
          <w:szCs w:val="28"/>
        </w:rPr>
        <w:t xml:space="preserve">ontencioso </w:t>
      </w:r>
      <w:r w:rsidRPr="004530CF">
        <w:rPr>
          <w:rFonts w:ascii="Times New Roman" w:hAnsi="Times New Roman" w:cs="Times New Roman"/>
          <w:i/>
          <w:iCs/>
          <w:sz w:val="28"/>
          <w:szCs w:val="28"/>
        </w:rPr>
        <w:t>A</w:t>
      </w:r>
      <w:r w:rsidRPr="004530CF">
        <w:rPr>
          <w:rFonts w:ascii="Times New Roman" w:hAnsi="Times New Roman" w:cs="Times New Roman"/>
          <w:i/>
          <w:iCs/>
          <w:sz w:val="28"/>
          <w:szCs w:val="28"/>
        </w:rPr>
        <w:t>dministrativo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ya que</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implicaría una rigidez incompatible con la naturaleza dinámica y flexible que requiere la regulación de los derechos políticos</w:t>
      </w:r>
      <w:r w:rsidRPr="004530CF">
        <w:rPr>
          <w:rFonts w:ascii="Times New Roman" w:hAnsi="Times New Roman" w:cs="Times New Roman"/>
          <w:sz w:val="28"/>
          <w:szCs w:val="28"/>
        </w:rPr>
        <w:t>”. Por otro lado, señala que “</w:t>
      </w:r>
      <w:r w:rsidRPr="004530CF">
        <w:rPr>
          <w:rFonts w:ascii="Times New Roman" w:hAnsi="Times New Roman" w:cs="Times New Roman"/>
          <w:i/>
          <w:iCs/>
          <w:sz w:val="28"/>
          <w:szCs w:val="28"/>
        </w:rPr>
        <w:t>la doble instancia sólo puede considerarse un derecho fu</w:t>
      </w:r>
      <w:r w:rsidRPr="004530CF">
        <w:rPr>
          <w:rFonts w:ascii="Times New Roman" w:hAnsi="Times New Roman" w:cs="Times New Roman"/>
          <w:i/>
          <w:iCs/>
          <w:sz w:val="28"/>
          <w:szCs w:val="28"/>
        </w:rPr>
        <w:t>ndamental inalienable en materia penal y en los procesos de tutela</w:t>
      </w:r>
      <w:r w:rsidRPr="004530CF">
        <w:rPr>
          <w:rFonts w:ascii="Times New Roman" w:hAnsi="Times New Roman" w:cs="Times New Roman"/>
          <w:sz w:val="28"/>
          <w:szCs w:val="28"/>
        </w:rPr>
        <w:t>”. Finalmente sostiene que “</w:t>
      </w:r>
      <w:r w:rsidRPr="004530CF">
        <w:rPr>
          <w:rFonts w:ascii="Times New Roman" w:hAnsi="Times New Roman" w:cs="Times New Roman"/>
          <w:i/>
          <w:iCs/>
          <w:sz w:val="28"/>
          <w:szCs w:val="28"/>
        </w:rPr>
        <w:t>el amplio margen de configuración legislativa reconocido al Congreso en materia de procedimientos judiciales y administrativos permite diseñar reglas procesales q</w:t>
      </w:r>
      <w:r w:rsidRPr="004530CF">
        <w:rPr>
          <w:rFonts w:ascii="Times New Roman" w:hAnsi="Times New Roman" w:cs="Times New Roman"/>
          <w:i/>
          <w:iCs/>
          <w:sz w:val="28"/>
          <w:szCs w:val="28"/>
        </w:rPr>
        <w:t>ue respondan a las particularidades del derecho electoral, sin comprometer los principios constitucionales que rigen el Estado Social de Derecho</w:t>
      </w:r>
      <w:r w:rsidRPr="004530CF">
        <w:rPr>
          <w:rFonts w:ascii="Times New Roman" w:hAnsi="Times New Roman" w:cs="Times New Roman"/>
          <w:iCs/>
          <w:sz w:val="28"/>
          <w:szCs w:val="28"/>
        </w:rPr>
        <w:t>”</w:t>
      </w:r>
      <w:r w:rsidRPr="004530CF">
        <w:rPr>
          <w:rFonts w:ascii="Times New Roman" w:hAnsi="Times New Roman" w:cs="Times New Roman"/>
          <w:i/>
          <w:iCs/>
          <w:sz w:val="28"/>
          <w:szCs w:val="28"/>
        </w:rPr>
        <w:t>.</w:t>
      </w:r>
    </w:p>
    <w:p w:rsidR="002B05C3" w:rsidRPr="004530CF" w:rsidRDefault="004530CF" w:rsidP="004C7B30">
      <w:pPr>
        <w:pStyle w:val="Prrafodelista"/>
        <w:ind w:left="0"/>
        <w:jc w:val="both"/>
        <w:rPr>
          <w:rFonts w:ascii="Times New Roman" w:hAnsi="Times New Roman" w:cs="Times New Roman"/>
          <w:i/>
          <w:iCs/>
          <w:sz w:val="28"/>
          <w:szCs w:val="28"/>
        </w:rPr>
      </w:pPr>
    </w:p>
    <w:p w:rsidR="00FC25BB" w:rsidRPr="004530CF" w:rsidRDefault="004530CF" w:rsidP="004C7B30">
      <w:pPr>
        <w:pStyle w:val="Ttulo3"/>
        <w:numPr>
          <w:ilvl w:val="0"/>
          <w:numId w:val="4"/>
        </w:numPr>
        <w:spacing w:before="0"/>
        <w:ind w:left="1134" w:hanging="567"/>
        <w:jc w:val="both"/>
        <w:rPr>
          <w:rFonts w:ascii="Times New Roman" w:eastAsia="Cambria" w:hAnsi="Times New Roman" w:cs="Times New Roman"/>
          <w:b w:val="0"/>
          <w:color w:val="auto"/>
        </w:rPr>
      </w:pPr>
      <w:r w:rsidRPr="004530CF">
        <w:rPr>
          <w:rStyle w:val="Ttulo1Car"/>
          <w:rFonts w:ascii="Times New Roman" w:hAnsi="Times New Roman" w:cs="Times New Roman"/>
          <w:b/>
          <w:color w:val="auto"/>
          <w:sz w:val="28"/>
          <w:szCs w:val="28"/>
        </w:rPr>
        <w:t xml:space="preserve">Argumentos </w:t>
      </w:r>
      <w:r w:rsidRPr="004530CF">
        <w:rPr>
          <w:rStyle w:val="Ttulo1Car"/>
          <w:rFonts w:ascii="Times New Roman" w:hAnsi="Times New Roman" w:cs="Times New Roman"/>
          <w:b/>
          <w:color w:val="auto"/>
          <w:sz w:val="28"/>
          <w:szCs w:val="28"/>
        </w:rPr>
        <w:t xml:space="preserve">para adoptar </w:t>
      </w:r>
      <w:r w:rsidRPr="004530CF">
        <w:rPr>
          <w:rStyle w:val="Ttulo1Car"/>
          <w:rFonts w:ascii="Times New Roman" w:hAnsi="Times New Roman" w:cs="Times New Roman"/>
          <w:b/>
          <w:color w:val="auto"/>
          <w:sz w:val="28"/>
          <w:szCs w:val="28"/>
        </w:rPr>
        <w:t>una sentencia modulada</w:t>
      </w:r>
    </w:p>
    <w:p w:rsidR="00FC25BB" w:rsidRPr="004530CF" w:rsidRDefault="004530CF" w:rsidP="004C7B30">
      <w:pPr>
        <w:pStyle w:val="Prrafodelista"/>
        <w:tabs>
          <w:tab w:val="left" w:pos="567"/>
        </w:tabs>
        <w:ind w:left="0"/>
        <w:jc w:val="both"/>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Para la Corporación Viva la Ciudadanía, la Universidad Libre, la Universidad de Caldas, la Comisión Colombiana de Juristas y el Colectivo de Abogadas y Abogados “José Alvear Restrepo”, los cargos propuestos por el demandante deben prosperar y como consecue</w:t>
      </w:r>
      <w:r w:rsidRPr="004530CF">
        <w:rPr>
          <w:rFonts w:ascii="Times New Roman" w:hAnsi="Times New Roman" w:cs="Times New Roman"/>
          <w:sz w:val="28"/>
          <w:szCs w:val="28"/>
        </w:rPr>
        <w:t xml:space="preserve">ncia se debe </w:t>
      </w:r>
      <w:r w:rsidRPr="004530CF">
        <w:rPr>
          <w:rFonts w:ascii="Times New Roman" w:hAnsi="Times New Roman" w:cs="Times New Roman"/>
          <w:sz w:val="28"/>
          <w:szCs w:val="28"/>
        </w:rPr>
        <w:t>adoptar una decisión modulada</w:t>
      </w:r>
      <w:r w:rsidRPr="004530CF">
        <w:rPr>
          <w:rFonts w:ascii="Times New Roman" w:hAnsi="Times New Roman" w:cs="Times New Roman"/>
          <w:sz w:val="28"/>
          <w:szCs w:val="28"/>
        </w:rPr>
        <w:t>.</w:t>
      </w:r>
    </w:p>
    <w:p w:rsidR="006B5DD1" w:rsidRPr="004530CF" w:rsidRDefault="004530CF" w:rsidP="004C7B30">
      <w:pPr>
        <w:pStyle w:val="Prrafodelista"/>
        <w:tabs>
          <w:tab w:val="left" w:pos="567"/>
        </w:tabs>
        <w:ind w:left="0"/>
        <w:jc w:val="both"/>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La </w:t>
      </w:r>
      <w:r w:rsidRPr="004530CF">
        <w:rPr>
          <w:rFonts w:ascii="Times New Roman" w:hAnsi="Times New Roman" w:cs="Times New Roman"/>
          <w:b/>
          <w:bCs/>
          <w:i/>
          <w:iCs/>
          <w:sz w:val="28"/>
          <w:szCs w:val="28"/>
        </w:rPr>
        <w:t>Corporación Viva la Ciudadanía</w:t>
      </w:r>
      <w:r w:rsidRPr="004530CF">
        <w:rPr>
          <w:rFonts w:ascii="Times New Roman" w:hAnsi="Times New Roman" w:cs="Times New Roman"/>
          <w:sz w:val="28"/>
          <w:szCs w:val="28"/>
        </w:rPr>
        <w:t xml:space="preserve"> solicita la </w:t>
      </w:r>
      <w:r w:rsidRPr="004530CF">
        <w:rPr>
          <w:rFonts w:ascii="Times New Roman" w:hAnsi="Times New Roman" w:cs="Times New Roman"/>
          <w:sz w:val="28"/>
          <w:szCs w:val="28"/>
        </w:rPr>
        <w:t>“</w:t>
      </w:r>
      <w:r w:rsidRPr="004530CF">
        <w:rPr>
          <w:rFonts w:ascii="Times New Roman" w:hAnsi="Times New Roman" w:cs="Times New Roman"/>
          <w:i/>
          <w:iCs/>
          <w:sz w:val="28"/>
          <w:szCs w:val="28"/>
        </w:rPr>
        <w:t>exequibilidad condicionada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 la</w:t>
      </w:r>
      <w:r w:rsidRPr="004530CF">
        <w:rPr>
          <w:rFonts w:ascii="Times New Roman" w:hAnsi="Times New Roman" w:cs="Times New Roman"/>
          <w:sz w:val="28"/>
          <w:szCs w:val="28"/>
        </w:rPr>
        <w:t xml:space="preserve"> disposición</w:t>
      </w:r>
      <w:r w:rsidRPr="004530CF">
        <w:rPr>
          <w:rFonts w:ascii="Times New Roman" w:hAnsi="Times New Roman" w:cs="Times New Roman"/>
          <w:sz w:val="28"/>
          <w:szCs w:val="28"/>
        </w:rPr>
        <w:t xml:space="preserve"> demandada, al no consagrar la doble instancia en el proceso de nulidad electoral, pese a que “[e]</w:t>
      </w:r>
      <w:r w:rsidRPr="004530CF">
        <w:rPr>
          <w:rFonts w:ascii="Times New Roman" w:hAnsi="Times New Roman" w:cs="Times New Roman"/>
          <w:i/>
          <w:iCs/>
          <w:sz w:val="28"/>
          <w:szCs w:val="28"/>
        </w:rPr>
        <w:t>ste principio ha tras</w:t>
      </w:r>
      <w:r w:rsidRPr="004530CF">
        <w:rPr>
          <w:rFonts w:ascii="Times New Roman" w:hAnsi="Times New Roman" w:cs="Times New Roman"/>
          <w:i/>
          <w:iCs/>
          <w:sz w:val="28"/>
          <w:szCs w:val="28"/>
        </w:rPr>
        <w:t>cendido progresivamente a otras esferas del derecho</w:t>
      </w:r>
      <w:r w:rsidRPr="004530CF">
        <w:rPr>
          <w:rFonts w:ascii="Times New Roman" w:hAnsi="Times New Roman" w:cs="Times New Roman"/>
          <w:sz w:val="28"/>
          <w:szCs w:val="28"/>
        </w:rPr>
        <w:t>”. A su vez,</w:t>
      </w:r>
      <w:r w:rsidRPr="004530CF">
        <w:rPr>
          <w:rFonts w:ascii="Times New Roman" w:hAnsi="Times New Roman" w:cs="Times New Roman"/>
          <w:sz w:val="28"/>
          <w:szCs w:val="28"/>
        </w:rPr>
        <w:t xml:space="preserve"> precisa</w:t>
      </w:r>
      <w:r w:rsidRPr="004530CF">
        <w:rPr>
          <w:rFonts w:ascii="Times New Roman" w:hAnsi="Times New Roman" w:cs="Times New Roman"/>
          <w:sz w:val="28"/>
          <w:szCs w:val="28"/>
        </w:rPr>
        <w:t xml:space="preserve"> que “</w:t>
      </w:r>
      <w:r w:rsidRPr="004530CF">
        <w:rPr>
          <w:rFonts w:ascii="Times New Roman" w:hAnsi="Times New Roman" w:cs="Times New Roman"/>
          <w:i/>
          <w:iCs/>
          <w:sz w:val="28"/>
          <w:szCs w:val="28"/>
        </w:rPr>
        <w:t>la nulidad tiene una condición limitante de derechos políticos que no solo impacta al funcionario/a elegido que debe abandonar su cargo, sino a la misma ciudadanía</w:t>
      </w:r>
      <w:r w:rsidRPr="004530CF">
        <w:rPr>
          <w:rFonts w:ascii="Times New Roman" w:hAnsi="Times New Roman" w:cs="Times New Roman"/>
          <w:iCs/>
          <w:sz w:val="28"/>
          <w:szCs w:val="28"/>
        </w:rPr>
        <w:t>[,]</w:t>
      </w:r>
      <w:r w:rsidRPr="004530CF">
        <w:rPr>
          <w:rFonts w:ascii="Times New Roman" w:hAnsi="Times New Roman" w:cs="Times New Roman"/>
          <w:i/>
          <w:iCs/>
          <w:sz w:val="28"/>
          <w:szCs w:val="28"/>
        </w:rPr>
        <w:t xml:space="preserve"> que por medio de su voto</w:t>
      </w:r>
      <w:r w:rsidRPr="004530CF">
        <w:rPr>
          <w:rFonts w:ascii="Times New Roman" w:hAnsi="Times New Roman" w:cs="Times New Roman"/>
          <w:iCs/>
          <w:sz w:val="28"/>
          <w:szCs w:val="28"/>
        </w:rPr>
        <w:t>[,]</w:t>
      </w:r>
      <w:r w:rsidRPr="004530CF">
        <w:rPr>
          <w:rFonts w:ascii="Times New Roman" w:hAnsi="Times New Roman" w:cs="Times New Roman"/>
          <w:i/>
          <w:iCs/>
          <w:sz w:val="28"/>
          <w:szCs w:val="28"/>
        </w:rPr>
        <w:t xml:space="preserve"> lo escogió para que les represente en distintos espacios del ámbito político</w:t>
      </w:r>
      <w:r w:rsidRPr="004530CF">
        <w:rPr>
          <w:rFonts w:ascii="Times New Roman" w:hAnsi="Times New Roman" w:cs="Times New Roman"/>
          <w:sz w:val="28"/>
          <w:szCs w:val="28"/>
        </w:rPr>
        <w:t xml:space="preserve">”. </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Asimismo,</w:t>
      </w:r>
      <w:r w:rsidRPr="004530CF">
        <w:rPr>
          <w:rFonts w:ascii="Times New Roman" w:hAnsi="Times New Roman" w:cs="Times New Roman"/>
          <w:sz w:val="28"/>
          <w:szCs w:val="28"/>
        </w:rPr>
        <w:t xml:space="preserve"> señaló</w:t>
      </w:r>
      <w:r w:rsidRPr="004530CF">
        <w:rPr>
          <w:rFonts w:ascii="Times New Roman" w:hAnsi="Times New Roman" w:cs="Times New Roman"/>
          <w:sz w:val="28"/>
          <w:szCs w:val="28"/>
        </w:rPr>
        <w:t xml:space="preserve"> que la disposición “</w:t>
      </w:r>
      <w:r w:rsidRPr="004530CF">
        <w:rPr>
          <w:rFonts w:ascii="Times New Roman" w:hAnsi="Times New Roman" w:cs="Times New Roman"/>
          <w:i/>
          <w:iCs/>
          <w:sz w:val="28"/>
          <w:szCs w:val="28"/>
        </w:rPr>
        <w:t>genera un tratamiento desigual</w:t>
      </w:r>
      <w:r w:rsidRPr="004530CF">
        <w:rPr>
          <w:rFonts w:ascii="Times New Roman" w:hAnsi="Times New Roman" w:cs="Times New Roman"/>
          <w:sz w:val="28"/>
          <w:szCs w:val="28"/>
        </w:rPr>
        <w:t>” en el acceso a la administración de justicia, frente a “</w:t>
      </w:r>
      <w:r w:rsidRPr="004530CF">
        <w:rPr>
          <w:rFonts w:ascii="Times New Roman" w:hAnsi="Times New Roman" w:cs="Times New Roman"/>
          <w:i/>
          <w:iCs/>
          <w:sz w:val="28"/>
          <w:szCs w:val="28"/>
        </w:rPr>
        <w:t>funcionarios elegidos</w:t>
      </w:r>
      <w:r w:rsidRPr="004530CF">
        <w:rPr>
          <w:rFonts w:ascii="Times New Roman" w:hAnsi="Times New Roman" w:cs="Times New Roman"/>
          <w:i/>
          <w:iCs/>
          <w:sz w:val="28"/>
          <w:szCs w:val="28"/>
        </w:rPr>
        <w:t xml:space="preserve"> por votación popular que sí podrían acceder a decisiones de segunda instancia</w:t>
      </w:r>
      <w:r w:rsidRPr="004530CF">
        <w:rPr>
          <w:rFonts w:ascii="Times New Roman" w:hAnsi="Times New Roman" w:cs="Times New Roman"/>
          <w:sz w:val="28"/>
          <w:szCs w:val="28"/>
        </w:rPr>
        <w:t>”, sin justificación alguna. Por último, concluye que se vulnera el bloque de constitucionalidad, pues “</w:t>
      </w:r>
      <w:r w:rsidRPr="004530CF">
        <w:rPr>
          <w:rFonts w:ascii="Times New Roman" w:hAnsi="Times New Roman" w:cs="Times New Roman"/>
          <w:i/>
          <w:iCs/>
          <w:sz w:val="28"/>
          <w:szCs w:val="28"/>
        </w:rPr>
        <w:t>la Corte Interamericana ha señalado de manera enfática la necesidad de per</w:t>
      </w:r>
      <w:r w:rsidRPr="004530CF">
        <w:rPr>
          <w:rFonts w:ascii="Times New Roman" w:hAnsi="Times New Roman" w:cs="Times New Roman"/>
          <w:i/>
          <w:iCs/>
          <w:sz w:val="28"/>
          <w:szCs w:val="28"/>
        </w:rPr>
        <w:t>mitir la impugnación efectiva de los actos o sentencias, particularmente cuando las consecuencias de estos fallos limitan derechos políticos e inciden indirectamente sobre la estabilidad del mandato democrático otorgado por el pueblo mediante el sufragio</w:t>
      </w:r>
      <w:r w:rsidRPr="004530CF">
        <w:rPr>
          <w:rFonts w:ascii="Times New Roman" w:hAnsi="Times New Roman" w:cs="Times New Roman"/>
          <w:sz w:val="28"/>
          <w:szCs w:val="28"/>
        </w:rPr>
        <w:t>”.</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El </w:t>
      </w:r>
      <w:r w:rsidRPr="004530CF">
        <w:rPr>
          <w:rFonts w:ascii="Times New Roman" w:hAnsi="Times New Roman" w:cs="Times New Roman"/>
          <w:b/>
          <w:bCs/>
          <w:i/>
          <w:iCs/>
          <w:sz w:val="28"/>
          <w:szCs w:val="28"/>
        </w:rPr>
        <w:t>Observatorio de Intervención Ciudadana Constitucional de la</w:t>
      </w:r>
      <w:r w:rsidRPr="004530CF">
        <w:rPr>
          <w:rFonts w:ascii="Times New Roman" w:hAnsi="Times New Roman" w:cs="Times New Roman"/>
          <w:sz w:val="28"/>
          <w:szCs w:val="28"/>
        </w:rPr>
        <w:t xml:space="preserve"> </w:t>
      </w:r>
      <w:r w:rsidRPr="004530CF">
        <w:rPr>
          <w:rFonts w:ascii="Times New Roman" w:hAnsi="Times New Roman" w:cs="Times New Roman"/>
          <w:b/>
          <w:bCs/>
          <w:i/>
          <w:iCs/>
          <w:sz w:val="28"/>
          <w:szCs w:val="28"/>
        </w:rPr>
        <w:t xml:space="preserve">Universidad Libre </w:t>
      </w:r>
      <w:r w:rsidRPr="004530CF">
        <w:rPr>
          <w:rFonts w:ascii="Times New Roman" w:hAnsi="Times New Roman" w:cs="Times New Roman"/>
          <w:sz w:val="28"/>
          <w:szCs w:val="28"/>
        </w:rPr>
        <w:t xml:space="preserve">considera que debe ser declarada la </w:t>
      </w:r>
      <w:r w:rsidRPr="004530CF">
        <w:rPr>
          <w:rFonts w:ascii="Times New Roman" w:hAnsi="Times New Roman" w:cs="Times New Roman"/>
          <w:sz w:val="28"/>
          <w:szCs w:val="28"/>
        </w:rPr>
        <w:t>“</w:t>
      </w:r>
      <w:r w:rsidRPr="004530CF">
        <w:rPr>
          <w:rFonts w:ascii="Times New Roman" w:hAnsi="Times New Roman" w:cs="Times New Roman"/>
          <w:i/>
          <w:iCs/>
          <w:sz w:val="28"/>
          <w:szCs w:val="28"/>
        </w:rPr>
        <w:t>exequibilidad condicionada</w:t>
      </w:r>
      <w:r w:rsidRPr="004530CF">
        <w:rPr>
          <w:rFonts w:ascii="Times New Roman" w:hAnsi="Times New Roman" w:cs="Times New Roman"/>
          <w:i/>
          <w:iCs/>
          <w:sz w:val="28"/>
          <w:szCs w:val="28"/>
        </w:rPr>
        <w:t>”</w:t>
      </w:r>
      <w:r w:rsidRPr="004530CF">
        <w:rPr>
          <w:rFonts w:ascii="Times New Roman" w:hAnsi="Times New Roman" w:cs="Times New Roman"/>
          <w:sz w:val="28"/>
          <w:szCs w:val="28"/>
        </w:rPr>
        <w:t xml:space="preserve"> de la</w:t>
      </w:r>
      <w:r w:rsidRPr="004530CF">
        <w:rPr>
          <w:rFonts w:ascii="Times New Roman" w:hAnsi="Times New Roman" w:cs="Times New Roman"/>
          <w:sz w:val="28"/>
          <w:szCs w:val="28"/>
        </w:rPr>
        <w:t xml:space="preserve"> disposición acusada</w:t>
      </w:r>
      <w:r w:rsidRPr="004530CF">
        <w:rPr>
          <w:rFonts w:ascii="Times New Roman" w:hAnsi="Times New Roman" w:cs="Times New Roman"/>
          <w:sz w:val="28"/>
          <w:szCs w:val="28"/>
        </w:rPr>
        <w:t>. Sostiene que las limitaciones a los derechos políticos y los procesos sancionator</w:t>
      </w:r>
      <w:r w:rsidRPr="004530CF">
        <w:rPr>
          <w:rFonts w:ascii="Times New Roman" w:hAnsi="Times New Roman" w:cs="Times New Roman"/>
          <w:sz w:val="28"/>
          <w:szCs w:val="28"/>
        </w:rPr>
        <w:t>ios deben tener las mismas garantías del derecho penal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 acuerdo a la jurisprudencia de la C</w:t>
      </w:r>
      <w:r w:rsidRPr="004530CF">
        <w:rPr>
          <w:rFonts w:ascii="Times New Roman" w:hAnsi="Times New Roman" w:cs="Times New Roman"/>
          <w:sz w:val="28"/>
          <w:szCs w:val="28"/>
        </w:rPr>
        <w:t xml:space="preserve">orte </w:t>
      </w:r>
      <w:r w:rsidRPr="004530CF">
        <w:rPr>
          <w:rFonts w:ascii="Times New Roman" w:hAnsi="Times New Roman" w:cs="Times New Roman"/>
          <w:sz w:val="28"/>
          <w:szCs w:val="28"/>
        </w:rPr>
        <w:t>IDH. En es</w:t>
      </w:r>
      <w:r w:rsidRPr="004530CF">
        <w:rPr>
          <w:rFonts w:ascii="Times New Roman" w:hAnsi="Times New Roman" w:cs="Times New Roman"/>
          <w:sz w:val="28"/>
          <w:szCs w:val="28"/>
        </w:rPr>
        <w:t>t</w:t>
      </w:r>
      <w:r w:rsidRPr="004530CF">
        <w:rPr>
          <w:rFonts w:ascii="Times New Roman" w:hAnsi="Times New Roman" w:cs="Times New Roman"/>
          <w:sz w:val="28"/>
          <w:szCs w:val="28"/>
        </w:rPr>
        <w:t>e sentido, señala que “[</w:t>
      </w:r>
      <w:r w:rsidRPr="004530CF">
        <w:rPr>
          <w:rFonts w:ascii="Times New Roman" w:hAnsi="Times New Roman" w:cs="Times New Roman"/>
          <w:sz w:val="28"/>
          <w:szCs w:val="28"/>
        </w:rPr>
        <w:t>l</w:t>
      </w:r>
      <w:r w:rsidRPr="004530CF">
        <w:rPr>
          <w:rFonts w:ascii="Times New Roman" w:hAnsi="Times New Roman" w:cs="Times New Roman"/>
          <w:sz w:val="28"/>
          <w:szCs w:val="28"/>
        </w:rPr>
        <w:t>]</w:t>
      </w:r>
      <w:r w:rsidRPr="004530CF">
        <w:rPr>
          <w:rFonts w:ascii="Times New Roman" w:hAnsi="Times New Roman" w:cs="Times New Roman"/>
          <w:i/>
          <w:iCs/>
          <w:sz w:val="28"/>
          <w:szCs w:val="28"/>
        </w:rPr>
        <w:t>a nulidad electoral de un acto de elección es una sanción que tiene la potencialidad de afectar derechos políticos</w:t>
      </w:r>
      <w:r w:rsidRPr="004530CF">
        <w:rPr>
          <w:rFonts w:ascii="Times New Roman" w:hAnsi="Times New Roman" w:cs="Times New Roman"/>
          <w:iCs/>
          <w:sz w:val="28"/>
          <w:szCs w:val="28"/>
        </w:rPr>
        <w:t>”</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P</w:t>
      </w:r>
      <w:r w:rsidRPr="004530CF">
        <w:rPr>
          <w:rFonts w:ascii="Times New Roman" w:hAnsi="Times New Roman" w:cs="Times New Roman"/>
          <w:sz w:val="28"/>
          <w:szCs w:val="28"/>
        </w:rPr>
        <w:t>or</w:t>
      </w:r>
      <w:r w:rsidRPr="004530CF">
        <w:rPr>
          <w:rFonts w:ascii="Times New Roman" w:hAnsi="Times New Roman" w:cs="Times New Roman"/>
          <w:sz w:val="28"/>
          <w:szCs w:val="28"/>
        </w:rPr>
        <w:t xml:space="preserve"> lo tanto, “</w:t>
      </w:r>
      <w:r w:rsidRPr="004530CF">
        <w:rPr>
          <w:rFonts w:ascii="Times New Roman" w:hAnsi="Times New Roman" w:cs="Times New Roman"/>
          <w:i/>
          <w:iCs/>
          <w:sz w:val="28"/>
          <w:szCs w:val="28"/>
        </w:rPr>
        <w:t xml:space="preserve">la posibilidad de adoptar decisiones en única instancia que puedan significar una afectación a los </w:t>
      </w:r>
      <w:r w:rsidRPr="004530CF">
        <w:rPr>
          <w:rFonts w:ascii="Times New Roman" w:hAnsi="Times New Roman" w:cs="Times New Roman"/>
          <w:iCs/>
          <w:sz w:val="28"/>
          <w:szCs w:val="28"/>
        </w:rPr>
        <w:t>[mismos]</w:t>
      </w:r>
      <w:r w:rsidRPr="004530CF">
        <w:rPr>
          <w:rFonts w:ascii="Times New Roman" w:hAnsi="Times New Roman" w:cs="Times New Roman"/>
          <w:i/>
          <w:iCs/>
          <w:sz w:val="28"/>
          <w:szCs w:val="28"/>
        </w:rPr>
        <w:t xml:space="preserve"> en los procesos de nulidad electoral, contradice el estándar de protección de estos, pues dichos procesos deciden la limitación sobre el</w:t>
      </w:r>
      <w:r w:rsidRPr="004530CF">
        <w:rPr>
          <w:rFonts w:ascii="Times New Roman" w:hAnsi="Times New Roman" w:cs="Times New Roman"/>
          <w:i/>
          <w:iCs/>
          <w:sz w:val="28"/>
          <w:szCs w:val="28"/>
        </w:rPr>
        <w:t xml:space="preserve"> derecho político a ser elegido de una persona, sin tener todas las garantías propias de un proceso penal</w:t>
      </w:r>
      <w:r w:rsidRPr="004530CF">
        <w:rPr>
          <w:rFonts w:ascii="Times New Roman" w:hAnsi="Times New Roman" w:cs="Times New Roman"/>
          <w:sz w:val="28"/>
          <w:szCs w:val="28"/>
        </w:rPr>
        <w:t>”.</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La </w:t>
      </w:r>
      <w:r w:rsidRPr="004530CF">
        <w:rPr>
          <w:rFonts w:ascii="Times New Roman" w:hAnsi="Times New Roman" w:cs="Times New Roman"/>
          <w:b/>
          <w:bCs/>
          <w:i/>
          <w:iCs/>
          <w:sz w:val="28"/>
          <w:szCs w:val="28"/>
        </w:rPr>
        <w:t xml:space="preserve">Universidad de Caldas </w:t>
      </w:r>
      <w:r w:rsidRPr="004530CF">
        <w:rPr>
          <w:rFonts w:ascii="Times New Roman" w:hAnsi="Times New Roman" w:cs="Times New Roman"/>
          <w:sz w:val="28"/>
          <w:szCs w:val="28"/>
        </w:rPr>
        <w:t>solicita que se</w:t>
      </w:r>
      <w:r w:rsidRPr="004530CF">
        <w:rPr>
          <w:rFonts w:ascii="Times New Roman" w:hAnsi="Times New Roman" w:cs="Times New Roman"/>
          <w:sz w:val="28"/>
          <w:szCs w:val="28"/>
        </w:rPr>
        <w:t xml:space="preserve"> adopte una decisión modulada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debido a que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la disposición demandada</w:t>
      </w:r>
      <w:r w:rsidRPr="004530CF">
        <w:rPr>
          <w:rFonts w:ascii="Times New Roman" w:hAnsi="Times New Roman" w:cs="Times New Roman"/>
          <w:sz w:val="28"/>
          <w:szCs w:val="28"/>
        </w:rPr>
        <w:t xml:space="preserve"> incurre en una omisión legislativa rel</w:t>
      </w:r>
      <w:r w:rsidRPr="004530CF">
        <w:rPr>
          <w:rFonts w:ascii="Times New Roman" w:hAnsi="Times New Roman" w:cs="Times New Roman"/>
          <w:sz w:val="28"/>
          <w:szCs w:val="28"/>
        </w:rPr>
        <w:t>ativa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 xml:space="preserve">al excluir de manera expresa del derecho a la doble instancia en los procesos de nulidad electoral a los funcionarios de elección popular de que trata el numeral 7 del artículo 149 del CPACA, mientras que, también de manera expresa, incluye </w:t>
      </w:r>
      <w:r w:rsidRPr="004530CF">
        <w:rPr>
          <w:rFonts w:ascii="Times New Roman" w:hAnsi="Times New Roman" w:cs="Times New Roman"/>
          <w:sz w:val="28"/>
          <w:szCs w:val="28"/>
        </w:rPr>
        <w:t>[esta g</w:t>
      </w:r>
      <w:r w:rsidRPr="004530CF">
        <w:rPr>
          <w:rFonts w:ascii="Times New Roman" w:hAnsi="Times New Roman" w:cs="Times New Roman"/>
          <w:sz w:val="28"/>
          <w:szCs w:val="28"/>
        </w:rPr>
        <w:t xml:space="preserve">arantía] </w:t>
      </w:r>
      <w:r w:rsidRPr="004530CF">
        <w:rPr>
          <w:rFonts w:ascii="Times New Roman" w:hAnsi="Times New Roman" w:cs="Times New Roman"/>
          <w:i/>
          <w:iCs/>
          <w:sz w:val="28"/>
          <w:szCs w:val="28"/>
        </w:rPr>
        <w:t>a los funcionarios de elección popular enunciados en el numeral 3 del artículo 152 del CPACA para el mismo tipo de procesos, sin que se encuentre en el tratamiento diferenciado una razón constitucionalmente justificada</w:t>
      </w:r>
      <w:r w:rsidRPr="004530CF">
        <w:rPr>
          <w:rFonts w:ascii="Times New Roman" w:hAnsi="Times New Roman" w:cs="Times New Roman"/>
          <w:sz w:val="28"/>
          <w:szCs w:val="28"/>
        </w:rPr>
        <w:t>”. Según la Universidad, esta</w:t>
      </w:r>
      <w:r w:rsidRPr="004530CF">
        <w:rPr>
          <w:rFonts w:ascii="Times New Roman" w:hAnsi="Times New Roman" w:cs="Times New Roman"/>
          <w:sz w:val="28"/>
          <w:szCs w:val="28"/>
        </w:rPr>
        <w:t xml:space="preserve"> exclusión vulnera el derecho a acceder a la administración de justicia en condiciones de igualdad.</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La </w:t>
      </w:r>
      <w:r w:rsidRPr="004530CF">
        <w:rPr>
          <w:rFonts w:ascii="Times New Roman" w:hAnsi="Times New Roman" w:cs="Times New Roman"/>
          <w:b/>
          <w:bCs/>
          <w:i/>
          <w:iCs/>
          <w:sz w:val="28"/>
          <w:szCs w:val="28"/>
        </w:rPr>
        <w:t xml:space="preserve">Comisión Colombiana de Juristas </w:t>
      </w:r>
      <w:r w:rsidRPr="004530CF">
        <w:rPr>
          <w:rFonts w:ascii="Times New Roman" w:hAnsi="Times New Roman" w:cs="Times New Roman"/>
          <w:sz w:val="28"/>
          <w:szCs w:val="28"/>
        </w:rPr>
        <w:t>pide</w:t>
      </w:r>
      <w:r w:rsidRPr="004530CF">
        <w:rPr>
          <w:rFonts w:ascii="Times New Roman" w:hAnsi="Times New Roman" w:cs="Times New Roman"/>
          <w:sz w:val="28"/>
          <w:szCs w:val="28"/>
        </w:rPr>
        <w:t xml:space="preserve"> la </w:t>
      </w:r>
      <w:r w:rsidRPr="004530CF">
        <w:rPr>
          <w:rFonts w:ascii="Times New Roman" w:hAnsi="Times New Roman" w:cs="Times New Roman"/>
          <w:sz w:val="28"/>
          <w:szCs w:val="28"/>
        </w:rPr>
        <w:t>“</w:t>
      </w:r>
      <w:r w:rsidRPr="004530CF">
        <w:rPr>
          <w:rFonts w:ascii="Times New Roman" w:hAnsi="Times New Roman" w:cs="Times New Roman"/>
          <w:i/>
          <w:iCs/>
          <w:sz w:val="28"/>
          <w:szCs w:val="28"/>
        </w:rPr>
        <w:t>exequibilidad condicionada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 la</w:t>
      </w:r>
      <w:r w:rsidRPr="004530CF">
        <w:rPr>
          <w:rFonts w:ascii="Times New Roman" w:hAnsi="Times New Roman" w:cs="Times New Roman"/>
          <w:sz w:val="28"/>
          <w:szCs w:val="28"/>
        </w:rPr>
        <w:t xml:space="preserve"> disposición</w:t>
      </w:r>
      <w:r w:rsidRPr="004530CF">
        <w:rPr>
          <w:rFonts w:ascii="Times New Roman" w:hAnsi="Times New Roman" w:cs="Times New Roman"/>
          <w:sz w:val="28"/>
          <w:szCs w:val="28"/>
        </w:rPr>
        <w:t>, al concluir que “</w:t>
      </w:r>
      <w:r w:rsidRPr="004530CF">
        <w:rPr>
          <w:rFonts w:ascii="Times New Roman" w:hAnsi="Times New Roman" w:cs="Times New Roman"/>
          <w:i/>
          <w:iCs/>
          <w:sz w:val="28"/>
          <w:szCs w:val="28"/>
        </w:rPr>
        <w:t>si bien la nulidad electoral tiene una estructu</w:t>
      </w:r>
      <w:r w:rsidRPr="004530CF">
        <w:rPr>
          <w:rFonts w:ascii="Times New Roman" w:hAnsi="Times New Roman" w:cs="Times New Roman"/>
          <w:i/>
          <w:iCs/>
          <w:sz w:val="28"/>
          <w:szCs w:val="28"/>
        </w:rPr>
        <w:t xml:space="preserve">ra objetiva </w:t>
      </w:r>
      <w:bookmarkStart w:id="2" w:name="_Hlk425968"/>
      <w:r w:rsidRPr="004530CF">
        <w:rPr>
          <w:rFonts w:ascii="Times New Roman" w:hAnsi="Times New Roman" w:cs="Times New Roman"/>
          <w:i/>
          <w:iCs/>
          <w:sz w:val="28"/>
          <w:szCs w:val="28"/>
        </w:rPr>
        <w:t>–</w:t>
      </w:r>
      <w:bookmarkEnd w:id="2"/>
      <w:r w:rsidRPr="004530CF">
        <w:rPr>
          <w:rFonts w:ascii="Times New Roman" w:hAnsi="Times New Roman" w:cs="Times New Roman"/>
          <w:i/>
          <w:iCs/>
          <w:sz w:val="28"/>
          <w:szCs w:val="28"/>
        </w:rPr>
        <w:t>centrada en la legalidad del acto administrativo que declara la elección</w:t>
      </w:r>
      <w:r w:rsidRPr="004530CF">
        <w:rPr>
          <w:rFonts w:ascii="Times New Roman" w:hAnsi="Times New Roman" w:cs="Times New Roman"/>
          <w:sz w:val="28"/>
          <w:szCs w:val="28"/>
        </w:rPr>
        <w:t>–</w:t>
      </w:r>
      <w:r w:rsidRPr="004530CF">
        <w:rPr>
          <w:rFonts w:ascii="Times New Roman" w:hAnsi="Times New Roman" w:cs="Times New Roman"/>
          <w:i/>
          <w:iCs/>
          <w:sz w:val="28"/>
          <w:szCs w:val="28"/>
        </w:rPr>
        <w:t>, el resultado práctico de su prosperidad es la pérdida inmediata del cargo de elección popular por parte del funcionario afectado</w:t>
      </w:r>
      <w:r w:rsidRPr="004530CF">
        <w:rPr>
          <w:rFonts w:ascii="Times New Roman" w:hAnsi="Times New Roman" w:cs="Times New Roman"/>
          <w:sz w:val="28"/>
          <w:szCs w:val="28"/>
        </w:rPr>
        <w:t>”. Lo anterior resulta relevante, en tan</w:t>
      </w:r>
      <w:r w:rsidRPr="004530CF">
        <w:rPr>
          <w:rFonts w:ascii="Times New Roman" w:hAnsi="Times New Roman" w:cs="Times New Roman"/>
          <w:sz w:val="28"/>
          <w:szCs w:val="28"/>
        </w:rPr>
        <w:t xml:space="preserve">to </w:t>
      </w:r>
      <w:r w:rsidRPr="004530CF">
        <w:rPr>
          <w:rFonts w:ascii="Times New Roman" w:hAnsi="Times New Roman" w:cs="Times New Roman"/>
          <w:sz w:val="28"/>
          <w:szCs w:val="28"/>
        </w:rPr>
        <w:t>esas</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consecuencias son análogas a las que derivan de una sanción disciplinaria o penal</w:t>
      </w:r>
      <w:r w:rsidRPr="004530CF">
        <w:rPr>
          <w:rFonts w:ascii="Times New Roman" w:hAnsi="Times New Roman" w:cs="Times New Roman"/>
          <w:iCs/>
          <w:sz w:val="28"/>
          <w:szCs w:val="28"/>
        </w:rPr>
        <w:t>”</w:t>
      </w:r>
      <w:r w:rsidRPr="004530CF">
        <w:rPr>
          <w:rFonts w:ascii="Times New Roman" w:hAnsi="Times New Roman" w:cs="Times New Roman"/>
          <w:i/>
          <w:iCs/>
          <w:sz w:val="28"/>
          <w:szCs w:val="28"/>
        </w:rPr>
        <w:t xml:space="preserve"> </w:t>
      </w:r>
      <w:r w:rsidRPr="004530CF">
        <w:rPr>
          <w:rFonts w:ascii="Times New Roman" w:hAnsi="Times New Roman" w:cs="Times New Roman"/>
          <w:sz w:val="28"/>
          <w:szCs w:val="28"/>
        </w:rPr>
        <w:t>y</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tal sentido, se debe garantizar el derecho a la impugnación</w:t>
      </w:r>
      <w:r w:rsidRPr="004530CF">
        <w:rPr>
          <w:rFonts w:ascii="Times New Roman" w:hAnsi="Times New Roman" w:cs="Times New Roman"/>
          <w:i/>
          <w:iCs/>
          <w:sz w:val="28"/>
          <w:szCs w:val="28"/>
        </w:rPr>
        <w:t>.</w:t>
      </w:r>
      <w:r w:rsidRPr="004530CF">
        <w:rPr>
          <w:rFonts w:ascii="Times New Roman" w:hAnsi="Times New Roman" w:cs="Times New Roman"/>
          <w:sz w:val="28"/>
          <w:szCs w:val="28"/>
        </w:rPr>
        <w:t xml:space="preserve"> </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Asimismo, expone que “</w:t>
      </w:r>
      <w:r w:rsidRPr="004530CF">
        <w:rPr>
          <w:rFonts w:ascii="Times New Roman" w:hAnsi="Times New Roman" w:cs="Times New Roman"/>
          <w:i/>
          <w:iCs/>
          <w:sz w:val="28"/>
          <w:szCs w:val="28"/>
        </w:rPr>
        <w:t>la</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 xml:space="preserve">inexistencia de una instancia de impugnación ordinaria frente a la </w:t>
      </w:r>
      <w:r w:rsidRPr="004530CF">
        <w:rPr>
          <w:rFonts w:ascii="Times New Roman" w:hAnsi="Times New Roman" w:cs="Times New Roman"/>
          <w:i/>
          <w:iCs/>
          <w:sz w:val="28"/>
          <w:szCs w:val="28"/>
        </w:rPr>
        <w:t>nulidad electoral puede significar un incumplimiento del deber estatal de asegurar la efectividad de los derechos políticos mediante procedimientos accesibles y con posibilidad real de revisión</w:t>
      </w:r>
      <w:r w:rsidRPr="004530CF">
        <w:rPr>
          <w:rFonts w:ascii="Times New Roman" w:hAnsi="Times New Roman" w:cs="Times New Roman"/>
          <w:sz w:val="28"/>
          <w:szCs w:val="28"/>
        </w:rPr>
        <w:t xml:space="preserve">”. Señala que, conforme </w:t>
      </w:r>
      <w:r w:rsidRPr="004530CF">
        <w:rPr>
          <w:rFonts w:ascii="Times New Roman" w:hAnsi="Times New Roman" w:cs="Times New Roman"/>
          <w:sz w:val="28"/>
          <w:szCs w:val="28"/>
        </w:rPr>
        <w:t>con</w:t>
      </w:r>
      <w:r w:rsidRPr="004530CF">
        <w:rPr>
          <w:rFonts w:ascii="Times New Roman" w:hAnsi="Times New Roman" w:cs="Times New Roman"/>
          <w:sz w:val="28"/>
          <w:szCs w:val="28"/>
        </w:rPr>
        <w:t xml:space="preserve"> la jurisprudencia de la C</w:t>
      </w:r>
      <w:r w:rsidRPr="004530CF">
        <w:rPr>
          <w:rFonts w:ascii="Times New Roman" w:hAnsi="Times New Roman" w:cs="Times New Roman"/>
          <w:sz w:val="28"/>
          <w:szCs w:val="28"/>
        </w:rPr>
        <w:t xml:space="preserve">orte </w:t>
      </w:r>
      <w:r w:rsidRPr="004530CF">
        <w:rPr>
          <w:rFonts w:ascii="Times New Roman" w:hAnsi="Times New Roman" w:cs="Times New Roman"/>
          <w:sz w:val="28"/>
          <w:szCs w:val="28"/>
        </w:rPr>
        <w:t xml:space="preserve">IDH, </w:t>
      </w:r>
      <w:r w:rsidRPr="004530CF">
        <w:rPr>
          <w:rFonts w:ascii="Times New Roman" w:hAnsi="Times New Roman" w:cs="Times New Roman"/>
          <w:sz w:val="28"/>
          <w:szCs w:val="28"/>
        </w:rPr>
        <w:t>“</w:t>
      </w:r>
      <w:r w:rsidRPr="004530CF">
        <w:rPr>
          <w:rFonts w:ascii="Times New Roman" w:hAnsi="Times New Roman" w:cs="Times New Roman"/>
          <w:i/>
          <w:iCs/>
          <w:sz w:val="28"/>
          <w:szCs w:val="28"/>
        </w:rPr>
        <w:t>la ausencia de recursos judiciales frente a actos o normas que afectan el derecho a ser elegido constituye una violación al deber de protección judicial efectiv</w:t>
      </w:r>
      <w:r w:rsidRPr="004530CF">
        <w:rPr>
          <w:rFonts w:ascii="Times New Roman" w:hAnsi="Times New Roman" w:cs="Times New Roman"/>
          <w:sz w:val="28"/>
          <w:szCs w:val="28"/>
        </w:rPr>
        <w:t>a”.</w:t>
      </w:r>
    </w:p>
    <w:p w:rsidR="006B5DD1" w:rsidRPr="004530CF" w:rsidRDefault="004530CF" w:rsidP="004C7B30">
      <w:pPr>
        <w:pStyle w:val="Prrafodelista"/>
        <w:ind w:left="0"/>
        <w:rPr>
          <w:rFonts w:ascii="Times New Roman" w:hAnsi="Times New Roman" w:cs="Times New Roman"/>
          <w:sz w:val="28"/>
          <w:szCs w:val="28"/>
        </w:rPr>
      </w:pPr>
    </w:p>
    <w:p w:rsidR="008E741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Precisó también </w:t>
      </w:r>
      <w:r w:rsidRPr="004530CF">
        <w:rPr>
          <w:rFonts w:ascii="Times New Roman" w:hAnsi="Times New Roman" w:cs="Times New Roman"/>
          <w:sz w:val="28"/>
          <w:szCs w:val="28"/>
        </w:rPr>
        <w:t>que</w:t>
      </w:r>
      <w:r w:rsidRPr="004530CF">
        <w:rPr>
          <w:rFonts w:ascii="Times New Roman" w:hAnsi="Times New Roman" w:cs="Times New Roman"/>
          <w:sz w:val="28"/>
          <w:szCs w:val="28"/>
        </w:rPr>
        <w:t>, aunque</w:t>
      </w:r>
      <w:r w:rsidRPr="004530CF">
        <w:rPr>
          <w:rFonts w:ascii="Times New Roman" w:hAnsi="Times New Roman" w:cs="Times New Roman"/>
          <w:sz w:val="28"/>
          <w:szCs w:val="28"/>
        </w:rPr>
        <w:t xml:space="preserve"> la nulidad electoral</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responde a un control objetivo de legalid</w:t>
      </w:r>
      <w:r w:rsidRPr="004530CF">
        <w:rPr>
          <w:rFonts w:ascii="Times New Roman" w:hAnsi="Times New Roman" w:cs="Times New Roman"/>
          <w:sz w:val="28"/>
          <w:szCs w:val="28"/>
        </w:rPr>
        <w:t xml:space="preserve">ad, produce un efecto material </w:t>
      </w:r>
      <w:r w:rsidRPr="004530CF">
        <w:rPr>
          <w:rFonts w:ascii="Times New Roman" w:hAnsi="Times New Roman" w:cs="Times New Roman"/>
          <w:sz w:val="28"/>
          <w:szCs w:val="28"/>
        </w:rPr>
        <w:t>igual</w:t>
      </w:r>
      <w:r w:rsidRPr="004530CF">
        <w:rPr>
          <w:rFonts w:ascii="Times New Roman" w:hAnsi="Times New Roman" w:cs="Times New Roman"/>
          <w:sz w:val="28"/>
          <w:szCs w:val="28"/>
        </w:rPr>
        <w:t xml:space="preserve"> al de una sanción, </w:t>
      </w:r>
      <w:r w:rsidRPr="004530CF">
        <w:rPr>
          <w:rFonts w:ascii="Times New Roman" w:hAnsi="Times New Roman" w:cs="Times New Roman"/>
          <w:sz w:val="28"/>
          <w:szCs w:val="28"/>
        </w:rPr>
        <w:t>puesto que</w:t>
      </w:r>
      <w:r w:rsidRPr="004530CF">
        <w:rPr>
          <w:rFonts w:ascii="Times New Roman" w:hAnsi="Times New Roman" w:cs="Times New Roman"/>
          <w:sz w:val="28"/>
          <w:szCs w:val="28"/>
        </w:rPr>
        <w:t xml:space="preserve"> implica la separación inmediata del cargo y la afectación del derecho a ejercer funciones públicas. Por esta razón, adujo que procede aplicar, por vía analógica, garantías propias del </w:t>
      </w:r>
      <w:r w:rsidRPr="004530CF">
        <w:rPr>
          <w:rFonts w:ascii="Times New Roman" w:hAnsi="Times New Roman" w:cs="Times New Roman"/>
          <w:i/>
          <w:iCs/>
          <w:sz w:val="28"/>
          <w:szCs w:val="28"/>
        </w:rPr>
        <w:t>ius p</w:t>
      </w:r>
      <w:r w:rsidRPr="004530CF">
        <w:rPr>
          <w:rFonts w:ascii="Times New Roman" w:hAnsi="Times New Roman" w:cs="Times New Roman"/>
          <w:i/>
          <w:iCs/>
          <w:sz w:val="28"/>
          <w:szCs w:val="28"/>
        </w:rPr>
        <w:t>uniendi</w:t>
      </w:r>
      <w:r w:rsidRPr="004530CF">
        <w:rPr>
          <w:rFonts w:ascii="Times New Roman" w:hAnsi="Times New Roman" w:cs="Times New Roman"/>
          <w:sz w:val="28"/>
          <w:szCs w:val="28"/>
        </w:rPr>
        <w:t xml:space="preserve">, en particular ante la cercanía funcional con la pérdida de investidura. En efecto, destacó que el legislador </w:t>
      </w:r>
      <w:r w:rsidRPr="004530CF">
        <w:rPr>
          <w:rFonts w:ascii="Times New Roman" w:hAnsi="Times New Roman" w:cs="Times New Roman"/>
          <w:sz w:val="28"/>
          <w:szCs w:val="28"/>
        </w:rPr>
        <w:t>admiti</w:t>
      </w:r>
      <w:r w:rsidRPr="004530CF">
        <w:rPr>
          <w:rFonts w:ascii="Times New Roman" w:hAnsi="Times New Roman" w:cs="Times New Roman"/>
          <w:sz w:val="28"/>
          <w:szCs w:val="28"/>
        </w:rPr>
        <w:t xml:space="preserve">ó esta relación al consagrar el principio de </w:t>
      </w:r>
      <w:r w:rsidRPr="004530CF">
        <w:rPr>
          <w:rFonts w:ascii="Times New Roman" w:hAnsi="Times New Roman" w:cs="Times New Roman"/>
          <w:i/>
          <w:iCs/>
          <w:sz w:val="28"/>
          <w:szCs w:val="28"/>
        </w:rPr>
        <w:t>non bis in idem</w:t>
      </w:r>
      <w:r w:rsidRPr="004530CF">
        <w:rPr>
          <w:rFonts w:ascii="Times New Roman" w:hAnsi="Times New Roman" w:cs="Times New Roman"/>
          <w:sz w:val="28"/>
          <w:szCs w:val="28"/>
        </w:rPr>
        <w:t xml:space="preserve"> en el parágrafo </w:t>
      </w:r>
      <w:r w:rsidRPr="004530CF">
        <w:rPr>
          <w:rFonts w:ascii="Times New Roman" w:hAnsi="Times New Roman" w:cs="Times New Roman"/>
          <w:sz w:val="28"/>
          <w:szCs w:val="28"/>
        </w:rPr>
        <w:t>1</w:t>
      </w:r>
      <w:r w:rsidRPr="004530CF">
        <w:rPr>
          <w:rFonts w:ascii="Times New Roman" w:hAnsi="Times New Roman" w:cs="Times New Roman"/>
          <w:sz w:val="28"/>
          <w:szCs w:val="28"/>
        </w:rPr>
        <w:t xml:space="preserve"> del artículo 1 de la Ley 1881 de 2018, según el cual “</w:t>
      </w:r>
      <w:r w:rsidRPr="004530CF">
        <w:rPr>
          <w:rFonts w:ascii="Times New Roman" w:hAnsi="Times New Roman" w:cs="Times New Roman"/>
          <w:i/>
          <w:iCs/>
          <w:sz w:val="28"/>
          <w:szCs w:val="28"/>
        </w:rPr>
        <w:t>cuando una misma conducta haya dado lugar a una acción electoral y a una de pérdida de investidura de forma simultánea, el primer fallo hará tránsito a cosa juzgada sobre el otro proceso en todos los a</w:t>
      </w:r>
      <w:r w:rsidRPr="004530CF">
        <w:rPr>
          <w:rFonts w:ascii="Times New Roman" w:hAnsi="Times New Roman" w:cs="Times New Roman"/>
          <w:i/>
          <w:iCs/>
          <w:sz w:val="28"/>
          <w:szCs w:val="28"/>
        </w:rPr>
        <w:t>spectos juzgados, excepto en relación con la culpabilidad del congresista, cuyo juicio es exclusivo del proceso de pérdida de investidura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Por ende</w:t>
      </w:r>
      <w:r w:rsidRPr="004530CF">
        <w:rPr>
          <w:rFonts w:ascii="Times New Roman" w:hAnsi="Times New Roman" w:cs="Times New Roman"/>
          <w:sz w:val="28"/>
          <w:szCs w:val="28"/>
        </w:rPr>
        <w:t>, concluyó que negar el carácter materialmente sancionatorio de la nulidad electoral desconoce su impacto re</w:t>
      </w:r>
      <w:r w:rsidRPr="004530CF">
        <w:rPr>
          <w:rFonts w:ascii="Times New Roman" w:hAnsi="Times New Roman" w:cs="Times New Roman"/>
          <w:sz w:val="28"/>
          <w:szCs w:val="28"/>
        </w:rPr>
        <w:t>al y, por ende, exige un estándar reforzado de debido proceso, que incluya la posibilidad de impugnación.</w:t>
      </w:r>
    </w:p>
    <w:p w:rsidR="006B5DD1" w:rsidRPr="004530CF" w:rsidRDefault="004530CF" w:rsidP="004C7B30">
      <w:pPr>
        <w:pStyle w:val="Prrafodelista"/>
        <w:tabs>
          <w:tab w:val="left" w:pos="567"/>
        </w:tabs>
        <w:ind w:left="0"/>
        <w:jc w:val="both"/>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El </w:t>
      </w:r>
      <w:r w:rsidRPr="004530CF">
        <w:rPr>
          <w:rFonts w:ascii="Times New Roman" w:hAnsi="Times New Roman" w:cs="Times New Roman"/>
          <w:b/>
          <w:bCs/>
          <w:i/>
          <w:iCs/>
          <w:sz w:val="28"/>
          <w:szCs w:val="28"/>
        </w:rPr>
        <w:t xml:space="preserve">Colectivo de Abogados y Abogadas </w:t>
      </w:r>
      <w:r w:rsidRPr="004530CF">
        <w:rPr>
          <w:rFonts w:ascii="Times New Roman" w:hAnsi="Times New Roman" w:cs="Times New Roman"/>
          <w:b/>
          <w:bCs/>
          <w:iCs/>
          <w:sz w:val="28"/>
          <w:szCs w:val="28"/>
        </w:rPr>
        <w:t>“</w:t>
      </w:r>
      <w:r w:rsidRPr="004530CF">
        <w:rPr>
          <w:rFonts w:ascii="Times New Roman" w:hAnsi="Times New Roman" w:cs="Times New Roman"/>
          <w:b/>
          <w:bCs/>
          <w:i/>
          <w:iCs/>
          <w:sz w:val="28"/>
          <w:szCs w:val="28"/>
        </w:rPr>
        <w:t>José Alvear Restrepo</w:t>
      </w:r>
      <w:r w:rsidRPr="004530CF">
        <w:rPr>
          <w:rFonts w:ascii="Times New Roman" w:hAnsi="Times New Roman" w:cs="Times New Roman"/>
          <w:b/>
          <w:bCs/>
          <w:iCs/>
          <w:sz w:val="28"/>
          <w:szCs w:val="28"/>
        </w:rPr>
        <w:t>”</w:t>
      </w:r>
      <w:r w:rsidRPr="004530CF">
        <w:rPr>
          <w:rFonts w:ascii="Times New Roman" w:hAnsi="Times New Roman" w:cs="Times New Roman"/>
          <w:b/>
          <w:bCs/>
          <w:i/>
          <w:iCs/>
          <w:sz w:val="28"/>
          <w:szCs w:val="28"/>
        </w:rPr>
        <w:t xml:space="preserve"> </w:t>
      </w:r>
      <w:r w:rsidRPr="004530CF">
        <w:rPr>
          <w:rFonts w:ascii="Times New Roman" w:hAnsi="Times New Roman" w:cs="Times New Roman"/>
          <w:sz w:val="28"/>
          <w:szCs w:val="28"/>
        </w:rPr>
        <w:t>aduce que la</w:t>
      </w:r>
      <w:r w:rsidRPr="004530CF">
        <w:rPr>
          <w:rFonts w:ascii="Times New Roman" w:hAnsi="Times New Roman" w:cs="Times New Roman"/>
          <w:sz w:val="28"/>
          <w:szCs w:val="28"/>
        </w:rPr>
        <w:t xml:space="preserve"> disposición</w:t>
      </w:r>
      <w:r w:rsidRPr="004530CF">
        <w:rPr>
          <w:rFonts w:ascii="Times New Roman" w:hAnsi="Times New Roman" w:cs="Times New Roman"/>
          <w:sz w:val="28"/>
          <w:szCs w:val="28"/>
        </w:rPr>
        <w:t xml:space="preserve"> debe ser declarada </w:t>
      </w:r>
      <w:r w:rsidRPr="004530CF">
        <w:rPr>
          <w:rFonts w:ascii="Times New Roman" w:hAnsi="Times New Roman" w:cs="Times New Roman"/>
          <w:sz w:val="28"/>
          <w:szCs w:val="28"/>
        </w:rPr>
        <w:t>“</w:t>
      </w:r>
      <w:r w:rsidRPr="004530CF">
        <w:rPr>
          <w:rFonts w:ascii="Times New Roman" w:hAnsi="Times New Roman" w:cs="Times New Roman"/>
          <w:i/>
          <w:iCs/>
          <w:sz w:val="28"/>
          <w:szCs w:val="28"/>
        </w:rPr>
        <w:t>exequible condicionalmente</w:t>
      </w:r>
      <w:r w:rsidRPr="004530CF">
        <w:rPr>
          <w:rFonts w:ascii="Times New Roman" w:hAnsi="Times New Roman" w:cs="Times New Roman"/>
          <w:sz w:val="28"/>
          <w:szCs w:val="28"/>
        </w:rPr>
        <w:t>”</w:t>
      </w:r>
      <w:r w:rsidRPr="004530CF">
        <w:rPr>
          <w:rFonts w:ascii="Times New Roman" w:hAnsi="Times New Roman" w:cs="Times New Roman"/>
          <w:sz w:val="28"/>
          <w:szCs w:val="28"/>
        </w:rPr>
        <w:t>, toda vez que est</w:t>
      </w:r>
      <w:r w:rsidRPr="004530CF">
        <w:rPr>
          <w:rFonts w:ascii="Times New Roman" w:hAnsi="Times New Roman" w:cs="Times New Roman"/>
          <w:sz w:val="28"/>
          <w:szCs w:val="28"/>
        </w:rPr>
        <w:t>ablece un trato diferencial y</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por lo tanto, desconoce el principio de igualdad, pues</w:t>
      </w:r>
      <w:r w:rsidRPr="004530CF">
        <w:rPr>
          <w:rFonts w:ascii="Times New Roman" w:hAnsi="Times New Roman" w:cs="Times New Roman"/>
          <w:sz w:val="28"/>
          <w:szCs w:val="28"/>
        </w:rPr>
        <w:t>to que</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mientras que alcaldes municipales, concejales, diputados y demás autoridades territoriales cuentan con la posibilidad de impugnar las decisiones de primera instanc</w:t>
      </w:r>
      <w:r w:rsidRPr="004530CF">
        <w:rPr>
          <w:rFonts w:ascii="Times New Roman" w:hAnsi="Times New Roman" w:cs="Times New Roman"/>
          <w:i/>
          <w:iCs/>
          <w:sz w:val="28"/>
          <w:szCs w:val="28"/>
        </w:rPr>
        <w:t xml:space="preserve">ia a través del recurso ordinario de apelación </w:t>
      </w:r>
      <w:r w:rsidRPr="004530CF">
        <w:rPr>
          <w:rFonts w:ascii="Times New Roman" w:hAnsi="Times New Roman" w:cs="Times New Roman"/>
          <w:i/>
          <w:iCs/>
          <w:sz w:val="28"/>
          <w:szCs w:val="28"/>
        </w:rPr>
        <w:t>-</w:t>
      </w:r>
      <w:r w:rsidRPr="004530CF">
        <w:rPr>
          <w:rFonts w:ascii="Times New Roman" w:hAnsi="Times New Roman" w:cs="Times New Roman"/>
          <w:i/>
          <w:iCs/>
          <w:sz w:val="28"/>
          <w:szCs w:val="28"/>
        </w:rPr>
        <w:t>conforme a los artículos 152, numeral 7 y 150 del CPACA</w:t>
      </w:r>
      <w:r w:rsidRPr="004530CF">
        <w:rPr>
          <w:rFonts w:ascii="Times New Roman" w:hAnsi="Times New Roman" w:cs="Times New Roman"/>
          <w:i/>
          <w:iCs/>
          <w:sz w:val="28"/>
          <w:szCs w:val="28"/>
        </w:rPr>
        <w:t>-</w:t>
      </w:r>
      <w:r w:rsidRPr="004530CF">
        <w:rPr>
          <w:rFonts w:ascii="Times New Roman" w:hAnsi="Times New Roman" w:cs="Times New Roman"/>
          <w:i/>
          <w:iCs/>
          <w:sz w:val="28"/>
          <w:szCs w:val="28"/>
        </w:rPr>
        <w:t xml:space="preserve">, los congresistas, gobernadores y el Alcalde Mayor de Bogotá, ven restringido su acceso a esa garantía judicial sin que exista, al día de hoy, una </w:t>
      </w:r>
      <w:r w:rsidRPr="004530CF">
        <w:rPr>
          <w:rFonts w:ascii="Times New Roman" w:hAnsi="Times New Roman" w:cs="Times New Roman"/>
          <w:i/>
          <w:iCs/>
          <w:sz w:val="28"/>
          <w:szCs w:val="28"/>
        </w:rPr>
        <w:t>justificación constitucional suficiente que legitime tal exclusión</w:t>
      </w:r>
      <w:r w:rsidRPr="004530CF">
        <w:rPr>
          <w:rFonts w:ascii="Times New Roman" w:hAnsi="Times New Roman" w:cs="Times New Roman"/>
          <w:sz w:val="28"/>
          <w:szCs w:val="28"/>
        </w:rPr>
        <w:t xml:space="preserve">”. </w:t>
      </w:r>
    </w:p>
    <w:p w:rsidR="006B5DD1" w:rsidRPr="004530CF" w:rsidRDefault="004530CF" w:rsidP="004C7B30">
      <w:pPr>
        <w:pStyle w:val="Prrafodelista"/>
        <w:ind w:left="0"/>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A su vez, señala que </w:t>
      </w:r>
      <w:r w:rsidRPr="004530CF">
        <w:rPr>
          <w:rFonts w:ascii="Times New Roman" w:hAnsi="Times New Roman" w:cs="Times New Roman"/>
          <w:iCs/>
          <w:sz w:val="28"/>
          <w:szCs w:val="28"/>
        </w:rPr>
        <w:t>“</w:t>
      </w:r>
      <w:r w:rsidRPr="004530CF">
        <w:rPr>
          <w:rFonts w:ascii="Times New Roman" w:hAnsi="Times New Roman" w:cs="Times New Roman"/>
          <w:i/>
          <w:iCs/>
          <w:sz w:val="28"/>
          <w:szCs w:val="28"/>
        </w:rPr>
        <w:t>la distinción que realiza el artículo 149 del CPACA afecta de manera desproporcionada e injustificada el derecho político a ser elegido y a ejercer y permanecer en</w:t>
      </w:r>
      <w:r w:rsidRPr="004530CF">
        <w:rPr>
          <w:rFonts w:ascii="Times New Roman" w:hAnsi="Times New Roman" w:cs="Times New Roman"/>
          <w:i/>
          <w:iCs/>
          <w:sz w:val="28"/>
          <w:szCs w:val="28"/>
        </w:rPr>
        <w:t xml:space="preserve"> el cargo, en contravención del artículo 23.2 de la CADH</w:t>
      </w:r>
      <w:r w:rsidRPr="004530CF">
        <w:rPr>
          <w:rFonts w:ascii="Times New Roman" w:hAnsi="Times New Roman" w:cs="Times New Roman"/>
          <w:sz w:val="28"/>
          <w:szCs w:val="28"/>
        </w:rPr>
        <w:t xml:space="preserve">”. Sostiene que también vulnera el derecho al debido proceso, </w:t>
      </w:r>
      <w:r w:rsidRPr="004530CF">
        <w:rPr>
          <w:rFonts w:ascii="Times New Roman" w:hAnsi="Times New Roman" w:cs="Times New Roman"/>
          <w:sz w:val="28"/>
          <w:szCs w:val="28"/>
        </w:rPr>
        <w:t>dado que</w:t>
      </w:r>
      <w:r w:rsidRPr="004530CF">
        <w:rPr>
          <w:rFonts w:ascii="Times New Roman" w:hAnsi="Times New Roman" w:cs="Times New Roman"/>
          <w:sz w:val="28"/>
          <w:szCs w:val="28"/>
        </w:rPr>
        <w:t xml:space="preserve"> la nulidad “</w:t>
      </w:r>
      <w:r w:rsidRPr="004530CF">
        <w:rPr>
          <w:rFonts w:ascii="Times New Roman" w:hAnsi="Times New Roman" w:cs="Times New Roman"/>
          <w:i/>
          <w:iCs/>
          <w:sz w:val="28"/>
          <w:szCs w:val="28"/>
        </w:rPr>
        <w:t>implica el retiro forzoso de una persona del cargo para el cual fue elegida democráticamente</w:t>
      </w:r>
      <w:r w:rsidRPr="004530CF">
        <w:rPr>
          <w:rFonts w:ascii="Times New Roman" w:hAnsi="Times New Roman" w:cs="Times New Roman"/>
          <w:iCs/>
          <w:sz w:val="28"/>
          <w:szCs w:val="28"/>
        </w:rPr>
        <w:t>”,</w:t>
      </w:r>
      <w:r w:rsidRPr="004530CF">
        <w:rPr>
          <w:rFonts w:ascii="Times New Roman" w:hAnsi="Times New Roman" w:cs="Times New Roman"/>
          <w:i/>
          <w:iCs/>
          <w:sz w:val="28"/>
          <w:szCs w:val="28"/>
        </w:rPr>
        <w:t xml:space="preserve"> </w:t>
      </w:r>
      <w:r w:rsidRPr="004530CF">
        <w:rPr>
          <w:rFonts w:ascii="Times New Roman" w:hAnsi="Times New Roman" w:cs="Times New Roman"/>
          <w:iCs/>
          <w:sz w:val="28"/>
          <w:szCs w:val="28"/>
        </w:rPr>
        <w:t>razón por la cual debe</w:t>
      </w:r>
      <w:r w:rsidRPr="004530CF">
        <w:rPr>
          <w:rFonts w:ascii="Times New Roman" w:hAnsi="Times New Roman" w:cs="Times New Roman"/>
          <w:iCs/>
          <w:sz w:val="28"/>
          <w:szCs w:val="28"/>
        </w:rPr>
        <w:t>n</w:t>
      </w:r>
      <w:r w:rsidRPr="004530CF">
        <w:rPr>
          <w:rFonts w:ascii="Times New Roman" w:hAnsi="Times New Roman" w:cs="Times New Roman"/>
          <w:sz w:val="28"/>
          <w:szCs w:val="28"/>
        </w:rPr>
        <w:t xml:space="preserve"> garanti</w:t>
      </w:r>
      <w:r w:rsidRPr="004530CF">
        <w:rPr>
          <w:rFonts w:ascii="Times New Roman" w:hAnsi="Times New Roman" w:cs="Times New Roman"/>
          <w:sz w:val="28"/>
          <w:szCs w:val="28"/>
        </w:rPr>
        <w:t>zarse</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plenamente las exigencias del debido proceso sancionatorio, incluida la doble instancia</w:t>
      </w:r>
      <w:r w:rsidRPr="004530CF">
        <w:rPr>
          <w:rFonts w:ascii="Times New Roman" w:hAnsi="Times New Roman" w:cs="Times New Roman"/>
          <w:iCs/>
          <w:sz w:val="28"/>
          <w:szCs w:val="28"/>
        </w:rPr>
        <w:t>”</w:t>
      </w:r>
      <w:r w:rsidRPr="004530CF">
        <w:rPr>
          <w:rFonts w:ascii="Times New Roman" w:hAnsi="Times New Roman" w:cs="Times New Roman"/>
          <w:iCs/>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N</w:t>
      </w:r>
      <w:r w:rsidRPr="004530CF">
        <w:rPr>
          <w:rFonts w:ascii="Times New Roman" w:hAnsi="Times New Roman" w:cs="Times New Roman"/>
          <w:sz w:val="28"/>
          <w:szCs w:val="28"/>
        </w:rPr>
        <w:t>egar está garantía “</w:t>
      </w:r>
      <w:r w:rsidRPr="004530CF">
        <w:rPr>
          <w:rFonts w:ascii="Times New Roman" w:hAnsi="Times New Roman" w:cs="Times New Roman"/>
          <w:i/>
          <w:iCs/>
          <w:sz w:val="28"/>
          <w:szCs w:val="28"/>
        </w:rPr>
        <w:t>equivale a permitir la imposición de sanciones sin una defensa integral, en detrimento no solo de la persona elegida, sino tambié</w:t>
      </w:r>
      <w:r w:rsidRPr="004530CF">
        <w:rPr>
          <w:rFonts w:ascii="Times New Roman" w:hAnsi="Times New Roman" w:cs="Times New Roman"/>
          <w:i/>
          <w:iCs/>
          <w:sz w:val="28"/>
          <w:szCs w:val="28"/>
        </w:rPr>
        <w:t>n de quienes la eligieron y, en última instancia, del sistema democrático en su conjunto</w:t>
      </w:r>
      <w:r w:rsidRPr="004530CF">
        <w:rPr>
          <w:rFonts w:ascii="Times New Roman" w:hAnsi="Times New Roman" w:cs="Times New Roman"/>
          <w:sz w:val="28"/>
          <w:szCs w:val="28"/>
        </w:rPr>
        <w:t>”.</w:t>
      </w:r>
    </w:p>
    <w:p w:rsidR="00FC25BB" w:rsidRPr="004530CF" w:rsidRDefault="004530CF" w:rsidP="004C7B30">
      <w:pPr>
        <w:pStyle w:val="Prrafodelista"/>
        <w:rPr>
          <w:rFonts w:ascii="Times New Roman" w:hAnsi="Times New Roman" w:cs="Times New Roman"/>
          <w:sz w:val="28"/>
          <w:szCs w:val="28"/>
        </w:rPr>
      </w:pPr>
    </w:p>
    <w:p w:rsidR="00FC25BB" w:rsidRPr="004530CF" w:rsidRDefault="004530CF" w:rsidP="004C7B30">
      <w:pPr>
        <w:pStyle w:val="Ttulo3"/>
        <w:numPr>
          <w:ilvl w:val="0"/>
          <w:numId w:val="4"/>
        </w:numPr>
        <w:spacing w:before="0"/>
        <w:ind w:left="1134" w:hanging="567"/>
        <w:jc w:val="both"/>
        <w:rPr>
          <w:rFonts w:ascii="Times New Roman" w:hAnsi="Times New Roman" w:cs="Times New Roman"/>
          <w:bCs/>
          <w:color w:val="auto"/>
          <w:szCs w:val="28"/>
        </w:rPr>
      </w:pPr>
      <w:r w:rsidRPr="004530CF">
        <w:rPr>
          <w:rFonts w:ascii="Times New Roman" w:hAnsi="Times New Roman" w:cs="Times New Roman"/>
          <w:bCs/>
          <w:color w:val="auto"/>
          <w:szCs w:val="28"/>
        </w:rPr>
        <w:t>Sin indicación específica</w:t>
      </w:r>
      <w:r w:rsidRPr="004530CF">
        <w:rPr>
          <w:rFonts w:ascii="Times New Roman" w:hAnsi="Times New Roman" w:cs="Times New Roman"/>
          <w:bCs/>
          <w:color w:val="auto"/>
          <w:szCs w:val="28"/>
        </w:rPr>
        <w:t xml:space="preserve"> sobre el sentido de la decisión que debe adoptar la Corte</w:t>
      </w:r>
    </w:p>
    <w:p w:rsidR="00FC25BB" w:rsidRPr="004530CF" w:rsidRDefault="004530CF" w:rsidP="004C7B30">
      <w:pPr>
        <w:pStyle w:val="Prrafodelista"/>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Sin realizar una solicitud concreta, el </w:t>
      </w:r>
      <w:r w:rsidRPr="004530CF">
        <w:rPr>
          <w:rFonts w:ascii="Times New Roman" w:hAnsi="Times New Roman" w:cs="Times New Roman"/>
          <w:b/>
          <w:bCs/>
          <w:i/>
          <w:iCs/>
          <w:sz w:val="28"/>
          <w:szCs w:val="28"/>
        </w:rPr>
        <w:t xml:space="preserve">Instituto Colombiano de Derecho </w:t>
      </w:r>
      <w:r w:rsidRPr="004530CF">
        <w:rPr>
          <w:rFonts w:ascii="Times New Roman" w:hAnsi="Times New Roman" w:cs="Times New Roman"/>
          <w:b/>
          <w:bCs/>
          <w:i/>
          <w:iCs/>
          <w:sz w:val="28"/>
          <w:szCs w:val="28"/>
        </w:rPr>
        <w:t>Procesal (ICDP)</w:t>
      </w:r>
      <w:r w:rsidRPr="004530CF">
        <w:rPr>
          <w:rFonts w:ascii="Times New Roman" w:hAnsi="Times New Roman" w:cs="Times New Roman"/>
          <w:sz w:val="28"/>
          <w:szCs w:val="28"/>
        </w:rPr>
        <w:t>, explica que el texto acusado “</w:t>
      </w:r>
      <w:r w:rsidRPr="004530CF">
        <w:rPr>
          <w:rFonts w:ascii="Times New Roman" w:hAnsi="Times New Roman" w:cs="Times New Roman"/>
          <w:i/>
          <w:iCs/>
          <w:sz w:val="28"/>
          <w:szCs w:val="28"/>
        </w:rPr>
        <w:t>no resulta contrario a la garantía convencional de la doble conformidad, o</w:t>
      </w:r>
      <w:r w:rsidRPr="004530CF">
        <w:rPr>
          <w:rFonts w:ascii="Times New Roman" w:hAnsi="Times New Roman" w:cs="Times New Roman"/>
          <w:i/>
          <w:iCs/>
          <w:sz w:val="28"/>
          <w:szCs w:val="28"/>
        </w:rPr>
        <w:t>,</w:t>
      </w:r>
      <w:r w:rsidRPr="004530CF">
        <w:rPr>
          <w:rFonts w:ascii="Times New Roman" w:hAnsi="Times New Roman" w:cs="Times New Roman"/>
          <w:i/>
          <w:iCs/>
          <w:sz w:val="28"/>
          <w:szCs w:val="28"/>
        </w:rPr>
        <w:t xml:space="preserve"> dicho en otras palabras, tampoco corresponde a una vulneración de los estándares nacionales e internacionales relacionados con la def</w:t>
      </w:r>
      <w:r w:rsidRPr="004530CF">
        <w:rPr>
          <w:rFonts w:ascii="Times New Roman" w:hAnsi="Times New Roman" w:cs="Times New Roman"/>
          <w:i/>
          <w:iCs/>
          <w:sz w:val="28"/>
          <w:szCs w:val="28"/>
        </w:rPr>
        <w:t>ensa de los derechos políticos, según sostiene el accionante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A su juicio </w:t>
      </w:r>
      <w:r w:rsidRPr="004530CF">
        <w:rPr>
          <w:rFonts w:ascii="Times New Roman" w:hAnsi="Times New Roman" w:cs="Times New Roman"/>
          <w:sz w:val="28"/>
          <w:szCs w:val="28"/>
        </w:rPr>
        <w:t>(i) el legislador cuenta con un amplio margen de configuración</w:t>
      </w:r>
      <w:r w:rsidRPr="004530CF">
        <w:rPr>
          <w:rFonts w:ascii="Times New Roman" w:hAnsi="Times New Roman" w:cs="Times New Roman"/>
          <w:sz w:val="28"/>
          <w:szCs w:val="28"/>
        </w:rPr>
        <w:t xml:space="preserve"> que</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le permite determinar las excepciones a la regla general de la doble instancia, la cual -dicho sea de paso- no e</w:t>
      </w:r>
      <w:r w:rsidRPr="004530CF">
        <w:rPr>
          <w:rFonts w:ascii="Times New Roman" w:hAnsi="Times New Roman" w:cs="Times New Roman"/>
          <w:i/>
          <w:iCs/>
          <w:sz w:val="28"/>
          <w:szCs w:val="28"/>
        </w:rPr>
        <w:t>s una garantía absoluta</w:t>
      </w:r>
      <w:r w:rsidRPr="004530CF">
        <w:rPr>
          <w:rFonts w:ascii="Times New Roman" w:hAnsi="Times New Roman" w:cs="Times New Roman"/>
          <w:sz w:val="28"/>
        </w:rPr>
        <w:t>”</w:t>
      </w:r>
      <w:r w:rsidRPr="004530CF">
        <w:rPr>
          <w:rFonts w:ascii="Times New Roman" w:hAnsi="Times New Roman" w:cs="Times New Roman"/>
          <w:sz w:val="28"/>
        </w:rPr>
        <w:t>.</w:t>
      </w:r>
      <w:r w:rsidRPr="004530CF">
        <w:rPr>
          <w:rFonts w:ascii="Times New Roman" w:hAnsi="Times New Roman" w:cs="Times New Roman"/>
          <w:sz w:val="28"/>
        </w:rPr>
        <w:t xml:space="preserve">  </w:t>
      </w:r>
      <w:r w:rsidRPr="004530CF">
        <w:rPr>
          <w:rFonts w:ascii="Times New Roman" w:hAnsi="Times New Roman" w:cs="Times New Roman"/>
          <w:sz w:val="28"/>
          <w:szCs w:val="28"/>
        </w:rPr>
        <w:t>A</w:t>
      </w:r>
      <w:r w:rsidRPr="004530CF">
        <w:rPr>
          <w:rFonts w:ascii="Times New Roman" w:hAnsi="Times New Roman" w:cs="Times New Roman"/>
          <w:sz w:val="28"/>
          <w:szCs w:val="28"/>
        </w:rPr>
        <w:t>demás (ii) la nulidad electoral no es una sanción, en tanto que lo que se controvierte es “</w:t>
      </w:r>
      <w:r w:rsidRPr="004530CF">
        <w:rPr>
          <w:rFonts w:ascii="Times New Roman" w:hAnsi="Times New Roman" w:cs="Times New Roman"/>
          <w:i/>
          <w:iCs/>
          <w:sz w:val="28"/>
          <w:szCs w:val="28"/>
        </w:rPr>
        <w:t>un acto administrativo de elección o de llamamiento a ocupar una curul</w:t>
      </w:r>
      <w:r w:rsidRPr="004530CF">
        <w:rPr>
          <w:rFonts w:ascii="Times New Roman" w:hAnsi="Times New Roman" w:cs="Times New Roman"/>
          <w:sz w:val="28"/>
          <w:szCs w:val="28"/>
        </w:rPr>
        <w:t xml:space="preserve"> (...) </w:t>
      </w:r>
      <w:r w:rsidRPr="004530CF">
        <w:rPr>
          <w:rFonts w:ascii="Times New Roman" w:hAnsi="Times New Roman" w:cs="Times New Roman"/>
          <w:i/>
          <w:iCs/>
          <w:sz w:val="28"/>
          <w:szCs w:val="28"/>
        </w:rPr>
        <w:t>no se trata de un medio de control con pretensión sancionato</w:t>
      </w:r>
      <w:r w:rsidRPr="004530CF">
        <w:rPr>
          <w:rFonts w:ascii="Times New Roman" w:hAnsi="Times New Roman" w:cs="Times New Roman"/>
          <w:i/>
          <w:iCs/>
          <w:sz w:val="28"/>
          <w:szCs w:val="28"/>
        </w:rPr>
        <w:t>ria</w:t>
      </w:r>
      <w:r w:rsidRPr="004530CF">
        <w:rPr>
          <w:rFonts w:ascii="Times New Roman" w:hAnsi="Times New Roman" w:cs="Times New Roman"/>
          <w:sz w:val="28"/>
        </w:rPr>
        <w:t>”</w:t>
      </w:r>
      <w:r w:rsidRPr="004530CF">
        <w:rPr>
          <w:rFonts w:ascii="Times New Roman" w:hAnsi="Times New Roman" w:cs="Times New Roman"/>
          <w:sz w:val="28"/>
        </w:rPr>
        <w:t>.</w:t>
      </w:r>
      <w:r w:rsidRPr="004530CF">
        <w:rPr>
          <w:rFonts w:ascii="Times New Roman" w:hAnsi="Times New Roman" w:cs="Times New Roman"/>
          <w:sz w:val="28"/>
        </w:rPr>
        <w:t xml:space="preserve"> </w:t>
      </w:r>
      <w:r w:rsidRPr="004530CF">
        <w:rPr>
          <w:rFonts w:ascii="Times New Roman" w:hAnsi="Times New Roman" w:cs="Times New Roman"/>
          <w:sz w:val="28"/>
          <w:szCs w:val="28"/>
        </w:rPr>
        <w:t>A su vez</w:t>
      </w:r>
      <w:r w:rsidRPr="004530CF">
        <w:rPr>
          <w:rFonts w:ascii="Times New Roman" w:hAnsi="Times New Roman" w:cs="Times New Roman"/>
          <w:sz w:val="28"/>
          <w:szCs w:val="28"/>
        </w:rPr>
        <w:t xml:space="preserve"> (iii) en el proceso de nulidad electoral, se exige actuar de manera célere, en la medida en que este medio de control busca proteger un bien jurídico superior, esto es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la prevalencia del principio de legalidad y de los principios democrátic</w:t>
      </w:r>
      <w:r w:rsidRPr="004530CF">
        <w:rPr>
          <w:rFonts w:ascii="Times New Roman" w:hAnsi="Times New Roman" w:cs="Times New Roman"/>
          <w:sz w:val="28"/>
          <w:szCs w:val="28"/>
        </w:rPr>
        <w:t>os que rigen el Estado Social de Derecho. Esta exigencia de prontitud responde a la necesidad de garantizar la legitimidad del ejercicio del poder público y la confianza ciudadana en las instituciones democráticas.</w:t>
      </w:r>
    </w:p>
    <w:p w:rsidR="00FC25BB" w:rsidRPr="004530CF" w:rsidRDefault="004530CF" w:rsidP="004C7B30">
      <w:pPr>
        <w:jc w:val="both"/>
        <w:rPr>
          <w:rFonts w:ascii="Times New Roman" w:hAnsi="Times New Roman" w:cs="Times New Roman"/>
          <w:sz w:val="28"/>
          <w:szCs w:val="28"/>
          <w:highlight w:val="green"/>
        </w:rPr>
      </w:pPr>
    </w:p>
    <w:p w:rsidR="00FC25BB" w:rsidRPr="004530CF" w:rsidRDefault="004530CF" w:rsidP="004C7B30">
      <w:pPr>
        <w:pStyle w:val="Ttulo2"/>
        <w:numPr>
          <w:ilvl w:val="0"/>
          <w:numId w:val="2"/>
        </w:numPr>
        <w:spacing w:before="0"/>
        <w:ind w:left="1134" w:hanging="567"/>
        <w:jc w:val="both"/>
        <w:rPr>
          <w:rStyle w:val="Ttulo1Car"/>
          <w:rFonts w:ascii="Times New Roman" w:hAnsi="Times New Roman" w:cs="Times New Roman"/>
          <w:b/>
          <w:color w:val="auto"/>
          <w:sz w:val="28"/>
          <w:szCs w:val="28"/>
        </w:rPr>
      </w:pPr>
      <w:r w:rsidRPr="004530CF">
        <w:rPr>
          <w:rStyle w:val="Ttulo1Car"/>
          <w:rFonts w:ascii="Times New Roman" w:hAnsi="Times New Roman" w:cs="Times New Roman"/>
          <w:b/>
          <w:color w:val="auto"/>
          <w:sz w:val="28"/>
          <w:szCs w:val="28"/>
        </w:rPr>
        <w:t xml:space="preserve">Concepto del Procurador General de la </w:t>
      </w:r>
      <w:r w:rsidRPr="004530CF">
        <w:rPr>
          <w:rStyle w:val="Ttulo1Car"/>
          <w:rFonts w:ascii="Times New Roman" w:hAnsi="Times New Roman" w:cs="Times New Roman"/>
          <w:b/>
          <w:color w:val="auto"/>
          <w:sz w:val="28"/>
          <w:szCs w:val="28"/>
        </w:rPr>
        <w:t>Nación</w:t>
      </w:r>
    </w:p>
    <w:p w:rsidR="00FC25BB" w:rsidRPr="004530CF" w:rsidRDefault="004530CF" w:rsidP="004C7B30">
      <w:pPr>
        <w:pStyle w:val="Prrafodelista"/>
        <w:ind w:left="567"/>
        <w:rPr>
          <w:rFonts w:ascii="Times New Roman" w:hAnsi="Times New Roman" w:cs="Times New Roman"/>
          <w:bCs/>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bCs/>
          <w:sz w:val="28"/>
          <w:szCs w:val="28"/>
        </w:rPr>
      </w:pPr>
      <w:r w:rsidRPr="004530CF">
        <w:rPr>
          <w:rFonts w:ascii="Times New Roman" w:hAnsi="Times New Roman" w:cs="Times New Roman"/>
          <w:bCs/>
          <w:sz w:val="28"/>
          <w:szCs w:val="28"/>
        </w:rPr>
        <w:t>En concepto No. 7494 del 3 de diciembre de 2025, el Procurador General de la Nación solicita que se declare</w:t>
      </w:r>
      <w:r w:rsidRPr="004530CF">
        <w:rPr>
          <w:rFonts w:ascii="Times New Roman" w:hAnsi="Times New Roman" w:cs="Times New Roman"/>
          <w:bCs/>
          <w:i/>
          <w:iCs/>
          <w:sz w:val="28"/>
          <w:szCs w:val="28"/>
        </w:rPr>
        <w:t xml:space="preserve"> </w:t>
      </w:r>
      <w:r w:rsidRPr="004530CF">
        <w:rPr>
          <w:rFonts w:ascii="Times New Roman" w:hAnsi="Times New Roman" w:cs="Times New Roman"/>
          <w:bCs/>
          <w:sz w:val="28"/>
          <w:szCs w:val="28"/>
        </w:rPr>
        <w:t>“</w:t>
      </w:r>
      <w:r w:rsidRPr="004530CF">
        <w:rPr>
          <w:rFonts w:ascii="Times New Roman" w:hAnsi="Times New Roman" w:cs="Times New Roman"/>
          <w:bCs/>
          <w:i/>
          <w:iCs/>
          <w:sz w:val="28"/>
          <w:szCs w:val="28"/>
        </w:rPr>
        <w:t xml:space="preserve">la </w:t>
      </w:r>
      <w:r w:rsidRPr="004530CF">
        <w:rPr>
          <w:rFonts w:ascii="Times New Roman" w:hAnsi="Times New Roman" w:cs="Times New Roman"/>
          <w:b/>
          <w:i/>
          <w:iCs/>
          <w:sz w:val="28"/>
          <w:szCs w:val="28"/>
        </w:rPr>
        <w:t>EXEQUIBILIDAD</w:t>
      </w:r>
      <w:r w:rsidRPr="004530CF">
        <w:rPr>
          <w:rFonts w:ascii="Times New Roman" w:hAnsi="Times New Roman" w:cs="Times New Roman"/>
          <w:bCs/>
          <w:i/>
          <w:iCs/>
          <w:sz w:val="28"/>
          <w:szCs w:val="28"/>
        </w:rPr>
        <w:t xml:space="preserve"> de la expresión “del presidente y el vicepresidente de la República, de los </w:t>
      </w:r>
      <w:r w:rsidRPr="004530CF">
        <w:rPr>
          <w:rFonts w:ascii="Times New Roman" w:hAnsi="Times New Roman" w:cs="Times New Roman"/>
          <w:bCs/>
          <w:i/>
          <w:iCs/>
          <w:sz w:val="28"/>
          <w:szCs w:val="28"/>
        </w:rPr>
        <w:t>s</w:t>
      </w:r>
      <w:r w:rsidRPr="004530CF">
        <w:rPr>
          <w:rFonts w:ascii="Times New Roman" w:hAnsi="Times New Roman" w:cs="Times New Roman"/>
          <w:bCs/>
          <w:i/>
          <w:iCs/>
          <w:sz w:val="28"/>
          <w:szCs w:val="28"/>
        </w:rPr>
        <w:t xml:space="preserve">enadores, de los representantes a la </w:t>
      </w:r>
      <w:r w:rsidRPr="004530CF">
        <w:rPr>
          <w:rFonts w:ascii="Times New Roman" w:hAnsi="Times New Roman" w:cs="Times New Roman"/>
          <w:bCs/>
          <w:i/>
          <w:iCs/>
          <w:sz w:val="28"/>
          <w:szCs w:val="28"/>
        </w:rPr>
        <w:t>c</w:t>
      </w:r>
      <w:r w:rsidRPr="004530CF">
        <w:rPr>
          <w:rFonts w:ascii="Times New Roman" w:hAnsi="Times New Roman" w:cs="Times New Roman"/>
          <w:bCs/>
          <w:i/>
          <w:iCs/>
          <w:sz w:val="28"/>
          <w:szCs w:val="28"/>
        </w:rPr>
        <w:t xml:space="preserve">ámara, </w:t>
      </w:r>
      <w:r w:rsidRPr="004530CF">
        <w:rPr>
          <w:rFonts w:ascii="Times New Roman" w:hAnsi="Times New Roman" w:cs="Times New Roman"/>
          <w:bCs/>
          <w:i/>
          <w:iCs/>
          <w:sz w:val="28"/>
          <w:szCs w:val="28"/>
        </w:rPr>
        <w:t xml:space="preserve">de los representantes al Parlamento Andino, de los gobernadores, del </w:t>
      </w:r>
      <w:r w:rsidRPr="004530CF">
        <w:rPr>
          <w:rFonts w:ascii="Times New Roman" w:hAnsi="Times New Roman" w:cs="Times New Roman"/>
          <w:bCs/>
          <w:i/>
          <w:iCs/>
          <w:sz w:val="28"/>
          <w:szCs w:val="28"/>
        </w:rPr>
        <w:t>A</w:t>
      </w:r>
      <w:r w:rsidRPr="004530CF">
        <w:rPr>
          <w:rFonts w:ascii="Times New Roman" w:hAnsi="Times New Roman" w:cs="Times New Roman"/>
          <w:bCs/>
          <w:i/>
          <w:iCs/>
          <w:sz w:val="28"/>
          <w:szCs w:val="28"/>
        </w:rPr>
        <w:t>lcalde Mayor de Bogotá (…) contenida el numeral 4 del artículo 149 de la Ley 1437 de 2011, modificado por la Ley 2080 de 2021</w:t>
      </w:r>
      <w:r w:rsidRPr="004530CF">
        <w:rPr>
          <w:rFonts w:ascii="Times New Roman" w:hAnsi="Times New Roman" w:cs="Times New Roman"/>
          <w:bCs/>
          <w:iCs/>
          <w:sz w:val="28"/>
          <w:szCs w:val="28"/>
        </w:rPr>
        <w:t>”.</w:t>
      </w:r>
    </w:p>
    <w:p w:rsidR="00667B84" w:rsidRPr="004530CF" w:rsidRDefault="004530CF" w:rsidP="004C7B30">
      <w:pPr>
        <w:pStyle w:val="Prrafodelista"/>
        <w:tabs>
          <w:tab w:val="left" w:pos="567"/>
        </w:tabs>
        <w:ind w:left="0"/>
        <w:jc w:val="both"/>
        <w:rPr>
          <w:rFonts w:ascii="Times New Roman" w:hAnsi="Times New Roman" w:cs="Times New Roman"/>
          <w:bCs/>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bCs/>
          <w:sz w:val="28"/>
          <w:szCs w:val="28"/>
        </w:rPr>
      </w:pPr>
      <w:r w:rsidRPr="004530CF">
        <w:rPr>
          <w:rFonts w:ascii="Times New Roman" w:hAnsi="Times New Roman" w:cs="Times New Roman"/>
          <w:bCs/>
          <w:sz w:val="28"/>
          <w:szCs w:val="28"/>
        </w:rPr>
        <w:t>La intervención s</w:t>
      </w:r>
      <w:r w:rsidRPr="004530CF">
        <w:rPr>
          <w:rFonts w:ascii="Times New Roman" w:hAnsi="Times New Roman" w:cs="Times New Roman"/>
          <w:bCs/>
          <w:sz w:val="28"/>
          <w:szCs w:val="28"/>
        </w:rPr>
        <w:t>e refi</w:t>
      </w:r>
      <w:r w:rsidRPr="004530CF">
        <w:rPr>
          <w:rFonts w:ascii="Times New Roman" w:hAnsi="Times New Roman" w:cs="Times New Roman"/>
          <w:bCs/>
          <w:sz w:val="28"/>
          <w:szCs w:val="28"/>
        </w:rPr>
        <w:t>ere</w:t>
      </w:r>
      <w:r w:rsidRPr="004530CF">
        <w:rPr>
          <w:rFonts w:ascii="Times New Roman" w:hAnsi="Times New Roman" w:cs="Times New Roman"/>
          <w:bCs/>
          <w:sz w:val="28"/>
          <w:szCs w:val="28"/>
        </w:rPr>
        <w:t xml:space="preserve"> a la libertad de configuración</w:t>
      </w:r>
      <w:r w:rsidRPr="004530CF">
        <w:rPr>
          <w:rFonts w:ascii="Times New Roman" w:hAnsi="Times New Roman" w:cs="Times New Roman"/>
          <w:bCs/>
          <w:sz w:val="28"/>
          <w:szCs w:val="28"/>
        </w:rPr>
        <w:t xml:space="preserve"> del </w:t>
      </w:r>
      <w:r w:rsidRPr="004530CF">
        <w:rPr>
          <w:rFonts w:ascii="Times New Roman" w:hAnsi="Times New Roman" w:cs="Times New Roman"/>
          <w:bCs/>
          <w:sz w:val="28"/>
          <w:szCs w:val="28"/>
        </w:rPr>
        <w:t>l</w:t>
      </w:r>
      <w:r w:rsidRPr="004530CF">
        <w:rPr>
          <w:rFonts w:ascii="Times New Roman" w:hAnsi="Times New Roman" w:cs="Times New Roman"/>
          <w:bCs/>
          <w:sz w:val="28"/>
          <w:szCs w:val="28"/>
        </w:rPr>
        <w:t xml:space="preserve">egislador en materia de recursos procesales, la protección de los derechos políticos a la luz de la CADH, la doble instancia dentro del debido proceso y la naturaleza de la nulidad electoral. Afirma que el </w:t>
      </w:r>
      <w:r w:rsidRPr="004530CF">
        <w:rPr>
          <w:rFonts w:ascii="Times New Roman" w:hAnsi="Times New Roman" w:cs="Times New Roman"/>
          <w:bCs/>
          <w:sz w:val="28"/>
          <w:szCs w:val="28"/>
        </w:rPr>
        <w:t>l</w:t>
      </w:r>
      <w:r w:rsidRPr="004530CF">
        <w:rPr>
          <w:rFonts w:ascii="Times New Roman" w:hAnsi="Times New Roman" w:cs="Times New Roman"/>
          <w:bCs/>
          <w:sz w:val="28"/>
          <w:szCs w:val="28"/>
        </w:rPr>
        <w:t xml:space="preserve">egislador puede establecer reglas </w:t>
      </w:r>
      <w:r w:rsidRPr="004530CF">
        <w:rPr>
          <w:rFonts w:ascii="Times New Roman" w:hAnsi="Times New Roman" w:cs="Times New Roman"/>
          <w:bCs/>
          <w:sz w:val="28"/>
          <w:szCs w:val="28"/>
        </w:rPr>
        <w:t>especiales de competencia, incluso de única instancia, siempre que estas persigan finalidades constitucionalmente legítimas y no resulten arbitrarias o desproporcionadas.</w:t>
      </w:r>
    </w:p>
    <w:p w:rsidR="00667B84" w:rsidRPr="004530CF" w:rsidRDefault="004530CF" w:rsidP="004C7B30">
      <w:pPr>
        <w:pStyle w:val="Prrafodelista"/>
        <w:ind w:left="0"/>
        <w:rPr>
          <w:rFonts w:ascii="Times New Roman" w:hAnsi="Times New Roman" w:cs="Times New Roman"/>
          <w:bCs/>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bCs/>
          <w:sz w:val="28"/>
          <w:szCs w:val="28"/>
        </w:rPr>
      </w:pPr>
      <w:r w:rsidRPr="004530CF">
        <w:rPr>
          <w:rFonts w:ascii="Times New Roman" w:hAnsi="Times New Roman" w:cs="Times New Roman"/>
          <w:bCs/>
          <w:sz w:val="28"/>
          <w:szCs w:val="28"/>
        </w:rPr>
        <w:t>Respecto del primer cargo, señala que el acceso a la administración de justicia no i</w:t>
      </w:r>
      <w:r w:rsidRPr="004530CF">
        <w:rPr>
          <w:rFonts w:ascii="Times New Roman" w:hAnsi="Times New Roman" w:cs="Times New Roman"/>
          <w:bCs/>
          <w:sz w:val="28"/>
          <w:szCs w:val="28"/>
        </w:rPr>
        <w:t>mplica</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necesariamente</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la existencia de la doble instancia en todos los casos, pues esta garantía admite excepciones justificadas por la naturaleza del asunto, la especialidad del control judicial y la necesidad de asegurar la eficacia, celeridad y cohere</w:t>
      </w:r>
      <w:r w:rsidRPr="004530CF">
        <w:rPr>
          <w:rFonts w:ascii="Times New Roman" w:hAnsi="Times New Roman" w:cs="Times New Roman"/>
          <w:bCs/>
          <w:sz w:val="28"/>
          <w:szCs w:val="28"/>
        </w:rPr>
        <w:t>ncia del sistema judicial. En este sentido, la atribución de la competencia en única instancia a la Sección Quinta del Consejo de Estado para conocer de ciertos procesos electorales</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responde a la especial relevancia institucional de los cargos involucrado</w:t>
      </w:r>
      <w:r w:rsidRPr="004530CF">
        <w:rPr>
          <w:rFonts w:ascii="Times New Roman" w:hAnsi="Times New Roman" w:cs="Times New Roman"/>
          <w:bCs/>
          <w:sz w:val="28"/>
          <w:szCs w:val="28"/>
        </w:rPr>
        <w:t xml:space="preserve">s, </w:t>
      </w:r>
      <w:r w:rsidRPr="004530CF">
        <w:rPr>
          <w:rFonts w:ascii="Times New Roman" w:hAnsi="Times New Roman" w:cs="Times New Roman"/>
          <w:bCs/>
          <w:sz w:val="28"/>
          <w:szCs w:val="28"/>
        </w:rPr>
        <w:t xml:space="preserve">a </w:t>
      </w:r>
      <w:r w:rsidRPr="004530CF">
        <w:rPr>
          <w:rFonts w:ascii="Times New Roman" w:hAnsi="Times New Roman" w:cs="Times New Roman"/>
          <w:bCs/>
          <w:sz w:val="28"/>
          <w:szCs w:val="28"/>
        </w:rPr>
        <w:t>la especialidad del juez y a la necesidad de unificar criterios en asuntos que impactan directamente el orden democrático.</w:t>
      </w:r>
    </w:p>
    <w:p w:rsidR="00667B84" w:rsidRPr="004530CF" w:rsidRDefault="004530CF" w:rsidP="004C7B30">
      <w:pPr>
        <w:pStyle w:val="Prrafodelista"/>
        <w:ind w:left="0"/>
        <w:rPr>
          <w:rFonts w:ascii="Times New Roman" w:hAnsi="Times New Roman" w:cs="Times New Roman"/>
          <w:bCs/>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bCs/>
          <w:sz w:val="28"/>
          <w:szCs w:val="28"/>
        </w:rPr>
      </w:pPr>
      <w:r w:rsidRPr="004530CF">
        <w:rPr>
          <w:rFonts w:ascii="Times New Roman" w:hAnsi="Times New Roman" w:cs="Times New Roman"/>
          <w:bCs/>
          <w:sz w:val="28"/>
          <w:szCs w:val="28"/>
        </w:rPr>
        <w:t>Desde la perspectiva del principio de igualdad, la Procuraduría considera que no existe un trato discriminatorio injustificado,</w:t>
      </w:r>
      <w:r w:rsidRPr="004530CF">
        <w:rPr>
          <w:rFonts w:ascii="Times New Roman" w:hAnsi="Times New Roman" w:cs="Times New Roman"/>
          <w:bCs/>
          <w:sz w:val="28"/>
          <w:szCs w:val="28"/>
        </w:rPr>
        <w:t xml:space="preserve"> ya que los sujetos procesales que quedan sometidos a este régimen no se encuentran en la misma situación fáctica y jurídica </w:t>
      </w:r>
      <w:r w:rsidRPr="004530CF">
        <w:rPr>
          <w:rFonts w:ascii="Times New Roman" w:hAnsi="Times New Roman" w:cs="Times New Roman"/>
          <w:bCs/>
          <w:sz w:val="28"/>
          <w:szCs w:val="28"/>
        </w:rPr>
        <w:t xml:space="preserve">de </w:t>
      </w:r>
      <w:r w:rsidRPr="004530CF">
        <w:rPr>
          <w:rFonts w:ascii="Times New Roman" w:hAnsi="Times New Roman" w:cs="Times New Roman"/>
          <w:bCs/>
          <w:sz w:val="28"/>
          <w:szCs w:val="28"/>
        </w:rPr>
        <w:t>quienes acuden a la jurisdicción en otros procesos electorales. La diferencia de trato se apoya en criterios objetivos y razonab</w:t>
      </w:r>
      <w:r w:rsidRPr="004530CF">
        <w:rPr>
          <w:rFonts w:ascii="Times New Roman" w:hAnsi="Times New Roman" w:cs="Times New Roman"/>
          <w:bCs/>
          <w:sz w:val="28"/>
          <w:szCs w:val="28"/>
        </w:rPr>
        <w:t>les, como la jerarquía constitucional de los cargos, la trascendencia política de las decisiones y la conveniencia de un control concentrado y definitivo.</w:t>
      </w:r>
    </w:p>
    <w:p w:rsidR="00667B84" w:rsidRPr="004530CF" w:rsidRDefault="004530CF" w:rsidP="004C7B30">
      <w:pPr>
        <w:pStyle w:val="Prrafodelista"/>
        <w:ind w:left="0"/>
        <w:rPr>
          <w:rFonts w:ascii="Times New Roman" w:hAnsi="Times New Roman" w:cs="Times New Roman"/>
          <w:bCs/>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bCs/>
          <w:sz w:val="28"/>
          <w:szCs w:val="28"/>
        </w:rPr>
      </w:pPr>
      <w:r w:rsidRPr="004530CF">
        <w:rPr>
          <w:rFonts w:ascii="Times New Roman" w:hAnsi="Times New Roman" w:cs="Times New Roman"/>
          <w:bCs/>
          <w:sz w:val="28"/>
          <w:szCs w:val="28"/>
        </w:rPr>
        <w:t>Al respecto</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concluye que la regulación acusada supera el juicio integrado de igualdad</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w:t>
      </w:r>
      <w:r w:rsidRPr="004530CF">
        <w:rPr>
          <w:rFonts w:ascii="Times New Roman" w:hAnsi="Times New Roman" w:cs="Times New Roman"/>
          <w:bCs/>
          <w:sz w:val="28"/>
          <w:szCs w:val="28"/>
        </w:rPr>
        <w:t>En efecto, l</w:t>
      </w:r>
      <w:r w:rsidRPr="004530CF">
        <w:rPr>
          <w:rFonts w:ascii="Times New Roman" w:hAnsi="Times New Roman" w:cs="Times New Roman"/>
          <w:bCs/>
          <w:sz w:val="28"/>
          <w:szCs w:val="28"/>
        </w:rPr>
        <w:t xml:space="preserve">a medida </w:t>
      </w:r>
      <w:r w:rsidRPr="004530CF">
        <w:rPr>
          <w:rFonts w:ascii="Times New Roman" w:hAnsi="Times New Roman" w:cs="Times New Roman"/>
          <w:bCs/>
          <w:sz w:val="28"/>
          <w:szCs w:val="28"/>
        </w:rPr>
        <w:t>(i) persigue una finalidad constitucional legítima (</w:t>
      </w:r>
      <w:r w:rsidRPr="004530CF">
        <w:rPr>
          <w:rFonts w:ascii="Times New Roman" w:hAnsi="Times New Roman" w:cs="Times New Roman"/>
          <w:bCs/>
          <w:i/>
          <w:sz w:val="28"/>
          <w:szCs w:val="28"/>
        </w:rPr>
        <w:t xml:space="preserve">protección de la institucionalidad democrática y </w:t>
      </w:r>
      <w:r w:rsidRPr="004530CF">
        <w:rPr>
          <w:rFonts w:ascii="Times New Roman" w:hAnsi="Times New Roman" w:cs="Times New Roman"/>
          <w:bCs/>
          <w:i/>
          <w:sz w:val="28"/>
          <w:szCs w:val="28"/>
        </w:rPr>
        <w:t xml:space="preserve">la </w:t>
      </w:r>
      <w:r w:rsidRPr="004530CF">
        <w:rPr>
          <w:rFonts w:ascii="Times New Roman" w:hAnsi="Times New Roman" w:cs="Times New Roman"/>
          <w:bCs/>
          <w:i/>
          <w:sz w:val="28"/>
          <w:szCs w:val="28"/>
        </w:rPr>
        <w:t>seguridad jurídica</w:t>
      </w:r>
      <w:r w:rsidRPr="004530CF">
        <w:rPr>
          <w:rFonts w:ascii="Times New Roman" w:hAnsi="Times New Roman" w:cs="Times New Roman"/>
          <w:bCs/>
          <w:sz w:val="28"/>
          <w:szCs w:val="28"/>
        </w:rPr>
        <w:t>)</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(ii) es adecuada para alcanzarla (</w:t>
      </w:r>
      <w:r w:rsidRPr="004530CF">
        <w:rPr>
          <w:rFonts w:ascii="Times New Roman" w:hAnsi="Times New Roman" w:cs="Times New Roman"/>
          <w:bCs/>
          <w:i/>
          <w:sz w:val="28"/>
          <w:szCs w:val="28"/>
        </w:rPr>
        <w:t xml:space="preserve">al centralizar la competencia en el máximo órgano de la </w:t>
      </w:r>
      <w:r w:rsidRPr="004530CF">
        <w:rPr>
          <w:rFonts w:ascii="Times New Roman" w:hAnsi="Times New Roman" w:cs="Times New Roman"/>
          <w:bCs/>
          <w:i/>
          <w:sz w:val="28"/>
          <w:szCs w:val="28"/>
        </w:rPr>
        <w:t>J</w:t>
      </w:r>
      <w:r w:rsidRPr="004530CF">
        <w:rPr>
          <w:rFonts w:ascii="Times New Roman" w:hAnsi="Times New Roman" w:cs="Times New Roman"/>
          <w:bCs/>
          <w:i/>
          <w:sz w:val="28"/>
          <w:szCs w:val="28"/>
        </w:rPr>
        <w:t xml:space="preserve">urisdicción </w:t>
      </w:r>
      <w:r w:rsidRPr="004530CF">
        <w:rPr>
          <w:rFonts w:ascii="Times New Roman" w:hAnsi="Times New Roman" w:cs="Times New Roman"/>
          <w:bCs/>
          <w:i/>
          <w:sz w:val="28"/>
          <w:szCs w:val="28"/>
        </w:rPr>
        <w:t>C</w:t>
      </w:r>
      <w:r w:rsidRPr="004530CF">
        <w:rPr>
          <w:rFonts w:ascii="Times New Roman" w:hAnsi="Times New Roman" w:cs="Times New Roman"/>
          <w:bCs/>
          <w:i/>
          <w:sz w:val="28"/>
          <w:szCs w:val="28"/>
        </w:rPr>
        <w:t>ontenciosa</w:t>
      </w:r>
      <w:r w:rsidRPr="004530CF">
        <w:rPr>
          <w:rFonts w:ascii="Times New Roman" w:hAnsi="Times New Roman" w:cs="Times New Roman"/>
          <w:bCs/>
          <w:sz w:val="28"/>
          <w:szCs w:val="28"/>
        </w:rPr>
        <w:t>)</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y (iii) es proporcion</w:t>
      </w:r>
      <w:r w:rsidRPr="004530CF">
        <w:rPr>
          <w:rFonts w:ascii="Times New Roman" w:hAnsi="Times New Roman" w:cs="Times New Roman"/>
          <w:bCs/>
          <w:sz w:val="28"/>
          <w:szCs w:val="28"/>
        </w:rPr>
        <w:t>ada</w:t>
      </w:r>
      <w:r w:rsidRPr="004530CF">
        <w:rPr>
          <w:rFonts w:ascii="Times New Roman" w:hAnsi="Times New Roman" w:cs="Times New Roman"/>
          <w:bCs/>
          <w:sz w:val="28"/>
          <w:szCs w:val="28"/>
        </w:rPr>
        <w:t>, ya que no elimina el acceso a la justicia, sino que lo canaliza a través de un diseño procesal especial, sin afectar el núcleo esencial del derecho.</w:t>
      </w:r>
    </w:p>
    <w:p w:rsidR="00667B84" w:rsidRPr="004530CF" w:rsidRDefault="004530CF" w:rsidP="004C7B30">
      <w:pPr>
        <w:pStyle w:val="Prrafodelista"/>
        <w:ind w:left="0"/>
        <w:rPr>
          <w:rFonts w:ascii="Times New Roman" w:hAnsi="Times New Roman" w:cs="Times New Roman"/>
          <w:bCs/>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bCs/>
          <w:sz w:val="28"/>
          <w:szCs w:val="28"/>
        </w:rPr>
      </w:pPr>
      <w:r w:rsidRPr="004530CF">
        <w:rPr>
          <w:rFonts w:ascii="Times New Roman" w:hAnsi="Times New Roman" w:cs="Times New Roman"/>
          <w:bCs/>
          <w:sz w:val="28"/>
          <w:szCs w:val="28"/>
        </w:rPr>
        <w:t xml:space="preserve">En relación con el segundo cargo, sostuvo que la norma no vulnera los estándares nacionales ni internacionales sobre protección de los derechos políticos, porque el proceso de nulidad electoral no tiene naturaleza sancionatoria, sino objetiva y de control </w:t>
      </w:r>
      <w:r w:rsidRPr="004530CF">
        <w:rPr>
          <w:rFonts w:ascii="Times New Roman" w:hAnsi="Times New Roman" w:cs="Times New Roman"/>
          <w:bCs/>
          <w:sz w:val="28"/>
          <w:szCs w:val="28"/>
        </w:rPr>
        <w:t xml:space="preserve">de legalidad. </w:t>
      </w:r>
      <w:r w:rsidRPr="004530CF">
        <w:rPr>
          <w:rFonts w:ascii="Times New Roman" w:hAnsi="Times New Roman" w:cs="Times New Roman"/>
          <w:bCs/>
          <w:sz w:val="28"/>
          <w:szCs w:val="28"/>
        </w:rPr>
        <w:t>El medio de control</w:t>
      </w:r>
      <w:r w:rsidRPr="004530CF">
        <w:rPr>
          <w:rFonts w:ascii="Times New Roman" w:hAnsi="Times New Roman" w:cs="Times New Roman"/>
          <w:bCs/>
          <w:sz w:val="28"/>
          <w:szCs w:val="28"/>
        </w:rPr>
        <w:t xml:space="preserve"> nulidad electoral no busca castigar al elegido ni imponerle una sanción personal, sino proteger el orden constitucional y democrático, pues consiste en verificar que la elección se haya producido conforme </w:t>
      </w:r>
      <w:r w:rsidRPr="004530CF">
        <w:rPr>
          <w:rFonts w:ascii="Times New Roman" w:hAnsi="Times New Roman" w:cs="Times New Roman"/>
          <w:bCs/>
          <w:sz w:val="28"/>
          <w:szCs w:val="28"/>
        </w:rPr>
        <w:t>con</w:t>
      </w:r>
      <w:r w:rsidRPr="004530CF">
        <w:rPr>
          <w:rFonts w:ascii="Times New Roman" w:hAnsi="Times New Roman" w:cs="Times New Roman"/>
          <w:bCs/>
          <w:sz w:val="28"/>
          <w:szCs w:val="28"/>
        </w:rPr>
        <w:t xml:space="preserve"> la Constituci</w:t>
      </w:r>
      <w:r w:rsidRPr="004530CF">
        <w:rPr>
          <w:rFonts w:ascii="Times New Roman" w:hAnsi="Times New Roman" w:cs="Times New Roman"/>
          <w:bCs/>
          <w:sz w:val="28"/>
          <w:szCs w:val="28"/>
        </w:rPr>
        <w:t xml:space="preserve">ón y la ley. Por eso, no le son aplicables de manera estricta las garantías propias de los procesos sancionatorios, como el principio de culpabilidad, la presunción de inocencia en sentido penal o el estándar reforzado de defensa propio del </w:t>
      </w:r>
      <w:r w:rsidRPr="004530CF">
        <w:rPr>
          <w:rFonts w:ascii="Times New Roman" w:hAnsi="Times New Roman" w:cs="Times New Roman"/>
          <w:bCs/>
          <w:i/>
          <w:iCs/>
          <w:sz w:val="28"/>
          <w:szCs w:val="28"/>
        </w:rPr>
        <w:t>ius puniendi</w:t>
      </w:r>
      <w:r w:rsidRPr="004530CF">
        <w:rPr>
          <w:rFonts w:ascii="Times New Roman" w:hAnsi="Times New Roman" w:cs="Times New Roman"/>
          <w:bCs/>
          <w:sz w:val="28"/>
          <w:szCs w:val="28"/>
        </w:rPr>
        <w:t xml:space="preserve"> de</w:t>
      </w:r>
      <w:r w:rsidRPr="004530CF">
        <w:rPr>
          <w:rFonts w:ascii="Times New Roman" w:hAnsi="Times New Roman" w:cs="Times New Roman"/>
          <w:bCs/>
          <w:sz w:val="28"/>
          <w:szCs w:val="28"/>
        </w:rPr>
        <w:t>l Estado.</w:t>
      </w:r>
    </w:p>
    <w:p w:rsidR="00667B84" w:rsidRPr="004530CF" w:rsidRDefault="004530CF" w:rsidP="004C7B30">
      <w:pPr>
        <w:pStyle w:val="Prrafodelista"/>
        <w:ind w:left="0"/>
        <w:rPr>
          <w:rFonts w:ascii="Times New Roman" w:hAnsi="Times New Roman" w:cs="Times New Roman"/>
          <w:bCs/>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bCs/>
          <w:sz w:val="28"/>
          <w:szCs w:val="28"/>
        </w:rPr>
      </w:pPr>
      <w:r w:rsidRPr="004530CF">
        <w:rPr>
          <w:rFonts w:ascii="Times New Roman" w:hAnsi="Times New Roman" w:cs="Times New Roman"/>
          <w:bCs/>
          <w:sz w:val="28"/>
          <w:szCs w:val="28"/>
        </w:rPr>
        <w:t>Aclara que los estándares de la CADH</w:t>
      </w:r>
      <w:r w:rsidRPr="004530CF">
        <w:rPr>
          <w:rFonts w:ascii="Times New Roman" w:hAnsi="Times New Roman" w:cs="Times New Roman"/>
          <w:bCs/>
          <w:sz w:val="28"/>
          <w:szCs w:val="28"/>
        </w:rPr>
        <w:t xml:space="preserve"> </w:t>
      </w:r>
      <w:r w:rsidRPr="004530CF">
        <w:rPr>
          <w:rFonts w:ascii="Times New Roman" w:hAnsi="Times New Roman" w:cs="Times New Roman"/>
          <w:bCs/>
          <w:sz w:val="28"/>
          <w:szCs w:val="28"/>
        </w:rPr>
        <w:t>sobre derechos políticos (artículo 23) no prohíben que existan controles judiciales sobre elecciones ni que, como consecuencia de ellos, se pierda un cargo de elección popular. Lo que prohíben es que se impon</w:t>
      </w:r>
      <w:r w:rsidRPr="004530CF">
        <w:rPr>
          <w:rFonts w:ascii="Times New Roman" w:hAnsi="Times New Roman" w:cs="Times New Roman"/>
          <w:bCs/>
          <w:sz w:val="28"/>
          <w:szCs w:val="28"/>
        </w:rPr>
        <w:t xml:space="preserve">gan restricciones arbitrarias o desproporcionadas, especialmente a través de autoridades administrativas y en procesos de naturaleza sancionatoria. En cambio, aquí se trata de una decisión judicial adoptada por un juez competente, dentro de un proceso con </w:t>
      </w:r>
      <w:r w:rsidRPr="004530CF">
        <w:rPr>
          <w:rFonts w:ascii="Times New Roman" w:hAnsi="Times New Roman" w:cs="Times New Roman"/>
          <w:bCs/>
          <w:sz w:val="28"/>
          <w:szCs w:val="28"/>
        </w:rPr>
        <w:t>garantías procesales.</w:t>
      </w:r>
    </w:p>
    <w:p w:rsidR="00667B84" w:rsidRPr="004530CF" w:rsidRDefault="004530CF" w:rsidP="004C7B30">
      <w:pPr>
        <w:pStyle w:val="Prrafodelista"/>
        <w:ind w:left="0"/>
        <w:rPr>
          <w:rFonts w:ascii="Times New Roman" w:hAnsi="Times New Roman" w:cs="Times New Roman"/>
          <w:bCs/>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bCs/>
          <w:sz w:val="28"/>
          <w:szCs w:val="28"/>
        </w:rPr>
      </w:pPr>
      <w:r w:rsidRPr="004530CF">
        <w:rPr>
          <w:rFonts w:ascii="Times New Roman" w:hAnsi="Times New Roman" w:cs="Times New Roman"/>
          <w:bCs/>
          <w:sz w:val="28"/>
          <w:szCs w:val="28"/>
        </w:rPr>
        <w:t>Destaca</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además</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que la pérdida del cargo no es una sanción, sino un efecto jurídico de la invalidez del acto administrativo de elección, pues no se castiga a la persona, sino que se ejerce control sobre una irregularidad institucion</w:t>
      </w:r>
      <w:r w:rsidRPr="004530CF">
        <w:rPr>
          <w:rFonts w:ascii="Times New Roman" w:hAnsi="Times New Roman" w:cs="Times New Roman"/>
          <w:bCs/>
          <w:sz w:val="28"/>
          <w:szCs w:val="28"/>
        </w:rPr>
        <w:t>al. Por esta razón</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concluye que no se configura una afectación indebida del derecho a ser elegido ni del derecho a permanecer en el cargo.</w:t>
      </w:r>
    </w:p>
    <w:p w:rsidR="00667B84" w:rsidRPr="004530CF" w:rsidRDefault="004530CF" w:rsidP="004C7B30">
      <w:pPr>
        <w:pStyle w:val="Prrafodelista"/>
        <w:ind w:left="0"/>
        <w:rPr>
          <w:rFonts w:ascii="Times New Roman" w:hAnsi="Times New Roman" w:cs="Times New Roman"/>
          <w:bCs/>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bCs/>
          <w:sz w:val="28"/>
          <w:szCs w:val="28"/>
        </w:rPr>
      </w:pPr>
      <w:r w:rsidRPr="004530CF">
        <w:rPr>
          <w:rFonts w:ascii="Times New Roman" w:hAnsi="Times New Roman" w:cs="Times New Roman"/>
          <w:bCs/>
          <w:sz w:val="28"/>
          <w:szCs w:val="28"/>
        </w:rPr>
        <w:t>Finalmente, señala que no hay vulneración del derecho a la doble instancia ni del derecho de impugnación, porque es</w:t>
      </w:r>
      <w:r w:rsidRPr="004530CF">
        <w:rPr>
          <w:rFonts w:ascii="Times New Roman" w:hAnsi="Times New Roman" w:cs="Times New Roman"/>
          <w:bCs/>
          <w:sz w:val="28"/>
          <w:szCs w:val="28"/>
        </w:rPr>
        <w:t>tos no tienen carácter absoluto ni operan de manera idéntica en todos los tipos de proceso. Reitera que la doble instancia está</w:t>
      </w:r>
      <w:r w:rsidRPr="004530CF">
        <w:rPr>
          <w:rFonts w:ascii="Times New Roman" w:hAnsi="Times New Roman" w:cs="Times New Roman"/>
          <w:bCs/>
          <w:sz w:val="28"/>
          <w:szCs w:val="28"/>
        </w:rPr>
        <w:t xml:space="preserve"> prevista,</w:t>
      </w:r>
      <w:r w:rsidRPr="004530CF">
        <w:rPr>
          <w:rFonts w:ascii="Times New Roman" w:hAnsi="Times New Roman" w:cs="Times New Roman"/>
          <w:bCs/>
          <w:sz w:val="28"/>
          <w:szCs w:val="28"/>
        </w:rPr>
        <w:t xml:space="preserve"> principalmente</w:t>
      </w:r>
      <w:r w:rsidRPr="004530CF">
        <w:rPr>
          <w:rFonts w:ascii="Times New Roman" w:hAnsi="Times New Roman" w:cs="Times New Roman"/>
          <w:bCs/>
          <w:sz w:val="28"/>
          <w:szCs w:val="28"/>
        </w:rPr>
        <w:t>,</w:t>
      </w:r>
      <w:r w:rsidRPr="004530CF">
        <w:rPr>
          <w:rFonts w:ascii="Times New Roman" w:hAnsi="Times New Roman" w:cs="Times New Roman"/>
          <w:bCs/>
          <w:sz w:val="28"/>
          <w:szCs w:val="28"/>
        </w:rPr>
        <w:t xml:space="preserve"> para procesos de naturaleza sancionatoria, penal o disciplinaria, donde está en juego el </w:t>
      </w:r>
      <w:r w:rsidRPr="004530CF">
        <w:rPr>
          <w:rFonts w:ascii="Times New Roman" w:hAnsi="Times New Roman" w:cs="Times New Roman"/>
          <w:bCs/>
          <w:i/>
          <w:iCs/>
          <w:sz w:val="28"/>
          <w:szCs w:val="28"/>
        </w:rPr>
        <w:t>ius puniendi</w:t>
      </w:r>
      <w:r w:rsidRPr="004530CF">
        <w:rPr>
          <w:rFonts w:ascii="Times New Roman" w:hAnsi="Times New Roman" w:cs="Times New Roman"/>
          <w:bCs/>
          <w:sz w:val="28"/>
          <w:szCs w:val="28"/>
        </w:rPr>
        <w:t xml:space="preserve"> del Estado. En cambio, la nulidad electoral es un proceso de control objetivo de legalidad, no de responsabilidad personal. Por eso, el estándar de protección debe ser distinto.</w:t>
      </w:r>
    </w:p>
    <w:p w:rsidR="00FC25BB" w:rsidRPr="004530CF" w:rsidRDefault="004530CF" w:rsidP="004C7B30">
      <w:pPr>
        <w:pStyle w:val="Prrafodelista"/>
        <w:tabs>
          <w:tab w:val="left" w:pos="567"/>
        </w:tabs>
        <w:ind w:left="0"/>
        <w:jc w:val="both"/>
        <w:rPr>
          <w:rFonts w:ascii="Times New Roman" w:hAnsi="Times New Roman" w:cs="Times New Roman"/>
          <w:bCs/>
          <w:sz w:val="28"/>
          <w:szCs w:val="28"/>
          <w:highlight w:val="yellow"/>
        </w:rPr>
      </w:pPr>
    </w:p>
    <w:p w:rsidR="00FC25BB" w:rsidRPr="004530CF" w:rsidRDefault="004530CF" w:rsidP="004C7B30">
      <w:pPr>
        <w:pStyle w:val="Numerales"/>
        <w:numPr>
          <w:ilvl w:val="0"/>
          <w:numId w:val="1"/>
        </w:numPr>
        <w:jc w:val="center"/>
        <w:outlineLvl w:val="0"/>
        <w:rPr>
          <w:rStyle w:val="Ttulo1Car"/>
          <w:rFonts w:ascii="Times New Roman" w:hAnsi="Times New Roman" w:cs="Times New Roman"/>
          <w:bCs/>
          <w:sz w:val="28"/>
          <w:szCs w:val="28"/>
        </w:rPr>
      </w:pPr>
      <w:r w:rsidRPr="004530CF">
        <w:rPr>
          <w:rStyle w:val="Ttulo1Car"/>
          <w:rFonts w:ascii="Times New Roman" w:hAnsi="Times New Roman" w:cs="Times New Roman"/>
          <w:bCs/>
          <w:sz w:val="28"/>
          <w:szCs w:val="28"/>
        </w:rPr>
        <w:t>CONSIDERACIONES</w:t>
      </w:r>
    </w:p>
    <w:p w:rsidR="00FC25BB" w:rsidRPr="004530CF" w:rsidRDefault="004530CF" w:rsidP="004C7B30">
      <w:pPr>
        <w:jc w:val="both"/>
        <w:rPr>
          <w:rFonts w:ascii="Times New Roman" w:hAnsi="Times New Roman" w:cs="Times New Roman"/>
          <w:b/>
          <w:sz w:val="28"/>
          <w:szCs w:val="28"/>
        </w:rPr>
      </w:pPr>
    </w:p>
    <w:p w:rsidR="00FC25BB" w:rsidRPr="004530CF" w:rsidRDefault="004530CF" w:rsidP="004C7B30">
      <w:pPr>
        <w:pStyle w:val="Ttulo2"/>
        <w:numPr>
          <w:ilvl w:val="1"/>
          <w:numId w:val="1"/>
        </w:numPr>
        <w:spacing w:before="0"/>
        <w:ind w:left="1134" w:hanging="567"/>
        <w:rPr>
          <w:rStyle w:val="Ttulo1Car"/>
          <w:rFonts w:ascii="Times New Roman" w:hAnsi="Times New Roman" w:cs="Times New Roman"/>
          <w:b/>
          <w:color w:val="auto"/>
          <w:sz w:val="28"/>
          <w:szCs w:val="28"/>
        </w:rPr>
      </w:pPr>
      <w:bookmarkStart w:id="3" w:name="_Hlk63325080"/>
      <w:r w:rsidRPr="004530CF">
        <w:rPr>
          <w:rStyle w:val="Ttulo1Car"/>
          <w:rFonts w:ascii="Times New Roman" w:hAnsi="Times New Roman" w:cs="Times New Roman"/>
          <w:b/>
          <w:color w:val="auto"/>
          <w:sz w:val="28"/>
          <w:szCs w:val="28"/>
        </w:rPr>
        <w:t>Competencia</w:t>
      </w:r>
    </w:p>
    <w:bookmarkEnd w:id="3"/>
    <w:p w:rsidR="00FC25BB" w:rsidRPr="004530CF" w:rsidRDefault="004530CF" w:rsidP="004C7B30">
      <w:pPr>
        <w:pStyle w:val="Prrafodelista"/>
        <w:tabs>
          <w:tab w:val="left" w:pos="567"/>
        </w:tabs>
        <w:ind w:left="0"/>
        <w:jc w:val="both"/>
        <w:rPr>
          <w:rFonts w:ascii="Times New Roman" w:hAnsi="Times New Roman" w:cs="Times New Roman"/>
          <w:sz w:val="28"/>
          <w:szCs w:val="28"/>
        </w:rPr>
      </w:pPr>
    </w:p>
    <w:p w:rsidR="00FC25BB" w:rsidRPr="004530CF" w:rsidRDefault="004530CF" w:rsidP="004C7B30">
      <w:pPr>
        <w:pStyle w:val="Prrafodelista"/>
        <w:numPr>
          <w:ilvl w:val="0"/>
          <w:numId w:val="3"/>
        </w:numPr>
        <w:tabs>
          <w:tab w:val="left" w:pos="567"/>
        </w:tabs>
        <w:ind w:left="0" w:firstLine="0"/>
        <w:jc w:val="both"/>
        <w:rPr>
          <w:rFonts w:ascii="Times New Roman" w:hAnsi="Times New Roman" w:cs="Times New Roman"/>
          <w:bCs/>
          <w:i/>
          <w:iCs/>
          <w:sz w:val="28"/>
          <w:szCs w:val="28"/>
        </w:rPr>
      </w:pPr>
      <w:r w:rsidRPr="004530CF">
        <w:rPr>
          <w:rFonts w:ascii="Times New Roman" w:hAnsi="Times New Roman" w:cs="Times New Roman"/>
          <w:sz w:val="28"/>
          <w:szCs w:val="28"/>
        </w:rPr>
        <w:t>La Corte Constitucional es competente para res</w:t>
      </w:r>
      <w:r w:rsidRPr="004530CF">
        <w:rPr>
          <w:rFonts w:ascii="Times New Roman" w:hAnsi="Times New Roman" w:cs="Times New Roman"/>
          <w:sz w:val="28"/>
          <w:szCs w:val="28"/>
        </w:rPr>
        <w:t>olver la demanda de la referencia, de conformidad con lo dispuesto en el artículo 241.4 de la Constitución, por dirigirse contra una disposición contenida en una ley dictada por el Congreso de la República, esto es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la Ley 1437 de 2011, </w:t>
      </w:r>
      <w:r w:rsidRPr="004530CF">
        <w:rPr>
          <w:rFonts w:ascii="Times New Roman" w:hAnsi="Times New Roman" w:cs="Times New Roman"/>
          <w:bCs/>
          <w:sz w:val="28"/>
          <w:szCs w:val="28"/>
        </w:rPr>
        <w:t>“</w:t>
      </w:r>
      <w:r w:rsidRPr="004530CF">
        <w:rPr>
          <w:rFonts w:ascii="Times New Roman" w:hAnsi="Times New Roman" w:cs="Times New Roman"/>
          <w:bCs/>
          <w:sz w:val="28"/>
          <w:szCs w:val="28"/>
        </w:rPr>
        <w:t>[</w:t>
      </w:r>
      <w:r w:rsidRPr="004530CF">
        <w:rPr>
          <w:rFonts w:ascii="Times New Roman" w:hAnsi="Times New Roman" w:cs="Times New Roman"/>
          <w:bCs/>
          <w:iCs/>
          <w:sz w:val="28"/>
          <w:szCs w:val="28"/>
        </w:rPr>
        <w:t>p]</w:t>
      </w:r>
      <w:r w:rsidRPr="004530CF">
        <w:rPr>
          <w:rFonts w:ascii="Times New Roman" w:hAnsi="Times New Roman" w:cs="Times New Roman"/>
          <w:bCs/>
          <w:i/>
          <w:iCs/>
          <w:sz w:val="28"/>
          <w:szCs w:val="28"/>
        </w:rPr>
        <w:t>o</w:t>
      </w:r>
      <w:r w:rsidRPr="004530CF">
        <w:rPr>
          <w:rFonts w:ascii="Times New Roman" w:hAnsi="Times New Roman" w:cs="Times New Roman"/>
          <w:bCs/>
          <w:i/>
          <w:iCs/>
          <w:sz w:val="28"/>
          <w:szCs w:val="28"/>
        </w:rPr>
        <w:t xml:space="preserve">r la cual se </w:t>
      </w:r>
      <w:r w:rsidRPr="004530CF">
        <w:rPr>
          <w:rFonts w:ascii="Times New Roman" w:hAnsi="Times New Roman" w:cs="Times New Roman"/>
          <w:bCs/>
          <w:i/>
          <w:iCs/>
          <w:sz w:val="28"/>
          <w:szCs w:val="28"/>
        </w:rPr>
        <w:t>expide el Código de Procedimiento Administrativo y de lo Contencioso Administrativo</w:t>
      </w:r>
      <w:r w:rsidRPr="004530CF">
        <w:rPr>
          <w:rFonts w:ascii="Times New Roman" w:hAnsi="Times New Roman" w:cs="Times New Roman"/>
          <w:bCs/>
          <w:iCs/>
          <w:sz w:val="28"/>
          <w:szCs w:val="28"/>
        </w:rPr>
        <w:t>”</w:t>
      </w:r>
      <w:r w:rsidRPr="004530CF">
        <w:rPr>
          <w:rFonts w:ascii="Times New Roman" w:hAnsi="Times New Roman" w:cs="Times New Roman"/>
          <w:sz w:val="28"/>
          <w:szCs w:val="28"/>
        </w:rPr>
        <w:t>, tal como fue modificada por la Ley 208</w:t>
      </w:r>
      <w:r w:rsidRPr="004530CF">
        <w:rPr>
          <w:rFonts w:ascii="Times New Roman" w:hAnsi="Times New Roman" w:cs="Times New Roman"/>
          <w:sz w:val="28"/>
          <w:szCs w:val="28"/>
        </w:rPr>
        <w:t>0</w:t>
      </w:r>
      <w:r w:rsidRPr="004530CF">
        <w:rPr>
          <w:rFonts w:ascii="Times New Roman" w:hAnsi="Times New Roman" w:cs="Times New Roman"/>
          <w:sz w:val="28"/>
          <w:szCs w:val="28"/>
        </w:rPr>
        <w:t xml:space="preserve"> de 2021. </w:t>
      </w:r>
    </w:p>
    <w:p w:rsidR="00FC25BB" w:rsidRPr="004530CF" w:rsidRDefault="004530CF" w:rsidP="004C7B30">
      <w:pPr>
        <w:pStyle w:val="Prrafodelista"/>
        <w:tabs>
          <w:tab w:val="left" w:pos="567"/>
        </w:tabs>
        <w:ind w:left="0"/>
        <w:jc w:val="both"/>
        <w:rPr>
          <w:rFonts w:ascii="Times New Roman" w:hAnsi="Times New Roman" w:cs="Times New Roman"/>
          <w:bCs/>
          <w:i/>
          <w:iCs/>
          <w:sz w:val="28"/>
          <w:szCs w:val="28"/>
          <w:highlight w:val="yellow"/>
        </w:rPr>
      </w:pPr>
    </w:p>
    <w:p w:rsidR="005D0979" w:rsidRPr="004530CF" w:rsidRDefault="004530CF" w:rsidP="004C7B30">
      <w:pPr>
        <w:pStyle w:val="Ttulo2"/>
        <w:numPr>
          <w:ilvl w:val="1"/>
          <w:numId w:val="1"/>
        </w:numPr>
        <w:spacing w:before="0"/>
        <w:ind w:left="1134" w:hanging="567"/>
        <w:jc w:val="both"/>
        <w:rPr>
          <w:rFonts w:ascii="Times New Roman" w:hAnsi="Times New Roman" w:cs="Times New Roman"/>
          <w:color w:val="auto"/>
          <w:szCs w:val="28"/>
        </w:rPr>
      </w:pPr>
      <w:r w:rsidRPr="004530CF">
        <w:rPr>
          <w:rStyle w:val="Ttulo1Car"/>
          <w:rFonts w:ascii="Times New Roman" w:hAnsi="Times New Roman" w:cs="Times New Roman"/>
          <w:b/>
          <w:color w:val="auto"/>
          <w:sz w:val="28"/>
          <w:szCs w:val="28"/>
        </w:rPr>
        <w:t>Primera cuestión preliminar:</w:t>
      </w:r>
      <w:r w:rsidRPr="004530CF">
        <w:rPr>
          <w:rStyle w:val="Ttulo1Car"/>
          <w:rFonts w:ascii="Times New Roman" w:hAnsi="Times New Roman" w:cs="Times New Roman"/>
          <w:b/>
          <w:color w:val="auto"/>
          <w:sz w:val="28"/>
          <w:szCs w:val="28"/>
        </w:rPr>
        <w:t xml:space="preserve"> </w:t>
      </w:r>
      <w:r w:rsidRPr="004530CF">
        <w:rPr>
          <w:rStyle w:val="Ttulo1Car"/>
          <w:rFonts w:ascii="Times New Roman" w:hAnsi="Times New Roman" w:cs="Times New Roman"/>
          <w:b/>
          <w:color w:val="auto"/>
          <w:sz w:val="28"/>
          <w:szCs w:val="28"/>
        </w:rPr>
        <w:t>ineptitud de</w:t>
      </w:r>
      <w:r w:rsidRPr="004530CF">
        <w:rPr>
          <w:rStyle w:val="Ttulo1Car"/>
          <w:rFonts w:ascii="Times New Roman" w:hAnsi="Times New Roman" w:cs="Times New Roman"/>
          <w:b/>
          <w:color w:val="auto"/>
          <w:sz w:val="28"/>
          <w:szCs w:val="28"/>
        </w:rPr>
        <w:t xml:space="preserve">l cargo segundo </w:t>
      </w:r>
      <w:r w:rsidRPr="004530CF">
        <w:rPr>
          <w:rStyle w:val="Ttulo1Car"/>
          <w:rFonts w:ascii="Times New Roman" w:hAnsi="Times New Roman" w:cs="Times New Roman"/>
          <w:b/>
          <w:color w:val="auto"/>
          <w:sz w:val="28"/>
          <w:szCs w:val="28"/>
        </w:rPr>
        <w:t>(</w:t>
      </w:r>
      <w:r w:rsidRPr="004530CF">
        <w:rPr>
          <w:rFonts w:ascii="Times New Roman" w:hAnsi="Times New Roman" w:cs="Times New Roman"/>
          <w:color w:val="auto"/>
          <w:szCs w:val="28"/>
        </w:rPr>
        <w:t xml:space="preserve">vulneración </w:t>
      </w:r>
      <w:r w:rsidRPr="004530CF">
        <w:rPr>
          <w:rFonts w:ascii="Times New Roman" w:hAnsi="Times New Roman" w:cs="Times New Roman"/>
          <w:color w:val="auto"/>
          <w:szCs w:val="28"/>
        </w:rPr>
        <w:t>de los derechos políticos</w:t>
      </w:r>
      <w:r w:rsidRPr="004530CF">
        <w:rPr>
          <w:rFonts w:ascii="Times New Roman" w:hAnsi="Times New Roman" w:cs="Times New Roman"/>
          <w:color w:val="auto"/>
          <w:szCs w:val="28"/>
        </w:rPr>
        <w:t>:</w:t>
      </w:r>
      <w:r w:rsidRPr="004530CF">
        <w:rPr>
          <w:rFonts w:ascii="Times New Roman" w:hAnsi="Times New Roman" w:cs="Times New Roman"/>
          <w:color w:val="auto"/>
          <w:szCs w:val="28"/>
        </w:rPr>
        <w:t xml:space="preserve"> ar</w:t>
      </w:r>
      <w:r w:rsidRPr="004530CF">
        <w:rPr>
          <w:rFonts w:ascii="Times New Roman" w:hAnsi="Times New Roman" w:cs="Times New Roman"/>
          <w:color w:val="auto"/>
          <w:szCs w:val="28"/>
        </w:rPr>
        <w:t>t.</w:t>
      </w:r>
      <w:r w:rsidRPr="004530CF">
        <w:rPr>
          <w:rFonts w:ascii="Times New Roman" w:hAnsi="Times New Roman" w:cs="Times New Roman"/>
          <w:color w:val="auto"/>
          <w:szCs w:val="28"/>
        </w:rPr>
        <w:t xml:space="preserve"> 23.2 de la CADH); y </w:t>
      </w:r>
      <w:r w:rsidRPr="004530CF">
        <w:rPr>
          <w:rFonts w:ascii="Times New Roman" w:hAnsi="Times New Roman" w:cs="Times New Roman"/>
          <w:color w:val="auto"/>
          <w:szCs w:val="28"/>
        </w:rPr>
        <w:t>del cargo tercero (</w:t>
      </w:r>
      <w:r w:rsidRPr="004530CF">
        <w:rPr>
          <w:rFonts w:ascii="Times New Roman" w:hAnsi="Times New Roman" w:cs="Times New Roman"/>
          <w:color w:val="auto"/>
          <w:szCs w:val="28"/>
        </w:rPr>
        <w:t>vulneración de la garantía a la impugnación</w:t>
      </w:r>
      <w:r w:rsidRPr="004530CF">
        <w:rPr>
          <w:rFonts w:ascii="Times New Roman" w:hAnsi="Times New Roman" w:cs="Times New Roman"/>
          <w:color w:val="auto"/>
          <w:szCs w:val="28"/>
        </w:rPr>
        <w:t>:</w:t>
      </w:r>
      <w:r w:rsidRPr="004530CF">
        <w:rPr>
          <w:rFonts w:ascii="Times New Roman" w:hAnsi="Times New Roman" w:cs="Times New Roman"/>
          <w:color w:val="auto"/>
          <w:szCs w:val="28"/>
        </w:rPr>
        <w:t xml:space="preserve"> art</w:t>
      </w:r>
      <w:r w:rsidRPr="004530CF">
        <w:rPr>
          <w:rFonts w:ascii="Times New Roman" w:hAnsi="Times New Roman" w:cs="Times New Roman"/>
          <w:color w:val="auto"/>
          <w:szCs w:val="28"/>
        </w:rPr>
        <w:t>s</w:t>
      </w:r>
      <w:r w:rsidRPr="004530CF">
        <w:rPr>
          <w:rFonts w:ascii="Times New Roman" w:hAnsi="Times New Roman" w:cs="Times New Roman"/>
          <w:color w:val="auto"/>
          <w:szCs w:val="28"/>
        </w:rPr>
        <w:t>.</w:t>
      </w:r>
      <w:r w:rsidRPr="004530CF">
        <w:rPr>
          <w:rFonts w:ascii="Times New Roman" w:hAnsi="Times New Roman" w:cs="Times New Roman"/>
          <w:color w:val="auto"/>
          <w:szCs w:val="28"/>
        </w:rPr>
        <w:t xml:space="preserve"> 29 y 31 de la Constitución</w:t>
      </w:r>
      <w:r w:rsidRPr="004530CF">
        <w:rPr>
          <w:rFonts w:ascii="Times New Roman" w:hAnsi="Times New Roman" w:cs="Times New Roman"/>
          <w:color w:val="auto"/>
          <w:szCs w:val="28"/>
        </w:rPr>
        <w:t>, art. 8.2.h de la CADH</w:t>
      </w:r>
      <w:r w:rsidRPr="004530CF">
        <w:rPr>
          <w:rFonts w:ascii="Times New Roman" w:hAnsi="Times New Roman" w:cs="Times New Roman"/>
          <w:color w:val="auto"/>
          <w:szCs w:val="28"/>
        </w:rPr>
        <w:t xml:space="preserve"> y art</w:t>
      </w:r>
      <w:r w:rsidRPr="004530CF">
        <w:rPr>
          <w:rFonts w:ascii="Times New Roman" w:hAnsi="Times New Roman" w:cs="Times New Roman"/>
          <w:color w:val="auto"/>
          <w:szCs w:val="28"/>
        </w:rPr>
        <w:t>.</w:t>
      </w:r>
      <w:r w:rsidRPr="004530CF">
        <w:rPr>
          <w:rFonts w:ascii="Times New Roman" w:hAnsi="Times New Roman" w:cs="Times New Roman"/>
          <w:color w:val="auto"/>
          <w:szCs w:val="28"/>
        </w:rPr>
        <w:t xml:space="preserve"> 14.5 del PIDCP)</w:t>
      </w:r>
    </w:p>
    <w:p w:rsidR="00A34393" w:rsidRPr="004530CF" w:rsidRDefault="004530CF" w:rsidP="004C7B30">
      <w:pPr>
        <w:rPr>
          <w:rFonts w:ascii="Times New Roman" w:hAnsi="Times New Roman" w:cs="Times New Roman"/>
          <w:sz w:val="28"/>
        </w:rPr>
      </w:pPr>
    </w:p>
    <w:p w:rsidR="005D0979" w:rsidRPr="004530CF" w:rsidRDefault="004530CF" w:rsidP="004C7B30">
      <w:pPr>
        <w:rPr>
          <w:rFonts w:ascii="Times New Roman" w:hAnsi="Times New Roman" w:cs="Times New Roman"/>
          <w:sz w:val="28"/>
        </w:rPr>
      </w:pPr>
    </w:p>
    <w:p w:rsidR="00363C25"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Esta Corporación ha</w:t>
      </w:r>
      <w:r w:rsidRPr="004530CF">
        <w:rPr>
          <w:rFonts w:ascii="Times New Roman" w:hAnsi="Times New Roman" w:cs="Times New Roman"/>
          <w:sz w:val="28"/>
          <w:szCs w:val="28"/>
        </w:rPr>
        <w:t xml:space="preserve"> identificado</w:t>
      </w:r>
      <w:r w:rsidRPr="004530CF">
        <w:rPr>
          <w:rFonts w:ascii="Times New Roman" w:hAnsi="Times New Roman" w:cs="Times New Roman"/>
          <w:sz w:val="28"/>
          <w:szCs w:val="28"/>
        </w:rPr>
        <w:t xml:space="preserve">, a partir de lo dispuesto en el artículo 2 del Decreto </w:t>
      </w:r>
      <w:r w:rsidRPr="004530CF">
        <w:rPr>
          <w:rFonts w:ascii="Times New Roman" w:hAnsi="Times New Roman" w:cs="Times New Roman"/>
          <w:sz w:val="28"/>
          <w:szCs w:val="28"/>
        </w:rPr>
        <w:t>2067 de 1991, las condiciones que deben</w:t>
      </w:r>
      <w:r w:rsidRPr="004530CF">
        <w:rPr>
          <w:rFonts w:ascii="Times New Roman" w:hAnsi="Times New Roman" w:cs="Times New Roman"/>
          <w:sz w:val="28"/>
          <w:szCs w:val="28"/>
        </w:rPr>
        <w:t xml:space="preserve"> cumplir</w:t>
      </w:r>
      <w:r w:rsidRPr="004530CF">
        <w:rPr>
          <w:rFonts w:ascii="Times New Roman" w:hAnsi="Times New Roman" w:cs="Times New Roman"/>
          <w:sz w:val="28"/>
          <w:szCs w:val="28"/>
        </w:rPr>
        <w:t xml:space="preserve"> las razones invocadas para impugnar la validez constitucional de la ley. En particular, ha destacado que la debida formulación de un cargo de inconstitucionalidad exige presentar argumentos claros, ciertos, p</w:t>
      </w:r>
      <w:r w:rsidRPr="004530CF">
        <w:rPr>
          <w:rFonts w:ascii="Times New Roman" w:hAnsi="Times New Roman" w:cs="Times New Roman"/>
          <w:sz w:val="28"/>
          <w:szCs w:val="28"/>
        </w:rPr>
        <w:t>ertinentes, específicos y suficientes.</w:t>
      </w:r>
      <w:r w:rsidRPr="004530CF">
        <w:rPr>
          <w:rFonts w:ascii="Times New Roman" w:hAnsi="Times New Roman" w:cs="Times New Roman"/>
          <w:sz w:val="28"/>
          <w:szCs w:val="28"/>
        </w:rPr>
        <w:t xml:space="preserve"> </w:t>
      </w:r>
    </w:p>
    <w:p w:rsidR="00667B84" w:rsidRPr="004530CF" w:rsidRDefault="004530CF" w:rsidP="004C7B30">
      <w:pPr>
        <w:pStyle w:val="Prrafodelista"/>
        <w:tabs>
          <w:tab w:val="left" w:pos="567"/>
        </w:tabs>
        <w:ind w:left="0"/>
        <w:jc w:val="both"/>
        <w:rPr>
          <w:rFonts w:ascii="Times New Roman" w:hAnsi="Times New Roman" w:cs="Times New Roman"/>
          <w:sz w:val="28"/>
          <w:szCs w:val="28"/>
        </w:rPr>
      </w:pPr>
    </w:p>
    <w:p w:rsidR="001B217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Estos</w:t>
      </w:r>
      <w:r w:rsidRPr="004530CF">
        <w:rPr>
          <w:rFonts w:ascii="Times New Roman" w:hAnsi="Times New Roman" w:cs="Times New Roman"/>
          <w:sz w:val="28"/>
          <w:szCs w:val="28"/>
        </w:rPr>
        <w:t xml:space="preserve"> requerimientos</w:t>
      </w:r>
      <w:r w:rsidRPr="004530CF">
        <w:rPr>
          <w:rFonts w:ascii="Times New Roman" w:hAnsi="Times New Roman" w:cs="Times New Roman"/>
          <w:sz w:val="28"/>
          <w:szCs w:val="28"/>
        </w:rPr>
        <w:t xml:space="preserve"> tienen por objeto enfrentar las tensiones vinculadas al control judicial de la legislación. </w:t>
      </w:r>
      <w:r w:rsidRPr="004530CF">
        <w:rPr>
          <w:rFonts w:ascii="Times New Roman" w:hAnsi="Times New Roman" w:cs="Times New Roman"/>
          <w:sz w:val="28"/>
          <w:szCs w:val="28"/>
        </w:rPr>
        <w:t xml:space="preserve">En efecto, </w:t>
      </w:r>
      <w:r w:rsidRPr="004530CF">
        <w:rPr>
          <w:rFonts w:ascii="Times New Roman" w:hAnsi="Times New Roman" w:cs="Times New Roman"/>
          <w:sz w:val="28"/>
          <w:szCs w:val="28"/>
        </w:rPr>
        <w:t xml:space="preserve">cuando las personas cuestionan la </w:t>
      </w:r>
      <w:r w:rsidRPr="004530CF">
        <w:rPr>
          <w:rFonts w:ascii="Times New Roman" w:hAnsi="Times New Roman" w:cs="Times New Roman"/>
          <w:i/>
          <w:sz w:val="28"/>
          <w:szCs w:val="28"/>
        </w:rPr>
        <w:t>validez</w:t>
      </w:r>
      <w:r w:rsidRPr="004530CF">
        <w:rPr>
          <w:rFonts w:ascii="Times New Roman" w:hAnsi="Times New Roman" w:cs="Times New Roman"/>
          <w:sz w:val="28"/>
          <w:szCs w:val="28"/>
        </w:rPr>
        <w:t xml:space="preserve"> de la</w:t>
      </w:r>
      <w:r w:rsidRPr="004530CF">
        <w:rPr>
          <w:rFonts w:ascii="Times New Roman" w:hAnsi="Times New Roman" w:cs="Times New Roman"/>
          <w:sz w:val="28"/>
          <w:szCs w:val="28"/>
        </w:rPr>
        <w:t>s normas aprobadas por el Congreso</w:t>
      </w:r>
      <w:r w:rsidRPr="004530CF">
        <w:rPr>
          <w:rFonts w:ascii="Times New Roman" w:hAnsi="Times New Roman" w:cs="Times New Roman"/>
          <w:sz w:val="28"/>
          <w:szCs w:val="28"/>
        </w:rPr>
        <w:t>, asentada</w:t>
      </w:r>
      <w:r w:rsidRPr="004530CF">
        <w:rPr>
          <w:rFonts w:ascii="Times New Roman" w:hAnsi="Times New Roman" w:cs="Times New Roman"/>
          <w:sz w:val="28"/>
          <w:szCs w:val="28"/>
        </w:rPr>
        <w:t>s</w:t>
      </w:r>
      <w:r w:rsidRPr="004530CF">
        <w:rPr>
          <w:rFonts w:ascii="Times New Roman" w:hAnsi="Times New Roman" w:cs="Times New Roman"/>
          <w:sz w:val="28"/>
          <w:szCs w:val="28"/>
        </w:rPr>
        <w:t xml:space="preserve"> en el principio democrático</w:t>
      </w:r>
      <w:r w:rsidRPr="004530CF">
        <w:rPr>
          <w:rFonts w:ascii="Times New Roman" w:hAnsi="Times New Roman" w:cs="Times New Roman"/>
          <w:sz w:val="28"/>
          <w:szCs w:val="28"/>
        </w:rPr>
        <w:t xml:space="preserve"> y en la presunción de constitucionalidad</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se activa para la Corte</w:t>
      </w:r>
      <w:r w:rsidRPr="004530CF">
        <w:rPr>
          <w:rFonts w:ascii="Times New Roman" w:hAnsi="Times New Roman" w:cs="Times New Roman"/>
          <w:sz w:val="28"/>
          <w:szCs w:val="28"/>
        </w:rPr>
        <w:t xml:space="preserve"> la</w:t>
      </w:r>
      <w:r w:rsidRPr="004530CF">
        <w:rPr>
          <w:rFonts w:ascii="Times New Roman" w:hAnsi="Times New Roman" w:cs="Times New Roman"/>
          <w:sz w:val="28"/>
          <w:szCs w:val="28"/>
        </w:rPr>
        <w:t xml:space="preserve"> responsabilidad de responder</w:t>
      </w:r>
      <w:r w:rsidRPr="004530CF">
        <w:rPr>
          <w:rFonts w:ascii="Times New Roman" w:hAnsi="Times New Roman" w:cs="Times New Roman"/>
          <w:sz w:val="28"/>
          <w:szCs w:val="28"/>
        </w:rPr>
        <w:t xml:space="preserve"> con cuidado, al menos tres </w:t>
      </w:r>
      <w:r w:rsidRPr="004530CF">
        <w:rPr>
          <w:rFonts w:ascii="Times New Roman" w:hAnsi="Times New Roman" w:cs="Times New Roman"/>
          <w:sz w:val="28"/>
          <w:szCs w:val="28"/>
        </w:rPr>
        <w:t xml:space="preserve">tipos de </w:t>
      </w:r>
      <w:r w:rsidRPr="004530CF">
        <w:rPr>
          <w:rFonts w:ascii="Times New Roman" w:hAnsi="Times New Roman" w:cs="Times New Roman"/>
          <w:sz w:val="28"/>
          <w:szCs w:val="28"/>
        </w:rPr>
        <w:t>preguntas</w:t>
      </w:r>
      <w:r w:rsidRPr="004530CF">
        <w:rPr>
          <w:rFonts w:ascii="Times New Roman" w:hAnsi="Times New Roman" w:cs="Times New Roman"/>
          <w:sz w:val="28"/>
          <w:szCs w:val="28"/>
        </w:rPr>
        <w:t xml:space="preserve"> vinculadas a los cinco </w:t>
      </w:r>
      <w:r w:rsidRPr="004530CF">
        <w:rPr>
          <w:rFonts w:ascii="Times New Roman" w:hAnsi="Times New Roman" w:cs="Times New Roman"/>
          <w:sz w:val="28"/>
          <w:szCs w:val="28"/>
        </w:rPr>
        <w:t>requerimientos antes referidos</w:t>
      </w:r>
      <w:r w:rsidRPr="004530CF">
        <w:rPr>
          <w:rFonts w:ascii="Times New Roman" w:hAnsi="Times New Roman" w:cs="Times New Roman"/>
          <w:sz w:val="28"/>
          <w:szCs w:val="28"/>
        </w:rPr>
        <w:t>: ¿cuál es el objeto de contr</w:t>
      </w:r>
      <w:r w:rsidRPr="004530CF">
        <w:rPr>
          <w:rFonts w:ascii="Times New Roman" w:hAnsi="Times New Roman" w:cs="Times New Roman"/>
          <w:sz w:val="28"/>
          <w:szCs w:val="28"/>
        </w:rPr>
        <w:t>ol</w:t>
      </w:r>
      <w:r w:rsidRPr="004530CF">
        <w:rPr>
          <w:rFonts w:ascii="Times New Roman" w:hAnsi="Times New Roman" w:cs="Times New Roman"/>
          <w:sz w:val="28"/>
          <w:szCs w:val="28"/>
        </w:rPr>
        <w:t xml:space="preserve"> y su significado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i/>
          <w:sz w:val="28"/>
          <w:szCs w:val="28"/>
        </w:rPr>
        <w:t>certeza</w:t>
      </w:r>
      <w:r w:rsidRPr="004530CF">
        <w:rPr>
          <w:rFonts w:ascii="Times New Roman" w:hAnsi="Times New Roman" w:cs="Times New Roman"/>
          <w:sz w:val="28"/>
          <w:szCs w:val="28"/>
        </w:rPr>
        <w:t>)</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cuáles son las disposiciones constitucionales relevantes para juzgar su validez y cuál es su interpretación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i/>
          <w:sz w:val="28"/>
          <w:szCs w:val="28"/>
        </w:rPr>
        <w:t>pertinencia</w:t>
      </w:r>
      <w:r w:rsidRPr="004530CF">
        <w:rPr>
          <w:rFonts w:ascii="Times New Roman" w:hAnsi="Times New Roman" w:cs="Times New Roman"/>
          <w:sz w:val="28"/>
          <w:szCs w:val="28"/>
        </w:rPr>
        <w:t>)</w:t>
      </w:r>
      <w:r w:rsidRPr="004530CF">
        <w:rPr>
          <w:rFonts w:ascii="Times New Roman" w:hAnsi="Times New Roman" w:cs="Times New Roman"/>
          <w:sz w:val="28"/>
          <w:szCs w:val="28"/>
        </w:rPr>
        <w:t>; y</w:t>
      </w:r>
      <w:r w:rsidRPr="004530CF">
        <w:rPr>
          <w:rFonts w:ascii="Times New Roman" w:hAnsi="Times New Roman" w:cs="Times New Roman"/>
          <w:sz w:val="28"/>
          <w:szCs w:val="28"/>
        </w:rPr>
        <w:t xml:space="preserve"> ¿existe</w:t>
      </w:r>
      <w:r w:rsidRPr="004530CF">
        <w:rPr>
          <w:rFonts w:ascii="Times New Roman" w:hAnsi="Times New Roman" w:cs="Times New Roman"/>
          <w:sz w:val="28"/>
          <w:szCs w:val="28"/>
        </w:rPr>
        <w:t xml:space="preserve"> oposición o concordancia entre el objeto sometido a control y el texto de la Constitución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i/>
          <w:sz w:val="28"/>
          <w:szCs w:val="28"/>
        </w:rPr>
        <w:t>especificidad</w:t>
      </w:r>
      <w:r w:rsidRPr="004530CF">
        <w:rPr>
          <w:rFonts w:ascii="Times New Roman" w:hAnsi="Times New Roman" w:cs="Times New Roman"/>
          <w:sz w:val="28"/>
          <w:szCs w:val="28"/>
        </w:rPr>
        <w:t>).  A su vez, l</w:t>
      </w:r>
      <w:r w:rsidRPr="004530CF">
        <w:rPr>
          <w:rFonts w:ascii="Times New Roman" w:hAnsi="Times New Roman" w:cs="Times New Roman"/>
          <w:sz w:val="28"/>
          <w:szCs w:val="28"/>
        </w:rPr>
        <w:t xml:space="preserve">os requisitos de </w:t>
      </w:r>
      <w:r w:rsidRPr="004530CF">
        <w:rPr>
          <w:rFonts w:ascii="Times New Roman" w:hAnsi="Times New Roman" w:cs="Times New Roman"/>
          <w:i/>
          <w:iCs/>
          <w:sz w:val="28"/>
          <w:szCs w:val="28"/>
        </w:rPr>
        <w:t>claridad</w:t>
      </w:r>
      <w:r w:rsidRPr="004530CF">
        <w:rPr>
          <w:rFonts w:ascii="Times New Roman" w:hAnsi="Times New Roman" w:cs="Times New Roman"/>
          <w:sz w:val="28"/>
          <w:szCs w:val="28"/>
        </w:rPr>
        <w:t xml:space="preserve"> y </w:t>
      </w:r>
      <w:r w:rsidRPr="004530CF">
        <w:rPr>
          <w:rFonts w:ascii="Times New Roman" w:hAnsi="Times New Roman" w:cs="Times New Roman"/>
          <w:i/>
          <w:iCs/>
          <w:sz w:val="28"/>
          <w:szCs w:val="28"/>
        </w:rPr>
        <w:t>suficiencia</w:t>
      </w:r>
      <w:r w:rsidRPr="004530CF">
        <w:rPr>
          <w:rFonts w:ascii="Times New Roman" w:hAnsi="Times New Roman" w:cs="Times New Roman"/>
          <w:sz w:val="28"/>
          <w:szCs w:val="28"/>
        </w:rPr>
        <w:t>, por su parte, operan transversalmente a las tres preguntas, en cuanto condicionan tanto la comprensión del planteamiento como su capacidad para generar una duda sobre la constitucional</w:t>
      </w:r>
      <w:r w:rsidRPr="004530CF">
        <w:rPr>
          <w:rFonts w:ascii="Times New Roman" w:hAnsi="Times New Roman" w:cs="Times New Roman"/>
          <w:sz w:val="28"/>
          <w:szCs w:val="28"/>
        </w:rPr>
        <w:t xml:space="preserve">idad de la </w:t>
      </w:r>
      <w:r w:rsidRPr="004530CF">
        <w:rPr>
          <w:rFonts w:ascii="Times New Roman" w:hAnsi="Times New Roman" w:cs="Times New Roman"/>
          <w:sz w:val="28"/>
          <w:szCs w:val="28"/>
        </w:rPr>
        <w:t>norma</w:t>
      </w:r>
      <w:r w:rsidRPr="004530CF">
        <w:rPr>
          <w:rFonts w:ascii="Times New Roman" w:hAnsi="Times New Roman" w:cs="Times New Roman"/>
          <w:sz w:val="28"/>
          <w:szCs w:val="28"/>
        </w:rPr>
        <w:t xml:space="preserve"> demandada.</w:t>
      </w:r>
    </w:p>
    <w:p w:rsidR="00667B84" w:rsidRPr="004530CF" w:rsidRDefault="004530CF" w:rsidP="004C7B30">
      <w:pPr>
        <w:pStyle w:val="Prrafodelista"/>
        <w:ind w:left="0"/>
        <w:rPr>
          <w:rFonts w:ascii="Times New Roman" w:hAnsi="Times New Roman" w:cs="Times New Roman"/>
          <w:sz w:val="28"/>
          <w:szCs w:val="28"/>
        </w:rPr>
      </w:pPr>
    </w:p>
    <w:p w:rsidR="00AE71D9"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La existencia de estas preguntas supone, para quien pretende activar la competencia de la Corte, un deber de </w:t>
      </w:r>
      <w:r w:rsidRPr="004530CF">
        <w:rPr>
          <w:rFonts w:ascii="Times New Roman" w:hAnsi="Times New Roman" w:cs="Times New Roman"/>
          <w:sz w:val="28"/>
          <w:szCs w:val="28"/>
        </w:rPr>
        <w:t>presentar argumentos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con la aptitud de </w:t>
      </w:r>
      <w:r w:rsidRPr="004530CF">
        <w:rPr>
          <w:rFonts w:ascii="Times New Roman" w:hAnsi="Times New Roman" w:cs="Times New Roman"/>
          <w:sz w:val="28"/>
          <w:szCs w:val="28"/>
        </w:rPr>
        <w:t>ofrecer una respuesta inicial</w:t>
      </w:r>
      <w:r w:rsidRPr="004530CF">
        <w:rPr>
          <w:rFonts w:ascii="Times New Roman" w:hAnsi="Times New Roman" w:cs="Times New Roman"/>
          <w:sz w:val="28"/>
          <w:szCs w:val="28"/>
        </w:rPr>
        <w:t xml:space="preserve"> a cada una de ellas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Si así lo consigue,</w:t>
      </w:r>
      <w:r w:rsidRPr="004530CF">
        <w:rPr>
          <w:rFonts w:ascii="Times New Roman" w:hAnsi="Times New Roman" w:cs="Times New Roman"/>
          <w:sz w:val="28"/>
          <w:szCs w:val="28"/>
        </w:rPr>
        <w:t xml:space="preserve"> se desen</w:t>
      </w:r>
      <w:r w:rsidRPr="004530CF">
        <w:rPr>
          <w:rFonts w:ascii="Times New Roman" w:hAnsi="Times New Roman" w:cs="Times New Roman"/>
          <w:sz w:val="28"/>
          <w:szCs w:val="28"/>
        </w:rPr>
        <w:t xml:space="preserve">cadena </w:t>
      </w:r>
      <w:r w:rsidRPr="004530CF">
        <w:rPr>
          <w:rFonts w:ascii="Times New Roman" w:hAnsi="Times New Roman" w:cs="Times New Roman"/>
          <w:sz w:val="28"/>
          <w:szCs w:val="28"/>
        </w:rPr>
        <w:t>un complejo debate público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que tiene como foro </w:t>
      </w:r>
      <w:r w:rsidRPr="004530CF">
        <w:rPr>
          <w:rFonts w:ascii="Times New Roman" w:hAnsi="Times New Roman" w:cs="Times New Roman"/>
          <w:sz w:val="28"/>
          <w:szCs w:val="28"/>
        </w:rPr>
        <w:t xml:space="preserve">a la Sala Plena </w:t>
      </w:r>
      <w:r w:rsidRPr="004530CF">
        <w:rPr>
          <w:rFonts w:ascii="Times New Roman" w:hAnsi="Times New Roman" w:cs="Times New Roman"/>
          <w:sz w:val="28"/>
          <w:szCs w:val="28"/>
        </w:rPr>
        <w:t>y cuyo único propósito consiste en guardar la integridad y supremacía de la Carta.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Y es precisamente con es</w:t>
      </w:r>
      <w:r w:rsidRPr="004530CF">
        <w:rPr>
          <w:rFonts w:ascii="Times New Roman" w:hAnsi="Times New Roman" w:cs="Times New Roman"/>
          <w:sz w:val="28"/>
          <w:szCs w:val="28"/>
        </w:rPr>
        <w:t>a finalidad</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que </w:t>
      </w:r>
      <w:r w:rsidRPr="004530CF">
        <w:rPr>
          <w:rFonts w:ascii="Times New Roman" w:hAnsi="Times New Roman" w:cs="Times New Roman"/>
          <w:sz w:val="28"/>
          <w:szCs w:val="28"/>
        </w:rPr>
        <w:t>los argumentos de</w:t>
      </w:r>
      <w:r w:rsidRPr="004530CF">
        <w:rPr>
          <w:rFonts w:ascii="Times New Roman" w:hAnsi="Times New Roman" w:cs="Times New Roman"/>
          <w:sz w:val="28"/>
          <w:szCs w:val="28"/>
        </w:rPr>
        <w:t xml:space="preserve"> quien solicita un pronunciamiento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deben cu</w:t>
      </w:r>
      <w:r w:rsidRPr="004530CF">
        <w:rPr>
          <w:rFonts w:ascii="Times New Roman" w:hAnsi="Times New Roman" w:cs="Times New Roman"/>
          <w:sz w:val="28"/>
          <w:szCs w:val="28"/>
        </w:rPr>
        <w:t xml:space="preserve">mplir las condiciones referidas. </w:t>
      </w:r>
    </w:p>
    <w:p w:rsidR="00AE71D9" w:rsidRPr="004530CF" w:rsidRDefault="004530CF" w:rsidP="004C7B30">
      <w:pPr>
        <w:pStyle w:val="Prrafodelista"/>
        <w:ind w:left="0"/>
        <w:rPr>
          <w:rFonts w:ascii="Times New Roman" w:hAnsi="Times New Roman" w:cs="Times New Roman"/>
          <w:sz w:val="28"/>
          <w:szCs w:val="28"/>
        </w:rPr>
      </w:pPr>
    </w:p>
    <w:p w:rsidR="005150A4"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En un precedente reiterado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la Corte ha señalado “</w:t>
      </w:r>
      <w:r w:rsidRPr="004530CF">
        <w:rPr>
          <w:rFonts w:ascii="Times New Roman" w:hAnsi="Times New Roman" w:cs="Times New Roman"/>
          <w:i/>
          <w:sz w:val="28"/>
          <w:szCs w:val="28"/>
        </w:rPr>
        <w:t xml:space="preserve">que </w:t>
      </w:r>
      <w:r w:rsidRPr="004530CF">
        <w:rPr>
          <w:rFonts w:ascii="Times New Roman" w:hAnsi="Times New Roman" w:cs="Times New Roman"/>
          <w:i/>
          <w:sz w:val="28"/>
          <w:szCs w:val="28"/>
          <w:shd w:val="clear" w:color="auto" w:fill="FFFFFF"/>
        </w:rPr>
        <w:t>los argumentos de la demanda deben ser: (i) </w:t>
      </w:r>
      <w:r w:rsidRPr="004530CF">
        <w:rPr>
          <w:rFonts w:ascii="Times New Roman" w:hAnsi="Times New Roman" w:cs="Times New Roman"/>
          <w:i/>
          <w:iCs/>
          <w:sz w:val="28"/>
          <w:szCs w:val="28"/>
          <w:shd w:val="clear" w:color="auto" w:fill="FFFFFF"/>
        </w:rPr>
        <w:t>claros</w:t>
      </w:r>
      <w:r w:rsidRPr="004530CF">
        <w:rPr>
          <w:rFonts w:ascii="Times New Roman" w:hAnsi="Times New Roman" w:cs="Times New Roman"/>
          <w:i/>
          <w:sz w:val="28"/>
          <w:szCs w:val="28"/>
          <w:shd w:val="clear" w:color="auto" w:fill="FFFFFF"/>
        </w:rPr>
        <w:t> o con un hilo conductor que permita comprender el contenido de la demanda y sus razonamientos; (ii) </w:t>
      </w:r>
      <w:r w:rsidRPr="004530CF">
        <w:rPr>
          <w:rFonts w:ascii="Times New Roman" w:hAnsi="Times New Roman" w:cs="Times New Roman"/>
          <w:i/>
          <w:iCs/>
          <w:sz w:val="28"/>
          <w:szCs w:val="28"/>
          <w:shd w:val="clear" w:color="auto" w:fill="FFFFFF"/>
        </w:rPr>
        <w:t>ciertos</w:t>
      </w:r>
      <w:r w:rsidRPr="004530CF">
        <w:rPr>
          <w:rFonts w:ascii="Times New Roman" w:hAnsi="Times New Roman" w:cs="Times New Roman"/>
          <w:i/>
          <w:sz w:val="28"/>
          <w:szCs w:val="28"/>
          <w:shd w:val="clear" w:color="auto" w:fill="FFFFFF"/>
        </w:rPr>
        <w:t xml:space="preserve"> o que </w:t>
      </w:r>
      <w:r w:rsidRPr="004530CF">
        <w:rPr>
          <w:rFonts w:ascii="Times New Roman" w:hAnsi="Times New Roman" w:cs="Times New Roman"/>
          <w:i/>
          <w:sz w:val="28"/>
          <w:szCs w:val="28"/>
          <w:shd w:val="clear" w:color="auto" w:fill="FFFFFF"/>
        </w:rPr>
        <w:t>recaigan sobre una proposición jurídica real y existente derivada de la norma acusada, y no sobre la interpretación subjetiva que de esta haya hecho el actor; (iii) </w:t>
      </w:r>
      <w:r w:rsidRPr="004530CF">
        <w:rPr>
          <w:rFonts w:ascii="Times New Roman" w:hAnsi="Times New Roman" w:cs="Times New Roman"/>
          <w:i/>
          <w:iCs/>
          <w:sz w:val="28"/>
          <w:szCs w:val="28"/>
          <w:shd w:val="clear" w:color="auto" w:fill="FFFFFF"/>
        </w:rPr>
        <w:t>específicos</w:t>
      </w:r>
      <w:r w:rsidRPr="004530CF">
        <w:rPr>
          <w:rFonts w:ascii="Times New Roman" w:hAnsi="Times New Roman" w:cs="Times New Roman"/>
          <w:i/>
          <w:sz w:val="28"/>
          <w:szCs w:val="28"/>
          <w:shd w:val="clear" w:color="auto" w:fill="FFFFFF"/>
        </w:rPr>
        <w:t> de modo que precisen concretamente cómo la norma acusada vulnera la Constitució</w:t>
      </w:r>
      <w:r w:rsidRPr="004530CF">
        <w:rPr>
          <w:rFonts w:ascii="Times New Roman" w:hAnsi="Times New Roman" w:cs="Times New Roman"/>
          <w:i/>
          <w:sz w:val="28"/>
          <w:szCs w:val="28"/>
          <w:shd w:val="clear" w:color="auto" w:fill="FFFFFF"/>
        </w:rPr>
        <w:t>n, a partir de una oposición objetiva y verificable entre ellas, sin soportarse en argumentos vagos, indeterminados, abstractos y globales; (iv) </w:t>
      </w:r>
      <w:r w:rsidRPr="004530CF">
        <w:rPr>
          <w:rFonts w:ascii="Times New Roman" w:hAnsi="Times New Roman" w:cs="Times New Roman"/>
          <w:i/>
          <w:iCs/>
          <w:sz w:val="28"/>
          <w:szCs w:val="28"/>
          <w:shd w:val="clear" w:color="auto" w:fill="FFFFFF"/>
        </w:rPr>
        <w:t>pertinentes</w:t>
      </w:r>
      <w:r w:rsidRPr="004530CF">
        <w:rPr>
          <w:rFonts w:ascii="Times New Roman" w:hAnsi="Times New Roman" w:cs="Times New Roman"/>
          <w:i/>
          <w:sz w:val="28"/>
          <w:szCs w:val="28"/>
          <w:shd w:val="clear" w:color="auto" w:fill="FFFFFF"/>
        </w:rPr>
        <w:t> o que planteen un debate constitucional, no práctico, doctrinario, legal, político ni de convenienc</w:t>
      </w:r>
      <w:r w:rsidRPr="004530CF">
        <w:rPr>
          <w:rFonts w:ascii="Times New Roman" w:hAnsi="Times New Roman" w:cs="Times New Roman"/>
          <w:i/>
          <w:sz w:val="28"/>
          <w:szCs w:val="28"/>
          <w:shd w:val="clear" w:color="auto" w:fill="FFFFFF"/>
        </w:rPr>
        <w:t>ia; y (v) </w:t>
      </w:r>
      <w:r w:rsidRPr="004530CF">
        <w:rPr>
          <w:rFonts w:ascii="Times New Roman" w:hAnsi="Times New Roman" w:cs="Times New Roman"/>
          <w:i/>
          <w:iCs/>
          <w:sz w:val="28"/>
          <w:szCs w:val="28"/>
          <w:shd w:val="clear" w:color="auto" w:fill="FFFFFF"/>
        </w:rPr>
        <w:t>suficientes</w:t>
      </w:r>
      <w:r w:rsidRPr="004530CF">
        <w:rPr>
          <w:rFonts w:ascii="Times New Roman" w:hAnsi="Times New Roman" w:cs="Times New Roman"/>
          <w:i/>
          <w:sz w:val="28"/>
          <w:szCs w:val="28"/>
          <w:shd w:val="clear" w:color="auto" w:fill="FFFFFF"/>
        </w:rPr>
        <w:t> para generar una duda sobre la constitucionalidad de la disposición acusada</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13"/>
      </w:r>
      <w:r w:rsidRPr="004530CF">
        <w:rPr>
          <w:rFonts w:ascii="Times New Roman" w:hAnsi="Times New Roman" w:cs="Times New Roman"/>
          <w:sz w:val="28"/>
          <w:szCs w:val="28"/>
          <w:shd w:val="clear" w:color="auto" w:fill="FFFFFF"/>
        </w:rPr>
        <w:t>.</w:t>
      </w:r>
      <w:r w:rsidRPr="004530CF">
        <w:rPr>
          <w:rFonts w:ascii="Times New Roman" w:hAnsi="Times New Roman" w:cs="Times New Roman"/>
          <w:bCs/>
          <w:iCs/>
          <w:sz w:val="28"/>
          <w:szCs w:val="28"/>
          <w:shd w:val="clear" w:color="auto" w:fill="FFFFFF"/>
        </w:rPr>
        <w:t xml:space="preserve"> </w:t>
      </w:r>
      <w:r w:rsidRPr="004530CF">
        <w:rPr>
          <w:rFonts w:ascii="Times New Roman" w:hAnsi="Times New Roman" w:cs="Times New Roman"/>
          <w:bCs/>
          <w:iCs/>
          <w:sz w:val="28"/>
          <w:szCs w:val="28"/>
          <w:shd w:val="clear" w:color="auto" w:fill="FFFFFF"/>
        </w:rPr>
        <w:t xml:space="preserve"> </w:t>
      </w:r>
    </w:p>
    <w:p w:rsidR="00667B84" w:rsidRPr="004530CF" w:rsidRDefault="004530CF" w:rsidP="004C7B30">
      <w:pPr>
        <w:pStyle w:val="Prrafodelista"/>
        <w:ind w:left="0"/>
        <w:rPr>
          <w:rFonts w:ascii="Times New Roman" w:hAnsi="Times New Roman" w:cs="Times New Roman"/>
          <w:sz w:val="28"/>
          <w:szCs w:val="28"/>
        </w:rPr>
      </w:pPr>
    </w:p>
    <w:p w:rsidR="00483D8D"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La </w:t>
      </w:r>
      <w:r w:rsidRPr="004530CF">
        <w:rPr>
          <w:rFonts w:ascii="Times New Roman" w:hAnsi="Times New Roman" w:cs="Times New Roman"/>
          <w:sz w:val="28"/>
          <w:szCs w:val="28"/>
        </w:rPr>
        <w:t>evaluación</w:t>
      </w:r>
      <w:r w:rsidRPr="004530CF">
        <w:rPr>
          <w:rFonts w:ascii="Times New Roman" w:hAnsi="Times New Roman" w:cs="Times New Roman"/>
          <w:sz w:val="28"/>
          <w:szCs w:val="28"/>
        </w:rPr>
        <w:t xml:space="preserve"> sobre el cumplimiento de tales condiciones y, en consecuencia, sobre la aptitud </w:t>
      </w:r>
      <w:r w:rsidRPr="004530CF">
        <w:rPr>
          <w:rFonts w:ascii="Times New Roman" w:hAnsi="Times New Roman" w:cs="Times New Roman"/>
          <w:sz w:val="28"/>
          <w:szCs w:val="28"/>
        </w:rPr>
        <w:t>de los cargos de inconstitucionalidad</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no se agota en la etapa de admisión de la demanda. La Sala Plena es titular de la competencia </w:t>
      </w:r>
      <w:r w:rsidRPr="004530CF">
        <w:rPr>
          <w:rFonts w:ascii="Times New Roman" w:hAnsi="Times New Roman" w:cs="Times New Roman"/>
          <w:sz w:val="28"/>
          <w:szCs w:val="28"/>
        </w:rPr>
        <w:t xml:space="preserve">definitiva </w:t>
      </w:r>
      <w:r w:rsidRPr="004530CF">
        <w:rPr>
          <w:rFonts w:ascii="Times New Roman" w:hAnsi="Times New Roman" w:cs="Times New Roman"/>
          <w:sz w:val="28"/>
          <w:szCs w:val="28"/>
        </w:rPr>
        <w:t>para valorar, al momento de adoptar una decisión, si los cargos</w:t>
      </w:r>
      <w:r w:rsidRPr="004530CF">
        <w:rPr>
          <w:rFonts w:ascii="Times New Roman" w:hAnsi="Times New Roman" w:cs="Times New Roman"/>
          <w:sz w:val="28"/>
          <w:szCs w:val="28"/>
        </w:rPr>
        <w:t xml:space="preserve"> propuestos </w:t>
      </w:r>
      <w:r w:rsidRPr="004530CF">
        <w:rPr>
          <w:rFonts w:ascii="Times New Roman" w:hAnsi="Times New Roman" w:cs="Times New Roman"/>
          <w:sz w:val="28"/>
          <w:szCs w:val="28"/>
        </w:rPr>
        <w:t>cumplen las condiciones para</w:t>
      </w:r>
      <w:r w:rsidRPr="004530CF">
        <w:rPr>
          <w:rFonts w:ascii="Times New Roman" w:hAnsi="Times New Roman" w:cs="Times New Roman"/>
          <w:sz w:val="28"/>
          <w:szCs w:val="28"/>
        </w:rPr>
        <w:t xml:space="preserve"> motivar </w:t>
      </w:r>
      <w:r w:rsidRPr="004530CF">
        <w:rPr>
          <w:rFonts w:ascii="Times New Roman" w:hAnsi="Times New Roman" w:cs="Times New Roman"/>
          <w:sz w:val="28"/>
          <w:szCs w:val="28"/>
        </w:rPr>
        <w:t>un</w:t>
      </w:r>
      <w:r w:rsidRPr="004530CF">
        <w:rPr>
          <w:rFonts w:ascii="Times New Roman" w:hAnsi="Times New Roman" w:cs="Times New Roman"/>
          <w:sz w:val="28"/>
          <w:szCs w:val="28"/>
        </w:rPr>
        <w:t xml:space="preserve"> pronunciamiento</w:t>
      </w:r>
      <w:r w:rsidRPr="004530CF">
        <w:rPr>
          <w:rFonts w:ascii="Times New Roman" w:hAnsi="Times New Roman" w:cs="Times New Roman"/>
          <w:sz w:val="28"/>
          <w:szCs w:val="28"/>
        </w:rPr>
        <w:t xml:space="preserve"> de mérito. </w:t>
      </w:r>
      <w:r w:rsidRPr="004530CF">
        <w:rPr>
          <w:rFonts w:ascii="Times New Roman" w:hAnsi="Times New Roman" w:cs="Times New Roman"/>
          <w:sz w:val="28"/>
          <w:szCs w:val="28"/>
        </w:rPr>
        <w:t>En es</w:t>
      </w:r>
      <w:r w:rsidRPr="004530CF">
        <w:rPr>
          <w:rFonts w:ascii="Times New Roman" w:hAnsi="Times New Roman" w:cs="Times New Roman"/>
          <w:sz w:val="28"/>
          <w:szCs w:val="28"/>
        </w:rPr>
        <w:t xml:space="preserve">te </w:t>
      </w:r>
      <w:r w:rsidRPr="004530CF">
        <w:rPr>
          <w:rFonts w:ascii="Times New Roman" w:hAnsi="Times New Roman" w:cs="Times New Roman"/>
          <w:sz w:val="28"/>
          <w:szCs w:val="28"/>
        </w:rPr>
        <w:t>orden de ideas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este Tribunal </w:t>
      </w:r>
      <w:r w:rsidRPr="004530CF">
        <w:rPr>
          <w:rFonts w:ascii="Times New Roman" w:hAnsi="Times New Roman" w:cs="Times New Roman"/>
          <w:sz w:val="28"/>
          <w:szCs w:val="28"/>
        </w:rPr>
        <w:t>ha indicado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que si bien</w:t>
      </w:r>
      <w:r w:rsidRPr="004530CF">
        <w:rPr>
          <w:rFonts w:ascii="Times New Roman" w:hAnsi="Times New Roman" w:cs="Times New Roman"/>
          <w:sz w:val="28"/>
          <w:szCs w:val="28"/>
        </w:rPr>
        <w:t xml:space="preserve"> “</w:t>
      </w:r>
      <w:r w:rsidRPr="004530CF">
        <w:rPr>
          <w:rFonts w:ascii="Times New Roman" w:hAnsi="Times New Roman" w:cs="Times New Roman"/>
          <w:i/>
          <w:sz w:val="28"/>
          <w:szCs w:val="28"/>
          <w:shd w:val="clear" w:color="auto" w:fill="FFFFFF"/>
        </w:rPr>
        <w:t xml:space="preserve">la admisión de la demanda por parte del </w:t>
      </w:r>
      <w:r w:rsidRPr="004530CF">
        <w:rPr>
          <w:rFonts w:ascii="Times New Roman" w:hAnsi="Times New Roman" w:cs="Times New Roman"/>
          <w:i/>
          <w:sz w:val="28"/>
          <w:szCs w:val="28"/>
          <w:shd w:val="clear" w:color="auto" w:fill="FFFFFF"/>
        </w:rPr>
        <w:t>m</w:t>
      </w:r>
      <w:r w:rsidRPr="004530CF">
        <w:rPr>
          <w:rFonts w:ascii="Times New Roman" w:hAnsi="Times New Roman" w:cs="Times New Roman"/>
          <w:i/>
          <w:sz w:val="28"/>
          <w:szCs w:val="28"/>
          <w:shd w:val="clear" w:color="auto" w:fill="FFFFFF"/>
        </w:rPr>
        <w:t>agistrado ponente de cada acción de inconstitucionalidad es un momento oportuno para determinar el cumplimiento de los requisitos</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14"/>
      </w:r>
      <w:r w:rsidRPr="004530CF">
        <w:rPr>
          <w:rFonts w:ascii="Times New Roman" w:hAnsi="Times New Roman" w:cs="Times New Roman"/>
          <w:sz w:val="28"/>
          <w:szCs w:val="28"/>
          <w:shd w:val="clear" w:color="auto" w:fill="FFFFFF"/>
        </w:rPr>
        <w:t>,</w:t>
      </w:r>
      <w:r w:rsidRPr="004530CF">
        <w:rPr>
          <w:rFonts w:ascii="Times New Roman" w:hAnsi="Times New Roman" w:cs="Times New Roman"/>
          <w:sz w:val="28"/>
          <w:szCs w:val="28"/>
          <w:shd w:val="clear" w:color="auto" w:fill="FFFFFF"/>
        </w:rPr>
        <w:t xml:space="preserve"> ello no significa que la su</w:t>
      </w:r>
      <w:r w:rsidRPr="004530CF">
        <w:rPr>
          <w:rFonts w:ascii="Times New Roman" w:hAnsi="Times New Roman" w:cs="Times New Roman"/>
          <w:sz w:val="28"/>
          <w:szCs w:val="28"/>
          <w:shd w:val="clear" w:color="auto" w:fill="FFFFFF"/>
        </w:rPr>
        <w:t xml:space="preserve">peración de </w:t>
      </w:r>
      <w:r w:rsidRPr="004530CF">
        <w:rPr>
          <w:rFonts w:ascii="Times New Roman" w:hAnsi="Times New Roman" w:cs="Times New Roman"/>
          <w:sz w:val="28"/>
          <w:szCs w:val="28"/>
          <w:shd w:val="clear" w:color="auto" w:fill="FFFFFF"/>
        </w:rPr>
        <w:t>“</w:t>
      </w:r>
      <w:r w:rsidRPr="004530CF">
        <w:rPr>
          <w:rFonts w:ascii="Times New Roman" w:hAnsi="Times New Roman" w:cs="Times New Roman"/>
          <w:i/>
          <w:sz w:val="28"/>
          <w:szCs w:val="28"/>
          <w:shd w:val="clear" w:color="auto" w:fill="FFFFFF"/>
        </w:rPr>
        <w:t>esa primera mirada, que es sumaria</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15"/>
      </w:r>
      <w:r w:rsidRPr="004530CF">
        <w:rPr>
          <w:rFonts w:ascii="Times New Roman" w:hAnsi="Times New Roman" w:cs="Times New Roman"/>
          <w:sz w:val="28"/>
          <w:szCs w:val="28"/>
          <w:shd w:val="clear" w:color="auto" w:fill="FFFFFF"/>
        </w:rPr>
        <w:t>,</w:t>
      </w:r>
      <w:r w:rsidRPr="004530CF">
        <w:rPr>
          <w:rFonts w:ascii="Times New Roman" w:hAnsi="Times New Roman" w:cs="Times New Roman"/>
          <w:sz w:val="28"/>
          <w:szCs w:val="28"/>
          <w:shd w:val="clear" w:color="auto" w:fill="FFFFFF"/>
        </w:rPr>
        <w:t xml:space="preserve"> imponga la obligación de adoptar</w:t>
      </w:r>
      <w:r w:rsidRPr="004530CF">
        <w:rPr>
          <w:rFonts w:ascii="Times New Roman" w:hAnsi="Times New Roman" w:cs="Times New Roman"/>
          <w:sz w:val="28"/>
          <w:szCs w:val="28"/>
          <w:shd w:val="clear" w:color="auto" w:fill="FFFFFF"/>
        </w:rPr>
        <w:t xml:space="preserve"> una decisión de fondo. </w:t>
      </w:r>
      <w:r w:rsidRPr="004530CF">
        <w:rPr>
          <w:rFonts w:ascii="Times New Roman" w:hAnsi="Times New Roman" w:cs="Times New Roman"/>
          <w:sz w:val="28"/>
          <w:szCs w:val="28"/>
          <w:shd w:val="clear" w:color="auto" w:fill="FFFFFF"/>
        </w:rPr>
        <w:t xml:space="preserve"> </w:t>
      </w:r>
      <w:r w:rsidRPr="004530CF">
        <w:rPr>
          <w:rFonts w:ascii="Times New Roman" w:hAnsi="Times New Roman" w:cs="Times New Roman"/>
          <w:sz w:val="28"/>
          <w:szCs w:val="28"/>
          <w:shd w:val="clear" w:color="auto" w:fill="FFFFFF"/>
        </w:rPr>
        <w:t>En efecto, según lo ha</w:t>
      </w:r>
      <w:r w:rsidRPr="004530CF">
        <w:rPr>
          <w:rFonts w:ascii="Times New Roman" w:hAnsi="Times New Roman" w:cs="Times New Roman"/>
          <w:sz w:val="28"/>
          <w:szCs w:val="28"/>
          <w:shd w:val="clear" w:color="auto" w:fill="FFFFFF"/>
        </w:rPr>
        <w:t xml:space="preserve"> destacado</w:t>
      </w:r>
      <w:r w:rsidRPr="004530CF">
        <w:rPr>
          <w:rFonts w:ascii="Times New Roman" w:hAnsi="Times New Roman" w:cs="Times New Roman"/>
          <w:sz w:val="28"/>
          <w:szCs w:val="28"/>
          <w:shd w:val="clear" w:color="auto" w:fill="FFFFFF"/>
        </w:rPr>
        <w:t>,</w:t>
      </w:r>
      <w:r w:rsidRPr="004530CF">
        <w:rPr>
          <w:rFonts w:ascii="Times New Roman" w:hAnsi="Times New Roman" w:cs="Times New Roman"/>
          <w:sz w:val="28"/>
          <w:szCs w:val="28"/>
          <w:shd w:val="clear" w:color="auto" w:fill="FFFFFF"/>
        </w:rPr>
        <w:t xml:space="preserve"> “</w:t>
      </w:r>
      <w:r w:rsidRPr="004530CF">
        <w:rPr>
          <w:rFonts w:ascii="Times New Roman" w:hAnsi="Times New Roman" w:cs="Times New Roman"/>
          <w:i/>
          <w:sz w:val="28"/>
          <w:szCs w:val="28"/>
          <w:shd w:val="clear" w:color="auto" w:fill="FFFFFF"/>
        </w:rPr>
        <w:t xml:space="preserve">es en la Sala Plena de la Corporación, integrada por todos sus </w:t>
      </w:r>
      <w:r w:rsidRPr="004530CF">
        <w:rPr>
          <w:rFonts w:ascii="Times New Roman" w:hAnsi="Times New Roman" w:cs="Times New Roman"/>
          <w:i/>
          <w:sz w:val="28"/>
          <w:szCs w:val="28"/>
          <w:shd w:val="clear" w:color="auto" w:fill="FFFFFF"/>
        </w:rPr>
        <w:t>m</w:t>
      </w:r>
      <w:r w:rsidRPr="004530CF">
        <w:rPr>
          <w:rFonts w:ascii="Times New Roman" w:hAnsi="Times New Roman" w:cs="Times New Roman"/>
          <w:i/>
          <w:sz w:val="28"/>
          <w:szCs w:val="28"/>
          <w:shd w:val="clear" w:color="auto" w:fill="FFFFFF"/>
        </w:rPr>
        <w:t>agistrados</w:t>
      </w:r>
      <w:r w:rsidRPr="004530CF">
        <w:rPr>
          <w:rFonts w:ascii="Times New Roman" w:hAnsi="Times New Roman" w:cs="Times New Roman"/>
          <w:sz w:val="28"/>
          <w:szCs w:val="28"/>
          <w:shd w:val="clear" w:color="auto" w:fill="FFFFFF"/>
        </w:rPr>
        <w:t>[,]</w:t>
      </w:r>
      <w:r w:rsidRPr="004530CF">
        <w:rPr>
          <w:rFonts w:ascii="Times New Roman" w:hAnsi="Times New Roman" w:cs="Times New Roman"/>
          <w:i/>
          <w:sz w:val="28"/>
          <w:szCs w:val="28"/>
          <w:shd w:val="clear" w:color="auto" w:fill="FFFFFF"/>
        </w:rPr>
        <w:t xml:space="preserve"> en quien recae la competencia de proferir una </w:t>
      </w:r>
      <w:r w:rsidRPr="004530CF">
        <w:rPr>
          <w:rFonts w:ascii="Times New Roman" w:hAnsi="Times New Roman" w:cs="Times New Roman"/>
          <w:i/>
          <w:sz w:val="28"/>
          <w:szCs w:val="28"/>
          <w:shd w:val="clear" w:color="auto" w:fill="FFFFFF"/>
        </w:rPr>
        <w:t>s</w:t>
      </w:r>
      <w:r w:rsidRPr="004530CF">
        <w:rPr>
          <w:rFonts w:ascii="Times New Roman" w:hAnsi="Times New Roman" w:cs="Times New Roman"/>
          <w:i/>
          <w:sz w:val="28"/>
          <w:szCs w:val="28"/>
          <w:shd w:val="clear" w:color="auto" w:fill="FFFFFF"/>
        </w:rPr>
        <w:t xml:space="preserve">entencia, en donde se determina, previo un debate </w:t>
      </w:r>
      <w:r w:rsidRPr="004530CF">
        <w:rPr>
          <w:rFonts w:ascii="Times New Roman" w:hAnsi="Times New Roman" w:cs="Times New Roman"/>
          <w:sz w:val="28"/>
          <w:szCs w:val="28"/>
          <w:shd w:val="clear" w:color="auto" w:fill="FFFFFF"/>
        </w:rPr>
        <w:t>(…)</w:t>
      </w:r>
      <w:r w:rsidRPr="004530CF">
        <w:rPr>
          <w:rFonts w:ascii="Times New Roman" w:hAnsi="Times New Roman" w:cs="Times New Roman"/>
          <w:i/>
          <w:sz w:val="28"/>
          <w:szCs w:val="28"/>
          <w:shd w:val="clear" w:color="auto" w:fill="FFFFFF"/>
        </w:rPr>
        <w:t>, si la demanda es apta o no, contando con la intervención además de quienes hayan sido convocados y del Ministerio Público</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16"/>
      </w:r>
      <w:r w:rsidRPr="004530CF">
        <w:rPr>
          <w:rFonts w:ascii="Times New Roman" w:hAnsi="Times New Roman" w:cs="Times New Roman"/>
          <w:sz w:val="28"/>
          <w:szCs w:val="28"/>
          <w:shd w:val="clear" w:color="auto" w:fill="FFFFFF"/>
        </w:rPr>
        <w:t xml:space="preserve">. </w:t>
      </w:r>
    </w:p>
    <w:p w:rsidR="00667B84" w:rsidRPr="004530CF" w:rsidRDefault="004530CF" w:rsidP="004C7B30">
      <w:pPr>
        <w:pStyle w:val="Prrafodelista"/>
        <w:tabs>
          <w:tab w:val="left" w:pos="567"/>
        </w:tabs>
        <w:ind w:left="0"/>
        <w:jc w:val="both"/>
        <w:rPr>
          <w:rFonts w:ascii="Times New Roman" w:hAnsi="Times New Roman" w:cs="Times New Roman"/>
          <w:sz w:val="28"/>
          <w:szCs w:val="28"/>
        </w:rPr>
      </w:pPr>
    </w:p>
    <w:p w:rsidR="00045E18"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Con fundamento en esa comp</w:t>
      </w:r>
      <w:r w:rsidRPr="004530CF">
        <w:rPr>
          <w:rFonts w:ascii="Times New Roman" w:hAnsi="Times New Roman" w:cs="Times New Roman"/>
          <w:sz w:val="28"/>
          <w:szCs w:val="28"/>
        </w:rPr>
        <w:t xml:space="preserve">etencia, </w:t>
      </w:r>
      <w:r w:rsidRPr="004530CF">
        <w:rPr>
          <w:rFonts w:ascii="Times New Roman" w:hAnsi="Times New Roman" w:cs="Times New Roman"/>
          <w:sz w:val="28"/>
          <w:szCs w:val="28"/>
        </w:rPr>
        <w:t xml:space="preserve">la jurisprudencia </w:t>
      </w:r>
      <w:r w:rsidRPr="004530CF">
        <w:rPr>
          <w:rFonts w:ascii="Times New Roman" w:hAnsi="Times New Roman" w:cs="Times New Roman"/>
          <w:sz w:val="28"/>
          <w:szCs w:val="28"/>
        </w:rPr>
        <w:t xml:space="preserve">también </w:t>
      </w:r>
      <w:r w:rsidRPr="004530CF">
        <w:rPr>
          <w:rFonts w:ascii="Times New Roman" w:hAnsi="Times New Roman" w:cs="Times New Roman"/>
          <w:sz w:val="28"/>
          <w:szCs w:val="28"/>
        </w:rPr>
        <w:t>ha señalado que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aunque la</w:t>
      </w:r>
      <w:r w:rsidRPr="004530CF">
        <w:rPr>
          <w:rFonts w:ascii="Times New Roman" w:hAnsi="Times New Roman" w:cs="Times New Roman"/>
          <w:sz w:val="28"/>
          <w:szCs w:val="28"/>
        </w:rPr>
        <w:t xml:space="preserve"> existencia de</w:t>
      </w:r>
      <w:r w:rsidRPr="004530CF">
        <w:rPr>
          <w:rFonts w:ascii="Times New Roman" w:hAnsi="Times New Roman" w:cs="Times New Roman"/>
          <w:sz w:val="28"/>
          <w:szCs w:val="28"/>
        </w:rPr>
        <w:t xml:space="preserve"> solicitudes de inhibición presentadas en el curso del proceso puede</w:t>
      </w:r>
      <w:r w:rsidRPr="004530CF">
        <w:rPr>
          <w:rFonts w:ascii="Times New Roman" w:hAnsi="Times New Roman" w:cs="Times New Roman"/>
          <w:sz w:val="28"/>
          <w:szCs w:val="28"/>
        </w:rPr>
        <w:t xml:space="preserve"> motivar</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un pronunciamiento expreso sobre la </w:t>
      </w:r>
      <w:r w:rsidRPr="004530CF">
        <w:rPr>
          <w:rFonts w:ascii="Times New Roman" w:hAnsi="Times New Roman" w:cs="Times New Roman"/>
          <w:sz w:val="28"/>
          <w:szCs w:val="28"/>
        </w:rPr>
        <w:t>aptitud</w:t>
      </w:r>
      <w:r w:rsidRPr="004530CF">
        <w:rPr>
          <w:rFonts w:ascii="Times New Roman" w:hAnsi="Times New Roman" w:cs="Times New Roman"/>
          <w:sz w:val="28"/>
          <w:szCs w:val="28"/>
        </w:rPr>
        <w:t xml:space="preserve"> de la demanda</w:t>
      </w:r>
      <w:r w:rsidRPr="004530CF">
        <w:rPr>
          <w:rFonts w:ascii="Times New Roman" w:hAnsi="Times New Roman" w:cs="Times New Roman"/>
          <w:sz w:val="28"/>
          <w:szCs w:val="28"/>
        </w:rPr>
        <w:t>, no es esa una condición necesaria para</w:t>
      </w:r>
      <w:r w:rsidRPr="004530CF">
        <w:rPr>
          <w:rFonts w:ascii="Times New Roman" w:hAnsi="Times New Roman" w:cs="Times New Roman"/>
          <w:sz w:val="28"/>
          <w:szCs w:val="28"/>
        </w:rPr>
        <w:t xml:space="preserve"> que la Sala Plena emprenda </w:t>
      </w:r>
      <w:r w:rsidRPr="004530CF">
        <w:rPr>
          <w:rFonts w:ascii="Times New Roman" w:hAnsi="Times New Roman" w:cs="Times New Roman"/>
          <w:sz w:val="28"/>
          <w:szCs w:val="28"/>
        </w:rPr>
        <w:t xml:space="preserve">dicho </w:t>
      </w:r>
      <w:r w:rsidRPr="004530CF">
        <w:rPr>
          <w:rFonts w:ascii="Times New Roman" w:hAnsi="Times New Roman" w:cs="Times New Roman"/>
          <w:sz w:val="28"/>
          <w:szCs w:val="28"/>
        </w:rPr>
        <w:t>examen</w:t>
      </w:r>
      <w:r w:rsidRPr="004530CF">
        <w:rPr>
          <w:rFonts w:ascii="Times New Roman" w:hAnsi="Times New Roman" w:cs="Times New Roman"/>
          <w:sz w:val="28"/>
          <w:szCs w:val="28"/>
        </w:rPr>
        <w:t>. En efecto, como lo indicó recientemente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eastAsia="Times New Roman" w:hAnsi="Times New Roman" w:cs="Times New Roman"/>
          <w:i/>
          <w:sz w:val="28"/>
          <w:szCs w:val="28"/>
          <w:lang w:val="es-ES_tradnl"/>
        </w:rPr>
        <w:t>no son solo las intervenciones las que habilitan a la Sala Plena a pronunciarse respecto de la aptitud de la demanda, pues su análisis constituye una facultad que siempre t</w:t>
      </w:r>
      <w:r w:rsidRPr="004530CF">
        <w:rPr>
          <w:rFonts w:ascii="Times New Roman" w:eastAsia="Times New Roman" w:hAnsi="Times New Roman" w:cs="Times New Roman"/>
          <w:i/>
          <w:sz w:val="28"/>
          <w:szCs w:val="28"/>
          <w:lang w:val="es-ES_tradnl"/>
        </w:rPr>
        <w:t>iene el pleno de esta Corte</w:t>
      </w:r>
      <w:r w:rsidRPr="004530CF">
        <w:rPr>
          <w:rFonts w:ascii="Times New Roman" w:eastAsia="Times New Roman" w:hAnsi="Times New Roman" w:cs="Times New Roman"/>
          <w:sz w:val="28"/>
          <w:szCs w:val="28"/>
          <w:lang w:val="es-ES_tradnl"/>
        </w:rPr>
        <w:t>”</w:t>
      </w:r>
      <w:r w:rsidRPr="004530CF">
        <w:rPr>
          <w:rStyle w:val="Refdenotaalpie"/>
          <w:rFonts w:ascii="Times New Roman" w:eastAsia="Times New Roman" w:hAnsi="Times New Roman" w:cs="Times New Roman"/>
          <w:sz w:val="28"/>
          <w:szCs w:val="28"/>
          <w:lang w:val="es-ES_tradnl"/>
        </w:rPr>
        <w:footnoteReference w:id="17"/>
      </w:r>
      <w:r w:rsidRPr="004530CF">
        <w:rPr>
          <w:rFonts w:ascii="Times New Roman" w:eastAsia="Times New Roman" w:hAnsi="Times New Roman" w:cs="Times New Roman"/>
          <w:sz w:val="28"/>
          <w:szCs w:val="28"/>
          <w:lang w:val="es-ES_tradnl"/>
        </w:rPr>
        <w:t>. </w:t>
      </w:r>
    </w:p>
    <w:p w:rsidR="00667B84" w:rsidRPr="004530CF" w:rsidRDefault="004530CF" w:rsidP="004C7B30">
      <w:pPr>
        <w:pStyle w:val="Prrafodelista"/>
        <w:ind w:left="0"/>
        <w:rPr>
          <w:rFonts w:ascii="Times New Roman" w:hAnsi="Times New Roman" w:cs="Times New Roman"/>
          <w:sz w:val="28"/>
          <w:szCs w:val="28"/>
        </w:rPr>
      </w:pPr>
    </w:p>
    <w:p w:rsidR="00452E2A"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C</w:t>
      </w:r>
      <w:r w:rsidRPr="004530CF">
        <w:rPr>
          <w:rFonts w:ascii="Times New Roman" w:hAnsi="Times New Roman" w:cs="Times New Roman"/>
          <w:sz w:val="28"/>
          <w:szCs w:val="28"/>
        </w:rPr>
        <w:t>omo se desprende de los antecedentes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el demandante formuló tres cargos.</w:t>
      </w:r>
      <w:r w:rsidRPr="004530CF">
        <w:rPr>
          <w:rFonts w:ascii="Times New Roman" w:hAnsi="Times New Roman" w:cs="Times New Roman"/>
          <w:sz w:val="28"/>
          <w:szCs w:val="28"/>
        </w:rPr>
        <w:t xml:space="preserve"> La Sala Plena encuentra que </w:t>
      </w:r>
      <w:r w:rsidRPr="004530CF">
        <w:rPr>
          <w:rFonts w:ascii="Times New Roman" w:hAnsi="Times New Roman" w:cs="Times New Roman"/>
          <w:sz w:val="28"/>
          <w:szCs w:val="28"/>
        </w:rPr>
        <w:t>el segundo y el tercer cargo</w:t>
      </w:r>
      <w:r w:rsidRPr="004530CF">
        <w:rPr>
          <w:rFonts w:ascii="Times New Roman" w:hAnsi="Times New Roman" w:cs="Times New Roman"/>
          <w:sz w:val="28"/>
          <w:szCs w:val="28"/>
        </w:rPr>
        <w:t xml:space="preserve"> no</w:t>
      </w:r>
      <w:r w:rsidRPr="004530CF">
        <w:rPr>
          <w:rFonts w:ascii="Times New Roman" w:hAnsi="Times New Roman" w:cs="Times New Roman"/>
          <w:sz w:val="28"/>
          <w:szCs w:val="28"/>
        </w:rPr>
        <w:t xml:space="preserve"> satisfacen</w:t>
      </w:r>
      <w:r w:rsidRPr="004530CF">
        <w:rPr>
          <w:rFonts w:ascii="Times New Roman" w:hAnsi="Times New Roman" w:cs="Times New Roman"/>
          <w:sz w:val="28"/>
          <w:szCs w:val="28"/>
        </w:rPr>
        <w:t xml:space="preserve"> las condiciones mínimas </w:t>
      </w:r>
      <w:r w:rsidRPr="004530CF">
        <w:rPr>
          <w:rFonts w:ascii="Times New Roman" w:hAnsi="Times New Roman" w:cs="Times New Roman"/>
          <w:sz w:val="28"/>
          <w:szCs w:val="28"/>
        </w:rPr>
        <w:t xml:space="preserve">para que sea posible </w:t>
      </w:r>
      <w:r w:rsidRPr="004530CF">
        <w:rPr>
          <w:rFonts w:ascii="Times New Roman" w:hAnsi="Times New Roman" w:cs="Times New Roman"/>
          <w:sz w:val="28"/>
          <w:szCs w:val="28"/>
        </w:rPr>
        <w:t xml:space="preserve">adoptar </w:t>
      </w:r>
      <w:r w:rsidRPr="004530CF">
        <w:rPr>
          <w:rFonts w:ascii="Times New Roman" w:hAnsi="Times New Roman" w:cs="Times New Roman"/>
          <w:sz w:val="28"/>
          <w:szCs w:val="28"/>
        </w:rPr>
        <w:t xml:space="preserve">un pronunciamiento de </w:t>
      </w:r>
      <w:r w:rsidRPr="004530CF">
        <w:rPr>
          <w:rFonts w:ascii="Times New Roman" w:hAnsi="Times New Roman" w:cs="Times New Roman"/>
          <w:sz w:val="28"/>
          <w:szCs w:val="28"/>
        </w:rPr>
        <w:t>fondo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Con el propósito de fundamentar esta conclusión,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la Corte </w:t>
      </w:r>
      <w:r w:rsidRPr="004530CF">
        <w:rPr>
          <w:rFonts w:ascii="Times New Roman" w:hAnsi="Times New Roman" w:cs="Times New Roman"/>
          <w:sz w:val="28"/>
          <w:szCs w:val="28"/>
        </w:rPr>
        <w:t>sintetizará el contenido básico de cada uno de</w:t>
      </w:r>
      <w:r w:rsidRPr="004530CF">
        <w:rPr>
          <w:rFonts w:ascii="Times New Roman" w:hAnsi="Times New Roman" w:cs="Times New Roman"/>
          <w:sz w:val="28"/>
          <w:szCs w:val="28"/>
        </w:rPr>
        <w:t xml:space="preserve"> ellos</w:t>
      </w:r>
      <w:r w:rsidRPr="004530CF">
        <w:rPr>
          <w:rFonts w:ascii="Times New Roman" w:hAnsi="Times New Roman" w:cs="Times New Roman"/>
          <w:sz w:val="28"/>
          <w:szCs w:val="28"/>
        </w:rPr>
        <w:t xml:space="preserve"> y, a continuación,</w:t>
      </w:r>
      <w:r w:rsidRPr="004530CF">
        <w:rPr>
          <w:rFonts w:ascii="Times New Roman" w:hAnsi="Times New Roman" w:cs="Times New Roman"/>
          <w:sz w:val="28"/>
          <w:szCs w:val="28"/>
        </w:rPr>
        <w:t xml:space="preserve"> precisará</w:t>
      </w:r>
      <w:r w:rsidRPr="004530CF">
        <w:rPr>
          <w:rFonts w:ascii="Times New Roman" w:hAnsi="Times New Roman" w:cs="Times New Roman"/>
          <w:sz w:val="28"/>
          <w:szCs w:val="28"/>
        </w:rPr>
        <w:t xml:space="preserve"> las razones por las cuales no cumplen</w:t>
      </w:r>
      <w:r w:rsidRPr="004530CF">
        <w:rPr>
          <w:rFonts w:ascii="Times New Roman" w:hAnsi="Times New Roman" w:cs="Times New Roman"/>
          <w:sz w:val="28"/>
          <w:szCs w:val="28"/>
        </w:rPr>
        <w:t xml:space="preserve"> el requisito </w:t>
      </w:r>
      <w:r w:rsidRPr="004530CF">
        <w:rPr>
          <w:rFonts w:ascii="Times New Roman" w:hAnsi="Times New Roman" w:cs="Times New Roman"/>
          <w:sz w:val="28"/>
          <w:szCs w:val="28"/>
        </w:rPr>
        <w:t xml:space="preserve">de especificidad.  </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4343E6"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b/>
          <w:sz w:val="28"/>
          <w:szCs w:val="28"/>
        </w:rPr>
        <w:t xml:space="preserve">El </w:t>
      </w:r>
      <w:r w:rsidRPr="004530CF">
        <w:rPr>
          <w:rFonts w:ascii="Times New Roman" w:hAnsi="Times New Roman" w:cs="Times New Roman"/>
          <w:b/>
          <w:sz w:val="28"/>
          <w:szCs w:val="28"/>
        </w:rPr>
        <w:t xml:space="preserve">segundo </w:t>
      </w:r>
      <w:r w:rsidRPr="004530CF">
        <w:rPr>
          <w:rFonts w:ascii="Times New Roman" w:hAnsi="Times New Roman" w:cs="Times New Roman"/>
          <w:b/>
          <w:sz w:val="28"/>
          <w:szCs w:val="28"/>
        </w:rPr>
        <w:t>cargo sostiene que la di</w:t>
      </w:r>
      <w:r w:rsidRPr="004530CF">
        <w:rPr>
          <w:rFonts w:ascii="Times New Roman" w:hAnsi="Times New Roman" w:cs="Times New Roman"/>
          <w:b/>
          <w:sz w:val="28"/>
          <w:szCs w:val="28"/>
        </w:rPr>
        <w:t>sposición demandada desconoce el artículo 23.2 de la</w:t>
      </w:r>
      <w:r w:rsidRPr="004530CF">
        <w:rPr>
          <w:rFonts w:ascii="Times New Roman" w:hAnsi="Times New Roman" w:cs="Times New Roman"/>
          <w:b/>
          <w:sz w:val="28"/>
          <w:szCs w:val="28"/>
        </w:rPr>
        <w:t xml:space="preserve"> CADH</w:t>
      </w:r>
      <w:r w:rsidRPr="004530CF">
        <w:rPr>
          <w:rFonts w:ascii="Times New Roman" w:hAnsi="Times New Roman" w:cs="Times New Roman"/>
          <w:sz w:val="28"/>
          <w:szCs w:val="28"/>
        </w:rPr>
        <w:t>. E</w:t>
      </w:r>
      <w:r w:rsidRPr="004530CF">
        <w:rPr>
          <w:rFonts w:ascii="Times New Roman" w:hAnsi="Times New Roman" w:cs="Times New Roman"/>
          <w:sz w:val="28"/>
          <w:szCs w:val="28"/>
        </w:rPr>
        <w:t xml:space="preserve">n síntesis, </w:t>
      </w:r>
      <w:r w:rsidRPr="004530CF">
        <w:rPr>
          <w:rFonts w:ascii="Times New Roman" w:hAnsi="Times New Roman" w:cs="Times New Roman"/>
          <w:sz w:val="28"/>
          <w:szCs w:val="28"/>
        </w:rPr>
        <w:t xml:space="preserve">afirma </w:t>
      </w:r>
      <w:r w:rsidRPr="004530CF">
        <w:rPr>
          <w:rFonts w:ascii="Times New Roman" w:hAnsi="Times New Roman" w:cs="Times New Roman"/>
          <w:sz w:val="28"/>
          <w:szCs w:val="28"/>
        </w:rPr>
        <w:t xml:space="preserve">que la nulidad electoral implica una restricción a los derechos políticos de los funcionarios </w:t>
      </w:r>
      <w:r w:rsidRPr="004530CF">
        <w:rPr>
          <w:rFonts w:ascii="Times New Roman" w:hAnsi="Times New Roman" w:cs="Times New Roman"/>
          <w:sz w:val="28"/>
          <w:szCs w:val="28"/>
        </w:rPr>
        <w:t>referidos en</w:t>
      </w:r>
      <w:r w:rsidRPr="004530CF">
        <w:rPr>
          <w:rFonts w:ascii="Times New Roman" w:hAnsi="Times New Roman" w:cs="Times New Roman"/>
          <w:sz w:val="28"/>
          <w:szCs w:val="28"/>
        </w:rPr>
        <w:t xml:space="preserve"> el enunciado demandado</w:t>
      </w:r>
      <w:r w:rsidRPr="004530CF">
        <w:rPr>
          <w:rFonts w:ascii="Times New Roman" w:hAnsi="Times New Roman" w:cs="Times New Roman"/>
          <w:sz w:val="28"/>
          <w:szCs w:val="28"/>
        </w:rPr>
        <w:t>, por lo que resulta necesaria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la aplicación de </w:t>
      </w:r>
      <w:r w:rsidRPr="004530CF">
        <w:rPr>
          <w:rFonts w:ascii="Times New Roman" w:hAnsi="Times New Roman" w:cs="Times New Roman"/>
          <w:sz w:val="28"/>
          <w:szCs w:val="28"/>
        </w:rPr>
        <w:t>las garantías del proceso penal</w:t>
      </w:r>
      <w:r w:rsidRPr="004530CF">
        <w:rPr>
          <w:rFonts w:ascii="Times New Roman" w:hAnsi="Times New Roman" w:cs="Times New Roman"/>
          <w:sz w:val="28"/>
          <w:szCs w:val="28"/>
        </w:rPr>
        <w:t>, en particular la doble instancia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el </w:t>
      </w:r>
      <w:r w:rsidRPr="004530CF">
        <w:rPr>
          <w:rFonts w:ascii="Times New Roman" w:hAnsi="Times New Roman" w:cs="Times New Roman"/>
          <w:sz w:val="28"/>
          <w:szCs w:val="28"/>
        </w:rPr>
        <w:t>escrito de corrección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el demandante</w:t>
      </w:r>
      <w:r w:rsidRPr="004530CF">
        <w:rPr>
          <w:rFonts w:ascii="Times New Roman" w:hAnsi="Times New Roman" w:cs="Times New Roman"/>
          <w:sz w:val="28"/>
          <w:szCs w:val="28"/>
        </w:rPr>
        <w:t xml:space="preserve"> indic</w:t>
      </w:r>
      <w:r w:rsidRPr="004530CF">
        <w:rPr>
          <w:rFonts w:ascii="Times New Roman" w:hAnsi="Times New Roman" w:cs="Times New Roman"/>
          <w:sz w:val="28"/>
          <w:szCs w:val="28"/>
        </w:rPr>
        <w:t>ó</w:t>
      </w:r>
      <w:r w:rsidRPr="004530CF">
        <w:rPr>
          <w:rFonts w:ascii="Times New Roman" w:hAnsi="Times New Roman" w:cs="Times New Roman"/>
          <w:sz w:val="28"/>
          <w:szCs w:val="28"/>
        </w:rPr>
        <w:t xml:space="preserve"> que “[n]</w:t>
      </w:r>
      <w:r w:rsidRPr="004530CF">
        <w:rPr>
          <w:rFonts w:ascii="Times New Roman" w:hAnsi="Times New Roman" w:cs="Times New Roman"/>
          <w:i/>
          <w:iCs/>
          <w:sz w:val="28"/>
          <w:szCs w:val="28"/>
        </w:rPr>
        <w:t xml:space="preserve">o es admisible ni en el orden legal ni en el supranacional la existencia de procesos judiciales de única instancia en el que se </w:t>
      </w:r>
      <w:r w:rsidRPr="004530CF">
        <w:rPr>
          <w:rFonts w:ascii="Times New Roman" w:hAnsi="Times New Roman" w:cs="Times New Roman"/>
          <w:i/>
          <w:iCs/>
          <w:sz w:val="28"/>
          <w:szCs w:val="28"/>
        </w:rPr>
        <w:t>diriman asuntos que puedan implicar la limitación de los derechos políticos</w:t>
      </w:r>
      <w:r w:rsidRPr="004530CF">
        <w:rPr>
          <w:rFonts w:ascii="Times New Roman" w:hAnsi="Times New Roman" w:cs="Times New Roman"/>
          <w:sz w:val="28"/>
          <w:szCs w:val="28"/>
        </w:rPr>
        <w:t>”.</w:t>
      </w:r>
      <w:r w:rsidRPr="004530CF">
        <w:rPr>
          <w:rFonts w:ascii="Times New Roman" w:hAnsi="Times New Roman" w:cs="Times New Roman"/>
          <w:sz w:val="28"/>
        </w:rPr>
        <w:t xml:space="preserve"> </w:t>
      </w:r>
      <w:r w:rsidRPr="004530CF">
        <w:rPr>
          <w:rFonts w:ascii="Times New Roman" w:hAnsi="Times New Roman" w:cs="Times New Roman"/>
          <w:sz w:val="28"/>
          <w:szCs w:val="28"/>
        </w:rPr>
        <w:t>Con el propósito de fundamentar esta conclusión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la acusación</w:t>
      </w:r>
      <w:r w:rsidRPr="004530CF">
        <w:rPr>
          <w:rFonts w:ascii="Times New Roman" w:hAnsi="Times New Roman" w:cs="Times New Roman"/>
          <w:sz w:val="28"/>
          <w:szCs w:val="28"/>
        </w:rPr>
        <w:t xml:space="preserve"> presenta un razonamiento de cuatro </w:t>
      </w:r>
      <w:r w:rsidRPr="004530CF">
        <w:rPr>
          <w:rFonts w:ascii="Times New Roman" w:hAnsi="Times New Roman" w:cs="Times New Roman"/>
          <w:sz w:val="28"/>
          <w:szCs w:val="28"/>
        </w:rPr>
        <w:t>etapas.</w:t>
      </w:r>
    </w:p>
    <w:p w:rsidR="00667B84" w:rsidRPr="004530CF" w:rsidRDefault="004530CF" w:rsidP="004C7B30">
      <w:pPr>
        <w:pStyle w:val="Prrafodelista"/>
        <w:ind w:left="0"/>
        <w:rPr>
          <w:rFonts w:ascii="Times New Roman" w:hAnsi="Times New Roman" w:cs="Times New Roman"/>
          <w:sz w:val="28"/>
          <w:szCs w:val="28"/>
        </w:rPr>
      </w:pPr>
    </w:p>
    <w:p w:rsidR="005D0979"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En la primera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destaca la importancia que en el sistema interamericano ti</w:t>
      </w:r>
      <w:r w:rsidRPr="004530CF">
        <w:rPr>
          <w:rFonts w:ascii="Times New Roman" w:hAnsi="Times New Roman" w:cs="Times New Roman"/>
          <w:sz w:val="28"/>
          <w:szCs w:val="28"/>
        </w:rPr>
        <w:t>enen los derechos políticos</w:t>
      </w:r>
      <w:r w:rsidRPr="004530CF">
        <w:rPr>
          <w:rFonts w:ascii="Times New Roman" w:hAnsi="Times New Roman" w:cs="Times New Roman"/>
          <w:sz w:val="28"/>
          <w:szCs w:val="28"/>
        </w:rPr>
        <w:t xml:space="preserve"> y</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defin</w:t>
      </w:r>
      <w:r w:rsidRPr="004530CF">
        <w:rPr>
          <w:rFonts w:ascii="Times New Roman" w:hAnsi="Times New Roman" w:cs="Times New Roman"/>
          <w:sz w:val="28"/>
          <w:szCs w:val="28"/>
        </w:rPr>
        <w:t>e</w:t>
      </w:r>
      <w:r w:rsidRPr="004530CF">
        <w:rPr>
          <w:rFonts w:ascii="Times New Roman" w:hAnsi="Times New Roman" w:cs="Times New Roman"/>
          <w:sz w:val="28"/>
          <w:szCs w:val="28"/>
        </w:rPr>
        <w:t xml:space="preserve"> los que, a su juicio, son los estándares </w:t>
      </w:r>
      <w:r w:rsidRPr="004530CF">
        <w:rPr>
          <w:rFonts w:ascii="Times New Roman" w:hAnsi="Times New Roman" w:cs="Times New Roman"/>
          <w:sz w:val="28"/>
          <w:szCs w:val="28"/>
        </w:rPr>
        <w:t>para su</w:t>
      </w:r>
      <w:r w:rsidRPr="004530CF">
        <w:rPr>
          <w:rFonts w:ascii="Times New Roman" w:hAnsi="Times New Roman" w:cs="Times New Roman"/>
          <w:sz w:val="28"/>
          <w:szCs w:val="28"/>
        </w:rPr>
        <w:t xml:space="preserve"> protección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esa dirección refiere</w:t>
      </w:r>
      <w:r w:rsidRPr="004530CF">
        <w:rPr>
          <w:rFonts w:ascii="Times New Roman" w:hAnsi="Times New Roman" w:cs="Times New Roman"/>
          <w:sz w:val="28"/>
          <w:szCs w:val="28"/>
        </w:rPr>
        <w:t xml:space="preserve"> (i) la forma en que han </w:t>
      </w:r>
      <w:r w:rsidRPr="004530CF">
        <w:rPr>
          <w:rFonts w:ascii="Times New Roman" w:hAnsi="Times New Roman" w:cs="Times New Roman"/>
          <w:sz w:val="28"/>
          <w:szCs w:val="28"/>
        </w:rPr>
        <w:t>sido reconocidos y entendido</w:t>
      </w:r>
      <w:r w:rsidRPr="004530CF">
        <w:rPr>
          <w:rFonts w:ascii="Times New Roman" w:hAnsi="Times New Roman" w:cs="Times New Roman"/>
          <w:sz w:val="28"/>
          <w:szCs w:val="28"/>
        </w:rPr>
        <w:t>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en la jurisprudencia de la C</w:t>
      </w:r>
      <w:r w:rsidRPr="004530CF">
        <w:rPr>
          <w:rFonts w:ascii="Times New Roman" w:hAnsi="Times New Roman" w:cs="Times New Roman"/>
          <w:sz w:val="28"/>
          <w:szCs w:val="28"/>
        </w:rPr>
        <w:t xml:space="preserve">orte </w:t>
      </w:r>
      <w:r w:rsidRPr="004530CF">
        <w:rPr>
          <w:rFonts w:ascii="Times New Roman" w:hAnsi="Times New Roman" w:cs="Times New Roman"/>
          <w:sz w:val="28"/>
          <w:szCs w:val="28"/>
        </w:rPr>
        <w:t>IDH</w:t>
      </w:r>
      <w:r w:rsidRPr="004530CF">
        <w:rPr>
          <w:rFonts w:ascii="Times New Roman" w:hAnsi="Times New Roman" w:cs="Times New Roman"/>
          <w:sz w:val="28"/>
          <w:szCs w:val="28"/>
        </w:rPr>
        <w:t xml:space="preserve">, así como </w:t>
      </w:r>
      <w:r w:rsidRPr="004530CF">
        <w:rPr>
          <w:rFonts w:ascii="Times New Roman" w:hAnsi="Times New Roman" w:cs="Times New Roman"/>
          <w:sz w:val="28"/>
          <w:szCs w:val="28"/>
        </w:rPr>
        <w:t xml:space="preserve">(ii) el tipo de razones que pueden invocarse para </w:t>
      </w:r>
      <w:r w:rsidRPr="004530CF">
        <w:rPr>
          <w:rFonts w:ascii="Times New Roman" w:hAnsi="Times New Roman" w:cs="Times New Roman"/>
          <w:sz w:val="28"/>
          <w:szCs w:val="28"/>
        </w:rPr>
        <w:t>limitarlos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según lo establecido en el artículo 23.2 de la Convención</w:t>
      </w:r>
      <w:r w:rsidRPr="004530CF">
        <w:rPr>
          <w:rFonts w:ascii="Times New Roman" w:hAnsi="Times New Roman" w:cs="Times New Roman"/>
          <w:sz w:val="28"/>
          <w:szCs w:val="28"/>
        </w:rPr>
        <w:t>. Luego de ello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señala que </w:t>
      </w:r>
      <w:r w:rsidRPr="004530CF">
        <w:rPr>
          <w:rFonts w:ascii="Times New Roman" w:hAnsi="Times New Roman" w:cs="Times New Roman"/>
          <w:sz w:val="28"/>
          <w:szCs w:val="28"/>
        </w:rPr>
        <w:t>(iii)</w:t>
      </w:r>
      <w:r w:rsidRPr="004530CF">
        <w:rPr>
          <w:rFonts w:ascii="Times New Roman" w:hAnsi="Times New Roman" w:cs="Times New Roman"/>
          <w:sz w:val="28"/>
          <w:szCs w:val="28"/>
        </w:rPr>
        <w:t xml:space="preserve"> teniendo en cuenta</w:t>
      </w:r>
      <w:r w:rsidRPr="004530CF">
        <w:rPr>
          <w:rFonts w:ascii="Times New Roman" w:hAnsi="Times New Roman" w:cs="Times New Roman"/>
          <w:sz w:val="28"/>
        </w:rPr>
        <w:t xml:space="preserve"> </w:t>
      </w:r>
      <w:r w:rsidRPr="004530CF">
        <w:rPr>
          <w:rFonts w:ascii="Times New Roman" w:hAnsi="Times New Roman" w:cs="Times New Roman"/>
          <w:sz w:val="28"/>
          <w:szCs w:val="28"/>
        </w:rPr>
        <w:t xml:space="preserve">que </w:t>
      </w:r>
      <w:r w:rsidRPr="004530CF">
        <w:rPr>
          <w:rFonts w:ascii="Times New Roman" w:hAnsi="Times New Roman" w:cs="Times New Roman"/>
          <w:sz w:val="28"/>
          <w:szCs w:val="28"/>
        </w:rPr>
        <w:t>“</w:t>
      </w:r>
      <w:r w:rsidRPr="004530CF">
        <w:rPr>
          <w:rFonts w:ascii="Times New Roman" w:hAnsi="Times New Roman" w:cs="Times New Roman"/>
          <w:i/>
          <w:sz w:val="28"/>
          <w:szCs w:val="28"/>
        </w:rPr>
        <w:t>la interpretación actual de la Corte Interamericana de Derechos Humanos evita q</w:t>
      </w:r>
      <w:r w:rsidRPr="004530CF">
        <w:rPr>
          <w:rFonts w:ascii="Times New Roman" w:hAnsi="Times New Roman" w:cs="Times New Roman"/>
          <w:i/>
          <w:sz w:val="28"/>
          <w:szCs w:val="28"/>
        </w:rPr>
        <w:t>ue un juez distinto al de la jurisdicción penal conozca de procesos en los cuales se discutan derechos políticos por la interpretación literal que hacen del artículo 23.2 de la CADH</w:t>
      </w:r>
      <w:r w:rsidRPr="004530CF">
        <w:rPr>
          <w:rFonts w:ascii="Times New Roman" w:hAnsi="Times New Roman" w:cs="Times New Roman"/>
          <w:i/>
          <w:sz w:val="28"/>
          <w:szCs w:val="28"/>
        </w:rPr>
        <w:t xml:space="preserve"> </w:t>
      </w:r>
      <w:r w:rsidRPr="004530CF">
        <w:rPr>
          <w:rFonts w:ascii="Times New Roman" w:hAnsi="Times New Roman" w:cs="Times New Roman"/>
          <w:sz w:val="28"/>
          <w:szCs w:val="28"/>
        </w:rPr>
        <w:t xml:space="preserve">(…) </w:t>
      </w:r>
      <w:r w:rsidRPr="004530CF">
        <w:rPr>
          <w:rFonts w:ascii="Times New Roman" w:hAnsi="Times New Roman" w:cs="Times New Roman"/>
          <w:i/>
          <w:sz w:val="28"/>
          <w:szCs w:val="28"/>
        </w:rPr>
        <w:t>se puede legítimamente concluir que la Corte IDH declararía como incon</w:t>
      </w:r>
      <w:r w:rsidRPr="004530CF">
        <w:rPr>
          <w:rFonts w:ascii="Times New Roman" w:hAnsi="Times New Roman" w:cs="Times New Roman"/>
          <w:i/>
          <w:sz w:val="28"/>
          <w:szCs w:val="28"/>
        </w:rPr>
        <w:t>vencionales la posibilidad de procesos de única instancia que signifique</w:t>
      </w:r>
      <w:r w:rsidRPr="004530CF">
        <w:rPr>
          <w:rFonts w:ascii="Times New Roman" w:hAnsi="Times New Roman" w:cs="Times New Roman"/>
          <w:i/>
          <w:sz w:val="28"/>
          <w:szCs w:val="28"/>
        </w:rPr>
        <w:t>n</w:t>
      </w:r>
      <w:r w:rsidRPr="004530CF">
        <w:rPr>
          <w:rFonts w:ascii="Times New Roman" w:hAnsi="Times New Roman" w:cs="Times New Roman"/>
          <w:i/>
          <w:sz w:val="28"/>
          <w:szCs w:val="28"/>
        </w:rPr>
        <w:t xml:space="preserve"> la posibilidad de limitar derechos políticos</w:t>
      </w:r>
      <w:r w:rsidRPr="004530CF">
        <w:rPr>
          <w:rFonts w:ascii="Times New Roman" w:hAnsi="Times New Roman" w:cs="Times New Roman"/>
          <w:sz w:val="28"/>
          <w:szCs w:val="28"/>
        </w:rPr>
        <w:t>”</w:t>
      </w:r>
      <w:r w:rsidRPr="004530CF">
        <w:rPr>
          <w:rFonts w:ascii="Times New Roman" w:hAnsi="Times New Roman" w:cs="Times New Roman"/>
          <w:sz w:val="28"/>
        </w:rPr>
        <w:t xml:space="preserve">. </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B21913"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En la segunda etapa la demanda presenta los que, a su juicio,</w:t>
      </w:r>
      <w:r w:rsidRPr="004530CF">
        <w:rPr>
          <w:rFonts w:ascii="Times New Roman" w:hAnsi="Times New Roman" w:cs="Times New Roman"/>
          <w:sz w:val="28"/>
          <w:szCs w:val="28"/>
        </w:rPr>
        <w:t xml:space="preserve"> conforman</w:t>
      </w:r>
      <w:r w:rsidRPr="004530CF">
        <w:rPr>
          <w:rFonts w:ascii="Times New Roman" w:hAnsi="Times New Roman" w:cs="Times New Roman"/>
          <w:sz w:val="28"/>
          <w:szCs w:val="28"/>
        </w:rPr>
        <w:t xml:space="preserve"> los estándares nacionales de protección de los derechos p</w:t>
      </w:r>
      <w:r w:rsidRPr="004530CF">
        <w:rPr>
          <w:rFonts w:ascii="Times New Roman" w:hAnsi="Times New Roman" w:cs="Times New Roman"/>
          <w:sz w:val="28"/>
          <w:szCs w:val="28"/>
        </w:rPr>
        <w:t>olíticos. Precisa que luego de la sentencia de la Corte Interamericana en el caso Petro Orrego Vs. Colombia, la Corte Constitucional ha precisado el alcance de esa protección</w:t>
      </w:r>
      <w:r w:rsidRPr="004530CF">
        <w:rPr>
          <w:rFonts w:ascii="Times New Roman" w:hAnsi="Times New Roman" w:cs="Times New Roman"/>
          <w:sz w:val="28"/>
          <w:szCs w:val="28"/>
        </w:rPr>
        <w:t>. En esa dirección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sostiene</w:t>
      </w:r>
      <w:r w:rsidRPr="004530CF">
        <w:rPr>
          <w:rFonts w:ascii="Times New Roman" w:hAnsi="Times New Roman" w:cs="Times New Roman"/>
          <w:sz w:val="28"/>
          <w:szCs w:val="28"/>
        </w:rPr>
        <w:t xml:space="preserve"> que “</w:t>
      </w:r>
      <w:r w:rsidRPr="004530CF">
        <w:rPr>
          <w:rFonts w:ascii="Times New Roman" w:hAnsi="Times New Roman" w:cs="Times New Roman"/>
          <w:i/>
          <w:iCs/>
          <w:sz w:val="28"/>
          <w:szCs w:val="28"/>
        </w:rPr>
        <w:t>las sentencias C-030 de 2023 y C-146 de 2021 (…)</w:t>
      </w:r>
      <w:r w:rsidRPr="004530CF">
        <w:rPr>
          <w:rFonts w:ascii="Times New Roman" w:hAnsi="Times New Roman" w:cs="Times New Roman"/>
          <w:i/>
          <w:iCs/>
          <w:sz w:val="28"/>
          <w:szCs w:val="28"/>
        </w:rPr>
        <w:t xml:space="preserve"> interpretan el artículo 23.2 de la CADH de una manera diferente a la que la hace la Corte Interamericana de Derechos Humanos</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5B641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A continuación, en la tercera etapa, </w:t>
      </w:r>
      <w:r w:rsidRPr="004530CF">
        <w:rPr>
          <w:rFonts w:ascii="Times New Roman" w:hAnsi="Times New Roman" w:cs="Times New Roman"/>
          <w:sz w:val="28"/>
          <w:szCs w:val="28"/>
        </w:rPr>
        <w:t xml:space="preserve">el demandante </w:t>
      </w:r>
      <w:r w:rsidRPr="004530CF">
        <w:rPr>
          <w:rFonts w:ascii="Times New Roman" w:hAnsi="Times New Roman" w:cs="Times New Roman"/>
          <w:sz w:val="28"/>
          <w:szCs w:val="28"/>
        </w:rPr>
        <w:t xml:space="preserve">analiza la relación existente entre </w:t>
      </w:r>
      <w:r w:rsidRPr="004530CF">
        <w:rPr>
          <w:rFonts w:ascii="Times New Roman" w:hAnsi="Times New Roman" w:cs="Times New Roman"/>
          <w:sz w:val="28"/>
          <w:szCs w:val="28"/>
        </w:rPr>
        <w:t xml:space="preserve">el medio de control de </w:t>
      </w:r>
      <w:r w:rsidRPr="004530CF">
        <w:rPr>
          <w:rFonts w:ascii="Times New Roman" w:hAnsi="Times New Roman" w:cs="Times New Roman"/>
          <w:sz w:val="28"/>
          <w:szCs w:val="28"/>
        </w:rPr>
        <w:t xml:space="preserve">nulidad </w:t>
      </w:r>
      <w:r w:rsidRPr="004530CF">
        <w:rPr>
          <w:rFonts w:ascii="Times New Roman" w:hAnsi="Times New Roman" w:cs="Times New Roman"/>
          <w:sz w:val="28"/>
          <w:szCs w:val="28"/>
        </w:rPr>
        <w:t>electoral y los derechos políticos. Luego de caracterizar</w:t>
      </w:r>
      <w:r w:rsidRPr="004530CF">
        <w:rPr>
          <w:rFonts w:ascii="Times New Roman" w:hAnsi="Times New Roman" w:cs="Times New Roman"/>
          <w:sz w:val="28"/>
          <w:szCs w:val="28"/>
        </w:rPr>
        <w:t xml:space="preserve">la e identificar </w:t>
      </w:r>
      <w:r w:rsidRPr="004530CF">
        <w:rPr>
          <w:rFonts w:ascii="Times New Roman" w:hAnsi="Times New Roman" w:cs="Times New Roman"/>
          <w:sz w:val="28"/>
          <w:szCs w:val="28"/>
        </w:rPr>
        <w:t xml:space="preserve">sus propósitos, indica </w:t>
      </w:r>
      <w:r w:rsidRPr="004530CF">
        <w:rPr>
          <w:rFonts w:ascii="Times New Roman" w:hAnsi="Times New Roman" w:cs="Times New Roman"/>
          <w:sz w:val="28"/>
          <w:szCs w:val="28"/>
        </w:rPr>
        <w:t xml:space="preserve">que </w:t>
      </w:r>
      <w:r w:rsidRPr="004530CF">
        <w:rPr>
          <w:rFonts w:ascii="Times New Roman" w:hAnsi="Times New Roman" w:cs="Times New Roman"/>
          <w:sz w:val="28"/>
          <w:szCs w:val="28"/>
        </w:rPr>
        <w:t>dicho medio de control tiene carácter sancionatorio</w:t>
      </w:r>
      <w:r w:rsidRPr="004530CF">
        <w:rPr>
          <w:rFonts w:ascii="Times New Roman" w:hAnsi="Times New Roman" w:cs="Times New Roman"/>
          <w:sz w:val="28"/>
          <w:szCs w:val="28"/>
        </w:rPr>
        <w:t xml:space="preserve"> refiriendo, para </w:t>
      </w:r>
      <w:r w:rsidRPr="004530CF">
        <w:rPr>
          <w:rFonts w:ascii="Times New Roman" w:hAnsi="Times New Roman" w:cs="Times New Roman"/>
          <w:sz w:val="28"/>
          <w:szCs w:val="28"/>
        </w:rPr>
        <w:t>a</w:t>
      </w:r>
      <w:r w:rsidRPr="004530CF">
        <w:rPr>
          <w:rFonts w:ascii="Times New Roman" w:hAnsi="Times New Roman" w:cs="Times New Roman"/>
          <w:sz w:val="28"/>
          <w:szCs w:val="28"/>
        </w:rPr>
        <w:t>poyar su argumento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a </w:t>
      </w:r>
      <w:r w:rsidRPr="004530CF">
        <w:rPr>
          <w:rFonts w:ascii="Times New Roman" w:hAnsi="Times New Roman" w:cs="Times New Roman"/>
          <w:sz w:val="28"/>
          <w:szCs w:val="28"/>
        </w:rPr>
        <w:t xml:space="preserve">las sentencias </w:t>
      </w:r>
      <w:r w:rsidRPr="004530CF">
        <w:rPr>
          <w:rFonts w:ascii="Times New Roman" w:hAnsi="Times New Roman" w:cs="Times New Roman"/>
          <w:sz w:val="28"/>
          <w:szCs w:val="28"/>
        </w:rPr>
        <w:t xml:space="preserve">T-284 de 2006 y </w:t>
      </w:r>
      <w:r w:rsidRPr="004530CF">
        <w:rPr>
          <w:rFonts w:ascii="Times New Roman" w:hAnsi="Times New Roman" w:cs="Times New Roman"/>
          <w:sz w:val="28"/>
          <w:szCs w:val="28"/>
        </w:rPr>
        <w:t>SU-264 de 2015</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de </w:t>
      </w:r>
      <w:r w:rsidRPr="004530CF">
        <w:rPr>
          <w:rFonts w:ascii="Times New Roman" w:hAnsi="Times New Roman" w:cs="Times New Roman"/>
          <w:sz w:val="28"/>
          <w:szCs w:val="28"/>
        </w:rPr>
        <w:t>este Tribunal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Sostiene </w:t>
      </w:r>
      <w:r w:rsidRPr="004530CF">
        <w:rPr>
          <w:rFonts w:ascii="Times New Roman" w:hAnsi="Times New Roman" w:cs="Times New Roman"/>
          <w:sz w:val="28"/>
          <w:szCs w:val="28"/>
        </w:rPr>
        <w:t>que “[l]</w:t>
      </w:r>
      <w:r w:rsidRPr="004530CF">
        <w:rPr>
          <w:rFonts w:ascii="Times New Roman" w:hAnsi="Times New Roman" w:cs="Times New Roman"/>
          <w:i/>
          <w:iCs/>
          <w:sz w:val="28"/>
          <w:szCs w:val="28"/>
        </w:rPr>
        <w:t>a nulidad electoral de un acto de elección es entonces una sanción que tiene la potencialidad de afectar derechos políticos, que cuando se materializa, la persona que inicialmente fue electa en un cargo, debe abandonarlo</w:t>
      </w:r>
      <w:r w:rsidRPr="004530CF">
        <w:rPr>
          <w:rFonts w:ascii="Times New Roman" w:hAnsi="Times New Roman" w:cs="Times New Roman"/>
          <w:sz w:val="28"/>
          <w:szCs w:val="28"/>
        </w:rPr>
        <w:t>”</w:t>
      </w:r>
      <w:r w:rsidRPr="004530CF">
        <w:rPr>
          <w:rFonts w:ascii="Times New Roman" w:hAnsi="Times New Roman" w:cs="Times New Roman"/>
          <w:sz w:val="28"/>
          <w:szCs w:val="28"/>
        </w:rPr>
        <w:t>.</w:t>
      </w:r>
      <w:r w:rsidRPr="004530CF">
        <w:rPr>
          <w:rFonts w:ascii="Times New Roman" w:hAnsi="Times New Roman" w:cs="Times New Roman"/>
          <w:sz w:val="28"/>
        </w:rPr>
        <w:t xml:space="preserve"> </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Asimismo</w:t>
      </w:r>
      <w:r w:rsidRPr="004530CF">
        <w:rPr>
          <w:rFonts w:ascii="Times New Roman" w:hAnsi="Times New Roman" w:cs="Times New Roman"/>
          <w:sz w:val="28"/>
          <w:szCs w:val="28"/>
        </w:rPr>
        <w:t>, seña</w:t>
      </w:r>
      <w:r w:rsidRPr="004530CF">
        <w:rPr>
          <w:rFonts w:ascii="Times New Roman" w:hAnsi="Times New Roman" w:cs="Times New Roman"/>
          <w:sz w:val="28"/>
          <w:szCs w:val="28"/>
        </w:rPr>
        <w:t>la que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si bien una persona a la que se le anuló una elección puede participar en una posterior, </w:t>
      </w:r>
      <w:r w:rsidRPr="004530CF">
        <w:rPr>
          <w:rFonts w:ascii="Times New Roman" w:hAnsi="Times New Roman" w:cs="Times New Roman"/>
          <w:sz w:val="28"/>
          <w:szCs w:val="28"/>
        </w:rPr>
        <w:t>“</w:t>
      </w:r>
      <w:r w:rsidRPr="004530CF">
        <w:rPr>
          <w:rFonts w:ascii="Times New Roman" w:hAnsi="Times New Roman" w:cs="Times New Roman"/>
          <w:i/>
          <w:iCs/>
          <w:sz w:val="28"/>
          <w:szCs w:val="28"/>
        </w:rPr>
        <w:t xml:space="preserve">sobre </w:t>
      </w:r>
      <w:r w:rsidRPr="004530CF">
        <w:rPr>
          <w:rFonts w:ascii="Times New Roman" w:hAnsi="Times New Roman" w:cs="Times New Roman"/>
          <w:i/>
          <w:iCs/>
          <w:sz w:val="28"/>
          <w:szCs w:val="28"/>
        </w:rPr>
        <w:t xml:space="preserve">el cargo para el cual fue elegida en esa elección en específico no puede volver, por lo que, ahí se concreta un daño al derecho político a ser elegido, </w:t>
      </w:r>
      <w:r w:rsidRPr="004530CF">
        <w:rPr>
          <w:rFonts w:ascii="Times New Roman" w:hAnsi="Times New Roman" w:cs="Times New Roman"/>
          <w:i/>
          <w:iCs/>
          <w:sz w:val="28"/>
          <w:szCs w:val="28"/>
        </w:rPr>
        <w:t>no con aspiraciones hacia el futuro, sino hacia el presente de poder seguir estando en el mencionado puesto</w:t>
      </w:r>
      <w:r w:rsidRPr="004530CF">
        <w:rPr>
          <w:rFonts w:ascii="Times New Roman" w:hAnsi="Times New Roman" w:cs="Times New Roman"/>
          <w:sz w:val="28"/>
          <w:szCs w:val="28"/>
        </w:rPr>
        <w:t>”.</w:t>
      </w:r>
    </w:p>
    <w:p w:rsidR="00667B84" w:rsidRPr="004530CF" w:rsidRDefault="004530CF" w:rsidP="004C7B30">
      <w:pPr>
        <w:pStyle w:val="Prrafodelista"/>
        <w:ind w:left="0"/>
        <w:rPr>
          <w:rFonts w:ascii="Times New Roman" w:hAnsi="Times New Roman" w:cs="Times New Roman"/>
          <w:sz w:val="28"/>
          <w:szCs w:val="28"/>
        </w:rPr>
      </w:pPr>
    </w:p>
    <w:p w:rsidR="00684A6C"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En la última etapa </w:t>
      </w:r>
      <w:r w:rsidRPr="004530CF">
        <w:rPr>
          <w:rFonts w:ascii="Times New Roman" w:hAnsi="Times New Roman" w:cs="Times New Roman"/>
          <w:sz w:val="28"/>
          <w:szCs w:val="28"/>
        </w:rPr>
        <w:t xml:space="preserve">de </w:t>
      </w:r>
      <w:r w:rsidRPr="004530CF">
        <w:rPr>
          <w:rFonts w:ascii="Times New Roman" w:hAnsi="Times New Roman" w:cs="Times New Roman"/>
          <w:sz w:val="28"/>
          <w:szCs w:val="28"/>
        </w:rPr>
        <w:t>la formulación del cargo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el ciudadano presenta los argumentos concretos que, según su opinión, prueban la violación del artículo 23.2 de</w:t>
      </w:r>
      <w:r w:rsidRPr="004530CF">
        <w:rPr>
          <w:rFonts w:ascii="Times New Roman" w:hAnsi="Times New Roman" w:cs="Times New Roman"/>
          <w:sz w:val="28"/>
          <w:szCs w:val="28"/>
        </w:rPr>
        <w:t xml:space="preserve"> la</w:t>
      </w:r>
      <w:r w:rsidRPr="004530CF">
        <w:rPr>
          <w:rFonts w:ascii="Times New Roman" w:hAnsi="Times New Roman" w:cs="Times New Roman"/>
          <w:sz w:val="28"/>
          <w:szCs w:val="28"/>
        </w:rPr>
        <w:t xml:space="preserve"> CADH. </w:t>
      </w:r>
      <w:r w:rsidRPr="004530CF">
        <w:rPr>
          <w:rFonts w:ascii="Times New Roman" w:hAnsi="Times New Roman" w:cs="Times New Roman"/>
          <w:sz w:val="28"/>
          <w:szCs w:val="28"/>
        </w:rPr>
        <w:t>L</w:t>
      </w:r>
      <w:r w:rsidRPr="004530CF">
        <w:rPr>
          <w:rFonts w:ascii="Times New Roman" w:hAnsi="Times New Roman" w:cs="Times New Roman"/>
          <w:sz w:val="28"/>
          <w:szCs w:val="28"/>
        </w:rPr>
        <w:t>uego de precisar que</w:t>
      </w:r>
      <w:r w:rsidRPr="004530CF">
        <w:rPr>
          <w:rFonts w:ascii="Times New Roman" w:hAnsi="Times New Roman" w:cs="Times New Roman"/>
          <w:sz w:val="28"/>
          <w:szCs w:val="28"/>
        </w:rPr>
        <w:t xml:space="preserve"> la finalidad</w:t>
      </w:r>
      <w:r w:rsidRPr="004530CF">
        <w:rPr>
          <w:rFonts w:ascii="Times New Roman" w:hAnsi="Times New Roman" w:cs="Times New Roman"/>
          <w:sz w:val="28"/>
          <w:szCs w:val="28"/>
        </w:rPr>
        <w:t xml:space="preserve"> de la demanda no consiste en cuestionar la competencia del Consejo de Estado para declarar la nulid</w:t>
      </w:r>
      <w:r w:rsidRPr="004530CF">
        <w:rPr>
          <w:rFonts w:ascii="Times New Roman" w:hAnsi="Times New Roman" w:cs="Times New Roman"/>
          <w:sz w:val="28"/>
          <w:szCs w:val="28"/>
        </w:rPr>
        <w:t>ad electoral, indica (i) que no es posible afirmar</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i/>
          <w:sz w:val="28"/>
          <w:szCs w:val="28"/>
        </w:rPr>
        <w:t>ni siquiera acudiendo al margen de apreciación estatal</w:t>
      </w:r>
      <w:r w:rsidRPr="004530CF">
        <w:rPr>
          <w:rFonts w:ascii="Times New Roman" w:hAnsi="Times New Roman" w:cs="Times New Roman"/>
          <w:sz w:val="28"/>
          <w:szCs w:val="28"/>
        </w:rPr>
        <w:t>”</w:t>
      </w:r>
      <w:r w:rsidRPr="004530CF">
        <w:rPr>
          <w:rFonts w:ascii="Times New Roman" w:hAnsi="Times New Roman" w:cs="Times New Roman"/>
          <w:sz w:val="28"/>
          <w:szCs w:val="28"/>
        </w:rPr>
        <w:t>,</w:t>
      </w:r>
      <w:r w:rsidRPr="004530CF">
        <w:rPr>
          <w:rFonts w:ascii="Times New Roman" w:hAnsi="Times New Roman" w:cs="Times New Roman"/>
          <w:i/>
          <w:sz w:val="28"/>
          <w:szCs w:val="28"/>
        </w:rPr>
        <w:t xml:space="preserve"> </w:t>
      </w:r>
      <w:r w:rsidRPr="004530CF">
        <w:rPr>
          <w:rFonts w:ascii="Times New Roman" w:hAnsi="Times New Roman" w:cs="Times New Roman"/>
          <w:sz w:val="28"/>
          <w:szCs w:val="28"/>
        </w:rPr>
        <w:t>que sea compatible con los estándares de derechos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aceptar “</w:t>
      </w:r>
      <w:r w:rsidRPr="004530CF">
        <w:rPr>
          <w:rFonts w:ascii="Times New Roman" w:hAnsi="Times New Roman" w:cs="Times New Roman"/>
          <w:i/>
          <w:sz w:val="28"/>
          <w:szCs w:val="28"/>
        </w:rPr>
        <w:t>que las restricciones a los derechos políticos que realizan los jueces se puedan desar</w:t>
      </w:r>
      <w:r w:rsidRPr="004530CF">
        <w:rPr>
          <w:rFonts w:ascii="Times New Roman" w:hAnsi="Times New Roman" w:cs="Times New Roman"/>
          <w:i/>
          <w:sz w:val="28"/>
          <w:szCs w:val="28"/>
        </w:rPr>
        <w:t>rollar en un proceso de única instancia</w:t>
      </w:r>
      <w:r w:rsidRPr="004530CF">
        <w:rPr>
          <w:rFonts w:ascii="Times New Roman" w:hAnsi="Times New Roman" w:cs="Times New Roman"/>
          <w:sz w:val="28"/>
          <w:szCs w:val="28"/>
        </w:rPr>
        <w:t>”</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Y</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destaca,</w:t>
      </w:r>
      <w:r w:rsidRPr="004530CF">
        <w:rPr>
          <w:rFonts w:ascii="Times New Roman" w:hAnsi="Times New Roman" w:cs="Times New Roman"/>
          <w:sz w:val="28"/>
          <w:szCs w:val="28"/>
        </w:rPr>
        <w:t xml:space="preserve"> (ii)</w:t>
      </w:r>
      <w:r w:rsidRPr="004530CF">
        <w:rPr>
          <w:rFonts w:ascii="Times New Roman" w:hAnsi="Times New Roman" w:cs="Times New Roman"/>
          <w:sz w:val="28"/>
          <w:szCs w:val="28"/>
        </w:rPr>
        <w:t xml:space="preserve"> que ello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w:t>
      </w:r>
      <w:r w:rsidRPr="004530CF">
        <w:rPr>
          <w:rFonts w:ascii="Times New Roman" w:hAnsi="Times New Roman" w:cs="Times New Roman"/>
          <w:bCs/>
          <w:i/>
          <w:sz w:val="28"/>
          <w:szCs w:val="28"/>
        </w:rPr>
        <w:t>contradice el estándar de protección de estos, pues dichos procesos deciden la limitación sobre el derecho político a ser elegido de una persona sin tener todas las garantías propias de u</w:t>
      </w:r>
      <w:r w:rsidRPr="004530CF">
        <w:rPr>
          <w:rFonts w:ascii="Times New Roman" w:hAnsi="Times New Roman" w:cs="Times New Roman"/>
          <w:bCs/>
          <w:i/>
          <w:sz w:val="28"/>
          <w:szCs w:val="28"/>
        </w:rPr>
        <w:t>n proceso penal ante la imposibilidad de poder ejercer adecuadamente el derecho a la defensa en la etapa posterior de la sentencia</w:t>
      </w:r>
      <w:r w:rsidRPr="004530CF">
        <w:rPr>
          <w:rFonts w:ascii="Times New Roman" w:hAnsi="Times New Roman" w:cs="Times New Roman"/>
          <w:bCs/>
          <w:sz w:val="28"/>
          <w:szCs w:val="28"/>
        </w:rPr>
        <w:t>”.</w:t>
      </w:r>
      <w:r w:rsidRPr="004530CF">
        <w:rPr>
          <w:rFonts w:ascii="Times New Roman" w:hAnsi="Times New Roman" w:cs="Times New Roman"/>
          <w:b/>
          <w:bCs/>
          <w:sz w:val="28"/>
          <w:szCs w:val="28"/>
        </w:rPr>
        <w:t xml:space="preserve"> </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684EF8"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b/>
          <w:sz w:val="28"/>
          <w:szCs w:val="28"/>
        </w:rPr>
        <w:t xml:space="preserve">El </w:t>
      </w:r>
      <w:r w:rsidRPr="004530CF">
        <w:rPr>
          <w:rFonts w:ascii="Times New Roman" w:hAnsi="Times New Roman" w:cs="Times New Roman"/>
          <w:b/>
          <w:sz w:val="28"/>
          <w:szCs w:val="28"/>
        </w:rPr>
        <w:t xml:space="preserve">tercer </w:t>
      </w:r>
      <w:r w:rsidRPr="004530CF">
        <w:rPr>
          <w:rFonts w:ascii="Times New Roman" w:hAnsi="Times New Roman" w:cs="Times New Roman"/>
          <w:b/>
          <w:sz w:val="28"/>
          <w:szCs w:val="28"/>
        </w:rPr>
        <w:t>cargo</w:t>
      </w:r>
      <w:r w:rsidRPr="004530CF">
        <w:rPr>
          <w:rFonts w:ascii="Times New Roman" w:hAnsi="Times New Roman" w:cs="Times New Roman"/>
          <w:b/>
          <w:sz w:val="28"/>
          <w:szCs w:val="28"/>
        </w:rPr>
        <w:t xml:space="preserve"> </w:t>
      </w:r>
      <w:r w:rsidRPr="004530CF">
        <w:rPr>
          <w:rFonts w:ascii="Times New Roman" w:hAnsi="Times New Roman" w:cs="Times New Roman"/>
          <w:b/>
          <w:sz w:val="28"/>
          <w:szCs w:val="28"/>
        </w:rPr>
        <w:t xml:space="preserve">afirma la violación de los artículos 29 y 31 de la Constitución, así como el literal h) del numeral 2 del artículo 8 de la CADH y el numeral 5 del artículo 14 del </w:t>
      </w:r>
      <w:r w:rsidRPr="004530CF">
        <w:rPr>
          <w:rFonts w:ascii="Times New Roman" w:eastAsia="Calibri" w:hAnsi="Times New Roman" w:cs="Times New Roman"/>
          <w:b/>
          <w:sz w:val="28"/>
          <w:szCs w:val="28"/>
        </w:rPr>
        <w:t>PIDCP</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Según el demandante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“[l]</w:t>
      </w:r>
      <w:r w:rsidRPr="004530CF">
        <w:rPr>
          <w:rFonts w:ascii="Times New Roman" w:hAnsi="Times New Roman" w:cs="Times New Roman"/>
          <w:i/>
          <w:sz w:val="28"/>
          <w:szCs w:val="28"/>
        </w:rPr>
        <w:t>a disposición legal que permite las atribuciones en única ins</w:t>
      </w:r>
      <w:r w:rsidRPr="004530CF">
        <w:rPr>
          <w:rFonts w:ascii="Times New Roman" w:hAnsi="Times New Roman" w:cs="Times New Roman"/>
          <w:i/>
          <w:sz w:val="28"/>
          <w:szCs w:val="28"/>
        </w:rPr>
        <w:t>tancia del Consejo de Estado en procesos de nulidad electoral son inconstitucionales</w:t>
      </w:r>
      <w:r w:rsidRPr="004530CF">
        <w:rPr>
          <w:rFonts w:ascii="Times New Roman" w:hAnsi="Times New Roman" w:cs="Times New Roman"/>
          <w:sz w:val="28"/>
          <w:szCs w:val="28"/>
        </w:rPr>
        <w:t>[,]</w:t>
      </w:r>
      <w:r w:rsidRPr="004530CF">
        <w:rPr>
          <w:rFonts w:ascii="Times New Roman" w:hAnsi="Times New Roman" w:cs="Times New Roman"/>
          <w:i/>
          <w:sz w:val="28"/>
          <w:szCs w:val="28"/>
        </w:rPr>
        <w:t xml:space="preserve"> por vulnerar</w:t>
      </w:r>
      <w:r w:rsidRPr="004530CF">
        <w:rPr>
          <w:rFonts w:ascii="Times New Roman" w:hAnsi="Times New Roman" w:cs="Times New Roman"/>
          <w:sz w:val="28"/>
          <w:szCs w:val="28"/>
        </w:rPr>
        <w:t>[,]</w:t>
      </w:r>
      <w:r w:rsidRPr="004530CF">
        <w:rPr>
          <w:rFonts w:ascii="Times New Roman" w:hAnsi="Times New Roman" w:cs="Times New Roman"/>
          <w:i/>
          <w:sz w:val="28"/>
          <w:szCs w:val="28"/>
        </w:rPr>
        <w:t xml:space="preserve"> en su conjunto</w:t>
      </w:r>
      <w:r w:rsidRPr="004530CF">
        <w:rPr>
          <w:rFonts w:ascii="Times New Roman" w:hAnsi="Times New Roman" w:cs="Times New Roman"/>
          <w:sz w:val="28"/>
          <w:szCs w:val="28"/>
        </w:rPr>
        <w:t>[,]</w:t>
      </w:r>
      <w:r w:rsidRPr="004530CF">
        <w:rPr>
          <w:rFonts w:ascii="Times New Roman" w:hAnsi="Times New Roman" w:cs="Times New Roman"/>
          <w:i/>
          <w:sz w:val="28"/>
          <w:szCs w:val="28"/>
        </w:rPr>
        <w:t xml:space="preserve"> lo relacionado al derecho a impugnar la sentencia como una de las garantías procesales que hacen parte del derecho al debido proceso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Para fundamentar esta conclusión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la impugnación se desarrolla en</w:t>
      </w:r>
      <w:r w:rsidRPr="004530CF">
        <w:rPr>
          <w:rFonts w:ascii="Times New Roman" w:hAnsi="Times New Roman" w:cs="Times New Roman"/>
          <w:sz w:val="28"/>
          <w:szCs w:val="28"/>
        </w:rPr>
        <w:t xml:space="preserve"> tres</w:t>
      </w:r>
      <w:r w:rsidRPr="004530CF">
        <w:rPr>
          <w:rFonts w:ascii="Times New Roman" w:hAnsi="Times New Roman" w:cs="Times New Roman"/>
          <w:sz w:val="28"/>
          <w:szCs w:val="28"/>
        </w:rPr>
        <w:t xml:space="preserve"> etapas.</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3739AF"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En la primera, la acusación se ocupa de establecer la naturaleza del proceso de nulidad electoral, identificando algunas de sus características. En ese contexto señala que “</w:t>
      </w:r>
      <w:r w:rsidRPr="004530CF">
        <w:rPr>
          <w:rFonts w:ascii="Times New Roman" w:hAnsi="Times New Roman" w:cs="Times New Roman"/>
          <w:i/>
          <w:sz w:val="28"/>
          <w:szCs w:val="28"/>
        </w:rPr>
        <w:t xml:space="preserve">el medio de control de nulidad electoral es uno de los mecanismos legales dispuestos para </w:t>
      </w:r>
      <w:r w:rsidRPr="004530CF">
        <w:rPr>
          <w:rFonts w:ascii="Times New Roman" w:hAnsi="Times New Roman" w:cs="Times New Roman"/>
          <w:bCs/>
          <w:i/>
          <w:sz w:val="28"/>
          <w:szCs w:val="28"/>
        </w:rPr>
        <w:t>sancionar una situación irregular</w:t>
      </w:r>
      <w:r w:rsidRPr="004530CF">
        <w:rPr>
          <w:rFonts w:ascii="Times New Roman" w:hAnsi="Times New Roman" w:cs="Times New Roman"/>
          <w:bCs/>
          <w:sz w:val="28"/>
          <w:szCs w:val="28"/>
        </w:rPr>
        <w:t>[,]</w:t>
      </w:r>
      <w:r w:rsidRPr="004530CF">
        <w:rPr>
          <w:rFonts w:ascii="Times New Roman" w:hAnsi="Times New Roman" w:cs="Times New Roman"/>
          <w:bCs/>
          <w:i/>
          <w:sz w:val="28"/>
          <w:szCs w:val="28"/>
        </w:rPr>
        <w:t xml:space="preserve"> en la que puede incurrir cierta clase de funcionarios públicos </w:t>
      </w:r>
      <w:r w:rsidRPr="004530CF">
        <w:rPr>
          <w:rFonts w:ascii="Times New Roman" w:hAnsi="Times New Roman" w:cs="Times New Roman"/>
          <w:i/>
          <w:sz w:val="28"/>
          <w:szCs w:val="28"/>
        </w:rPr>
        <w:t xml:space="preserve">que están inhabilitados para ocupar un cargo de elección popular, por lo que debe contar con </w:t>
      </w:r>
      <w:r w:rsidRPr="004530CF">
        <w:rPr>
          <w:rFonts w:ascii="Times New Roman" w:hAnsi="Times New Roman" w:cs="Times New Roman"/>
          <w:bCs/>
          <w:i/>
          <w:sz w:val="28"/>
          <w:szCs w:val="28"/>
        </w:rPr>
        <w:t xml:space="preserve">todas las garantías del debido proceso sancionador </w:t>
      </w:r>
      <w:r w:rsidRPr="004530CF">
        <w:rPr>
          <w:rFonts w:ascii="Times New Roman" w:hAnsi="Times New Roman" w:cs="Times New Roman"/>
          <w:i/>
          <w:sz w:val="28"/>
          <w:szCs w:val="28"/>
        </w:rPr>
        <w:t>bajo las especificidades propias según su naturaleza y finalidad</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Destaca que </w:t>
      </w:r>
      <w:r w:rsidRPr="004530CF">
        <w:rPr>
          <w:rFonts w:ascii="Times New Roman" w:hAnsi="Times New Roman" w:cs="Times New Roman"/>
          <w:sz w:val="28"/>
          <w:szCs w:val="28"/>
        </w:rPr>
        <w:t>al proceso de nulidad electoral p</w:t>
      </w:r>
      <w:r w:rsidRPr="004530CF">
        <w:rPr>
          <w:rFonts w:ascii="Times New Roman" w:hAnsi="Times New Roman" w:cs="Times New Roman"/>
          <w:sz w:val="28"/>
          <w:szCs w:val="28"/>
        </w:rPr>
        <w:t>ueden adscribirse dos finalidades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preservar las condiciones constitucionales de la elección y sancionar una situación irregular en la que pueden incurrir </w:t>
      </w:r>
      <w:r w:rsidRPr="004530CF">
        <w:rPr>
          <w:rFonts w:ascii="Times New Roman" w:hAnsi="Times New Roman" w:cs="Times New Roman"/>
          <w:sz w:val="28"/>
          <w:szCs w:val="28"/>
        </w:rPr>
        <w:t xml:space="preserve">algunos </w:t>
      </w:r>
      <w:r w:rsidRPr="004530CF">
        <w:rPr>
          <w:rFonts w:ascii="Times New Roman" w:hAnsi="Times New Roman" w:cs="Times New Roman"/>
          <w:sz w:val="28"/>
          <w:szCs w:val="28"/>
        </w:rPr>
        <w:t xml:space="preserve">funcionarios públicos. Con el objeto de apoyar su planteamiento </w:t>
      </w:r>
      <w:r w:rsidRPr="004530CF">
        <w:rPr>
          <w:rFonts w:ascii="Times New Roman" w:hAnsi="Times New Roman" w:cs="Times New Roman"/>
          <w:sz w:val="28"/>
          <w:szCs w:val="28"/>
        </w:rPr>
        <w:t xml:space="preserve">cita </w:t>
      </w:r>
      <w:r w:rsidRPr="004530CF">
        <w:rPr>
          <w:rFonts w:ascii="Times New Roman" w:hAnsi="Times New Roman" w:cs="Times New Roman"/>
          <w:sz w:val="28"/>
          <w:szCs w:val="28"/>
        </w:rPr>
        <w:t xml:space="preserve">las sentencias T-284 de </w:t>
      </w:r>
      <w:r w:rsidRPr="004530CF">
        <w:rPr>
          <w:rFonts w:ascii="Times New Roman" w:hAnsi="Times New Roman" w:cs="Times New Roman"/>
          <w:sz w:val="28"/>
          <w:szCs w:val="28"/>
        </w:rPr>
        <w:t xml:space="preserve">2006 </w:t>
      </w:r>
      <w:r w:rsidRPr="004530CF">
        <w:rPr>
          <w:rFonts w:ascii="Times New Roman" w:hAnsi="Times New Roman" w:cs="Times New Roman"/>
          <w:sz w:val="28"/>
          <w:szCs w:val="28"/>
        </w:rPr>
        <w:t xml:space="preserve">y SU-264 de 2015 </w:t>
      </w:r>
      <w:r w:rsidRPr="004530CF">
        <w:rPr>
          <w:rFonts w:ascii="Times New Roman" w:hAnsi="Times New Roman" w:cs="Times New Roman"/>
          <w:sz w:val="28"/>
          <w:szCs w:val="28"/>
        </w:rPr>
        <w:t>e insiste, en consecuencia, que la existencia de un proceso de única instancia desconoce las garantías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aplicables a los </w:t>
      </w:r>
      <w:r w:rsidRPr="004530CF">
        <w:rPr>
          <w:rFonts w:ascii="Times New Roman" w:hAnsi="Times New Roman" w:cs="Times New Roman"/>
          <w:sz w:val="28"/>
          <w:szCs w:val="28"/>
        </w:rPr>
        <w:t>proceso</w:t>
      </w:r>
      <w:r w:rsidRPr="004530CF">
        <w:rPr>
          <w:rFonts w:ascii="Times New Roman" w:hAnsi="Times New Roman" w:cs="Times New Roman"/>
          <w:sz w:val="28"/>
          <w:szCs w:val="28"/>
        </w:rPr>
        <w:t>s</w:t>
      </w:r>
      <w:r w:rsidRPr="004530CF">
        <w:rPr>
          <w:rFonts w:ascii="Times New Roman" w:hAnsi="Times New Roman" w:cs="Times New Roman"/>
          <w:sz w:val="28"/>
          <w:szCs w:val="28"/>
        </w:rPr>
        <w:t xml:space="preserve"> sancionatorio</w:t>
      </w:r>
      <w:r w:rsidRPr="004530CF">
        <w:rPr>
          <w:rFonts w:ascii="Times New Roman" w:hAnsi="Times New Roman" w:cs="Times New Roman"/>
          <w:sz w:val="28"/>
          <w:szCs w:val="28"/>
        </w:rPr>
        <w:t>s</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857888"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En la segunda etapa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el ciudadano se refiere a los estándares de protección de la doble</w:t>
      </w:r>
      <w:r w:rsidRPr="004530CF">
        <w:rPr>
          <w:rFonts w:ascii="Times New Roman" w:hAnsi="Times New Roman" w:cs="Times New Roman"/>
          <w:sz w:val="28"/>
          <w:szCs w:val="28"/>
        </w:rPr>
        <w:t xml:space="preserve"> instancia y del derecho a la impugnación. Luego de</w:t>
      </w:r>
      <w:r w:rsidRPr="004530CF">
        <w:rPr>
          <w:rFonts w:ascii="Times New Roman" w:hAnsi="Times New Roman" w:cs="Times New Roman"/>
          <w:sz w:val="28"/>
          <w:szCs w:val="28"/>
        </w:rPr>
        <w:t xml:space="preserve"> aludir</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a </w:t>
      </w:r>
      <w:r w:rsidRPr="004530CF">
        <w:rPr>
          <w:rFonts w:ascii="Times New Roman" w:hAnsi="Times New Roman" w:cs="Times New Roman"/>
          <w:sz w:val="28"/>
          <w:szCs w:val="28"/>
        </w:rPr>
        <w:t>la comprensión que inicialmente tuvo la Corte</w:t>
      </w:r>
      <w:r w:rsidRPr="004530CF">
        <w:rPr>
          <w:rFonts w:ascii="Times New Roman" w:hAnsi="Times New Roman" w:cs="Times New Roman"/>
          <w:sz w:val="28"/>
          <w:szCs w:val="28"/>
        </w:rPr>
        <w:t xml:space="preserve"> Constitucional</w:t>
      </w:r>
      <w:r w:rsidRPr="004530CF">
        <w:rPr>
          <w:rFonts w:ascii="Times New Roman" w:hAnsi="Times New Roman" w:cs="Times New Roman"/>
          <w:sz w:val="28"/>
          <w:szCs w:val="28"/>
        </w:rPr>
        <w:t xml:space="preserve"> sobre tales derechos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describió</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la que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a su juicio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fue </w:t>
      </w:r>
      <w:r w:rsidRPr="004530CF">
        <w:rPr>
          <w:rFonts w:ascii="Times New Roman" w:hAnsi="Times New Roman" w:cs="Times New Roman"/>
          <w:sz w:val="28"/>
          <w:szCs w:val="28"/>
        </w:rPr>
        <w:t>la evolución del derecho internacional en esta materia.</w:t>
      </w:r>
      <w:r w:rsidRPr="004530CF">
        <w:rPr>
          <w:rFonts w:ascii="Times New Roman" w:hAnsi="Times New Roman" w:cs="Times New Roman"/>
          <w:sz w:val="28"/>
          <w:szCs w:val="28"/>
        </w:rPr>
        <w:t xml:space="preserve"> Precisó</w:t>
      </w:r>
      <w:r w:rsidRPr="004530CF">
        <w:rPr>
          <w:rFonts w:ascii="Times New Roman" w:hAnsi="Times New Roman" w:cs="Times New Roman"/>
          <w:sz w:val="28"/>
          <w:szCs w:val="28"/>
        </w:rPr>
        <w:t xml:space="preserve">, a </w:t>
      </w:r>
      <w:r w:rsidRPr="004530CF">
        <w:rPr>
          <w:rFonts w:ascii="Times New Roman" w:hAnsi="Times New Roman" w:cs="Times New Roman"/>
          <w:sz w:val="28"/>
          <w:szCs w:val="28"/>
        </w:rPr>
        <w:t>continuación,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que la sentencia C-792 de 2014</w:t>
      </w:r>
      <w:r w:rsidRPr="004530CF">
        <w:rPr>
          <w:rFonts w:ascii="Times New Roman" w:hAnsi="Times New Roman" w:cs="Times New Roman"/>
          <w:sz w:val="28"/>
          <w:szCs w:val="28"/>
        </w:rPr>
        <w:t xml:space="preserve"> supuso</w:t>
      </w:r>
      <w:r w:rsidRPr="004530CF">
        <w:rPr>
          <w:rFonts w:ascii="Times New Roman" w:hAnsi="Times New Roman" w:cs="Times New Roman"/>
          <w:sz w:val="28"/>
          <w:szCs w:val="28"/>
        </w:rPr>
        <w:t xml:space="preserve"> “</w:t>
      </w:r>
      <w:r w:rsidRPr="004530CF">
        <w:rPr>
          <w:rFonts w:ascii="Times New Roman" w:hAnsi="Times New Roman" w:cs="Times New Roman"/>
          <w:i/>
          <w:sz w:val="28"/>
          <w:szCs w:val="28"/>
        </w:rPr>
        <w:t>un nuevo entendimiento tanto de la doble instancia como de la doble conformidad</w:t>
      </w:r>
      <w:r w:rsidRPr="004530CF">
        <w:rPr>
          <w:rFonts w:ascii="Times New Roman" w:hAnsi="Times New Roman" w:cs="Times New Roman"/>
          <w:sz w:val="28"/>
          <w:szCs w:val="28"/>
        </w:rPr>
        <w:t>”</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cuya caracterización y distinción inició</w:t>
      </w:r>
      <w:r w:rsidRPr="004530CF">
        <w:rPr>
          <w:rFonts w:ascii="Times New Roman" w:hAnsi="Times New Roman" w:cs="Times New Roman"/>
          <w:sz w:val="28"/>
          <w:szCs w:val="28"/>
        </w:rPr>
        <w:t xml:space="preserve"> esa </w:t>
      </w:r>
      <w:r w:rsidRPr="004530CF">
        <w:rPr>
          <w:rFonts w:ascii="Times New Roman" w:hAnsi="Times New Roman" w:cs="Times New Roman"/>
          <w:sz w:val="28"/>
          <w:szCs w:val="28"/>
        </w:rPr>
        <w:t>providencia</w:t>
      </w:r>
      <w:r w:rsidRPr="004530CF">
        <w:rPr>
          <w:rFonts w:ascii="Times New Roman" w:hAnsi="Times New Roman" w:cs="Times New Roman"/>
          <w:sz w:val="28"/>
          <w:szCs w:val="28"/>
        </w:rPr>
        <w:t xml:space="preserve">. Con fundamento en algunas citas </w:t>
      </w:r>
      <w:r w:rsidRPr="004530CF">
        <w:rPr>
          <w:rFonts w:ascii="Times New Roman" w:hAnsi="Times New Roman" w:cs="Times New Roman"/>
          <w:sz w:val="28"/>
          <w:szCs w:val="28"/>
        </w:rPr>
        <w:t>del referido fallo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el ciudadan</w:t>
      </w:r>
      <w:r w:rsidRPr="004530CF">
        <w:rPr>
          <w:rFonts w:ascii="Times New Roman" w:hAnsi="Times New Roman" w:cs="Times New Roman"/>
          <w:sz w:val="28"/>
          <w:szCs w:val="28"/>
        </w:rPr>
        <w:t>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identifica </w:t>
      </w:r>
      <w:r w:rsidRPr="004530CF">
        <w:rPr>
          <w:rFonts w:ascii="Times New Roman" w:hAnsi="Times New Roman" w:cs="Times New Roman"/>
          <w:sz w:val="28"/>
          <w:szCs w:val="28"/>
        </w:rPr>
        <w:t xml:space="preserve">diferentes posiciones en la jurisprudencia constitucional </w:t>
      </w:r>
      <w:r w:rsidRPr="004530CF">
        <w:rPr>
          <w:rFonts w:ascii="Times New Roman" w:hAnsi="Times New Roman" w:cs="Times New Roman"/>
          <w:sz w:val="28"/>
          <w:szCs w:val="28"/>
        </w:rPr>
        <w:t>sobre</w:t>
      </w:r>
      <w:r w:rsidRPr="004530CF">
        <w:rPr>
          <w:rFonts w:ascii="Times New Roman" w:hAnsi="Times New Roman" w:cs="Times New Roman"/>
          <w:sz w:val="28"/>
          <w:szCs w:val="28"/>
        </w:rPr>
        <w:t xml:space="preserve"> la posibilidad de que existan procesos disciplinarios o judiciales de única instancia. </w:t>
      </w:r>
    </w:p>
    <w:p w:rsidR="00667B84" w:rsidRPr="004530CF" w:rsidRDefault="004530CF" w:rsidP="004C7B30">
      <w:pPr>
        <w:pStyle w:val="Prrafodelista"/>
        <w:ind w:left="0"/>
        <w:rPr>
          <w:rFonts w:ascii="Times New Roman" w:hAnsi="Times New Roman" w:cs="Times New Roman"/>
          <w:sz w:val="28"/>
          <w:szCs w:val="28"/>
        </w:rPr>
      </w:pPr>
    </w:p>
    <w:p w:rsidR="004D5136"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En la última etapa de su planteamiento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el</w:t>
      </w:r>
      <w:r w:rsidRPr="004530CF">
        <w:rPr>
          <w:rFonts w:ascii="Times New Roman" w:hAnsi="Times New Roman" w:cs="Times New Roman"/>
          <w:sz w:val="28"/>
          <w:szCs w:val="28"/>
        </w:rPr>
        <w:t xml:space="preserve"> demandante afirma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que el reconocimiento del der</w:t>
      </w:r>
      <w:r w:rsidRPr="004530CF">
        <w:rPr>
          <w:rFonts w:ascii="Times New Roman" w:hAnsi="Times New Roman" w:cs="Times New Roman"/>
          <w:sz w:val="28"/>
          <w:szCs w:val="28"/>
        </w:rPr>
        <w:t>echo a la impugnación ha tenido lugar, principalmente, en el ámbito del derecho penal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sin que exista un pronunciamiento de la Corte </w:t>
      </w:r>
      <w:r w:rsidRPr="004530CF">
        <w:rPr>
          <w:rFonts w:ascii="Times New Roman" w:hAnsi="Times New Roman" w:cs="Times New Roman"/>
          <w:sz w:val="28"/>
          <w:szCs w:val="28"/>
        </w:rPr>
        <w:t xml:space="preserve">en el que haya indicado </w:t>
      </w:r>
      <w:r w:rsidRPr="004530CF">
        <w:rPr>
          <w:rFonts w:ascii="Times New Roman" w:hAnsi="Times New Roman" w:cs="Times New Roman"/>
          <w:sz w:val="28"/>
          <w:szCs w:val="28"/>
        </w:rPr>
        <w:t xml:space="preserve">si se extiende o no a otro tipo de procesos. </w:t>
      </w:r>
      <w:r w:rsidRPr="004530CF">
        <w:rPr>
          <w:rFonts w:ascii="Times New Roman" w:hAnsi="Times New Roman" w:cs="Times New Roman"/>
          <w:sz w:val="28"/>
          <w:szCs w:val="28"/>
        </w:rPr>
        <w:t>Con fundamento en esa idea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señala que “</w:t>
      </w:r>
      <w:r w:rsidRPr="004530CF">
        <w:rPr>
          <w:rFonts w:ascii="Times New Roman" w:hAnsi="Times New Roman" w:cs="Times New Roman"/>
          <w:i/>
          <w:sz w:val="28"/>
          <w:szCs w:val="28"/>
        </w:rPr>
        <w:t>la interpretac</w:t>
      </w:r>
      <w:r w:rsidRPr="004530CF">
        <w:rPr>
          <w:rFonts w:ascii="Times New Roman" w:hAnsi="Times New Roman" w:cs="Times New Roman"/>
          <w:i/>
          <w:sz w:val="28"/>
          <w:szCs w:val="28"/>
        </w:rPr>
        <w:t>ión que muy respetuosamente se hace del alcance de la obligación que tienen las autoridades a garantizar el debido proceso y la garantía de la impugnación, tiene que ver con que esta garantía es aplicable no únicamente a aquellos procesos eminentemente pen</w:t>
      </w:r>
      <w:r w:rsidRPr="004530CF">
        <w:rPr>
          <w:rFonts w:ascii="Times New Roman" w:hAnsi="Times New Roman" w:cs="Times New Roman"/>
          <w:i/>
          <w:sz w:val="28"/>
          <w:szCs w:val="28"/>
        </w:rPr>
        <w:t>ales, sino a los procesos judiciales de índole sancionatorio que deben incorporar las garantías propias de un proceso penal, especialmente si el sujeto pasible de ser sancionado es un funcionario público de elección popular</w:t>
      </w:r>
      <w:r w:rsidRPr="004530CF">
        <w:rPr>
          <w:rFonts w:ascii="Times New Roman" w:hAnsi="Times New Roman" w:cs="Times New Roman"/>
          <w:sz w:val="28"/>
          <w:szCs w:val="28"/>
        </w:rPr>
        <w:t>”.</w:t>
      </w:r>
    </w:p>
    <w:p w:rsidR="00667B84" w:rsidRPr="004530CF" w:rsidRDefault="004530CF" w:rsidP="004C7B30">
      <w:pPr>
        <w:pStyle w:val="Prrafodelista"/>
        <w:ind w:left="0"/>
        <w:rPr>
          <w:rFonts w:ascii="Times New Roman" w:hAnsi="Times New Roman" w:cs="Times New Roman"/>
          <w:sz w:val="28"/>
          <w:szCs w:val="28"/>
        </w:rPr>
      </w:pPr>
    </w:p>
    <w:p w:rsidR="004D5136"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Insiste en que la garantía de</w:t>
      </w:r>
      <w:r w:rsidRPr="004530CF">
        <w:rPr>
          <w:rFonts w:ascii="Times New Roman" w:hAnsi="Times New Roman" w:cs="Times New Roman"/>
          <w:sz w:val="28"/>
          <w:szCs w:val="28"/>
        </w:rPr>
        <w:t>l derecho a impugnar se torna especialmente relevante en el caso de los funcionarios elegidos popularmente.</w:t>
      </w:r>
      <w:r w:rsidRPr="004530CF">
        <w:rPr>
          <w:rFonts w:ascii="Times New Roman" w:hAnsi="Times New Roman" w:cs="Times New Roman"/>
          <w:sz w:val="28"/>
          <w:szCs w:val="28"/>
        </w:rPr>
        <w:t xml:space="preserve"> Conforme lo expone</w:t>
      </w:r>
      <w:r w:rsidRPr="004530CF">
        <w:rPr>
          <w:rFonts w:ascii="Times New Roman" w:hAnsi="Times New Roman" w:cs="Times New Roman"/>
          <w:sz w:val="28"/>
          <w:szCs w:val="28"/>
        </w:rPr>
        <w:t xml:space="preserve"> “[e]</w:t>
      </w:r>
      <w:r w:rsidRPr="004530CF">
        <w:rPr>
          <w:rFonts w:ascii="Times New Roman" w:hAnsi="Times New Roman" w:cs="Times New Roman"/>
          <w:i/>
          <w:sz w:val="28"/>
          <w:szCs w:val="28"/>
        </w:rPr>
        <w:t>stos procesos tienen una especialidad dentro de todos los procesos de nulidades electorales debido a que son parte de aquello</w:t>
      </w:r>
      <w:r w:rsidRPr="004530CF">
        <w:rPr>
          <w:rFonts w:ascii="Times New Roman" w:hAnsi="Times New Roman" w:cs="Times New Roman"/>
          <w:i/>
          <w:sz w:val="28"/>
          <w:szCs w:val="28"/>
        </w:rPr>
        <w:t>s en los que se debe</w:t>
      </w:r>
      <w:r w:rsidRPr="004530CF">
        <w:rPr>
          <w:rFonts w:ascii="Times New Roman" w:hAnsi="Times New Roman" w:cs="Times New Roman"/>
          <w:i/>
          <w:sz w:val="28"/>
          <w:szCs w:val="28"/>
        </w:rPr>
        <w:t>n</w:t>
      </w:r>
      <w:r w:rsidRPr="004530CF">
        <w:rPr>
          <w:rFonts w:ascii="Times New Roman" w:hAnsi="Times New Roman" w:cs="Times New Roman"/>
          <w:i/>
          <w:sz w:val="28"/>
          <w:szCs w:val="28"/>
        </w:rPr>
        <w:t xml:space="preserve"> consagrar todas las garantías de un proceso penal de acuerdo al artículo 23.2 de la Convención Americana de Derechos Humanos</w:t>
      </w:r>
      <w:r w:rsidRPr="004530CF">
        <w:rPr>
          <w:rFonts w:ascii="Times New Roman" w:hAnsi="Times New Roman" w:cs="Times New Roman"/>
          <w:sz w:val="28"/>
          <w:szCs w:val="28"/>
        </w:rPr>
        <w:t>”. Señala, finalmente, que medios judiciales como el recurso extraordinario de revisión, la acción de tutela o</w:t>
      </w:r>
      <w:r w:rsidRPr="004530CF">
        <w:rPr>
          <w:rFonts w:ascii="Times New Roman" w:hAnsi="Times New Roman" w:cs="Times New Roman"/>
          <w:sz w:val="28"/>
          <w:szCs w:val="28"/>
        </w:rPr>
        <w:t xml:space="preserve"> la solicitud de a</w:t>
      </w:r>
      <w:r w:rsidRPr="004530CF">
        <w:rPr>
          <w:rFonts w:ascii="Times New Roman" w:hAnsi="Times New Roman" w:cs="Times New Roman"/>
          <w:sz w:val="28"/>
          <w:szCs w:val="28"/>
        </w:rPr>
        <w:t>c</w:t>
      </w:r>
      <w:r w:rsidRPr="004530CF">
        <w:rPr>
          <w:rFonts w:ascii="Times New Roman" w:hAnsi="Times New Roman" w:cs="Times New Roman"/>
          <w:sz w:val="28"/>
          <w:szCs w:val="28"/>
        </w:rPr>
        <w:t>laración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no satisfacen “</w:t>
      </w:r>
      <w:r w:rsidRPr="004530CF">
        <w:rPr>
          <w:rFonts w:ascii="Times New Roman" w:hAnsi="Times New Roman" w:cs="Times New Roman"/>
          <w:i/>
          <w:sz w:val="28"/>
          <w:szCs w:val="28"/>
        </w:rPr>
        <w:t>los criterios de impugnación y se han convertido en vías procesales debilitadas que dan muestra de la falta de regulación</w:t>
      </w:r>
      <w:r w:rsidRPr="004530CF">
        <w:rPr>
          <w:rFonts w:ascii="Times New Roman" w:hAnsi="Times New Roman" w:cs="Times New Roman"/>
          <w:sz w:val="28"/>
          <w:szCs w:val="28"/>
        </w:rPr>
        <w:t>”</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FE0575"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b/>
          <w:sz w:val="28"/>
          <w:szCs w:val="28"/>
        </w:rPr>
        <w:t>Para la Sala Plena</w:t>
      </w:r>
      <w:r w:rsidRPr="004530CF">
        <w:rPr>
          <w:rFonts w:ascii="Times New Roman" w:hAnsi="Times New Roman" w:cs="Times New Roman"/>
          <w:b/>
          <w:sz w:val="28"/>
          <w:szCs w:val="28"/>
        </w:rPr>
        <w:t>,</w:t>
      </w:r>
      <w:r w:rsidRPr="004530CF">
        <w:rPr>
          <w:rFonts w:ascii="Times New Roman" w:hAnsi="Times New Roman" w:cs="Times New Roman"/>
          <w:b/>
          <w:sz w:val="28"/>
          <w:szCs w:val="28"/>
        </w:rPr>
        <w:t xml:space="preserve"> aunque en el curso del proceso ninguno de los intervinientes le </w:t>
      </w:r>
      <w:r w:rsidRPr="004530CF">
        <w:rPr>
          <w:rFonts w:ascii="Times New Roman" w:hAnsi="Times New Roman" w:cs="Times New Roman"/>
          <w:b/>
          <w:sz w:val="28"/>
          <w:szCs w:val="28"/>
        </w:rPr>
        <w:t>solicitó a esta Corte declararse inhibida</w:t>
      </w:r>
      <w:r w:rsidRPr="004530CF">
        <w:rPr>
          <w:rFonts w:ascii="Times New Roman" w:hAnsi="Times New Roman" w:cs="Times New Roman"/>
          <w:b/>
          <w:sz w:val="28"/>
          <w:szCs w:val="28"/>
        </w:rPr>
        <w:t>,</w:t>
      </w:r>
      <w:r w:rsidRPr="004530CF">
        <w:rPr>
          <w:rFonts w:ascii="Times New Roman" w:hAnsi="Times New Roman" w:cs="Times New Roman"/>
          <w:b/>
          <w:sz w:val="28"/>
          <w:szCs w:val="28"/>
        </w:rPr>
        <w:t xml:space="preserve"> </w:t>
      </w:r>
      <w:r w:rsidRPr="004530CF">
        <w:rPr>
          <w:rFonts w:ascii="Times New Roman" w:hAnsi="Times New Roman" w:cs="Times New Roman"/>
          <w:b/>
          <w:sz w:val="28"/>
          <w:szCs w:val="28"/>
        </w:rPr>
        <w:t>es</w:t>
      </w:r>
      <w:r w:rsidRPr="004530CF">
        <w:rPr>
          <w:rFonts w:ascii="Times New Roman" w:hAnsi="Times New Roman" w:cs="Times New Roman"/>
          <w:b/>
          <w:sz w:val="28"/>
          <w:szCs w:val="28"/>
        </w:rPr>
        <w:t xml:space="preserve"> necesario hacerlo </w:t>
      </w:r>
      <w:r w:rsidRPr="004530CF">
        <w:rPr>
          <w:rFonts w:ascii="Times New Roman" w:hAnsi="Times New Roman" w:cs="Times New Roman"/>
          <w:b/>
          <w:sz w:val="28"/>
          <w:szCs w:val="28"/>
        </w:rPr>
        <w:t>por la existencia de una</w:t>
      </w:r>
      <w:r w:rsidRPr="004530CF">
        <w:rPr>
          <w:rFonts w:ascii="Times New Roman" w:hAnsi="Times New Roman" w:cs="Times New Roman"/>
          <w:b/>
          <w:sz w:val="28"/>
          <w:szCs w:val="28"/>
        </w:rPr>
        <w:t xml:space="preserve"> deficiencia</w:t>
      </w:r>
      <w:r w:rsidRPr="004530CF">
        <w:rPr>
          <w:rFonts w:ascii="Times New Roman" w:hAnsi="Times New Roman" w:cs="Times New Roman"/>
          <w:b/>
          <w:sz w:val="28"/>
          <w:szCs w:val="28"/>
        </w:rPr>
        <w:t xml:space="preserve"> </w:t>
      </w:r>
      <w:r w:rsidRPr="004530CF">
        <w:rPr>
          <w:rFonts w:ascii="Times New Roman" w:hAnsi="Times New Roman" w:cs="Times New Roman"/>
          <w:b/>
          <w:sz w:val="28"/>
          <w:szCs w:val="28"/>
        </w:rPr>
        <w:t xml:space="preserve">en la debida formulación </w:t>
      </w:r>
      <w:r w:rsidRPr="004530CF">
        <w:rPr>
          <w:rFonts w:ascii="Times New Roman" w:hAnsi="Times New Roman" w:cs="Times New Roman"/>
          <w:b/>
          <w:sz w:val="28"/>
          <w:szCs w:val="28"/>
        </w:rPr>
        <w:t>de los</w:t>
      </w:r>
      <w:r w:rsidRPr="004530CF">
        <w:rPr>
          <w:rFonts w:ascii="Times New Roman" w:hAnsi="Times New Roman" w:cs="Times New Roman"/>
          <w:b/>
          <w:sz w:val="28"/>
          <w:szCs w:val="28"/>
        </w:rPr>
        <w:t xml:space="preserve"> cargos</w:t>
      </w:r>
      <w:r w:rsidRPr="004530CF">
        <w:rPr>
          <w:rFonts w:ascii="Times New Roman" w:hAnsi="Times New Roman" w:cs="Times New Roman"/>
          <w:b/>
          <w:sz w:val="28"/>
          <w:szCs w:val="28"/>
        </w:rPr>
        <w:t xml:space="preserve"> segundo y tercero</w:t>
      </w:r>
      <w:r w:rsidRPr="004530CF">
        <w:rPr>
          <w:rFonts w:ascii="Times New Roman" w:hAnsi="Times New Roman" w:cs="Times New Roman"/>
          <w:b/>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L</w:t>
      </w:r>
      <w:r w:rsidRPr="004530CF">
        <w:rPr>
          <w:rFonts w:ascii="Times New Roman" w:hAnsi="Times New Roman" w:cs="Times New Roman"/>
          <w:sz w:val="28"/>
          <w:szCs w:val="28"/>
        </w:rPr>
        <w:t xml:space="preserve">os dos planteamientos </w:t>
      </w:r>
      <w:r w:rsidRPr="004530CF">
        <w:rPr>
          <w:rFonts w:ascii="Times New Roman" w:hAnsi="Times New Roman" w:cs="Times New Roman"/>
          <w:sz w:val="28"/>
          <w:szCs w:val="28"/>
        </w:rPr>
        <w:t>se asientan en una premisa</w:t>
      </w:r>
      <w:r w:rsidRPr="004530CF">
        <w:rPr>
          <w:rFonts w:ascii="Times New Roman" w:hAnsi="Times New Roman" w:cs="Times New Roman"/>
          <w:sz w:val="28"/>
          <w:szCs w:val="28"/>
        </w:rPr>
        <w:t xml:space="preserve"> común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según la cual es </w:t>
      </w:r>
      <w:r w:rsidRPr="004530CF">
        <w:rPr>
          <w:rFonts w:ascii="Times New Roman" w:hAnsi="Times New Roman" w:cs="Times New Roman"/>
          <w:sz w:val="28"/>
          <w:szCs w:val="28"/>
        </w:rPr>
        <w:t>in</w:t>
      </w:r>
      <w:r w:rsidRPr="004530CF">
        <w:rPr>
          <w:rFonts w:ascii="Times New Roman" w:hAnsi="Times New Roman" w:cs="Times New Roman"/>
          <w:sz w:val="28"/>
          <w:szCs w:val="28"/>
        </w:rPr>
        <w:t xml:space="preserve">compatible con la Constitución que </w:t>
      </w:r>
      <w:r w:rsidRPr="004530CF">
        <w:rPr>
          <w:rFonts w:ascii="Times New Roman" w:hAnsi="Times New Roman" w:cs="Times New Roman"/>
          <w:sz w:val="28"/>
          <w:szCs w:val="28"/>
        </w:rPr>
        <w:t xml:space="preserve">la providencia que declara la </w:t>
      </w:r>
      <w:r w:rsidRPr="004530CF">
        <w:rPr>
          <w:rFonts w:ascii="Times New Roman" w:hAnsi="Times New Roman" w:cs="Times New Roman"/>
          <w:sz w:val="28"/>
          <w:szCs w:val="28"/>
        </w:rPr>
        <w:t xml:space="preserve">nulidad electoral </w:t>
      </w:r>
      <w:r w:rsidRPr="004530CF">
        <w:rPr>
          <w:rFonts w:ascii="Times New Roman" w:hAnsi="Times New Roman" w:cs="Times New Roman"/>
          <w:sz w:val="28"/>
          <w:szCs w:val="28"/>
        </w:rPr>
        <w:t>de funcionarios elegidos popularmente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carezca de un recurso ante otra autoridad judicial</w:t>
      </w:r>
      <w:r w:rsidRPr="004530CF">
        <w:rPr>
          <w:rFonts w:ascii="Times New Roman" w:hAnsi="Times New Roman" w:cs="Times New Roman"/>
          <w:sz w:val="28"/>
          <w:szCs w:val="28"/>
        </w:rPr>
        <w:t xml:space="preserve">. </w:t>
      </w:r>
    </w:p>
    <w:p w:rsidR="00FE0575" w:rsidRPr="004530CF" w:rsidRDefault="004530CF" w:rsidP="004C7B30">
      <w:pPr>
        <w:pStyle w:val="Prrafodelista"/>
        <w:ind w:left="0"/>
        <w:rPr>
          <w:rFonts w:ascii="Times New Roman" w:hAnsi="Times New Roman" w:cs="Times New Roman"/>
          <w:sz w:val="28"/>
          <w:szCs w:val="28"/>
        </w:rPr>
      </w:pPr>
    </w:p>
    <w:p w:rsidR="00F5437E"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Sin embargo,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los </w:t>
      </w:r>
      <w:r w:rsidRPr="004530CF">
        <w:rPr>
          <w:rFonts w:ascii="Times New Roman" w:hAnsi="Times New Roman" w:cs="Times New Roman"/>
          <w:sz w:val="28"/>
          <w:szCs w:val="28"/>
        </w:rPr>
        <w:t>cargos</w:t>
      </w:r>
      <w:r w:rsidRPr="004530CF">
        <w:rPr>
          <w:rFonts w:ascii="Times New Roman" w:hAnsi="Times New Roman" w:cs="Times New Roman"/>
          <w:sz w:val="28"/>
          <w:szCs w:val="28"/>
        </w:rPr>
        <w:t xml:space="preserve"> formulados no </w:t>
      </w:r>
      <w:r w:rsidRPr="004530CF">
        <w:rPr>
          <w:rFonts w:ascii="Times New Roman" w:hAnsi="Times New Roman" w:cs="Times New Roman"/>
          <w:sz w:val="28"/>
          <w:szCs w:val="28"/>
        </w:rPr>
        <w:t>consider</w:t>
      </w:r>
      <w:r w:rsidRPr="004530CF">
        <w:rPr>
          <w:rFonts w:ascii="Times New Roman" w:hAnsi="Times New Roman" w:cs="Times New Roman"/>
          <w:sz w:val="28"/>
          <w:szCs w:val="28"/>
        </w:rPr>
        <w:t>aron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 forma precisa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la competen</w:t>
      </w:r>
      <w:r w:rsidRPr="004530CF">
        <w:rPr>
          <w:rFonts w:ascii="Times New Roman" w:hAnsi="Times New Roman" w:cs="Times New Roman"/>
          <w:sz w:val="28"/>
          <w:szCs w:val="28"/>
        </w:rPr>
        <w:t xml:space="preserve">cia </w:t>
      </w:r>
      <w:r w:rsidRPr="004530CF">
        <w:rPr>
          <w:rFonts w:ascii="Times New Roman" w:hAnsi="Times New Roman" w:cs="Times New Roman"/>
          <w:sz w:val="28"/>
          <w:szCs w:val="28"/>
        </w:rPr>
        <w:t xml:space="preserve">constitucional </w:t>
      </w:r>
      <w:r w:rsidRPr="004530CF">
        <w:rPr>
          <w:rFonts w:ascii="Times New Roman" w:hAnsi="Times New Roman" w:cs="Times New Roman"/>
          <w:sz w:val="28"/>
          <w:szCs w:val="28"/>
        </w:rPr>
        <w:t>otorgada</w:t>
      </w:r>
      <w:r w:rsidRPr="004530CF">
        <w:rPr>
          <w:rFonts w:ascii="Times New Roman" w:hAnsi="Times New Roman" w:cs="Times New Roman"/>
          <w:sz w:val="28"/>
          <w:szCs w:val="28"/>
        </w:rPr>
        <w:t xml:space="preserve"> al legislador para </w:t>
      </w:r>
      <w:r w:rsidRPr="004530CF">
        <w:rPr>
          <w:rFonts w:ascii="Times New Roman" w:hAnsi="Times New Roman" w:cs="Times New Roman"/>
          <w:sz w:val="28"/>
          <w:szCs w:val="28"/>
        </w:rPr>
        <w:t xml:space="preserve">acoger </w:t>
      </w:r>
      <w:r w:rsidRPr="004530CF">
        <w:rPr>
          <w:rFonts w:ascii="Times New Roman" w:hAnsi="Times New Roman" w:cs="Times New Roman"/>
          <w:sz w:val="28"/>
          <w:szCs w:val="28"/>
        </w:rPr>
        <w:t xml:space="preserve">procesos de nulidad electoral de única instancia. </w:t>
      </w:r>
      <w:r w:rsidRPr="004530CF">
        <w:rPr>
          <w:rFonts w:ascii="Times New Roman" w:hAnsi="Times New Roman" w:cs="Times New Roman"/>
          <w:sz w:val="28"/>
          <w:szCs w:val="28"/>
        </w:rPr>
        <w:t>E</w:t>
      </w:r>
      <w:r w:rsidRPr="004530CF">
        <w:rPr>
          <w:rFonts w:ascii="Times New Roman" w:hAnsi="Times New Roman" w:cs="Times New Roman"/>
          <w:sz w:val="28"/>
          <w:szCs w:val="28"/>
        </w:rPr>
        <w:t xml:space="preserve">l artículo 14 del Acto Legislativo 01 de 2003, adicionó </w:t>
      </w:r>
      <w:r w:rsidRPr="004530CF">
        <w:rPr>
          <w:rFonts w:ascii="Times New Roman" w:hAnsi="Times New Roman" w:cs="Times New Roman"/>
          <w:sz w:val="28"/>
          <w:szCs w:val="28"/>
        </w:rPr>
        <w:t>un parágrafo a</w:t>
      </w:r>
      <w:r w:rsidRPr="004530CF">
        <w:rPr>
          <w:rFonts w:ascii="Times New Roman" w:hAnsi="Times New Roman" w:cs="Times New Roman"/>
          <w:sz w:val="28"/>
          <w:szCs w:val="28"/>
        </w:rPr>
        <w:t xml:space="preserve">l artículo 264 de la Constitución estableciendo, de una parte, que la </w:t>
      </w:r>
      <w:r w:rsidRPr="004530CF">
        <w:rPr>
          <w:rFonts w:ascii="Times New Roman" w:hAnsi="Times New Roman" w:cs="Times New Roman"/>
          <w:sz w:val="28"/>
          <w:szCs w:val="28"/>
        </w:rPr>
        <w:t>J</w:t>
      </w:r>
      <w:r w:rsidRPr="004530CF">
        <w:rPr>
          <w:rFonts w:ascii="Times New Roman" w:hAnsi="Times New Roman" w:cs="Times New Roman"/>
          <w:sz w:val="28"/>
          <w:szCs w:val="28"/>
        </w:rPr>
        <w:t>urisdicció</w:t>
      </w:r>
      <w:r w:rsidRPr="004530CF">
        <w:rPr>
          <w:rFonts w:ascii="Times New Roman" w:hAnsi="Times New Roman" w:cs="Times New Roman"/>
          <w:sz w:val="28"/>
          <w:szCs w:val="28"/>
        </w:rPr>
        <w:t xml:space="preserve">n </w:t>
      </w:r>
      <w:r w:rsidRPr="004530CF">
        <w:rPr>
          <w:rFonts w:ascii="Times New Roman" w:hAnsi="Times New Roman" w:cs="Times New Roman"/>
          <w:sz w:val="28"/>
          <w:szCs w:val="28"/>
        </w:rPr>
        <w:t>de lo C</w:t>
      </w:r>
      <w:r w:rsidRPr="004530CF">
        <w:rPr>
          <w:rFonts w:ascii="Times New Roman" w:hAnsi="Times New Roman" w:cs="Times New Roman"/>
          <w:sz w:val="28"/>
          <w:szCs w:val="28"/>
        </w:rPr>
        <w:t>ontencioso administrativ</w:t>
      </w:r>
      <w:r w:rsidRPr="004530CF">
        <w:rPr>
          <w:rFonts w:ascii="Times New Roman" w:hAnsi="Times New Roman" w:cs="Times New Roman"/>
          <w:sz w:val="28"/>
          <w:szCs w:val="28"/>
        </w:rPr>
        <w:t>o</w:t>
      </w:r>
      <w:r w:rsidRPr="004530CF">
        <w:rPr>
          <w:rFonts w:ascii="Times New Roman" w:hAnsi="Times New Roman" w:cs="Times New Roman"/>
          <w:sz w:val="28"/>
          <w:szCs w:val="28"/>
        </w:rPr>
        <w:t xml:space="preserve"> decidirá la acción de nulidad electoral en el término máximo de un (1) año y, de otra, que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en los </w:t>
      </w:r>
      <w:r w:rsidRPr="004530CF">
        <w:rPr>
          <w:rFonts w:ascii="Times New Roman" w:hAnsi="Times New Roman" w:cs="Times New Roman"/>
          <w:b/>
          <w:i/>
          <w:sz w:val="28"/>
          <w:szCs w:val="28"/>
        </w:rPr>
        <w:t>casos de única instancia, según la ley</w:t>
      </w:r>
      <w:r w:rsidRPr="004530CF">
        <w:rPr>
          <w:rFonts w:ascii="Times New Roman" w:hAnsi="Times New Roman" w:cs="Times New Roman"/>
          <w:sz w:val="28"/>
          <w:szCs w:val="28"/>
        </w:rPr>
        <w:t>, el término para decidir no podrá exceder de seis (6) meses</w:t>
      </w:r>
      <w:r w:rsidRPr="004530CF">
        <w:rPr>
          <w:rStyle w:val="Refdenotaalpie"/>
          <w:rFonts w:ascii="Times New Roman" w:hAnsi="Times New Roman" w:cs="Times New Roman"/>
          <w:sz w:val="28"/>
          <w:szCs w:val="28"/>
        </w:rPr>
        <w:footnoteReference w:id="18"/>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No</w:t>
      </w:r>
      <w:r w:rsidRPr="004530CF">
        <w:rPr>
          <w:rFonts w:ascii="Times New Roman" w:hAnsi="Times New Roman" w:cs="Times New Roman"/>
          <w:sz w:val="28"/>
          <w:szCs w:val="28"/>
        </w:rPr>
        <w:t xml:space="preserve"> se trata de</w:t>
      </w:r>
      <w:r w:rsidRPr="004530CF">
        <w:rPr>
          <w:rFonts w:ascii="Times New Roman" w:hAnsi="Times New Roman" w:cs="Times New Roman"/>
          <w:sz w:val="28"/>
          <w:szCs w:val="28"/>
        </w:rPr>
        <w:t xml:space="preserve"> una competencia implícita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o</w:t>
      </w:r>
      <w:r w:rsidRPr="004530CF">
        <w:rPr>
          <w:rFonts w:ascii="Times New Roman" w:hAnsi="Times New Roman" w:cs="Times New Roman"/>
          <w:sz w:val="28"/>
          <w:szCs w:val="28"/>
        </w:rPr>
        <w:t xml:space="preserve"> general</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Por el contrario, </w:t>
      </w:r>
      <w:r w:rsidRPr="004530CF">
        <w:rPr>
          <w:rFonts w:ascii="Times New Roman" w:hAnsi="Times New Roman" w:cs="Times New Roman"/>
          <w:sz w:val="28"/>
          <w:szCs w:val="28"/>
        </w:rPr>
        <w:t xml:space="preserve">es una decisión expresa y específica que </w:t>
      </w:r>
      <w:r w:rsidRPr="004530CF">
        <w:rPr>
          <w:rFonts w:ascii="Times New Roman" w:hAnsi="Times New Roman" w:cs="Times New Roman"/>
          <w:sz w:val="28"/>
          <w:szCs w:val="28"/>
        </w:rPr>
        <w:t xml:space="preserve">atribuye al legislador </w:t>
      </w:r>
      <w:r w:rsidRPr="004530CF">
        <w:rPr>
          <w:rFonts w:ascii="Times New Roman" w:hAnsi="Times New Roman" w:cs="Times New Roman"/>
          <w:sz w:val="28"/>
          <w:szCs w:val="28"/>
        </w:rPr>
        <w:t>una competencia constitucional para</w:t>
      </w:r>
      <w:r w:rsidRPr="004530CF">
        <w:rPr>
          <w:rFonts w:ascii="Times New Roman" w:hAnsi="Times New Roman" w:cs="Times New Roman"/>
          <w:sz w:val="28"/>
          <w:szCs w:val="28"/>
        </w:rPr>
        <w:t xml:space="preserve"> establecer</w:t>
      </w:r>
      <w:r w:rsidRPr="004530CF">
        <w:rPr>
          <w:rFonts w:ascii="Times New Roman" w:hAnsi="Times New Roman" w:cs="Times New Roman"/>
          <w:sz w:val="28"/>
          <w:szCs w:val="28"/>
        </w:rPr>
        <w:t xml:space="preserve"> los casos </w:t>
      </w:r>
      <w:r w:rsidRPr="004530CF">
        <w:rPr>
          <w:rFonts w:ascii="Times New Roman" w:hAnsi="Times New Roman" w:cs="Times New Roman"/>
          <w:sz w:val="28"/>
          <w:szCs w:val="28"/>
        </w:rPr>
        <w:t xml:space="preserve">en los cuales el proceso de </w:t>
      </w:r>
      <w:r w:rsidRPr="004530CF">
        <w:rPr>
          <w:rFonts w:ascii="Times New Roman" w:hAnsi="Times New Roman" w:cs="Times New Roman"/>
          <w:sz w:val="28"/>
          <w:szCs w:val="28"/>
        </w:rPr>
        <w:t>nulidad electoral</w:t>
      </w:r>
      <w:r w:rsidRPr="004530CF">
        <w:rPr>
          <w:rFonts w:ascii="Times New Roman" w:hAnsi="Times New Roman" w:cs="Times New Roman"/>
          <w:sz w:val="28"/>
          <w:szCs w:val="28"/>
        </w:rPr>
        <w:t xml:space="preserve"> puede tramitarse en </w:t>
      </w:r>
      <w:r w:rsidRPr="004530CF">
        <w:rPr>
          <w:rFonts w:ascii="Times New Roman" w:hAnsi="Times New Roman" w:cs="Times New Roman"/>
          <w:b/>
          <w:sz w:val="28"/>
          <w:szCs w:val="28"/>
        </w:rPr>
        <w:t>única instanc</w:t>
      </w:r>
      <w:r w:rsidRPr="004530CF">
        <w:rPr>
          <w:rFonts w:ascii="Times New Roman" w:hAnsi="Times New Roman" w:cs="Times New Roman"/>
          <w:b/>
          <w:sz w:val="28"/>
          <w:szCs w:val="28"/>
        </w:rPr>
        <w:t>ia</w:t>
      </w:r>
      <w:r w:rsidRPr="004530CF">
        <w:rPr>
          <w:rStyle w:val="Refdenotaalpie"/>
          <w:rFonts w:ascii="Times New Roman" w:hAnsi="Times New Roman" w:cs="Times New Roman"/>
          <w:sz w:val="28"/>
          <w:szCs w:val="28"/>
        </w:rPr>
        <w:footnoteReference w:id="19"/>
      </w:r>
      <w:r w:rsidRPr="004530CF">
        <w:rPr>
          <w:rFonts w:ascii="Times New Roman" w:hAnsi="Times New Roman" w:cs="Times New Roman"/>
          <w:sz w:val="28"/>
          <w:szCs w:val="28"/>
        </w:rPr>
        <w:t xml:space="preserve">. </w:t>
      </w:r>
    </w:p>
    <w:p w:rsidR="00EE54D1" w:rsidRPr="004530CF" w:rsidRDefault="004530CF" w:rsidP="004C7B30">
      <w:pPr>
        <w:rPr>
          <w:rFonts w:ascii="Times New Roman" w:hAnsi="Times New Roman" w:cs="Times New Roman"/>
          <w:sz w:val="28"/>
          <w:szCs w:val="28"/>
        </w:rPr>
      </w:pPr>
    </w:p>
    <w:p w:rsidR="00776504"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La</w:t>
      </w:r>
      <w:r w:rsidRPr="004530CF">
        <w:rPr>
          <w:rFonts w:ascii="Times New Roman" w:hAnsi="Times New Roman" w:cs="Times New Roman"/>
          <w:sz w:val="28"/>
          <w:szCs w:val="28"/>
        </w:rPr>
        <w:t xml:space="preserve"> argumentación</w:t>
      </w:r>
      <w:r w:rsidRPr="004530CF">
        <w:rPr>
          <w:rFonts w:ascii="Times New Roman" w:hAnsi="Times New Roman" w:cs="Times New Roman"/>
          <w:sz w:val="28"/>
          <w:szCs w:val="28"/>
        </w:rPr>
        <w:t xml:space="preserve"> propuesta por </w:t>
      </w:r>
      <w:r w:rsidRPr="004530CF">
        <w:rPr>
          <w:rFonts w:ascii="Times New Roman" w:hAnsi="Times New Roman" w:cs="Times New Roman"/>
          <w:sz w:val="28"/>
          <w:szCs w:val="28"/>
        </w:rPr>
        <w:t>el</w:t>
      </w:r>
      <w:r w:rsidRPr="004530CF">
        <w:rPr>
          <w:rFonts w:ascii="Times New Roman" w:hAnsi="Times New Roman" w:cs="Times New Roman"/>
          <w:sz w:val="28"/>
          <w:szCs w:val="28"/>
        </w:rPr>
        <w:t xml:space="preserve"> demandante</w:t>
      </w:r>
      <w:r w:rsidRPr="004530CF">
        <w:rPr>
          <w:rFonts w:ascii="Times New Roman" w:hAnsi="Times New Roman" w:cs="Times New Roman"/>
          <w:sz w:val="28"/>
          <w:szCs w:val="28"/>
        </w:rPr>
        <w:t xml:space="preserve"> sobre</w:t>
      </w:r>
      <w:r w:rsidRPr="004530CF">
        <w:rPr>
          <w:rFonts w:ascii="Times New Roman" w:hAnsi="Times New Roman" w:cs="Times New Roman"/>
          <w:sz w:val="28"/>
          <w:szCs w:val="28"/>
        </w:rPr>
        <w:t xml:space="preserve"> la obligación</w:t>
      </w:r>
      <w:r w:rsidRPr="004530CF">
        <w:rPr>
          <w:rFonts w:ascii="Times New Roman" w:hAnsi="Times New Roman" w:cs="Times New Roman"/>
          <w:sz w:val="28"/>
          <w:szCs w:val="28"/>
        </w:rPr>
        <w:t xml:space="preserve"> de garantizar la doble instancia o la impugnación en procesos de nulidad electoral de funcionarios elegidos popularmente, no podía dejar de considerar esta disposición. </w:t>
      </w:r>
      <w:r w:rsidRPr="004530CF">
        <w:rPr>
          <w:rFonts w:ascii="Times New Roman" w:hAnsi="Times New Roman" w:cs="Times New Roman"/>
          <w:sz w:val="28"/>
          <w:szCs w:val="28"/>
        </w:rPr>
        <w:t xml:space="preserve">Asimismo, no hizo una lectura sistemática </w:t>
      </w:r>
      <w:r w:rsidRPr="004530CF">
        <w:rPr>
          <w:rFonts w:ascii="Times New Roman" w:hAnsi="Times New Roman" w:cs="Times New Roman"/>
          <w:sz w:val="28"/>
          <w:szCs w:val="28"/>
        </w:rPr>
        <w:t xml:space="preserve">de las </w:t>
      </w:r>
      <w:r w:rsidRPr="004530CF">
        <w:rPr>
          <w:rFonts w:ascii="Times New Roman" w:hAnsi="Times New Roman" w:cs="Times New Roman"/>
          <w:sz w:val="28"/>
          <w:szCs w:val="28"/>
        </w:rPr>
        <w:t>norma</w:t>
      </w:r>
      <w:r w:rsidRPr="004530CF">
        <w:rPr>
          <w:rFonts w:ascii="Times New Roman" w:hAnsi="Times New Roman" w:cs="Times New Roman"/>
          <w:sz w:val="28"/>
          <w:szCs w:val="28"/>
        </w:rPr>
        <w:t>s</w:t>
      </w:r>
      <w:r w:rsidRPr="004530CF">
        <w:rPr>
          <w:rFonts w:ascii="Times New Roman" w:hAnsi="Times New Roman" w:cs="Times New Roman"/>
          <w:sz w:val="28"/>
          <w:szCs w:val="28"/>
        </w:rPr>
        <w:t xml:space="preserve"> constitucionales y del bloque de constitucionalidad que tienen incidencia en la formulación de los cargos presentados. Su planteamiento se limitó a sugerir una oposición entre </w:t>
      </w:r>
      <w:r w:rsidRPr="004530CF">
        <w:rPr>
          <w:rFonts w:ascii="Times New Roman" w:hAnsi="Times New Roman" w:cs="Times New Roman"/>
          <w:sz w:val="28"/>
          <w:szCs w:val="28"/>
        </w:rPr>
        <w:t xml:space="preserve">el precepto legal </w:t>
      </w:r>
      <w:r w:rsidRPr="004530CF">
        <w:rPr>
          <w:rFonts w:ascii="Times New Roman" w:hAnsi="Times New Roman" w:cs="Times New Roman"/>
          <w:sz w:val="28"/>
          <w:szCs w:val="28"/>
        </w:rPr>
        <w:t>acusad</w:t>
      </w:r>
      <w:r w:rsidRPr="004530CF">
        <w:rPr>
          <w:rFonts w:ascii="Times New Roman" w:hAnsi="Times New Roman" w:cs="Times New Roman"/>
          <w:sz w:val="28"/>
          <w:szCs w:val="28"/>
        </w:rPr>
        <w:t>o</w:t>
      </w:r>
      <w:r w:rsidRPr="004530CF">
        <w:rPr>
          <w:rFonts w:ascii="Times New Roman" w:hAnsi="Times New Roman" w:cs="Times New Roman"/>
          <w:sz w:val="28"/>
          <w:szCs w:val="28"/>
        </w:rPr>
        <w:t xml:space="preserve"> y las normas del bloque de constitucionalidad, </w:t>
      </w:r>
      <w:r w:rsidRPr="004530CF">
        <w:rPr>
          <w:rFonts w:ascii="Times New Roman" w:hAnsi="Times New Roman" w:cs="Times New Roman"/>
          <w:sz w:val="28"/>
          <w:szCs w:val="28"/>
        </w:rPr>
        <w:t xml:space="preserve">sin integrar a su argumentación el </w:t>
      </w:r>
      <w:r w:rsidRPr="004530CF">
        <w:rPr>
          <w:rFonts w:ascii="Times New Roman" w:hAnsi="Times New Roman" w:cs="Times New Roman"/>
          <w:sz w:val="28"/>
          <w:szCs w:val="28"/>
        </w:rPr>
        <w:t>parágrafo del artículo 264 de la Constitución</w:t>
      </w:r>
      <w:r w:rsidRPr="004530CF">
        <w:rPr>
          <w:rFonts w:ascii="Times New Roman" w:hAnsi="Times New Roman" w:cs="Times New Roman"/>
          <w:sz w:val="28"/>
          <w:szCs w:val="28"/>
        </w:rPr>
        <w:t xml:space="preserve"> Política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cuyo contenido resultaba esencial para formular adecuadamente la acusación, en tanto en esa disposición se prevé una</w:t>
      </w:r>
      <w:r w:rsidRPr="004530CF">
        <w:rPr>
          <w:rFonts w:ascii="Times New Roman" w:hAnsi="Times New Roman" w:cs="Times New Roman"/>
          <w:sz w:val="28"/>
          <w:szCs w:val="28"/>
        </w:rPr>
        <w:t xml:space="preserve"> competencia</w:t>
      </w:r>
      <w:r w:rsidRPr="004530CF">
        <w:rPr>
          <w:rFonts w:ascii="Times New Roman" w:hAnsi="Times New Roman" w:cs="Times New Roman"/>
          <w:sz w:val="28"/>
          <w:szCs w:val="28"/>
        </w:rPr>
        <w:t xml:space="preserve"> precisa</w:t>
      </w:r>
      <w:r w:rsidRPr="004530CF">
        <w:rPr>
          <w:rFonts w:ascii="Times New Roman" w:hAnsi="Times New Roman" w:cs="Times New Roman"/>
          <w:sz w:val="28"/>
          <w:szCs w:val="28"/>
        </w:rPr>
        <w:t xml:space="preserve"> para establecer, en el ordenamiento jurídico colombiano, procesos de nulidad electoral de única instancia. </w:t>
      </w:r>
      <w:r w:rsidRPr="004530CF">
        <w:rPr>
          <w:rFonts w:ascii="Times New Roman" w:hAnsi="Times New Roman" w:cs="Times New Roman"/>
          <w:sz w:val="28"/>
          <w:szCs w:val="28"/>
        </w:rPr>
        <w:t xml:space="preserve">Al margen del alcance </w:t>
      </w:r>
      <w:r w:rsidRPr="004530CF">
        <w:rPr>
          <w:rFonts w:ascii="Times New Roman" w:hAnsi="Times New Roman" w:cs="Times New Roman"/>
          <w:sz w:val="28"/>
          <w:szCs w:val="28"/>
        </w:rPr>
        <w:t xml:space="preserve">específico </w:t>
      </w:r>
      <w:r w:rsidRPr="004530CF">
        <w:rPr>
          <w:rFonts w:ascii="Times New Roman" w:hAnsi="Times New Roman" w:cs="Times New Roman"/>
          <w:sz w:val="28"/>
          <w:szCs w:val="28"/>
        </w:rPr>
        <w:t>que pueda atribuirse a esa facultad</w:t>
      </w:r>
      <w:r w:rsidRPr="004530CF">
        <w:rPr>
          <w:rFonts w:ascii="Times New Roman" w:hAnsi="Times New Roman" w:cs="Times New Roman"/>
          <w:sz w:val="28"/>
          <w:szCs w:val="28"/>
        </w:rPr>
        <w:t xml:space="preserve"> del Congreso</w:t>
      </w:r>
      <w:r w:rsidRPr="004530CF">
        <w:rPr>
          <w:rFonts w:ascii="Times New Roman" w:hAnsi="Times New Roman" w:cs="Times New Roman"/>
          <w:sz w:val="28"/>
          <w:szCs w:val="28"/>
        </w:rPr>
        <w:t>, no</w:t>
      </w:r>
      <w:r w:rsidRPr="004530CF">
        <w:rPr>
          <w:rFonts w:ascii="Times New Roman" w:hAnsi="Times New Roman" w:cs="Times New Roman"/>
          <w:sz w:val="28"/>
          <w:szCs w:val="28"/>
        </w:rPr>
        <w:t xml:space="preserve"> puede aceptarse que</w:t>
      </w:r>
      <w:r w:rsidRPr="004530CF">
        <w:rPr>
          <w:rFonts w:ascii="Times New Roman" w:hAnsi="Times New Roman" w:cs="Times New Roman"/>
          <w:sz w:val="28"/>
          <w:szCs w:val="28"/>
        </w:rPr>
        <w:t xml:space="preserve"> la</w:t>
      </w:r>
      <w:r w:rsidRPr="004530CF">
        <w:rPr>
          <w:rFonts w:ascii="Times New Roman" w:hAnsi="Times New Roman" w:cs="Times New Roman"/>
          <w:sz w:val="28"/>
          <w:szCs w:val="28"/>
        </w:rPr>
        <w:t xml:space="preserve"> demanda hubiera con</w:t>
      </w:r>
      <w:r w:rsidRPr="004530CF">
        <w:rPr>
          <w:rFonts w:ascii="Times New Roman" w:hAnsi="Times New Roman" w:cs="Times New Roman"/>
          <w:sz w:val="28"/>
          <w:szCs w:val="28"/>
        </w:rPr>
        <w:t xml:space="preserve">traído su análisis </w:t>
      </w:r>
      <w:r w:rsidRPr="004530CF">
        <w:rPr>
          <w:rFonts w:ascii="Times New Roman" w:hAnsi="Times New Roman" w:cs="Times New Roman"/>
          <w:sz w:val="28"/>
          <w:szCs w:val="28"/>
        </w:rPr>
        <w:t xml:space="preserve">a </w:t>
      </w:r>
      <w:r w:rsidRPr="004530CF">
        <w:rPr>
          <w:rFonts w:ascii="Times New Roman" w:hAnsi="Times New Roman" w:cs="Times New Roman"/>
          <w:sz w:val="28"/>
          <w:szCs w:val="28"/>
        </w:rPr>
        <w:t xml:space="preserve">la presentación de </w:t>
      </w:r>
      <w:r w:rsidRPr="004530CF">
        <w:rPr>
          <w:rFonts w:ascii="Times New Roman" w:hAnsi="Times New Roman" w:cs="Times New Roman"/>
          <w:sz w:val="28"/>
          <w:szCs w:val="28"/>
        </w:rPr>
        <w:t>las razones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que apoyaban </w:t>
      </w:r>
      <w:r w:rsidRPr="004530CF">
        <w:rPr>
          <w:rFonts w:ascii="Times New Roman" w:hAnsi="Times New Roman" w:cs="Times New Roman"/>
          <w:sz w:val="28"/>
          <w:szCs w:val="28"/>
        </w:rPr>
        <w:t>su pretensión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sin considerar</w:t>
      </w:r>
      <w:r w:rsidRPr="004530CF">
        <w:rPr>
          <w:rFonts w:ascii="Times New Roman" w:hAnsi="Times New Roman" w:cs="Times New Roman"/>
          <w:sz w:val="28"/>
          <w:szCs w:val="28"/>
        </w:rPr>
        <w:t>, de forma específica,</w:t>
      </w:r>
      <w:r w:rsidRPr="004530CF">
        <w:rPr>
          <w:rFonts w:ascii="Times New Roman" w:hAnsi="Times New Roman" w:cs="Times New Roman"/>
          <w:sz w:val="28"/>
          <w:szCs w:val="28"/>
        </w:rPr>
        <w:t xml:space="preserve"> una </w:t>
      </w:r>
      <w:r w:rsidRPr="004530CF">
        <w:rPr>
          <w:rFonts w:ascii="Times New Roman" w:hAnsi="Times New Roman" w:cs="Times New Roman"/>
          <w:b/>
          <w:i/>
          <w:sz w:val="28"/>
          <w:szCs w:val="28"/>
        </w:rPr>
        <w:t>disposición constitucional que</w:t>
      </w:r>
      <w:r w:rsidRPr="004530CF">
        <w:rPr>
          <w:rFonts w:ascii="Times New Roman" w:hAnsi="Times New Roman" w:cs="Times New Roman"/>
          <w:b/>
          <w:i/>
          <w:sz w:val="28"/>
          <w:szCs w:val="28"/>
        </w:rPr>
        <w:t>, por su grado de precisión,</w:t>
      </w:r>
      <w:r w:rsidRPr="004530CF">
        <w:rPr>
          <w:rFonts w:ascii="Times New Roman" w:hAnsi="Times New Roman" w:cs="Times New Roman"/>
          <w:b/>
          <w:i/>
          <w:sz w:val="28"/>
          <w:szCs w:val="28"/>
        </w:rPr>
        <w:t xml:space="preserve"> pod</w:t>
      </w:r>
      <w:r w:rsidRPr="004530CF">
        <w:rPr>
          <w:rFonts w:ascii="Times New Roman" w:hAnsi="Times New Roman" w:cs="Times New Roman"/>
          <w:b/>
          <w:i/>
          <w:sz w:val="28"/>
          <w:szCs w:val="28"/>
        </w:rPr>
        <w:t>ría</w:t>
      </w:r>
      <w:r w:rsidRPr="004530CF">
        <w:rPr>
          <w:rFonts w:ascii="Times New Roman" w:hAnsi="Times New Roman" w:cs="Times New Roman"/>
          <w:b/>
          <w:i/>
          <w:sz w:val="28"/>
          <w:szCs w:val="28"/>
        </w:rPr>
        <w:t xml:space="preserve"> apuntar en </w:t>
      </w:r>
      <w:r w:rsidRPr="004530CF">
        <w:rPr>
          <w:rFonts w:ascii="Times New Roman" w:hAnsi="Times New Roman" w:cs="Times New Roman"/>
          <w:b/>
          <w:i/>
          <w:sz w:val="28"/>
          <w:szCs w:val="28"/>
        </w:rPr>
        <w:t xml:space="preserve">una </w:t>
      </w:r>
      <w:r w:rsidRPr="004530CF">
        <w:rPr>
          <w:rFonts w:ascii="Times New Roman" w:hAnsi="Times New Roman" w:cs="Times New Roman"/>
          <w:b/>
          <w:i/>
          <w:sz w:val="28"/>
          <w:szCs w:val="28"/>
        </w:rPr>
        <w:t xml:space="preserve">dirección </w:t>
      </w:r>
      <w:r w:rsidRPr="004530CF">
        <w:rPr>
          <w:rFonts w:ascii="Times New Roman" w:hAnsi="Times New Roman" w:cs="Times New Roman"/>
          <w:b/>
          <w:i/>
          <w:sz w:val="28"/>
          <w:szCs w:val="28"/>
        </w:rPr>
        <w:t xml:space="preserve">totalmente </w:t>
      </w:r>
      <w:r w:rsidRPr="004530CF">
        <w:rPr>
          <w:rFonts w:ascii="Times New Roman" w:hAnsi="Times New Roman" w:cs="Times New Roman"/>
          <w:b/>
          <w:i/>
          <w:sz w:val="28"/>
          <w:szCs w:val="28"/>
        </w:rPr>
        <w:t xml:space="preserve">opuesta a </w:t>
      </w:r>
      <w:r w:rsidRPr="004530CF">
        <w:rPr>
          <w:rFonts w:ascii="Times New Roman" w:hAnsi="Times New Roman" w:cs="Times New Roman"/>
          <w:b/>
          <w:i/>
          <w:sz w:val="28"/>
          <w:szCs w:val="28"/>
        </w:rPr>
        <w:t>la de</w:t>
      </w:r>
      <w:r w:rsidRPr="004530CF">
        <w:rPr>
          <w:rFonts w:ascii="Times New Roman" w:hAnsi="Times New Roman" w:cs="Times New Roman"/>
          <w:b/>
          <w:i/>
          <w:sz w:val="28"/>
          <w:szCs w:val="28"/>
        </w:rPr>
        <w:t xml:space="preserve"> la demanda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p>
    <w:p w:rsidR="00F5437E" w:rsidRPr="004530CF" w:rsidRDefault="004530CF" w:rsidP="004C7B30">
      <w:pPr>
        <w:pStyle w:val="Prrafodelista"/>
        <w:ind w:left="0"/>
        <w:jc w:val="both"/>
        <w:rPr>
          <w:rFonts w:ascii="Times New Roman" w:hAnsi="Times New Roman" w:cs="Times New Roman"/>
          <w:sz w:val="28"/>
          <w:szCs w:val="28"/>
        </w:rPr>
      </w:pPr>
    </w:p>
    <w:p w:rsidR="00A445DE"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Esta evaluación se tornaba </w:t>
      </w:r>
      <w:r w:rsidRPr="004530CF">
        <w:rPr>
          <w:rFonts w:ascii="Times New Roman" w:hAnsi="Times New Roman" w:cs="Times New Roman"/>
          <w:sz w:val="28"/>
          <w:szCs w:val="28"/>
        </w:rPr>
        <w:t xml:space="preserve">para los demandantes </w:t>
      </w:r>
      <w:r w:rsidRPr="004530CF">
        <w:rPr>
          <w:rFonts w:ascii="Times New Roman" w:hAnsi="Times New Roman" w:cs="Times New Roman"/>
          <w:sz w:val="28"/>
          <w:szCs w:val="28"/>
        </w:rPr>
        <w:t>especialmente importante</w:t>
      </w:r>
      <w:r w:rsidRPr="004530CF">
        <w:rPr>
          <w:rFonts w:ascii="Times New Roman" w:hAnsi="Times New Roman" w:cs="Times New Roman"/>
          <w:sz w:val="28"/>
          <w:szCs w:val="28"/>
        </w:rPr>
        <w:t>, teniendo en cuenta algunos de los antecedentes de la aprobación</w:t>
      </w:r>
      <w:r w:rsidRPr="004530CF">
        <w:rPr>
          <w:rFonts w:ascii="Times New Roman" w:hAnsi="Times New Roman" w:cs="Times New Roman"/>
          <w:sz w:val="28"/>
          <w:szCs w:val="28"/>
        </w:rPr>
        <w:t xml:space="preserve"> del artículo 14 del Acto </w:t>
      </w:r>
      <w:r w:rsidRPr="004530CF">
        <w:rPr>
          <w:rFonts w:ascii="Times New Roman" w:hAnsi="Times New Roman" w:cs="Times New Roman"/>
          <w:sz w:val="28"/>
          <w:szCs w:val="28"/>
        </w:rPr>
        <w:t>L</w:t>
      </w:r>
      <w:r w:rsidRPr="004530CF">
        <w:rPr>
          <w:rFonts w:ascii="Times New Roman" w:hAnsi="Times New Roman" w:cs="Times New Roman"/>
          <w:sz w:val="28"/>
          <w:szCs w:val="28"/>
        </w:rPr>
        <w:t xml:space="preserve">egislativo 01 de </w:t>
      </w:r>
      <w:r w:rsidRPr="004530CF">
        <w:rPr>
          <w:rFonts w:ascii="Times New Roman" w:hAnsi="Times New Roman" w:cs="Times New Roman"/>
          <w:sz w:val="28"/>
          <w:szCs w:val="28"/>
        </w:rPr>
        <w:t>2003</w:t>
      </w:r>
      <w:r w:rsidRPr="004530CF">
        <w:rPr>
          <w:rFonts w:ascii="Times New Roman" w:hAnsi="Times New Roman" w:cs="Times New Roman"/>
          <w:sz w:val="28"/>
          <w:szCs w:val="28"/>
        </w:rPr>
        <w:t>. En efecto, según se desprende de los debates que tuvieron lugar en el</w:t>
      </w:r>
      <w:r w:rsidRPr="004530CF">
        <w:rPr>
          <w:rFonts w:ascii="Times New Roman" w:hAnsi="Times New Roman" w:cs="Times New Roman"/>
          <w:sz w:val="28"/>
          <w:szCs w:val="28"/>
        </w:rPr>
        <w:t xml:space="preserve"> Senado de la República,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siempre existió la </w:t>
      </w:r>
      <w:r w:rsidRPr="004530CF">
        <w:rPr>
          <w:rFonts w:ascii="Times New Roman" w:hAnsi="Times New Roman" w:cs="Times New Roman"/>
          <w:sz w:val="28"/>
          <w:szCs w:val="28"/>
        </w:rPr>
        <w:t>preocupación por</w:t>
      </w:r>
      <w:r w:rsidRPr="004530CF">
        <w:rPr>
          <w:rFonts w:ascii="Times New Roman" w:hAnsi="Times New Roman" w:cs="Times New Roman"/>
          <w:sz w:val="28"/>
          <w:szCs w:val="28"/>
        </w:rPr>
        <w:t xml:space="preserve"> establecer</w:t>
      </w:r>
      <w:r w:rsidRPr="004530CF">
        <w:rPr>
          <w:rFonts w:ascii="Times New Roman" w:hAnsi="Times New Roman" w:cs="Times New Roman"/>
          <w:sz w:val="28"/>
          <w:szCs w:val="28"/>
        </w:rPr>
        <w:t xml:space="preserve"> procesos</w:t>
      </w:r>
      <w:r w:rsidRPr="004530CF">
        <w:rPr>
          <w:rFonts w:ascii="Times New Roman" w:hAnsi="Times New Roman" w:cs="Times New Roman"/>
          <w:sz w:val="28"/>
          <w:szCs w:val="28"/>
        </w:rPr>
        <w:t xml:space="preserve"> que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permitiera</w:t>
      </w:r>
      <w:r w:rsidRPr="004530CF">
        <w:rPr>
          <w:rFonts w:ascii="Times New Roman" w:hAnsi="Times New Roman" w:cs="Times New Roman"/>
          <w:sz w:val="28"/>
          <w:szCs w:val="28"/>
        </w:rPr>
        <w:t>n</w:t>
      </w:r>
      <w:r w:rsidRPr="004530CF">
        <w:rPr>
          <w:rFonts w:ascii="Times New Roman" w:hAnsi="Times New Roman" w:cs="Times New Roman"/>
          <w:sz w:val="28"/>
          <w:szCs w:val="28"/>
        </w:rPr>
        <w:t xml:space="preserve"> definir</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 manera</w:t>
      </w:r>
      <w:r w:rsidRPr="004530CF">
        <w:rPr>
          <w:rFonts w:ascii="Times New Roman" w:hAnsi="Times New Roman" w:cs="Times New Roman"/>
          <w:sz w:val="28"/>
          <w:szCs w:val="28"/>
        </w:rPr>
        <w:t xml:space="preserve"> célere,</w:t>
      </w:r>
      <w:r w:rsidRPr="004530CF">
        <w:rPr>
          <w:rFonts w:ascii="Times New Roman" w:hAnsi="Times New Roman" w:cs="Times New Roman"/>
          <w:sz w:val="28"/>
          <w:szCs w:val="28"/>
        </w:rPr>
        <w:t xml:space="preserve"> la regularidad de los</w:t>
      </w:r>
      <w:r w:rsidRPr="004530CF">
        <w:rPr>
          <w:rFonts w:ascii="Times New Roman" w:hAnsi="Times New Roman" w:cs="Times New Roman"/>
          <w:sz w:val="28"/>
          <w:szCs w:val="28"/>
        </w:rPr>
        <w:t xml:space="preserve"> certámenes</w:t>
      </w:r>
      <w:r w:rsidRPr="004530CF">
        <w:rPr>
          <w:rFonts w:ascii="Times New Roman" w:hAnsi="Times New Roman" w:cs="Times New Roman"/>
          <w:sz w:val="28"/>
          <w:szCs w:val="28"/>
        </w:rPr>
        <w:t xml:space="preserve"> electorales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Así</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por ejemplo, d</w:t>
      </w:r>
      <w:r w:rsidRPr="004530CF">
        <w:rPr>
          <w:rFonts w:ascii="Times New Roman" w:hAnsi="Times New Roman" w:cs="Times New Roman"/>
          <w:sz w:val="28"/>
          <w:szCs w:val="28"/>
        </w:rPr>
        <w:t xml:space="preserve">urante el debate </w:t>
      </w:r>
      <w:r w:rsidRPr="004530CF">
        <w:rPr>
          <w:rFonts w:ascii="Times New Roman" w:hAnsi="Times New Roman" w:cs="Times New Roman"/>
          <w:sz w:val="28"/>
          <w:szCs w:val="28"/>
        </w:rPr>
        <w:t>que tuvo lugar en</w:t>
      </w:r>
      <w:r w:rsidRPr="004530CF">
        <w:rPr>
          <w:rFonts w:ascii="Times New Roman" w:hAnsi="Times New Roman" w:cs="Times New Roman"/>
          <w:sz w:val="28"/>
          <w:szCs w:val="28"/>
        </w:rPr>
        <w:t xml:space="preserve"> la Comisión Primera del Senado de la República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w:t>
      </w:r>
      <w:r w:rsidRPr="004530CF">
        <w:rPr>
          <w:rFonts w:ascii="Times New Roman" w:hAnsi="Times New Roman" w:cs="Times New Roman"/>
          <w:sz w:val="28"/>
          <w:szCs w:val="28"/>
        </w:rPr>
        <w:t>en el curso de la segunda vuelta</w:t>
      </w:r>
      <w:r w:rsidRPr="004530CF">
        <w:rPr>
          <w:rFonts w:ascii="Times New Roman" w:hAnsi="Times New Roman" w:cs="Times New Roman"/>
          <w:sz w:val="28"/>
          <w:szCs w:val="28"/>
        </w:rPr>
        <w:t>–</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se suscitó una </w:t>
      </w:r>
      <w:r w:rsidRPr="004530CF">
        <w:rPr>
          <w:rFonts w:ascii="Times New Roman" w:hAnsi="Times New Roman" w:cs="Times New Roman"/>
          <w:sz w:val="28"/>
          <w:szCs w:val="28"/>
        </w:rPr>
        <w:t>discusión</w:t>
      </w:r>
      <w:r w:rsidRPr="004530CF">
        <w:rPr>
          <w:rFonts w:ascii="Times New Roman" w:hAnsi="Times New Roman" w:cs="Times New Roman"/>
          <w:sz w:val="28"/>
          <w:szCs w:val="28"/>
        </w:rPr>
        <w:t xml:space="preserve"> sobre</w:t>
      </w:r>
      <w:r w:rsidRPr="004530CF">
        <w:rPr>
          <w:rFonts w:ascii="Times New Roman" w:hAnsi="Times New Roman" w:cs="Times New Roman"/>
          <w:sz w:val="28"/>
          <w:szCs w:val="28"/>
        </w:rPr>
        <w:t xml:space="preserve"> las condiciones bajo las cuales debía atribuirse a la </w:t>
      </w:r>
      <w:r w:rsidRPr="004530CF">
        <w:rPr>
          <w:rFonts w:ascii="Times New Roman" w:hAnsi="Times New Roman" w:cs="Times New Roman"/>
          <w:sz w:val="28"/>
          <w:szCs w:val="28"/>
        </w:rPr>
        <w:t>J</w:t>
      </w:r>
      <w:r w:rsidRPr="004530CF">
        <w:rPr>
          <w:rFonts w:ascii="Times New Roman" w:hAnsi="Times New Roman" w:cs="Times New Roman"/>
          <w:sz w:val="28"/>
          <w:szCs w:val="28"/>
        </w:rPr>
        <w:t xml:space="preserve">urisdicción de lo </w:t>
      </w:r>
      <w:r w:rsidRPr="004530CF">
        <w:rPr>
          <w:rFonts w:ascii="Times New Roman" w:hAnsi="Times New Roman" w:cs="Times New Roman"/>
          <w:sz w:val="28"/>
          <w:szCs w:val="28"/>
        </w:rPr>
        <w:t>C</w:t>
      </w:r>
      <w:r w:rsidRPr="004530CF">
        <w:rPr>
          <w:rFonts w:ascii="Times New Roman" w:hAnsi="Times New Roman" w:cs="Times New Roman"/>
          <w:sz w:val="28"/>
          <w:szCs w:val="28"/>
        </w:rPr>
        <w:t xml:space="preserve">ontencioso </w:t>
      </w:r>
      <w:r w:rsidRPr="004530CF">
        <w:rPr>
          <w:rFonts w:ascii="Times New Roman" w:hAnsi="Times New Roman" w:cs="Times New Roman"/>
          <w:sz w:val="28"/>
          <w:szCs w:val="28"/>
        </w:rPr>
        <w:t>A</w:t>
      </w:r>
      <w:r w:rsidRPr="004530CF">
        <w:rPr>
          <w:rFonts w:ascii="Times New Roman" w:hAnsi="Times New Roman" w:cs="Times New Roman"/>
          <w:sz w:val="28"/>
          <w:szCs w:val="28"/>
        </w:rPr>
        <w:t>dministrativo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la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competencia para pronunciarse sobre </w:t>
      </w:r>
      <w:r w:rsidRPr="004530CF">
        <w:rPr>
          <w:rFonts w:ascii="Times New Roman" w:hAnsi="Times New Roman" w:cs="Times New Roman"/>
          <w:sz w:val="28"/>
          <w:szCs w:val="28"/>
        </w:rPr>
        <w:t>e</w:t>
      </w:r>
      <w:r w:rsidRPr="004530CF">
        <w:rPr>
          <w:rFonts w:ascii="Times New Roman" w:hAnsi="Times New Roman" w:cs="Times New Roman"/>
          <w:sz w:val="28"/>
          <w:szCs w:val="28"/>
        </w:rPr>
        <w:t xml:space="preserve">l medio de control </w:t>
      </w:r>
      <w:r w:rsidRPr="004530CF">
        <w:rPr>
          <w:rFonts w:ascii="Times New Roman" w:hAnsi="Times New Roman" w:cs="Times New Roman"/>
          <w:sz w:val="28"/>
          <w:szCs w:val="28"/>
        </w:rPr>
        <w:t xml:space="preserve">de nulidad electoral. </w:t>
      </w:r>
    </w:p>
    <w:p w:rsidR="00A445DE" w:rsidRPr="004530CF" w:rsidRDefault="004530CF" w:rsidP="004C7B30">
      <w:pPr>
        <w:pStyle w:val="Prrafodelista"/>
        <w:ind w:left="0"/>
        <w:rPr>
          <w:rFonts w:ascii="Times New Roman" w:hAnsi="Times New Roman" w:cs="Times New Roman"/>
          <w:sz w:val="28"/>
          <w:szCs w:val="28"/>
        </w:rPr>
      </w:pPr>
    </w:p>
    <w:p w:rsidR="00654D91"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U</w:t>
      </w:r>
      <w:r w:rsidRPr="004530CF">
        <w:rPr>
          <w:rFonts w:ascii="Times New Roman" w:hAnsi="Times New Roman" w:cs="Times New Roman"/>
          <w:sz w:val="28"/>
          <w:szCs w:val="28"/>
        </w:rPr>
        <w:t>no de los senadores justificó la propuesta de introducir términos</w:t>
      </w:r>
      <w:r w:rsidRPr="004530CF">
        <w:rPr>
          <w:rFonts w:ascii="Times New Roman" w:hAnsi="Times New Roman" w:cs="Times New Roman"/>
          <w:sz w:val="28"/>
          <w:szCs w:val="28"/>
        </w:rPr>
        <w:t xml:space="preserve"> reducidos</w:t>
      </w:r>
      <w:r w:rsidRPr="004530CF">
        <w:rPr>
          <w:rFonts w:ascii="Times New Roman" w:hAnsi="Times New Roman" w:cs="Times New Roman"/>
          <w:sz w:val="28"/>
          <w:szCs w:val="28"/>
        </w:rPr>
        <w:t xml:space="preserve"> para</w:t>
      </w:r>
      <w:r w:rsidRPr="004530CF">
        <w:rPr>
          <w:rFonts w:ascii="Times New Roman" w:hAnsi="Times New Roman" w:cs="Times New Roman"/>
          <w:sz w:val="28"/>
          <w:szCs w:val="28"/>
        </w:rPr>
        <w:t xml:space="preserve"> el pronunciamiento judicial en esos casos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w:t>
      </w:r>
      <w:r w:rsidRPr="004530CF">
        <w:rPr>
          <w:rFonts w:ascii="Times New Roman" w:hAnsi="Times New Roman" w:cs="Times New Roman"/>
          <w:sz w:val="28"/>
          <w:szCs w:val="28"/>
        </w:rPr>
        <w:t xml:space="preserve">estacó que </w:t>
      </w:r>
      <w:r w:rsidRPr="004530CF">
        <w:rPr>
          <w:rFonts w:ascii="Times New Roman" w:hAnsi="Times New Roman" w:cs="Times New Roman"/>
          <w:sz w:val="28"/>
          <w:szCs w:val="28"/>
        </w:rPr>
        <w:t>“</w:t>
      </w:r>
      <w:r w:rsidRPr="004530CF">
        <w:rPr>
          <w:rFonts w:ascii="Times New Roman" w:hAnsi="Times New Roman" w:cs="Times New Roman"/>
          <w:i/>
          <w:iCs/>
          <w:sz w:val="28"/>
          <w:szCs w:val="28"/>
        </w:rPr>
        <w:t xml:space="preserve">señalamos un procedimiento breve y sumario para el trámite judicial, es decir, que es claro que queda el trámite administrativo y el trámite judicial, lo que decimos, es </w:t>
      </w:r>
      <w:r w:rsidRPr="004530CF">
        <w:rPr>
          <w:rFonts w:ascii="Times New Roman" w:hAnsi="Times New Roman" w:cs="Times New Roman"/>
          <w:i/>
          <w:iCs/>
          <w:sz w:val="28"/>
          <w:szCs w:val="28"/>
        </w:rPr>
        <w:t>que,</w:t>
      </w:r>
      <w:r w:rsidRPr="004530CF">
        <w:rPr>
          <w:rFonts w:ascii="Times New Roman" w:hAnsi="Times New Roman" w:cs="Times New Roman"/>
          <w:i/>
          <w:iCs/>
          <w:sz w:val="28"/>
          <w:szCs w:val="28"/>
        </w:rPr>
        <w:t xml:space="preserve"> en la </w:t>
      </w:r>
      <w:r w:rsidRPr="004530CF">
        <w:rPr>
          <w:rFonts w:ascii="Times New Roman" w:hAnsi="Times New Roman" w:cs="Times New Roman"/>
          <w:i/>
          <w:iCs/>
          <w:sz w:val="28"/>
          <w:szCs w:val="28"/>
        </w:rPr>
        <w:t>a</w:t>
      </w:r>
      <w:r w:rsidRPr="004530CF">
        <w:rPr>
          <w:rFonts w:ascii="Times New Roman" w:hAnsi="Times New Roman" w:cs="Times New Roman"/>
          <w:i/>
          <w:iCs/>
          <w:sz w:val="28"/>
          <w:szCs w:val="28"/>
        </w:rPr>
        <w:t xml:space="preserve">cción de </w:t>
      </w:r>
      <w:r w:rsidRPr="004530CF">
        <w:rPr>
          <w:rFonts w:ascii="Times New Roman" w:hAnsi="Times New Roman" w:cs="Times New Roman"/>
          <w:i/>
          <w:iCs/>
          <w:sz w:val="28"/>
          <w:szCs w:val="28"/>
        </w:rPr>
        <w:t>n</w:t>
      </w:r>
      <w:r w:rsidRPr="004530CF">
        <w:rPr>
          <w:rFonts w:ascii="Times New Roman" w:hAnsi="Times New Roman" w:cs="Times New Roman"/>
          <w:i/>
          <w:iCs/>
          <w:sz w:val="28"/>
          <w:szCs w:val="28"/>
        </w:rPr>
        <w:t xml:space="preserve">ulidad, la </w:t>
      </w:r>
      <w:r w:rsidRPr="004530CF">
        <w:rPr>
          <w:rFonts w:ascii="Times New Roman" w:hAnsi="Times New Roman" w:cs="Times New Roman"/>
          <w:i/>
          <w:iCs/>
          <w:sz w:val="28"/>
          <w:szCs w:val="28"/>
        </w:rPr>
        <w:t>a</w:t>
      </w:r>
      <w:r w:rsidRPr="004530CF">
        <w:rPr>
          <w:rFonts w:ascii="Times New Roman" w:hAnsi="Times New Roman" w:cs="Times New Roman"/>
          <w:i/>
          <w:iCs/>
          <w:sz w:val="28"/>
          <w:szCs w:val="28"/>
        </w:rPr>
        <w:t xml:space="preserve">cción de </w:t>
      </w:r>
      <w:r w:rsidRPr="004530CF">
        <w:rPr>
          <w:rFonts w:ascii="Times New Roman" w:hAnsi="Times New Roman" w:cs="Times New Roman"/>
          <w:i/>
          <w:iCs/>
          <w:sz w:val="28"/>
          <w:szCs w:val="28"/>
        </w:rPr>
        <w:t>n</w:t>
      </w:r>
      <w:r w:rsidRPr="004530CF">
        <w:rPr>
          <w:rFonts w:ascii="Times New Roman" w:hAnsi="Times New Roman" w:cs="Times New Roman"/>
          <w:i/>
          <w:iCs/>
          <w:sz w:val="28"/>
          <w:szCs w:val="28"/>
        </w:rPr>
        <w:t xml:space="preserve">ulidad electoral, competencia actual de </w:t>
      </w:r>
      <w:r w:rsidRPr="004530CF">
        <w:rPr>
          <w:rFonts w:ascii="Times New Roman" w:hAnsi="Times New Roman" w:cs="Times New Roman"/>
          <w:i/>
          <w:iCs/>
          <w:sz w:val="28"/>
          <w:szCs w:val="28"/>
        </w:rPr>
        <w:t>J</w:t>
      </w:r>
      <w:r w:rsidRPr="004530CF">
        <w:rPr>
          <w:rFonts w:ascii="Times New Roman" w:hAnsi="Times New Roman" w:cs="Times New Roman"/>
          <w:i/>
          <w:iCs/>
          <w:sz w:val="28"/>
          <w:szCs w:val="28"/>
        </w:rPr>
        <w:t>u</w:t>
      </w:r>
      <w:r w:rsidRPr="004530CF">
        <w:rPr>
          <w:rFonts w:ascii="Times New Roman" w:hAnsi="Times New Roman" w:cs="Times New Roman"/>
          <w:i/>
          <w:iCs/>
          <w:sz w:val="28"/>
          <w:szCs w:val="28"/>
        </w:rPr>
        <w:t>risdicción Contencioso-Administrativa</w:t>
      </w:r>
      <w:r w:rsidRPr="004530CF">
        <w:rPr>
          <w:rFonts w:ascii="Times New Roman" w:hAnsi="Times New Roman" w:cs="Times New Roman"/>
          <w:i/>
          <w:iCs/>
          <w:sz w:val="28"/>
          <w:szCs w:val="28"/>
        </w:rPr>
        <w:t>,</w:t>
      </w:r>
      <w:r w:rsidRPr="004530CF">
        <w:rPr>
          <w:rFonts w:ascii="Times New Roman" w:hAnsi="Times New Roman" w:cs="Times New Roman"/>
          <w:i/>
          <w:iCs/>
          <w:sz w:val="28"/>
          <w:szCs w:val="28"/>
        </w:rPr>
        <w:t xml:space="preserve"> seguirá en cabeza de ella</w:t>
      </w:r>
      <w:r w:rsidRPr="004530CF">
        <w:rPr>
          <w:rFonts w:ascii="Times New Roman" w:hAnsi="Times New Roman" w:cs="Times New Roman"/>
          <w:i/>
          <w:iCs/>
          <w:sz w:val="28"/>
          <w:szCs w:val="28"/>
        </w:rPr>
        <w:t xml:space="preserve"> </w:t>
      </w:r>
      <w:r w:rsidRPr="004530CF">
        <w:rPr>
          <w:rFonts w:ascii="Times New Roman" w:hAnsi="Times New Roman" w:cs="Times New Roman"/>
          <w:iCs/>
          <w:sz w:val="28"/>
          <w:szCs w:val="28"/>
        </w:rPr>
        <w:t>(…)”</w:t>
      </w:r>
      <w:r w:rsidRPr="004530CF">
        <w:rPr>
          <w:rFonts w:ascii="Times New Roman" w:hAnsi="Times New Roman" w:cs="Times New Roman"/>
          <w:i/>
          <w:iCs/>
          <w:sz w:val="28"/>
          <w:szCs w:val="28"/>
        </w:rPr>
        <w:t>.</w:t>
      </w:r>
      <w:r w:rsidRPr="004530CF">
        <w:rPr>
          <w:rFonts w:ascii="Times New Roman" w:hAnsi="Times New Roman" w:cs="Times New Roman"/>
          <w:sz w:val="28"/>
          <w:szCs w:val="28"/>
        </w:rPr>
        <w:t xml:space="preserve"> Advirtió</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a continuación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que “</w:t>
      </w:r>
      <w:r w:rsidRPr="004530CF">
        <w:rPr>
          <w:rFonts w:ascii="Times New Roman" w:hAnsi="Times New Roman" w:cs="Times New Roman"/>
          <w:i/>
          <w:iCs/>
          <w:sz w:val="28"/>
          <w:szCs w:val="28"/>
        </w:rPr>
        <w:t>en los procesos de doble instancia, el trámite de primera instancia no podrá superar los dos meses y el trámite de segunda instancia no podrá superar un m</w:t>
      </w:r>
      <w:r w:rsidRPr="004530CF">
        <w:rPr>
          <w:rFonts w:ascii="Times New Roman" w:hAnsi="Times New Roman" w:cs="Times New Roman"/>
          <w:i/>
          <w:iCs/>
          <w:sz w:val="28"/>
          <w:szCs w:val="28"/>
        </w:rPr>
        <w:t>es, es decir que el trámite en las dos instancias será de tres meses, y en aquellos eventos de única instancia, o en tribunal, o en Consejo de Estado,</w:t>
      </w:r>
      <w:r w:rsidRPr="004530CF">
        <w:rPr>
          <w:rFonts w:ascii="Times New Roman" w:hAnsi="Times New Roman" w:cs="Times New Roman"/>
          <w:i/>
          <w:iCs/>
          <w:sz w:val="28"/>
          <w:szCs w:val="28"/>
        </w:rPr>
        <w:t xml:space="preserve"> </w:t>
      </w:r>
      <w:r w:rsidRPr="004530CF">
        <w:rPr>
          <w:rFonts w:ascii="Times New Roman" w:hAnsi="Times New Roman" w:cs="Times New Roman"/>
          <w:i/>
          <w:iCs/>
          <w:sz w:val="28"/>
          <w:szCs w:val="28"/>
        </w:rPr>
        <w:t xml:space="preserve">por ejemplo, </w:t>
      </w:r>
      <w:r w:rsidRPr="004530CF">
        <w:rPr>
          <w:rFonts w:ascii="Times New Roman" w:hAnsi="Times New Roman" w:cs="Times New Roman"/>
          <w:i/>
          <w:iCs/>
          <w:sz w:val="28"/>
          <w:szCs w:val="28"/>
        </w:rPr>
        <w:t>s</w:t>
      </w:r>
      <w:r w:rsidRPr="004530CF">
        <w:rPr>
          <w:rFonts w:ascii="Times New Roman" w:hAnsi="Times New Roman" w:cs="Times New Roman"/>
          <w:i/>
          <w:iCs/>
          <w:sz w:val="28"/>
          <w:szCs w:val="28"/>
        </w:rPr>
        <w:t xml:space="preserve">enadores de la República o elección de </w:t>
      </w:r>
      <w:r w:rsidRPr="004530CF">
        <w:rPr>
          <w:rFonts w:ascii="Times New Roman" w:hAnsi="Times New Roman" w:cs="Times New Roman"/>
          <w:i/>
          <w:iCs/>
          <w:sz w:val="28"/>
          <w:szCs w:val="28"/>
        </w:rPr>
        <w:t>p</w:t>
      </w:r>
      <w:r w:rsidRPr="004530CF">
        <w:rPr>
          <w:rFonts w:ascii="Times New Roman" w:hAnsi="Times New Roman" w:cs="Times New Roman"/>
          <w:i/>
          <w:iCs/>
          <w:sz w:val="28"/>
          <w:szCs w:val="28"/>
        </w:rPr>
        <w:t xml:space="preserve">residente de la República, será un trámite de tres </w:t>
      </w:r>
      <w:r w:rsidRPr="004530CF">
        <w:rPr>
          <w:rFonts w:ascii="Times New Roman" w:hAnsi="Times New Roman" w:cs="Times New Roman"/>
          <w:i/>
          <w:iCs/>
          <w:sz w:val="28"/>
          <w:szCs w:val="28"/>
        </w:rPr>
        <w:t>meses en única instancia, por supuesto susceptible a discusión, pero lo que queremos prácticamente un recurso de amparo electoral con un término breve y preciso (…)</w:t>
      </w:r>
      <w:r w:rsidRPr="004530CF">
        <w:rPr>
          <w:rFonts w:ascii="Times New Roman" w:hAnsi="Times New Roman" w:cs="Times New Roman"/>
          <w:sz w:val="28"/>
          <w:szCs w:val="28"/>
        </w:rPr>
        <w:t>”</w:t>
      </w:r>
      <w:r w:rsidRPr="004530CF">
        <w:rPr>
          <w:rStyle w:val="Refdenotaalpie"/>
          <w:rFonts w:ascii="Times New Roman" w:hAnsi="Times New Roman" w:cs="Times New Roman"/>
          <w:sz w:val="28"/>
          <w:szCs w:val="28"/>
        </w:rPr>
        <w:footnoteReference w:id="20"/>
      </w:r>
      <w:r w:rsidRPr="004530CF">
        <w:rPr>
          <w:rFonts w:ascii="Times New Roman" w:hAnsi="Times New Roman" w:cs="Times New Roman"/>
          <w:sz w:val="28"/>
          <w:szCs w:val="28"/>
        </w:rPr>
        <w:t>.</w:t>
      </w:r>
    </w:p>
    <w:p w:rsidR="00654D91" w:rsidRPr="004530CF" w:rsidRDefault="004530CF" w:rsidP="004C7B30">
      <w:pPr>
        <w:autoSpaceDE w:val="0"/>
        <w:autoSpaceDN w:val="0"/>
        <w:adjustRightInd w:val="0"/>
        <w:jc w:val="both"/>
        <w:rPr>
          <w:rFonts w:ascii="Times New Roman" w:hAnsi="Times New Roman" w:cs="Times New Roman"/>
          <w:sz w:val="28"/>
          <w:szCs w:val="28"/>
        </w:rPr>
      </w:pPr>
    </w:p>
    <w:p w:rsidR="008B773F"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Luego de avanzar en la discusión</w:t>
      </w:r>
      <w:r w:rsidRPr="004530CF">
        <w:rPr>
          <w:rFonts w:ascii="Times New Roman" w:hAnsi="Times New Roman" w:cs="Times New Roman"/>
          <w:sz w:val="28"/>
          <w:szCs w:val="28"/>
        </w:rPr>
        <w:t xml:space="preserve">, de plantear críticas a la fijación de reglas tan específicas en la Constitución </w:t>
      </w:r>
      <w:r w:rsidRPr="004530CF">
        <w:rPr>
          <w:rFonts w:ascii="Times New Roman" w:hAnsi="Times New Roman" w:cs="Times New Roman"/>
          <w:sz w:val="28"/>
          <w:szCs w:val="28"/>
        </w:rPr>
        <w:t>y de un intercambio de argumentos</w:t>
      </w:r>
      <w:r w:rsidRPr="004530CF">
        <w:rPr>
          <w:rFonts w:ascii="Times New Roman" w:hAnsi="Times New Roman" w:cs="Times New Roman"/>
          <w:sz w:val="28"/>
          <w:szCs w:val="28"/>
        </w:rPr>
        <w:t xml:space="preserve"> sobre cuál era </w:t>
      </w:r>
      <w:r w:rsidRPr="004530CF">
        <w:rPr>
          <w:rFonts w:ascii="Times New Roman" w:hAnsi="Times New Roman" w:cs="Times New Roman"/>
          <w:sz w:val="28"/>
          <w:szCs w:val="28"/>
        </w:rPr>
        <w:t>la mejor forma de regular la nulidad electoral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se presentó una propuesta, finalmente aprobada en la Comisión Primera del Sen</w:t>
      </w:r>
      <w:r w:rsidRPr="004530CF">
        <w:rPr>
          <w:rFonts w:ascii="Times New Roman" w:hAnsi="Times New Roman" w:cs="Times New Roman"/>
          <w:sz w:val="28"/>
          <w:szCs w:val="28"/>
        </w:rPr>
        <w:t>ado, en la que se</w:t>
      </w:r>
      <w:r w:rsidRPr="004530CF">
        <w:rPr>
          <w:rFonts w:ascii="Times New Roman" w:hAnsi="Times New Roman" w:cs="Times New Roman"/>
          <w:sz w:val="28"/>
          <w:szCs w:val="28"/>
        </w:rPr>
        <w:t xml:space="preserve"> adoptaba el parágrafo con el texto hoy vigente. Ese texto fue nuevamente propuesto en la ponencia presentada para el debate que tendría lugar en la Plenaria del Senado. En dicho informe se</w:t>
      </w:r>
      <w:r w:rsidRPr="004530CF">
        <w:rPr>
          <w:rFonts w:ascii="Times New Roman" w:hAnsi="Times New Roman" w:cs="Times New Roman"/>
          <w:sz w:val="28"/>
          <w:szCs w:val="28"/>
        </w:rPr>
        <w:t xml:space="preserve"> precis</w:t>
      </w:r>
      <w:r w:rsidRPr="004530CF">
        <w:rPr>
          <w:rFonts w:ascii="Times New Roman" w:hAnsi="Times New Roman" w:cs="Times New Roman"/>
          <w:sz w:val="28"/>
          <w:szCs w:val="28"/>
        </w:rPr>
        <w:t>ó</w:t>
      </w:r>
      <w:r w:rsidRPr="004530CF">
        <w:rPr>
          <w:rFonts w:ascii="Times New Roman" w:hAnsi="Times New Roman" w:cs="Times New Roman"/>
          <w:sz w:val="28"/>
          <w:szCs w:val="28"/>
        </w:rPr>
        <w:t xml:space="preserve"> que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entre los propósitos de la reforma d</w:t>
      </w:r>
      <w:r w:rsidRPr="004530CF">
        <w:rPr>
          <w:rFonts w:ascii="Times New Roman" w:hAnsi="Times New Roman" w:cs="Times New Roman"/>
          <w:sz w:val="28"/>
          <w:szCs w:val="28"/>
        </w:rPr>
        <w:t>e la organización electoral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se encontraba </w:t>
      </w:r>
      <w:r w:rsidRPr="004530CF">
        <w:rPr>
          <w:rFonts w:ascii="Times New Roman" w:hAnsi="Times New Roman" w:cs="Times New Roman"/>
          <w:sz w:val="28"/>
          <w:szCs w:val="28"/>
        </w:rPr>
        <w:t xml:space="preserve">el de </w:t>
      </w:r>
      <w:r w:rsidRPr="004530CF">
        <w:rPr>
          <w:rFonts w:ascii="Times New Roman" w:hAnsi="Times New Roman" w:cs="Times New Roman"/>
          <w:sz w:val="28"/>
          <w:szCs w:val="28"/>
          <w:shd w:val="clear" w:color="auto" w:fill="FFFFFF"/>
        </w:rPr>
        <w:t>“</w:t>
      </w:r>
      <w:r w:rsidRPr="004530CF">
        <w:rPr>
          <w:rFonts w:ascii="Times New Roman" w:hAnsi="Times New Roman" w:cs="Times New Roman"/>
          <w:i/>
          <w:iCs/>
          <w:sz w:val="28"/>
          <w:szCs w:val="28"/>
          <w:shd w:val="clear" w:color="auto" w:fill="FFFFFF"/>
        </w:rPr>
        <w:t>proveer mecanismos tendientes a la pronta decisión de controversias electorales cuya tardía solución burla los intereses de la justicia y de los electores</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21"/>
      </w:r>
      <w:r w:rsidRPr="004530CF">
        <w:rPr>
          <w:rFonts w:ascii="Times New Roman" w:hAnsi="Times New Roman" w:cs="Times New Roman"/>
          <w:sz w:val="28"/>
          <w:szCs w:val="28"/>
          <w:shd w:val="clear" w:color="auto" w:fill="FFFFFF"/>
        </w:rPr>
        <w:t>. </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 </w:t>
      </w:r>
    </w:p>
    <w:p w:rsidR="00776504" w:rsidRPr="004530CF" w:rsidRDefault="004530CF" w:rsidP="004C7B30">
      <w:pPr>
        <w:pStyle w:val="Prrafodelista"/>
        <w:ind w:left="0"/>
        <w:jc w:val="both"/>
        <w:rPr>
          <w:rFonts w:ascii="Times New Roman" w:hAnsi="Times New Roman" w:cs="Times New Roman"/>
          <w:sz w:val="28"/>
          <w:szCs w:val="28"/>
        </w:rPr>
      </w:pPr>
    </w:p>
    <w:p w:rsidR="00BE390E"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El parágrafo del artículo 264 de la Constitución tuvo entonces como propósito </w:t>
      </w:r>
      <w:r w:rsidRPr="004530CF">
        <w:rPr>
          <w:rFonts w:ascii="Times New Roman" w:hAnsi="Times New Roman" w:cs="Times New Roman"/>
          <w:sz w:val="28"/>
          <w:szCs w:val="28"/>
        </w:rPr>
        <w:t xml:space="preserve">asegurar que las </w:t>
      </w:r>
      <w:r w:rsidRPr="004530CF">
        <w:rPr>
          <w:rFonts w:ascii="Times New Roman" w:hAnsi="Times New Roman" w:cs="Times New Roman"/>
          <w:sz w:val="28"/>
          <w:szCs w:val="28"/>
        </w:rPr>
        <w:t>controversias relativas a la nulidad electoral fueran decididas en un</w:t>
      </w:r>
      <w:r w:rsidRPr="004530CF">
        <w:rPr>
          <w:rFonts w:ascii="Times New Roman" w:hAnsi="Times New Roman" w:cs="Times New Roman"/>
          <w:sz w:val="28"/>
          <w:szCs w:val="28"/>
        </w:rPr>
        <w:t xml:space="preserve"> tiempo reducido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Y</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ese contexto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el acto legislativo fijó un término máximo para </w:t>
      </w:r>
      <w:r w:rsidRPr="004530CF">
        <w:rPr>
          <w:rFonts w:ascii="Times New Roman" w:hAnsi="Times New Roman" w:cs="Times New Roman"/>
          <w:sz w:val="28"/>
          <w:szCs w:val="28"/>
        </w:rPr>
        <w:t>que la</w:t>
      </w:r>
      <w:r w:rsidRPr="004530CF">
        <w:rPr>
          <w:rFonts w:ascii="Times New Roman" w:hAnsi="Times New Roman" w:cs="Times New Roman"/>
          <w:sz w:val="28"/>
          <w:szCs w:val="28"/>
        </w:rPr>
        <w:t xml:space="preserve"> justicia administrativa </w:t>
      </w:r>
      <w:r w:rsidRPr="004530CF">
        <w:rPr>
          <w:rFonts w:ascii="Times New Roman" w:hAnsi="Times New Roman" w:cs="Times New Roman"/>
          <w:sz w:val="28"/>
          <w:szCs w:val="28"/>
        </w:rPr>
        <w:t>adoptar</w:t>
      </w:r>
      <w:r w:rsidRPr="004530CF">
        <w:rPr>
          <w:rFonts w:ascii="Times New Roman" w:hAnsi="Times New Roman" w:cs="Times New Roman"/>
          <w:sz w:val="28"/>
          <w:szCs w:val="28"/>
        </w:rPr>
        <w:t>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la</w:t>
      </w:r>
      <w:r w:rsidRPr="004530CF">
        <w:rPr>
          <w:rFonts w:ascii="Times New Roman" w:hAnsi="Times New Roman" w:cs="Times New Roman"/>
          <w:sz w:val="28"/>
          <w:szCs w:val="28"/>
        </w:rPr>
        <w:t xml:space="preserve"> decisión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función de si el proceso, según lo </w:t>
      </w:r>
      <w:r w:rsidRPr="004530CF">
        <w:rPr>
          <w:rFonts w:ascii="Times New Roman" w:hAnsi="Times New Roman" w:cs="Times New Roman"/>
          <w:sz w:val="28"/>
          <w:szCs w:val="28"/>
        </w:rPr>
        <w:t xml:space="preserve">que </w:t>
      </w:r>
      <w:r w:rsidRPr="004530CF">
        <w:rPr>
          <w:rFonts w:ascii="Times New Roman" w:hAnsi="Times New Roman" w:cs="Times New Roman"/>
          <w:b/>
          <w:i/>
          <w:sz w:val="28"/>
          <w:szCs w:val="28"/>
        </w:rPr>
        <w:t>defini</w:t>
      </w:r>
      <w:r w:rsidRPr="004530CF">
        <w:rPr>
          <w:rFonts w:ascii="Times New Roman" w:hAnsi="Times New Roman" w:cs="Times New Roman"/>
          <w:b/>
          <w:i/>
          <w:sz w:val="28"/>
          <w:szCs w:val="28"/>
        </w:rPr>
        <w:t>era</w:t>
      </w:r>
      <w:r w:rsidRPr="004530CF">
        <w:rPr>
          <w:rFonts w:ascii="Times New Roman" w:hAnsi="Times New Roman" w:cs="Times New Roman"/>
          <w:b/>
          <w:i/>
          <w:sz w:val="28"/>
          <w:szCs w:val="28"/>
        </w:rPr>
        <w:t xml:space="preserve"> el legislador</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era o no de única instancia</w:t>
      </w:r>
      <w:r w:rsidRPr="004530CF">
        <w:rPr>
          <w:rStyle w:val="Refdenotaalpie"/>
          <w:rFonts w:ascii="Times New Roman" w:hAnsi="Times New Roman" w:cs="Times New Roman"/>
          <w:sz w:val="28"/>
          <w:szCs w:val="28"/>
        </w:rPr>
        <w:footnoteReference w:id="22"/>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Insiste la Sala que el </w:t>
      </w:r>
      <w:r w:rsidRPr="004530CF">
        <w:rPr>
          <w:rFonts w:ascii="Times New Roman" w:hAnsi="Times New Roman" w:cs="Times New Roman"/>
          <w:sz w:val="28"/>
          <w:szCs w:val="28"/>
        </w:rPr>
        <w:t>carácter especialmente explícito al</w:t>
      </w:r>
      <w:r w:rsidRPr="004530CF">
        <w:rPr>
          <w:rFonts w:ascii="Times New Roman" w:hAnsi="Times New Roman" w:cs="Times New Roman"/>
          <w:sz w:val="28"/>
          <w:szCs w:val="28"/>
        </w:rPr>
        <w:t xml:space="preserve"> atribuir</w:t>
      </w:r>
      <w:r w:rsidRPr="004530CF">
        <w:rPr>
          <w:rFonts w:ascii="Times New Roman" w:hAnsi="Times New Roman" w:cs="Times New Roman"/>
          <w:sz w:val="28"/>
          <w:szCs w:val="28"/>
        </w:rPr>
        <w:t xml:space="preserve"> la competencia </w:t>
      </w:r>
      <w:r w:rsidRPr="004530CF">
        <w:rPr>
          <w:rFonts w:ascii="Times New Roman" w:hAnsi="Times New Roman" w:cs="Times New Roman"/>
          <w:sz w:val="28"/>
          <w:szCs w:val="28"/>
        </w:rPr>
        <w:t>al</w:t>
      </w:r>
      <w:r w:rsidRPr="004530CF">
        <w:rPr>
          <w:rFonts w:ascii="Times New Roman" w:hAnsi="Times New Roman" w:cs="Times New Roman"/>
          <w:sz w:val="28"/>
          <w:szCs w:val="28"/>
        </w:rPr>
        <w:t xml:space="preserve"> legislador</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unido a los fi</w:t>
      </w:r>
      <w:r w:rsidRPr="004530CF">
        <w:rPr>
          <w:rFonts w:ascii="Times New Roman" w:hAnsi="Times New Roman" w:cs="Times New Roman"/>
          <w:sz w:val="28"/>
          <w:szCs w:val="28"/>
        </w:rPr>
        <w:t>nes perseguidos con esa atribución</w:t>
      </w:r>
      <w:r w:rsidRPr="004530CF">
        <w:rPr>
          <w:rFonts w:ascii="Times New Roman" w:hAnsi="Times New Roman" w:cs="Times New Roman"/>
          <w:sz w:val="28"/>
          <w:szCs w:val="28"/>
        </w:rPr>
        <w:t>, ha debido</w:t>
      </w:r>
      <w:r w:rsidRPr="004530CF">
        <w:rPr>
          <w:rFonts w:ascii="Times New Roman" w:hAnsi="Times New Roman" w:cs="Times New Roman"/>
          <w:sz w:val="28"/>
          <w:szCs w:val="28"/>
        </w:rPr>
        <w:t xml:space="preserve"> valorarse por el demandante al cuestionar</w:t>
      </w:r>
      <w:r w:rsidRPr="004530CF">
        <w:rPr>
          <w:rFonts w:ascii="Times New Roman" w:hAnsi="Times New Roman" w:cs="Times New Roman"/>
          <w:sz w:val="28"/>
          <w:szCs w:val="28"/>
        </w:rPr>
        <w:t xml:space="preserve"> el</w:t>
      </w:r>
      <w:r w:rsidRPr="004530CF">
        <w:rPr>
          <w:rFonts w:ascii="Times New Roman" w:hAnsi="Times New Roman" w:cs="Times New Roman"/>
          <w:sz w:val="28"/>
          <w:szCs w:val="28"/>
        </w:rPr>
        <w:t xml:space="preserve"> texto actual del</w:t>
      </w:r>
      <w:r w:rsidRPr="004530CF">
        <w:rPr>
          <w:rFonts w:ascii="Times New Roman" w:hAnsi="Times New Roman" w:cs="Times New Roman"/>
          <w:sz w:val="28"/>
          <w:szCs w:val="28"/>
        </w:rPr>
        <w:t xml:space="preserve"> artículo 149.3 de la Ley 1437</w:t>
      </w:r>
      <w:r w:rsidRPr="004530CF">
        <w:rPr>
          <w:rFonts w:ascii="Times New Roman" w:hAnsi="Times New Roman" w:cs="Times New Roman"/>
          <w:sz w:val="28"/>
          <w:szCs w:val="28"/>
        </w:rPr>
        <w:t xml:space="preserve"> de 2011</w:t>
      </w:r>
      <w:r w:rsidRPr="004530CF">
        <w:rPr>
          <w:rFonts w:ascii="Times New Roman" w:hAnsi="Times New Roman" w:cs="Times New Roman"/>
          <w:sz w:val="28"/>
          <w:szCs w:val="28"/>
        </w:rPr>
        <w:t>. La Constitución reconoció</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un ámbito </w:t>
      </w:r>
      <w:r w:rsidRPr="004530CF">
        <w:rPr>
          <w:rFonts w:ascii="Times New Roman" w:hAnsi="Times New Roman" w:cs="Times New Roman"/>
          <w:sz w:val="28"/>
          <w:szCs w:val="28"/>
        </w:rPr>
        <w:t xml:space="preserve">procesal </w:t>
      </w:r>
      <w:r w:rsidRPr="004530CF">
        <w:rPr>
          <w:rFonts w:ascii="Times New Roman" w:hAnsi="Times New Roman" w:cs="Times New Roman"/>
          <w:sz w:val="28"/>
          <w:szCs w:val="28"/>
        </w:rPr>
        <w:t>concreto</w:t>
      </w:r>
      <w:r w:rsidRPr="004530CF">
        <w:rPr>
          <w:rFonts w:ascii="Times New Roman" w:hAnsi="Times New Roman" w:cs="Times New Roman"/>
          <w:sz w:val="28"/>
          <w:szCs w:val="28"/>
        </w:rPr>
        <w:t xml:space="preserve"> y delimitado, una competencia legislativa de</w:t>
      </w:r>
      <w:r w:rsidRPr="004530CF">
        <w:rPr>
          <w:rFonts w:ascii="Times New Roman" w:hAnsi="Times New Roman" w:cs="Times New Roman"/>
          <w:sz w:val="28"/>
          <w:szCs w:val="28"/>
        </w:rPr>
        <w:t xml:space="preserve"> configuración que</w:t>
      </w:r>
      <w:r w:rsidRPr="004530CF">
        <w:rPr>
          <w:rFonts w:ascii="Times New Roman" w:hAnsi="Times New Roman" w:cs="Times New Roman"/>
          <w:sz w:val="28"/>
          <w:szCs w:val="28"/>
        </w:rPr>
        <w:t xml:space="preserve"> ha debido</w:t>
      </w:r>
      <w:r w:rsidRPr="004530CF">
        <w:rPr>
          <w:rFonts w:ascii="Times New Roman" w:hAnsi="Times New Roman" w:cs="Times New Roman"/>
          <w:sz w:val="28"/>
          <w:szCs w:val="28"/>
        </w:rPr>
        <w:t xml:space="preserve"> ser</w:t>
      </w:r>
      <w:r w:rsidRPr="004530CF">
        <w:rPr>
          <w:rFonts w:ascii="Times New Roman" w:hAnsi="Times New Roman" w:cs="Times New Roman"/>
          <w:sz w:val="28"/>
          <w:szCs w:val="28"/>
        </w:rPr>
        <w:t xml:space="preserve"> considerada</w:t>
      </w:r>
      <w:r w:rsidRPr="004530CF">
        <w:rPr>
          <w:rFonts w:ascii="Times New Roman" w:hAnsi="Times New Roman" w:cs="Times New Roman"/>
          <w:sz w:val="28"/>
          <w:szCs w:val="28"/>
        </w:rPr>
        <w:t xml:space="preserve"> por el demandante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tanto la unidad de la Constitución impone su interpretación sistemática.</w:t>
      </w:r>
    </w:p>
    <w:p w:rsidR="00BE390E" w:rsidRPr="004530CF" w:rsidRDefault="004530CF" w:rsidP="004C7B30">
      <w:pPr>
        <w:pStyle w:val="Prrafodelista"/>
        <w:ind w:left="0"/>
        <w:rPr>
          <w:rFonts w:ascii="Times New Roman" w:hAnsi="Times New Roman" w:cs="Times New Roman"/>
          <w:sz w:val="28"/>
          <w:szCs w:val="28"/>
        </w:rPr>
      </w:pPr>
    </w:p>
    <w:p w:rsidR="00A445DE"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En</w:t>
      </w:r>
      <w:r w:rsidRPr="004530CF">
        <w:rPr>
          <w:rFonts w:ascii="Times New Roman" w:hAnsi="Times New Roman" w:cs="Times New Roman"/>
          <w:sz w:val="28"/>
          <w:szCs w:val="28"/>
        </w:rPr>
        <w:t xml:space="preserve"> es</w:t>
      </w:r>
      <w:r w:rsidRPr="004530CF">
        <w:rPr>
          <w:rFonts w:ascii="Times New Roman" w:hAnsi="Times New Roman" w:cs="Times New Roman"/>
          <w:sz w:val="28"/>
          <w:szCs w:val="28"/>
        </w:rPr>
        <w:t>t</w:t>
      </w:r>
      <w:r w:rsidRPr="004530CF">
        <w:rPr>
          <w:rFonts w:ascii="Times New Roman" w:hAnsi="Times New Roman" w:cs="Times New Roman"/>
          <w:sz w:val="28"/>
          <w:szCs w:val="28"/>
        </w:rPr>
        <w:t>a dirección,</w:t>
      </w:r>
      <w:r w:rsidRPr="004530CF">
        <w:rPr>
          <w:rFonts w:ascii="Times New Roman" w:hAnsi="Times New Roman" w:cs="Times New Roman"/>
          <w:sz w:val="28"/>
          <w:szCs w:val="28"/>
        </w:rPr>
        <w:t xml:space="preserve"> es relevante</w:t>
      </w:r>
      <w:r w:rsidRPr="004530CF">
        <w:rPr>
          <w:rFonts w:ascii="Times New Roman" w:hAnsi="Times New Roman" w:cs="Times New Roman"/>
          <w:sz w:val="28"/>
          <w:szCs w:val="28"/>
        </w:rPr>
        <w:t xml:space="preserve"> precisar </w:t>
      </w:r>
      <w:r w:rsidRPr="004530CF">
        <w:rPr>
          <w:rFonts w:ascii="Times New Roman" w:hAnsi="Times New Roman" w:cs="Times New Roman"/>
          <w:sz w:val="28"/>
          <w:szCs w:val="28"/>
        </w:rPr>
        <w:t>que la habilitación constitucional prevista en el parágrafo del artículo 2</w:t>
      </w:r>
      <w:r w:rsidRPr="004530CF">
        <w:rPr>
          <w:rFonts w:ascii="Times New Roman" w:hAnsi="Times New Roman" w:cs="Times New Roman"/>
          <w:sz w:val="28"/>
          <w:szCs w:val="28"/>
        </w:rPr>
        <w:t xml:space="preserve">64 </w:t>
      </w:r>
      <w:r w:rsidRPr="004530CF">
        <w:rPr>
          <w:rFonts w:ascii="Times New Roman" w:hAnsi="Times New Roman" w:cs="Times New Roman"/>
          <w:sz w:val="28"/>
          <w:szCs w:val="28"/>
        </w:rPr>
        <w:t xml:space="preserve">de la Carta, </w:t>
      </w:r>
      <w:r w:rsidRPr="004530CF">
        <w:rPr>
          <w:rFonts w:ascii="Times New Roman" w:hAnsi="Times New Roman" w:cs="Times New Roman"/>
          <w:sz w:val="28"/>
          <w:szCs w:val="28"/>
        </w:rPr>
        <w:t xml:space="preserve">no admite una lectura puramente competencial. Su contenido evidencia que el Constituyente asoció los procesos de única instancia con una exigencia reforzada de celeridad, de modo que la previsión de única instancia no responde únicamente a </w:t>
      </w:r>
      <w:r w:rsidRPr="004530CF">
        <w:rPr>
          <w:rFonts w:ascii="Times New Roman" w:hAnsi="Times New Roman" w:cs="Times New Roman"/>
          <w:sz w:val="28"/>
          <w:szCs w:val="28"/>
        </w:rPr>
        <w:t>una opción de diseño procesal, sino a la necesidad de garantizar una decisión pronta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aquellas controversias cuya prolongación podría afectar gravemente el funcionamiento del sistema democrático. Esta dimensión sustantiva de la habilitación constitucion</w:t>
      </w:r>
      <w:r w:rsidRPr="004530CF">
        <w:rPr>
          <w:rFonts w:ascii="Times New Roman" w:hAnsi="Times New Roman" w:cs="Times New Roman"/>
          <w:sz w:val="28"/>
          <w:szCs w:val="28"/>
        </w:rPr>
        <w:t xml:space="preserve">al, que excede la mera asignación de competencias al legislador, ha debido integrar el planteamiento del demandante al cuestionar </w:t>
      </w:r>
      <w:r w:rsidRPr="004530CF">
        <w:rPr>
          <w:rFonts w:ascii="Times New Roman" w:hAnsi="Times New Roman" w:cs="Times New Roman"/>
          <w:sz w:val="28"/>
          <w:szCs w:val="28"/>
        </w:rPr>
        <w:t>la</w:t>
      </w:r>
      <w:r w:rsidRPr="004530CF">
        <w:rPr>
          <w:rFonts w:ascii="Times New Roman" w:hAnsi="Times New Roman" w:cs="Times New Roman"/>
          <w:sz w:val="28"/>
          <w:szCs w:val="28"/>
        </w:rPr>
        <w:t xml:space="preserve"> disposición</w:t>
      </w:r>
      <w:r w:rsidRPr="004530CF">
        <w:rPr>
          <w:rFonts w:ascii="Times New Roman" w:hAnsi="Times New Roman" w:cs="Times New Roman"/>
          <w:sz w:val="28"/>
          <w:szCs w:val="28"/>
        </w:rPr>
        <w:t xml:space="preserve"> demandada.</w:t>
      </w:r>
      <w:r w:rsidRPr="004530CF">
        <w:rPr>
          <w:rFonts w:ascii="Times New Roman" w:hAnsi="Times New Roman" w:cs="Times New Roman"/>
          <w:sz w:val="28"/>
          <w:szCs w:val="28"/>
        </w:rPr>
        <w:t xml:space="preserve">      </w:t>
      </w:r>
    </w:p>
    <w:p w:rsidR="00554C8B" w:rsidRPr="004530CF" w:rsidRDefault="004530CF" w:rsidP="004C7B30">
      <w:pPr>
        <w:pStyle w:val="Prrafodelista"/>
        <w:ind w:left="0"/>
        <w:rPr>
          <w:rFonts w:ascii="Times New Roman" w:hAnsi="Times New Roman" w:cs="Times New Roman"/>
          <w:sz w:val="28"/>
          <w:szCs w:val="28"/>
        </w:rPr>
      </w:pPr>
    </w:p>
    <w:p w:rsidR="00156D2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No se trata, en modo alguno, de</w:t>
      </w:r>
      <w:r w:rsidRPr="004530CF">
        <w:rPr>
          <w:rFonts w:ascii="Times New Roman" w:hAnsi="Times New Roman" w:cs="Times New Roman"/>
          <w:sz w:val="28"/>
          <w:szCs w:val="28"/>
        </w:rPr>
        <w:t xml:space="preserve"> exigir a quienes</w:t>
      </w:r>
      <w:r w:rsidRPr="004530CF">
        <w:rPr>
          <w:rFonts w:ascii="Times New Roman" w:hAnsi="Times New Roman" w:cs="Times New Roman"/>
          <w:sz w:val="28"/>
          <w:szCs w:val="28"/>
        </w:rPr>
        <w:t xml:space="preserve"> acuden a la acción p</w:t>
      </w:r>
      <w:r w:rsidRPr="004530CF">
        <w:rPr>
          <w:rFonts w:ascii="Times New Roman" w:hAnsi="Times New Roman" w:cs="Times New Roman"/>
          <w:sz w:val="28"/>
          <w:szCs w:val="28"/>
        </w:rPr>
        <w:t>ú</w:t>
      </w:r>
      <w:r w:rsidRPr="004530CF">
        <w:rPr>
          <w:rFonts w:ascii="Times New Roman" w:hAnsi="Times New Roman" w:cs="Times New Roman"/>
          <w:sz w:val="28"/>
          <w:szCs w:val="28"/>
        </w:rPr>
        <w:t>blica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 contrastar su planteamiento con </w:t>
      </w:r>
      <w:r w:rsidRPr="004530CF">
        <w:rPr>
          <w:rFonts w:ascii="Times New Roman" w:hAnsi="Times New Roman" w:cs="Times New Roman"/>
          <w:i/>
          <w:sz w:val="28"/>
          <w:szCs w:val="28"/>
        </w:rPr>
        <w:t>todas</w:t>
      </w:r>
      <w:r w:rsidRPr="004530CF">
        <w:rPr>
          <w:rFonts w:ascii="Times New Roman" w:hAnsi="Times New Roman" w:cs="Times New Roman"/>
          <w:sz w:val="28"/>
          <w:szCs w:val="28"/>
        </w:rPr>
        <w:t xml:space="preserve"> las posibilidades interpretativas derivadas de la Constitución. </w:t>
      </w:r>
      <w:r w:rsidRPr="004530CF">
        <w:rPr>
          <w:rFonts w:ascii="Times New Roman" w:hAnsi="Times New Roman" w:cs="Times New Roman"/>
          <w:sz w:val="28"/>
          <w:szCs w:val="28"/>
        </w:rPr>
        <w:t>Ello</w:t>
      </w:r>
      <w:r w:rsidRPr="004530CF">
        <w:rPr>
          <w:rFonts w:ascii="Times New Roman" w:hAnsi="Times New Roman" w:cs="Times New Roman"/>
          <w:sz w:val="28"/>
          <w:szCs w:val="28"/>
        </w:rPr>
        <w:t xml:space="preserve"> limitaría significativamente las posibilidades de ejercer esta acción. </w:t>
      </w:r>
      <w:r w:rsidRPr="004530CF">
        <w:rPr>
          <w:rFonts w:ascii="Times New Roman" w:hAnsi="Times New Roman" w:cs="Times New Roman"/>
          <w:sz w:val="28"/>
          <w:szCs w:val="28"/>
        </w:rPr>
        <w:t>Sin embargo,</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la Sala estima que ese contraste </w:t>
      </w:r>
      <w:r w:rsidRPr="004530CF">
        <w:rPr>
          <w:rFonts w:ascii="Times New Roman" w:hAnsi="Times New Roman" w:cs="Times New Roman"/>
          <w:sz w:val="28"/>
          <w:szCs w:val="28"/>
        </w:rPr>
        <w:t xml:space="preserve">sí </w:t>
      </w:r>
      <w:r w:rsidRPr="004530CF">
        <w:rPr>
          <w:rFonts w:ascii="Times New Roman" w:hAnsi="Times New Roman" w:cs="Times New Roman"/>
          <w:sz w:val="28"/>
          <w:szCs w:val="28"/>
        </w:rPr>
        <w:t xml:space="preserve">es exigible </w:t>
      </w:r>
      <w:r w:rsidRPr="004530CF">
        <w:rPr>
          <w:rFonts w:ascii="Times New Roman" w:hAnsi="Times New Roman" w:cs="Times New Roman"/>
          <w:sz w:val="28"/>
          <w:szCs w:val="28"/>
        </w:rPr>
        <w:t>en aquellos c</w:t>
      </w:r>
      <w:r w:rsidRPr="004530CF">
        <w:rPr>
          <w:rFonts w:ascii="Times New Roman" w:hAnsi="Times New Roman" w:cs="Times New Roman"/>
          <w:sz w:val="28"/>
          <w:szCs w:val="28"/>
        </w:rPr>
        <w:t xml:space="preserve">asos en </w:t>
      </w:r>
      <w:r w:rsidRPr="004530CF">
        <w:rPr>
          <w:rFonts w:ascii="Times New Roman" w:hAnsi="Times New Roman" w:cs="Times New Roman"/>
          <w:sz w:val="28"/>
          <w:szCs w:val="28"/>
        </w:rPr>
        <w:t>los cuales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(i) </w:t>
      </w:r>
      <w:r w:rsidRPr="004530CF">
        <w:rPr>
          <w:rFonts w:ascii="Times New Roman" w:hAnsi="Times New Roman" w:cs="Times New Roman"/>
          <w:sz w:val="28"/>
          <w:szCs w:val="28"/>
        </w:rPr>
        <w:t>existe una disposición constitucional que, por su especificidad</w:t>
      </w:r>
      <w:r w:rsidRPr="004530CF">
        <w:rPr>
          <w:rFonts w:ascii="Times New Roman" w:hAnsi="Times New Roman" w:cs="Times New Roman"/>
          <w:sz w:val="28"/>
          <w:szCs w:val="28"/>
        </w:rPr>
        <w:t xml:space="preserve"> temática y</w:t>
      </w:r>
      <w:r w:rsidRPr="004530CF">
        <w:rPr>
          <w:rFonts w:ascii="Times New Roman" w:hAnsi="Times New Roman" w:cs="Times New Roman"/>
          <w:sz w:val="28"/>
          <w:szCs w:val="28"/>
        </w:rPr>
        <w:t xml:space="preserve"> precisión</w:t>
      </w:r>
      <w:r w:rsidRPr="004530CF">
        <w:rPr>
          <w:rFonts w:ascii="Times New Roman" w:hAnsi="Times New Roman" w:cs="Times New Roman"/>
          <w:sz w:val="28"/>
          <w:szCs w:val="28"/>
        </w:rPr>
        <w:t xml:space="preserve"> regulatoria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(ii) </w:t>
      </w:r>
      <w:r w:rsidRPr="004530CF">
        <w:rPr>
          <w:rFonts w:ascii="Times New Roman" w:hAnsi="Times New Roman" w:cs="Times New Roman"/>
          <w:sz w:val="28"/>
          <w:szCs w:val="28"/>
        </w:rPr>
        <w:t xml:space="preserve">podría </w:t>
      </w:r>
      <w:r w:rsidRPr="004530CF">
        <w:rPr>
          <w:rFonts w:ascii="Times New Roman" w:hAnsi="Times New Roman" w:cs="Times New Roman"/>
          <w:sz w:val="28"/>
          <w:szCs w:val="28"/>
        </w:rPr>
        <w:t xml:space="preserve">conducir a una </w:t>
      </w:r>
      <w:r w:rsidRPr="004530CF">
        <w:rPr>
          <w:rFonts w:ascii="Times New Roman" w:hAnsi="Times New Roman" w:cs="Times New Roman"/>
          <w:sz w:val="28"/>
          <w:szCs w:val="28"/>
        </w:rPr>
        <w:t>conclusión contraria a la que se propone en la demanda.</w:t>
      </w:r>
    </w:p>
    <w:p w:rsidR="00156D2B" w:rsidRPr="004530CF" w:rsidRDefault="004530CF" w:rsidP="004C7B30">
      <w:pPr>
        <w:pStyle w:val="Prrafodelista"/>
        <w:ind w:left="0"/>
        <w:rPr>
          <w:rFonts w:ascii="Times New Roman" w:hAnsi="Times New Roman" w:cs="Times New Roman"/>
          <w:sz w:val="28"/>
          <w:szCs w:val="28"/>
        </w:rPr>
      </w:pPr>
    </w:p>
    <w:p w:rsidR="00D27284"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Es precisamente ese contraste </w:t>
      </w:r>
      <w:r w:rsidRPr="004530CF">
        <w:rPr>
          <w:rFonts w:ascii="Times New Roman" w:hAnsi="Times New Roman" w:cs="Times New Roman"/>
          <w:sz w:val="28"/>
          <w:szCs w:val="28"/>
        </w:rPr>
        <w:t>el que no se advierte</w:t>
      </w:r>
      <w:r w:rsidRPr="004530CF">
        <w:rPr>
          <w:rFonts w:ascii="Times New Roman" w:hAnsi="Times New Roman" w:cs="Times New Roman"/>
          <w:sz w:val="28"/>
          <w:szCs w:val="28"/>
        </w:rPr>
        <w:t xml:space="preserve"> en el planteamiento del demandante. Al formular los cargos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no se ocup</w:t>
      </w:r>
      <w:r w:rsidRPr="004530CF">
        <w:rPr>
          <w:rFonts w:ascii="Times New Roman" w:hAnsi="Times New Roman" w:cs="Times New Roman"/>
          <w:sz w:val="28"/>
          <w:szCs w:val="28"/>
        </w:rPr>
        <w:t>ó</w:t>
      </w:r>
      <w:r w:rsidRPr="004530CF">
        <w:rPr>
          <w:rFonts w:ascii="Times New Roman" w:hAnsi="Times New Roman" w:cs="Times New Roman"/>
          <w:sz w:val="28"/>
          <w:szCs w:val="28"/>
        </w:rPr>
        <w:t xml:space="preserve"> de</w:t>
      </w:r>
      <w:r w:rsidRPr="004530CF">
        <w:rPr>
          <w:rFonts w:ascii="Times New Roman" w:hAnsi="Times New Roman" w:cs="Times New Roman"/>
          <w:sz w:val="28"/>
          <w:szCs w:val="28"/>
        </w:rPr>
        <w:t xml:space="preserve"> valorar</w:t>
      </w:r>
      <w:r w:rsidRPr="004530CF">
        <w:rPr>
          <w:rFonts w:ascii="Times New Roman" w:hAnsi="Times New Roman" w:cs="Times New Roman"/>
          <w:sz w:val="28"/>
          <w:szCs w:val="28"/>
        </w:rPr>
        <w:t xml:space="preserve"> el parágrafo del artículo 264 </w:t>
      </w:r>
      <w:r w:rsidRPr="004530CF">
        <w:rPr>
          <w:rFonts w:ascii="Times New Roman" w:hAnsi="Times New Roman" w:cs="Times New Roman"/>
          <w:sz w:val="28"/>
          <w:szCs w:val="28"/>
        </w:rPr>
        <w:t>de la Constitución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con el fin de establecer si </w:t>
      </w:r>
      <w:r w:rsidRPr="004530CF">
        <w:rPr>
          <w:rFonts w:ascii="Times New Roman" w:hAnsi="Times New Roman" w:cs="Times New Roman"/>
          <w:sz w:val="28"/>
          <w:szCs w:val="28"/>
        </w:rPr>
        <w:t xml:space="preserve">la competencia allí establecida </w:t>
      </w:r>
      <w:r w:rsidRPr="004530CF">
        <w:rPr>
          <w:rFonts w:ascii="Times New Roman" w:hAnsi="Times New Roman" w:cs="Times New Roman"/>
          <w:sz w:val="28"/>
          <w:szCs w:val="28"/>
        </w:rPr>
        <w:t>afecta</w:t>
      </w:r>
      <w:r w:rsidRPr="004530CF">
        <w:rPr>
          <w:rFonts w:ascii="Times New Roman" w:hAnsi="Times New Roman" w:cs="Times New Roman"/>
          <w:sz w:val="28"/>
          <w:szCs w:val="28"/>
        </w:rPr>
        <w:t>ba</w:t>
      </w:r>
      <w:r w:rsidRPr="004530CF">
        <w:rPr>
          <w:rFonts w:ascii="Times New Roman" w:hAnsi="Times New Roman" w:cs="Times New Roman"/>
          <w:sz w:val="28"/>
          <w:szCs w:val="28"/>
        </w:rPr>
        <w:t xml:space="preserve"> las premisas básicas de su planteamiento o si</w:t>
      </w:r>
      <w:r w:rsidRPr="004530CF">
        <w:rPr>
          <w:rFonts w:ascii="Times New Roman" w:hAnsi="Times New Roman" w:cs="Times New Roman"/>
          <w:sz w:val="28"/>
          <w:szCs w:val="28"/>
        </w:rPr>
        <w:t>, por el</w:t>
      </w:r>
      <w:r w:rsidRPr="004530CF">
        <w:rPr>
          <w:rFonts w:ascii="Times New Roman" w:hAnsi="Times New Roman" w:cs="Times New Roman"/>
          <w:sz w:val="28"/>
          <w:szCs w:val="28"/>
        </w:rPr>
        <w:t xml:space="preserve"> contrario,</w:t>
      </w:r>
      <w:r w:rsidRPr="004530CF">
        <w:rPr>
          <w:rFonts w:ascii="Times New Roman" w:hAnsi="Times New Roman" w:cs="Times New Roman"/>
          <w:sz w:val="28"/>
          <w:szCs w:val="28"/>
        </w:rPr>
        <w:t xml:space="preserve"> estas eran compatibles con alguna interpretación posible de ese mismo parágrafo. </w:t>
      </w:r>
    </w:p>
    <w:p w:rsidR="00667B84" w:rsidRPr="004530CF" w:rsidRDefault="004530CF" w:rsidP="004C7B30">
      <w:pPr>
        <w:pStyle w:val="Prrafodelista"/>
        <w:ind w:left="0"/>
        <w:rPr>
          <w:rFonts w:ascii="Times New Roman" w:hAnsi="Times New Roman" w:cs="Times New Roman"/>
          <w:sz w:val="28"/>
          <w:szCs w:val="28"/>
        </w:rPr>
      </w:pPr>
    </w:p>
    <w:p w:rsidR="00F9589B"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En contra de esta conclusión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podría sugerirse que en la demanda y en la corrección existen algunas referencias al parágrafo del artículo 264 de la Constitución. Así</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al ocuparse del cargo de igualdad </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no de aquellos cuya aptitud </w:t>
      </w:r>
      <w:r w:rsidRPr="004530CF">
        <w:rPr>
          <w:rFonts w:ascii="Times New Roman" w:hAnsi="Times New Roman" w:cs="Times New Roman"/>
          <w:sz w:val="28"/>
          <w:szCs w:val="28"/>
        </w:rPr>
        <w:t xml:space="preserve">ahora </w:t>
      </w:r>
      <w:r w:rsidRPr="004530CF">
        <w:rPr>
          <w:rFonts w:ascii="Times New Roman" w:hAnsi="Times New Roman" w:cs="Times New Roman"/>
          <w:sz w:val="28"/>
          <w:szCs w:val="28"/>
        </w:rPr>
        <w:t>examina la Corte</w:t>
      </w:r>
      <w:r w:rsidRPr="004530CF">
        <w:rPr>
          <w:rFonts w:ascii="Times New Roman" w:hAnsi="Times New Roman" w:cs="Times New Roman"/>
          <w:sz w:val="28"/>
          <w:szCs w:val="28"/>
        </w:rPr>
        <w:t>–</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el demandante refiere que uno </w:t>
      </w:r>
      <w:r w:rsidRPr="004530CF">
        <w:rPr>
          <w:rFonts w:ascii="Times New Roman" w:hAnsi="Times New Roman" w:cs="Times New Roman"/>
          <w:sz w:val="28"/>
          <w:szCs w:val="28"/>
        </w:rPr>
        <w:t>de los fines constitucionales perseguidos por el legislador</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al prever el trámite </w:t>
      </w:r>
      <w:r w:rsidRPr="004530CF">
        <w:rPr>
          <w:rFonts w:ascii="Times New Roman" w:hAnsi="Times New Roman" w:cs="Times New Roman"/>
          <w:sz w:val="28"/>
          <w:szCs w:val="28"/>
        </w:rPr>
        <w:t xml:space="preserve">procesal diverso, </w:t>
      </w:r>
      <w:r w:rsidRPr="004530CF">
        <w:rPr>
          <w:rFonts w:ascii="Times New Roman" w:hAnsi="Times New Roman" w:cs="Times New Roman"/>
          <w:sz w:val="28"/>
          <w:szCs w:val="28"/>
        </w:rPr>
        <w:t>podría consistir en “</w:t>
      </w:r>
      <w:r w:rsidRPr="004530CF">
        <w:rPr>
          <w:rFonts w:ascii="Times New Roman" w:hAnsi="Times New Roman" w:cs="Times New Roman"/>
          <w:i/>
          <w:iCs/>
          <w:sz w:val="28"/>
          <w:szCs w:val="28"/>
        </w:rPr>
        <w:t>la celeridad y la seguridad jurídica en tanto se tienen que tomar decisiones rápidas que no traumaticen la transición y el buen funcion</w:t>
      </w:r>
      <w:r w:rsidRPr="004530CF">
        <w:rPr>
          <w:rFonts w:ascii="Times New Roman" w:hAnsi="Times New Roman" w:cs="Times New Roman"/>
          <w:i/>
          <w:iCs/>
          <w:sz w:val="28"/>
          <w:szCs w:val="28"/>
        </w:rPr>
        <w:t>amiento de las instituciones</w:t>
      </w:r>
      <w:r w:rsidRPr="004530CF">
        <w:rPr>
          <w:rFonts w:ascii="Times New Roman" w:hAnsi="Times New Roman" w:cs="Times New Roman"/>
          <w:iCs/>
          <w:sz w:val="28"/>
          <w:szCs w:val="28"/>
        </w:rPr>
        <w:t>[,]</w:t>
      </w:r>
      <w:r w:rsidRPr="004530CF">
        <w:rPr>
          <w:rFonts w:ascii="Times New Roman" w:hAnsi="Times New Roman" w:cs="Times New Roman"/>
          <w:i/>
          <w:iCs/>
          <w:sz w:val="28"/>
          <w:szCs w:val="28"/>
        </w:rPr>
        <w:t xml:space="preserve"> en donde se eligen popularmente funcionarios públicos</w:t>
      </w:r>
      <w:r w:rsidRPr="004530CF">
        <w:rPr>
          <w:rFonts w:ascii="Times New Roman" w:hAnsi="Times New Roman" w:cs="Times New Roman"/>
          <w:sz w:val="28"/>
          <w:szCs w:val="28"/>
        </w:rPr>
        <w:t>”. Esto, según la acusación, “</w:t>
      </w:r>
      <w:r w:rsidRPr="004530CF">
        <w:rPr>
          <w:rFonts w:ascii="Times New Roman" w:hAnsi="Times New Roman" w:cs="Times New Roman"/>
          <w:i/>
          <w:iCs/>
          <w:sz w:val="28"/>
          <w:szCs w:val="28"/>
        </w:rPr>
        <w:t>interpretando el parágrafo 2 del artículo 264 de la Constitución Política</w:t>
      </w:r>
      <w:r w:rsidRPr="004530CF">
        <w:rPr>
          <w:rFonts w:ascii="Times New Roman" w:hAnsi="Times New Roman" w:cs="Times New Roman"/>
          <w:sz w:val="28"/>
          <w:szCs w:val="28"/>
        </w:rPr>
        <w:t>”. Igualmente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otro lugar de la demanda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se </w:t>
      </w:r>
      <w:r w:rsidRPr="004530CF">
        <w:rPr>
          <w:rFonts w:ascii="Times New Roman" w:hAnsi="Times New Roman" w:cs="Times New Roman"/>
          <w:sz w:val="28"/>
          <w:szCs w:val="28"/>
        </w:rPr>
        <w:t>alude</w:t>
      </w:r>
      <w:r w:rsidRPr="004530CF">
        <w:rPr>
          <w:rFonts w:ascii="Times New Roman" w:hAnsi="Times New Roman" w:cs="Times New Roman"/>
          <w:sz w:val="28"/>
          <w:szCs w:val="28"/>
        </w:rPr>
        <w:t xml:space="preserve"> a la sentencia </w:t>
      </w:r>
      <w:r w:rsidRPr="004530CF">
        <w:rPr>
          <w:rFonts w:ascii="Times New Roman" w:hAnsi="Times New Roman" w:cs="Times New Roman"/>
          <w:sz w:val="28"/>
          <w:szCs w:val="28"/>
        </w:rPr>
        <w:t>C-437 de 2013</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la que la Corte se refirió a la naturaleza </w:t>
      </w:r>
      <w:r w:rsidRPr="004530CF">
        <w:rPr>
          <w:rFonts w:ascii="Times New Roman" w:hAnsi="Times New Roman" w:cs="Times New Roman"/>
          <w:sz w:val="28"/>
          <w:szCs w:val="28"/>
        </w:rPr>
        <w:t xml:space="preserve">del medio de control </w:t>
      </w:r>
      <w:r w:rsidRPr="004530CF">
        <w:rPr>
          <w:rFonts w:ascii="Times New Roman" w:hAnsi="Times New Roman" w:cs="Times New Roman"/>
          <w:sz w:val="28"/>
          <w:szCs w:val="28"/>
        </w:rPr>
        <w:t>de nulidad electoral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F00FC5"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Tales referencias son, sin embargo, aisladas </w:t>
      </w:r>
      <w:r w:rsidRPr="004530CF">
        <w:rPr>
          <w:rFonts w:ascii="Times New Roman" w:hAnsi="Times New Roman" w:cs="Times New Roman"/>
          <w:sz w:val="28"/>
          <w:szCs w:val="28"/>
        </w:rPr>
        <w:t>y</w:t>
      </w:r>
      <w:r w:rsidRPr="004530CF">
        <w:rPr>
          <w:rFonts w:ascii="Times New Roman" w:hAnsi="Times New Roman" w:cs="Times New Roman"/>
          <w:sz w:val="28"/>
          <w:szCs w:val="28"/>
        </w:rPr>
        <w:t xml:space="preserve"> marginales. No</w:t>
      </w:r>
      <w:r w:rsidRPr="004530CF">
        <w:rPr>
          <w:rFonts w:ascii="Times New Roman" w:hAnsi="Times New Roman" w:cs="Times New Roman"/>
          <w:sz w:val="28"/>
          <w:szCs w:val="28"/>
        </w:rPr>
        <w:t xml:space="preserve"> abordan</w:t>
      </w:r>
      <w:r w:rsidRPr="004530CF">
        <w:rPr>
          <w:rFonts w:ascii="Times New Roman" w:hAnsi="Times New Roman" w:cs="Times New Roman"/>
          <w:sz w:val="28"/>
          <w:szCs w:val="28"/>
        </w:rPr>
        <w:t xml:space="preserve"> de manera específica el alcance de la competencia constitucional establecida en el parágrafo del artículo 264</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ni el</w:t>
      </w:r>
      <w:r w:rsidRPr="004530CF">
        <w:rPr>
          <w:rFonts w:ascii="Times New Roman" w:hAnsi="Times New Roman" w:cs="Times New Roman"/>
          <w:sz w:val="28"/>
          <w:szCs w:val="28"/>
        </w:rPr>
        <w:t xml:space="preserve"> impacto que</w:t>
      </w:r>
      <w:r w:rsidRPr="004530CF">
        <w:rPr>
          <w:rFonts w:ascii="Times New Roman" w:hAnsi="Times New Roman" w:cs="Times New Roman"/>
          <w:sz w:val="28"/>
          <w:szCs w:val="28"/>
        </w:rPr>
        <w:t xml:space="preserve"> ella tiene</w:t>
      </w:r>
      <w:r w:rsidRPr="004530CF">
        <w:rPr>
          <w:rFonts w:ascii="Times New Roman" w:hAnsi="Times New Roman" w:cs="Times New Roman"/>
          <w:sz w:val="28"/>
          <w:szCs w:val="28"/>
        </w:rPr>
        <w:t xml:space="preserve"> en el margen de configuración </w:t>
      </w:r>
      <w:r w:rsidRPr="004530CF">
        <w:rPr>
          <w:rFonts w:ascii="Times New Roman" w:hAnsi="Times New Roman" w:cs="Times New Roman"/>
          <w:sz w:val="28"/>
          <w:szCs w:val="28"/>
        </w:rPr>
        <w:t xml:space="preserve">del legislador </w:t>
      </w:r>
      <w:r w:rsidRPr="004530CF">
        <w:rPr>
          <w:rFonts w:ascii="Times New Roman" w:hAnsi="Times New Roman" w:cs="Times New Roman"/>
          <w:sz w:val="28"/>
          <w:szCs w:val="28"/>
        </w:rPr>
        <w:t>para</w:t>
      </w:r>
      <w:r w:rsidRPr="004530CF">
        <w:rPr>
          <w:rFonts w:ascii="Times New Roman" w:hAnsi="Times New Roman" w:cs="Times New Roman"/>
          <w:sz w:val="28"/>
          <w:szCs w:val="28"/>
        </w:rPr>
        <w:t xml:space="preserve"> regular </w:t>
      </w:r>
      <w:r w:rsidRPr="004530CF">
        <w:rPr>
          <w:rFonts w:ascii="Times New Roman" w:hAnsi="Times New Roman" w:cs="Times New Roman"/>
          <w:sz w:val="28"/>
          <w:szCs w:val="28"/>
        </w:rPr>
        <w:t>los procesos de nulidad electoral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Se pierde de vista ent</w:t>
      </w:r>
      <w:r w:rsidRPr="004530CF">
        <w:rPr>
          <w:rFonts w:ascii="Times New Roman" w:hAnsi="Times New Roman" w:cs="Times New Roman"/>
          <w:sz w:val="28"/>
          <w:szCs w:val="28"/>
        </w:rPr>
        <w:t>onces una dimensión</w:t>
      </w:r>
      <w:r w:rsidRPr="004530CF">
        <w:rPr>
          <w:rFonts w:ascii="Times New Roman" w:hAnsi="Times New Roman" w:cs="Times New Roman"/>
          <w:sz w:val="28"/>
          <w:szCs w:val="28"/>
        </w:rPr>
        <w:t xml:space="preserve"> central</w:t>
      </w:r>
      <w:r w:rsidRPr="004530CF">
        <w:rPr>
          <w:rFonts w:ascii="Times New Roman" w:hAnsi="Times New Roman" w:cs="Times New Roman"/>
          <w:sz w:val="28"/>
          <w:szCs w:val="28"/>
        </w:rPr>
        <w:t xml:space="preserve"> de la discusión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Y esa dimensión </w:t>
      </w:r>
      <w:r w:rsidRPr="004530CF">
        <w:rPr>
          <w:rFonts w:ascii="Times New Roman" w:hAnsi="Times New Roman" w:cs="Times New Roman"/>
          <w:sz w:val="28"/>
          <w:szCs w:val="28"/>
        </w:rPr>
        <w:t xml:space="preserve">que es </w:t>
      </w:r>
      <w:r w:rsidRPr="004530CF">
        <w:rPr>
          <w:rFonts w:ascii="Times New Roman" w:hAnsi="Times New Roman" w:cs="Times New Roman"/>
          <w:sz w:val="28"/>
          <w:szCs w:val="28"/>
        </w:rPr>
        <w:t>inadvertida, se insiste, se refiere a un elemento</w:t>
      </w:r>
      <w:r w:rsidRPr="004530CF">
        <w:rPr>
          <w:rFonts w:ascii="Times New Roman" w:hAnsi="Times New Roman" w:cs="Times New Roman"/>
          <w:sz w:val="28"/>
          <w:szCs w:val="28"/>
        </w:rPr>
        <w:t xml:space="preserve"> cardinal </w:t>
      </w:r>
      <w:r w:rsidRPr="004530CF">
        <w:rPr>
          <w:rFonts w:ascii="Times New Roman" w:hAnsi="Times New Roman" w:cs="Times New Roman"/>
          <w:sz w:val="28"/>
          <w:szCs w:val="28"/>
        </w:rPr>
        <w:t>de</w:t>
      </w:r>
      <w:r w:rsidRPr="004530CF">
        <w:rPr>
          <w:rFonts w:ascii="Times New Roman" w:hAnsi="Times New Roman" w:cs="Times New Roman"/>
          <w:sz w:val="28"/>
          <w:szCs w:val="28"/>
        </w:rPr>
        <w:t>l debate</w:t>
      </w:r>
      <w:r w:rsidRPr="004530CF">
        <w:rPr>
          <w:rFonts w:ascii="Times New Roman" w:hAnsi="Times New Roman" w:cs="Times New Roman"/>
          <w:sz w:val="28"/>
          <w:szCs w:val="28"/>
        </w:rPr>
        <w:t xml:space="preserve"> que ahora se propone: </w:t>
      </w:r>
      <w:r w:rsidRPr="004530CF">
        <w:rPr>
          <w:rFonts w:ascii="Times New Roman" w:hAnsi="Times New Roman" w:cs="Times New Roman"/>
          <w:i/>
          <w:sz w:val="28"/>
          <w:szCs w:val="28"/>
        </w:rPr>
        <w:t>el ámbito y amplitud de las competencias del legislador</w:t>
      </w:r>
      <w:r w:rsidRPr="004530CF">
        <w:rPr>
          <w:rFonts w:ascii="Times New Roman" w:hAnsi="Times New Roman" w:cs="Times New Roman"/>
          <w:i/>
          <w:sz w:val="28"/>
          <w:szCs w:val="28"/>
        </w:rPr>
        <w:t xml:space="preserve"> para regular el régimen de la nulidad electoral</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C13E72"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No desconoce la Sala que el ciudadano propone una forma de interpretar la Constitución a la luz de los artículos 29 y 31 de la Constitución, así como de disposiciones </w:t>
      </w:r>
      <w:r w:rsidRPr="004530CF">
        <w:rPr>
          <w:rFonts w:ascii="Times New Roman" w:hAnsi="Times New Roman" w:cs="Times New Roman"/>
          <w:sz w:val="28"/>
          <w:szCs w:val="28"/>
        </w:rPr>
        <w:t>del derecho internacional de los der</w:t>
      </w:r>
      <w:r w:rsidRPr="004530CF">
        <w:rPr>
          <w:rFonts w:ascii="Times New Roman" w:hAnsi="Times New Roman" w:cs="Times New Roman"/>
          <w:sz w:val="28"/>
          <w:szCs w:val="28"/>
        </w:rPr>
        <w:t>echos humanos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Sin embargo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su planteamiento alrededor </w:t>
      </w:r>
      <w:r w:rsidRPr="004530CF">
        <w:rPr>
          <w:rFonts w:ascii="Times New Roman" w:hAnsi="Times New Roman" w:cs="Times New Roman"/>
          <w:sz w:val="28"/>
          <w:szCs w:val="28"/>
        </w:rPr>
        <w:t xml:space="preserve">de </w:t>
      </w:r>
      <w:r w:rsidRPr="004530CF">
        <w:rPr>
          <w:rFonts w:ascii="Times New Roman" w:hAnsi="Times New Roman" w:cs="Times New Roman"/>
          <w:sz w:val="28"/>
          <w:szCs w:val="28"/>
        </w:rPr>
        <w:t>los dos cargos</w:t>
      </w:r>
      <w:r w:rsidRPr="004530CF">
        <w:rPr>
          <w:rFonts w:ascii="Times New Roman" w:hAnsi="Times New Roman" w:cs="Times New Roman"/>
          <w:sz w:val="28"/>
          <w:szCs w:val="28"/>
        </w:rPr>
        <w:t xml:space="preserve"> que ahora se analizan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no considera </w:t>
      </w:r>
      <w:r w:rsidRPr="004530CF">
        <w:rPr>
          <w:rFonts w:ascii="Times New Roman" w:hAnsi="Times New Roman" w:cs="Times New Roman"/>
          <w:sz w:val="28"/>
          <w:szCs w:val="28"/>
        </w:rPr>
        <w:t>en modo alguno, la forma en que el parágrafo del artículo 264</w:t>
      </w:r>
      <w:r w:rsidRPr="004530CF">
        <w:rPr>
          <w:rFonts w:ascii="Times New Roman" w:hAnsi="Times New Roman" w:cs="Times New Roman"/>
          <w:sz w:val="28"/>
          <w:szCs w:val="28"/>
        </w:rPr>
        <w:t xml:space="preserve"> de la Carta</w:t>
      </w:r>
      <w:r w:rsidRPr="004530CF">
        <w:rPr>
          <w:rFonts w:ascii="Times New Roman" w:hAnsi="Times New Roman" w:cs="Times New Roman"/>
          <w:sz w:val="28"/>
          <w:szCs w:val="28"/>
        </w:rPr>
        <w:t xml:space="preserve"> podría incidir o condicionar</w:t>
      </w:r>
      <w:r w:rsidRPr="004530CF">
        <w:rPr>
          <w:rFonts w:ascii="Times New Roman" w:hAnsi="Times New Roman" w:cs="Times New Roman"/>
          <w:sz w:val="28"/>
          <w:szCs w:val="28"/>
        </w:rPr>
        <w:t xml:space="preserve"> esa interpretación</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Este requerimiento no</w:t>
      </w:r>
      <w:r w:rsidRPr="004530CF">
        <w:rPr>
          <w:rFonts w:ascii="Times New Roman" w:hAnsi="Times New Roman" w:cs="Times New Roman"/>
          <w:sz w:val="28"/>
          <w:szCs w:val="28"/>
        </w:rPr>
        <w:t xml:space="preserve"> implica </w:t>
      </w:r>
      <w:r w:rsidRPr="004530CF">
        <w:rPr>
          <w:rFonts w:ascii="Times New Roman" w:hAnsi="Times New Roman" w:cs="Times New Roman"/>
          <w:sz w:val="28"/>
          <w:szCs w:val="28"/>
        </w:rPr>
        <w:t>que el demandante deba discutir todos los argumentos que puedan oponerse a su tesis, ni de agotar por completo cada una de las posibilidades interpretativas a favor o en contra de su</w:t>
      </w:r>
      <w:r w:rsidRPr="004530CF">
        <w:rPr>
          <w:rFonts w:ascii="Times New Roman" w:hAnsi="Times New Roman" w:cs="Times New Roman"/>
          <w:sz w:val="28"/>
          <w:szCs w:val="28"/>
        </w:rPr>
        <w:t xml:space="preserve"> planteamiento</w:t>
      </w:r>
      <w:r w:rsidRPr="004530CF">
        <w:rPr>
          <w:rFonts w:ascii="Times New Roman" w:hAnsi="Times New Roman" w:cs="Times New Roman"/>
          <w:sz w:val="28"/>
          <w:szCs w:val="28"/>
        </w:rPr>
        <w:t xml:space="preserve">. A pesar de ello, </w:t>
      </w:r>
      <w:r w:rsidRPr="004530CF">
        <w:rPr>
          <w:rFonts w:ascii="Times New Roman" w:hAnsi="Times New Roman" w:cs="Times New Roman"/>
          <w:sz w:val="28"/>
          <w:szCs w:val="28"/>
        </w:rPr>
        <w:t xml:space="preserve">insiste la Sala, </w:t>
      </w:r>
      <w:r w:rsidRPr="004530CF">
        <w:rPr>
          <w:rFonts w:ascii="Times New Roman" w:hAnsi="Times New Roman" w:cs="Times New Roman"/>
          <w:sz w:val="28"/>
          <w:szCs w:val="28"/>
        </w:rPr>
        <w:t xml:space="preserve">cuando existe </w:t>
      </w:r>
      <w:r w:rsidRPr="004530CF">
        <w:rPr>
          <w:rFonts w:ascii="Times New Roman" w:hAnsi="Times New Roman" w:cs="Times New Roman"/>
          <w:sz w:val="28"/>
          <w:szCs w:val="28"/>
        </w:rPr>
        <w:t>una disposición constitucional que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por su grado de especificidad</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tiene la aptitud de</w:t>
      </w:r>
      <w:r w:rsidRPr="004530CF">
        <w:rPr>
          <w:rFonts w:ascii="Times New Roman" w:hAnsi="Times New Roman" w:cs="Times New Roman"/>
          <w:sz w:val="28"/>
          <w:szCs w:val="28"/>
        </w:rPr>
        <w:t xml:space="preserve"> afectar el contenido central de</w:t>
      </w:r>
      <w:r w:rsidRPr="004530CF">
        <w:rPr>
          <w:rFonts w:ascii="Times New Roman" w:hAnsi="Times New Roman" w:cs="Times New Roman"/>
          <w:sz w:val="28"/>
          <w:szCs w:val="28"/>
        </w:rPr>
        <w:t xml:space="preserve"> una de las premisas en las que se sostiene la acusación, no puede el demandante dejar de considerarla y</w:t>
      </w:r>
      <w:r w:rsidRPr="004530CF">
        <w:rPr>
          <w:rFonts w:ascii="Times New Roman" w:hAnsi="Times New Roman" w:cs="Times New Roman"/>
          <w:sz w:val="28"/>
          <w:szCs w:val="28"/>
        </w:rPr>
        <w:t>, por ello, le corresponde tener e</w:t>
      </w:r>
      <w:r w:rsidRPr="004530CF">
        <w:rPr>
          <w:rFonts w:ascii="Times New Roman" w:hAnsi="Times New Roman" w:cs="Times New Roman"/>
          <w:sz w:val="28"/>
          <w:szCs w:val="28"/>
        </w:rPr>
        <w:t>n cuenta su contenido al formular su desacuerdo.</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E16572"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Esta</w:t>
      </w:r>
      <w:r w:rsidRPr="004530CF">
        <w:rPr>
          <w:rFonts w:ascii="Times New Roman" w:hAnsi="Times New Roman" w:cs="Times New Roman"/>
          <w:sz w:val="28"/>
          <w:szCs w:val="28"/>
        </w:rPr>
        <w:t xml:space="preserve"> exigencia</w:t>
      </w:r>
      <w:r w:rsidRPr="004530CF">
        <w:rPr>
          <w:rFonts w:ascii="Times New Roman" w:hAnsi="Times New Roman" w:cs="Times New Roman"/>
          <w:sz w:val="28"/>
          <w:szCs w:val="28"/>
        </w:rPr>
        <w:t xml:space="preserve"> para el demandante</w:t>
      </w:r>
      <w:r w:rsidRPr="004530CF">
        <w:rPr>
          <w:rFonts w:ascii="Times New Roman" w:hAnsi="Times New Roman" w:cs="Times New Roman"/>
          <w:sz w:val="28"/>
          <w:szCs w:val="28"/>
        </w:rPr>
        <w:t xml:space="preserve"> no es novedos</w:t>
      </w:r>
      <w:r w:rsidRPr="004530CF">
        <w:rPr>
          <w:rFonts w:ascii="Times New Roman" w:hAnsi="Times New Roman" w:cs="Times New Roman"/>
          <w:sz w:val="28"/>
          <w:szCs w:val="28"/>
        </w:rPr>
        <w:t>a</w:t>
      </w:r>
      <w:r w:rsidRPr="004530CF">
        <w:rPr>
          <w:rFonts w:ascii="Times New Roman" w:hAnsi="Times New Roman" w:cs="Times New Roman"/>
          <w:sz w:val="28"/>
          <w:szCs w:val="28"/>
        </w:rPr>
        <w:t xml:space="preserve"> en la jurisprudencia</w:t>
      </w:r>
      <w:r w:rsidRPr="004530CF">
        <w:rPr>
          <w:rFonts w:ascii="Times New Roman" w:hAnsi="Times New Roman" w:cs="Times New Roman"/>
          <w:sz w:val="28"/>
          <w:szCs w:val="28"/>
        </w:rPr>
        <w:t xml:space="preserve"> constitucional</w:t>
      </w:r>
      <w:r w:rsidRPr="004530CF">
        <w:rPr>
          <w:rFonts w:ascii="Times New Roman" w:hAnsi="Times New Roman" w:cs="Times New Roman"/>
          <w:sz w:val="28"/>
          <w:szCs w:val="28"/>
        </w:rPr>
        <w:t>. En efecto, es posible identificar</w:t>
      </w:r>
      <w:r w:rsidRPr="004530CF">
        <w:rPr>
          <w:rFonts w:ascii="Times New Roman" w:hAnsi="Times New Roman" w:cs="Times New Roman"/>
          <w:sz w:val="28"/>
          <w:szCs w:val="28"/>
        </w:rPr>
        <w:t xml:space="preserve"> en la práctica decisional de este </w:t>
      </w:r>
      <w:r w:rsidRPr="004530CF">
        <w:rPr>
          <w:rFonts w:ascii="Times New Roman" w:hAnsi="Times New Roman" w:cs="Times New Roman"/>
          <w:sz w:val="28"/>
          <w:szCs w:val="28"/>
        </w:rPr>
        <w:t>T</w:t>
      </w:r>
      <w:r w:rsidRPr="004530CF">
        <w:rPr>
          <w:rFonts w:ascii="Times New Roman" w:hAnsi="Times New Roman" w:cs="Times New Roman"/>
          <w:sz w:val="28"/>
          <w:szCs w:val="28"/>
        </w:rPr>
        <w:t>ribunal</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la existencia de una carga que le impone </w:t>
      </w:r>
      <w:r w:rsidRPr="004530CF">
        <w:rPr>
          <w:rFonts w:ascii="Times New Roman" w:hAnsi="Times New Roman" w:cs="Times New Roman"/>
          <w:sz w:val="28"/>
          <w:szCs w:val="28"/>
        </w:rPr>
        <w:t xml:space="preserve">a los ciudadanos </w:t>
      </w:r>
      <w:r w:rsidRPr="004530CF">
        <w:rPr>
          <w:rFonts w:ascii="Times New Roman" w:hAnsi="Times New Roman" w:cs="Times New Roman"/>
          <w:sz w:val="28"/>
          <w:szCs w:val="28"/>
        </w:rPr>
        <w:t xml:space="preserve">una consideración </w:t>
      </w:r>
      <w:r w:rsidRPr="004530CF">
        <w:rPr>
          <w:rFonts w:ascii="Times New Roman" w:hAnsi="Times New Roman" w:cs="Times New Roman"/>
          <w:sz w:val="28"/>
          <w:szCs w:val="28"/>
        </w:rPr>
        <w:t xml:space="preserve">no solo </w:t>
      </w:r>
      <w:r w:rsidRPr="004530CF">
        <w:rPr>
          <w:rFonts w:ascii="Times New Roman" w:hAnsi="Times New Roman" w:cs="Times New Roman"/>
          <w:sz w:val="28"/>
          <w:szCs w:val="28"/>
        </w:rPr>
        <w:t xml:space="preserve">de </w:t>
      </w:r>
      <w:r w:rsidRPr="004530CF">
        <w:rPr>
          <w:rFonts w:ascii="Times New Roman" w:hAnsi="Times New Roman" w:cs="Times New Roman"/>
          <w:sz w:val="28"/>
          <w:szCs w:val="28"/>
        </w:rPr>
        <w:t>las normas constitucionales</w:t>
      </w:r>
      <w:r w:rsidRPr="004530CF">
        <w:rPr>
          <w:rFonts w:ascii="Times New Roman" w:hAnsi="Times New Roman" w:cs="Times New Roman"/>
          <w:sz w:val="28"/>
          <w:szCs w:val="28"/>
        </w:rPr>
        <w:t xml:space="preserve"> que</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apoyan expresamente sus pretensiones, sino también </w:t>
      </w:r>
      <w:r w:rsidRPr="004530CF">
        <w:rPr>
          <w:rFonts w:ascii="Times New Roman" w:hAnsi="Times New Roman" w:cs="Times New Roman"/>
          <w:sz w:val="28"/>
          <w:szCs w:val="28"/>
        </w:rPr>
        <w:t xml:space="preserve">de </w:t>
      </w:r>
      <w:r w:rsidRPr="004530CF">
        <w:rPr>
          <w:rFonts w:ascii="Times New Roman" w:hAnsi="Times New Roman" w:cs="Times New Roman"/>
          <w:sz w:val="28"/>
          <w:szCs w:val="28"/>
        </w:rPr>
        <w:t>aquellas</w:t>
      </w:r>
      <w:r w:rsidRPr="004530CF">
        <w:rPr>
          <w:rFonts w:ascii="Times New Roman" w:hAnsi="Times New Roman" w:cs="Times New Roman"/>
          <w:sz w:val="28"/>
          <w:szCs w:val="28"/>
        </w:rPr>
        <w:t xml:space="preserve"> cuyo contenido </w:t>
      </w:r>
      <w:r w:rsidRPr="004530CF">
        <w:rPr>
          <w:rFonts w:ascii="Times New Roman" w:hAnsi="Times New Roman" w:cs="Times New Roman"/>
          <w:sz w:val="28"/>
          <w:szCs w:val="28"/>
        </w:rPr>
        <w:t xml:space="preserve">puede incidir </w:t>
      </w:r>
      <w:r w:rsidRPr="004530CF">
        <w:rPr>
          <w:rFonts w:ascii="Times New Roman" w:hAnsi="Times New Roman" w:cs="Times New Roman"/>
          <w:sz w:val="28"/>
          <w:szCs w:val="28"/>
        </w:rPr>
        <w:t>o afectar</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el </w:t>
      </w:r>
      <w:r w:rsidRPr="004530CF">
        <w:rPr>
          <w:rFonts w:ascii="Times New Roman" w:hAnsi="Times New Roman" w:cs="Times New Roman"/>
          <w:sz w:val="28"/>
          <w:szCs w:val="28"/>
        </w:rPr>
        <w:t>sentido</w:t>
      </w:r>
      <w:r w:rsidRPr="004530CF">
        <w:rPr>
          <w:rFonts w:ascii="Times New Roman" w:hAnsi="Times New Roman" w:cs="Times New Roman"/>
          <w:sz w:val="28"/>
          <w:szCs w:val="28"/>
        </w:rPr>
        <w:t xml:space="preserve"> en que el cargo</w:t>
      </w:r>
      <w:r w:rsidRPr="004530CF">
        <w:rPr>
          <w:rFonts w:ascii="Times New Roman" w:hAnsi="Times New Roman" w:cs="Times New Roman"/>
          <w:sz w:val="28"/>
          <w:szCs w:val="28"/>
        </w:rPr>
        <w:t xml:space="preserve"> propuesto</w:t>
      </w:r>
      <w:r w:rsidRPr="004530CF">
        <w:rPr>
          <w:rFonts w:ascii="Times New Roman" w:hAnsi="Times New Roman" w:cs="Times New Roman"/>
          <w:sz w:val="28"/>
          <w:szCs w:val="28"/>
        </w:rPr>
        <w:t xml:space="preserve"> interpreta la Constitución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Precisamente</w:t>
      </w:r>
      <w:r w:rsidRPr="004530CF">
        <w:rPr>
          <w:rFonts w:ascii="Times New Roman" w:hAnsi="Times New Roman" w:cs="Times New Roman"/>
          <w:sz w:val="28"/>
          <w:szCs w:val="28"/>
        </w:rPr>
        <w:t xml:space="preserve">, alrededor del requisito de especificidad, </w:t>
      </w:r>
      <w:r w:rsidRPr="004530CF">
        <w:rPr>
          <w:rFonts w:ascii="Times New Roman" w:hAnsi="Times New Roman" w:cs="Times New Roman"/>
          <w:sz w:val="28"/>
          <w:szCs w:val="28"/>
        </w:rPr>
        <w:t>la Corte ha indicado que carece</w:t>
      </w:r>
      <w:r w:rsidRPr="004530CF">
        <w:rPr>
          <w:rFonts w:ascii="Times New Roman" w:hAnsi="Times New Roman" w:cs="Times New Roman"/>
          <w:sz w:val="28"/>
          <w:szCs w:val="28"/>
        </w:rPr>
        <w:t>n</w:t>
      </w:r>
      <w:r w:rsidRPr="004530CF">
        <w:rPr>
          <w:rFonts w:ascii="Times New Roman" w:hAnsi="Times New Roman" w:cs="Times New Roman"/>
          <w:sz w:val="28"/>
          <w:szCs w:val="28"/>
        </w:rPr>
        <w:t xml:space="preserve"> de </w:t>
      </w:r>
      <w:r w:rsidRPr="004530CF">
        <w:rPr>
          <w:rFonts w:ascii="Times New Roman" w:hAnsi="Times New Roman" w:cs="Times New Roman"/>
          <w:sz w:val="28"/>
          <w:szCs w:val="28"/>
        </w:rPr>
        <w:t>la misma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(i) </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cargo</w:t>
      </w:r>
      <w:r w:rsidRPr="004530CF">
        <w:rPr>
          <w:rFonts w:ascii="Times New Roman" w:hAnsi="Times New Roman" w:cs="Times New Roman"/>
          <w:sz w:val="28"/>
          <w:szCs w:val="28"/>
        </w:rPr>
        <w:t>s</w:t>
      </w:r>
      <w:r w:rsidRPr="004530CF">
        <w:rPr>
          <w:rFonts w:ascii="Times New Roman" w:hAnsi="Times New Roman" w:cs="Times New Roman"/>
          <w:sz w:val="28"/>
          <w:szCs w:val="28"/>
        </w:rPr>
        <w:t xml:space="preserve"> que invoca</w:t>
      </w:r>
      <w:r w:rsidRPr="004530CF">
        <w:rPr>
          <w:rFonts w:ascii="Times New Roman" w:hAnsi="Times New Roman" w:cs="Times New Roman"/>
          <w:sz w:val="28"/>
          <w:szCs w:val="28"/>
        </w:rPr>
        <w:t>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como </w:t>
      </w:r>
      <w:r w:rsidRPr="004530CF">
        <w:rPr>
          <w:rFonts w:ascii="Times New Roman" w:hAnsi="Times New Roman" w:cs="Times New Roman"/>
          <w:sz w:val="28"/>
          <w:szCs w:val="28"/>
        </w:rPr>
        <w:t xml:space="preserve">parámetro de control </w:t>
      </w:r>
      <w:r w:rsidRPr="004530CF">
        <w:rPr>
          <w:rFonts w:ascii="Times New Roman" w:hAnsi="Times New Roman" w:cs="Times New Roman"/>
          <w:sz w:val="28"/>
          <w:szCs w:val="28"/>
        </w:rPr>
        <w:t>para juzgar</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la</w:t>
      </w:r>
      <w:r w:rsidRPr="004530CF">
        <w:rPr>
          <w:rFonts w:ascii="Times New Roman" w:hAnsi="Times New Roman" w:cs="Times New Roman"/>
          <w:sz w:val="28"/>
          <w:szCs w:val="28"/>
        </w:rPr>
        <w:t xml:space="preserve"> ley</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un artículo constitucional reformado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a pesar de que su texto prescribe que </w:t>
      </w:r>
      <w:r w:rsidRPr="004530CF">
        <w:rPr>
          <w:rFonts w:ascii="Times New Roman" w:hAnsi="Times New Roman" w:cs="Times New Roman"/>
          <w:sz w:val="28"/>
          <w:szCs w:val="28"/>
        </w:rPr>
        <w:t xml:space="preserve">el </w:t>
      </w:r>
      <w:r w:rsidRPr="004530CF">
        <w:rPr>
          <w:rFonts w:ascii="Times New Roman" w:hAnsi="Times New Roman" w:cs="Times New Roman"/>
          <w:sz w:val="28"/>
          <w:szCs w:val="28"/>
        </w:rPr>
        <w:t>cont</w:t>
      </w:r>
      <w:r w:rsidRPr="004530CF">
        <w:rPr>
          <w:rFonts w:ascii="Times New Roman" w:hAnsi="Times New Roman" w:cs="Times New Roman"/>
          <w:sz w:val="28"/>
          <w:szCs w:val="28"/>
        </w:rPr>
        <w:t xml:space="preserve">enido constitucional </w:t>
      </w:r>
      <w:r w:rsidRPr="004530CF">
        <w:rPr>
          <w:rFonts w:ascii="Times New Roman" w:hAnsi="Times New Roman" w:cs="Times New Roman"/>
          <w:sz w:val="28"/>
          <w:szCs w:val="28"/>
        </w:rPr>
        <w:t xml:space="preserve">antes de la reforma, </w:t>
      </w:r>
      <w:r w:rsidRPr="004530CF">
        <w:rPr>
          <w:rFonts w:ascii="Times New Roman" w:hAnsi="Times New Roman" w:cs="Times New Roman"/>
          <w:sz w:val="28"/>
          <w:szCs w:val="28"/>
        </w:rPr>
        <w:t xml:space="preserve">es </w:t>
      </w:r>
      <w:r w:rsidRPr="004530CF">
        <w:rPr>
          <w:rFonts w:ascii="Times New Roman" w:hAnsi="Times New Roman" w:cs="Times New Roman"/>
          <w:sz w:val="28"/>
          <w:szCs w:val="28"/>
        </w:rPr>
        <w:t>el que regula</w:t>
      </w:r>
      <w:r w:rsidRPr="004530CF">
        <w:rPr>
          <w:rFonts w:ascii="Times New Roman" w:hAnsi="Times New Roman" w:cs="Times New Roman"/>
          <w:sz w:val="28"/>
          <w:szCs w:val="28"/>
        </w:rPr>
        <w:t xml:space="preserve"> la</w:t>
      </w:r>
      <w:r w:rsidRPr="004530CF">
        <w:rPr>
          <w:rFonts w:ascii="Times New Roman" w:hAnsi="Times New Roman" w:cs="Times New Roman"/>
          <w:sz w:val="28"/>
          <w:szCs w:val="28"/>
        </w:rPr>
        <w:t xml:space="preserve"> materia</w:t>
      </w:r>
      <w:r w:rsidRPr="004530CF">
        <w:rPr>
          <w:rStyle w:val="Refdenotaalpie"/>
          <w:rFonts w:ascii="Times New Roman" w:hAnsi="Times New Roman" w:cs="Times New Roman"/>
          <w:sz w:val="28"/>
          <w:szCs w:val="28"/>
        </w:rPr>
        <w:footnoteReference w:id="23"/>
      </w:r>
      <w:r w:rsidRPr="004530CF">
        <w:rPr>
          <w:rFonts w:ascii="Times New Roman" w:hAnsi="Times New Roman" w:cs="Times New Roman"/>
          <w:sz w:val="28"/>
          <w:szCs w:val="28"/>
        </w:rPr>
        <w:t xml:space="preserve">; (ii) </w:t>
      </w:r>
      <w:r w:rsidRPr="004530CF">
        <w:rPr>
          <w:rFonts w:ascii="Times New Roman" w:hAnsi="Times New Roman" w:cs="Times New Roman"/>
          <w:sz w:val="28"/>
          <w:szCs w:val="28"/>
        </w:rPr>
        <w:t xml:space="preserve">cargos </w:t>
      </w:r>
      <w:r w:rsidRPr="004530CF">
        <w:rPr>
          <w:rFonts w:ascii="Times New Roman" w:hAnsi="Times New Roman" w:cs="Times New Roman"/>
          <w:sz w:val="28"/>
          <w:szCs w:val="28"/>
        </w:rPr>
        <w:t>que al alegar la violación de un principio constitucional que reconoce competencias de actuación, no consideran otros principios reconocidos en la Constitución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con capacid</w:t>
      </w:r>
      <w:r w:rsidRPr="004530CF">
        <w:rPr>
          <w:rFonts w:ascii="Times New Roman" w:hAnsi="Times New Roman" w:cs="Times New Roman"/>
          <w:sz w:val="28"/>
          <w:szCs w:val="28"/>
        </w:rPr>
        <w:t>ad de</w:t>
      </w:r>
      <w:r w:rsidRPr="004530CF">
        <w:rPr>
          <w:rFonts w:ascii="Times New Roman" w:hAnsi="Times New Roman" w:cs="Times New Roman"/>
          <w:sz w:val="28"/>
          <w:szCs w:val="28"/>
        </w:rPr>
        <w:t xml:space="preserve"> incidir en su</w:t>
      </w:r>
      <w:r w:rsidRPr="004530CF">
        <w:rPr>
          <w:rFonts w:ascii="Times New Roman" w:hAnsi="Times New Roman" w:cs="Times New Roman"/>
          <w:sz w:val="28"/>
          <w:szCs w:val="28"/>
        </w:rPr>
        <w:t xml:space="preserve"> interpretación y alcance</w:t>
      </w:r>
      <w:r w:rsidRPr="004530CF">
        <w:rPr>
          <w:rStyle w:val="Refdenotaalpie"/>
          <w:rFonts w:ascii="Times New Roman" w:hAnsi="Times New Roman" w:cs="Times New Roman"/>
          <w:sz w:val="28"/>
          <w:szCs w:val="28"/>
        </w:rPr>
        <w:footnoteReference w:id="24"/>
      </w:r>
      <w:r w:rsidRPr="004530CF">
        <w:rPr>
          <w:rFonts w:ascii="Times New Roman" w:hAnsi="Times New Roman" w:cs="Times New Roman"/>
          <w:sz w:val="28"/>
          <w:szCs w:val="28"/>
        </w:rPr>
        <w:t xml:space="preserve">; o (iii) </w:t>
      </w:r>
      <w:r w:rsidRPr="004530CF">
        <w:rPr>
          <w:rFonts w:ascii="Times New Roman" w:hAnsi="Times New Roman" w:cs="Times New Roman"/>
          <w:sz w:val="28"/>
          <w:szCs w:val="28"/>
        </w:rPr>
        <w:t>cargos que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al </w:t>
      </w:r>
      <w:r w:rsidRPr="004530CF">
        <w:rPr>
          <w:rFonts w:ascii="Times New Roman" w:hAnsi="Times New Roman" w:cs="Times New Roman"/>
          <w:sz w:val="28"/>
          <w:szCs w:val="28"/>
        </w:rPr>
        <w:t xml:space="preserve">recurrir a </w:t>
      </w:r>
      <w:r w:rsidRPr="004530CF">
        <w:rPr>
          <w:rFonts w:ascii="Times New Roman" w:hAnsi="Times New Roman" w:cs="Times New Roman"/>
          <w:sz w:val="28"/>
          <w:szCs w:val="28"/>
        </w:rPr>
        <w:t>fines u objetivos generales de la Constitución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no</w:t>
      </w:r>
      <w:r w:rsidRPr="004530CF">
        <w:rPr>
          <w:rFonts w:ascii="Times New Roman" w:hAnsi="Times New Roman" w:cs="Times New Roman"/>
          <w:sz w:val="28"/>
          <w:szCs w:val="28"/>
        </w:rPr>
        <w:t xml:space="preserve"> valoran</w:t>
      </w:r>
      <w:r w:rsidRPr="004530CF">
        <w:rPr>
          <w:rFonts w:ascii="Times New Roman" w:hAnsi="Times New Roman" w:cs="Times New Roman"/>
          <w:sz w:val="28"/>
          <w:szCs w:val="28"/>
        </w:rPr>
        <w:t xml:space="preserve"> otros contenidos específicos también incluidos en su texto</w:t>
      </w:r>
      <w:r w:rsidRPr="004530CF">
        <w:rPr>
          <w:rStyle w:val="Refdenotaalpie"/>
          <w:rFonts w:ascii="Times New Roman" w:hAnsi="Times New Roman" w:cs="Times New Roman"/>
          <w:sz w:val="28"/>
          <w:szCs w:val="28"/>
        </w:rPr>
        <w:footnoteReference w:id="25"/>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 </w:t>
      </w:r>
    </w:p>
    <w:p w:rsidR="00667B84" w:rsidRPr="004530CF" w:rsidRDefault="004530CF" w:rsidP="004C7B30">
      <w:pPr>
        <w:pStyle w:val="Prrafodelista"/>
        <w:tabs>
          <w:tab w:val="left" w:pos="567"/>
        </w:tabs>
        <w:ind w:left="0"/>
        <w:jc w:val="both"/>
        <w:rPr>
          <w:rFonts w:ascii="Times New Roman" w:hAnsi="Times New Roman" w:cs="Times New Roman"/>
          <w:sz w:val="28"/>
          <w:szCs w:val="28"/>
        </w:rPr>
      </w:pPr>
    </w:p>
    <w:p w:rsidR="003A659C"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Conforme </w:t>
      </w:r>
      <w:r w:rsidRPr="004530CF">
        <w:rPr>
          <w:rFonts w:ascii="Times New Roman" w:hAnsi="Times New Roman" w:cs="Times New Roman"/>
          <w:sz w:val="28"/>
          <w:szCs w:val="28"/>
        </w:rPr>
        <w:t>con</w:t>
      </w:r>
      <w:r w:rsidRPr="004530CF">
        <w:rPr>
          <w:rFonts w:ascii="Times New Roman" w:hAnsi="Times New Roman" w:cs="Times New Roman"/>
          <w:sz w:val="28"/>
          <w:szCs w:val="28"/>
        </w:rPr>
        <w:t xml:space="preserve"> lo expuesto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la Corte considera que en esta oportunidad debe inhibirse de adoptar un pronunciamiento de fondo respecto de los cargos</w:t>
      </w:r>
      <w:r w:rsidRPr="004530CF">
        <w:rPr>
          <w:rFonts w:ascii="Times New Roman" w:hAnsi="Times New Roman" w:cs="Times New Roman"/>
          <w:sz w:val="28"/>
          <w:szCs w:val="28"/>
        </w:rPr>
        <w:t xml:space="preserve"> analizados</w:t>
      </w:r>
      <w:r w:rsidRPr="004530CF">
        <w:rPr>
          <w:rFonts w:ascii="Times New Roman" w:hAnsi="Times New Roman" w:cs="Times New Roman"/>
          <w:sz w:val="28"/>
          <w:szCs w:val="28"/>
        </w:rPr>
        <w:t xml:space="preserve">. A la deficiencia antes enunciada se une </w:t>
      </w:r>
      <w:r w:rsidRPr="004530CF">
        <w:rPr>
          <w:rFonts w:ascii="Times New Roman" w:hAnsi="Times New Roman" w:cs="Times New Roman"/>
          <w:sz w:val="28"/>
          <w:szCs w:val="28"/>
        </w:rPr>
        <w:t xml:space="preserve">un </w:t>
      </w:r>
      <w:r w:rsidRPr="004530CF">
        <w:rPr>
          <w:rFonts w:ascii="Times New Roman" w:hAnsi="Times New Roman" w:cs="Times New Roman"/>
          <w:sz w:val="28"/>
          <w:szCs w:val="28"/>
        </w:rPr>
        <w:t>problema adicional.</w:t>
      </w:r>
      <w:r w:rsidRPr="004530CF">
        <w:rPr>
          <w:rFonts w:ascii="Times New Roman" w:hAnsi="Times New Roman" w:cs="Times New Roman"/>
          <w:sz w:val="28"/>
          <w:szCs w:val="28"/>
        </w:rPr>
        <w:t xml:space="preserve"> Los</w:t>
      </w:r>
      <w:r w:rsidRPr="004530CF">
        <w:rPr>
          <w:rFonts w:ascii="Times New Roman" w:hAnsi="Times New Roman" w:cs="Times New Roman"/>
          <w:sz w:val="28"/>
          <w:szCs w:val="28"/>
        </w:rPr>
        <w:t xml:space="preserve"> planteamientos </w:t>
      </w:r>
      <w:r w:rsidRPr="004530CF">
        <w:rPr>
          <w:rFonts w:ascii="Times New Roman" w:hAnsi="Times New Roman" w:cs="Times New Roman"/>
          <w:sz w:val="28"/>
          <w:szCs w:val="28"/>
        </w:rPr>
        <w:t>realizados</w:t>
      </w:r>
      <w:r w:rsidRPr="004530CF">
        <w:rPr>
          <w:rFonts w:ascii="Times New Roman" w:hAnsi="Times New Roman" w:cs="Times New Roman"/>
          <w:sz w:val="28"/>
          <w:szCs w:val="28"/>
        </w:rPr>
        <w:t xml:space="preserve"> carecen de certeza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dado que se fundan en dos supuestos</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w:t>
      </w:r>
      <w:r w:rsidRPr="004530CF">
        <w:rPr>
          <w:rFonts w:ascii="Times New Roman" w:hAnsi="Times New Roman" w:cs="Times New Roman"/>
          <w:sz w:val="28"/>
          <w:szCs w:val="28"/>
        </w:rPr>
        <w:t>no</w:t>
      </w:r>
      <w:r w:rsidRPr="004530CF">
        <w:rPr>
          <w:rFonts w:ascii="Times New Roman" w:hAnsi="Times New Roman" w:cs="Times New Roman"/>
          <w:sz w:val="28"/>
          <w:szCs w:val="28"/>
        </w:rPr>
        <w:t xml:space="preserve"> sustentados</w:t>
      </w:r>
      <w:r w:rsidRPr="004530CF">
        <w:rPr>
          <w:rFonts w:ascii="Times New Roman" w:hAnsi="Times New Roman" w:cs="Times New Roman"/>
          <w:sz w:val="28"/>
          <w:szCs w:val="28"/>
        </w:rPr>
        <w:t xml:space="preserve"> de manera suficiente por la demanda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según los cuales la regulación </w:t>
      </w:r>
      <w:r w:rsidRPr="004530CF">
        <w:rPr>
          <w:rFonts w:ascii="Times New Roman" w:hAnsi="Times New Roman" w:cs="Times New Roman"/>
          <w:sz w:val="28"/>
          <w:szCs w:val="28"/>
        </w:rPr>
        <w:t xml:space="preserve">constituye una expresión del </w:t>
      </w:r>
      <w:r w:rsidRPr="004530CF">
        <w:rPr>
          <w:rFonts w:ascii="Times New Roman" w:hAnsi="Times New Roman" w:cs="Times New Roman"/>
          <w:i/>
          <w:sz w:val="28"/>
          <w:szCs w:val="28"/>
        </w:rPr>
        <w:t>ius puniendi</w:t>
      </w:r>
      <w:r w:rsidRPr="004530CF">
        <w:rPr>
          <w:rFonts w:ascii="Times New Roman" w:hAnsi="Times New Roman" w:cs="Times New Roman"/>
          <w:sz w:val="28"/>
          <w:szCs w:val="28"/>
        </w:rPr>
        <w:t xml:space="preserve"> y, adicionalmente, afecta el contenido sustantivo del </w:t>
      </w:r>
      <w:r w:rsidRPr="004530CF">
        <w:rPr>
          <w:rFonts w:ascii="Times New Roman" w:hAnsi="Times New Roman" w:cs="Times New Roman"/>
          <w:sz w:val="28"/>
          <w:szCs w:val="28"/>
        </w:rPr>
        <w:t xml:space="preserve">derecho de </w:t>
      </w:r>
      <w:r w:rsidRPr="004530CF">
        <w:rPr>
          <w:rFonts w:ascii="Times New Roman" w:hAnsi="Times New Roman" w:cs="Times New Roman"/>
          <w:sz w:val="28"/>
          <w:szCs w:val="28"/>
        </w:rPr>
        <w:t>acceso a los cargos público</w:t>
      </w:r>
      <w:r w:rsidRPr="004530CF">
        <w:rPr>
          <w:rFonts w:ascii="Times New Roman" w:hAnsi="Times New Roman" w:cs="Times New Roman"/>
          <w:sz w:val="28"/>
          <w:szCs w:val="28"/>
        </w:rPr>
        <w:t xml:space="preserve">s. </w:t>
      </w:r>
      <w:r w:rsidRPr="004530CF">
        <w:rPr>
          <w:rFonts w:ascii="Times New Roman" w:hAnsi="Times New Roman" w:cs="Times New Roman"/>
          <w:sz w:val="28"/>
          <w:szCs w:val="28"/>
        </w:rPr>
        <w:t>Sobre lo primero, l</w:t>
      </w:r>
      <w:r w:rsidRPr="004530CF">
        <w:rPr>
          <w:rFonts w:ascii="Times New Roman" w:hAnsi="Times New Roman" w:cs="Times New Roman"/>
          <w:sz w:val="28"/>
          <w:szCs w:val="28"/>
        </w:rPr>
        <w:t xml:space="preserve">a Sala </w:t>
      </w:r>
      <w:r w:rsidRPr="004530CF">
        <w:rPr>
          <w:rFonts w:ascii="Times New Roman" w:hAnsi="Times New Roman" w:cs="Times New Roman"/>
          <w:sz w:val="28"/>
          <w:szCs w:val="28"/>
        </w:rPr>
        <w:t xml:space="preserve">Plena </w:t>
      </w:r>
      <w:r w:rsidRPr="004530CF">
        <w:rPr>
          <w:rFonts w:ascii="Times New Roman" w:hAnsi="Times New Roman" w:cs="Times New Roman"/>
          <w:sz w:val="28"/>
          <w:szCs w:val="28"/>
        </w:rPr>
        <w:t>encuentra necesario destacar que el demandante insistió</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en </w:t>
      </w:r>
      <w:r w:rsidRPr="004530CF">
        <w:rPr>
          <w:rFonts w:ascii="Times New Roman" w:hAnsi="Times New Roman" w:cs="Times New Roman"/>
          <w:sz w:val="28"/>
          <w:szCs w:val="28"/>
        </w:rPr>
        <w:t xml:space="preserve">que </w:t>
      </w:r>
      <w:r w:rsidRPr="004530CF">
        <w:rPr>
          <w:rFonts w:ascii="Times New Roman" w:hAnsi="Times New Roman" w:cs="Times New Roman"/>
          <w:sz w:val="28"/>
          <w:szCs w:val="28"/>
        </w:rPr>
        <w:t>el medio de control de nulidad electoral</w:t>
      </w:r>
      <w:r w:rsidRPr="004530CF">
        <w:rPr>
          <w:rFonts w:ascii="Times New Roman" w:hAnsi="Times New Roman" w:cs="Times New Roman"/>
          <w:sz w:val="28"/>
          <w:szCs w:val="28"/>
        </w:rPr>
        <w:t xml:space="preserve"> tiene un carácter sancionatorio, sin cuestionar de manera precisa, las posturas que advierten que no es ese un rasgo </w:t>
      </w:r>
      <w:r w:rsidRPr="004530CF">
        <w:rPr>
          <w:rFonts w:ascii="Times New Roman" w:hAnsi="Times New Roman" w:cs="Times New Roman"/>
          <w:sz w:val="28"/>
          <w:szCs w:val="28"/>
        </w:rPr>
        <w:t xml:space="preserve">definitorio de ese instrumento de control. </w:t>
      </w:r>
      <w:r w:rsidRPr="004530CF">
        <w:rPr>
          <w:rFonts w:ascii="Times New Roman" w:hAnsi="Times New Roman" w:cs="Times New Roman"/>
          <w:sz w:val="28"/>
          <w:szCs w:val="28"/>
        </w:rPr>
        <w:t>Sobre lo segundo, la acusación no consideró que la disposición cuestionada se ocupa</w:t>
      </w:r>
      <w:r w:rsidRPr="004530CF">
        <w:rPr>
          <w:rFonts w:ascii="Times New Roman" w:hAnsi="Times New Roman" w:cs="Times New Roman"/>
          <w:sz w:val="28"/>
          <w:szCs w:val="28"/>
        </w:rPr>
        <w:t>b</w:t>
      </w:r>
      <w:r w:rsidRPr="004530CF">
        <w:rPr>
          <w:rFonts w:ascii="Times New Roman" w:hAnsi="Times New Roman" w:cs="Times New Roman"/>
          <w:sz w:val="28"/>
          <w:szCs w:val="28"/>
        </w:rPr>
        <w:t xml:space="preserve">a de regular, principalmente, un aspecto adjetivo del referido derecho. </w:t>
      </w:r>
    </w:p>
    <w:p w:rsidR="003A04C5" w:rsidRPr="004530CF" w:rsidRDefault="004530CF" w:rsidP="004C7B30">
      <w:pPr>
        <w:pStyle w:val="Prrafodelista"/>
        <w:tabs>
          <w:tab w:val="left" w:pos="567"/>
        </w:tabs>
        <w:ind w:left="0"/>
        <w:jc w:val="both"/>
        <w:rPr>
          <w:rFonts w:ascii="Times New Roman" w:hAnsi="Times New Roman" w:cs="Times New Roman"/>
          <w:sz w:val="28"/>
          <w:szCs w:val="28"/>
        </w:rPr>
      </w:pPr>
    </w:p>
    <w:p w:rsidR="000F46C3"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No es posible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este caso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acudir a la aplicación del principio </w:t>
      </w:r>
      <w:r w:rsidRPr="004530CF">
        <w:rPr>
          <w:rFonts w:ascii="Times New Roman" w:hAnsi="Times New Roman" w:cs="Times New Roman"/>
          <w:i/>
          <w:sz w:val="28"/>
          <w:szCs w:val="28"/>
        </w:rPr>
        <w:t>pro actione</w:t>
      </w:r>
      <w:r w:rsidRPr="004530CF">
        <w:rPr>
          <w:rFonts w:ascii="Times New Roman" w:hAnsi="Times New Roman" w:cs="Times New Roman"/>
          <w:sz w:val="28"/>
          <w:szCs w:val="28"/>
        </w:rPr>
        <w:t xml:space="preserve">, en tanto proceder en esa dirección, </w:t>
      </w:r>
      <w:r w:rsidRPr="004530CF">
        <w:rPr>
          <w:rFonts w:ascii="Times New Roman" w:hAnsi="Times New Roman" w:cs="Times New Roman"/>
          <w:sz w:val="28"/>
          <w:szCs w:val="28"/>
        </w:rPr>
        <w:t xml:space="preserve">implicaría </w:t>
      </w:r>
      <w:r w:rsidRPr="004530CF">
        <w:rPr>
          <w:rFonts w:ascii="Times New Roman" w:hAnsi="Times New Roman" w:cs="Times New Roman"/>
          <w:sz w:val="28"/>
          <w:szCs w:val="28"/>
        </w:rPr>
        <w:t>reemplazar al demandante en el cumplimiento de un</w:t>
      </w:r>
      <w:r w:rsidRPr="004530CF">
        <w:rPr>
          <w:rFonts w:ascii="Times New Roman" w:hAnsi="Times New Roman" w:cs="Times New Roman"/>
          <w:sz w:val="28"/>
          <w:szCs w:val="28"/>
        </w:rPr>
        <w:t>a carga</w:t>
      </w:r>
      <w:r w:rsidRPr="004530CF">
        <w:rPr>
          <w:rFonts w:ascii="Times New Roman" w:hAnsi="Times New Roman" w:cs="Times New Roman"/>
          <w:sz w:val="28"/>
          <w:szCs w:val="28"/>
        </w:rPr>
        <w:t xml:space="preserve"> fundamental que ha debido </w:t>
      </w:r>
      <w:r w:rsidRPr="004530CF">
        <w:rPr>
          <w:rFonts w:ascii="Times New Roman" w:hAnsi="Times New Roman" w:cs="Times New Roman"/>
          <w:sz w:val="28"/>
          <w:szCs w:val="28"/>
        </w:rPr>
        <w:t>encontrarse satisfecha desde el</w:t>
      </w:r>
      <w:r w:rsidRPr="004530CF">
        <w:rPr>
          <w:rFonts w:ascii="Times New Roman" w:hAnsi="Times New Roman" w:cs="Times New Roman"/>
          <w:sz w:val="28"/>
          <w:szCs w:val="28"/>
        </w:rPr>
        <w:t xml:space="preserve"> inicio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Precisamente</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este Tribunal</w:t>
      </w:r>
      <w:r w:rsidRPr="004530CF">
        <w:rPr>
          <w:rFonts w:ascii="Times New Roman" w:hAnsi="Times New Roman" w:cs="Times New Roman"/>
          <w:sz w:val="28"/>
          <w:szCs w:val="28"/>
        </w:rPr>
        <w:t xml:space="preserve"> ha sost</w:t>
      </w:r>
      <w:r w:rsidRPr="004530CF">
        <w:rPr>
          <w:rFonts w:ascii="Times New Roman" w:hAnsi="Times New Roman" w:cs="Times New Roman"/>
          <w:sz w:val="28"/>
          <w:szCs w:val="28"/>
        </w:rPr>
        <w:t xml:space="preserve">enido que este criterio para valorar la aptitud de la demanda </w:t>
      </w:r>
      <w:r w:rsidRPr="004530CF">
        <w:rPr>
          <w:rFonts w:ascii="Times New Roman" w:hAnsi="Times New Roman" w:cs="Times New Roman"/>
          <w:sz w:val="28"/>
          <w:szCs w:val="28"/>
          <w:shd w:val="clear" w:color="auto" w:fill="FFFFFF"/>
        </w:rPr>
        <w:t>“</w:t>
      </w:r>
      <w:r w:rsidRPr="004530CF">
        <w:rPr>
          <w:rFonts w:ascii="Times New Roman" w:hAnsi="Times New Roman" w:cs="Times New Roman"/>
          <w:i/>
          <w:sz w:val="28"/>
          <w:szCs w:val="28"/>
          <w:shd w:val="clear" w:color="auto" w:fill="FFFFFF"/>
        </w:rPr>
        <w:t>no habilita a la Corte para corregir o aclarar equívocos, aspectos confusos o ambigüedades que surjan de las demandas</w:t>
      </w:r>
      <w:r w:rsidRPr="004530CF">
        <w:rPr>
          <w:rFonts w:ascii="Times New Roman" w:hAnsi="Times New Roman" w:cs="Times New Roman"/>
          <w:sz w:val="28"/>
          <w:szCs w:val="28"/>
          <w:shd w:val="clear" w:color="auto" w:fill="FFFFFF"/>
        </w:rPr>
        <w:t xml:space="preserve"> (…)”</w:t>
      </w:r>
      <w:r w:rsidRPr="004530CF">
        <w:rPr>
          <w:rStyle w:val="Refdenotaalpie"/>
          <w:rFonts w:ascii="Times New Roman" w:hAnsi="Times New Roman" w:cs="Times New Roman"/>
          <w:sz w:val="28"/>
          <w:szCs w:val="28"/>
          <w:shd w:val="clear" w:color="auto" w:fill="FFFFFF"/>
        </w:rPr>
        <w:footnoteReference w:id="26"/>
      </w:r>
      <w:r w:rsidRPr="004530CF">
        <w:rPr>
          <w:rFonts w:ascii="Times New Roman" w:hAnsi="Times New Roman" w:cs="Times New Roman"/>
          <w:sz w:val="28"/>
          <w:szCs w:val="28"/>
          <w:shd w:val="clear" w:color="auto" w:fill="FFFFFF"/>
        </w:rPr>
        <w:t>, debido a que “[n]</w:t>
      </w:r>
      <w:r w:rsidRPr="004530CF">
        <w:rPr>
          <w:rFonts w:ascii="Times New Roman" w:hAnsi="Times New Roman" w:cs="Times New Roman"/>
          <w:i/>
          <w:sz w:val="28"/>
          <w:szCs w:val="28"/>
          <w:shd w:val="clear" w:color="auto" w:fill="FFFFFF"/>
        </w:rPr>
        <w:t>o es posible sustituir al demandante como si se tra</w:t>
      </w:r>
      <w:r w:rsidRPr="004530CF">
        <w:rPr>
          <w:rFonts w:ascii="Times New Roman" w:hAnsi="Times New Roman" w:cs="Times New Roman"/>
          <w:i/>
          <w:sz w:val="28"/>
          <w:szCs w:val="28"/>
          <w:shd w:val="clear" w:color="auto" w:fill="FFFFFF"/>
        </w:rPr>
        <w:t>tara de un control de oficio y, en esa medida, la aplicación del principio exige la existencia </w:t>
      </w:r>
      <w:r w:rsidRPr="004530CF">
        <w:rPr>
          <w:rFonts w:ascii="Times New Roman" w:hAnsi="Times New Roman" w:cs="Times New Roman"/>
          <w:bCs/>
          <w:i/>
          <w:sz w:val="28"/>
          <w:szCs w:val="28"/>
          <w:shd w:val="clear" w:color="auto" w:fill="FFFFFF"/>
        </w:rPr>
        <w:t>de un núcleo argumentativo básico y preciso</w:t>
      </w:r>
      <w:r w:rsidRPr="004530CF">
        <w:rPr>
          <w:rFonts w:ascii="Times New Roman" w:hAnsi="Times New Roman" w:cs="Times New Roman"/>
          <w:i/>
          <w:sz w:val="28"/>
          <w:szCs w:val="28"/>
          <w:shd w:val="clear" w:color="auto" w:fill="FFFFFF"/>
        </w:rPr>
        <w:t>, aunque existan algunas reservas o inquietudes</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27"/>
      </w:r>
      <w:r w:rsidRPr="004530CF">
        <w:rPr>
          <w:rFonts w:ascii="Times New Roman" w:hAnsi="Times New Roman" w:cs="Times New Roman"/>
          <w:sz w:val="28"/>
          <w:szCs w:val="28"/>
          <w:shd w:val="clear" w:color="auto" w:fill="FFFFFF"/>
        </w:rPr>
        <w:t>. </w:t>
      </w:r>
      <w:r w:rsidRPr="004530CF">
        <w:rPr>
          <w:rFonts w:ascii="Times New Roman" w:hAnsi="Times New Roman" w:cs="Times New Roman"/>
          <w:sz w:val="28"/>
          <w:szCs w:val="28"/>
        </w:rPr>
        <w:t xml:space="preserve"> </w:t>
      </w:r>
    </w:p>
    <w:p w:rsidR="00A204C3" w:rsidRPr="004530CF" w:rsidRDefault="004530CF" w:rsidP="004C7B30">
      <w:pPr>
        <w:pStyle w:val="Prrafodelista"/>
        <w:tabs>
          <w:tab w:val="left" w:pos="567"/>
        </w:tabs>
        <w:ind w:left="0"/>
        <w:jc w:val="both"/>
        <w:rPr>
          <w:rFonts w:ascii="Times New Roman" w:hAnsi="Times New Roman" w:cs="Times New Roman"/>
          <w:sz w:val="28"/>
          <w:szCs w:val="28"/>
        </w:rPr>
      </w:pPr>
    </w:p>
    <w:p w:rsidR="008F50FE"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La decisión que ahora adopta esta Corporación, no cierra la posi</w:t>
      </w:r>
      <w:r w:rsidRPr="004530CF">
        <w:rPr>
          <w:rFonts w:ascii="Times New Roman" w:hAnsi="Times New Roman" w:cs="Times New Roman"/>
          <w:sz w:val="28"/>
          <w:szCs w:val="28"/>
        </w:rPr>
        <w:t>bilidad de que la ciuda</w:t>
      </w:r>
      <w:r w:rsidRPr="004530CF">
        <w:rPr>
          <w:rFonts w:ascii="Times New Roman" w:hAnsi="Times New Roman" w:cs="Times New Roman"/>
          <w:sz w:val="28"/>
          <w:szCs w:val="28"/>
        </w:rPr>
        <w:t>da</w:t>
      </w:r>
      <w:r w:rsidRPr="004530CF">
        <w:rPr>
          <w:rFonts w:ascii="Times New Roman" w:hAnsi="Times New Roman" w:cs="Times New Roman"/>
          <w:sz w:val="28"/>
          <w:szCs w:val="28"/>
        </w:rPr>
        <w:t>nía promueva un nuevo debate judicial. Sin embargo, al hacerlo, será esencial valorar el alcance del parágrafo del artículo 264 de la Constitución y, en ese contexto, definir su incidencia</w:t>
      </w:r>
      <w:r w:rsidRPr="004530CF">
        <w:rPr>
          <w:rFonts w:ascii="Times New Roman" w:hAnsi="Times New Roman" w:cs="Times New Roman"/>
          <w:sz w:val="28"/>
          <w:szCs w:val="28"/>
        </w:rPr>
        <w:t xml:space="preserve"> en </w:t>
      </w:r>
      <w:r w:rsidRPr="004530CF">
        <w:rPr>
          <w:rFonts w:ascii="Times New Roman" w:hAnsi="Times New Roman" w:cs="Times New Roman"/>
          <w:sz w:val="28"/>
          <w:szCs w:val="28"/>
        </w:rPr>
        <w:t xml:space="preserve">el margen de configuración del que </w:t>
      </w:r>
      <w:r w:rsidRPr="004530CF">
        <w:rPr>
          <w:rFonts w:ascii="Times New Roman" w:hAnsi="Times New Roman" w:cs="Times New Roman"/>
          <w:sz w:val="28"/>
          <w:szCs w:val="28"/>
        </w:rPr>
        <w:t>dispone el Congreso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para regular la doble instancia y la impugnación en el curso de procesos de nulidad electoral.</w:t>
      </w:r>
      <w:r w:rsidRPr="004530CF">
        <w:rPr>
          <w:rFonts w:ascii="Times New Roman" w:hAnsi="Times New Roman" w:cs="Times New Roman"/>
          <w:sz w:val="28"/>
          <w:szCs w:val="28"/>
        </w:rPr>
        <w:t xml:space="preserve"> Asimismo,</w:t>
      </w:r>
      <w:r w:rsidRPr="004530CF">
        <w:rPr>
          <w:rFonts w:ascii="Times New Roman" w:hAnsi="Times New Roman" w:cs="Times New Roman"/>
          <w:sz w:val="28"/>
          <w:szCs w:val="28"/>
        </w:rPr>
        <w:t xml:space="preserve"> es fundamental que al formular una acusación </w:t>
      </w:r>
      <w:r w:rsidRPr="004530CF">
        <w:rPr>
          <w:rFonts w:ascii="Times New Roman" w:hAnsi="Times New Roman" w:cs="Times New Roman"/>
          <w:sz w:val="28"/>
          <w:szCs w:val="28"/>
        </w:rPr>
        <w:t xml:space="preserve">se </w:t>
      </w:r>
      <w:r w:rsidRPr="004530CF">
        <w:rPr>
          <w:rFonts w:ascii="Times New Roman" w:hAnsi="Times New Roman" w:cs="Times New Roman"/>
          <w:sz w:val="28"/>
          <w:szCs w:val="28"/>
        </w:rPr>
        <w:t>precis</w:t>
      </w:r>
      <w:r w:rsidRPr="004530CF">
        <w:rPr>
          <w:rFonts w:ascii="Times New Roman" w:hAnsi="Times New Roman" w:cs="Times New Roman"/>
          <w:sz w:val="28"/>
          <w:szCs w:val="28"/>
        </w:rPr>
        <w:t>e</w:t>
      </w:r>
      <w:r w:rsidRPr="004530CF">
        <w:rPr>
          <w:rFonts w:ascii="Times New Roman" w:hAnsi="Times New Roman" w:cs="Times New Roman"/>
          <w:sz w:val="28"/>
          <w:szCs w:val="28"/>
        </w:rPr>
        <w:t xml:space="preserve"> la </w:t>
      </w:r>
      <w:r w:rsidRPr="004530CF">
        <w:rPr>
          <w:rFonts w:ascii="Times New Roman" w:hAnsi="Times New Roman" w:cs="Times New Roman"/>
          <w:sz w:val="28"/>
          <w:szCs w:val="28"/>
        </w:rPr>
        <w:t xml:space="preserve">relación entre el </w:t>
      </w:r>
      <w:r w:rsidRPr="004530CF">
        <w:rPr>
          <w:rFonts w:ascii="Times New Roman" w:hAnsi="Times New Roman" w:cs="Times New Roman"/>
          <w:sz w:val="28"/>
          <w:szCs w:val="28"/>
        </w:rPr>
        <w:t xml:space="preserve">referido </w:t>
      </w:r>
      <w:r w:rsidRPr="004530CF">
        <w:rPr>
          <w:rFonts w:ascii="Times New Roman" w:hAnsi="Times New Roman" w:cs="Times New Roman"/>
          <w:sz w:val="28"/>
          <w:szCs w:val="28"/>
        </w:rPr>
        <w:t>artículo 264</w:t>
      </w:r>
      <w:r w:rsidRPr="004530CF">
        <w:rPr>
          <w:rFonts w:ascii="Times New Roman" w:hAnsi="Times New Roman" w:cs="Times New Roman"/>
          <w:sz w:val="28"/>
          <w:szCs w:val="28"/>
        </w:rPr>
        <w:t xml:space="preserve"> de la Carta Política</w:t>
      </w:r>
      <w:r w:rsidRPr="004530CF">
        <w:rPr>
          <w:rFonts w:ascii="Times New Roman" w:hAnsi="Times New Roman" w:cs="Times New Roman"/>
          <w:sz w:val="28"/>
          <w:szCs w:val="28"/>
        </w:rPr>
        <w:t xml:space="preserve"> y los inst</w:t>
      </w:r>
      <w:r w:rsidRPr="004530CF">
        <w:rPr>
          <w:rFonts w:ascii="Times New Roman" w:hAnsi="Times New Roman" w:cs="Times New Roman"/>
          <w:sz w:val="28"/>
          <w:szCs w:val="28"/>
        </w:rPr>
        <w:t xml:space="preserve">rumentos internacionales de derechos humanos que integran el bloque de constitucionalidad, </w:t>
      </w:r>
      <w:r w:rsidRPr="004530CF">
        <w:rPr>
          <w:rFonts w:ascii="Times New Roman" w:hAnsi="Times New Roman" w:cs="Times New Roman"/>
          <w:sz w:val="28"/>
          <w:szCs w:val="28"/>
        </w:rPr>
        <w:t xml:space="preserve">teniendo en cuenta </w:t>
      </w:r>
      <w:r w:rsidRPr="004530CF">
        <w:rPr>
          <w:rFonts w:ascii="Times New Roman" w:hAnsi="Times New Roman" w:cs="Times New Roman"/>
          <w:sz w:val="28"/>
          <w:szCs w:val="28"/>
        </w:rPr>
        <w:t>los criterios</w:t>
      </w:r>
      <w:r w:rsidRPr="004530CF">
        <w:rPr>
          <w:rFonts w:ascii="Times New Roman" w:hAnsi="Times New Roman" w:cs="Times New Roman"/>
          <w:sz w:val="28"/>
          <w:szCs w:val="28"/>
        </w:rPr>
        <w:t xml:space="preserve"> de articulación que se desprenden de la jurisprudencia de esta Corte</w:t>
      </w:r>
      <w:r w:rsidRPr="004530CF">
        <w:rPr>
          <w:rStyle w:val="Refdenotaalpie"/>
          <w:rFonts w:ascii="Times New Roman" w:hAnsi="Times New Roman" w:cs="Times New Roman"/>
          <w:sz w:val="28"/>
          <w:szCs w:val="24"/>
        </w:rPr>
        <w:footnoteReference w:id="28"/>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Este requerimiento, como lo ha dicho la jurisprudencia, prete</w:t>
      </w:r>
      <w:r w:rsidRPr="004530CF">
        <w:rPr>
          <w:rFonts w:ascii="Times New Roman" w:hAnsi="Times New Roman" w:cs="Times New Roman"/>
          <w:sz w:val="28"/>
          <w:szCs w:val="28"/>
        </w:rPr>
        <w:t xml:space="preserve">nde garantizar </w:t>
      </w:r>
      <w:r w:rsidRPr="004530CF">
        <w:rPr>
          <w:rFonts w:ascii="Times New Roman" w:hAnsi="Times New Roman" w:cs="Times New Roman"/>
          <w:sz w:val="28"/>
          <w:szCs w:val="28"/>
          <w:shd w:val="clear" w:color="auto" w:fill="FFFFFF"/>
        </w:rPr>
        <w:t>“</w:t>
      </w:r>
      <w:r w:rsidRPr="004530CF">
        <w:rPr>
          <w:rFonts w:ascii="Times New Roman" w:hAnsi="Times New Roman" w:cs="Times New Roman"/>
          <w:i/>
          <w:sz w:val="28"/>
          <w:szCs w:val="28"/>
          <w:shd w:val="clear" w:color="auto" w:fill="FFFFFF"/>
        </w:rPr>
        <w:t>que el proceso que tiene lugar en esta Corte</w:t>
      </w:r>
      <w:r w:rsidRPr="004530CF">
        <w:rPr>
          <w:rFonts w:ascii="Times New Roman" w:hAnsi="Times New Roman" w:cs="Times New Roman"/>
          <w:i/>
          <w:sz w:val="28"/>
          <w:szCs w:val="28"/>
          <w:shd w:val="clear" w:color="auto" w:fill="FFFFFF"/>
        </w:rPr>
        <w:t>,</w:t>
      </w:r>
      <w:r w:rsidRPr="004530CF">
        <w:rPr>
          <w:rFonts w:ascii="Times New Roman" w:hAnsi="Times New Roman" w:cs="Times New Roman"/>
          <w:i/>
          <w:sz w:val="28"/>
          <w:szCs w:val="28"/>
          <w:shd w:val="clear" w:color="auto" w:fill="FFFFFF"/>
        </w:rPr>
        <w:t xml:space="preserve"> constituya un foro en el que la decisión sea el resultado de la comprensión, valoración y ponderación de las mejores razones para hacer efectivo el principio de supremacía de la Constitución</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29"/>
      </w:r>
      <w:r w:rsidRPr="004530CF">
        <w:rPr>
          <w:rFonts w:ascii="Times New Roman" w:hAnsi="Times New Roman" w:cs="Times New Roman"/>
          <w:sz w:val="28"/>
          <w:szCs w:val="28"/>
          <w:shd w:val="clear" w:color="auto" w:fill="FFFFFF"/>
        </w:rPr>
        <w:t>.</w:t>
      </w:r>
      <w:r w:rsidRPr="004530CF">
        <w:rPr>
          <w:rFonts w:ascii="Times New Roman" w:hAnsi="Times New Roman" w:cs="Times New Roman"/>
          <w:sz w:val="28"/>
          <w:szCs w:val="28"/>
          <w:shd w:val="clear" w:color="auto" w:fill="FFFFFF"/>
        </w:rPr>
        <w:t xml:space="preserve"> Es esta la premisa en la que se asienta la determinación que, en esta oportunidad, asume la Sala.  </w:t>
      </w:r>
    </w:p>
    <w:p w:rsidR="005154C7" w:rsidRPr="004530CF" w:rsidRDefault="004530CF" w:rsidP="004C7B30">
      <w:pPr>
        <w:pStyle w:val="Prrafodelista"/>
        <w:rPr>
          <w:rFonts w:ascii="Times New Roman" w:hAnsi="Times New Roman" w:cs="Times New Roman"/>
          <w:sz w:val="28"/>
          <w:szCs w:val="28"/>
        </w:rPr>
      </w:pPr>
    </w:p>
    <w:p w:rsidR="005154C7" w:rsidRPr="004530CF" w:rsidRDefault="004530CF" w:rsidP="004C7B30">
      <w:pPr>
        <w:pStyle w:val="Ttulo2"/>
        <w:numPr>
          <w:ilvl w:val="1"/>
          <w:numId w:val="1"/>
        </w:numPr>
        <w:spacing w:before="0"/>
        <w:ind w:left="1134" w:hanging="567"/>
        <w:jc w:val="both"/>
        <w:rPr>
          <w:rStyle w:val="Ttulo1Car"/>
          <w:rFonts w:ascii="Times New Roman" w:hAnsi="Times New Roman" w:cs="Times New Roman"/>
          <w:b/>
          <w:color w:val="auto"/>
          <w:sz w:val="28"/>
          <w:szCs w:val="28"/>
        </w:rPr>
      </w:pPr>
      <w:r w:rsidRPr="004530CF">
        <w:rPr>
          <w:rStyle w:val="Ttulo1Car"/>
          <w:rFonts w:ascii="Times New Roman" w:hAnsi="Times New Roman" w:cs="Times New Roman"/>
          <w:b/>
          <w:color w:val="auto"/>
          <w:sz w:val="28"/>
          <w:szCs w:val="28"/>
        </w:rPr>
        <w:t>Segunda cuestión preliminar: el cargo por violación del derecho de acceder a la administración de justicia en condiciones de igualdad (arts. 13 y 29 de la</w:t>
      </w:r>
      <w:r w:rsidRPr="004530CF">
        <w:rPr>
          <w:rStyle w:val="Ttulo1Car"/>
          <w:rFonts w:ascii="Times New Roman" w:hAnsi="Times New Roman" w:cs="Times New Roman"/>
          <w:b/>
          <w:color w:val="auto"/>
          <w:sz w:val="28"/>
          <w:szCs w:val="28"/>
        </w:rPr>
        <w:t xml:space="preserve"> Constitución) cumple las condiciones para adoptar un pronunciamiento de fondo  </w:t>
      </w:r>
    </w:p>
    <w:p w:rsidR="005154C7" w:rsidRPr="004530CF" w:rsidRDefault="004530CF" w:rsidP="004C7B30">
      <w:pPr>
        <w:rPr>
          <w:rFonts w:ascii="Times New Roman" w:hAnsi="Times New Roman" w:cs="Times New Roman"/>
          <w:sz w:val="28"/>
          <w:szCs w:val="28"/>
        </w:rPr>
      </w:pPr>
    </w:p>
    <w:p w:rsidR="00386B75"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El cargo relativo a la infracción del derecho a la igualdad</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cumple</w:t>
      </w:r>
      <w:r w:rsidRPr="004530CF">
        <w:rPr>
          <w:rFonts w:ascii="Times New Roman" w:hAnsi="Times New Roman" w:cs="Times New Roman"/>
          <w:sz w:val="28"/>
          <w:szCs w:val="28"/>
        </w:rPr>
        <w:t xml:space="preserve"> con</w:t>
      </w:r>
      <w:r w:rsidRPr="004530CF">
        <w:rPr>
          <w:rFonts w:ascii="Times New Roman" w:hAnsi="Times New Roman" w:cs="Times New Roman"/>
          <w:sz w:val="28"/>
          <w:szCs w:val="28"/>
        </w:rPr>
        <w:t xml:space="preserve"> las exigencias que habilitan a la Corte para adoptar una decisión de mérito. </w:t>
      </w:r>
      <w:r w:rsidRPr="004530CF">
        <w:rPr>
          <w:rFonts w:ascii="Times New Roman" w:hAnsi="Times New Roman" w:cs="Times New Roman"/>
          <w:sz w:val="28"/>
          <w:szCs w:val="28"/>
        </w:rPr>
        <w:t>La Sala realizará una brev</w:t>
      </w:r>
      <w:r w:rsidRPr="004530CF">
        <w:rPr>
          <w:rFonts w:ascii="Times New Roman" w:hAnsi="Times New Roman" w:cs="Times New Roman"/>
          <w:sz w:val="28"/>
          <w:szCs w:val="28"/>
        </w:rPr>
        <w:t>e justificación de esta conclusión, con el único propósito de diferenciar los motivos que, frente a esta acusación, habilitan un pronunciamiento.</w:t>
      </w:r>
    </w:p>
    <w:p w:rsidR="00386B75" w:rsidRPr="004530CF" w:rsidRDefault="004530CF" w:rsidP="004C7B30">
      <w:pPr>
        <w:tabs>
          <w:tab w:val="left" w:pos="567"/>
        </w:tabs>
        <w:jc w:val="both"/>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 xml:space="preserve">En efecto, para la Sala </w:t>
      </w:r>
      <w:r w:rsidRPr="004530CF">
        <w:rPr>
          <w:rFonts w:ascii="Times New Roman" w:hAnsi="Times New Roman" w:cs="Times New Roman"/>
          <w:sz w:val="28"/>
          <w:szCs w:val="28"/>
        </w:rPr>
        <w:t xml:space="preserve">Plena </w:t>
      </w:r>
      <w:r w:rsidRPr="004530CF">
        <w:rPr>
          <w:rFonts w:ascii="Times New Roman" w:hAnsi="Times New Roman" w:cs="Times New Roman"/>
          <w:sz w:val="28"/>
          <w:szCs w:val="28"/>
        </w:rPr>
        <w:t xml:space="preserve">se trata de una acusación </w:t>
      </w:r>
      <w:r w:rsidRPr="004530CF">
        <w:rPr>
          <w:rFonts w:ascii="Times New Roman" w:hAnsi="Times New Roman" w:cs="Times New Roman"/>
          <w:i/>
          <w:sz w:val="28"/>
          <w:szCs w:val="28"/>
        </w:rPr>
        <w:t>clara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dado que permite identificar el sentido genera</w:t>
      </w:r>
      <w:r w:rsidRPr="004530CF">
        <w:rPr>
          <w:rFonts w:ascii="Times New Roman" w:hAnsi="Times New Roman" w:cs="Times New Roman"/>
          <w:sz w:val="28"/>
          <w:szCs w:val="28"/>
        </w:rPr>
        <w:t xml:space="preserve">l del desacuerdo del demandante. Igualmente, el planteamiento es </w:t>
      </w:r>
      <w:r w:rsidRPr="004530CF">
        <w:rPr>
          <w:rFonts w:ascii="Times New Roman" w:hAnsi="Times New Roman" w:cs="Times New Roman"/>
          <w:i/>
          <w:sz w:val="28"/>
          <w:szCs w:val="28"/>
        </w:rPr>
        <w:t>cierto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en tanto el trato diferente que el ciudadano cuestiona, se desprende de la interpretación conjunta de la disposición acusada </w:t>
      </w:r>
      <w:r w:rsidRPr="004530CF">
        <w:rPr>
          <w:rFonts w:ascii="Times New Roman" w:hAnsi="Times New Roman" w:cs="Times New Roman"/>
          <w:sz w:val="28"/>
          <w:szCs w:val="28"/>
        </w:rPr>
        <w:t>–</w:t>
      </w:r>
      <w:r w:rsidRPr="004530CF">
        <w:rPr>
          <w:rFonts w:ascii="Times New Roman" w:hAnsi="Times New Roman" w:cs="Times New Roman"/>
          <w:iCs/>
          <w:sz w:val="28"/>
          <w:szCs w:val="28"/>
        </w:rPr>
        <w:t xml:space="preserve">numeral 3 del artículo 149 de la Ley 1437 de 2011, tal y </w:t>
      </w:r>
      <w:r w:rsidRPr="004530CF">
        <w:rPr>
          <w:rFonts w:ascii="Times New Roman" w:hAnsi="Times New Roman" w:cs="Times New Roman"/>
          <w:iCs/>
          <w:sz w:val="28"/>
          <w:szCs w:val="28"/>
        </w:rPr>
        <w:t>como fue modificado por el artículo 24 de la Ley 208</w:t>
      </w:r>
      <w:r w:rsidRPr="004530CF">
        <w:rPr>
          <w:rFonts w:ascii="Times New Roman" w:hAnsi="Times New Roman" w:cs="Times New Roman"/>
          <w:iCs/>
          <w:sz w:val="28"/>
          <w:szCs w:val="28"/>
        </w:rPr>
        <w:t>0</w:t>
      </w:r>
      <w:r w:rsidRPr="004530CF">
        <w:rPr>
          <w:rFonts w:ascii="Times New Roman" w:hAnsi="Times New Roman" w:cs="Times New Roman"/>
          <w:iCs/>
          <w:sz w:val="28"/>
          <w:szCs w:val="28"/>
        </w:rPr>
        <w:t xml:space="preserve"> de 2021</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y el artículo 152.7</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literal a)</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del CPACA. </w:t>
      </w:r>
      <w:r w:rsidRPr="004530CF">
        <w:rPr>
          <w:rFonts w:ascii="Times New Roman" w:hAnsi="Times New Roman" w:cs="Times New Roman"/>
          <w:iCs/>
          <w:sz w:val="28"/>
          <w:szCs w:val="28"/>
        </w:rPr>
        <w:t>Precisamente</w:t>
      </w:r>
      <w:r w:rsidRPr="004530CF">
        <w:rPr>
          <w:rFonts w:ascii="Times New Roman" w:hAnsi="Times New Roman" w:cs="Times New Roman"/>
          <w:iCs/>
          <w:sz w:val="28"/>
          <w:szCs w:val="28"/>
        </w:rPr>
        <w:t xml:space="preserve">, el primero de tales artículos señala que </w:t>
      </w:r>
      <w:r w:rsidRPr="004530CF">
        <w:rPr>
          <w:rFonts w:ascii="Times New Roman" w:hAnsi="Times New Roman" w:cs="Times New Roman"/>
          <w:sz w:val="28"/>
          <w:szCs w:val="28"/>
        </w:rPr>
        <w:t xml:space="preserve">son competencia del Consejo de Estado, </w:t>
      </w:r>
      <w:r w:rsidRPr="004530CF">
        <w:rPr>
          <w:rFonts w:ascii="Times New Roman" w:hAnsi="Times New Roman" w:cs="Times New Roman"/>
          <w:i/>
          <w:sz w:val="28"/>
          <w:szCs w:val="28"/>
        </w:rPr>
        <w:t>en única instancia</w:t>
      </w:r>
      <w:r w:rsidRPr="004530CF">
        <w:rPr>
          <w:rFonts w:ascii="Times New Roman" w:hAnsi="Times New Roman" w:cs="Times New Roman"/>
          <w:sz w:val="28"/>
          <w:szCs w:val="28"/>
        </w:rPr>
        <w:t xml:space="preserve">, los procesos en los que se solicite </w:t>
      </w:r>
      <w:r w:rsidRPr="004530CF">
        <w:rPr>
          <w:rFonts w:ascii="Times New Roman" w:hAnsi="Times New Roman" w:cs="Times New Roman"/>
          <w:sz w:val="28"/>
          <w:szCs w:val="28"/>
          <w:shd w:val="clear" w:color="auto" w:fill="FFFFFF"/>
        </w:rPr>
        <w:t xml:space="preserve">la nulidad del acto de elección o llamamiento a ocupar la curul, según el caso, del </w:t>
      </w:r>
      <w:r w:rsidRPr="004530CF">
        <w:rPr>
          <w:rFonts w:ascii="Times New Roman" w:hAnsi="Times New Roman" w:cs="Times New Roman"/>
          <w:i/>
          <w:iCs/>
          <w:sz w:val="28"/>
          <w:szCs w:val="28"/>
          <w:shd w:val="clear" w:color="auto" w:fill="FFFFFF"/>
        </w:rPr>
        <w:t>p</w:t>
      </w:r>
      <w:r w:rsidRPr="004530CF">
        <w:rPr>
          <w:rFonts w:ascii="Times New Roman" w:hAnsi="Times New Roman" w:cs="Times New Roman"/>
          <w:i/>
          <w:iCs/>
          <w:sz w:val="28"/>
          <w:szCs w:val="28"/>
          <w:shd w:val="clear" w:color="auto" w:fill="FFFFFF"/>
        </w:rPr>
        <w:t xml:space="preserve">residente y el </w:t>
      </w:r>
      <w:r w:rsidRPr="004530CF">
        <w:rPr>
          <w:rFonts w:ascii="Times New Roman" w:hAnsi="Times New Roman" w:cs="Times New Roman"/>
          <w:i/>
          <w:iCs/>
          <w:sz w:val="28"/>
          <w:szCs w:val="28"/>
          <w:shd w:val="clear" w:color="auto" w:fill="FFFFFF"/>
        </w:rPr>
        <w:t>v</w:t>
      </w:r>
      <w:r w:rsidRPr="004530CF">
        <w:rPr>
          <w:rFonts w:ascii="Times New Roman" w:hAnsi="Times New Roman" w:cs="Times New Roman"/>
          <w:i/>
          <w:iCs/>
          <w:sz w:val="28"/>
          <w:szCs w:val="28"/>
          <w:shd w:val="clear" w:color="auto" w:fill="FFFFFF"/>
        </w:rPr>
        <w:t>icepresidente de la República</w:t>
      </w:r>
      <w:r w:rsidRPr="004530CF">
        <w:rPr>
          <w:rFonts w:ascii="Times New Roman" w:hAnsi="Times New Roman" w:cs="Times New Roman"/>
          <w:i/>
          <w:iCs/>
          <w:sz w:val="28"/>
          <w:szCs w:val="28"/>
        </w:rPr>
        <w:t xml:space="preserve">, de los </w:t>
      </w:r>
      <w:r w:rsidRPr="004530CF">
        <w:rPr>
          <w:rFonts w:ascii="Times New Roman" w:hAnsi="Times New Roman" w:cs="Times New Roman"/>
          <w:i/>
          <w:iCs/>
          <w:sz w:val="28"/>
          <w:szCs w:val="28"/>
        </w:rPr>
        <w:t>s</w:t>
      </w:r>
      <w:r w:rsidRPr="004530CF">
        <w:rPr>
          <w:rFonts w:ascii="Times New Roman" w:hAnsi="Times New Roman" w:cs="Times New Roman"/>
          <w:i/>
          <w:iCs/>
          <w:sz w:val="28"/>
          <w:szCs w:val="28"/>
        </w:rPr>
        <w:t xml:space="preserve">enadores, de los representantes a la </w:t>
      </w:r>
      <w:r w:rsidRPr="004530CF">
        <w:rPr>
          <w:rFonts w:ascii="Times New Roman" w:hAnsi="Times New Roman" w:cs="Times New Roman"/>
          <w:i/>
          <w:iCs/>
          <w:sz w:val="28"/>
          <w:szCs w:val="28"/>
        </w:rPr>
        <w:t>c</w:t>
      </w:r>
      <w:r w:rsidRPr="004530CF">
        <w:rPr>
          <w:rFonts w:ascii="Times New Roman" w:hAnsi="Times New Roman" w:cs="Times New Roman"/>
          <w:i/>
          <w:iCs/>
          <w:sz w:val="28"/>
          <w:szCs w:val="28"/>
        </w:rPr>
        <w:t>ámara, de los representantes al Parlamen</w:t>
      </w:r>
      <w:r w:rsidRPr="004530CF">
        <w:rPr>
          <w:rFonts w:ascii="Times New Roman" w:hAnsi="Times New Roman" w:cs="Times New Roman"/>
          <w:i/>
          <w:iCs/>
          <w:sz w:val="28"/>
          <w:szCs w:val="28"/>
        </w:rPr>
        <w:t xml:space="preserve">to Andino, de los gobernadores y del </w:t>
      </w:r>
      <w:r w:rsidRPr="004530CF">
        <w:rPr>
          <w:rFonts w:ascii="Times New Roman" w:hAnsi="Times New Roman" w:cs="Times New Roman"/>
          <w:i/>
          <w:iCs/>
          <w:sz w:val="28"/>
          <w:szCs w:val="28"/>
        </w:rPr>
        <w:t>A</w:t>
      </w:r>
      <w:r w:rsidRPr="004530CF">
        <w:rPr>
          <w:rFonts w:ascii="Times New Roman" w:hAnsi="Times New Roman" w:cs="Times New Roman"/>
          <w:i/>
          <w:iCs/>
          <w:sz w:val="28"/>
          <w:szCs w:val="28"/>
        </w:rPr>
        <w:t>lcalde Mayor de Bogotá.</w:t>
      </w:r>
      <w:r w:rsidRPr="004530CF">
        <w:rPr>
          <w:rFonts w:ascii="Times New Roman" w:hAnsi="Times New Roman" w:cs="Times New Roman"/>
          <w:iCs/>
          <w:sz w:val="28"/>
          <w:szCs w:val="28"/>
        </w:rPr>
        <w:t xml:space="preserve"> A su vez, el segundo de </w:t>
      </w:r>
      <w:r w:rsidRPr="004530CF">
        <w:rPr>
          <w:rFonts w:ascii="Times New Roman" w:hAnsi="Times New Roman" w:cs="Times New Roman"/>
          <w:iCs/>
          <w:sz w:val="28"/>
          <w:szCs w:val="28"/>
        </w:rPr>
        <w:t>lo</w:t>
      </w:r>
      <w:r w:rsidRPr="004530CF">
        <w:rPr>
          <w:rFonts w:ascii="Times New Roman" w:hAnsi="Times New Roman" w:cs="Times New Roman"/>
          <w:iCs/>
          <w:sz w:val="28"/>
          <w:szCs w:val="28"/>
        </w:rPr>
        <w:t>s</w:t>
      </w:r>
      <w:r w:rsidRPr="004530CF">
        <w:rPr>
          <w:rFonts w:ascii="Times New Roman" w:hAnsi="Times New Roman" w:cs="Times New Roman"/>
          <w:iCs/>
          <w:sz w:val="28"/>
          <w:szCs w:val="28"/>
        </w:rPr>
        <w:t xml:space="preserve"> preceptos en </w:t>
      </w:r>
      <w:r w:rsidRPr="004530CF">
        <w:rPr>
          <w:rFonts w:ascii="Times New Roman" w:hAnsi="Times New Roman" w:cs="Times New Roman"/>
          <w:iCs/>
          <w:sz w:val="28"/>
          <w:szCs w:val="28"/>
        </w:rPr>
        <w:t>cita</w:t>
      </w:r>
      <w:r w:rsidRPr="004530CF">
        <w:rPr>
          <w:rFonts w:ascii="Times New Roman" w:hAnsi="Times New Roman" w:cs="Times New Roman"/>
          <w:iCs/>
          <w:sz w:val="28"/>
          <w:szCs w:val="28"/>
        </w:rPr>
        <w:t xml:space="preserve"> </w:t>
      </w:r>
      <w:r w:rsidRPr="004530CF">
        <w:rPr>
          <w:rFonts w:ascii="Times New Roman" w:hAnsi="Times New Roman" w:cs="Times New Roman"/>
          <w:iCs/>
          <w:sz w:val="28"/>
          <w:szCs w:val="28"/>
        </w:rPr>
        <w:t>dispone</w:t>
      </w:r>
      <w:r w:rsidRPr="004530CF">
        <w:rPr>
          <w:rFonts w:ascii="Times New Roman" w:hAnsi="Times New Roman" w:cs="Times New Roman"/>
          <w:iCs/>
          <w:sz w:val="28"/>
          <w:szCs w:val="28"/>
        </w:rPr>
        <w:t xml:space="preserve"> que los tribunales administrativos conocerán, en primera instancia, d</w:t>
      </w:r>
      <w:r w:rsidRPr="004530CF">
        <w:rPr>
          <w:rFonts w:ascii="Times New Roman" w:hAnsi="Times New Roman" w:cs="Times New Roman"/>
          <w:sz w:val="28"/>
          <w:szCs w:val="28"/>
          <w:shd w:val="clear" w:color="auto" w:fill="FFFFFF"/>
        </w:rPr>
        <w:t>e la nulidad del acto de elección o llamamiento a ocupar la curul, segú</w:t>
      </w:r>
      <w:r w:rsidRPr="004530CF">
        <w:rPr>
          <w:rFonts w:ascii="Times New Roman" w:hAnsi="Times New Roman" w:cs="Times New Roman"/>
          <w:sz w:val="28"/>
          <w:szCs w:val="28"/>
          <w:shd w:val="clear" w:color="auto" w:fill="FFFFFF"/>
        </w:rPr>
        <w:t xml:space="preserve">n el caso, </w:t>
      </w:r>
      <w:r w:rsidRPr="004530CF">
        <w:rPr>
          <w:rFonts w:ascii="Times New Roman" w:hAnsi="Times New Roman" w:cs="Times New Roman"/>
          <w:i/>
          <w:sz w:val="28"/>
          <w:szCs w:val="28"/>
          <w:shd w:val="clear" w:color="auto" w:fill="FFFFFF"/>
        </w:rPr>
        <w:t>de los diputados de las asambleas departamentales, de los concejales del Distrito Capital de Bogotá, de los alcaldes municipales y distritales, así como de los miembros de corporaciones públicas de los municipios y distritos</w:t>
      </w:r>
      <w:r w:rsidRPr="004530CF">
        <w:rPr>
          <w:rFonts w:ascii="Times New Roman" w:hAnsi="Times New Roman" w:cs="Times New Roman"/>
          <w:iCs/>
          <w:sz w:val="28"/>
          <w:szCs w:val="28"/>
        </w:rPr>
        <w:t>.</w:t>
      </w:r>
    </w:p>
    <w:p w:rsidR="005154C7" w:rsidRPr="004530CF" w:rsidRDefault="004530CF" w:rsidP="004C7B30">
      <w:pPr>
        <w:pStyle w:val="Prrafodelista"/>
        <w:tabs>
          <w:tab w:val="left" w:pos="567"/>
        </w:tabs>
        <w:ind w:left="0"/>
        <w:jc w:val="both"/>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iCs/>
          <w:sz w:val="28"/>
          <w:szCs w:val="28"/>
        </w:rPr>
        <w:t xml:space="preserve">El cargo también es </w:t>
      </w:r>
      <w:r w:rsidRPr="004530CF">
        <w:rPr>
          <w:rFonts w:ascii="Times New Roman" w:hAnsi="Times New Roman" w:cs="Times New Roman"/>
          <w:i/>
          <w:iCs/>
          <w:sz w:val="28"/>
          <w:szCs w:val="28"/>
        </w:rPr>
        <w:t>pertinente</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teniendo en cuenta que su punto de partida se encuentra en dos disposiciones constitucionales (</w:t>
      </w:r>
      <w:r w:rsidRPr="004530CF">
        <w:rPr>
          <w:rFonts w:ascii="Times New Roman" w:hAnsi="Times New Roman" w:cs="Times New Roman"/>
          <w:iCs/>
          <w:sz w:val="28"/>
          <w:szCs w:val="28"/>
        </w:rPr>
        <w:t xml:space="preserve">CP </w:t>
      </w:r>
      <w:r w:rsidRPr="004530CF">
        <w:rPr>
          <w:rFonts w:ascii="Times New Roman" w:hAnsi="Times New Roman" w:cs="Times New Roman"/>
          <w:iCs/>
          <w:sz w:val="28"/>
          <w:szCs w:val="28"/>
        </w:rPr>
        <w:t>arts. 13 y 229) que, según el demandante, permiten identificar un derecho de acceso a la administración de justicia en condici</w:t>
      </w:r>
      <w:r w:rsidRPr="004530CF">
        <w:rPr>
          <w:rFonts w:ascii="Times New Roman" w:hAnsi="Times New Roman" w:cs="Times New Roman"/>
          <w:iCs/>
          <w:sz w:val="28"/>
          <w:szCs w:val="28"/>
        </w:rPr>
        <w:t>ones de igualdad</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y cuya violación </w:t>
      </w:r>
      <w:r w:rsidRPr="004530CF">
        <w:rPr>
          <w:rFonts w:ascii="Times New Roman" w:hAnsi="Times New Roman" w:cs="Times New Roman"/>
          <w:iCs/>
          <w:sz w:val="28"/>
          <w:szCs w:val="28"/>
        </w:rPr>
        <w:t xml:space="preserve">se </w:t>
      </w:r>
      <w:r w:rsidRPr="004530CF">
        <w:rPr>
          <w:rFonts w:ascii="Times New Roman" w:hAnsi="Times New Roman" w:cs="Times New Roman"/>
          <w:iCs/>
          <w:sz w:val="28"/>
          <w:szCs w:val="28"/>
        </w:rPr>
        <w:t xml:space="preserve">alega.  </w:t>
      </w:r>
    </w:p>
    <w:p w:rsidR="005154C7" w:rsidRPr="004530CF" w:rsidRDefault="004530CF" w:rsidP="004C7B30">
      <w:pPr>
        <w:pStyle w:val="Prrafodelista"/>
        <w:tabs>
          <w:tab w:val="left" w:pos="567"/>
        </w:tabs>
        <w:ind w:left="0"/>
        <w:jc w:val="both"/>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iCs/>
          <w:sz w:val="28"/>
          <w:szCs w:val="28"/>
        </w:rPr>
        <w:t xml:space="preserve">El planteamiento también satisface la exigencia de </w:t>
      </w:r>
      <w:r w:rsidRPr="004530CF">
        <w:rPr>
          <w:rFonts w:ascii="Times New Roman" w:hAnsi="Times New Roman" w:cs="Times New Roman"/>
          <w:i/>
          <w:iCs/>
          <w:sz w:val="28"/>
          <w:szCs w:val="28"/>
        </w:rPr>
        <w:t>especificidad</w:t>
      </w:r>
      <w:r w:rsidRPr="004530CF">
        <w:rPr>
          <w:rFonts w:ascii="Times New Roman" w:hAnsi="Times New Roman" w:cs="Times New Roman"/>
          <w:iCs/>
          <w:sz w:val="28"/>
          <w:szCs w:val="28"/>
        </w:rPr>
        <w:t>, toda vez que,</w:t>
      </w:r>
      <w:r w:rsidRPr="004530CF">
        <w:rPr>
          <w:rFonts w:ascii="Times New Roman" w:hAnsi="Times New Roman" w:cs="Times New Roman"/>
          <w:iCs/>
          <w:sz w:val="28"/>
          <w:szCs w:val="28"/>
        </w:rPr>
        <w:t xml:space="preserve"> </w:t>
      </w:r>
      <w:r w:rsidRPr="004530CF">
        <w:rPr>
          <w:rFonts w:ascii="Times New Roman" w:hAnsi="Times New Roman" w:cs="Times New Roman"/>
          <w:iCs/>
          <w:sz w:val="28"/>
          <w:szCs w:val="28"/>
        </w:rPr>
        <w:t>a</w:t>
      </w:r>
      <w:r w:rsidRPr="004530CF">
        <w:rPr>
          <w:rFonts w:ascii="Times New Roman" w:hAnsi="Times New Roman" w:cs="Times New Roman"/>
          <w:iCs/>
          <w:sz w:val="28"/>
          <w:szCs w:val="28"/>
        </w:rPr>
        <w:t>l formular el cargo por la violación de la igualdad en el acceso a la administración de justicia</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la demanda</w:t>
      </w:r>
      <w:r w:rsidRPr="004530CF">
        <w:rPr>
          <w:rFonts w:ascii="Times New Roman" w:hAnsi="Times New Roman" w:cs="Times New Roman"/>
          <w:iCs/>
          <w:sz w:val="28"/>
          <w:szCs w:val="28"/>
        </w:rPr>
        <w:t xml:space="preserve"> identifica los dos</w:t>
      </w:r>
      <w:r w:rsidRPr="004530CF">
        <w:rPr>
          <w:rFonts w:ascii="Times New Roman" w:hAnsi="Times New Roman" w:cs="Times New Roman"/>
          <w:iCs/>
          <w:sz w:val="28"/>
          <w:szCs w:val="28"/>
        </w:rPr>
        <w:t xml:space="preserve"> grupos objeto de comparación y, a continuación, propone el criterio que, a su juicio, permite afirmar que tales grupos son</w:t>
      </w:r>
      <w:r w:rsidRPr="004530CF">
        <w:rPr>
          <w:rFonts w:ascii="Times New Roman" w:hAnsi="Times New Roman" w:cs="Times New Roman"/>
          <w:iCs/>
          <w:sz w:val="28"/>
          <w:szCs w:val="28"/>
        </w:rPr>
        <w:t xml:space="preserve"> semejantes</w:t>
      </w:r>
      <w:r w:rsidRPr="004530CF">
        <w:rPr>
          <w:rFonts w:ascii="Times New Roman" w:hAnsi="Times New Roman" w:cs="Times New Roman"/>
          <w:iCs/>
          <w:sz w:val="28"/>
          <w:szCs w:val="28"/>
        </w:rPr>
        <w:t>. Finalmente, presenta las razones por las cuales</w:t>
      </w:r>
      <w:r w:rsidRPr="004530CF">
        <w:rPr>
          <w:rFonts w:ascii="Times New Roman" w:hAnsi="Times New Roman" w:cs="Times New Roman"/>
          <w:iCs/>
          <w:sz w:val="28"/>
          <w:szCs w:val="28"/>
        </w:rPr>
        <w:t xml:space="preserve"> </w:t>
      </w:r>
      <w:r w:rsidRPr="004530CF">
        <w:rPr>
          <w:rFonts w:ascii="Times New Roman" w:hAnsi="Times New Roman" w:cs="Times New Roman"/>
          <w:iCs/>
          <w:sz w:val="28"/>
          <w:szCs w:val="28"/>
        </w:rPr>
        <w:t xml:space="preserve">el trato diferente es injustificado.  </w:t>
      </w:r>
    </w:p>
    <w:p w:rsidR="005154C7" w:rsidRPr="004530CF" w:rsidRDefault="004530CF" w:rsidP="004C7B30">
      <w:pPr>
        <w:pStyle w:val="Prrafodelista"/>
        <w:ind w:left="0"/>
        <w:rPr>
          <w:rFonts w:ascii="Times New Roman" w:hAnsi="Times New Roman" w:cs="Times New Roman"/>
          <w:iCs/>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iCs/>
          <w:sz w:val="28"/>
          <w:szCs w:val="28"/>
        </w:rPr>
        <w:t>Indica el ciudadano que tanto lo</w:t>
      </w:r>
      <w:r w:rsidRPr="004530CF">
        <w:rPr>
          <w:rFonts w:ascii="Times New Roman" w:hAnsi="Times New Roman" w:cs="Times New Roman"/>
          <w:iCs/>
          <w:sz w:val="28"/>
          <w:szCs w:val="28"/>
        </w:rPr>
        <w:t>s funcionarios incluidos en la disposición demandada como aquellos que se refieren en el artículo 152.7</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literal a)</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del CPACA</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son funcionarios que han sido elegidos popularmente y, desde el punto de vista de la nulidad electoral, les son aplicables las m</w:t>
      </w:r>
      <w:r w:rsidRPr="004530CF">
        <w:rPr>
          <w:rFonts w:ascii="Times New Roman" w:hAnsi="Times New Roman" w:cs="Times New Roman"/>
          <w:iCs/>
          <w:sz w:val="28"/>
          <w:szCs w:val="28"/>
        </w:rPr>
        <w:t>ismas reglas. Sobre esto</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en el escrito de corrección de la demanda indica que</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w:t>
      </w:r>
      <w:r w:rsidRPr="004530CF">
        <w:rPr>
          <w:rFonts w:ascii="Times New Roman" w:hAnsi="Times New Roman" w:cs="Times New Roman"/>
          <w:i/>
          <w:sz w:val="28"/>
          <w:szCs w:val="28"/>
        </w:rPr>
        <w:t>(i) la situación de los funcionarios descritos es similar en tanto tienen la condición de ser servidores públicos de elección popular, (ii) en el medio de control de nulidad e</w:t>
      </w:r>
      <w:r w:rsidRPr="004530CF">
        <w:rPr>
          <w:rFonts w:ascii="Times New Roman" w:hAnsi="Times New Roman" w:cs="Times New Roman"/>
          <w:i/>
          <w:sz w:val="28"/>
          <w:szCs w:val="28"/>
        </w:rPr>
        <w:t>lectoral, los legitimados para ejercerlos y los afectados por él son las mismas personas, (iii) las causales de nulidad electoral son las mismas, (iv) el trámite del proceso de lo contencioso administrativo es el mismo, salvo lo relacionado a la eventual s</w:t>
      </w:r>
      <w:r w:rsidRPr="004530CF">
        <w:rPr>
          <w:rFonts w:ascii="Times New Roman" w:hAnsi="Times New Roman" w:cs="Times New Roman"/>
          <w:i/>
          <w:sz w:val="28"/>
          <w:szCs w:val="28"/>
        </w:rPr>
        <w:t>egunda instancia y (v) hay coincidencia en la autoridad competente para conocer de la demanda, salvo en la primera instancia, en tanto el Consejo de Estado es responsable de decidir los procesos en única instancia, mientras que también es el responsable de</w:t>
      </w:r>
      <w:r w:rsidRPr="004530CF">
        <w:rPr>
          <w:rFonts w:ascii="Times New Roman" w:hAnsi="Times New Roman" w:cs="Times New Roman"/>
          <w:i/>
          <w:sz w:val="28"/>
          <w:szCs w:val="28"/>
        </w:rPr>
        <w:t xml:space="preserve"> decidir las segundas instancias en casos de existir apelaciones</w:t>
      </w:r>
      <w:r w:rsidRPr="004530CF">
        <w:rPr>
          <w:rFonts w:ascii="Times New Roman" w:hAnsi="Times New Roman" w:cs="Times New Roman"/>
          <w:sz w:val="28"/>
          <w:szCs w:val="28"/>
        </w:rPr>
        <w:t xml:space="preserve">”. </w:t>
      </w:r>
      <w:r w:rsidRPr="004530CF">
        <w:rPr>
          <w:rFonts w:ascii="Times New Roman" w:hAnsi="Times New Roman" w:cs="Times New Roman"/>
          <w:iCs/>
          <w:sz w:val="28"/>
          <w:szCs w:val="28"/>
        </w:rPr>
        <w:t xml:space="preserve">  </w:t>
      </w:r>
    </w:p>
    <w:p w:rsidR="005154C7" w:rsidRPr="004530CF" w:rsidRDefault="004530CF" w:rsidP="004C7B30">
      <w:pPr>
        <w:pStyle w:val="Prrafodelista"/>
        <w:ind w:left="0"/>
        <w:rPr>
          <w:rFonts w:ascii="Times New Roman" w:hAnsi="Times New Roman" w:cs="Times New Roman"/>
          <w:iCs/>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iCs/>
          <w:sz w:val="28"/>
          <w:szCs w:val="28"/>
        </w:rPr>
        <w:t>A continuación, el ciudadano precisa que en este caso debe aplicarse un juicio de intensidad intermedia</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teniendo en cuenta que el trato diferente afecta el acceso a la administración de justicia y los derechos políticos. En es</w:t>
      </w:r>
      <w:r w:rsidRPr="004530CF">
        <w:rPr>
          <w:rFonts w:ascii="Times New Roman" w:hAnsi="Times New Roman" w:cs="Times New Roman"/>
          <w:iCs/>
          <w:sz w:val="28"/>
          <w:szCs w:val="28"/>
        </w:rPr>
        <w:t>t</w:t>
      </w:r>
      <w:r w:rsidRPr="004530CF">
        <w:rPr>
          <w:rFonts w:ascii="Times New Roman" w:hAnsi="Times New Roman" w:cs="Times New Roman"/>
          <w:iCs/>
          <w:sz w:val="28"/>
          <w:szCs w:val="28"/>
        </w:rPr>
        <w:t>e contexto, indica que los fines que persigue la disposición “</w:t>
      </w:r>
      <w:r w:rsidRPr="004530CF">
        <w:rPr>
          <w:rFonts w:ascii="Times New Roman" w:hAnsi="Times New Roman" w:cs="Times New Roman"/>
          <w:i/>
          <w:sz w:val="28"/>
          <w:szCs w:val="28"/>
        </w:rPr>
        <w:t>no se pueden materializar sin afectar el derecho a la igualdad en el a</w:t>
      </w:r>
      <w:r w:rsidRPr="004530CF">
        <w:rPr>
          <w:rFonts w:ascii="Times New Roman" w:hAnsi="Times New Roman" w:cs="Times New Roman"/>
          <w:i/>
          <w:sz w:val="28"/>
          <w:szCs w:val="28"/>
        </w:rPr>
        <w:t>cceso a la administración de justicia</w:t>
      </w:r>
      <w:r w:rsidRPr="004530CF">
        <w:rPr>
          <w:rFonts w:ascii="Times New Roman" w:hAnsi="Times New Roman" w:cs="Times New Roman"/>
          <w:iCs/>
          <w:sz w:val="28"/>
          <w:szCs w:val="28"/>
        </w:rPr>
        <w:t>”. Precisa, después de realizar diferentes consideraciones sobre la importancia de otorgar igual protección a todos los funcionarios elegidos popularmente, que “</w:t>
      </w:r>
      <w:r w:rsidRPr="004530CF">
        <w:rPr>
          <w:rFonts w:ascii="Times New Roman" w:hAnsi="Times New Roman" w:cs="Times New Roman"/>
          <w:i/>
          <w:iCs/>
          <w:sz w:val="28"/>
          <w:szCs w:val="28"/>
        </w:rPr>
        <w:t>lo desproporcionado de la medida está en el hecho de que s</w:t>
      </w:r>
      <w:r w:rsidRPr="004530CF">
        <w:rPr>
          <w:rFonts w:ascii="Times New Roman" w:hAnsi="Times New Roman" w:cs="Times New Roman"/>
          <w:i/>
          <w:iCs/>
          <w:sz w:val="28"/>
          <w:szCs w:val="28"/>
        </w:rPr>
        <w:t>ujetos procesales similares no tengan las mismas herramientas y la única distinción que exista para negarles la doble instancia, sea el nivel del cargo de elección popular</w:t>
      </w:r>
      <w:r w:rsidRPr="004530CF">
        <w:rPr>
          <w:rFonts w:ascii="Times New Roman" w:hAnsi="Times New Roman" w:cs="Times New Roman"/>
          <w:iCs/>
          <w:sz w:val="28"/>
          <w:szCs w:val="28"/>
        </w:rPr>
        <w:t xml:space="preserve">”. </w:t>
      </w:r>
    </w:p>
    <w:p w:rsidR="005154C7" w:rsidRPr="004530CF" w:rsidRDefault="004530CF" w:rsidP="004C7B30">
      <w:pPr>
        <w:pStyle w:val="Prrafodelista"/>
        <w:ind w:left="0"/>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El razonamiento presentado por el demandante suscita una duda mínima de constitu</w:t>
      </w:r>
      <w:r w:rsidRPr="004530CF">
        <w:rPr>
          <w:rFonts w:ascii="Times New Roman" w:hAnsi="Times New Roman" w:cs="Times New Roman"/>
          <w:sz w:val="28"/>
          <w:szCs w:val="28"/>
        </w:rPr>
        <w:t xml:space="preserve">cionalidad frente a la afectación del mandato de trato igual en el acceso a la administración de justicia que permite, en consecuencia, entender satisfecho el requisito de </w:t>
      </w:r>
      <w:r w:rsidRPr="004530CF">
        <w:rPr>
          <w:rFonts w:ascii="Times New Roman" w:hAnsi="Times New Roman" w:cs="Times New Roman"/>
          <w:i/>
          <w:sz w:val="28"/>
          <w:szCs w:val="28"/>
        </w:rPr>
        <w:t>suficiencia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Así las cosas, p</w:t>
      </w:r>
      <w:r w:rsidRPr="004530CF">
        <w:rPr>
          <w:rFonts w:ascii="Times New Roman" w:hAnsi="Times New Roman" w:cs="Times New Roman"/>
          <w:sz w:val="28"/>
          <w:szCs w:val="28"/>
        </w:rPr>
        <w:t xml:space="preserve">rocede entonces un pronunciamiento de fondo.  </w:t>
      </w:r>
      <w:r w:rsidRPr="004530CF">
        <w:rPr>
          <w:rFonts w:ascii="Times New Roman" w:hAnsi="Times New Roman" w:cs="Times New Roman"/>
          <w:iCs/>
          <w:sz w:val="28"/>
          <w:szCs w:val="28"/>
        </w:rPr>
        <w:t xml:space="preserve">     </w:t>
      </w:r>
      <w:r w:rsidRPr="004530CF">
        <w:rPr>
          <w:rFonts w:ascii="Times New Roman" w:hAnsi="Times New Roman" w:cs="Times New Roman"/>
          <w:sz w:val="28"/>
          <w:szCs w:val="28"/>
        </w:rPr>
        <w:t xml:space="preserve"> </w:t>
      </w:r>
    </w:p>
    <w:p w:rsidR="000F2439" w:rsidRPr="004530CF" w:rsidRDefault="004530CF" w:rsidP="004C7B30">
      <w:pPr>
        <w:rPr>
          <w:rFonts w:ascii="Times New Roman" w:hAnsi="Times New Roman" w:cs="Times New Roman"/>
          <w:sz w:val="28"/>
        </w:rPr>
      </w:pPr>
    </w:p>
    <w:p w:rsidR="005154C7" w:rsidRPr="004530CF" w:rsidRDefault="004530CF" w:rsidP="004C7B30">
      <w:pPr>
        <w:pStyle w:val="Ttulo2"/>
        <w:numPr>
          <w:ilvl w:val="1"/>
          <w:numId w:val="1"/>
        </w:numPr>
        <w:spacing w:before="0"/>
        <w:ind w:left="1134" w:hanging="567"/>
        <w:rPr>
          <w:rStyle w:val="Ttulo1Car"/>
          <w:rFonts w:ascii="Times New Roman" w:hAnsi="Times New Roman" w:cs="Times New Roman"/>
          <w:b/>
          <w:color w:val="auto"/>
          <w:sz w:val="28"/>
          <w:szCs w:val="28"/>
        </w:rPr>
      </w:pPr>
      <w:r w:rsidRPr="004530CF">
        <w:rPr>
          <w:rStyle w:val="Ttulo1Car"/>
          <w:rFonts w:ascii="Times New Roman" w:hAnsi="Times New Roman" w:cs="Times New Roman"/>
          <w:b/>
          <w:color w:val="auto"/>
          <w:sz w:val="28"/>
          <w:szCs w:val="28"/>
        </w:rPr>
        <w:t>Problema jurídico y metodología de la decisión</w:t>
      </w:r>
    </w:p>
    <w:p w:rsidR="005154C7" w:rsidRPr="004530CF" w:rsidRDefault="004530CF" w:rsidP="004C7B30">
      <w:pPr>
        <w:pStyle w:val="Prrafodelista"/>
        <w:tabs>
          <w:tab w:val="left" w:pos="567"/>
        </w:tabs>
        <w:ind w:left="0"/>
        <w:jc w:val="both"/>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Le corresponde a la Corte establecer si la regla prevista en el artículo 149.3 de la Ley 1437 de 2011 (</w:t>
      </w:r>
      <w:r w:rsidRPr="004530CF">
        <w:rPr>
          <w:rFonts w:ascii="Times New Roman" w:hAnsi="Times New Roman" w:cs="Times New Roman"/>
          <w:i/>
          <w:sz w:val="28"/>
          <w:szCs w:val="28"/>
        </w:rPr>
        <w:t>tal y como fue modificad</w:t>
      </w:r>
      <w:r w:rsidRPr="004530CF">
        <w:rPr>
          <w:rFonts w:ascii="Times New Roman" w:hAnsi="Times New Roman" w:cs="Times New Roman"/>
          <w:i/>
          <w:sz w:val="28"/>
          <w:szCs w:val="28"/>
        </w:rPr>
        <w:t>a</w:t>
      </w:r>
      <w:r w:rsidRPr="004530CF">
        <w:rPr>
          <w:rFonts w:ascii="Times New Roman" w:hAnsi="Times New Roman" w:cs="Times New Roman"/>
          <w:i/>
          <w:sz w:val="28"/>
          <w:szCs w:val="28"/>
        </w:rPr>
        <w:t xml:space="preserve"> por el artículo 24 de la Ley 2080 de 2021</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por virtud de la cual se otorga</w:t>
      </w:r>
      <w:r w:rsidRPr="004530CF">
        <w:rPr>
          <w:rFonts w:ascii="Times New Roman" w:hAnsi="Times New Roman" w:cs="Times New Roman"/>
          <w:sz w:val="28"/>
          <w:szCs w:val="28"/>
        </w:rPr>
        <w:t xml:space="preserve"> competencia </w:t>
      </w:r>
      <w:r w:rsidRPr="004530CF">
        <w:rPr>
          <w:rFonts w:ascii="Times New Roman" w:hAnsi="Times New Roman" w:cs="Times New Roman"/>
          <w:sz w:val="28"/>
          <w:szCs w:val="28"/>
        </w:rPr>
        <w:t xml:space="preserve">a </w:t>
      </w:r>
      <w:r w:rsidRPr="004530CF">
        <w:rPr>
          <w:rFonts w:ascii="Times New Roman" w:hAnsi="Times New Roman" w:cs="Times New Roman"/>
          <w:sz w:val="28"/>
          <w:szCs w:val="28"/>
        </w:rPr>
        <w:t xml:space="preserve">la Sala de lo Contencioso Administrativo del Consejo de Estado, en </w:t>
      </w:r>
      <w:r w:rsidRPr="004530CF">
        <w:rPr>
          <w:rFonts w:ascii="Times New Roman" w:hAnsi="Times New Roman" w:cs="Times New Roman"/>
          <w:i/>
          <w:sz w:val="28"/>
          <w:szCs w:val="28"/>
        </w:rPr>
        <w:t>única instancia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para </w:t>
      </w:r>
      <w:r w:rsidRPr="004530CF">
        <w:rPr>
          <w:rFonts w:ascii="Times New Roman" w:hAnsi="Times New Roman" w:cs="Times New Roman"/>
          <w:sz w:val="28"/>
          <w:szCs w:val="28"/>
        </w:rPr>
        <w:t xml:space="preserve">pronunciarse sobre la nulidad de la elección </w:t>
      </w:r>
      <w:r w:rsidRPr="004530CF">
        <w:rPr>
          <w:rFonts w:ascii="Times New Roman" w:hAnsi="Times New Roman" w:cs="Times New Roman"/>
          <w:iCs/>
          <w:sz w:val="28"/>
          <w:szCs w:val="28"/>
        </w:rPr>
        <w:t xml:space="preserve">del presidente y el vicepresidente de la República, de los </w:t>
      </w:r>
      <w:r w:rsidRPr="004530CF">
        <w:rPr>
          <w:rFonts w:ascii="Times New Roman" w:hAnsi="Times New Roman" w:cs="Times New Roman"/>
          <w:iCs/>
          <w:sz w:val="28"/>
          <w:szCs w:val="28"/>
        </w:rPr>
        <w:t>s</w:t>
      </w:r>
      <w:r w:rsidRPr="004530CF">
        <w:rPr>
          <w:rFonts w:ascii="Times New Roman" w:hAnsi="Times New Roman" w:cs="Times New Roman"/>
          <w:iCs/>
          <w:sz w:val="28"/>
          <w:szCs w:val="28"/>
        </w:rPr>
        <w:t xml:space="preserve">enadores, de los representantes a la </w:t>
      </w:r>
      <w:r w:rsidRPr="004530CF">
        <w:rPr>
          <w:rFonts w:ascii="Times New Roman" w:hAnsi="Times New Roman" w:cs="Times New Roman"/>
          <w:iCs/>
          <w:sz w:val="28"/>
          <w:szCs w:val="28"/>
        </w:rPr>
        <w:t>c</w:t>
      </w:r>
      <w:r w:rsidRPr="004530CF">
        <w:rPr>
          <w:rFonts w:ascii="Times New Roman" w:hAnsi="Times New Roman" w:cs="Times New Roman"/>
          <w:iCs/>
          <w:sz w:val="28"/>
          <w:szCs w:val="28"/>
        </w:rPr>
        <w:t>ámara, de</w:t>
      </w:r>
      <w:r w:rsidRPr="004530CF">
        <w:rPr>
          <w:rFonts w:ascii="Times New Roman" w:hAnsi="Times New Roman" w:cs="Times New Roman"/>
          <w:iCs/>
          <w:sz w:val="28"/>
          <w:szCs w:val="28"/>
        </w:rPr>
        <w:t xml:space="preserve"> los representantes al Parlamento Andino, de los gobernadores</w:t>
      </w:r>
      <w:r w:rsidRPr="004530CF">
        <w:rPr>
          <w:rFonts w:ascii="Times New Roman" w:hAnsi="Times New Roman" w:cs="Times New Roman"/>
          <w:iCs/>
          <w:sz w:val="28"/>
          <w:szCs w:val="28"/>
        </w:rPr>
        <w:t xml:space="preserve"> y</w:t>
      </w:r>
      <w:r w:rsidRPr="004530CF">
        <w:rPr>
          <w:rFonts w:ascii="Times New Roman" w:hAnsi="Times New Roman" w:cs="Times New Roman"/>
          <w:iCs/>
          <w:sz w:val="28"/>
          <w:szCs w:val="28"/>
        </w:rPr>
        <w:t xml:space="preserve"> del alcalde Mayor de Bogotá, viola el mandato de trato igual en </w:t>
      </w:r>
      <w:r w:rsidRPr="004530CF">
        <w:rPr>
          <w:rFonts w:ascii="Times New Roman" w:hAnsi="Times New Roman" w:cs="Times New Roman"/>
          <w:sz w:val="28"/>
          <w:szCs w:val="28"/>
        </w:rPr>
        <w:t xml:space="preserve">el acceso a la administración de </w:t>
      </w:r>
      <w:r w:rsidRPr="004530CF">
        <w:rPr>
          <w:rFonts w:ascii="Times New Roman" w:hAnsi="Times New Roman" w:cs="Times New Roman"/>
          <w:sz w:val="28"/>
          <w:szCs w:val="28"/>
        </w:rPr>
        <w:t xml:space="preserve">justicia </w:t>
      </w:r>
      <w:r w:rsidRPr="004530CF">
        <w:rPr>
          <w:rFonts w:ascii="Times New Roman" w:hAnsi="Times New Roman" w:cs="Times New Roman"/>
          <w:sz w:val="28"/>
          <w:szCs w:val="28"/>
        </w:rPr>
        <w:t>(artículos 13 y 229 de la Constitución)</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teniendo en cuenta que la nulidad electoral d</w:t>
      </w:r>
      <w:r w:rsidRPr="004530CF">
        <w:rPr>
          <w:rFonts w:ascii="Times New Roman" w:hAnsi="Times New Roman" w:cs="Times New Roman"/>
          <w:sz w:val="28"/>
          <w:szCs w:val="28"/>
        </w:rPr>
        <w:t xml:space="preserve">e los demás funcionarios de elección popular a los que se refiere el artículo 152.7 literal a) es de conocimiento, en </w:t>
      </w:r>
      <w:r w:rsidRPr="004530CF">
        <w:rPr>
          <w:rFonts w:ascii="Times New Roman" w:hAnsi="Times New Roman" w:cs="Times New Roman"/>
          <w:i/>
          <w:sz w:val="28"/>
          <w:szCs w:val="28"/>
        </w:rPr>
        <w:t>primera instancia</w:t>
      </w:r>
      <w:r w:rsidRPr="004530CF">
        <w:rPr>
          <w:rFonts w:ascii="Times New Roman" w:hAnsi="Times New Roman" w:cs="Times New Roman"/>
          <w:sz w:val="28"/>
          <w:szCs w:val="28"/>
        </w:rPr>
        <w:t xml:space="preserve">, de los tribunales administrativos y, en </w:t>
      </w:r>
      <w:r w:rsidRPr="004530CF">
        <w:rPr>
          <w:rFonts w:ascii="Times New Roman" w:hAnsi="Times New Roman" w:cs="Times New Roman"/>
          <w:i/>
          <w:sz w:val="28"/>
          <w:szCs w:val="28"/>
        </w:rPr>
        <w:t>segunda instancia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del Consejo de Estado.    </w:t>
      </w:r>
    </w:p>
    <w:p w:rsidR="00667B84" w:rsidRPr="004530CF" w:rsidRDefault="004530CF" w:rsidP="004C7B30">
      <w:pPr>
        <w:pStyle w:val="Prrafodelista"/>
        <w:tabs>
          <w:tab w:val="left" w:pos="567"/>
        </w:tabs>
        <w:ind w:left="0"/>
        <w:jc w:val="both"/>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Con el fin de resolver es</w:t>
      </w:r>
      <w:r w:rsidRPr="004530CF">
        <w:rPr>
          <w:rFonts w:ascii="Times New Roman" w:hAnsi="Times New Roman" w:cs="Times New Roman"/>
          <w:sz w:val="28"/>
          <w:szCs w:val="28"/>
        </w:rPr>
        <w:t>t</w:t>
      </w:r>
      <w:r w:rsidRPr="004530CF">
        <w:rPr>
          <w:rFonts w:ascii="Times New Roman" w:hAnsi="Times New Roman" w:cs="Times New Roman"/>
          <w:sz w:val="28"/>
          <w:szCs w:val="28"/>
        </w:rPr>
        <w:t>e prob</w:t>
      </w:r>
      <w:r w:rsidRPr="004530CF">
        <w:rPr>
          <w:rFonts w:ascii="Times New Roman" w:hAnsi="Times New Roman" w:cs="Times New Roman"/>
          <w:sz w:val="28"/>
          <w:szCs w:val="28"/>
        </w:rPr>
        <w:t xml:space="preserve">lema jurídico, inicialmente, </w:t>
      </w:r>
      <w:r w:rsidRPr="004530CF">
        <w:rPr>
          <w:rFonts w:ascii="Times New Roman" w:hAnsi="Times New Roman" w:cs="Times New Roman"/>
          <w:sz w:val="28"/>
          <w:szCs w:val="28"/>
        </w:rPr>
        <w:t xml:space="preserve">la Corte </w:t>
      </w:r>
      <w:r w:rsidRPr="004530CF">
        <w:rPr>
          <w:rFonts w:ascii="Times New Roman" w:hAnsi="Times New Roman" w:cs="Times New Roman"/>
          <w:sz w:val="28"/>
          <w:szCs w:val="28"/>
        </w:rPr>
        <w:t>precisará el contenido de la disposición demandada, identificando el medio de control al que se refiere y precisando su naturaleza (sección E). Luego de ello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y previa reiteración del precedente relativo al control jud</w:t>
      </w:r>
      <w:r w:rsidRPr="004530CF">
        <w:rPr>
          <w:rFonts w:ascii="Times New Roman" w:hAnsi="Times New Roman" w:cs="Times New Roman"/>
          <w:sz w:val="28"/>
          <w:szCs w:val="28"/>
        </w:rPr>
        <w:t xml:space="preserve">icial de las infracciones al mandato de trato igual, evaluará si la disposición demandada desconoce </w:t>
      </w:r>
      <w:r w:rsidRPr="004530CF">
        <w:rPr>
          <w:rFonts w:ascii="Times New Roman" w:hAnsi="Times New Roman" w:cs="Times New Roman"/>
          <w:sz w:val="28"/>
          <w:szCs w:val="28"/>
        </w:rPr>
        <w:t xml:space="preserve">el </w:t>
      </w:r>
      <w:r w:rsidRPr="004530CF">
        <w:rPr>
          <w:rFonts w:ascii="Times New Roman" w:hAnsi="Times New Roman" w:cs="Times New Roman"/>
          <w:sz w:val="28"/>
          <w:szCs w:val="28"/>
        </w:rPr>
        <w:t>artículo 13</w:t>
      </w:r>
      <w:r w:rsidRPr="004530CF">
        <w:rPr>
          <w:rFonts w:ascii="Times New Roman" w:hAnsi="Times New Roman" w:cs="Times New Roman"/>
          <w:sz w:val="28"/>
          <w:szCs w:val="28"/>
        </w:rPr>
        <w:t xml:space="preserve"> de la Constitución, conjuntamente entendido con </w:t>
      </w:r>
      <w:r w:rsidRPr="004530CF">
        <w:rPr>
          <w:rFonts w:ascii="Times New Roman" w:hAnsi="Times New Roman" w:cs="Times New Roman"/>
          <w:sz w:val="28"/>
          <w:szCs w:val="28"/>
        </w:rPr>
        <w:t>el</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artículo </w:t>
      </w:r>
      <w:r w:rsidRPr="004530CF">
        <w:rPr>
          <w:rFonts w:ascii="Times New Roman" w:hAnsi="Times New Roman" w:cs="Times New Roman"/>
          <w:sz w:val="28"/>
          <w:szCs w:val="28"/>
        </w:rPr>
        <w:t xml:space="preserve">229 (Sección </w:t>
      </w:r>
      <w:r w:rsidRPr="004530CF">
        <w:rPr>
          <w:rFonts w:ascii="Times New Roman" w:hAnsi="Times New Roman" w:cs="Times New Roman"/>
          <w:sz w:val="28"/>
          <w:szCs w:val="28"/>
        </w:rPr>
        <w:t>F</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Es importante señalar</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desde ahora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que la demanda no plantea un cargo independiente respecto del acceso a la administración de justicia. Por el contrario, su</w:t>
      </w:r>
      <w:r w:rsidRPr="004530CF">
        <w:rPr>
          <w:rFonts w:ascii="Times New Roman" w:hAnsi="Times New Roman" w:cs="Times New Roman"/>
          <w:sz w:val="28"/>
          <w:szCs w:val="28"/>
        </w:rPr>
        <w:t xml:space="preserve"> tesis</w:t>
      </w:r>
      <w:r w:rsidRPr="004530CF">
        <w:rPr>
          <w:rFonts w:ascii="Times New Roman" w:hAnsi="Times New Roman" w:cs="Times New Roman"/>
          <w:sz w:val="28"/>
          <w:szCs w:val="28"/>
        </w:rPr>
        <w:t xml:space="preserve"> se encamina a señalar que </w:t>
      </w:r>
      <w:r w:rsidRPr="004530CF">
        <w:rPr>
          <w:rFonts w:ascii="Times New Roman" w:hAnsi="Times New Roman" w:cs="Times New Roman"/>
          <w:sz w:val="28"/>
          <w:szCs w:val="28"/>
        </w:rPr>
        <w:t>el enunciado acusado</w:t>
      </w:r>
      <w:r w:rsidRPr="004530CF">
        <w:rPr>
          <w:rFonts w:ascii="Times New Roman" w:hAnsi="Times New Roman" w:cs="Times New Roman"/>
          <w:sz w:val="28"/>
          <w:szCs w:val="28"/>
        </w:rPr>
        <w:t xml:space="preserve"> confiere una habilitación procesal a un grupo y, sin razón suficiente, se lo ni</w:t>
      </w:r>
      <w:r w:rsidRPr="004530CF">
        <w:rPr>
          <w:rFonts w:ascii="Times New Roman" w:hAnsi="Times New Roman" w:cs="Times New Roman"/>
          <w:sz w:val="28"/>
          <w:szCs w:val="28"/>
        </w:rPr>
        <w:t>ega a otro. En es</w:t>
      </w:r>
      <w:r w:rsidRPr="004530CF">
        <w:rPr>
          <w:rFonts w:ascii="Times New Roman" w:hAnsi="Times New Roman" w:cs="Times New Roman"/>
          <w:sz w:val="28"/>
          <w:szCs w:val="28"/>
        </w:rPr>
        <w:t>t</w:t>
      </w:r>
      <w:r w:rsidRPr="004530CF">
        <w:rPr>
          <w:rFonts w:ascii="Times New Roman" w:hAnsi="Times New Roman" w:cs="Times New Roman"/>
          <w:sz w:val="28"/>
          <w:szCs w:val="28"/>
        </w:rPr>
        <w:t>e sentido,</w:t>
      </w:r>
      <w:r w:rsidRPr="004530CF">
        <w:rPr>
          <w:rFonts w:ascii="Times New Roman" w:hAnsi="Times New Roman" w:cs="Times New Roman"/>
          <w:sz w:val="28"/>
          <w:szCs w:val="28"/>
        </w:rPr>
        <w:t xml:space="preserve"> no le corresponde a</w:t>
      </w:r>
      <w:r w:rsidRPr="004530CF">
        <w:rPr>
          <w:rFonts w:ascii="Times New Roman" w:hAnsi="Times New Roman" w:cs="Times New Roman"/>
          <w:sz w:val="28"/>
          <w:szCs w:val="28"/>
        </w:rPr>
        <w:t xml:space="preserve"> la Corte</w:t>
      </w:r>
      <w:r w:rsidRPr="004530CF">
        <w:rPr>
          <w:rFonts w:ascii="Times New Roman" w:hAnsi="Times New Roman" w:cs="Times New Roman"/>
          <w:sz w:val="28"/>
          <w:szCs w:val="28"/>
        </w:rPr>
        <w:t xml:space="preserve"> emprender un análisis</w:t>
      </w:r>
      <w:r w:rsidRPr="004530CF">
        <w:rPr>
          <w:rFonts w:ascii="Times New Roman" w:hAnsi="Times New Roman" w:cs="Times New Roman"/>
          <w:sz w:val="28"/>
          <w:szCs w:val="28"/>
        </w:rPr>
        <w:t xml:space="preserve"> autónomo de la eventual violación del artículo 229</w:t>
      </w:r>
      <w:r w:rsidRPr="004530CF">
        <w:rPr>
          <w:rFonts w:ascii="Times New Roman" w:hAnsi="Times New Roman" w:cs="Times New Roman"/>
          <w:sz w:val="28"/>
          <w:szCs w:val="28"/>
        </w:rPr>
        <w:t xml:space="preserve"> de la Carta</w:t>
      </w:r>
      <w:r w:rsidRPr="004530CF">
        <w:rPr>
          <w:rFonts w:ascii="Times New Roman" w:hAnsi="Times New Roman" w:cs="Times New Roman"/>
          <w:sz w:val="28"/>
          <w:szCs w:val="28"/>
        </w:rPr>
        <w:t xml:space="preserve">.  </w:t>
      </w:r>
    </w:p>
    <w:p w:rsidR="005154C7" w:rsidRPr="004530CF" w:rsidRDefault="004530CF" w:rsidP="004C7B30">
      <w:pPr>
        <w:pStyle w:val="Prrafodelista"/>
        <w:ind w:left="0"/>
        <w:jc w:val="both"/>
        <w:rPr>
          <w:rFonts w:ascii="Times New Roman" w:hAnsi="Times New Roman" w:cs="Times New Roman"/>
          <w:sz w:val="28"/>
          <w:szCs w:val="28"/>
        </w:rPr>
      </w:pPr>
    </w:p>
    <w:p w:rsidR="005154C7" w:rsidRPr="004530CF" w:rsidRDefault="004530CF" w:rsidP="004C7B30">
      <w:pPr>
        <w:pStyle w:val="Ttulo2"/>
        <w:numPr>
          <w:ilvl w:val="1"/>
          <w:numId w:val="1"/>
        </w:numPr>
        <w:spacing w:before="0"/>
        <w:ind w:left="1134" w:hanging="567"/>
        <w:jc w:val="both"/>
        <w:rPr>
          <w:rFonts w:ascii="Times New Roman" w:hAnsi="Times New Roman" w:cs="Times New Roman"/>
          <w:color w:val="auto"/>
          <w:szCs w:val="28"/>
        </w:rPr>
      </w:pPr>
      <w:r w:rsidRPr="004530CF">
        <w:rPr>
          <w:rFonts w:ascii="Times New Roman" w:hAnsi="Times New Roman" w:cs="Times New Roman"/>
          <w:color w:val="auto"/>
          <w:szCs w:val="28"/>
        </w:rPr>
        <w:t xml:space="preserve">La disposición demandada, el contexto normativo en el que se inscribe y </w:t>
      </w:r>
      <w:r w:rsidRPr="004530CF">
        <w:rPr>
          <w:rFonts w:ascii="Times New Roman" w:hAnsi="Times New Roman" w:cs="Times New Roman"/>
          <w:color w:val="auto"/>
          <w:szCs w:val="28"/>
        </w:rPr>
        <w:t xml:space="preserve">la </w:t>
      </w:r>
      <w:r w:rsidRPr="004530CF">
        <w:rPr>
          <w:rFonts w:ascii="Times New Roman" w:hAnsi="Times New Roman" w:cs="Times New Roman"/>
          <w:color w:val="auto"/>
          <w:szCs w:val="28"/>
        </w:rPr>
        <w:t>naturaleza de la nulidad electoral</w:t>
      </w:r>
    </w:p>
    <w:p w:rsidR="005154C7" w:rsidRPr="004530CF" w:rsidRDefault="004530CF" w:rsidP="004C7B30">
      <w:pPr>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b/>
          <w:sz w:val="28"/>
          <w:szCs w:val="28"/>
        </w:rPr>
        <w:t xml:space="preserve">La regulación de la nulidad electoral. </w:t>
      </w:r>
      <w:r w:rsidRPr="004530CF">
        <w:rPr>
          <w:rFonts w:ascii="Times New Roman" w:eastAsia="Times New Roman" w:hAnsi="Times New Roman" w:cs="Times New Roman"/>
          <w:sz w:val="28"/>
          <w:szCs w:val="28"/>
        </w:rPr>
        <w:t>La Constitución establece en el numeral 7</w:t>
      </w:r>
      <w:r w:rsidRPr="004530CF">
        <w:rPr>
          <w:rFonts w:ascii="Times New Roman" w:eastAsia="Times New Roman" w:hAnsi="Times New Roman" w:cs="Times New Roman"/>
          <w:sz w:val="28"/>
          <w:szCs w:val="28"/>
        </w:rPr>
        <w:t xml:space="preserve"> </w:t>
      </w:r>
      <w:r w:rsidRPr="004530CF">
        <w:rPr>
          <w:rFonts w:ascii="Times New Roman" w:eastAsia="Times New Roman" w:hAnsi="Times New Roman" w:cs="Times New Roman"/>
          <w:sz w:val="28"/>
          <w:szCs w:val="28"/>
        </w:rPr>
        <w:t>del artículo 237</w:t>
      </w:r>
      <w:r w:rsidRPr="004530CF">
        <w:rPr>
          <w:rFonts w:ascii="Times New Roman" w:eastAsia="Times New Roman" w:hAnsi="Times New Roman" w:cs="Times New Roman"/>
          <w:sz w:val="28"/>
          <w:szCs w:val="28"/>
        </w:rPr>
        <w:t>,</w:t>
      </w:r>
      <w:r w:rsidRPr="004530CF">
        <w:rPr>
          <w:rFonts w:ascii="Times New Roman" w:eastAsia="Times New Roman" w:hAnsi="Times New Roman" w:cs="Times New Roman"/>
          <w:sz w:val="28"/>
          <w:szCs w:val="28"/>
        </w:rPr>
        <w:t xml:space="preserve"> la competencia del Consejo de Estado para conocer </w:t>
      </w:r>
      <w:r w:rsidRPr="004530CF">
        <w:rPr>
          <w:rFonts w:ascii="Times New Roman" w:hAnsi="Times New Roman" w:cs="Times New Roman"/>
          <w:sz w:val="28"/>
          <w:szCs w:val="28"/>
          <w:shd w:val="clear" w:color="auto" w:fill="FFFFFF"/>
        </w:rPr>
        <w:t>de la acción de nulidad electoral</w:t>
      </w:r>
      <w:r w:rsidRPr="004530CF">
        <w:rPr>
          <w:rFonts w:ascii="Times New Roman" w:hAnsi="Times New Roman" w:cs="Times New Roman"/>
          <w:sz w:val="28"/>
          <w:szCs w:val="28"/>
          <w:shd w:val="clear" w:color="auto" w:fill="FFFFFF"/>
        </w:rPr>
        <w:t>,</w:t>
      </w:r>
      <w:r w:rsidRPr="004530CF">
        <w:rPr>
          <w:rFonts w:ascii="Times New Roman" w:hAnsi="Times New Roman" w:cs="Times New Roman"/>
          <w:sz w:val="28"/>
          <w:szCs w:val="28"/>
          <w:shd w:val="clear" w:color="auto" w:fill="FFFFFF"/>
        </w:rPr>
        <w:t xml:space="preserve"> con sujeción a las reglas de competencia establecidas en la ley. A su vez, el parágrafo del artículo 264 de la C</w:t>
      </w:r>
      <w:r w:rsidRPr="004530CF">
        <w:rPr>
          <w:rFonts w:ascii="Times New Roman" w:hAnsi="Times New Roman" w:cs="Times New Roman"/>
          <w:sz w:val="28"/>
          <w:szCs w:val="28"/>
          <w:shd w:val="clear" w:color="auto" w:fill="FFFFFF"/>
        </w:rPr>
        <w:t>arta</w:t>
      </w:r>
      <w:r w:rsidRPr="004530CF">
        <w:rPr>
          <w:rFonts w:ascii="Times New Roman" w:hAnsi="Times New Roman" w:cs="Times New Roman"/>
          <w:sz w:val="28"/>
          <w:szCs w:val="28"/>
          <w:shd w:val="clear" w:color="auto" w:fill="FFFFFF"/>
        </w:rPr>
        <w:t xml:space="preserve"> dispone, de una parte, que “[</w:t>
      </w:r>
      <w:r w:rsidRPr="004530CF">
        <w:rPr>
          <w:rFonts w:ascii="Times New Roman" w:eastAsia="Times New Roman" w:hAnsi="Times New Roman" w:cs="Times New Roman"/>
          <w:sz w:val="28"/>
          <w:szCs w:val="28"/>
        </w:rPr>
        <w:t>l]</w:t>
      </w:r>
      <w:r w:rsidRPr="004530CF">
        <w:rPr>
          <w:rFonts w:ascii="Times New Roman" w:eastAsia="Times New Roman" w:hAnsi="Times New Roman" w:cs="Times New Roman"/>
          <w:i/>
          <w:sz w:val="28"/>
          <w:szCs w:val="28"/>
        </w:rPr>
        <w:t xml:space="preserve">a </w:t>
      </w:r>
      <w:r w:rsidRPr="004530CF">
        <w:rPr>
          <w:rFonts w:ascii="Times New Roman" w:eastAsia="Times New Roman" w:hAnsi="Times New Roman" w:cs="Times New Roman"/>
          <w:i/>
          <w:sz w:val="28"/>
          <w:szCs w:val="28"/>
        </w:rPr>
        <w:t>J</w:t>
      </w:r>
      <w:r w:rsidRPr="004530CF">
        <w:rPr>
          <w:rFonts w:ascii="Times New Roman" w:eastAsia="Times New Roman" w:hAnsi="Times New Roman" w:cs="Times New Roman"/>
          <w:i/>
          <w:sz w:val="28"/>
          <w:szCs w:val="28"/>
        </w:rPr>
        <w:t xml:space="preserve">urisdicción </w:t>
      </w:r>
      <w:r w:rsidRPr="004530CF">
        <w:rPr>
          <w:rFonts w:ascii="Times New Roman" w:eastAsia="Times New Roman" w:hAnsi="Times New Roman" w:cs="Times New Roman"/>
          <w:i/>
          <w:sz w:val="28"/>
          <w:szCs w:val="28"/>
        </w:rPr>
        <w:t>C</w:t>
      </w:r>
      <w:r w:rsidRPr="004530CF">
        <w:rPr>
          <w:rFonts w:ascii="Times New Roman" w:eastAsia="Times New Roman" w:hAnsi="Times New Roman" w:cs="Times New Roman"/>
          <w:i/>
          <w:sz w:val="28"/>
          <w:szCs w:val="28"/>
        </w:rPr>
        <w:t xml:space="preserve">ontencioso </w:t>
      </w:r>
      <w:r w:rsidRPr="004530CF">
        <w:rPr>
          <w:rFonts w:ascii="Times New Roman" w:eastAsia="Times New Roman" w:hAnsi="Times New Roman" w:cs="Times New Roman"/>
          <w:i/>
          <w:sz w:val="28"/>
          <w:szCs w:val="28"/>
        </w:rPr>
        <w:t>A</w:t>
      </w:r>
      <w:r w:rsidRPr="004530CF">
        <w:rPr>
          <w:rFonts w:ascii="Times New Roman" w:eastAsia="Times New Roman" w:hAnsi="Times New Roman" w:cs="Times New Roman"/>
          <w:i/>
          <w:sz w:val="28"/>
          <w:szCs w:val="28"/>
        </w:rPr>
        <w:t>dministrativa decidirá la acción de nulidad electoral en el término máximo de u</w:t>
      </w:r>
      <w:r w:rsidRPr="004530CF">
        <w:rPr>
          <w:rFonts w:ascii="Times New Roman" w:eastAsia="Times New Roman" w:hAnsi="Times New Roman" w:cs="Times New Roman"/>
          <w:i/>
          <w:sz w:val="28"/>
          <w:szCs w:val="28"/>
        </w:rPr>
        <w:t>n (1) año</w:t>
      </w:r>
      <w:r w:rsidRPr="004530CF">
        <w:rPr>
          <w:rFonts w:ascii="Times New Roman" w:eastAsia="Times New Roman" w:hAnsi="Times New Roman" w:cs="Times New Roman"/>
          <w:sz w:val="28"/>
          <w:szCs w:val="28"/>
        </w:rPr>
        <w:t>”, al tiempo que prevé que, “[e]</w:t>
      </w:r>
      <w:r w:rsidRPr="004530CF">
        <w:rPr>
          <w:rFonts w:ascii="Times New Roman" w:eastAsia="Times New Roman" w:hAnsi="Times New Roman" w:cs="Times New Roman"/>
          <w:i/>
          <w:sz w:val="28"/>
          <w:szCs w:val="28"/>
        </w:rPr>
        <w:t>n los casos de única instancia, según la ley, el término para decidir no podrá exceder de seis (6) meses</w:t>
      </w:r>
      <w:r w:rsidRPr="004530CF">
        <w:rPr>
          <w:rFonts w:ascii="Times New Roman" w:eastAsia="Times New Roman" w:hAnsi="Times New Roman" w:cs="Times New Roman"/>
          <w:sz w:val="28"/>
          <w:szCs w:val="28"/>
        </w:rPr>
        <w:t>”.</w:t>
      </w:r>
    </w:p>
    <w:p w:rsidR="00667B84" w:rsidRPr="004530CF" w:rsidRDefault="004530CF" w:rsidP="004C7B30">
      <w:pPr>
        <w:pStyle w:val="Prrafodelista"/>
        <w:tabs>
          <w:tab w:val="left" w:pos="567"/>
        </w:tabs>
        <w:ind w:left="0"/>
        <w:jc w:val="both"/>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La Ley 1437 de 2011, modificada por la Ley 2080 de 2021, regula el medio de control de nulidad electoral. E</w:t>
      </w:r>
      <w:r w:rsidRPr="004530CF">
        <w:rPr>
          <w:rFonts w:ascii="Times New Roman" w:hAnsi="Times New Roman" w:cs="Times New Roman"/>
          <w:sz w:val="28"/>
          <w:szCs w:val="28"/>
        </w:rPr>
        <w:t>l artículo 139 del CPACA prevé que “[</w:t>
      </w:r>
      <w:r w:rsidRPr="004530CF">
        <w:rPr>
          <w:rFonts w:ascii="Times New Roman" w:eastAsia="Times New Roman" w:hAnsi="Times New Roman" w:cs="Times New Roman"/>
          <w:sz w:val="28"/>
          <w:szCs w:val="28"/>
        </w:rPr>
        <w:t>c]</w:t>
      </w:r>
      <w:r w:rsidRPr="004530CF">
        <w:rPr>
          <w:rFonts w:ascii="Times New Roman" w:eastAsia="Times New Roman" w:hAnsi="Times New Roman" w:cs="Times New Roman"/>
          <w:i/>
          <w:iCs/>
          <w:sz w:val="28"/>
          <w:szCs w:val="28"/>
        </w:rPr>
        <w:t>ualquier persona podrá pedir la nulidad de los actos de elección por voto popular o por cuerpos electorales, así como de los actos de nombramiento que expidan las entidades y autoridades públicas de todo orden</w:t>
      </w:r>
      <w:r w:rsidRPr="004530CF">
        <w:rPr>
          <w:rFonts w:ascii="Times New Roman" w:eastAsia="Times New Roman" w:hAnsi="Times New Roman" w:cs="Times New Roman"/>
          <w:sz w:val="28"/>
          <w:szCs w:val="28"/>
        </w:rPr>
        <w:t>”. </w:t>
      </w:r>
    </w:p>
    <w:p w:rsidR="005154C7" w:rsidRPr="004530CF" w:rsidRDefault="004530CF" w:rsidP="004C7B30">
      <w:pPr>
        <w:pStyle w:val="Numerales"/>
        <w:ind w:left="0" w:firstLine="0"/>
        <w:rPr>
          <w:rFonts w:ascii="Times New Roman" w:hAnsi="Times New Roman" w:cs="Times New Roman"/>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A s</w:t>
      </w:r>
      <w:r w:rsidRPr="004530CF">
        <w:rPr>
          <w:rFonts w:ascii="Times New Roman" w:hAnsi="Times New Roman" w:cs="Times New Roman"/>
          <w:sz w:val="28"/>
          <w:szCs w:val="28"/>
        </w:rPr>
        <w:t>u vez, el artículo 275 establece que habrá lugar a la declaratoria de la nulidad electoral cuando se configure alguna de las ocho hipótesis que se encuentran allí previstas. Según la referida disposición ello ocurrirá cuando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i/>
          <w:iCs/>
          <w:sz w:val="28"/>
          <w:szCs w:val="28"/>
        </w:rPr>
        <w:t>(i) se haya ejercido cualquie</w:t>
      </w:r>
      <w:r w:rsidRPr="004530CF">
        <w:rPr>
          <w:rFonts w:ascii="Times New Roman" w:hAnsi="Times New Roman" w:cs="Times New Roman"/>
          <w:i/>
          <w:iCs/>
          <w:sz w:val="28"/>
          <w:szCs w:val="28"/>
        </w:rPr>
        <w:t>r tipo de violencia sobre los nominadores, los electores o las autoridades electorales; (ii) se hayan destruido los documentos, elementos o el material electoral, así como cuando se haya ejercido cualquier tipo de violencia o sabotaje contra estos o contra</w:t>
      </w:r>
      <w:r w:rsidRPr="004530CF">
        <w:rPr>
          <w:rFonts w:ascii="Times New Roman" w:hAnsi="Times New Roman" w:cs="Times New Roman"/>
          <w:i/>
          <w:iCs/>
          <w:sz w:val="28"/>
          <w:szCs w:val="28"/>
        </w:rPr>
        <w:t xml:space="preserve"> los sistemas de votación, información, transmisión o consolidación de los resultados de las elecciones; (iii) los documentos electorales contengan datos contrarios a la verdad o hayan sido alterados con el propósito de modificar los resultados electorales</w:t>
      </w:r>
      <w:r w:rsidRPr="004530CF">
        <w:rPr>
          <w:rFonts w:ascii="Times New Roman" w:hAnsi="Times New Roman" w:cs="Times New Roman"/>
          <w:i/>
          <w:iCs/>
          <w:sz w:val="28"/>
          <w:szCs w:val="28"/>
        </w:rPr>
        <w:t>; (iv) los votos emitidos en la respectiva elección se computen con violación del sistema constitucional o legalmente establecido para la distribución de curules o cargos por proveer; (v) se elijan candidatos o se nombren personas que no reúnan las calidad</w:t>
      </w:r>
      <w:r w:rsidRPr="004530CF">
        <w:rPr>
          <w:rFonts w:ascii="Times New Roman" w:hAnsi="Times New Roman" w:cs="Times New Roman"/>
          <w:i/>
          <w:iCs/>
          <w:sz w:val="28"/>
          <w:szCs w:val="28"/>
        </w:rPr>
        <w:t>es y requisitos constitucionales o legales de elegibilidad o que se hallen incursas en causales de inhabilidad; (vi) los jurados de votación o los miembros de las comisiones escrutadoras sean cónyuges, compañeros permanentes o parientes de los candidatos h</w:t>
      </w:r>
      <w:r w:rsidRPr="004530CF">
        <w:rPr>
          <w:rFonts w:ascii="Times New Roman" w:hAnsi="Times New Roman" w:cs="Times New Roman"/>
          <w:i/>
          <w:iCs/>
          <w:sz w:val="28"/>
          <w:szCs w:val="28"/>
        </w:rPr>
        <w:t>asta en tercer grado de consanguinidad, segundo de afinidad o único civil; (vii) tratándose de la elección por voto popular por circunscripciones distintas a la nacional, los electores no sean residentes en la respectiva circunscripción; y (viii) tratándos</w:t>
      </w:r>
      <w:r w:rsidRPr="004530CF">
        <w:rPr>
          <w:rFonts w:ascii="Times New Roman" w:hAnsi="Times New Roman" w:cs="Times New Roman"/>
          <w:i/>
          <w:iCs/>
          <w:sz w:val="28"/>
          <w:szCs w:val="28"/>
        </w:rPr>
        <w:t>e de la elección por voto popular, el candidato incurra en doble militancia política al momento de la elección</w:t>
      </w:r>
      <w:r w:rsidRPr="004530CF">
        <w:rPr>
          <w:rFonts w:ascii="Times New Roman" w:hAnsi="Times New Roman" w:cs="Times New Roman"/>
          <w:sz w:val="28"/>
          <w:szCs w:val="28"/>
        </w:rPr>
        <w:t xml:space="preserve">”.  </w:t>
      </w:r>
    </w:p>
    <w:p w:rsidR="00667B84" w:rsidRPr="004530CF" w:rsidRDefault="004530CF" w:rsidP="004C7B30">
      <w:pPr>
        <w:pStyle w:val="Prrafodelista"/>
        <w:tabs>
          <w:tab w:val="left" w:pos="567"/>
        </w:tabs>
        <w:ind w:left="0"/>
        <w:jc w:val="both"/>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El numeral 3 del artículo 149 de la Ley 1437 de 2011, del que hace parte el enunciado normativo acusado, establece la competencia del Consej</w:t>
      </w:r>
      <w:r w:rsidRPr="004530CF">
        <w:rPr>
          <w:rFonts w:ascii="Times New Roman" w:hAnsi="Times New Roman" w:cs="Times New Roman"/>
          <w:sz w:val="28"/>
          <w:szCs w:val="28"/>
        </w:rPr>
        <w:t xml:space="preserve">o de Estado para conocer, en única instancia, la nulidad de la elección o el llamamiento a ocupar curul de los siguientes funcionarios elegidos mediante el voto popular: </w:t>
      </w:r>
      <w:r w:rsidRPr="004530CF">
        <w:rPr>
          <w:rFonts w:ascii="Times New Roman" w:hAnsi="Times New Roman" w:cs="Times New Roman"/>
          <w:i/>
          <w:sz w:val="28"/>
          <w:szCs w:val="28"/>
        </w:rPr>
        <w:t xml:space="preserve">presidente y vicepresidente de la República, senadores, representantes a la </w:t>
      </w:r>
      <w:r w:rsidRPr="004530CF">
        <w:rPr>
          <w:rFonts w:ascii="Times New Roman" w:hAnsi="Times New Roman" w:cs="Times New Roman"/>
          <w:i/>
          <w:sz w:val="28"/>
          <w:szCs w:val="28"/>
        </w:rPr>
        <w:t>c</w:t>
      </w:r>
      <w:r w:rsidRPr="004530CF">
        <w:rPr>
          <w:rFonts w:ascii="Times New Roman" w:hAnsi="Times New Roman" w:cs="Times New Roman"/>
          <w:i/>
          <w:sz w:val="28"/>
          <w:szCs w:val="28"/>
        </w:rPr>
        <w:t xml:space="preserve">ámara, </w:t>
      </w:r>
      <w:r w:rsidRPr="004530CF">
        <w:rPr>
          <w:rFonts w:ascii="Times New Roman" w:hAnsi="Times New Roman" w:cs="Times New Roman"/>
          <w:i/>
          <w:sz w:val="28"/>
          <w:szCs w:val="28"/>
        </w:rPr>
        <w:t>representantes al Parlamento Andino, gobernadores</w:t>
      </w:r>
      <w:r w:rsidRPr="004530CF">
        <w:rPr>
          <w:rFonts w:ascii="Times New Roman" w:hAnsi="Times New Roman" w:cs="Times New Roman"/>
          <w:i/>
          <w:sz w:val="28"/>
          <w:szCs w:val="28"/>
        </w:rPr>
        <w:t xml:space="preserve"> y</w:t>
      </w:r>
      <w:r w:rsidRPr="004530CF">
        <w:rPr>
          <w:rFonts w:ascii="Times New Roman" w:hAnsi="Times New Roman" w:cs="Times New Roman"/>
          <w:i/>
          <w:sz w:val="28"/>
          <w:szCs w:val="28"/>
        </w:rPr>
        <w:t xml:space="preserve"> Alcalde Mayor de Bogotá</w:t>
      </w:r>
      <w:r w:rsidRPr="004530CF">
        <w:rPr>
          <w:rFonts w:ascii="Times New Roman" w:hAnsi="Times New Roman" w:cs="Times New Roman"/>
          <w:sz w:val="28"/>
          <w:szCs w:val="28"/>
        </w:rPr>
        <w:t>. Igualmente, esa disposición prevé que también conocerá en única instancia de tales procesos</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cuando se trate de miembros de juntas directivas o consejos directivos de entidades pú</w:t>
      </w:r>
      <w:r w:rsidRPr="004530CF">
        <w:rPr>
          <w:rFonts w:ascii="Times New Roman" w:hAnsi="Times New Roman" w:cs="Times New Roman"/>
          <w:sz w:val="28"/>
          <w:szCs w:val="28"/>
        </w:rPr>
        <w:t>blicas del orden nacional, entes autónomos del orden nacional y comisiones de regulación.</w:t>
      </w:r>
    </w:p>
    <w:p w:rsidR="00667B84" w:rsidRPr="004530CF" w:rsidRDefault="004530CF" w:rsidP="004C7B30">
      <w:pPr>
        <w:pStyle w:val="Prrafodelista"/>
        <w:ind w:left="0"/>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El literal a)</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del numeral 7</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del artículo 152 de la misma ley</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prescribe que les corresponderá a los tribunales administrativos, en primera instancia, conocer de la nulidad del acto de elección o llamamiento a ocupar la curul, según el caso, de los diputados de las asambleas departamentales, de los concejales del Dis</w:t>
      </w:r>
      <w:r w:rsidRPr="004530CF">
        <w:rPr>
          <w:rFonts w:ascii="Times New Roman" w:hAnsi="Times New Roman" w:cs="Times New Roman"/>
          <w:sz w:val="28"/>
          <w:szCs w:val="28"/>
        </w:rPr>
        <w:t xml:space="preserve">trito Capital de Bogotá, de los alcaldes municipales y distritales, así como de los miembros de corporaciones públicas de los municipios y distritos. También dispone que, en primera instancia, conocerá </w:t>
      </w:r>
      <w:r w:rsidRPr="004530CF">
        <w:rPr>
          <w:rFonts w:ascii="Times New Roman" w:hAnsi="Times New Roman" w:cs="Times New Roman"/>
          <w:sz w:val="28"/>
          <w:szCs w:val="28"/>
        </w:rPr>
        <w:t>del medio de control</w:t>
      </w:r>
      <w:r w:rsidRPr="004530CF">
        <w:rPr>
          <w:rFonts w:ascii="Times New Roman" w:hAnsi="Times New Roman" w:cs="Times New Roman"/>
          <w:sz w:val="28"/>
          <w:szCs w:val="28"/>
        </w:rPr>
        <w:t xml:space="preserve"> de nulidad respecto de la elecció</w:t>
      </w:r>
      <w:r w:rsidRPr="004530CF">
        <w:rPr>
          <w:rFonts w:ascii="Times New Roman" w:hAnsi="Times New Roman" w:cs="Times New Roman"/>
          <w:sz w:val="28"/>
          <w:szCs w:val="28"/>
        </w:rPr>
        <w:t>n de los miembros de los consejos superiores de las universidades públicas de cualquier orden, y de miembros de los consejos directivos de las corporaciones autónomas regionales</w:t>
      </w:r>
      <w:r w:rsidRPr="004530CF">
        <w:rPr>
          <w:rStyle w:val="Refdenotaalpie"/>
          <w:rFonts w:ascii="Times New Roman" w:hAnsi="Times New Roman" w:cs="Times New Roman"/>
          <w:sz w:val="28"/>
          <w:szCs w:val="28"/>
        </w:rPr>
        <w:footnoteReference w:id="30"/>
      </w:r>
      <w:r w:rsidRPr="004530CF">
        <w:rPr>
          <w:rFonts w:ascii="Times New Roman" w:hAnsi="Times New Roman" w:cs="Times New Roman"/>
          <w:sz w:val="28"/>
          <w:szCs w:val="28"/>
        </w:rPr>
        <w:t>.  En concordancia con ello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el artículo 150 le asigna al Consejo de Estado la</w:t>
      </w:r>
      <w:r w:rsidRPr="004530CF">
        <w:rPr>
          <w:rFonts w:ascii="Times New Roman" w:hAnsi="Times New Roman" w:cs="Times New Roman"/>
          <w:sz w:val="28"/>
          <w:szCs w:val="28"/>
        </w:rPr>
        <w:t xml:space="preserve"> competencia para conocer, en segunda instancia, de l</w:t>
      </w:r>
      <w:r w:rsidRPr="004530CF">
        <w:rPr>
          <w:rFonts w:ascii="Times New Roman" w:hAnsi="Times New Roman" w:cs="Times New Roman"/>
          <w:sz w:val="28"/>
          <w:szCs w:val="28"/>
          <w:shd w:val="clear" w:color="auto" w:fill="FFFFFF"/>
        </w:rPr>
        <w:t>as apelaciones de las sentencias dictadas en primera instancia por los tribunales administrativos.</w:t>
      </w:r>
      <w:r w:rsidRPr="004530CF">
        <w:rPr>
          <w:rFonts w:ascii="Times New Roman" w:hAnsi="Times New Roman" w:cs="Times New Roman"/>
          <w:sz w:val="28"/>
          <w:szCs w:val="28"/>
        </w:rPr>
        <w:t xml:space="preserve"> </w:t>
      </w:r>
    </w:p>
    <w:p w:rsidR="00667B84" w:rsidRPr="004530CF" w:rsidRDefault="004530CF" w:rsidP="004C7B30">
      <w:pPr>
        <w:pStyle w:val="Prrafodelista"/>
        <w:ind w:left="0"/>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567"/>
        </w:tabs>
        <w:ind w:left="0" w:firstLine="0"/>
        <w:jc w:val="both"/>
        <w:rPr>
          <w:rFonts w:ascii="Times New Roman" w:hAnsi="Times New Roman" w:cs="Times New Roman"/>
          <w:sz w:val="28"/>
          <w:szCs w:val="28"/>
        </w:rPr>
      </w:pPr>
      <w:r w:rsidRPr="004530CF">
        <w:rPr>
          <w:rFonts w:ascii="Times New Roman" w:hAnsi="Times New Roman" w:cs="Times New Roman"/>
          <w:sz w:val="28"/>
          <w:szCs w:val="28"/>
        </w:rPr>
        <w:t>La</w:t>
      </w:r>
      <w:r w:rsidRPr="004530CF">
        <w:rPr>
          <w:rFonts w:ascii="Times New Roman" w:hAnsi="Times New Roman" w:cs="Times New Roman"/>
          <w:sz w:val="28"/>
          <w:szCs w:val="28"/>
        </w:rPr>
        <w:t xml:space="preserve"> Ley 1437 de 2011</w:t>
      </w:r>
      <w:r w:rsidRPr="004530CF">
        <w:rPr>
          <w:rFonts w:ascii="Times New Roman" w:hAnsi="Times New Roman" w:cs="Times New Roman"/>
          <w:sz w:val="28"/>
          <w:szCs w:val="28"/>
        </w:rPr>
        <w:t xml:space="preserve"> establece el trámite que debe impartirse a la demanda (art. 276); el proceso para </w:t>
      </w:r>
      <w:r w:rsidRPr="004530CF">
        <w:rPr>
          <w:rFonts w:ascii="Times New Roman" w:hAnsi="Times New Roman" w:cs="Times New Roman"/>
          <w:sz w:val="28"/>
          <w:szCs w:val="28"/>
        </w:rPr>
        <w:t>su notificación (art. 277); la posibilidad de reformarla (art. 278); el procedimiento para su contestación (art. 279); la prohibición del desistimiento (art. 280); la improcedencia de la acumulación de causales objetivas y subjetivas (art. 28</w:t>
      </w:r>
      <w:r w:rsidRPr="004530CF">
        <w:rPr>
          <w:rFonts w:ascii="Times New Roman" w:hAnsi="Times New Roman" w:cs="Times New Roman"/>
          <w:sz w:val="28"/>
          <w:szCs w:val="28"/>
        </w:rPr>
        <w:t>1</w:t>
      </w:r>
      <w:r w:rsidRPr="004530CF">
        <w:rPr>
          <w:rFonts w:ascii="Times New Roman" w:hAnsi="Times New Roman" w:cs="Times New Roman"/>
          <w:sz w:val="28"/>
          <w:szCs w:val="28"/>
        </w:rPr>
        <w:t>); el trámite</w:t>
      </w:r>
      <w:r w:rsidRPr="004530CF">
        <w:rPr>
          <w:rFonts w:ascii="Times New Roman" w:hAnsi="Times New Roman" w:cs="Times New Roman"/>
          <w:sz w:val="28"/>
          <w:szCs w:val="28"/>
        </w:rPr>
        <w:t xml:space="preserve"> de acumulación de procesos (art. 28</w:t>
      </w:r>
      <w:r w:rsidRPr="004530CF">
        <w:rPr>
          <w:rFonts w:ascii="Times New Roman" w:hAnsi="Times New Roman" w:cs="Times New Roman"/>
          <w:sz w:val="28"/>
          <w:szCs w:val="28"/>
        </w:rPr>
        <w:t>2</w:t>
      </w:r>
      <w:r w:rsidRPr="004530CF">
        <w:rPr>
          <w:rFonts w:ascii="Times New Roman" w:hAnsi="Times New Roman" w:cs="Times New Roman"/>
          <w:sz w:val="28"/>
          <w:szCs w:val="28"/>
        </w:rPr>
        <w:t>); las reglas para la celebración de la audiencia inicial (art. 283); el régimen de nulidades de carácter procesal (art. 284); la audiencia de pruebas (art. 285); el trámite dentro de la audiencia de alegatos y juzgamie</w:t>
      </w:r>
      <w:r w:rsidRPr="004530CF">
        <w:rPr>
          <w:rFonts w:ascii="Times New Roman" w:hAnsi="Times New Roman" w:cs="Times New Roman"/>
          <w:sz w:val="28"/>
          <w:szCs w:val="28"/>
        </w:rPr>
        <w:t xml:space="preserve">nto (art. 286); los presupuestos de la sentencia anulatoria del acto de elección popular (art. 287); sus consecuencias (art. 288); el proceso de notificación y comunicación de la sentencia (art. 289); el trámite para solicitar </w:t>
      </w:r>
      <w:r w:rsidRPr="004530CF">
        <w:rPr>
          <w:rFonts w:ascii="Times New Roman" w:hAnsi="Times New Roman" w:cs="Times New Roman"/>
          <w:sz w:val="28"/>
          <w:szCs w:val="28"/>
        </w:rPr>
        <w:t xml:space="preserve">su </w:t>
      </w:r>
      <w:r w:rsidRPr="004530CF">
        <w:rPr>
          <w:rFonts w:ascii="Times New Roman" w:hAnsi="Times New Roman" w:cs="Times New Roman"/>
          <w:sz w:val="28"/>
          <w:szCs w:val="28"/>
        </w:rPr>
        <w:t>aclaración (art. 290) y ad</w:t>
      </w:r>
      <w:r w:rsidRPr="004530CF">
        <w:rPr>
          <w:rFonts w:ascii="Times New Roman" w:hAnsi="Times New Roman" w:cs="Times New Roman"/>
          <w:sz w:val="28"/>
          <w:szCs w:val="28"/>
        </w:rPr>
        <w:t>ición (art. 291); el procedimiento para interponer la apelación (art. 292); el trámite de segunda instancia en los casos que señala la ley (art. 293); las nulidades originadas en la sentencia (art. 294); el procedimiento frente a peticiones impertinentes (</w:t>
      </w:r>
      <w:r w:rsidRPr="004530CF">
        <w:rPr>
          <w:rFonts w:ascii="Times New Roman" w:hAnsi="Times New Roman" w:cs="Times New Roman"/>
          <w:sz w:val="28"/>
          <w:szCs w:val="28"/>
        </w:rPr>
        <w:t>art. 295); y la remisión a las normas de</w:t>
      </w:r>
      <w:r w:rsidRPr="004530CF">
        <w:rPr>
          <w:rFonts w:ascii="Times New Roman" w:hAnsi="Times New Roman" w:cs="Times New Roman"/>
          <w:sz w:val="28"/>
          <w:szCs w:val="28"/>
        </w:rPr>
        <w:t>l</w:t>
      </w:r>
      <w:r w:rsidRPr="004530CF">
        <w:rPr>
          <w:rFonts w:ascii="Times New Roman" w:hAnsi="Times New Roman" w:cs="Times New Roman"/>
          <w:sz w:val="28"/>
          <w:szCs w:val="28"/>
        </w:rPr>
        <w:t xml:space="preserve"> proceso ordinario frente a los aspectos no regulados </w:t>
      </w:r>
      <w:r w:rsidRPr="004530CF">
        <w:rPr>
          <w:rFonts w:ascii="Times New Roman" w:hAnsi="Times New Roman" w:cs="Times New Roman"/>
          <w:sz w:val="28"/>
          <w:szCs w:val="28"/>
        </w:rPr>
        <w:t xml:space="preserve">específicamente para </w:t>
      </w:r>
      <w:r w:rsidRPr="004530CF">
        <w:rPr>
          <w:rFonts w:ascii="Times New Roman" w:hAnsi="Times New Roman" w:cs="Times New Roman"/>
          <w:sz w:val="28"/>
          <w:szCs w:val="28"/>
        </w:rPr>
        <w:t xml:space="preserve">el medio de control de </w:t>
      </w:r>
      <w:r w:rsidRPr="004530CF">
        <w:rPr>
          <w:rFonts w:ascii="Times New Roman" w:hAnsi="Times New Roman" w:cs="Times New Roman"/>
          <w:sz w:val="28"/>
          <w:szCs w:val="28"/>
        </w:rPr>
        <w:t>nulidad electoral (art. 296).</w:t>
      </w:r>
    </w:p>
    <w:p w:rsidR="005154C7" w:rsidRPr="004530CF" w:rsidRDefault="004530CF" w:rsidP="004C7B30">
      <w:pPr>
        <w:pStyle w:val="Numerales"/>
        <w:ind w:left="0" w:firstLine="0"/>
        <w:rPr>
          <w:rFonts w:ascii="Times New Roman" w:hAnsi="Times New Roman" w:cs="Times New Roman"/>
        </w:rPr>
      </w:pPr>
    </w:p>
    <w:p w:rsidR="005154C7" w:rsidRPr="004530CF" w:rsidRDefault="004530CF" w:rsidP="00CE024C">
      <w:pPr>
        <w:pStyle w:val="Prrafodelista"/>
        <w:numPr>
          <w:ilvl w:val="0"/>
          <w:numId w:val="3"/>
        </w:numPr>
        <w:tabs>
          <w:tab w:val="left" w:pos="709"/>
        </w:tabs>
        <w:ind w:left="0" w:firstLine="0"/>
        <w:jc w:val="both"/>
        <w:rPr>
          <w:rFonts w:ascii="Times New Roman" w:eastAsia="Times New Roman" w:hAnsi="Times New Roman" w:cs="Times New Roman"/>
          <w:sz w:val="28"/>
          <w:szCs w:val="28"/>
          <w:lang w:eastAsia="es-ES"/>
        </w:rPr>
      </w:pPr>
      <w:r w:rsidRPr="004530CF">
        <w:rPr>
          <w:rFonts w:ascii="Times New Roman" w:eastAsia="Times New Roman" w:hAnsi="Times New Roman" w:cs="Times New Roman"/>
          <w:b/>
          <w:sz w:val="28"/>
          <w:szCs w:val="28"/>
        </w:rPr>
        <w:t xml:space="preserve">Naturaleza de la nulidad electoral. </w:t>
      </w:r>
      <w:r w:rsidRPr="004530CF">
        <w:rPr>
          <w:rFonts w:ascii="Times New Roman" w:eastAsia="Times New Roman" w:hAnsi="Times New Roman" w:cs="Times New Roman"/>
          <w:sz w:val="28"/>
          <w:szCs w:val="28"/>
        </w:rPr>
        <w:t>Según se indicó, el artículo 139 de la Ley 1437 de</w:t>
      </w:r>
      <w:r w:rsidRPr="004530CF">
        <w:rPr>
          <w:rFonts w:ascii="Times New Roman" w:eastAsia="Times New Roman" w:hAnsi="Times New Roman" w:cs="Times New Roman"/>
          <w:sz w:val="28"/>
          <w:szCs w:val="28"/>
        </w:rPr>
        <w:t xml:space="preserve"> 2011 define de manera general el alcance de este medio de control. De tal disposición se desprende que constituye un instrumento previsto para controvertir, ante la Jurisdicción de lo Contencioso Administrativo, la legalidad del acto de elección o nombram</w:t>
      </w:r>
      <w:r w:rsidRPr="004530CF">
        <w:rPr>
          <w:rFonts w:ascii="Times New Roman" w:eastAsia="Times New Roman" w:hAnsi="Times New Roman" w:cs="Times New Roman"/>
          <w:sz w:val="28"/>
          <w:szCs w:val="28"/>
        </w:rPr>
        <w:t xml:space="preserve">iento de diferentes servidores públicos. Al respecto, la </w:t>
      </w:r>
      <w:r w:rsidRPr="004530CF">
        <w:rPr>
          <w:rFonts w:ascii="Times New Roman" w:eastAsia="Times New Roman" w:hAnsi="Times New Roman" w:cs="Times New Roman"/>
          <w:sz w:val="28"/>
          <w:szCs w:val="28"/>
          <w:lang w:eastAsia="es-ES"/>
        </w:rPr>
        <w:t>Corte ha establecido de forma clara y uniforme que se trata de “</w:t>
      </w:r>
      <w:r w:rsidRPr="004530CF">
        <w:rPr>
          <w:rFonts w:ascii="Times New Roman" w:eastAsia="Times New Roman" w:hAnsi="Times New Roman" w:cs="Times New Roman"/>
          <w:i/>
          <w:iCs/>
          <w:sz w:val="28"/>
          <w:szCs w:val="28"/>
          <w:lang w:eastAsia="es-ES"/>
        </w:rPr>
        <w:t>una acción pública especial de legalidad y de impugnación de un acto administrativo de elección o de nombramiento</w:t>
      </w:r>
      <w:r w:rsidRPr="004530CF">
        <w:rPr>
          <w:rFonts w:ascii="Times New Roman" w:eastAsia="Times New Roman" w:hAnsi="Times New Roman" w:cs="Times New Roman"/>
          <w:iCs/>
          <w:sz w:val="28"/>
          <w:szCs w:val="28"/>
          <w:lang w:eastAsia="es-ES"/>
        </w:rPr>
        <w:t>”</w:t>
      </w:r>
      <w:r w:rsidRPr="004530CF">
        <w:rPr>
          <w:rStyle w:val="Refdenotaalpie"/>
          <w:rFonts w:ascii="Times New Roman" w:eastAsia="Times New Roman" w:hAnsi="Times New Roman" w:cs="Times New Roman"/>
          <w:sz w:val="28"/>
          <w:szCs w:val="28"/>
          <w:lang w:eastAsia="es-ES"/>
        </w:rPr>
        <w:footnoteReference w:id="31"/>
      </w:r>
      <w:r w:rsidRPr="004530CF">
        <w:rPr>
          <w:rFonts w:ascii="Times New Roman" w:eastAsia="Times New Roman" w:hAnsi="Times New Roman" w:cs="Times New Roman"/>
          <w:sz w:val="28"/>
          <w:szCs w:val="28"/>
          <w:lang w:eastAsia="es-ES"/>
        </w:rPr>
        <w:t xml:space="preserve">.  </w:t>
      </w:r>
    </w:p>
    <w:p w:rsidR="00667B84" w:rsidRPr="004530CF" w:rsidRDefault="004530CF" w:rsidP="004C7B30">
      <w:pPr>
        <w:pStyle w:val="Prrafodelista"/>
        <w:ind w:left="0"/>
        <w:rPr>
          <w:rFonts w:ascii="Times New Roman" w:eastAsia="Times New Roman" w:hAnsi="Times New Roman" w:cs="Times New Roman"/>
          <w:sz w:val="28"/>
          <w:szCs w:val="28"/>
          <w:lang w:eastAsia="es-ES"/>
        </w:rPr>
      </w:pPr>
    </w:p>
    <w:p w:rsidR="005154C7" w:rsidRPr="004530CF" w:rsidRDefault="004530CF" w:rsidP="00CE024C">
      <w:pPr>
        <w:pStyle w:val="Prrafodelista"/>
        <w:numPr>
          <w:ilvl w:val="0"/>
          <w:numId w:val="3"/>
        </w:numPr>
        <w:tabs>
          <w:tab w:val="left" w:pos="709"/>
        </w:tabs>
        <w:ind w:left="0" w:firstLine="0"/>
        <w:jc w:val="both"/>
        <w:rPr>
          <w:rFonts w:ascii="Times New Roman" w:eastAsia="Times New Roman" w:hAnsi="Times New Roman" w:cs="Times New Roman"/>
          <w:sz w:val="28"/>
          <w:szCs w:val="28"/>
          <w:lang w:eastAsia="es-ES"/>
        </w:rPr>
      </w:pPr>
      <w:r w:rsidRPr="004530CF">
        <w:rPr>
          <w:rFonts w:ascii="Times New Roman" w:eastAsia="Times New Roman" w:hAnsi="Times New Roman" w:cs="Times New Roman"/>
          <w:sz w:val="28"/>
          <w:szCs w:val="28"/>
        </w:rPr>
        <w:t xml:space="preserve">El objeto </w:t>
      </w:r>
      <w:r w:rsidRPr="004530CF">
        <w:rPr>
          <w:rFonts w:ascii="Times New Roman" w:eastAsia="Times New Roman" w:hAnsi="Times New Roman" w:cs="Times New Roman"/>
          <w:sz w:val="28"/>
          <w:szCs w:val="28"/>
        </w:rPr>
        <w:t>principal de este medio de control consiste en establecer, en un período corto de tiempo, si los actos de elección realizados por voto popular o por cuerpos electorales se ajustan a la legalidad y a la Constitución</w:t>
      </w:r>
      <w:r w:rsidRPr="004530CF">
        <w:rPr>
          <w:rStyle w:val="Refdenotaalpie"/>
          <w:rFonts w:ascii="Times New Roman" w:eastAsia="Times New Roman" w:hAnsi="Times New Roman" w:cs="Times New Roman"/>
          <w:sz w:val="28"/>
          <w:szCs w:val="28"/>
        </w:rPr>
        <w:footnoteReference w:id="32"/>
      </w:r>
      <w:r w:rsidRPr="004530CF">
        <w:rPr>
          <w:rFonts w:ascii="Times New Roman" w:eastAsia="Times New Roman" w:hAnsi="Times New Roman" w:cs="Times New Roman"/>
          <w:sz w:val="28"/>
          <w:szCs w:val="28"/>
        </w:rPr>
        <w:t>. Un rasgo definitorio de su naturaleza e</w:t>
      </w:r>
      <w:r w:rsidRPr="004530CF">
        <w:rPr>
          <w:rFonts w:ascii="Times New Roman" w:eastAsia="Times New Roman" w:hAnsi="Times New Roman" w:cs="Times New Roman"/>
          <w:sz w:val="28"/>
          <w:szCs w:val="28"/>
        </w:rPr>
        <w:t>s el tipo de juicio que se adelanta, en tanto la jurisprudencia ha precisado que el juez competente realiza un</w:t>
      </w:r>
      <w:r w:rsidRPr="004530CF">
        <w:rPr>
          <w:rFonts w:ascii="Times New Roman" w:eastAsia="Times New Roman" w:hAnsi="Times New Roman" w:cs="Times New Roman"/>
          <w:sz w:val="28"/>
          <w:szCs w:val="28"/>
        </w:rPr>
        <w:t xml:space="preserve"> examen</w:t>
      </w:r>
      <w:r w:rsidRPr="004530CF">
        <w:rPr>
          <w:rFonts w:ascii="Times New Roman" w:eastAsia="Times New Roman" w:hAnsi="Times New Roman" w:cs="Times New Roman"/>
          <w:sz w:val="28"/>
          <w:szCs w:val="28"/>
        </w:rPr>
        <w:t xml:space="preserve"> objetivo de legalidad o validez. Se limita a confrontar la norma presuntamente vulnerada con el acto de elección o designación, con el fin</w:t>
      </w:r>
      <w:r w:rsidRPr="004530CF">
        <w:rPr>
          <w:rFonts w:ascii="Times New Roman" w:eastAsia="Times New Roman" w:hAnsi="Times New Roman" w:cs="Times New Roman"/>
          <w:sz w:val="28"/>
          <w:szCs w:val="28"/>
        </w:rPr>
        <w:t xml:space="preserve"> de verificar si se ajusta a los requisitos exigidos por el ordenamiento jurídico, y así garantizar el respeto de la voluntad popular expresada en las jornadas electorales</w:t>
      </w:r>
      <w:r w:rsidRPr="004530CF">
        <w:rPr>
          <w:rStyle w:val="Refdenotaalpie"/>
          <w:rFonts w:ascii="Times New Roman" w:eastAsia="Times New Roman" w:hAnsi="Times New Roman" w:cs="Times New Roman"/>
          <w:sz w:val="28"/>
          <w:szCs w:val="28"/>
        </w:rPr>
        <w:footnoteReference w:id="33"/>
      </w:r>
      <w:r w:rsidRPr="004530CF">
        <w:rPr>
          <w:rFonts w:ascii="Times New Roman" w:eastAsia="Times New Roman" w:hAnsi="Times New Roman" w:cs="Times New Roman"/>
          <w:sz w:val="28"/>
          <w:szCs w:val="28"/>
        </w:rPr>
        <w:t xml:space="preserve">. </w:t>
      </w:r>
    </w:p>
    <w:p w:rsidR="00667B84" w:rsidRPr="004530CF" w:rsidRDefault="004530CF" w:rsidP="004C7B30">
      <w:pPr>
        <w:pStyle w:val="Prrafodelista"/>
        <w:ind w:left="0"/>
        <w:rPr>
          <w:rFonts w:ascii="Times New Roman" w:eastAsia="Times New Roman" w:hAnsi="Times New Roman" w:cs="Times New Roman"/>
          <w:sz w:val="28"/>
          <w:szCs w:val="28"/>
          <w:lang w:eastAsia="es-ES"/>
        </w:rPr>
      </w:pPr>
    </w:p>
    <w:p w:rsidR="005154C7" w:rsidRPr="004530CF" w:rsidRDefault="004530CF" w:rsidP="00CE024C">
      <w:pPr>
        <w:pStyle w:val="Prrafodelista"/>
        <w:numPr>
          <w:ilvl w:val="0"/>
          <w:numId w:val="3"/>
        </w:numPr>
        <w:tabs>
          <w:tab w:val="left" w:pos="709"/>
        </w:tabs>
        <w:ind w:left="0" w:firstLine="0"/>
        <w:jc w:val="both"/>
        <w:rPr>
          <w:rFonts w:ascii="Times New Roman" w:eastAsia="Times New Roman" w:hAnsi="Times New Roman" w:cs="Times New Roman"/>
          <w:sz w:val="28"/>
          <w:szCs w:val="28"/>
          <w:lang w:eastAsia="es-ES"/>
        </w:rPr>
      </w:pPr>
      <w:r w:rsidRPr="004530CF">
        <w:rPr>
          <w:rFonts w:ascii="Times New Roman" w:eastAsia="Times New Roman" w:hAnsi="Times New Roman" w:cs="Times New Roman"/>
          <w:sz w:val="28"/>
          <w:szCs w:val="28"/>
        </w:rPr>
        <w:t>La jurisprudencia de la Corte Constitucional ha identificado varias característi</w:t>
      </w:r>
      <w:r w:rsidRPr="004530CF">
        <w:rPr>
          <w:rFonts w:ascii="Times New Roman" w:eastAsia="Times New Roman" w:hAnsi="Times New Roman" w:cs="Times New Roman"/>
          <w:sz w:val="28"/>
          <w:szCs w:val="28"/>
        </w:rPr>
        <w:t>cas</w:t>
      </w:r>
      <w:r w:rsidRPr="004530CF">
        <w:rPr>
          <w:rStyle w:val="Refdenotaalpie"/>
          <w:rFonts w:ascii="Times New Roman" w:eastAsia="Times New Roman" w:hAnsi="Times New Roman" w:cs="Times New Roman"/>
          <w:sz w:val="28"/>
          <w:szCs w:val="28"/>
        </w:rPr>
        <w:footnoteReference w:id="34"/>
      </w:r>
      <w:r w:rsidRPr="004530CF">
        <w:rPr>
          <w:rFonts w:ascii="Times New Roman" w:eastAsia="Times New Roman" w:hAnsi="Times New Roman" w:cs="Times New Roman"/>
          <w:sz w:val="28"/>
          <w:szCs w:val="28"/>
        </w:rPr>
        <w:t>,</w:t>
      </w:r>
      <w:r w:rsidRPr="004530CF">
        <w:rPr>
          <w:rFonts w:ascii="Times New Roman" w:eastAsia="Times New Roman" w:hAnsi="Times New Roman" w:cs="Times New Roman"/>
          <w:sz w:val="28"/>
          <w:szCs w:val="28"/>
        </w:rPr>
        <w:t xml:space="preserve"> que definen y distinguen el medio de control de nulidad electoral. En general ellas pueden sintetizarse en el siguiente cuadro.</w:t>
      </w:r>
    </w:p>
    <w:p w:rsidR="005154C7" w:rsidRPr="004530CF" w:rsidRDefault="004530CF" w:rsidP="004C7B30">
      <w:pPr>
        <w:jc w:val="both"/>
        <w:rPr>
          <w:rStyle w:val="ng-star-inserted"/>
          <w:rFonts w:ascii="Times New Roman" w:hAnsi="Times New Roman" w:cs="Times New Roman"/>
          <w:b/>
          <w:sz w:val="28"/>
          <w:szCs w:val="28"/>
          <w:shd w:val="clear" w:color="auto" w:fill="FFFFFF"/>
        </w:rPr>
      </w:pPr>
    </w:p>
    <w:tbl>
      <w:tblPr>
        <w:tblStyle w:val="Tablaconcuadrcula"/>
        <w:tblW w:w="9067" w:type="dxa"/>
        <w:jc w:val="center"/>
        <w:tblLayout w:type="fixed"/>
        <w:tblLook w:val="04A0" w:firstRow="1" w:lastRow="0" w:firstColumn="1" w:lastColumn="0" w:noHBand="0" w:noVBand="1"/>
      </w:tblPr>
      <w:tblGrid>
        <w:gridCol w:w="2122"/>
        <w:gridCol w:w="6945"/>
      </w:tblGrid>
      <w:tr w:rsidR="005154C7" w:rsidRPr="004530CF" w:rsidTr="008E2A5B">
        <w:trPr>
          <w:jc w:val="center"/>
        </w:trPr>
        <w:tc>
          <w:tcPr>
            <w:tcW w:w="2122" w:type="dxa"/>
            <w:shd w:val="clear" w:color="auto" w:fill="D9D9D9" w:themeFill="background1" w:themeFillShade="D9"/>
            <w:hideMark/>
          </w:tcPr>
          <w:p w:rsidR="005154C7" w:rsidRPr="004530CF" w:rsidRDefault="004530CF" w:rsidP="004C7B30">
            <w:pPr>
              <w:jc w:val="center"/>
              <w:rPr>
                <w:b/>
                <w:color w:val="auto"/>
                <w:sz w:val="28"/>
              </w:rPr>
            </w:pPr>
            <w:r w:rsidRPr="004530CF">
              <w:rPr>
                <w:b/>
                <w:color w:val="auto"/>
                <w:sz w:val="28"/>
              </w:rPr>
              <w:t>Característica</w:t>
            </w:r>
          </w:p>
        </w:tc>
        <w:tc>
          <w:tcPr>
            <w:tcW w:w="6945" w:type="dxa"/>
            <w:shd w:val="clear" w:color="auto" w:fill="D9D9D9" w:themeFill="background1" w:themeFillShade="D9"/>
            <w:hideMark/>
          </w:tcPr>
          <w:p w:rsidR="005154C7" w:rsidRPr="004530CF" w:rsidRDefault="004530CF" w:rsidP="004C7B30">
            <w:pPr>
              <w:jc w:val="center"/>
              <w:rPr>
                <w:b/>
                <w:color w:val="auto"/>
                <w:sz w:val="28"/>
              </w:rPr>
            </w:pPr>
            <w:r w:rsidRPr="004530CF">
              <w:rPr>
                <w:b/>
                <w:color w:val="auto"/>
                <w:sz w:val="28"/>
              </w:rPr>
              <w:t xml:space="preserve">Descripción </w:t>
            </w:r>
          </w:p>
        </w:tc>
      </w:tr>
      <w:tr w:rsidR="005154C7" w:rsidRPr="004530CF" w:rsidTr="008E2A5B">
        <w:trPr>
          <w:jc w:val="center"/>
        </w:trPr>
        <w:tc>
          <w:tcPr>
            <w:tcW w:w="2122" w:type="dxa"/>
            <w:shd w:val="clear" w:color="auto" w:fill="D9D9D9" w:themeFill="background1" w:themeFillShade="D9"/>
            <w:vAlign w:val="center"/>
          </w:tcPr>
          <w:p w:rsidR="005154C7" w:rsidRPr="004530CF" w:rsidRDefault="004530CF" w:rsidP="004C7B30">
            <w:pPr>
              <w:jc w:val="center"/>
              <w:rPr>
                <w:b/>
                <w:bCs/>
                <w:color w:val="auto"/>
                <w:sz w:val="28"/>
              </w:rPr>
            </w:pPr>
            <w:r w:rsidRPr="004530CF">
              <w:rPr>
                <w:b/>
                <w:bCs/>
                <w:color w:val="auto"/>
                <w:sz w:val="28"/>
              </w:rPr>
              <w:t>Acción pública</w:t>
            </w:r>
          </w:p>
        </w:tc>
        <w:tc>
          <w:tcPr>
            <w:tcW w:w="6945" w:type="dxa"/>
          </w:tcPr>
          <w:p w:rsidR="005154C7" w:rsidRPr="004530CF" w:rsidRDefault="004530CF" w:rsidP="004C7B30">
            <w:pPr>
              <w:jc w:val="both"/>
              <w:rPr>
                <w:rStyle w:val="ng-star-inserted"/>
                <w:color w:val="auto"/>
                <w:sz w:val="28"/>
                <w:shd w:val="clear" w:color="auto" w:fill="FFFFFF"/>
              </w:rPr>
            </w:pPr>
            <w:r w:rsidRPr="004530CF">
              <w:rPr>
                <w:color w:val="auto"/>
                <w:sz w:val="28"/>
                <w:shd w:val="clear" w:color="auto" w:fill="FFFFFF"/>
              </w:rPr>
              <w:t xml:space="preserve">Puede ser ejercida por el Ministerio Público o por </w:t>
            </w:r>
            <w:r w:rsidRPr="004530CF">
              <w:rPr>
                <w:bCs/>
                <w:color w:val="auto"/>
                <w:sz w:val="28"/>
                <w:shd w:val="clear" w:color="auto" w:fill="FFFFFF"/>
              </w:rPr>
              <w:t>cualquier ciudadano</w:t>
            </w:r>
            <w:r w:rsidRPr="004530CF">
              <w:rPr>
                <w:rStyle w:val="Refdenotaalpie"/>
                <w:bCs/>
                <w:color w:val="auto"/>
                <w:sz w:val="28"/>
                <w:shd w:val="clear" w:color="auto" w:fill="FFFFFF"/>
              </w:rPr>
              <w:footnoteReference w:id="35"/>
            </w:r>
            <w:r w:rsidRPr="004530CF">
              <w:rPr>
                <w:bCs/>
                <w:color w:val="auto"/>
                <w:sz w:val="28"/>
                <w:shd w:val="clear" w:color="auto" w:fill="FFFFFF"/>
              </w:rPr>
              <w:t xml:space="preserve">. </w:t>
            </w:r>
            <w:r w:rsidRPr="004530CF">
              <w:rPr>
                <w:bCs/>
                <w:color w:val="auto"/>
                <w:sz w:val="28"/>
                <w:shd w:val="clear" w:color="auto" w:fill="FFFFFF"/>
              </w:rPr>
              <w:t>Quien actúa representa el interés general para esclarecer la forma en que se realizó la elección y si esta observó los lineamientos constitucionales y legales</w:t>
            </w:r>
            <w:r w:rsidRPr="004530CF">
              <w:rPr>
                <w:rStyle w:val="Refdenotaalpie"/>
                <w:bCs/>
                <w:color w:val="auto"/>
                <w:sz w:val="28"/>
                <w:shd w:val="clear" w:color="auto" w:fill="FFFFFF"/>
              </w:rPr>
              <w:footnoteReference w:id="36"/>
            </w:r>
            <w:r w:rsidRPr="004530CF">
              <w:rPr>
                <w:bCs/>
                <w:color w:val="auto"/>
                <w:sz w:val="28"/>
                <w:shd w:val="clear" w:color="auto" w:fill="FFFFFF"/>
              </w:rPr>
              <w:t>.</w:t>
            </w:r>
          </w:p>
        </w:tc>
      </w:tr>
      <w:tr w:rsidR="005154C7" w:rsidRPr="004530CF" w:rsidTr="008E2A5B">
        <w:trPr>
          <w:jc w:val="center"/>
        </w:trPr>
        <w:tc>
          <w:tcPr>
            <w:tcW w:w="2122" w:type="dxa"/>
            <w:shd w:val="clear" w:color="auto" w:fill="D9D9D9" w:themeFill="background1" w:themeFillShade="D9"/>
            <w:vAlign w:val="center"/>
          </w:tcPr>
          <w:p w:rsidR="005154C7" w:rsidRPr="004530CF" w:rsidRDefault="004530CF" w:rsidP="004C7B30">
            <w:pPr>
              <w:jc w:val="center"/>
              <w:rPr>
                <w:b/>
                <w:bCs/>
                <w:color w:val="auto"/>
                <w:sz w:val="28"/>
              </w:rPr>
            </w:pPr>
            <w:r w:rsidRPr="004530CF">
              <w:rPr>
                <w:b/>
                <w:bCs/>
                <w:color w:val="auto"/>
                <w:sz w:val="28"/>
              </w:rPr>
              <w:t xml:space="preserve">Juicio </w:t>
            </w:r>
            <w:r w:rsidRPr="004530CF">
              <w:rPr>
                <w:b/>
                <w:bCs/>
                <w:color w:val="auto"/>
                <w:sz w:val="28"/>
              </w:rPr>
              <w:t>o</w:t>
            </w:r>
            <w:r w:rsidRPr="004530CF">
              <w:rPr>
                <w:b/>
                <w:bCs/>
                <w:color w:val="auto"/>
                <w:sz w:val="28"/>
              </w:rPr>
              <w:t>bjetivo</w:t>
            </w:r>
          </w:p>
        </w:tc>
        <w:tc>
          <w:tcPr>
            <w:tcW w:w="6945" w:type="dxa"/>
          </w:tcPr>
          <w:p w:rsidR="005154C7" w:rsidRPr="004530CF" w:rsidRDefault="004530CF" w:rsidP="004C7B30">
            <w:pPr>
              <w:jc w:val="both"/>
              <w:rPr>
                <w:rStyle w:val="ng-star-inserted"/>
                <w:color w:val="auto"/>
                <w:sz w:val="28"/>
                <w:shd w:val="clear" w:color="auto" w:fill="FFFFFF"/>
              </w:rPr>
            </w:pPr>
            <w:r w:rsidRPr="004530CF">
              <w:rPr>
                <w:color w:val="auto"/>
                <w:sz w:val="28"/>
                <w:shd w:val="clear" w:color="auto" w:fill="FFFFFF"/>
              </w:rPr>
              <w:t xml:space="preserve">El juez se limita a </w:t>
            </w:r>
            <w:r w:rsidRPr="004530CF">
              <w:rPr>
                <w:bCs/>
                <w:color w:val="auto"/>
                <w:sz w:val="28"/>
                <w:shd w:val="clear" w:color="auto" w:fill="FFFFFF"/>
              </w:rPr>
              <w:t xml:space="preserve">analizar si el acto de elección o designación se ajusta a </w:t>
            </w:r>
            <w:r w:rsidRPr="004530CF">
              <w:rPr>
                <w:bCs/>
                <w:color w:val="auto"/>
                <w:sz w:val="28"/>
                <w:shd w:val="clear" w:color="auto" w:fill="FFFFFF"/>
              </w:rPr>
              <w:t>la Constitución y la ley</w:t>
            </w:r>
            <w:r w:rsidRPr="004530CF">
              <w:rPr>
                <w:rStyle w:val="Refdenotaalpie"/>
                <w:bCs/>
                <w:color w:val="auto"/>
                <w:sz w:val="28"/>
                <w:shd w:val="clear" w:color="auto" w:fill="FFFFFF"/>
              </w:rPr>
              <w:footnoteReference w:id="37"/>
            </w:r>
            <w:r w:rsidRPr="004530CF">
              <w:rPr>
                <w:bCs/>
                <w:color w:val="auto"/>
                <w:sz w:val="28"/>
                <w:shd w:val="clear" w:color="auto" w:fill="FFFFFF"/>
              </w:rPr>
              <w:t>. No analiza el comportamiento o la conducta del elegido, sino la conformidad del acto frente al ordenamiento jurídico.</w:t>
            </w:r>
          </w:p>
        </w:tc>
      </w:tr>
      <w:tr w:rsidR="005154C7" w:rsidRPr="004530CF" w:rsidTr="008E2A5B">
        <w:trPr>
          <w:jc w:val="center"/>
        </w:trPr>
        <w:tc>
          <w:tcPr>
            <w:tcW w:w="2122" w:type="dxa"/>
            <w:shd w:val="clear" w:color="auto" w:fill="D9D9D9" w:themeFill="background1" w:themeFillShade="D9"/>
            <w:vAlign w:val="center"/>
          </w:tcPr>
          <w:p w:rsidR="005154C7" w:rsidRPr="004530CF" w:rsidRDefault="004530CF" w:rsidP="004C7B30">
            <w:pPr>
              <w:jc w:val="center"/>
              <w:rPr>
                <w:b/>
                <w:bCs/>
                <w:color w:val="auto"/>
                <w:sz w:val="28"/>
              </w:rPr>
            </w:pPr>
            <w:r w:rsidRPr="004530CF">
              <w:rPr>
                <w:b/>
                <w:bCs/>
                <w:color w:val="auto"/>
                <w:sz w:val="28"/>
              </w:rPr>
              <w:t xml:space="preserve">Finalidad </w:t>
            </w:r>
          </w:p>
        </w:tc>
        <w:tc>
          <w:tcPr>
            <w:tcW w:w="6945" w:type="dxa"/>
          </w:tcPr>
          <w:p w:rsidR="005154C7" w:rsidRPr="004530CF" w:rsidRDefault="004530CF" w:rsidP="004C7B30">
            <w:pPr>
              <w:jc w:val="both"/>
              <w:rPr>
                <w:rStyle w:val="ng-star-inserted"/>
                <w:color w:val="auto"/>
                <w:sz w:val="28"/>
                <w:shd w:val="clear" w:color="auto" w:fill="FFFFFF"/>
              </w:rPr>
            </w:pPr>
            <w:r w:rsidRPr="004530CF">
              <w:rPr>
                <w:bCs/>
                <w:color w:val="auto"/>
                <w:sz w:val="28"/>
                <w:shd w:val="clear" w:color="auto" w:fill="FFFFFF"/>
              </w:rPr>
              <w:t>Su propósito consiste en p</w:t>
            </w:r>
            <w:r w:rsidRPr="004530CF">
              <w:rPr>
                <w:bCs/>
                <w:color w:val="auto"/>
                <w:sz w:val="28"/>
                <w:shd w:val="clear" w:color="auto" w:fill="FFFFFF"/>
              </w:rPr>
              <w:t>reservar las condiciones de elección y de elegibilidad</w:t>
            </w:r>
            <w:r w:rsidRPr="004530CF">
              <w:rPr>
                <w:color w:val="auto"/>
                <w:sz w:val="28"/>
                <w:shd w:val="clear" w:color="auto" w:fill="FFFFFF"/>
              </w:rPr>
              <w:t xml:space="preserve"> establecidas en el</w:t>
            </w:r>
            <w:r w:rsidRPr="004530CF">
              <w:rPr>
                <w:color w:val="auto"/>
                <w:sz w:val="28"/>
                <w:shd w:val="clear" w:color="auto" w:fill="FFFFFF"/>
              </w:rPr>
              <w:t xml:space="preserve"> ordenamiento</w:t>
            </w:r>
            <w:r w:rsidRPr="004530CF">
              <w:rPr>
                <w:rStyle w:val="Refdenotaalpie"/>
                <w:color w:val="auto"/>
                <w:sz w:val="28"/>
                <w:shd w:val="clear" w:color="auto" w:fill="FFFFFF"/>
              </w:rPr>
              <w:footnoteReference w:id="38"/>
            </w:r>
            <w:r w:rsidRPr="004530CF">
              <w:rPr>
                <w:color w:val="auto"/>
                <w:sz w:val="28"/>
                <w:shd w:val="clear" w:color="auto" w:fill="FFFFFF"/>
              </w:rPr>
              <w:t>. Busca garantizar la constitucionalidad y legalidad de la función administrativa y la pureza</w:t>
            </w:r>
            <w:r w:rsidRPr="004530CF">
              <w:rPr>
                <w:color w:val="auto"/>
                <w:sz w:val="28"/>
                <w:shd w:val="clear" w:color="auto" w:fill="FFFFFF"/>
              </w:rPr>
              <w:t>/</w:t>
            </w:r>
            <w:r w:rsidRPr="004530CF">
              <w:rPr>
                <w:color w:val="auto"/>
                <w:sz w:val="28"/>
                <w:shd w:val="clear" w:color="auto" w:fill="FFFFFF"/>
              </w:rPr>
              <w:t>eficacia del voto.</w:t>
            </w:r>
          </w:p>
        </w:tc>
      </w:tr>
      <w:tr w:rsidR="005154C7" w:rsidRPr="004530CF" w:rsidTr="008E2A5B">
        <w:trPr>
          <w:jc w:val="center"/>
        </w:trPr>
        <w:tc>
          <w:tcPr>
            <w:tcW w:w="2122" w:type="dxa"/>
            <w:shd w:val="clear" w:color="auto" w:fill="D9D9D9" w:themeFill="background1" w:themeFillShade="D9"/>
            <w:vAlign w:val="center"/>
          </w:tcPr>
          <w:p w:rsidR="005154C7" w:rsidRPr="004530CF" w:rsidRDefault="004530CF" w:rsidP="004C7B30">
            <w:pPr>
              <w:jc w:val="center"/>
              <w:rPr>
                <w:b/>
                <w:bCs/>
                <w:color w:val="auto"/>
                <w:sz w:val="28"/>
              </w:rPr>
            </w:pPr>
            <w:r w:rsidRPr="004530CF">
              <w:rPr>
                <w:b/>
                <w:bCs/>
                <w:color w:val="auto"/>
                <w:sz w:val="28"/>
              </w:rPr>
              <w:t xml:space="preserve">Carácter </w:t>
            </w:r>
            <w:r w:rsidRPr="004530CF">
              <w:rPr>
                <w:b/>
                <w:bCs/>
                <w:color w:val="auto"/>
                <w:sz w:val="28"/>
              </w:rPr>
              <w:t>e</w:t>
            </w:r>
            <w:r w:rsidRPr="004530CF">
              <w:rPr>
                <w:b/>
                <w:bCs/>
                <w:color w:val="auto"/>
                <w:sz w:val="28"/>
              </w:rPr>
              <w:t>special</w:t>
            </w:r>
          </w:p>
        </w:tc>
        <w:tc>
          <w:tcPr>
            <w:tcW w:w="6945" w:type="dxa"/>
          </w:tcPr>
          <w:p w:rsidR="005154C7" w:rsidRPr="004530CF" w:rsidRDefault="004530CF" w:rsidP="004C7B30">
            <w:pPr>
              <w:jc w:val="both"/>
              <w:rPr>
                <w:rStyle w:val="ng-star-inserted"/>
                <w:color w:val="auto"/>
                <w:sz w:val="28"/>
                <w:shd w:val="clear" w:color="auto" w:fill="FFFFFF"/>
              </w:rPr>
            </w:pPr>
            <w:r w:rsidRPr="004530CF">
              <w:rPr>
                <w:color w:val="auto"/>
                <w:sz w:val="28"/>
                <w:shd w:val="clear" w:color="auto" w:fill="FFFFFF"/>
              </w:rPr>
              <w:t>Se tramita a través de un proceso especial</w:t>
            </w:r>
            <w:r w:rsidRPr="004530CF">
              <w:rPr>
                <w:rStyle w:val="Refdenotaalpie"/>
                <w:color w:val="auto"/>
                <w:sz w:val="28"/>
                <w:shd w:val="clear" w:color="auto" w:fill="FFFFFF"/>
              </w:rPr>
              <w:footnoteReference w:id="39"/>
            </w:r>
            <w:r w:rsidRPr="004530CF">
              <w:rPr>
                <w:color w:val="auto"/>
                <w:sz w:val="28"/>
                <w:shd w:val="clear" w:color="auto" w:fill="FFFFFF"/>
              </w:rPr>
              <w:t xml:space="preserve"> y se rige por el principio </w:t>
            </w:r>
            <w:r w:rsidRPr="004530CF">
              <w:rPr>
                <w:i/>
                <w:iCs/>
                <w:color w:val="auto"/>
                <w:sz w:val="28"/>
                <w:shd w:val="clear" w:color="auto" w:fill="FFFFFF"/>
              </w:rPr>
              <w:t>pro actione</w:t>
            </w:r>
            <w:r w:rsidRPr="004530CF">
              <w:rPr>
                <w:color w:val="auto"/>
                <w:sz w:val="28"/>
                <w:shd w:val="clear" w:color="auto" w:fill="FFFFFF"/>
              </w:rPr>
              <w:t xml:space="preserve">, por lo que las normas </w:t>
            </w:r>
            <w:r w:rsidRPr="004530CF">
              <w:rPr>
                <w:color w:val="auto"/>
                <w:sz w:val="28"/>
                <w:shd w:val="clear" w:color="auto" w:fill="FFFFFF"/>
              </w:rPr>
              <w:t>procesales son medios para hacer efectivo el derecho sustancial</w:t>
            </w:r>
            <w:r w:rsidRPr="004530CF">
              <w:rPr>
                <w:rStyle w:val="Refdenotaalpie"/>
                <w:color w:val="auto"/>
                <w:sz w:val="28"/>
                <w:shd w:val="clear" w:color="auto" w:fill="FFFFFF"/>
              </w:rPr>
              <w:footnoteReference w:id="40"/>
            </w:r>
            <w:r w:rsidRPr="004530CF">
              <w:rPr>
                <w:color w:val="auto"/>
                <w:sz w:val="28"/>
                <w:shd w:val="clear" w:color="auto" w:fill="FFFFFF"/>
              </w:rPr>
              <w:t>.</w:t>
            </w:r>
          </w:p>
        </w:tc>
      </w:tr>
      <w:tr w:rsidR="005154C7" w:rsidRPr="004530CF" w:rsidTr="008E2A5B">
        <w:trPr>
          <w:jc w:val="center"/>
        </w:trPr>
        <w:tc>
          <w:tcPr>
            <w:tcW w:w="2122" w:type="dxa"/>
            <w:shd w:val="clear" w:color="auto" w:fill="D9D9D9" w:themeFill="background1" w:themeFillShade="D9"/>
            <w:vAlign w:val="center"/>
          </w:tcPr>
          <w:p w:rsidR="005154C7" w:rsidRPr="004530CF" w:rsidRDefault="004530CF" w:rsidP="004C7B30">
            <w:pPr>
              <w:jc w:val="center"/>
              <w:rPr>
                <w:b/>
                <w:bCs/>
                <w:color w:val="auto"/>
                <w:sz w:val="28"/>
              </w:rPr>
            </w:pPr>
            <w:r w:rsidRPr="004530CF">
              <w:rPr>
                <w:b/>
                <w:bCs/>
                <w:color w:val="auto"/>
                <w:sz w:val="28"/>
              </w:rPr>
              <w:t>Causales</w:t>
            </w:r>
          </w:p>
        </w:tc>
        <w:tc>
          <w:tcPr>
            <w:tcW w:w="6945" w:type="dxa"/>
          </w:tcPr>
          <w:p w:rsidR="005154C7" w:rsidRPr="004530CF" w:rsidRDefault="004530CF" w:rsidP="004C7B30">
            <w:pPr>
              <w:jc w:val="both"/>
              <w:rPr>
                <w:rStyle w:val="ng-star-inserted"/>
                <w:color w:val="auto"/>
                <w:sz w:val="28"/>
                <w:shd w:val="clear" w:color="auto" w:fill="FFFFFF"/>
              </w:rPr>
            </w:pPr>
            <w:r w:rsidRPr="004530CF">
              <w:rPr>
                <w:color w:val="auto"/>
                <w:sz w:val="28"/>
                <w:shd w:val="clear" w:color="auto" w:fill="FFFFFF"/>
              </w:rPr>
              <w:t xml:space="preserve">Se origina en la </w:t>
            </w:r>
            <w:r w:rsidRPr="004530CF">
              <w:rPr>
                <w:bCs/>
                <w:color w:val="auto"/>
                <w:sz w:val="28"/>
                <w:shd w:val="clear" w:color="auto" w:fill="FFFFFF"/>
              </w:rPr>
              <w:t>violación de las normas que regulan los procesos y decisiones electorales, así como en el régimen de inhabilidades e incompatibilidades</w:t>
            </w:r>
            <w:r w:rsidRPr="004530CF">
              <w:rPr>
                <w:rStyle w:val="Refdenotaalpie"/>
                <w:bCs/>
                <w:color w:val="auto"/>
                <w:sz w:val="28"/>
                <w:shd w:val="clear" w:color="auto" w:fill="FFFFFF"/>
              </w:rPr>
              <w:footnoteReference w:id="41"/>
            </w:r>
            <w:r w:rsidRPr="004530CF">
              <w:rPr>
                <w:bCs/>
                <w:color w:val="auto"/>
                <w:sz w:val="28"/>
                <w:shd w:val="clear" w:color="auto" w:fill="FFFFFF"/>
              </w:rPr>
              <w:t xml:space="preserve">. </w:t>
            </w:r>
          </w:p>
        </w:tc>
      </w:tr>
      <w:tr w:rsidR="005154C7" w:rsidRPr="004530CF" w:rsidTr="008E2A5B">
        <w:trPr>
          <w:jc w:val="center"/>
        </w:trPr>
        <w:tc>
          <w:tcPr>
            <w:tcW w:w="2122" w:type="dxa"/>
            <w:shd w:val="clear" w:color="auto" w:fill="D9D9D9" w:themeFill="background1" w:themeFillShade="D9"/>
            <w:vAlign w:val="center"/>
          </w:tcPr>
          <w:p w:rsidR="005154C7" w:rsidRPr="004530CF" w:rsidRDefault="004530CF" w:rsidP="004C7B30">
            <w:pPr>
              <w:jc w:val="center"/>
              <w:rPr>
                <w:b/>
                <w:bCs/>
                <w:color w:val="auto"/>
                <w:sz w:val="28"/>
              </w:rPr>
            </w:pPr>
          </w:p>
          <w:p w:rsidR="005154C7" w:rsidRPr="004530CF" w:rsidRDefault="004530CF" w:rsidP="004C7B30">
            <w:pPr>
              <w:jc w:val="center"/>
              <w:rPr>
                <w:b/>
                <w:bCs/>
                <w:color w:val="auto"/>
                <w:sz w:val="28"/>
              </w:rPr>
            </w:pPr>
            <w:r w:rsidRPr="004530CF">
              <w:rPr>
                <w:b/>
                <w:bCs/>
                <w:color w:val="auto"/>
                <w:sz w:val="28"/>
              </w:rPr>
              <w:t>Efectos</w:t>
            </w:r>
          </w:p>
        </w:tc>
        <w:tc>
          <w:tcPr>
            <w:tcW w:w="6945" w:type="dxa"/>
          </w:tcPr>
          <w:p w:rsidR="005154C7" w:rsidRPr="004530CF" w:rsidRDefault="004530CF" w:rsidP="004C7B30">
            <w:pPr>
              <w:jc w:val="both"/>
              <w:rPr>
                <w:rStyle w:val="ng-star-inserted"/>
                <w:color w:val="auto"/>
                <w:sz w:val="28"/>
                <w:shd w:val="clear" w:color="auto" w:fill="FFFFFF"/>
              </w:rPr>
            </w:pPr>
            <w:r w:rsidRPr="004530CF">
              <w:rPr>
                <w:bCs/>
                <w:color w:val="auto"/>
                <w:sz w:val="28"/>
                <w:shd w:val="clear" w:color="auto" w:fill="FFFFFF"/>
              </w:rPr>
              <w:t xml:space="preserve">Si se declara </w:t>
            </w:r>
            <w:r w:rsidRPr="004530CF">
              <w:rPr>
                <w:bCs/>
                <w:color w:val="auto"/>
                <w:sz w:val="28"/>
                <w:shd w:val="clear" w:color="auto" w:fill="FFFFFF"/>
              </w:rPr>
              <w:t>la nulidad del acto de elección, este pierde cualquier efecto jurídico, y la situación se retrotrae al estado anterior a la elección. Sin embargo, no restringe la posibilidad de aspirar nuevamente a un cargo</w:t>
            </w:r>
            <w:r w:rsidRPr="004530CF">
              <w:rPr>
                <w:rStyle w:val="Refdenotaalpie"/>
                <w:bCs/>
                <w:color w:val="auto"/>
                <w:sz w:val="28"/>
                <w:shd w:val="clear" w:color="auto" w:fill="FFFFFF"/>
              </w:rPr>
              <w:footnoteReference w:id="42"/>
            </w:r>
            <w:r w:rsidRPr="004530CF">
              <w:rPr>
                <w:bCs/>
                <w:color w:val="auto"/>
                <w:sz w:val="28"/>
                <w:shd w:val="clear" w:color="auto" w:fill="FFFFFF"/>
              </w:rPr>
              <w:t>.</w:t>
            </w:r>
          </w:p>
        </w:tc>
      </w:tr>
      <w:tr w:rsidR="005154C7" w:rsidRPr="004530CF" w:rsidTr="008E2A5B">
        <w:trPr>
          <w:jc w:val="center"/>
        </w:trPr>
        <w:tc>
          <w:tcPr>
            <w:tcW w:w="2122" w:type="dxa"/>
            <w:shd w:val="clear" w:color="auto" w:fill="D9D9D9" w:themeFill="background1" w:themeFillShade="D9"/>
            <w:vAlign w:val="center"/>
          </w:tcPr>
          <w:p w:rsidR="005154C7" w:rsidRPr="004530CF" w:rsidRDefault="004530CF" w:rsidP="004C7B30">
            <w:pPr>
              <w:jc w:val="center"/>
              <w:rPr>
                <w:b/>
                <w:bCs/>
                <w:color w:val="auto"/>
                <w:sz w:val="28"/>
              </w:rPr>
            </w:pPr>
            <w:r w:rsidRPr="004530CF">
              <w:rPr>
                <w:b/>
                <w:bCs/>
                <w:color w:val="auto"/>
                <w:sz w:val="28"/>
              </w:rPr>
              <w:t>Trámite célere</w:t>
            </w:r>
          </w:p>
        </w:tc>
        <w:tc>
          <w:tcPr>
            <w:tcW w:w="6945" w:type="dxa"/>
          </w:tcPr>
          <w:p w:rsidR="005154C7" w:rsidRPr="004530CF" w:rsidRDefault="004530CF" w:rsidP="004C7B30">
            <w:pPr>
              <w:jc w:val="both"/>
              <w:rPr>
                <w:rStyle w:val="ng-star-inserted"/>
                <w:color w:val="auto"/>
                <w:sz w:val="28"/>
                <w:shd w:val="clear" w:color="auto" w:fill="FFFFFF"/>
              </w:rPr>
            </w:pPr>
            <w:r w:rsidRPr="004530CF">
              <w:rPr>
                <w:color w:val="auto"/>
                <w:sz w:val="28"/>
                <w:shd w:val="clear" w:color="auto" w:fill="FFFFFF"/>
              </w:rPr>
              <w:t xml:space="preserve">Es un proceso caracterizado </w:t>
            </w:r>
            <w:r w:rsidRPr="004530CF">
              <w:rPr>
                <w:color w:val="auto"/>
                <w:sz w:val="28"/>
                <w:shd w:val="clear" w:color="auto" w:fill="FFFFFF"/>
              </w:rPr>
              <w:t>por la existencia de términos breves para su resolución</w:t>
            </w:r>
            <w:r w:rsidRPr="004530CF">
              <w:rPr>
                <w:rStyle w:val="Refdenotaalpie"/>
                <w:color w:val="auto"/>
                <w:sz w:val="28"/>
                <w:shd w:val="clear" w:color="auto" w:fill="FFFFFF"/>
              </w:rPr>
              <w:footnoteReference w:id="43"/>
            </w:r>
            <w:r w:rsidRPr="004530CF">
              <w:rPr>
                <w:color w:val="auto"/>
                <w:sz w:val="28"/>
                <w:shd w:val="clear" w:color="auto" w:fill="FFFFFF"/>
              </w:rPr>
              <w:t xml:space="preserve">. La jurisdicción </w:t>
            </w:r>
            <w:r w:rsidRPr="004530CF">
              <w:rPr>
                <w:color w:val="auto"/>
                <w:sz w:val="28"/>
                <w:shd w:val="clear" w:color="auto" w:fill="FFFFFF"/>
              </w:rPr>
              <w:t>de lo C</w:t>
            </w:r>
            <w:r w:rsidRPr="004530CF">
              <w:rPr>
                <w:color w:val="auto"/>
                <w:sz w:val="28"/>
                <w:shd w:val="clear" w:color="auto" w:fill="FFFFFF"/>
              </w:rPr>
              <w:t xml:space="preserve">ontencioso </w:t>
            </w:r>
            <w:r w:rsidRPr="004530CF">
              <w:rPr>
                <w:color w:val="auto"/>
                <w:sz w:val="28"/>
                <w:shd w:val="clear" w:color="auto" w:fill="FFFFFF"/>
              </w:rPr>
              <w:t>A</w:t>
            </w:r>
            <w:r w:rsidRPr="004530CF">
              <w:rPr>
                <w:color w:val="auto"/>
                <w:sz w:val="28"/>
                <w:shd w:val="clear" w:color="auto" w:fill="FFFFFF"/>
              </w:rPr>
              <w:t>dministrativ</w:t>
            </w:r>
            <w:r w:rsidRPr="004530CF">
              <w:rPr>
                <w:color w:val="auto"/>
                <w:sz w:val="28"/>
                <w:shd w:val="clear" w:color="auto" w:fill="FFFFFF"/>
              </w:rPr>
              <w:t>o</w:t>
            </w:r>
            <w:r w:rsidRPr="004530CF">
              <w:rPr>
                <w:color w:val="auto"/>
                <w:sz w:val="28"/>
                <w:shd w:val="clear" w:color="auto" w:fill="FFFFFF"/>
              </w:rPr>
              <w:t xml:space="preserve"> debe decidir la nulidad electoral en un término máximo de </w:t>
            </w:r>
            <w:r w:rsidRPr="004530CF">
              <w:rPr>
                <w:bCs/>
                <w:color w:val="auto"/>
                <w:sz w:val="28"/>
                <w:shd w:val="clear" w:color="auto" w:fill="FFFFFF"/>
              </w:rPr>
              <w:t>un año</w:t>
            </w:r>
            <w:r w:rsidRPr="004530CF">
              <w:rPr>
                <w:color w:val="auto"/>
                <w:sz w:val="28"/>
                <w:shd w:val="clear" w:color="auto" w:fill="FFFFFF"/>
              </w:rPr>
              <w:t xml:space="preserve"> (Acto Legislativo 01 de 2003, </w:t>
            </w:r>
            <w:r w:rsidRPr="004530CF">
              <w:rPr>
                <w:color w:val="auto"/>
                <w:sz w:val="28"/>
                <w:shd w:val="clear" w:color="auto" w:fill="FFFFFF"/>
              </w:rPr>
              <w:t>a</w:t>
            </w:r>
            <w:r w:rsidRPr="004530CF">
              <w:rPr>
                <w:color w:val="auto"/>
                <w:sz w:val="28"/>
                <w:shd w:val="clear" w:color="auto" w:fill="FFFFFF"/>
              </w:rPr>
              <w:t xml:space="preserve">rt. 264 CP), y en casos de única instancia, </w:t>
            </w:r>
            <w:r w:rsidRPr="004530CF">
              <w:rPr>
                <w:bCs/>
                <w:color w:val="auto"/>
                <w:sz w:val="28"/>
                <w:shd w:val="clear" w:color="auto" w:fill="FFFFFF"/>
              </w:rPr>
              <w:t xml:space="preserve">no puede </w:t>
            </w:r>
            <w:r w:rsidRPr="004530CF">
              <w:rPr>
                <w:bCs/>
                <w:color w:val="auto"/>
                <w:sz w:val="28"/>
                <w:shd w:val="clear" w:color="auto" w:fill="FFFFFF"/>
              </w:rPr>
              <w:t>exceder los seis (6) meses</w:t>
            </w:r>
            <w:r w:rsidRPr="004530CF">
              <w:rPr>
                <w:rStyle w:val="Refdenotaalpie"/>
                <w:bCs/>
                <w:color w:val="auto"/>
                <w:sz w:val="28"/>
                <w:shd w:val="clear" w:color="auto" w:fill="FFFFFF"/>
              </w:rPr>
              <w:footnoteReference w:id="44"/>
            </w:r>
            <w:r w:rsidRPr="004530CF">
              <w:rPr>
                <w:bCs/>
                <w:color w:val="auto"/>
                <w:sz w:val="28"/>
                <w:shd w:val="clear" w:color="auto" w:fill="FFFFFF"/>
              </w:rPr>
              <w:t>. El incumplimiento no acarrea la pérdida de competencia, pero sí genera responsabilidad disciplinaria para los funcionarios</w:t>
            </w:r>
            <w:r w:rsidRPr="004530CF">
              <w:rPr>
                <w:rStyle w:val="Refdenotaalpie"/>
                <w:bCs/>
                <w:color w:val="auto"/>
                <w:sz w:val="28"/>
                <w:shd w:val="clear" w:color="auto" w:fill="FFFFFF"/>
              </w:rPr>
              <w:footnoteReference w:id="45"/>
            </w:r>
            <w:r w:rsidRPr="004530CF">
              <w:rPr>
                <w:bCs/>
                <w:color w:val="auto"/>
                <w:sz w:val="28"/>
                <w:shd w:val="clear" w:color="auto" w:fill="FFFFFF"/>
              </w:rPr>
              <w:t>.</w:t>
            </w:r>
          </w:p>
        </w:tc>
      </w:tr>
    </w:tbl>
    <w:p w:rsidR="005154C7" w:rsidRPr="004530CF" w:rsidRDefault="004530CF" w:rsidP="004C7B30">
      <w:pPr>
        <w:pStyle w:val="Prrafodelista"/>
        <w:ind w:left="0"/>
        <w:jc w:val="both"/>
        <w:rPr>
          <w:rFonts w:ascii="Times New Roman" w:eastAsia="Times New Roman" w:hAnsi="Times New Roman" w:cs="Times New Roman"/>
          <w:b/>
          <w:sz w:val="28"/>
          <w:szCs w:val="28"/>
          <w:lang w:eastAsia="es-ES"/>
        </w:rPr>
      </w:pPr>
    </w:p>
    <w:p w:rsidR="001D6519" w:rsidRPr="004530CF" w:rsidRDefault="004530CF" w:rsidP="004C7B30">
      <w:pPr>
        <w:pStyle w:val="Prrafodelista"/>
        <w:numPr>
          <w:ilvl w:val="0"/>
          <w:numId w:val="3"/>
        </w:numPr>
        <w:tabs>
          <w:tab w:val="left" w:pos="142"/>
        </w:tabs>
        <w:ind w:left="0" w:firstLine="0"/>
        <w:jc w:val="both"/>
        <w:rPr>
          <w:rFonts w:ascii="Times New Roman" w:eastAsia="Times New Roman" w:hAnsi="Times New Roman" w:cs="Times New Roman"/>
          <w:sz w:val="28"/>
          <w:szCs w:val="28"/>
          <w:lang w:eastAsia="es-ES"/>
        </w:rPr>
      </w:pPr>
      <w:r w:rsidRPr="004530CF">
        <w:rPr>
          <w:rFonts w:ascii="Times New Roman" w:eastAsia="Times New Roman" w:hAnsi="Times New Roman" w:cs="Times New Roman"/>
          <w:sz w:val="28"/>
          <w:szCs w:val="28"/>
          <w:lang w:eastAsia="es-ES"/>
        </w:rPr>
        <w:t>Las anteriores características han sido afirmadas y desarrolladas por el Consejo de Estado en su jur</w:t>
      </w:r>
      <w:r w:rsidRPr="004530CF">
        <w:rPr>
          <w:rFonts w:ascii="Times New Roman" w:eastAsia="Times New Roman" w:hAnsi="Times New Roman" w:cs="Times New Roman"/>
          <w:sz w:val="28"/>
          <w:szCs w:val="28"/>
          <w:lang w:eastAsia="es-ES"/>
        </w:rPr>
        <w:t>isprudencia</w:t>
      </w:r>
      <w:r w:rsidRPr="004530CF">
        <w:rPr>
          <w:rFonts w:ascii="Times New Roman" w:eastAsia="Times New Roman" w:hAnsi="Times New Roman" w:cs="Times New Roman"/>
          <w:sz w:val="28"/>
          <w:szCs w:val="28"/>
          <w:lang w:eastAsia="es-ES"/>
        </w:rPr>
        <w:t xml:space="preserve"> y,</w:t>
      </w:r>
      <w:r w:rsidRPr="004530CF">
        <w:rPr>
          <w:rFonts w:ascii="Times New Roman" w:eastAsia="Times New Roman" w:hAnsi="Times New Roman" w:cs="Times New Roman"/>
          <w:sz w:val="28"/>
          <w:szCs w:val="28"/>
          <w:lang w:eastAsia="es-ES"/>
        </w:rPr>
        <w:t xml:space="preserve"> en particular, por </w:t>
      </w:r>
      <w:r w:rsidRPr="004530CF">
        <w:rPr>
          <w:rFonts w:ascii="Times New Roman" w:eastAsia="Times New Roman" w:hAnsi="Times New Roman" w:cs="Times New Roman"/>
          <w:sz w:val="28"/>
          <w:szCs w:val="28"/>
          <w:lang w:eastAsia="es-ES"/>
        </w:rPr>
        <w:t>la</w:t>
      </w:r>
      <w:r w:rsidRPr="004530CF">
        <w:rPr>
          <w:rFonts w:ascii="Times New Roman" w:eastAsia="Times New Roman" w:hAnsi="Times New Roman" w:cs="Times New Roman"/>
          <w:sz w:val="28"/>
          <w:szCs w:val="28"/>
          <w:lang w:eastAsia="es-ES"/>
        </w:rPr>
        <w:t xml:space="preserve"> Sección Quinta. </w:t>
      </w:r>
      <w:r w:rsidRPr="004530CF">
        <w:rPr>
          <w:rFonts w:ascii="Times New Roman" w:eastAsia="Times New Roman" w:hAnsi="Times New Roman" w:cs="Times New Roman"/>
          <w:sz w:val="28"/>
          <w:szCs w:val="28"/>
          <w:lang w:eastAsia="es-ES"/>
        </w:rPr>
        <w:t>Dicha</w:t>
      </w:r>
      <w:r w:rsidRPr="004530CF">
        <w:rPr>
          <w:rFonts w:ascii="Times New Roman" w:eastAsia="Times New Roman" w:hAnsi="Times New Roman" w:cs="Times New Roman"/>
          <w:sz w:val="28"/>
          <w:szCs w:val="28"/>
          <w:lang w:eastAsia="es-ES"/>
        </w:rPr>
        <w:t xml:space="preserve"> Corporación ha precisado que (i) la nulidad electoral es un juicio de carácter eminentemente objetivo, en el que el juez se limita a contrastar el acto de elección o nombramiento con el ordenamiento jurídico, sin examinar la conducta, el comportamiento o </w:t>
      </w:r>
      <w:r w:rsidRPr="004530CF">
        <w:rPr>
          <w:rFonts w:ascii="Times New Roman" w:eastAsia="Times New Roman" w:hAnsi="Times New Roman" w:cs="Times New Roman"/>
          <w:sz w:val="28"/>
          <w:szCs w:val="28"/>
          <w:lang w:eastAsia="es-ES"/>
        </w:rPr>
        <w:t xml:space="preserve">la culpabilidad del elegido; (ii) su finalidad consiste en proteger la legalidad del acto y en privilegiar el interés colectivo en la </w:t>
      </w:r>
      <w:r w:rsidRPr="004530CF">
        <w:rPr>
          <w:rFonts w:ascii="Times New Roman" w:eastAsia="Times New Roman" w:hAnsi="Times New Roman" w:cs="Times New Roman"/>
          <w:sz w:val="28"/>
          <w:szCs w:val="28"/>
          <w:lang w:eastAsia="es-ES"/>
        </w:rPr>
        <w:t>regularidad</w:t>
      </w:r>
      <w:r w:rsidRPr="004530CF">
        <w:rPr>
          <w:rFonts w:ascii="Times New Roman" w:eastAsia="Times New Roman" w:hAnsi="Times New Roman" w:cs="Times New Roman"/>
          <w:sz w:val="28"/>
          <w:szCs w:val="28"/>
          <w:lang w:eastAsia="es-ES"/>
        </w:rPr>
        <w:t xml:space="preserve"> del proceso democrático, prevalente frente al derecho subjetivo del servidor a permanecer en el cargo; y (iii)</w:t>
      </w:r>
      <w:r w:rsidRPr="004530CF">
        <w:rPr>
          <w:rFonts w:ascii="Times New Roman" w:eastAsia="Times New Roman" w:hAnsi="Times New Roman" w:cs="Times New Roman"/>
          <w:sz w:val="28"/>
          <w:szCs w:val="28"/>
          <w:lang w:eastAsia="es-ES"/>
        </w:rPr>
        <w:t xml:space="preserve"> </w:t>
      </w:r>
      <w:r w:rsidRPr="004530CF">
        <w:rPr>
          <w:rFonts w:ascii="Times New Roman" w:eastAsia="Times New Roman" w:hAnsi="Times New Roman" w:cs="Times New Roman"/>
          <w:sz w:val="28"/>
          <w:szCs w:val="28"/>
          <w:lang w:eastAsia="es-ES"/>
        </w:rPr>
        <w:t>en la ausencia de un</w:t>
      </w:r>
      <w:r w:rsidRPr="004530CF">
        <w:rPr>
          <w:rFonts w:ascii="Times New Roman" w:eastAsia="Times New Roman" w:hAnsi="Times New Roman" w:cs="Times New Roman"/>
          <w:sz w:val="28"/>
          <w:szCs w:val="28"/>
          <w:lang w:eastAsia="es-ES"/>
        </w:rPr>
        <w:t xml:space="preserve"> carácter sancionatorio, en tanto no impone una pena ni un reproche personal al elegido, sino que se limita a retirar del ordenamiento un acto contrario a la Constitución o a la ley</w:t>
      </w:r>
      <w:r w:rsidRPr="004530CF">
        <w:rPr>
          <w:rStyle w:val="Refdenotaalpie"/>
          <w:rFonts w:ascii="Times New Roman" w:eastAsia="Times New Roman" w:hAnsi="Times New Roman" w:cs="Times New Roman"/>
          <w:sz w:val="28"/>
          <w:szCs w:val="24"/>
          <w:lang w:eastAsia="es-ES"/>
        </w:rPr>
        <w:footnoteReference w:id="46"/>
      </w:r>
      <w:r w:rsidRPr="004530CF">
        <w:rPr>
          <w:rFonts w:ascii="Times New Roman" w:eastAsia="Times New Roman" w:hAnsi="Times New Roman" w:cs="Times New Roman"/>
          <w:sz w:val="28"/>
          <w:szCs w:val="28"/>
          <w:lang w:eastAsia="es-ES"/>
        </w:rPr>
        <w:t xml:space="preserve">. </w:t>
      </w:r>
    </w:p>
    <w:p w:rsidR="008A3189" w:rsidRPr="004530CF" w:rsidRDefault="004530CF" w:rsidP="004C7B30">
      <w:pPr>
        <w:pStyle w:val="Prrafodelista"/>
        <w:tabs>
          <w:tab w:val="left" w:pos="142"/>
        </w:tabs>
        <w:ind w:left="0"/>
        <w:rPr>
          <w:rFonts w:ascii="Times New Roman" w:eastAsia="Times New Roman" w:hAnsi="Times New Roman" w:cs="Times New Roman"/>
          <w:sz w:val="28"/>
          <w:szCs w:val="28"/>
          <w:lang w:eastAsia="es-ES"/>
        </w:rPr>
      </w:pPr>
    </w:p>
    <w:p w:rsidR="005154C7" w:rsidRPr="004530CF" w:rsidRDefault="004530CF" w:rsidP="004C7B30">
      <w:pPr>
        <w:pStyle w:val="Prrafodelista"/>
        <w:numPr>
          <w:ilvl w:val="0"/>
          <w:numId w:val="3"/>
        </w:numPr>
        <w:tabs>
          <w:tab w:val="left" w:pos="142"/>
        </w:tabs>
        <w:ind w:left="0" w:firstLine="0"/>
        <w:jc w:val="both"/>
        <w:rPr>
          <w:rFonts w:ascii="Times New Roman" w:eastAsia="Times New Roman" w:hAnsi="Times New Roman" w:cs="Times New Roman"/>
          <w:sz w:val="28"/>
          <w:szCs w:val="28"/>
          <w:lang w:eastAsia="es-ES"/>
        </w:rPr>
      </w:pPr>
      <w:r w:rsidRPr="004530CF">
        <w:rPr>
          <w:rFonts w:ascii="Times New Roman" w:eastAsia="Times New Roman" w:hAnsi="Times New Roman" w:cs="Times New Roman"/>
          <w:sz w:val="28"/>
          <w:szCs w:val="28"/>
          <w:lang w:eastAsia="es-ES"/>
        </w:rPr>
        <w:t>Como se dijo, e</w:t>
      </w:r>
      <w:r w:rsidRPr="004530CF">
        <w:rPr>
          <w:rFonts w:ascii="Times New Roman" w:eastAsia="Times New Roman" w:hAnsi="Times New Roman" w:cs="Times New Roman"/>
          <w:sz w:val="28"/>
          <w:szCs w:val="28"/>
          <w:lang w:eastAsia="es-ES"/>
        </w:rPr>
        <w:t>ste proceso no se enfoca en el rep</w:t>
      </w:r>
      <w:r w:rsidRPr="004530CF">
        <w:rPr>
          <w:rFonts w:ascii="Times New Roman" w:eastAsia="Times New Roman" w:hAnsi="Times New Roman" w:cs="Times New Roman"/>
          <w:sz w:val="28"/>
          <w:szCs w:val="28"/>
          <w:lang w:eastAsia="es-ES"/>
        </w:rPr>
        <w:t>roche ético ni en la culpabilidad del elegido</w:t>
      </w:r>
      <w:r w:rsidRPr="004530CF">
        <w:rPr>
          <w:rFonts w:ascii="Times New Roman" w:eastAsia="Times New Roman" w:hAnsi="Times New Roman" w:cs="Times New Roman"/>
          <w:sz w:val="28"/>
          <w:szCs w:val="28"/>
          <w:lang w:eastAsia="es-ES"/>
        </w:rPr>
        <w:t xml:space="preserve">, elementos que son propios y esenciales de la acción de pérdida de investidura. En efecto, mientras </w:t>
      </w:r>
      <w:r w:rsidRPr="004530CF">
        <w:rPr>
          <w:rFonts w:ascii="Times New Roman" w:eastAsia="Times New Roman" w:hAnsi="Times New Roman" w:cs="Times New Roman"/>
          <w:sz w:val="28"/>
          <w:szCs w:val="28"/>
          <w:lang w:eastAsia="es-ES"/>
        </w:rPr>
        <w:t>esta última</w:t>
      </w:r>
      <w:r w:rsidRPr="004530CF">
        <w:rPr>
          <w:rFonts w:ascii="Times New Roman" w:eastAsia="Times New Roman" w:hAnsi="Times New Roman" w:cs="Times New Roman"/>
          <w:sz w:val="28"/>
          <w:szCs w:val="28"/>
          <w:lang w:eastAsia="es-ES"/>
        </w:rPr>
        <w:t xml:space="preserve"> exige demostrar la configuración de una conducta reprochable atribuible al elegido, mediante el an</w:t>
      </w:r>
      <w:r w:rsidRPr="004530CF">
        <w:rPr>
          <w:rFonts w:ascii="Times New Roman" w:eastAsia="Times New Roman" w:hAnsi="Times New Roman" w:cs="Times New Roman"/>
          <w:sz w:val="28"/>
          <w:szCs w:val="28"/>
          <w:lang w:eastAsia="es-ES"/>
        </w:rPr>
        <w:t>álisis del elemento subjetivo de culpabilidad, la nulidad electoral se limita a constatar de forma objetiva si el acto de elección contravino el ordenamiento jurídico</w:t>
      </w:r>
      <w:r w:rsidRPr="004530CF">
        <w:rPr>
          <w:rStyle w:val="Refdenotaalpie"/>
          <w:rFonts w:ascii="Times New Roman" w:eastAsia="Times New Roman" w:hAnsi="Times New Roman" w:cs="Times New Roman"/>
          <w:sz w:val="28"/>
          <w:szCs w:val="28"/>
          <w:lang w:eastAsia="es-ES"/>
        </w:rPr>
        <w:footnoteReference w:id="47"/>
      </w:r>
      <w:r w:rsidRPr="004530CF">
        <w:rPr>
          <w:rFonts w:ascii="Times New Roman" w:eastAsia="Times New Roman" w:hAnsi="Times New Roman" w:cs="Times New Roman"/>
          <w:sz w:val="28"/>
          <w:szCs w:val="28"/>
          <w:lang w:eastAsia="es-ES"/>
        </w:rPr>
        <w:t>.</w:t>
      </w:r>
    </w:p>
    <w:p w:rsidR="00667B84" w:rsidRPr="004530CF" w:rsidRDefault="004530CF" w:rsidP="004C7B30">
      <w:pPr>
        <w:pStyle w:val="Prrafodelista"/>
        <w:tabs>
          <w:tab w:val="left" w:pos="142"/>
        </w:tabs>
        <w:ind w:left="0"/>
        <w:jc w:val="both"/>
        <w:rPr>
          <w:rFonts w:ascii="Times New Roman" w:hAnsi="Times New Roman" w:cs="Times New Roman"/>
          <w:sz w:val="28"/>
          <w:szCs w:val="28"/>
        </w:rPr>
      </w:pPr>
    </w:p>
    <w:p w:rsidR="005154C7" w:rsidRPr="004530CF" w:rsidRDefault="004530CF" w:rsidP="004C7B30">
      <w:pPr>
        <w:pStyle w:val="Prrafodelista"/>
        <w:numPr>
          <w:ilvl w:val="0"/>
          <w:numId w:val="3"/>
        </w:numPr>
        <w:tabs>
          <w:tab w:val="left" w:pos="142"/>
        </w:tabs>
        <w:ind w:left="0" w:firstLine="0"/>
        <w:jc w:val="both"/>
        <w:rPr>
          <w:rFonts w:ascii="Times New Roman" w:hAnsi="Times New Roman" w:cs="Times New Roman"/>
          <w:sz w:val="28"/>
          <w:szCs w:val="28"/>
        </w:rPr>
      </w:pPr>
      <w:r w:rsidRPr="004530CF">
        <w:rPr>
          <w:rFonts w:ascii="Times New Roman" w:eastAsia="Times New Roman" w:hAnsi="Times New Roman" w:cs="Times New Roman"/>
          <w:sz w:val="28"/>
          <w:szCs w:val="28"/>
          <w:lang w:eastAsia="es-ES"/>
        </w:rPr>
        <w:t xml:space="preserve">Esta diferencia se refleja también en las consecuencias jurídicas que se siguen de la </w:t>
      </w:r>
      <w:r w:rsidRPr="004530CF">
        <w:rPr>
          <w:rFonts w:ascii="Times New Roman" w:eastAsia="Times New Roman" w:hAnsi="Times New Roman" w:cs="Times New Roman"/>
          <w:sz w:val="28"/>
          <w:szCs w:val="28"/>
          <w:lang w:eastAsia="es-ES"/>
        </w:rPr>
        <w:t>declaratoria de nulidad electoral</w:t>
      </w:r>
      <w:r w:rsidRPr="004530CF">
        <w:rPr>
          <w:rFonts w:ascii="Times New Roman" w:eastAsia="Times New Roman" w:hAnsi="Times New Roman" w:cs="Times New Roman"/>
          <w:sz w:val="28"/>
          <w:szCs w:val="28"/>
          <w:lang w:eastAsia="es-ES"/>
        </w:rPr>
        <w:t>,</w:t>
      </w:r>
      <w:r w:rsidRPr="004530CF">
        <w:rPr>
          <w:rFonts w:ascii="Times New Roman" w:eastAsia="Times New Roman" w:hAnsi="Times New Roman" w:cs="Times New Roman"/>
          <w:sz w:val="28"/>
          <w:szCs w:val="28"/>
          <w:lang w:eastAsia="es-ES"/>
        </w:rPr>
        <w:t xml:space="preserve"> puesto que esta se contrae a dejar sin efectos el acto de elección, pero no impide que la persona se postule nuevamente</w:t>
      </w:r>
      <w:r w:rsidRPr="004530CF">
        <w:rPr>
          <w:rStyle w:val="Refdenotaalpie"/>
          <w:rFonts w:ascii="Times New Roman" w:eastAsia="Times New Roman" w:hAnsi="Times New Roman" w:cs="Times New Roman"/>
          <w:sz w:val="28"/>
          <w:szCs w:val="28"/>
          <w:lang w:eastAsia="es-ES"/>
        </w:rPr>
        <w:footnoteReference w:id="48"/>
      </w:r>
      <w:r w:rsidRPr="004530CF">
        <w:rPr>
          <w:rFonts w:ascii="Times New Roman" w:eastAsia="Times New Roman" w:hAnsi="Times New Roman" w:cs="Times New Roman"/>
          <w:sz w:val="28"/>
          <w:szCs w:val="28"/>
          <w:lang w:eastAsia="es-ES"/>
        </w:rPr>
        <w:t>. Ello contrasta con los efectos de la pérdida de investidura cuyo decreto origina la inhabilidad del</w:t>
      </w:r>
      <w:r w:rsidRPr="004530CF">
        <w:rPr>
          <w:rFonts w:ascii="Times New Roman" w:eastAsia="Times New Roman" w:hAnsi="Times New Roman" w:cs="Times New Roman"/>
          <w:sz w:val="28"/>
          <w:szCs w:val="28"/>
          <w:lang w:eastAsia="es-ES"/>
        </w:rPr>
        <w:t xml:space="preserve"> servidor para ser elegido popularmente a cargos públicos en el futuro</w:t>
      </w:r>
      <w:r w:rsidRPr="004530CF">
        <w:rPr>
          <w:rStyle w:val="Refdenotaalpie"/>
          <w:rFonts w:ascii="Times New Roman" w:eastAsia="Times New Roman" w:hAnsi="Times New Roman" w:cs="Times New Roman"/>
          <w:sz w:val="28"/>
          <w:szCs w:val="28"/>
          <w:lang w:eastAsia="es-ES"/>
        </w:rPr>
        <w:footnoteReference w:id="49"/>
      </w:r>
      <w:r w:rsidRPr="004530CF">
        <w:rPr>
          <w:rFonts w:ascii="Times New Roman" w:eastAsia="Times New Roman" w:hAnsi="Times New Roman" w:cs="Times New Roman"/>
          <w:sz w:val="28"/>
          <w:szCs w:val="28"/>
          <w:lang w:eastAsia="es-ES"/>
        </w:rPr>
        <w:t xml:space="preserve">. </w:t>
      </w:r>
      <w:r w:rsidRPr="004530CF">
        <w:rPr>
          <w:rFonts w:ascii="Times New Roman" w:eastAsia="Times New Roman" w:hAnsi="Times New Roman" w:cs="Times New Roman"/>
          <w:sz w:val="28"/>
          <w:szCs w:val="28"/>
          <w:lang w:eastAsia="es-ES"/>
        </w:rPr>
        <w:t>La nulidad electoral n</w:t>
      </w:r>
      <w:r w:rsidRPr="004530CF">
        <w:rPr>
          <w:rFonts w:ascii="Times New Roman" w:eastAsia="Times New Roman" w:hAnsi="Times New Roman" w:cs="Times New Roman"/>
          <w:sz w:val="28"/>
          <w:szCs w:val="28"/>
          <w:lang w:eastAsia="es-ES"/>
        </w:rPr>
        <w:t xml:space="preserve">o tiene como finalidad castigar al elegido, sino preservar la legalidad del proceso democrático y retirar del ordenamiento un acto inválido. </w:t>
      </w:r>
    </w:p>
    <w:p w:rsidR="005154C7" w:rsidRPr="004530CF" w:rsidRDefault="004530CF" w:rsidP="004C7B30">
      <w:pPr>
        <w:pStyle w:val="Prrafodelista"/>
        <w:tabs>
          <w:tab w:val="left" w:pos="142"/>
        </w:tabs>
        <w:ind w:left="0"/>
        <w:jc w:val="both"/>
        <w:rPr>
          <w:rFonts w:ascii="Times New Roman" w:eastAsia="Times New Roman" w:hAnsi="Times New Roman" w:cs="Times New Roman"/>
          <w:sz w:val="28"/>
          <w:szCs w:val="28"/>
          <w:lang w:eastAsia="es-ES"/>
        </w:rPr>
      </w:pPr>
    </w:p>
    <w:p w:rsidR="005154C7" w:rsidRPr="004530CF" w:rsidRDefault="004530CF" w:rsidP="004C7B30">
      <w:pPr>
        <w:pStyle w:val="Prrafodelista"/>
        <w:numPr>
          <w:ilvl w:val="0"/>
          <w:numId w:val="3"/>
        </w:numPr>
        <w:tabs>
          <w:tab w:val="left" w:pos="142"/>
          <w:tab w:val="left" w:pos="709"/>
        </w:tabs>
        <w:ind w:left="0" w:firstLine="0"/>
        <w:jc w:val="both"/>
        <w:rPr>
          <w:rFonts w:ascii="Times New Roman" w:eastAsia="Times New Roman" w:hAnsi="Times New Roman" w:cs="Times New Roman"/>
          <w:sz w:val="28"/>
          <w:szCs w:val="28"/>
          <w:lang w:eastAsia="es-ES"/>
        </w:rPr>
      </w:pPr>
      <w:r w:rsidRPr="004530CF">
        <w:rPr>
          <w:rFonts w:ascii="Times New Roman" w:eastAsia="Times New Roman" w:hAnsi="Times New Roman" w:cs="Times New Roman"/>
          <w:sz w:val="28"/>
          <w:szCs w:val="28"/>
          <w:lang w:eastAsia="es-ES"/>
        </w:rPr>
        <w:t xml:space="preserve">Conforme </w:t>
      </w:r>
      <w:r w:rsidRPr="004530CF">
        <w:rPr>
          <w:rFonts w:ascii="Times New Roman" w:eastAsia="Times New Roman" w:hAnsi="Times New Roman" w:cs="Times New Roman"/>
          <w:sz w:val="28"/>
          <w:szCs w:val="28"/>
          <w:lang w:eastAsia="es-ES"/>
        </w:rPr>
        <w:t>con</w:t>
      </w:r>
      <w:r w:rsidRPr="004530CF">
        <w:rPr>
          <w:rFonts w:ascii="Times New Roman" w:eastAsia="Times New Roman" w:hAnsi="Times New Roman" w:cs="Times New Roman"/>
          <w:sz w:val="28"/>
          <w:szCs w:val="28"/>
          <w:lang w:eastAsia="es-ES"/>
        </w:rPr>
        <w:t xml:space="preserve"> lo ex</w:t>
      </w:r>
      <w:r w:rsidRPr="004530CF">
        <w:rPr>
          <w:rFonts w:ascii="Times New Roman" w:eastAsia="Times New Roman" w:hAnsi="Times New Roman" w:cs="Times New Roman"/>
          <w:sz w:val="28"/>
          <w:szCs w:val="28"/>
          <w:lang w:eastAsia="es-ES"/>
        </w:rPr>
        <w:t xml:space="preserve">puesto, </w:t>
      </w:r>
      <w:r w:rsidRPr="004530CF">
        <w:rPr>
          <w:rFonts w:ascii="Times New Roman" w:eastAsia="Times New Roman" w:hAnsi="Times New Roman" w:cs="Times New Roman"/>
          <w:sz w:val="28"/>
          <w:szCs w:val="28"/>
          <w:lang w:eastAsia="es-ES"/>
        </w:rPr>
        <w:t>y para los efectos del análisis aquí emprendido, la nulidad electoral</w:t>
      </w:r>
      <w:r w:rsidRPr="004530CF">
        <w:rPr>
          <w:rFonts w:ascii="Times New Roman" w:eastAsia="Times New Roman" w:hAnsi="Times New Roman" w:cs="Times New Roman"/>
          <w:sz w:val="28"/>
          <w:szCs w:val="28"/>
          <w:lang w:eastAsia="es-ES"/>
        </w:rPr>
        <w:t xml:space="preserve"> no </w:t>
      </w:r>
      <w:r w:rsidRPr="004530CF">
        <w:rPr>
          <w:rFonts w:ascii="Times New Roman" w:eastAsia="Times New Roman" w:hAnsi="Times New Roman" w:cs="Times New Roman"/>
          <w:sz w:val="28"/>
          <w:szCs w:val="28"/>
          <w:lang w:eastAsia="es-ES"/>
        </w:rPr>
        <w:t>se inscribe en</w:t>
      </w:r>
      <w:r w:rsidRPr="004530CF">
        <w:rPr>
          <w:rFonts w:ascii="Times New Roman" w:eastAsia="Times New Roman" w:hAnsi="Times New Roman" w:cs="Times New Roman"/>
          <w:sz w:val="28"/>
          <w:szCs w:val="28"/>
          <w:lang w:eastAsia="es-ES"/>
        </w:rPr>
        <w:t xml:space="preserve"> el ámbito propio </w:t>
      </w:r>
      <w:r w:rsidRPr="004530CF">
        <w:rPr>
          <w:rFonts w:ascii="Times New Roman" w:eastAsia="Times New Roman" w:hAnsi="Times New Roman" w:cs="Times New Roman"/>
          <w:sz w:val="28"/>
          <w:szCs w:val="28"/>
          <w:lang w:eastAsia="es-ES"/>
        </w:rPr>
        <w:t>del derecho sancionador</w:t>
      </w:r>
      <w:r w:rsidRPr="004530CF">
        <w:rPr>
          <w:rFonts w:ascii="Times New Roman" w:eastAsia="Times New Roman" w:hAnsi="Times New Roman" w:cs="Times New Roman"/>
          <w:sz w:val="28"/>
          <w:szCs w:val="28"/>
          <w:lang w:eastAsia="es-ES"/>
        </w:rPr>
        <w:t xml:space="preserve"> y, en consecuencia, no</w:t>
      </w:r>
      <w:r w:rsidRPr="004530CF">
        <w:rPr>
          <w:rFonts w:ascii="Times New Roman" w:eastAsia="Times New Roman" w:hAnsi="Times New Roman" w:cs="Times New Roman"/>
          <w:sz w:val="28"/>
          <w:szCs w:val="28"/>
          <w:lang w:eastAsia="es-ES"/>
        </w:rPr>
        <w:t xml:space="preserve"> impone</w:t>
      </w:r>
      <w:r w:rsidRPr="004530CF">
        <w:rPr>
          <w:rFonts w:ascii="Times New Roman" w:eastAsia="Times New Roman" w:hAnsi="Times New Roman" w:cs="Times New Roman"/>
          <w:sz w:val="28"/>
          <w:szCs w:val="28"/>
          <w:lang w:eastAsia="es-ES"/>
        </w:rPr>
        <w:t xml:space="preserve"> </w:t>
      </w:r>
      <w:r w:rsidRPr="004530CF">
        <w:rPr>
          <w:rFonts w:ascii="Times New Roman" w:eastAsia="Times New Roman" w:hAnsi="Times New Roman" w:cs="Times New Roman"/>
          <w:sz w:val="28"/>
          <w:szCs w:val="28"/>
          <w:lang w:eastAsia="es-ES"/>
        </w:rPr>
        <w:t>–</w:t>
      </w:r>
      <w:r w:rsidRPr="004530CF">
        <w:rPr>
          <w:rFonts w:ascii="Times New Roman" w:eastAsia="Times New Roman" w:hAnsi="Times New Roman" w:cs="Times New Roman"/>
          <w:sz w:val="28"/>
          <w:szCs w:val="28"/>
          <w:lang w:eastAsia="es-ES"/>
        </w:rPr>
        <w:t xml:space="preserve">al menos </w:t>
      </w:r>
      <w:r w:rsidRPr="004530CF">
        <w:rPr>
          <w:rFonts w:ascii="Times New Roman" w:eastAsia="Times New Roman" w:hAnsi="Times New Roman" w:cs="Times New Roman"/>
          <w:i/>
          <w:sz w:val="28"/>
          <w:szCs w:val="28"/>
          <w:lang w:eastAsia="es-ES"/>
        </w:rPr>
        <w:t>prima facie</w:t>
      </w:r>
      <w:r w:rsidRPr="004530CF">
        <w:rPr>
          <w:rFonts w:ascii="Times New Roman" w:eastAsia="Times New Roman" w:hAnsi="Times New Roman" w:cs="Times New Roman"/>
          <w:sz w:val="28"/>
          <w:szCs w:val="28"/>
          <w:lang w:eastAsia="es-ES"/>
        </w:rPr>
        <w:t>–</w:t>
      </w:r>
      <w:r w:rsidRPr="004530CF">
        <w:rPr>
          <w:rFonts w:ascii="Times New Roman" w:eastAsia="Times New Roman" w:hAnsi="Times New Roman" w:cs="Times New Roman"/>
          <w:sz w:val="28"/>
          <w:szCs w:val="28"/>
          <w:lang w:eastAsia="es-ES"/>
        </w:rPr>
        <w:t xml:space="preserve"> </w:t>
      </w:r>
      <w:r w:rsidRPr="004530CF">
        <w:rPr>
          <w:rFonts w:ascii="Times New Roman" w:eastAsia="Times New Roman" w:hAnsi="Times New Roman" w:cs="Times New Roman"/>
          <w:sz w:val="28"/>
          <w:szCs w:val="28"/>
          <w:lang w:eastAsia="es-ES"/>
        </w:rPr>
        <w:t xml:space="preserve">el reconocimiento de garantías o instrumentos procesales de impugnación equivalentes a aquellos que, </w:t>
      </w:r>
      <w:r w:rsidRPr="004530CF">
        <w:rPr>
          <w:rFonts w:ascii="Times New Roman" w:eastAsia="Times New Roman" w:hAnsi="Times New Roman" w:cs="Times New Roman"/>
          <w:sz w:val="28"/>
          <w:szCs w:val="28"/>
          <w:lang w:eastAsia="es-ES"/>
        </w:rPr>
        <w:t>de ordinario</w:t>
      </w:r>
      <w:r w:rsidRPr="004530CF">
        <w:rPr>
          <w:rFonts w:ascii="Times New Roman" w:eastAsia="Times New Roman" w:hAnsi="Times New Roman" w:cs="Times New Roman"/>
          <w:sz w:val="28"/>
          <w:szCs w:val="28"/>
          <w:lang w:eastAsia="es-ES"/>
        </w:rPr>
        <w:t xml:space="preserve">, se </w:t>
      </w:r>
      <w:r w:rsidRPr="004530CF">
        <w:rPr>
          <w:rFonts w:ascii="Times New Roman" w:eastAsia="Times New Roman" w:hAnsi="Times New Roman" w:cs="Times New Roman"/>
          <w:sz w:val="28"/>
          <w:szCs w:val="28"/>
          <w:lang w:eastAsia="es-ES"/>
        </w:rPr>
        <w:t>prevén</w:t>
      </w:r>
      <w:r w:rsidRPr="004530CF">
        <w:rPr>
          <w:rFonts w:ascii="Times New Roman" w:eastAsia="Times New Roman" w:hAnsi="Times New Roman" w:cs="Times New Roman"/>
          <w:sz w:val="28"/>
          <w:szCs w:val="28"/>
          <w:lang w:eastAsia="es-ES"/>
        </w:rPr>
        <w:t xml:space="preserve"> </w:t>
      </w:r>
      <w:r w:rsidRPr="004530CF">
        <w:rPr>
          <w:rFonts w:ascii="Times New Roman" w:eastAsia="Times New Roman" w:hAnsi="Times New Roman" w:cs="Times New Roman"/>
          <w:sz w:val="28"/>
          <w:szCs w:val="28"/>
          <w:lang w:eastAsia="es-ES"/>
        </w:rPr>
        <w:t xml:space="preserve">en </w:t>
      </w:r>
      <w:r w:rsidRPr="004530CF">
        <w:rPr>
          <w:rFonts w:ascii="Times New Roman" w:eastAsia="Times New Roman" w:hAnsi="Times New Roman" w:cs="Times New Roman"/>
          <w:sz w:val="28"/>
          <w:szCs w:val="28"/>
          <w:lang w:eastAsia="es-ES"/>
        </w:rPr>
        <w:t>los procesos sancionatorios.</w:t>
      </w:r>
      <w:r w:rsidRPr="004530CF">
        <w:rPr>
          <w:rFonts w:ascii="Times New Roman" w:eastAsia="Times New Roman" w:hAnsi="Times New Roman" w:cs="Times New Roman"/>
          <w:sz w:val="28"/>
          <w:szCs w:val="28"/>
          <w:lang w:eastAsia="es-ES"/>
        </w:rPr>
        <w:t xml:space="preserve"> Esta postura ha sido </w:t>
      </w:r>
      <w:r w:rsidRPr="004530CF">
        <w:rPr>
          <w:rFonts w:ascii="Times New Roman" w:eastAsia="Times New Roman" w:hAnsi="Times New Roman" w:cs="Times New Roman"/>
          <w:sz w:val="28"/>
          <w:szCs w:val="28"/>
          <w:lang w:eastAsia="es-ES"/>
        </w:rPr>
        <w:t>asumida</w:t>
      </w:r>
      <w:r w:rsidRPr="004530CF">
        <w:rPr>
          <w:rFonts w:ascii="Times New Roman" w:eastAsia="Times New Roman" w:hAnsi="Times New Roman" w:cs="Times New Roman"/>
          <w:sz w:val="28"/>
          <w:szCs w:val="28"/>
          <w:lang w:eastAsia="es-ES"/>
        </w:rPr>
        <w:t xml:space="preserve"> expresamente por la Sala Plena al indicar que, en contraste con la nul</w:t>
      </w:r>
      <w:r w:rsidRPr="004530CF">
        <w:rPr>
          <w:rFonts w:ascii="Times New Roman" w:eastAsia="Times New Roman" w:hAnsi="Times New Roman" w:cs="Times New Roman"/>
          <w:sz w:val="28"/>
          <w:szCs w:val="28"/>
          <w:lang w:eastAsia="es-ES"/>
        </w:rPr>
        <w:t>idad electoral, “[</w:t>
      </w:r>
      <w:r w:rsidRPr="004530CF">
        <w:rPr>
          <w:rFonts w:ascii="Times New Roman" w:hAnsi="Times New Roman" w:cs="Times New Roman"/>
          <w:sz w:val="28"/>
          <w:szCs w:val="28"/>
          <w:shd w:val="clear" w:color="auto" w:fill="FFFFFF"/>
        </w:rPr>
        <w:t>l]</w:t>
      </w:r>
      <w:r w:rsidRPr="004530CF">
        <w:rPr>
          <w:rFonts w:ascii="Times New Roman" w:hAnsi="Times New Roman" w:cs="Times New Roman"/>
          <w:i/>
          <w:sz w:val="28"/>
          <w:szCs w:val="28"/>
          <w:shd w:val="clear" w:color="auto" w:fill="FFFFFF"/>
        </w:rPr>
        <w:t>a pérdida de la investidura, en cambio, es un proceso de carácter sancionatorio</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50"/>
      </w:r>
      <w:r w:rsidRPr="004530CF">
        <w:rPr>
          <w:rFonts w:ascii="Times New Roman" w:hAnsi="Times New Roman" w:cs="Times New Roman"/>
          <w:sz w:val="28"/>
          <w:szCs w:val="28"/>
          <w:shd w:val="clear" w:color="auto" w:fill="FFFFFF"/>
        </w:rPr>
        <w:t>. En este último caso</w:t>
      </w:r>
      <w:r w:rsidRPr="004530CF">
        <w:rPr>
          <w:rFonts w:ascii="Times New Roman" w:hAnsi="Times New Roman" w:cs="Times New Roman"/>
          <w:sz w:val="28"/>
          <w:szCs w:val="28"/>
          <w:shd w:val="clear" w:color="auto" w:fill="FFFFFF"/>
        </w:rPr>
        <w:t>,</w:t>
      </w:r>
      <w:r w:rsidRPr="004530CF">
        <w:rPr>
          <w:rFonts w:ascii="Times New Roman" w:hAnsi="Times New Roman" w:cs="Times New Roman"/>
          <w:sz w:val="28"/>
          <w:szCs w:val="28"/>
          <w:shd w:val="clear" w:color="auto" w:fill="FFFFFF"/>
        </w:rPr>
        <w:t xml:space="preserve"> “</w:t>
      </w:r>
      <w:r w:rsidRPr="004530CF">
        <w:rPr>
          <w:rFonts w:ascii="Times New Roman" w:hAnsi="Times New Roman" w:cs="Times New Roman"/>
          <w:i/>
          <w:sz w:val="28"/>
          <w:szCs w:val="28"/>
          <w:shd w:val="clear" w:color="auto" w:fill="FFFFFF"/>
        </w:rPr>
        <w:t>el juez está obligado a confrontar la conducta del demandado con las causales de pérdida de investidura alegadas por la parte actor</w:t>
      </w:r>
      <w:r w:rsidRPr="004530CF">
        <w:rPr>
          <w:rFonts w:ascii="Times New Roman" w:hAnsi="Times New Roman" w:cs="Times New Roman"/>
          <w:i/>
          <w:sz w:val="28"/>
          <w:szCs w:val="28"/>
          <w:shd w:val="clear" w:color="auto" w:fill="FFFFFF"/>
        </w:rPr>
        <w:t>a, de manera que</w:t>
      </w:r>
      <w:r w:rsidRPr="004530CF">
        <w:rPr>
          <w:rFonts w:ascii="Times New Roman" w:hAnsi="Times New Roman" w:cs="Times New Roman"/>
          <w:i/>
          <w:sz w:val="28"/>
          <w:szCs w:val="28"/>
          <w:shd w:val="clear" w:color="auto" w:fill="FFFFFF"/>
        </w:rPr>
        <w:t>,</w:t>
      </w:r>
      <w:r w:rsidRPr="004530CF">
        <w:rPr>
          <w:rFonts w:ascii="Times New Roman" w:hAnsi="Times New Roman" w:cs="Times New Roman"/>
          <w:i/>
          <w:sz w:val="28"/>
          <w:szCs w:val="28"/>
          <w:shd w:val="clear" w:color="auto" w:fill="FFFFFF"/>
        </w:rPr>
        <w:t xml:space="preserve"> si se comprueba su configuración, le corresponde imponer la sanción respectiva, que no es otra que la de decretar la pérdida de investidura del congresista</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51"/>
      </w:r>
      <w:r w:rsidRPr="004530CF">
        <w:rPr>
          <w:rFonts w:ascii="Times New Roman" w:hAnsi="Times New Roman" w:cs="Times New Roman"/>
          <w:sz w:val="28"/>
          <w:szCs w:val="28"/>
          <w:shd w:val="clear" w:color="auto" w:fill="FFFFFF"/>
        </w:rPr>
        <w:t>. En esa dirección</w:t>
      </w:r>
      <w:r w:rsidRPr="004530CF">
        <w:rPr>
          <w:rFonts w:ascii="Times New Roman" w:hAnsi="Times New Roman" w:cs="Times New Roman"/>
          <w:sz w:val="28"/>
          <w:szCs w:val="28"/>
          <w:shd w:val="clear" w:color="auto" w:fill="FFFFFF"/>
        </w:rPr>
        <w:t>,</w:t>
      </w:r>
      <w:r w:rsidRPr="004530CF">
        <w:rPr>
          <w:rFonts w:ascii="Times New Roman" w:hAnsi="Times New Roman" w:cs="Times New Roman"/>
          <w:sz w:val="28"/>
          <w:szCs w:val="28"/>
          <w:shd w:val="clear" w:color="auto" w:fill="FFFFFF"/>
        </w:rPr>
        <w:t xml:space="preserve"> “</w:t>
      </w:r>
      <w:r w:rsidRPr="004530CF">
        <w:rPr>
          <w:rFonts w:ascii="Times New Roman" w:hAnsi="Times New Roman" w:cs="Times New Roman"/>
          <w:i/>
          <w:sz w:val="28"/>
          <w:szCs w:val="28"/>
          <w:shd w:val="clear" w:color="auto" w:fill="FFFFFF"/>
        </w:rPr>
        <w:t>la </w:t>
      </w:r>
      <w:r w:rsidRPr="004530CF">
        <w:rPr>
          <w:rFonts w:ascii="Times New Roman" w:hAnsi="Times New Roman" w:cs="Times New Roman"/>
          <w:i/>
          <w:iCs/>
          <w:sz w:val="28"/>
          <w:szCs w:val="28"/>
          <w:shd w:val="clear" w:color="auto" w:fill="FFFFFF"/>
        </w:rPr>
        <w:t>naturaleza</w:t>
      </w:r>
      <w:r w:rsidRPr="004530CF">
        <w:rPr>
          <w:rFonts w:ascii="Times New Roman" w:hAnsi="Times New Roman" w:cs="Times New Roman"/>
          <w:i/>
          <w:sz w:val="28"/>
          <w:szCs w:val="28"/>
          <w:shd w:val="clear" w:color="auto" w:fill="FFFFFF"/>
        </w:rPr>
        <w:t xml:space="preserve"> del juicio que debe adelantar el juez de la </w:t>
      </w:r>
      <w:r w:rsidRPr="004530CF">
        <w:rPr>
          <w:rFonts w:ascii="Times New Roman" w:hAnsi="Times New Roman" w:cs="Times New Roman"/>
          <w:i/>
          <w:sz w:val="28"/>
          <w:szCs w:val="28"/>
          <w:shd w:val="clear" w:color="auto" w:fill="FFFFFF"/>
        </w:rPr>
        <w:t>pérdida de investidura, a diferencia de lo que ocurre en el proceso de nulidad electoral, es de tipo </w:t>
      </w:r>
      <w:r w:rsidRPr="004530CF">
        <w:rPr>
          <w:rFonts w:ascii="Times New Roman" w:hAnsi="Times New Roman" w:cs="Times New Roman"/>
          <w:i/>
          <w:iCs/>
          <w:sz w:val="28"/>
          <w:szCs w:val="28"/>
          <w:shd w:val="clear" w:color="auto" w:fill="FFFFFF"/>
        </w:rPr>
        <w:t>subjetivo, </w:t>
      </w:r>
      <w:r w:rsidRPr="004530CF">
        <w:rPr>
          <w:rFonts w:ascii="Times New Roman" w:hAnsi="Times New Roman" w:cs="Times New Roman"/>
          <w:i/>
          <w:sz w:val="28"/>
          <w:szCs w:val="28"/>
          <w:shd w:val="clear" w:color="auto" w:fill="FFFFFF"/>
        </w:rPr>
        <w:t>pues implica realizar un reproche ético sobre la conducta del elegido y su grado de responsabilidad en el resultado de dicha conducta, lo que, a</w:t>
      </w:r>
      <w:r w:rsidRPr="004530CF">
        <w:rPr>
          <w:rFonts w:ascii="Times New Roman" w:hAnsi="Times New Roman" w:cs="Times New Roman"/>
          <w:i/>
          <w:sz w:val="28"/>
          <w:szCs w:val="28"/>
          <w:shd w:val="clear" w:color="auto" w:fill="FFFFFF"/>
        </w:rPr>
        <w:t xml:space="preserve"> su turno, hace que necesariamente deba examinar el elemento de la culpabilidad</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52"/>
      </w:r>
      <w:r w:rsidRPr="004530CF">
        <w:rPr>
          <w:rFonts w:ascii="Times New Roman" w:hAnsi="Times New Roman" w:cs="Times New Roman"/>
          <w:sz w:val="28"/>
          <w:szCs w:val="28"/>
          <w:shd w:val="clear" w:color="auto" w:fill="FFFFFF"/>
        </w:rPr>
        <w:t>. Dicho examen, ha concluido la Sala, “</w:t>
      </w:r>
      <w:r w:rsidRPr="004530CF">
        <w:rPr>
          <w:rFonts w:ascii="Times New Roman" w:hAnsi="Times New Roman" w:cs="Times New Roman"/>
          <w:i/>
          <w:sz w:val="28"/>
          <w:szCs w:val="28"/>
          <w:shd w:val="clear" w:color="auto" w:fill="FFFFFF"/>
        </w:rPr>
        <w:t>es ajeno a la naturaleza del proceso de nulidad electoral que, como ya se dijo, es de naturaleza objetiva</w:t>
      </w:r>
      <w:r w:rsidRPr="004530CF">
        <w:rPr>
          <w:rFonts w:ascii="Times New Roman" w:hAnsi="Times New Roman" w:cs="Times New Roman"/>
          <w:sz w:val="28"/>
          <w:szCs w:val="28"/>
          <w:shd w:val="clear" w:color="auto" w:fill="FFFFFF"/>
        </w:rPr>
        <w:t>”</w:t>
      </w:r>
      <w:r w:rsidRPr="004530CF">
        <w:rPr>
          <w:rStyle w:val="Refdenotaalpie"/>
          <w:rFonts w:ascii="Times New Roman" w:hAnsi="Times New Roman" w:cs="Times New Roman"/>
          <w:sz w:val="28"/>
          <w:szCs w:val="28"/>
          <w:shd w:val="clear" w:color="auto" w:fill="FFFFFF"/>
        </w:rPr>
        <w:footnoteReference w:id="53"/>
      </w:r>
      <w:r w:rsidRPr="004530CF">
        <w:rPr>
          <w:rFonts w:ascii="Times New Roman" w:hAnsi="Times New Roman" w:cs="Times New Roman"/>
          <w:sz w:val="28"/>
          <w:szCs w:val="28"/>
          <w:shd w:val="clear" w:color="auto" w:fill="FFFFFF"/>
        </w:rPr>
        <w:t>.</w:t>
      </w:r>
    </w:p>
    <w:p w:rsidR="005154C7" w:rsidRPr="004530CF" w:rsidRDefault="004530CF" w:rsidP="004C7B30">
      <w:pPr>
        <w:pStyle w:val="Prrafodelista"/>
        <w:tabs>
          <w:tab w:val="left" w:pos="142"/>
          <w:tab w:val="left" w:pos="709"/>
        </w:tabs>
        <w:ind w:left="0"/>
        <w:jc w:val="both"/>
        <w:rPr>
          <w:rFonts w:ascii="Times New Roman" w:eastAsia="Times New Roman" w:hAnsi="Times New Roman" w:cs="Times New Roman"/>
          <w:sz w:val="28"/>
          <w:szCs w:val="28"/>
          <w:lang w:eastAsia="es-ES"/>
        </w:rPr>
      </w:pPr>
    </w:p>
    <w:p w:rsidR="005154C7" w:rsidRPr="004530CF" w:rsidRDefault="004530CF" w:rsidP="004C7B30">
      <w:pPr>
        <w:pStyle w:val="Prrafodelista"/>
        <w:numPr>
          <w:ilvl w:val="0"/>
          <w:numId w:val="3"/>
        </w:numPr>
        <w:tabs>
          <w:tab w:val="left" w:pos="142"/>
          <w:tab w:val="left" w:pos="709"/>
        </w:tabs>
        <w:ind w:left="0" w:firstLine="0"/>
        <w:jc w:val="both"/>
        <w:rPr>
          <w:rFonts w:ascii="Times New Roman" w:eastAsia="Times New Roman" w:hAnsi="Times New Roman" w:cs="Times New Roman"/>
          <w:sz w:val="28"/>
          <w:szCs w:val="28"/>
          <w:lang w:eastAsia="es-ES"/>
        </w:rPr>
      </w:pPr>
      <w:r w:rsidRPr="004530CF">
        <w:rPr>
          <w:rFonts w:ascii="Times New Roman" w:eastAsia="Times New Roman" w:hAnsi="Times New Roman" w:cs="Times New Roman"/>
          <w:sz w:val="28"/>
          <w:szCs w:val="28"/>
          <w:lang w:eastAsia="es-ES"/>
        </w:rPr>
        <w:t>En síntesis, la Sala reite</w:t>
      </w:r>
      <w:r w:rsidRPr="004530CF">
        <w:rPr>
          <w:rFonts w:ascii="Times New Roman" w:eastAsia="Times New Roman" w:hAnsi="Times New Roman" w:cs="Times New Roman"/>
          <w:sz w:val="28"/>
          <w:szCs w:val="28"/>
          <w:lang w:eastAsia="es-ES"/>
        </w:rPr>
        <w:t>ra que la nulidad electoral se configura como un medio de control público y especial</w:t>
      </w:r>
      <w:r w:rsidRPr="004530CF">
        <w:rPr>
          <w:rFonts w:ascii="Times New Roman" w:eastAsia="Times New Roman" w:hAnsi="Times New Roman" w:cs="Times New Roman"/>
          <w:sz w:val="28"/>
          <w:szCs w:val="28"/>
          <w:lang w:eastAsia="es-ES"/>
        </w:rPr>
        <w:t>,</w:t>
      </w:r>
      <w:r w:rsidRPr="004530CF">
        <w:rPr>
          <w:rFonts w:ascii="Times New Roman" w:eastAsia="Times New Roman" w:hAnsi="Times New Roman" w:cs="Times New Roman"/>
          <w:sz w:val="28"/>
          <w:szCs w:val="28"/>
          <w:lang w:eastAsia="es-ES"/>
        </w:rPr>
        <w:t xml:space="preserve"> que tiene</w:t>
      </w:r>
      <w:r w:rsidRPr="004530CF">
        <w:rPr>
          <w:rFonts w:ascii="Times New Roman" w:eastAsia="Times New Roman" w:hAnsi="Times New Roman" w:cs="Times New Roman"/>
          <w:sz w:val="28"/>
          <w:szCs w:val="28"/>
          <w:lang w:eastAsia="es-ES"/>
        </w:rPr>
        <w:t xml:space="preserve"> como fin</w:t>
      </w:r>
      <w:r w:rsidRPr="004530CF">
        <w:rPr>
          <w:rFonts w:ascii="Times New Roman" w:eastAsia="Times New Roman" w:hAnsi="Times New Roman" w:cs="Times New Roman"/>
          <w:sz w:val="28"/>
          <w:szCs w:val="28"/>
          <w:lang w:eastAsia="es-ES"/>
        </w:rPr>
        <w:t xml:space="preserve"> exclusivo el examen objetivo de la validez del acto de elección o nombramiento frente a la Constitución y la ley, sin que en su ámbito tenga cabida val</w:t>
      </w:r>
      <w:r w:rsidRPr="004530CF">
        <w:rPr>
          <w:rFonts w:ascii="Times New Roman" w:eastAsia="Times New Roman" w:hAnsi="Times New Roman" w:cs="Times New Roman"/>
          <w:sz w:val="28"/>
          <w:szCs w:val="28"/>
          <w:lang w:eastAsia="es-ES"/>
        </w:rPr>
        <w:t>oración alguna sobre la conducta o culpabilidad del elegido. Su finalidad se contrae a preservar la</w:t>
      </w:r>
      <w:r w:rsidRPr="004530CF">
        <w:rPr>
          <w:rFonts w:ascii="Times New Roman" w:eastAsia="Times New Roman" w:hAnsi="Times New Roman" w:cs="Times New Roman"/>
          <w:sz w:val="28"/>
          <w:szCs w:val="28"/>
          <w:lang w:eastAsia="es-ES"/>
        </w:rPr>
        <w:t xml:space="preserve"> regularidad</w:t>
      </w:r>
      <w:r w:rsidRPr="004530CF">
        <w:rPr>
          <w:rFonts w:ascii="Times New Roman" w:eastAsia="Times New Roman" w:hAnsi="Times New Roman" w:cs="Times New Roman"/>
          <w:sz w:val="28"/>
          <w:szCs w:val="28"/>
          <w:lang w:eastAsia="es-ES"/>
        </w:rPr>
        <w:t xml:space="preserve"> del proceso democrático y a retirar del ordenamiento los actos contrarios al </w:t>
      </w:r>
      <w:r w:rsidRPr="004530CF">
        <w:rPr>
          <w:rFonts w:ascii="Times New Roman" w:eastAsia="Times New Roman" w:hAnsi="Times New Roman" w:cs="Times New Roman"/>
          <w:sz w:val="28"/>
          <w:szCs w:val="28"/>
          <w:lang w:eastAsia="es-ES"/>
        </w:rPr>
        <w:t>D</w:t>
      </w:r>
      <w:r w:rsidRPr="004530CF">
        <w:rPr>
          <w:rFonts w:ascii="Times New Roman" w:eastAsia="Times New Roman" w:hAnsi="Times New Roman" w:cs="Times New Roman"/>
          <w:sz w:val="28"/>
          <w:szCs w:val="28"/>
          <w:lang w:eastAsia="es-ES"/>
        </w:rPr>
        <w:t xml:space="preserve">erecho, de modo que no comporta una consecuencia sancionatoria ni </w:t>
      </w:r>
      <w:r w:rsidRPr="004530CF">
        <w:rPr>
          <w:rFonts w:ascii="Times New Roman" w:eastAsia="Times New Roman" w:hAnsi="Times New Roman" w:cs="Times New Roman"/>
          <w:sz w:val="28"/>
          <w:szCs w:val="28"/>
          <w:lang w:eastAsia="es-ES"/>
        </w:rPr>
        <w:t>la imposición de inhabilidades.</w:t>
      </w:r>
    </w:p>
    <w:p w:rsidR="005154C7" w:rsidRPr="004530CF" w:rsidRDefault="004530CF" w:rsidP="004C7B30">
      <w:pPr>
        <w:pStyle w:val="Prrafodelista"/>
        <w:ind w:left="0"/>
        <w:jc w:val="both"/>
        <w:rPr>
          <w:rFonts w:ascii="Times New Roman" w:eastAsia="Times New Roman" w:hAnsi="Times New Roman" w:cs="Times New Roman"/>
          <w:sz w:val="28"/>
          <w:szCs w:val="28"/>
          <w:lang w:eastAsia="es-ES"/>
        </w:rPr>
      </w:pPr>
    </w:p>
    <w:p w:rsidR="005154C7" w:rsidRPr="004530CF" w:rsidRDefault="004530CF" w:rsidP="004C7B30">
      <w:pPr>
        <w:pStyle w:val="Ttulo2"/>
        <w:numPr>
          <w:ilvl w:val="1"/>
          <w:numId w:val="1"/>
        </w:numPr>
        <w:spacing w:before="0"/>
        <w:ind w:left="1276" w:hanging="567"/>
        <w:jc w:val="both"/>
        <w:rPr>
          <w:rFonts w:ascii="Times New Roman" w:hAnsi="Times New Roman" w:cs="Times New Roman"/>
          <w:color w:val="auto"/>
        </w:rPr>
      </w:pPr>
      <w:r w:rsidRPr="004530CF">
        <w:rPr>
          <w:rFonts w:ascii="Times New Roman" w:hAnsi="Times New Roman" w:cs="Times New Roman"/>
          <w:color w:val="auto"/>
        </w:rPr>
        <w:t xml:space="preserve">La disposición demandada no desconoce el derecho a la igualdad en el acceso a la administración de justicia </w:t>
      </w:r>
    </w:p>
    <w:p w:rsidR="005154C7" w:rsidRPr="004530CF" w:rsidRDefault="004530CF" w:rsidP="004C7B30">
      <w:pPr>
        <w:rPr>
          <w:rFonts w:ascii="Times New Roman" w:eastAsia="Cambria" w:hAnsi="Times New Roman" w:cs="Times New Roman"/>
          <w:sz w:val="28"/>
        </w:rPr>
      </w:pPr>
    </w:p>
    <w:p w:rsidR="00B42C1C" w:rsidRPr="004530CF" w:rsidRDefault="004530CF" w:rsidP="004C7B30">
      <w:pPr>
        <w:pStyle w:val="Numerales"/>
        <w:numPr>
          <w:ilvl w:val="0"/>
          <w:numId w:val="3"/>
        </w:numPr>
        <w:ind w:left="0" w:firstLine="0"/>
        <w:rPr>
          <w:rFonts w:ascii="Times New Roman" w:hAnsi="Times New Roman" w:cs="Times New Roman"/>
          <w:bCs/>
        </w:rPr>
      </w:pPr>
      <w:r w:rsidRPr="004530CF">
        <w:rPr>
          <w:rFonts w:ascii="Times New Roman" w:hAnsi="Times New Roman" w:cs="Times New Roman"/>
          <w:bCs/>
        </w:rPr>
        <w:t>Para establecer si la disposición demandada es contraria al mandato de trato igual</w:t>
      </w:r>
      <w:r w:rsidRPr="004530CF">
        <w:rPr>
          <w:rFonts w:ascii="Times New Roman" w:hAnsi="Times New Roman" w:cs="Times New Roman"/>
          <w:bCs/>
        </w:rPr>
        <w:t>,</w:t>
      </w:r>
      <w:r w:rsidRPr="004530CF">
        <w:rPr>
          <w:rFonts w:ascii="Times New Roman" w:hAnsi="Times New Roman" w:cs="Times New Roman"/>
          <w:bCs/>
        </w:rPr>
        <w:t xml:space="preserve"> según lo ha propuesto el dema</w:t>
      </w:r>
      <w:r w:rsidRPr="004530CF">
        <w:rPr>
          <w:rFonts w:ascii="Times New Roman" w:hAnsi="Times New Roman" w:cs="Times New Roman"/>
          <w:bCs/>
        </w:rPr>
        <w:t>ndante, la Sala Plena</w:t>
      </w:r>
      <w:r w:rsidRPr="004530CF">
        <w:rPr>
          <w:rFonts w:ascii="Times New Roman" w:hAnsi="Times New Roman" w:cs="Times New Roman"/>
          <w:bCs/>
        </w:rPr>
        <w:t xml:space="preserve"> referirá brevemente su precedente</w:t>
      </w:r>
      <w:r w:rsidRPr="004530CF">
        <w:rPr>
          <w:rFonts w:ascii="Times New Roman" w:hAnsi="Times New Roman" w:cs="Times New Roman"/>
          <w:bCs/>
        </w:rPr>
        <w:t xml:space="preserve"> sobre </w:t>
      </w:r>
      <w:r w:rsidRPr="004530CF">
        <w:rPr>
          <w:rFonts w:ascii="Times New Roman" w:hAnsi="Times New Roman" w:cs="Times New Roman"/>
          <w:bCs/>
        </w:rPr>
        <w:t>el derecho a la igualdad y, en particular, las etapas que requieren adelantarse para determinar si una medida legislativa</w:t>
      </w:r>
      <w:r w:rsidRPr="004530CF">
        <w:rPr>
          <w:rFonts w:ascii="Times New Roman" w:hAnsi="Times New Roman" w:cs="Times New Roman"/>
          <w:bCs/>
        </w:rPr>
        <w:t xml:space="preserve"> lo vulnera</w:t>
      </w:r>
      <w:r w:rsidRPr="004530CF">
        <w:rPr>
          <w:rFonts w:ascii="Times New Roman" w:hAnsi="Times New Roman" w:cs="Times New Roman"/>
          <w:bCs/>
        </w:rPr>
        <w:t>. Luego de ello establecerá si, en este caso, el artículo 149.</w:t>
      </w:r>
      <w:r w:rsidRPr="004530CF">
        <w:rPr>
          <w:rFonts w:ascii="Times New Roman" w:hAnsi="Times New Roman" w:cs="Times New Roman"/>
          <w:bCs/>
        </w:rPr>
        <w:t xml:space="preserve">3, parcialmente acusado, </w:t>
      </w:r>
      <w:r w:rsidRPr="004530CF">
        <w:rPr>
          <w:rFonts w:ascii="Times New Roman" w:hAnsi="Times New Roman" w:cs="Times New Roman"/>
          <w:bCs/>
        </w:rPr>
        <w:t xml:space="preserve">infringe </w:t>
      </w:r>
      <w:r w:rsidRPr="004530CF">
        <w:rPr>
          <w:rFonts w:ascii="Times New Roman" w:hAnsi="Times New Roman" w:cs="Times New Roman"/>
          <w:bCs/>
        </w:rPr>
        <w:t>la igualdad en el acceso a la administración de justicia</w:t>
      </w:r>
      <w:r w:rsidRPr="004530CF">
        <w:rPr>
          <w:rFonts w:ascii="Times New Roman" w:hAnsi="Times New Roman" w:cs="Times New Roman"/>
          <w:bCs/>
        </w:rPr>
        <w:t xml:space="preserve"> debido a la existencia de un trato diverso.</w:t>
      </w:r>
      <w:r w:rsidRPr="004530CF">
        <w:rPr>
          <w:rFonts w:ascii="Times New Roman" w:hAnsi="Times New Roman" w:cs="Times New Roman"/>
          <w:bCs/>
        </w:rPr>
        <w:t xml:space="preserve"> </w:t>
      </w:r>
      <w:r w:rsidRPr="004530CF">
        <w:rPr>
          <w:rFonts w:ascii="Times New Roman" w:hAnsi="Times New Roman" w:cs="Times New Roman"/>
          <w:bCs/>
        </w:rPr>
        <w:t xml:space="preserve">  </w:t>
      </w:r>
    </w:p>
    <w:p w:rsidR="00B42C1C" w:rsidRPr="004530CF" w:rsidRDefault="004530CF" w:rsidP="004C7B30">
      <w:pPr>
        <w:pStyle w:val="Numerales"/>
        <w:ind w:left="0" w:firstLine="0"/>
        <w:rPr>
          <w:rFonts w:ascii="Times New Roman" w:hAnsi="Times New Roman" w:cs="Times New Roman"/>
          <w:bCs/>
        </w:rPr>
      </w:pPr>
    </w:p>
    <w:p w:rsidR="005154C7" w:rsidRPr="004530CF" w:rsidRDefault="004530CF" w:rsidP="004C7B30">
      <w:pPr>
        <w:pStyle w:val="Numerales"/>
        <w:numPr>
          <w:ilvl w:val="0"/>
          <w:numId w:val="3"/>
        </w:numPr>
        <w:ind w:left="0" w:firstLine="0"/>
        <w:rPr>
          <w:rFonts w:ascii="Times New Roman" w:hAnsi="Times New Roman" w:cs="Times New Roman"/>
          <w:bCs/>
        </w:rPr>
      </w:pPr>
      <w:r w:rsidRPr="004530CF">
        <w:rPr>
          <w:rFonts w:ascii="Times New Roman" w:hAnsi="Times New Roman" w:cs="Times New Roman"/>
          <w:b/>
          <w:bCs/>
        </w:rPr>
        <w:t>La Constitución de 1991 estableció como uno de los componentes medulares de la actuación del Estado el deber de respe</w:t>
      </w:r>
      <w:r w:rsidRPr="004530CF">
        <w:rPr>
          <w:rFonts w:ascii="Times New Roman" w:hAnsi="Times New Roman" w:cs="Times New Roman"/>
          <w:b/>
          <w:bCs/>
        </w:rPr>
        <w:t>tar y proteger el mandato de igualdad.</w:t>
      </w:r>
      <w:r w:rsidRPr="004530CF">
        <w:rPr>
          <w:rFonts w:ascii="Times New Roman" w:hAnsi="Times New Roman" w:cs="Times New Roman"/>
          <w:bCs/>
        </w:rPr>
        <w:t xml:space="preserve"> Se trata de un</w:t>
      </w:r>
      <w:r w:rsidRPr="004530CF">
        <w:rPr>
          <w:rFonts w:ascii="Times New Roman" w:hAnsi="Times New Roman" w:cs="Times New Roman"/>
          <w:bCs/>
        </w:rPr>
        <w:t xml:space="preserve"> componente esencial de la C</w:t>
      </w:r>
      <w:r w:rsidRPr="004530CF">
        <w:rPr>
          <w:rFonts w:ascii="Times New Roman" w:hAnsi="Times New Roman" w:cs="Times New Roman"/>
          <w:bCs/>
        </w:rPr>
        <w:t>arta</w:t>
      </w:r>
      <w:r w:rsidRPr="004530CF">
        <w:rPr>
          <w:rFonts w:ascii="Times New Roman" w:hAnsi="Times New Roman" w:cs="Times New Roman"/>
          <w:bCs/>
        </w:rPr>
        <w:t xml:space="preserve"> de 1991</w:t>
      </w:r>
      <w:r w:rsidRPr="004530CF">
        <w:rPr>
          <w:rFonts w:ascii="Times New Roman" w:hAnsi="Times New Roman" w:cs="Times New Roman"/>
          <w:bCs/>
        </w:rPr>
        <w:t xml:space="preserve"> </w:t>
      </w:r>
      <w:r w:rsidRPr="004530CF">
        <w:rPr>
          <w:rFonts w:ascii="Times New Roman" w:hAnsi="Times New Roman" w:cs="Times New Roman"/>
          <w:bCs/>
        </w:rPr>
        <w:t>y</w:t>
      </w:r>
      <w:r w:rsidRPr="004530CF">
        <w:rPr>
          <w:rFonts w:ascii="Times New Roman" w:hAnsi="Times New Roman" w:cs="Times New Roman"/>
          <w:bCs/>
        </w:rPr>
        <w:t xml:space="preserve"> cumple</w:t>
      </w:r>
      <w:r w:rsidRPr="004530CF">
        <w:rPr>
          <w:rFonts w:ascii="Times New Roman" w:hAnsi="Times New Roman" w:cs="Times New Roman"/>
          <w:bCs/>
        </w:rPr>
        <w:t>, entre muchas otras, dos</w:t>
      </w:r>
      <w:r w:rsidRPr="004530CF">
        <w:rPr>
          <w:rFonts w:ascii="Times New Roman" w:hAnsi="Times New Roman" w:cs="Times New Roman"/>
          <w:bCs/>
        </w:rPr>
        <w:t xml:space="preserve"> funciones de</w:t>
      </w:r>
      <w:r w:rsidRPr="004530CF">
        <w:rPr>
          <w:rFonts w:ascii="Times New Roman" w:hAnsi="Times New Roman" w:cs="Times New Roman"/>
          <w:bCs/>
        </w:rPr>
        <w:t xml:space="preserve"> gran importancia</w:t>
      </w:r>
      <w:r w:rsidRPr="004530CF">
        <w:rPr>
          <w:rFonts w:ascii="Times New Roman" w:hAnsi="Times New Roman" w:cs="Times New Roman"/>
          <w:bCs/>
        </w:rPr>
        <w:t>. De una parte,</w:t>
      </w:r>
      <w:r w:rsidRPr="004530CF">
        <w:rPr>
          <w:rFonts w:ascii="Times New Roman" w:hAnsi="Times New Roman" w:cs="Times New Roman"/>
          <w:bCs/>
        </w:rPr>
        <w:t xml:space="preserve"> se erige en</w:t>
      </w:r>
      <w:r w:rsidRPr="004530CF">
        <w:rPr>
          <w:rFonts w:ascii="Times New Roman" w:hAnsi="Times New Roman" w:cs="Times New Roman"/>
          <w:bCs/>
        </w:rPr>
        <w:t xml:space="preserve"> uno de los fundamentos de la actuación del Estado y, en consecuencia, orienta el ejercicio de las competencias de todas las autoridades. Al mismo tiempo,</w:t>
      </w:r>
      <w:r w:rsidRPr="004530CF">
        <w:rPr>
          <w:rFonts w:ascii="Times New Roman" w:hAnsi="Times New Roman" w:cs="Times New Roman"/>
          <w:bCs/>
        </w:rPr>
        <w:t xml:space="preserve"> constituye </w:t>
      </w:r>
      <w:r w:rsidRPr="004530CF">
        <w:rPr>
          <w:rFonts w:ascii="Times New Roman" w:hAnsi="Times New Roman" w:cs="Times New Roman"/>
          <w:bCs/>
        </w:rPr>
        <w:t>el objeto protegido por un derecho fundamental al que se vinculan diferentes posiciones ju</w:t>
      </w:r>
      <w:r w:rsidRPr="004530CF">
        <w:rPr>
          <w:rFonts w:ascii="Times New Roman" w:hAnsi="Times New Roman" w:cs="Times New Roman"/>
          <w:bCs/>
        </w:rPr>
        <w:t>rídicas derivadas del artículo 13 de</w:t>
      </w:r>
      <w:r w:rsidRPr="004530CF">
        <w:rPr>
          <w:rFonts w:ascii="Times New Roman" w:hAnsi="Times New Roman" w:cs="Times New Roman"/>
          <w:bCs/>
        </w:rPr>
        <w:t>l Texto Superior.</w:t>
      </w:r>
    </w:p>
    <w:p w:rsidR="005154C7" w:rsidRPr="004530CF" w:rsidRDefault="004530CF" w:rsidP="004C7B30">
      <w:pPr>
        <w:pStyle w:val="Numerales"/>
        <w:ind w:left="0" w:firstLine="0"/>
        <w:rPr>
          <w:rFonts w:ascii="Times New Roman" w:hAnsi="Times New Roman" w:cs="Times New Roman"/>
          <w:bCs/>
        </w:rPr>
      </w:pPr>
    </w:p>
    <w:p w:rsidR="005154C7" w:rsidRPr="004530CF" w:rsidRDefault="004530CF" w:rsidP="004C7B30">
      <w:pPr>
        <w:pStyle w:val="Numerales"/>
        <w:numPr>
          <w:ilvl w:val="0"/>
          <w:numId w:val="3"/>
        </w:numPr>
        <w:ind w:left="0" w:firstLine="0"/>
        <w:rPr>
          <w:rFonts w:ascii="Times New Roman" w:eastAsia="Cambria" w:hAnsi="Times New Roman" w:cs="Times New Roman"/>
        </w:rPr>
      </w:pPr>
      <w:r w:rsidRPr="004530CF">
        <w:rPr>
          <w:rFonts w:ascii="Times New Roman" w:eastAsia="Cambria" w:hAnsi="Times New Roman" w:cs="Times New Roman"/>
        </w:rPr>
        <w:t>La Corte se ha referido a las exigencias que se adscriben a la igualdad. En es</w:t>
      </w:r>
      <w:r w:rsidRPr="004530CF">
        <w:rPr>
          <w:rFonts w:ascii="Times New Roman" w:eastAsia="Cambria" w:hAnsi="Times New Roman" w:cs="Times New Roman"/>
        </w:rPr>
        <w:t>t</w:t>
      </w:r>
      <w:r w:rsidRPr="004530CF">
        <w:rPr>
          <w:rFonts w:ascii="Times New Roman" w:eastAsia="Cambria" w:hAnsi="Times New Roman" w:cs="Times New Roman"/>
        </w:rPr>
        <w:t>e sentido</w:t>
      </w:r>
      <w:r w:rsidRPr="004530CF">
        <w:rPr>
          <w:rFonts w:ascii="Times New Roman" w:eastAsia="Cambria" w:hAnsi="Times New Roman" w:cs="Times New Roman"/>
        </w:rPr>
        <w:t>,</w:t>
      </w:r>
      <w:r w:rsidRPr="004530CF">
        <w:rPr>
          <w:rFonts w:ascii="Times New Roman" w:eastAsia="Cambria" w:hAnsi="Times New Roman" w:cs="Times New Roman"/>
        </w:rPr>
        <w:t xml:space="preserve"> </w:t>
      </w:r>
      <w:r w:rsidRPr="004530CF">
        <w:rPr>
          <w:rFonts w:ascii="Times New Roman" w:eastAsia="Cambria" w:hAnsi="Times New Roman" w:cs="Times New Roman"/>
        </w:rPr>
        <w:t xml:space="preserve">en numerosos pronunciamientos, </w:t>
      </w:r>
      <w:r w:rsidRPr="004530CF">
        <w:rPr>
          <w:rFonts w:ascii="Times New Roman" w:eastAsia="Cambria" w:hAnsi="Times New Roman" w:cs="Times New Roman"/>
        </w:rPr>
        <w:t xml:space="preserve">ha señalado </w:t>
      </w:r>
      <w:r w:rsidRPr="004530CF">
        <w:rPr>
          <w:rFonts w:ascii="Times New Roman" w:eastAsia="Cambria" w:hAnsi="Times New Roman" w:cs="Times New Roman"/>
        </w:rPr>
        <w:t xml:space="preserve">que del artículo 13 de la Constitución se desprende </w:t>
      </w:r>
      <w:r w:rsidRPr="004530CF">
        <w:rPr>
          <w:rFonts w:ascii="Times New Roman" w:hAnsi="Times New Roman" w:cs="Times New Roman"/>
        </w:rPr>
        <w:t xml:space="preserve">(i) un mandato </w:t>
      </w:r>
      <w:r w:rsidRPr="004530CF">
        <w:rPr>
          <w:rFonts w:ascii="Times New Roman" w:hAnsi="Times New Roman" w:cs="Times New Roman"/>
        </w:rPr>
        <w:t>de trato idéntico a destinatarios que se encuentren en circunstancias idénticas</w:t>
      </w:r>
      <w:r w:rsidRPr="004530CF">
        <w:rPr>
          <w:rFonts w:ascii="Times New Roman" w:hAnsi="Times New Roman" w:cs="Times New Roman"/>
        </w:rPr>
        <w:t>;</w:t>
      </w:r>
      <w:r w:rsidRPr="004530CF">
        <w:rPr>
          <w:rFonts w:ascii="Times New Roman" w:hAnsi="Times New Roman" w:cs="Times New Roman"/>
        </w:rPr>
        <w:t xml:space="preserve"> (ii) un mandato de trato enteramente diferenciado a destinatarios cuyas situaciones no comparten ningún elemento en común; (iii) un mandato de trato paritario a destinatarios </w:t>
      </w:r>
      <w:r w:rsidRPr="004530CF">
        <w:rPr>
          <w:rFonts w:ascii="Times New Roman" w:hAnsi="Times New Roman" w:cs="Times New Roman"/>
        </w:rPr>
        <w:t>cuyas situaciones presenten similitudes y diferencias, pero las similitudes sean más relevantes a pesar de las diferencias</w:t>
      </w:r>
      <w:r w:rsidRPr="004530CF">
        <w:rPr>
          <w:rFonts w:ascii="Times New Roman" w:hAnsi="Times New Roman" w:cs="Times New Roman"/>
        </w:rPr>
        <w:t>;</w:t>
      </w:r>
      <w:r w:rsidRPr="004530CF">
        <w:rPr>
          <w:rFonts w:ascii="Times New Roman" w:hAnsi="Times New Roman" w:cs="Times New Roman"/>
        </w:rPr>
        <w:t xml:space="preserve"> y (iv) un mandato de trato diferenciado a destinatarios que se encuentren también en una posición en parte similar y en parte divers</w:t>
      </w:r>
      <w:r w:rsidRPr="004530CF">
        <w:rPr>
          <w:rFonts w:ascii="Times New Roman" w:hAnsi="Times New Roman" w:cs="Times New Roman"/>
        </w:rPr>
        <w:t>a, pero en cuyo caso las diferencias sean más relevantes que las similitudes</w:t>
      </w:r>
      <w:r w:rsidRPr="004530CF">
        <w:rPr>
          <w:rStyle w:val="Refdenotaalpie"/>
          <w:rFonts w:ascii="Times New Roman" w:hAnsi="Times New Roman" w:cs="Times New Roman"/>
        </w:rPr>
        <w:footnoteReference w:id="54"/>
      </w:r>
      <w:r w:rsidRPr="004530CF">
        <w:rPr>
          <w:rFonts w:ascii="Times New Roman" w:hAnsi="Times New Roman" w:cs="Times New Roman"/>
        </w:rPr>
        <w:t>.</w:t>
      </w:r>
    </w:p>
    <w:p w:rsidR="005154C7" w:rsidRPr="004530CF" w:rsidRDefault="004530CF" w:rsidP="004C7B30">
      <w:pPr>
        <w:pStyle w:val="Prrafodelista"/>
        <w:ind w:left="0"/>
        <w:rPr>
          <w:rFonts w:ascii="Times New Roman" w:eastAsia="Cambria" w:hAnsi="Times New Roman" w:cs="Times New Roman"/>
          <w:sz w:val="28"/>
        </w:rPr>
      </w:pPr>
    </w:p>
    <w:p w:rsidR="006D5168" w:rsidRPr="004530CF" w:rsidRDefault="004530CF" w:rsidP="004C7B30">
      <w:pPr>
        <w:pStyle w:val="Numerales"/>
        <w:numPr>
          <w:ilvl w:val="0"/>
          <w:numId w:val="3"/>
        </w:numPr>
        <w:ind w:left="0" w:firstLine="0"/>
        <w:rPr>
          <w:rFonts w:ascii="Times New Roman" w:eastAsia="Cambria" w:hAnsi="Times New Roman" w:cs="Times New Roman"/>
        </w:rPr>
      </w:pPr>
      <w:r w:rsidRPr="004530CF">
        <w:rPr>
          <w:rFonts w:ascii="Times New Roman" w:eastAsia="Cambria" w:hAnsi="Times New Roman" w:cs="Times New Roman"/>
          <w:b/>
        </w:rPr>
        <w:t xml:space="preserve">Esta distinción analítica de los diferentes mandatos que se adscriben al artículo 13 de la Constitución </w:t>
      </w:r>
      <w:r w:rsidRPr="004530CF">
        <w:rPr>
          <w:rFonts w:ascii="Times New Roman" w:eastAsia="Cambria" w:hAnsi="Times New Roman" w:cs="Times New Roman"/>
          <w:b/>
        </w:rPr>
        <w:t>muestra con claridad su carácter relacional.</w:t>
      </w:r>
      <w:r w:rsidRPr="004530CF">
        <w:rPr>
          <w:rFonts w:ascii="Times New Roman" w:eastAsia="Cambria" w:hAnsi="Times New Roman" w:cs="Times New Roman"/>
        </w:rPr>
        <w:t xml:space="preserve"> Así lo indicó desde sus primeras providencias la Corte al señalar que</w:t>
      </w:r>
      <w:r w:rsidRPr="004530CF">
        <w:rPr>
          <w:rFonts w:ascii="Times New Roman" w:eastAsia="Cambria" w:hAnsi="Times New Roman" w:cs="Times New Roman"/>
        </w:rPr>
        <w:t>:</w:t>
      </w:r>
      <w:r w:rsidRPr="004530CF">
        <w:rPr>
          <w:rFonts w:ascii="Times New Roman" w:eastAsia="Cambria" w:hAnsi="Times New Roman" w:cs="Times New Roman"/>
        </w:rPr>
        <w:t xml:space="preserve"> “</w:t>
      </w:r>
      <w:r w:rsidRPr="004530CF">
        <w:rPr>
          <w:rFonts w:ascii="Times New Roman" w:hAnsi="Times New Roman" w:cs="Times New Roman"/>
          <w:i/>
          <w:iCs/>
          <w:shd w:val="clear" w:color="auto" w:fill="FFFFFF"/>
        </w:rPr>
        <w:t>hablar de igualdad o desigualdad, siguiendo alguna variante de la fórmula clásica (como la contenida en el artículo 13 de la Constitución Política), tiene sentido sólo en la medida en</w:t>
      </w:r>
      <w:r w:rsidRPr="004530CF">
        <w:rPr>
          <w:rFonts w:ascii="Times New Roman" w:hAnsi="Times New Roman" w:cs="Times New Roman"/>
          <w:i/>
          <w:iCs/>
          <w:shd w:val="clear" w:color="auto" w:fill="FFFFFF"/>
        </w:rPr>
        <w:t xml:space="preserve"> que se respondan las siguientes tres preguntas: ¿igualdad entre quiénes?, ¿igualdad en qué?, ¿igualdad con base en qué criterio?</w:t>
      </w:r>
      <w:r w:rsidRPr="004530CF">
        <w:rPr>
          <w:rFonts w:ascii="Times New Roman" w:hAnsi="Times New Roman" w:cs="Times New Roman"/>
          <w:shd w:val="clear" w:color="auto" w:fill="FFFFFF"/>
        </w:rPr>
        <w:t>”</w:t>
      </w:r>
      <w:r w:rsidRPr="004530CF">
        <w:rPr>
          <w:rStyle w:val="Refdenotaalpie"/>
          <w:rFonts w:ascii="Times New Roman" w:hAnsi="Times New Roman" w:cs="Times New Roman"/>
          <w:shd w:val="clear" w:color="auto" w:fill="FFFFFF"/>
        </w:rPr>
        <w:footnoteReference w:id="55"/>
      </w:r>
      <w:r w:rsidRPr="004530CF">
        <w:rPr>
          <w:rFonts w:ascii="Times New Roman" w:hAnsi="Times New Roman" w:cs="Times New Roman"/>
          <w:shd w:val="clear" w:color="auto" w:fill="FFFFFF"/>
        </w:rPr>
        <w:t>. En este sentido</w:t>
      </w:r>
      <w:r w:rsidRPr="004530CF">
        <w:rPr>
          <w:rFonts w:ascii="Times New Roman" w:hAnsi="Times New Roman" w:cs="Times New Roman"/>
          <w:shd w:val="clear" w:color="auto" w:fill="FFFFFF"/>
        </w:rPr>
        <w:t>,</w:t>
      </w:r>
      <w:r w:rsidRPr="004530CF">
        <w:rPr>
          <w:rFonts w:ascii="Times New Roman" w:hAnsi="Times New Roman" w:cs="Times New Roman"/>
          <w:shd w:val="clear" w:color="auto" w:fill="FFFFFF"/>
        </w:rPr>
        <w:t xml:space="preserve"> “[l]</w:t>
      </w:r>
      <w:r w:rsidRPr="004530CF">
        <w:rPr>
          <w:rFonts w:ascii="Times New Roman" w:hAnsi="Times New Roman" w:cs="Times New Roman"/>
          <w:i/>
          <w:iCs/>
          <w:shd w:val="clear" w:color="auto" w:fill="FFFFFF"/>
        </w:rPr>
        <w:t>os sujetos pueden ser todos, muchos o pocos; los bienes a repartir pueden ser derechos, ventajas econó</w:t>
      </w:r>
      <w:r w:rsidRPr="004530CF">
        <w:rPr>
          <w:rFonts w:ascii="Times New Roman" w:hAnsi="Times New Roman" w:cs="Times New Roman"/>
          <w:i/>
          <w:iCs/>
          <w:shd w:val="clear" w:color="auto" w:fill="FFFFFF"/>
        </w:rPr>
        <w:t>micas, cargos, poder, etc.; los criterios pueden ser la necesidad, el mérito, la capacidad, la clase, el esfuerzo, etc</w:t>
      </w:r>
      <w:r w:rsidRPr="004530CF">
        <w:rPr>
          <w:rFonts w:ascii="Times New Roman" w:hAnsi="Times New Roman" w:cs="Times New Roman"/>
          <w:i/>
          <w:iCs/>
          <w:shd w:val="clear" w:color="auto" w:fill="FFFFFF"/>
        </w:rPr>
        <w:t>.</w:t>
      </w:r>
      <w:r w:rsidRPr="004530CF">
        <w:rPr>
          <w:rFonts w:ascii="Times New Roman" w:hAnsi="Times New Roman" w:cs="Times New Roman"/>
          <w:shd w:val="clear" w:color="auto" w:fill="FFFFFF"/>
        </w:rPr>
        <w:t>”</w:t>
      </w:r>
      <w:r w:rsidRPr="004530CF">
        <w:rPr>
          <w:rStyle w:val="Refdenotaalpie"/>
          <w:rFonts w:ascii="Times New Roman" w:hAnsi="Times New Roman" w:cs="Times New Roman"/>
          <w:shd w:val="clear" w:color="auto" w:fill="FFFFFF"/>
        </w:rPr>
        <w:footnoteReference w:id="56"/>
      </w:r>
      <w:r w:rsidRPr="004530CF">
        <w:rPr>
          <w:rFonts w:ascii="Times New Roman" w:hAnsi="Times New Roman" w:cs="Times New Roman"/>
          <w:shd w:val="clear" w:color="auto" w:fill="FFFFFF"/>
        </w:rPr>
        <w:t xml:space="preserve"> </w:t>
      </w:r>
    </w:p>
    <w:p w:rsidR="006D5168" w:rsidRPr="004530CF" w:rsidRDefault="004530CF" w:rsidP="004C7B30">
      <w:pPr>
        <w:pStyle w:val="Prrafodelista"/>
        <w:ind w:left="0"/>
        <w:rPr>
          <w:rFonts w:ascii="Times New Roman" w:hAnsi="Times New Roman" w:cs="Times New Roman"/>
          <w:sz w:val="28"/>
          <w:shd w:val="clear" w:color="auto" w:fill="FFFFFF"/>
        </w:rPr>
      </w:pPr>
    </w:p>
    <w:p w:rsidR="003826A5" w:rsidRPr="004530CF" w:rsidRDefault="004530CF" w:rsidP="004C7B30">
      <w:pPr>
        <w:pStyle w:val="Numerales"/>
        <w:numPr>
          <w:ilvl w:val="0"/>
          <w:numId w:val="3"/>
        </w:numPr>
        <w:ind w:left="0" w:firstLine="0"/>
        <w:rPr>
          <w:rFonts w:ascii="Times New Roman" w:eastAsia="Cambria" w:hAnsi="Times New Roman" w:cs="Times New Roman"/>
        </w:rPr>
      </w:pPr>
      <w:r w:rsidRPr="004530CF">
        <w:rPr>
          <w:rFonts w:ascii="Times New Roman" w:hAnsi="Times New Roman" w:cs="Times New Roman"/>
          <w:shd w:val="clear" w:color="auto" w:fill="FFFFFF"/>
        </w:rPr>
        <w:t>P</w:t>
      </w:r>
      <w:r w:rsidRPr="004530CF">
        <w:rPr>
          <w:rFonts w:ascii="Times New Roman" w:hAnsi="Times New Roman" w:cs="Times New Roman"/>
          <w:shd w:val="clear" w:color="auto" w:fill="FFFFFF"/>
        </w:rPr>
        <w:t xml:space="preserve">ara establecer </w:t>
      </w:r>
      <w:r w:rsidRPr="004530CF">
        <w:rPr>
          <w:rFonts w:ascii="Times New Roman" w:eastAsia="Cambria" w:hAnsi="Times New Roman" w:cs="Times New Roman"/>
        </w:rPr>
        <w:t xml:space="preserve">si alguno de los </w:t>
      </w:r>
      <w:r w:rsidRPr="004530CF">
        <w:rPr>
          <w:rFonts w:ascii="Times New Roman" w:eastAsia="Cambria" w:hAnsi="Times New Roman" w:cs="Times New Roman"/>
        </w:rPr>
        <w:t xml:space="preserve">cuatro </w:t>
      </w:r>
      <w:r w:rsidRPr="004530CF">
        <w:rPr>
          <w:rFonts w:ascii="Times New Roman" w:eastAsia="Cambria" w:hAnsi="Times New Roman" w:cs="Times New Roman"/>
        </w:rPr>
        <w:t xml:space="preserve">mandatos </w:t>
      </w:r>
      <w:r w:rsidRPr="004530CF">
        <w:rPr>
          <w:rFonts w:ascii="Times New Roman" w:eastAsia="Cambria" w:hAnsi="Times New Roman" w:cs="Times New Roman"/>
        </w:rPr>
        <w:t>señalados</w:t>
      </w:r>
      <w:r w:rsidRPr="004530CF">
        <w:rPr>
          <w:rFonts w:ascii="Times New Roman" w:eastAsia="Cambria" w:hAnsi="Times New Roman" w:cs="Times New Roman"/>
        </w:rPr>
        <w:t xml:space="preserve"> ha sido</w:t>
      </w:r>
      <w:r w:rsidRPr="004530CF">
        <w:rPr>
          <w:rFonts w:ascii="Times New Roman" w:eastAsia="Cambria" w:hAnsi="Times New Roman" w:cs="Times New Roman"/>
        </w:rPr>
        <w:t xml:space="preserve"> viol</w:t>
      </w:r>
      <w:r w:rsidRPr="004530CF">
        <w:rPr>
          <w:rFonts w:ascii="Times New Roman" w:eastAsia="Cambria" w:hAnsi="Times New Roman" w:cs="Times New Roman"/>
        </w:rPr>
        <w:t>entado</w:t>
      </w:r>
      <w:r w:rsidRPr="004530CF">
        <w:rPr>
          <w:rFonts w:ascii="Times New Roman" w:eastAsia="Cambria" w:hAnsi="Times New Roman" w:cs="Times New Roman"/>
        </w:rPr>
        <w:t>,</w:t>
      </w:r>
      <w:r w:rsidRPr="004530CF">
        <w:rPr>
          <w:rFonts w:ascii="Times New Roman" w:eastAsia="Cambria" w:hAnsi="Times New Roman" w:cs="Times New Roman"/>
        </w:rPr>
        <w:t xml:space="preserve"> la jurisprudencia ha estructurado una metodología </w:t>
      </w:r>
      <w:r w:rsidRPr="004530CF">
        <w:rPr>
          <w:rFonts w:ascii="Times New Roman" w:eastAsia="Cambria" w:hAnsi="Times New Roman" w:cs="Times New Roman"/>
        </w:rPr>
        <w:t>que</w:t>
      </w:r>
      <w:r w:rsidRPr="004530CF">
        <w:rPr>
          <w:rFonts w:ascii="Times New Roman" w:eastAsia="Cambria" w:hAnsi="Times New Roman" w:cs="Times New Roman"/>
        </w:rPr>
        <w:t xml:space="preserve"> se encuentra conformad</w:t>
      </w:r>
      <w:r w:rsidRPr="004530CF">
        <w:rPr>
          <w:rFonts w:ascii="Times New Roman" w:eastAsia="Cambria" w:hAnsi="Times New Roman" w:cs="Times New Roman"/>
        </w:rPr>
        <w:t>a</w:t>
      </w:r>
      <w:r w:rsidRPr="004530CF">
        <w:rPr>
          <w:rFonts w:ascii="Times New Roman" w:eastAsia="Cambria" w:hAnsi="Times New Roman" w:cs="Times New Roman"/>
        </w:rPr>
        <w:t xml:space="preserve"> por dos etapas. </w:t>
      </w:r>
      <w:r w:rsidRPr="004530CF">
        <w:rPr>
          <w:rFonts w:ascii="Times New Roman" w:hAnsi="Times New Roman" w:cs="Times New Roman"/>
          <w:shd w:val="clear" w:color="auto" w:fill="FFFFFF"/>
        </w:rPr>
        <w:t>La primera está “</w:t>
      </w:r>
      <w:r w:rsidRPr="004530CF">
        <w:rPr>
          <w:rFonts w:ascii="Times New Roman" w:hAnsi="Times New Roman" w:cs="Times New Roman"/>
          <w:i/>
          <w:shd w:val="clear" w:color="auto" w:fill="FFFFFF"/>
        </w:rPr>
        <w:t>destinada a determinar la existencia de las bases de la comparación</w:t>
      </w:r>
      <w:r w:rsidRPr="004530CF">
        <w:rPr>
          <w:rFonts w:ascii="Times New Roman" w:hAnsi="Times New Roman" w:cs="Times New Roman"/>
          <w:shd w:val="clear" w:color="auto" w:fill="FFFFFF"/>
        </w:rPr>
        <w:t>”</w:t>
      </w:r>
      <w:r w:rsidRPr="004530CF">
        <w:rPr>
          <w:rStyle w:val="Refdenotaalpie"/>
          <w:rFonts w:ascii="Times New Roman" w:hAnsi="Times New Roman" w:cs="Times New Roman"/>
          <w:shd w:val="clear" w:color="auto" w:fill="FFFFFF"/>
        </w:rPr>
        <w:footnoteReference w:id="57"/>
      </w:r>
      <w:r w:rsidRPr="004530CF">
        <w:rPr>
          <w:rFonts w:ascii="Times New Roman" w:hAnsi="Times New Roman" w:cs="Times New Roman"/>
          <w:shd w:val="clear" w:color="auto" w:fill="FFFFFF"/>
        </w:rPr>
        <w:t>,</w:t>
      </w:r>
      <w:r w:rsidRPr="004530CF">
        <w:rPr>
          <w:rFonts w:ascii="Times New Roman" w:hAnsi="Times New Roman" w:cs="Times New Roman"/>
          <w:shd w:val="clear" w:color="auto" w:fill="FFFFFF"/>
        </w:rPr>
        <w:t xml:space="preserve"> al tiempo que la segunda </w:t>
      </w:r>
      <w:r w:rsidRPr="004530CF">
        <w:rPr>
          <w:rFonts w:ascii="Times New Roman" w:hAnsi="Times New Roman" w:cs="Times New Roman"/>
          <w:shd w:val="clear" w:color="auto" w:fill="FFFFFF"/>
        </w:rPr>
        <w:t>se orienta</w:t>
      </w:r>
      <w:r w:rsidRPr="004530CF">
        <w:rPr>
          <w:rFonts w:ascii="Times New Roman" w:hAnsi="Times New Roman" w:cs="Times New Roman"/>
          <w:shd w:val="clear" w:color="auto" w:fill="FFFFFF"/>
        </w:rPr>
        <w:t xml:space="preserve"> </w:t>
      </w:r>
      <w:r w:rsidRPr="004530CF">
        <w:rPr>
          <w:rFonts w:ascii="Times New Roman" w:hAnsi="Times New Roman" w:cs="Times New Roman"/>
          <w:shd w:val="clear" w:color="auto" w:fill="FFFFFF"/>
        </w:rPr>
        <w:t>“</w:t>
      </w:r>
      <w:r w:rsidRPr="004530CF">
        <w:rPr>
          <w:rFonts w:ascii="Times New Roman" w:hAnsi="Times New Roman" w:cs="Times New Roman"/>
          <w:i/>
          <w:shd w:val="clear" w:color="auto" w:fill="FFFFFF"/>
        </w:rPr>
        <w:t>a examinar la justificación de la medida analizada</w:t>
      </w:r>
      <w:r w:rsidRPr="004530CF">
        <w:rPr>
          <w:rFonts w:ascii="Times New Roman" w:hAnsi="Times New Roman" w:cs="Times New Roman"/>
          <w:shd w:val="clear" w:color="auto" w:fill="FFFFFF"/>
        </w:rPr>
        <w:t>”</w:t>
      </w:r>
      <w:r w:rsidRPr="004530CF">
        <w:rPr>
          <w:rStyle w:val="Refdenotaalpie"/>
          <w:rFonts w:ascii="Times New Roman" w:hAnsi="Times New Roman" w:cs="Times New Roman"/>
          <w:shd w:val="clear" w:color="auto" w:fill="FFFFFF"/>
        </w:rPr>
        <w:footnoteReference w:id="58"/>
      </w:r>
      <w:r w:rsidRPr="004530CF">
        <w:rPr>
          <w:rFonts w:ascii="Times New Roman" w:hAnsi="Times New Roman" w:cs="Times New Roman"/>
          <w:shd w:val="clear" w:color="auto" w:fill="FFFFFF"/>
        </w:rPr>
        <w:t>. A continuación, la Corte se refiere,</w:t>
      </w:r>
      <w:r w:rsidRPr="004530CF">
        <w:rPr>
          <w:rFonts w:ascii="Times New Roman" w:hAnsi="Times New Roman" w:cs="Times New Roman"/>
          <w:shd w:val="clear" w:color="auto" w:fill="FFFFFF"/>
        </w:rPr>
        <w:t xml:space="preserve"> de forma específica, al contenido del escrutinio cuando se alega la afectación del mandato de trato igual</w:t>
      </w:r>
      <w:r w:rsidRPr="004530CF">
        <w:rPr>
          <w:rStyle w:val="Refdenotaalpie"/>
          <w:rFonts w:ascii="Times New Roman" w:hAnsi="Times New Roman" w:cs="Times New Roman"/>
          <w:shd w:val="clear" w:color="auto" w:fill="FFFFFF"/>
        </w:rPr>
        <w:footnoteReference w:id="59"/>
      </w:r>
      <w:r w:rsidRPr="004530CF">
        <w:rPr>
          <w:rFonts w:ascii="Times New Roman" w:hAnsi="Times New Roman" w:cs="Times New Roman"/>
          <w:shd w:val="clear" w:color="auto" w:fill="FFFFFF"/>
        </w:rPr>
        <w:t xml:space="preserve">. </w:t>
      </w:r>
      <w:r w:rsidRPr="004530CF">
        <w:rPr>
          <w:rFonts w:ascii="Times New Roman" w:eastAsia="Cambria" w:hAnsi="Times New Roman" w:cs="Times New Roman"/>
        </w:rPr>
        <w:t xml:space="preserve"> </w:t>
      </w:r>
    </w:p>
    <w:p w:rsidR="00865EC4" w:rsidRPr="004530CF" w:rsidRDefault="004530CF" w:rsidP="004C7B30">
      <w:pPr>
        <w:pStyle w:val="Numerales"/>
        <w:ind w:left="0" w:firstLine="0"/>
        <w:rPr>
          <w:rFonts w:ascii="Times New Roman" w:eastAsia="Cambria" w:hAnsi="Times New Roman" w:cs="Times New Roman"/>
        </w:rPr>
      </w:pPr>
    </w:p>
    <w:p w:rsidR="00431BA3" w:rsidRPr="004530CF" w:rsidRDefault="004530CF" w:rsidP="004C7B30">
      <w:pPr>
        <w:pStyle w:val="Numerales"/>
        <w:numPr>
          <w:ilvl w:val="0"/>
          <w:numId w:val="3"/>
        </w:numPr>
        <w:ind w:left="0" w:firstLine="0"/>
        <w:rPr>
          <w:rFonts w:ascii="Times New Roman" w:eastAsia="Cambria" w:hAnsi="Times New Roman" w:cs="Times New Roman"/>
        </w:rPr>
      </w:pPr>
      <w:r w:rsidRPr="004530CF">
        <w:rPr>
          <w:rFonts w:ascii="Times New Roman" w:eastAsia="Cambria" w:hAnsi="Times New Roman" w:cs="Times New Roman"/>
          <w:b/>
        </w:rPr>
        <w:t>En la primera</w:t>
      </w:r>
      <w:r w:rsidRPr="004530CF">
        <w:rPr>
          <w:rFonts w:ascii="Times New Roman" w:eastAsia="Cambria" w:hAnsi="Times New Roman" w:cs="Times New Roman"/>
          <w:b/>
        </w:rPr>
        <w:t xml:space="preserve"> etapa</w:t>
      </w:r>
      <w:r w:rsidRPr="004530CF">
        <w:rPr>
          <w:rFonts w:ascii="Times New Roman" w:eastAsia="Cambria" w:hAnsi="Times New Roman" w:cs="Times New Roman"/>
          <w:b/>
        </w:rPr>
        <w:t>,</w:t>
      </w:r>
      <w:r w:rsidRPr="004530CF">
        <w:rPr>
          <w:rFonts w:ascii="Times New Roman" w:eastAsia="Cambria" w:hAnsi="Times New Roman" w:cs="Times New Roman"/>
          <w:b/>
        </w:rPr>
        <w:t xml:space="preserve"> según se indicó, </w:t>
      </w:r>
      <w:r w:rsidRPr="004530CF">
        <w:rPr>
          <w:rFonts w:ascii="Times New Roman" w:eastAsia="Cambria" w:hAnsi="Times New Roman" w:cs="Times New Roman"/>
          <w:b/>
        </w:rPr>
        <w:t xml:space="preserve">el análisis se dirige a establecer si los grupos </w:t>
      </w:r>
      <w:r w:rsidRPr="004530CF">
        <w:rPr>
          <w:rFonts w:ascii="Times New Roman" w:eastAsia="Cambria" w:hAnsi="Times New Roman" w:cs="Times New Roman"/>
          <w:b/>
        </w:rPr>
        <w:t xml:space="preserve">a los que se les otorga un trato diferente </w:t>
      </w:r>
      <w:r w:rsidRPr="004530CF">
        <w:rPr>
          <w:rFonts w:ascii="Times New Roman" w:eastAsia="Cambria" w:hAnsi="Times New Roman" w:cs="Times New Roman"/>
          <w:b/>
        </w:rPr>
        <w:t xml:space="preserve">son </w:t>
      </w:r>
      <w:r w:rsidRPr="004530CF">
        <w:rPr>
          <w:rFonts w:ascii="Times New Roman" w:eastAsia="Cambria" w:hAnsi="Times New Roman" w:cs="Times New Roman"/>
          <w:b/>
        </w:rPr>
        <w:t>comparables</w:t>
      </w:r>
      <w:r w:rsidRPr="004530CF">
        <w:rPr>
          <w:rFonts w:ascii="Times New Roman" w:eastAsia="Cambria" w:hAnsi="Times New Roman" w:cs="Times New Roman"/>
        </w:rPr>
        <w:t xml:space="preserve">. </w:t>
      </w:r>
      <w:r w:rsidRPr="004530CF">
        <w:rPr>
          <w:rFonts w:ascii="Times New Roman" w:eastAsia="Cambria" w:hAnsi="Times New Roman" w:cs="Times New Roman"/>
        </w:rPr>
        <w:t>Con</w:t>
      </w:r>
      <w:r w:rsidRPr="004530CF">
        <w:rPr>
          <w:rFonts w:ascii="Times New Roman" w:eastAsia="Cambria" w:hAnsi="Times New Roman" w:cs="Times New Roman"/>
        </w:rPr>
        <w:t xml:space="preserve"> es</w:t>
      </w:r>
      <w:r w:rsidRPr="004530CF">
        <w:rPr>
          <w:rFonts w:ascii="Times New Roman" w:eastAsia="Cambria" w:hAnsi="Times New Roman" w:cs="Times New Roman"/>
        </w:rPr>
        <w:t>t</w:t>
      </w:r>
      <w:r w:rsidRPr="004530CF">
        <w:rPr>
          <w:rFonts w:ascii="Times New Roman" w:eastAsia="Cambria" w:hAnsi="Times New Roman" w:cs="Times New Roman"/>
        </w:rPr>
        <w:t>e propósito es necesario</w:t>
      </w:r>
      <w:r w:rsidRPr="004530CF">
        <w:rPr>
          <w:rFonts w:ascii="Times New Roman" w:eastAsia="Cambria" w:hAnsi="Times New Roman" w:cs="Times New Roman"/>
        </w:rPr>
        <w:t xml:space="preserve">, luego de caracterizar los grupos relevantes, </w:t>
      </w:r>
      <w:r w:rsidRPr="004530CF">
        <w:rPr>
          <w:rFonts w:ascii="Times New Roman" w:eastAsia="Cambria" w:hAnsi="Times New Roman" w:cs="Times New Roman"/>
        </w:rPr>
        <w:t>identificar el rasgo, factor o criterio a partir del cual debe hacerse la comparación</w:t>
      </w:r>
      <w:r w:rsidRPr="004530CF">
        <w:rPr>
          <w:rStyle w:val="Refdenotaalpie"/>
          <w:rFonts w:ascii="Times New Roman" w:eastAsia="Cambria" w:hAnsi="Times New Roman" w:cs="Times New Roman"/>
        </w:rPr>
        <w:footnoteReference w:id="60"/>
      </w:r>
      <w:r w:rsidRPr="004530CF">
        <w:rPr>
          <w:rFonts w:ascii="Times New Roman" w:eastAsia="Cambria" w:hAnsi="Times New Roman" w:cs="Times New Roman"/>
        </w:rPr>
        <w:t>.</w:t>
      </w:r>
      <w:r w:rsidRPr="004530CF">
        <w:rPr>
          <w:rFonts w:ascii="Times New Roman" w:eastAsia="Cambria" w:hAnsi="Times New Roman" w:cs="Times New Roman"/>
        </w:rPr>
        <w:t xml:space="preserve"> </w:t>
      </w:r>
      <w:r w:rsidRPr="004530CF">
        <w:rPr>
          <w:rFonts w:ascii="Times New Roman" w:eastAsia="Cambria" w:hAnsi="Times New Roman" w:cs="Times New Roman"/>
        </w:rPr>
        <w:t>La Corte ha precisado que la identificación de</w:t>
      </w:r>
      <w:r w:rsidRPr="004530CF">
        <w:rPr>
          <w:rFonts w:ascii="Times New Roman" w:eastAsia="Cambria" w:hAnsi="Times New Roman" w:cs="Times New Roman"/>
        </w:rPr>
        <w:t xml:space="preserve"> ese</w:t>
      </w:r>
      <w:r w:rsidRPr="004530CF">
        <w:rPr>
          <w:rFonts w:ascii="Times New Roman" w:eastAsia="Cambria" w:hAnsi="Times New Roman" w:cs="Times New Roman"/>
        </w:rPr>
        <w:t xml:space="preserve"> criterio “</w:t>
      </w:r>
      <w:r w:rsidRPr="004530CF">
        <w:rPr>
          <w:rFonts w:ascii="Times New Roman" w:eastAsia="Cambria" w:hAnsi="Times New Roman" w:cs="Times New Roman"/>
          <w:i/>
          <w:iCs/>
        </w:rPr>
        <w:t>constituye una d</w:t>
      </w:r>
      <w:r w:rsidRPr="004530CF">
        <w:rPr>
          <w:rFonts w:ascii="Times New Roman" w:eastAsia="Cambria" w:hAnsi="Times New Roman" w:cs="Times New Roman"/>
          <w:i/>
          <w:iCs/>
        </w:rPr>
        <w:t>e las labores más complejas en materia del control constitucional de la igualdad</w:t>
      </w:r>
      <w:r w:rsidRPr="004530CF">
        <w:rPr>
          <w:rFonts w:ascii="Times New Roman" w:eastAsia="Cambria" w:hAnsi="Times New Roman" w:cs="Times New Roman"/>
        </w:rPr>
        <w:t>”</w:t>
      </w:r>
      <w:r w:rsidRPr="004530CF">
        <w:rPr>
          <w:rStyle w:val="Refdenotaalpie"/>
          <w:rFonts w:ascii="Times New Roman" w:eastAsia="Cambria" w:hAnsi="Times New Roman" w:cs="Times New Roman"/>
        </w:rPr>
        <w:footnoteReference w:id="61"/>
      </w:r>
      <w:r w:rsidRPr="004530CF">
        <w:rPr>
          <w:rFonts w:ascii="Times New Roman" w:eastAsia="Cambria" w:hAnsi="Times New Roman" w:cs="Times New Roman"/>
        </w:rPr>
        <w:t xml:space="preserve">. </w:t>
      </w:r>
      <w:r w:rsidRPr="004530CF">
        <w:rPr>
          <w:rFonts w:ascii="Times New Roman" w:hAnsi="Times New Roman" w:cs="Times New Roman"/>
          <w:shd w:val="clear" w:color="auto" w:fill="FFFFFF"/>
        </w:rPr>
        <w:t>Según lo ha sostenido, esta dificultad obedece “</w:t>
      </w:r>
      <w:r w:rsidRPr="004530CF">
        <w:rPr>
          <w:rFonts w:ascii="Times New Roman" w:hAnsi="Times New Roman" w:cs="Times New Roman"/>
          <w:i/>
          <w:shd w:val="clear" w:color="auto" w:fill="FFFFFF"/>
        </w:rPr>
        <w:t>al hecho de que las personas, grupos y situaciones pueden </w:t>
      </w:r>
      <w:r w:rsidRPr="004530CF">
        <w:rPr>
          <w:rFonts w:ascii="Times New Roman" w:hAnsi="Times New Roman" w:cs="Times New Roman"/>
          <w:i/>
          <w:iCs/>
          <w:shd w:val="clear" w:color="auto" w:fill="FFFFFF"/>
        </w:rPr>
        <w:t>siempre</w:t>
      </w:r>
      <w:r w:rsidRPr="004530CF">
        <w:rPr>
          <w:rFonts w:ascii="Times New Roman" w:hAnsi="Times New Roman" w:cs="Times New Roman"/>
          <w:i/>
          <w:shd w:val="clear" w:color="auto" w:fill="FFFFFF"/>
        </w:rPr>
        <w:t> tener rasgos comunes y </w:t>
      </w:r>
      <w:r w:rsidRPr="004530CF">
        <w:rPr>
          <w:rFonts w:ascii="Times New Roman" w:hAnsi="Times New Roman" w:cs="Times New Roman"/>
          <w:i/>
          <w:iCs/>
          <w:shd w:val="clear" w:color="auto" w:fill="FFFFFF"/>
        </w:rPr>
        <w:t>siempre</w:t>
      </w:r>
      <w:r w:rsidRPr="004530CF">
        <w:rPr>
          <w:rFonts w:ascii="Times New Roman" w:hAnsi="Times New Roman" w:cs="Times New Roman"/>
          <w:i/>
          <w:shd w:val="clear" w:color="auto" w:fill="FFFFFF"/>
        </w:rPr>
        <w:t> también rasgos diferentes</w:t>
      </w:r>
      <w:r w:rsidRPr="004530CF">
        <w:rPr>
          <w:rFonts w:ascii="Times New Roman" w:hAnsi="Times New Roman" w:cs="Times New Roman"/>
          <w:shd w:val="clear" w:color="auto" w:fill="FFFFFF"/>
        </w:rPr>
        <w:t>”</w:t>
      </w:r>
      <w:r w:rsidRPr="004530CF">
        <w:rPr>
          <w:rStyle w:val="Refdenotaalpie"/>
          <w:rFonts w:ascii="Times New Roman" w:hAnsi="Times New Roman" w:cs="Times New Roman"/>
          <w:shd w:val="clear" w:color="auto" w:fill="FFFFFF"/>
        </w:rPr>
        <w:footnoteReference w:id="62"/>
      </w:r>
      <w:r w:rsidRPr="004530CF">
        <w:rPr>
          <w:rFonts w:ascii="Times New Roman" w:hAnsi="Times New Roman" w:cs="Times New Roman"/>
          <w:shd w:val="clear" w:color="auto" w:fill="FFFFFF"/>
        </w:rPr>
        <w:t>. Y</w:t>
      </w:r>
      <w:r w:rsidRPr="004530CF">
        <w:rPr>
          <w:rFonts w:ascii="Times New Roman" w:hAnsi="Times New Roman" w:cs="Times New Roman"/>
          <w:shd w:val="clear" w:color="auto" w:fill="FFFFFF"/>
        </w:rPr>
        <w:t>,</w:t>
      </w:r>
      <w:r w:rsidRPr="004530CF">
        <w:rPr>
          <w:rFonts w:ascii="Times New Roman" w:hAnsi="Times New Roman" w:cs="Times New Roman"/>
          <w:shd w:val="clear" w:color="auto" w:fill="FFFFFF"/>
        </w:rPr>
        <w:t xml:space="preserve"> por ello</w:t>
      </w:r>
      <w:r w:rsidRPr="004530CF">
        <w:rPr>
          <w:rFonts w:ascii="Times New Roman" w:hAnsi="Times New Roman" w:cs="Times New Roman"/>
          <w:shd w:val="clear" w:color="auto" w:fill="FFFFFF"/>
        </w:rPr>
        <w:t>,</w:t>
      </w:r>
      <w:r w:rsidRPr="004530CF">
        <w:rPr>
          <w:rFonts w:ascii="Times New Roman" w:hAnsi="Times New Roman" w:cs="Times New Roman"/>
          <w:shd w:val="clear" w:color="auto" w:fill="FFFFFF"/>
        </w:rPr>
        <w:t xml:space="preserve"> una “</w:t>
      </w:r>
      <w:r w:rsidRPr="004530CF">
        <w:rPr>
          <w:rFonts w:ascii="Times New Roman" w:hAnsi="Times New Roman" w:cs="Times New Roman"/>
          <w:i/>
          <w:shd w:val="clear" w:color="auto" w:fill="FFFFFF"/>
        </w:rPr>
        <w:t>selección equivocada del criterio de comparación podría tener graves consecuencias</w:t>
      </w:r>
      <w:r w:rsidRPr="004530CF">
        <w:rPr>
          <w:rFonts w:ascii="Times New Roman" w:hAnsi="Times New Roman" w:cs="Times New Roman"/>
          <w:shd w:val="clear" w:color="auto" w:fill="FFFFFF"/>
        </w:rPr>
        <w:t>”</w:t>
      </w:r>
      <w:r w:rsidRPr="004530CF">
        <w:rPr>
          <w:rStyle w:val="Refdenotaalpie"/>
          <w:rFonts w:ascii="Times New Roman" w:hAnsi="Times New Roman" w:cs="Times New Roman"/>
          <w:shd w:val="clear" w:color="auto" w:fill="FFFFFF"/>
        </w:rPr>
        <w:footnoteReference w:id="63"/>
      </w:r>
      <w:r w:rsidRPr="004530CF">
        <w:rPr>
          <w:rFonts w:ascii="Times New Roman" w:hAnsi="Times New Roman" w:cs="Times New Roman"/>
          <w:shd w:val="clear" w:color="auto" w:fill="FFFFFF"/>
        </w:rPr>
        <w:t>. En efecto, “</w:t>
      </w:r>
      <w:r w:rsidRPr="004530CF">
        <w:rPr>
          <w:rFonts w:ascii="Times New Roman" w:hAnsi="Times New Roman" w:cs="Times New Roman"/>
          <w:i/>
          <w:shd w:val="clear" w:color="auto" w:fill="FFFFFF"/>
        </w:rPr>
        <w:t>la invocación de rasgos que por su carácter genérico conducen siempre a concluir la asimilación de grupos o situaciones supondría una prof</w:t>
      </w:r>
      <w:r w:rsidRPr="004530CF">
        <w:rPr>
          <w:rFonts w:ascii="Times New Roman" w:hAnsi="Times New Roman" w:cs="Times New Roman"/>
          <w:i/>
          <w:shd w:val="clear" w:color="auto" w:fill="FFFFFF"/>
        </w:rPr>
        <w:t>unda limitación del margen de configuración del legislador</w:t>
      </w:r>
      <w:r w:rsidRPr="004530CF">
        <w:rPr>
          <w:rFonts w:ascii="Times New Roman" w:hAnsi="Times New Roman" w:cs="Times New Roman"/>
          <w:shd w:val="clear" w:color="auto" w:fill="FFFFFF"/>
        </w:rPr>
        <w:t>”</w:t>
      </w:r>
      <w:r w:rsidRPr="004530CF">
        <w:rPr>
          <w:rStyle w:val="Refdenotaalpie"/>
          <w:rFonts w:ascii="Times New Roman" w:hAnsi="Times New Roman" w:cs="Times New Roman"/>
          <w:shd w:val="clear" w:color="auto" w:fill="FFFFFF"/>
        </w:rPr>
        <w:footnoteReference w:id="64"/>
      </w:r>
      <w:r w:rsidRPr="004530CF">
        <w:rPr>
          <w:rFonts w:ascii="Times New Roman" w:hAnsi="Times New Roman" w:cs="Times New Roman"/>
          <w:shd w:val="clear" w:color="auto" w:fill="FFFFFF"/>
        </w:rPr>
        <w:t>,</w:t>
      </w:r>
      <w:r w:rsidRPr="004530CF">
        <w:rPr>
          <w:rFonts w:ascii="Times New Roman" w:hAnsi="Times New Roman" w:cs="Times New Roman"/>
          <w:shd w:val="clear" w:color="auto" w:fill="FFFFFF"/>
        </w:rPr>
        <w:t xml:space="preserve"> al tiempo que “</w:t>
      </w:r>
      <w:r w:rsidRPr="004530CF">
        <w:rPr>
          <w:rFonts w:ascii="Times New Roman" w:hAnsi="Times New Roman" w:cs="Times New Roman"/>
          <w:i/>
          <w:shd w:val="clear" w:color="auto" w:fill="FFFFFF"/>
        </w:rPr>
        <w:t>el empleo de rasgos que por su grado de especificidad conducen siempre a diferenciar, podría afectar la vigencia del mandato de igualdad como expresión básica de justicia</w:t>
      </w:r>
      <w:r w:rsidRPr="004530CF">
        <w:rPr>
          <w:rFonts w:ascii="Times New Roman" w:hAnsi="Times New Roman" w:cs="Times New Roman"/>
          <w:bdr w:val="none" w:sz="0" w:space="0" w:color="auto" w:frame="1"/>
          <w:shd w:val="clear" w:color="auto" w:fill="FFFFFF"/>
        </w:rPr>
        <w:t xml:space="preserve"> (…)”</w:t>
      </w:r>
      <w:r w:rsidRPr="004530CF">
        <w:rPr>
          <w:rStyle w:val="Refdenotaalpie"/>
          <w:rFonts w:ascii="Times New Roman" w:hAnsi="Times New Roman" w:cs="Times New Roman"/>
          <w:bdr w:val="none" w:sz="0" w:space="0" w:color="auto" w:frame="1"/>
          <w:shd w:val="clear" w:color="auto" w:fill="FFFFFF"/>
        </w:rPr>
        <w:footnoteReference w:id="65"/>
      </w:r>
      <w:r w:rsidRPr="004530CF">
        <w:rPr>
          <w:rFonts w:ascii="Times New Roman" w:hAnsi="Times New Roman" w:cs="Times New Roman"/>
          <w:bdr w:val="none" w:sz="0" w:space="0" w:color="auto" w:frame="1"/>
          <w:shd w:val="clear" w:color="auto" w:fill="FFFFFF"/>
        </w:rPr>
        <w:t>.</w:t>
      </w:r>
      <w:r w:rsidRPr="004530CF">
        <w:rPr>
          <w:rFonts w:ascii="Times New Roman" w:hAnsi="Times New Roman" w:cs="Times New Roman"/>
          <w:bdr w:val="none" w:sz="0" w:space="0" w:color="auto" w:frame="1"/>
          <w:shd w:val="clear" w:color="auto" w:fill="FFFFFF"/>
        </w:rPr>
        <w:t xml:space="preserve"> T</w:t>
      </w:r>
      <w:r w:rsidRPr="004530CF">
        <w:rPr>
          <w:rFonts w:ascii="Times New Roman" w:hAnsi="Times New Roman" w:cs="Times New Roman"/>
          <w:bdr w:val="none" w:sz="0" w:space="0" w:color="auto" w:frame="1"/>
          <w:shd w:val="clear" w:color="auto" w:fill="FFFFFF"/>
        </w:rPr>
        <w:t>al y como se precisará más adelante, la identificación adecuada del criterio de comparación no es el resultado de una actividad intuitiva de selección de rasgos. Se trata, por el contrario, de una labor analítica cuyo punto de partida es la</w:t>
      </w:r>
      <w:r w:rsidRPr="004530CF">
        <w:rPr>
          <w:rFonts w:ascii="Times New Roman" w:hAnsi="Times New Roman" w:cs="Times New Roman"/>
          <w:bdr w:val="none" w:sz="0" w:space="0" w:color="auto" w:frame="1"/>
          <w:shd w:val="clear" w:color="auto" w:fill="FFFFFF"/>
        </w:rPr>
        <w:t xml:space="preserve"> definición</w:t>
      </w:r>
      <w:r w:rsidRPr="004530CF">
        <w:rPr>
          <w:rFonts w:ascii="Times New Roman" w:hAnsi="Times New Roman" w:cs="Times New Roman"/>
          <w:bdr w:val="none" w:sz="0" w:space="0" w:color="auto" w:frame="1"/>
          <w:shd w:val="clear" w:color="auto" w:fill="FFFFFF"/>
        </w:rPr>
        <w:t xml:space="preserve"> de</w:t>
      </w:r>
      <w:r w:rsidRPr="004530CF">
        <w:rPr>
          <w:rFonts w:ascii="Times New Roman" w:hAnsi="Times New Roman" w:cs="Times New Roman"/>
          <w:bdr w:val="none" w:sz="0" w:space="0" w:color="auto" w:frame="1"/>
          <w:shd w:val="clear" w:color="auto" w:fill="FFFFFF"/>
        </w:rPr>
        <w:t xml:space="preserve"> la</w:t>
      </w:r>
      <w:r w:rsidRPr="004530CF">
        <w:rPr>
          <w:rFonts w:ascii="Times New Roman" w:hAnsi="Times New Roman" w:cs="Times New Roman"/>
          <w:bdr w:val="none" w:sz="0" w:space="0" w:color="auto" w:frame="1"/>
          <w:shd w:val="clear" w:color="auto" w:fill="FFFFFF"/>
        </w:rPr>
        <w:t xml:space="preserve"> finalidad </w:t>
      </w:r>
      <w:r w:rsidRPr="004530CF">
        <w:rPr>
          <w:rFonts w:ascii="Times New Roman" w:hAnsi="Times New Roman" w:cs="Times New Roman"/>
          <w:bdr w:val="none" w:sz="0" w:space="0" w:color="auto" w:frame="1"/>
          <w:shd w:val="clear" w:color="auto" w:fill="FFFFFF"/>
        </w:rPr>
        <w:t>que subyace a la disposición cuestionada</w:t>
      </w:r>
      <w:r w:rsidRPr="004530CF">
        <w:rPr>
          <w:rFonts w:ascii="Times New Roman" w:hAnsi="Times New Roman" w:cs="Times New Roman"/>
          <w:bdr w:val="none" w:sz="0" w:space="0" w:color="auto" w:frame="1"/>
          <w:shd w:val="clear" w:color="auto" w:fill="FFFFFF"/>
        </w:rPr>
        <w:t xml:space="preserve">. </w:t>
      </w:r>
    </w:p>
    <w:p w:rsidR="00431BA3" w:rsidRPr="004530CF" w:rsidRDefault="004530CF" w:rsidP="004C7B30">
      <w:pPr>
        <w:pStyle w:val="Numerales"/>
        <w:ind w:left="0" w:firstLine="0"/>
        <w:rPr>
          <w:rFonts w:ascii="Times New Roman" w:eastAsia="Cambria" w:hAnsi="Times New Roman" w:cs="Times New Roman"/>
        </w:rPr>
      </w:pPr>
    </w:p>
    <w:p w:rsidR="005154C7" w:rsidRPr="004530CF" w:rsidRDefault="004530CF" w:rsidP="004C7B30">
      <w:pPr>
        <w:pStyle w:val="Numerales"/>
        <w:numPr>
          <w:ilvl w:val="0"/>
          <w:numId w:val="3"/>
        </w:numPr>
        <w:ind w:left="0" w:firstLine="0"/>
        <w:rPr>
          <w:rFonts w:ascii="Times New Roman" w:eastAsia="Cambria" w:hAnsi="Times New Roman" w:cs="Times New Roman"/>
        </w:rPr>
      </w:pPr>
      <w:r w:rsidRPr="004530CF">
        <w:rPr>
          <w:rFonts w:ascii="Times New Roman" w:hAnsi="Times New Roman" w:cs="Times New Roman"/>
          <w:bdr w:val="none" w:sz="0" w:space="0" w:color="auto" w:frame="1"/>
          <w:shd w:val="clear" w:color="auto" w:fill="FFFFFF"/>
        </w:rPr>
        <w:t>Cuando</w:t>
      </w:r>
      <w:r w:rsidRPr="004530CF">
        <w:rPr>
          <w:rFonts w:ascii="Times New Roman" w:hAnsi="Times New Roman" w:cs="Times New Roman"/>
          <w:bdr w:val="none" w:sz="0" w:space="0" w:color="auto" w:frame="1"/>
          <w:shd w:val="clear" w:color="auto" w:fill="FFFFFF"/>
        </w:rPr>
        <w:t xml:space="preserve"> se</w:t>
      </w:r>
      <w:r w:rsidRPr="004530CF">
        <w:rPr>
          <w:rFonts w:ascii="Times New Roman" w:hAnsi="Times New Roman" w:cs="Times New Roman"/>
          <w:bdr w:val="none" w:sz="0" w:space="0" w:color="auto" w:frame="1"/>
          <w:shd w:val="clear" w:color="auto" w:fill="FFFFFF"/>
        </w:rPr>
        <w:t xml:space="preserve"> concluye que los grupos </w:t>
      </w:r>
      <w:r w:rsidRPr="004530CF">
        <w:rPr>
          <w:rFonts w:ascii="Times New Roman" w:hAnsi="Times New Roman" w:cs="Times New Roman"/>
          <w:bdr w:val="none" w:sz="0" w:space="0" w:color="auto" w:frame="1"/>
          <w:shd w:val="clear" w:color="auto" w:fill="FFFFFF"/>
        </w:rPr>
        <w:t xml:space="preserve">definidos </w:t>
      </w:r>
      <w:r w:rsidRPr="004530CF">
        <w:rPr>
          <w:rFonts w:ascii="Times New Roman" w:hAnsi="Times New Roman" w:cs="Times New Roman"/>
          <w:bdr w:val="none" w:sz="0" w:space="0" w:color="auto" w:frame="1"/>
          <w:shd w:val="clear" w:color="auto" w:fill="FFFFFF"/>
        </w:rPr>
        <w:t>por el demandante no pueden compararse</w:t>
      </w:r>
      <w:r w:rsidRPr="004530CF">
        <w:rPr>
          <w:rFonts w:ascii="Times New Roman" w:hAnsi="Times New Roman" w:cs="Times New Roman"/>
          <w:bdr w:val="none" w:sz="0" w:space="0" w:color="auto" w:frame="1"/>
          <w:shd w:val="clear" w:color="auto" w:fill="FFFFFF"/>
        </w:rPr>
        <w:t>, teniendo en cuenta el criterio que se ha identificado,</w:t>
      </w:r>
      <w:r w:rsidRPr="004530CF">
        <w:rPr>
          <w:rFonts w:ascii="Times New Roman" w:hAnsi="Times New Roman" w:cs="Times New Roman"/>
          <w:bdr w:val="none" w:sz="0" w:space="0" w:color="auto" w:frame="1"/>
          <w:shd w:val="clear" w:color="auto" w:fill="FFFFFF"/>
        </w:rPr>
        <w:t xml:space="preserve"> queda</w:t>
      </w:r>
      <w:r w:rsidRPr="004530CF">
        <w:rPr>
          <w:rFonts w:ascii="Times New Roman" w:hAnsi="Times New Roman" w:cs="Times New Roman"/>
          <w:bdr w:val="none" w:sz="0" w:space="0" w:color="auto" w:frame="1"/>
          <w:shd w:val="clear" w:color="auto" w:fill="FFFFFF"/>
        </w:rPr>
        <w:t>rá</w:t>
      </w:r>
      <w:r w:rsidRPr="004530CF">
        <w:rPr>
          <w:rFonts w:ascii="Times New Roman" w:hAnsi="Times New Roman" w:cs="Times New Roman"/>
          <w:bdr w:val="none" w:sz="0" w:space="0" w:color="auto" w:frame="1"/>
          <w:shd w:val="clear" w:color="auto" w:fill="FFFFFF"/>
        </w:rPr>
        <w:t xml:space="preserve"> descartada una afectación </w:t>
      </w:r>
      <w:r w:rsidRPr="004530CF">
        <w:rPr>
          <w:rFonts w:ascii="Times New Roman" w:hAnsi="Times New Roman" w:cs="Times New Roman"/>
          <w:bdr w:val="none" w:sz="0" w:space="0" w:color="auto" w:frame="1"/>
          <w:shd w:val="clear" w:color="auto" w:fill="FFFFFF"/>
        </w:rPr>
        <w:t xml:space="preserve">al </w:t>
      </w:r>
      <w:r w:rsidRPr="004530CF">
        <w:rPr>
          <w:rFonts w:ascii="Times New Roman" w:hAnsi="Times New Roman" w:cs="Times New Roman"/>
          <w:bdr w:val="none" w:sz="0" w:space="0" w:color="auto" w:frame="1"/>
          <w:shd w:val="clear" w:color="auto" w:fill="FFFFFF"/>
        </w:rPr>
        <w:t>mandato de trato igual</w:t>
      </w:r>
      <w:r w:rsidRPr="004530CF">
        <w:rPr>
          <w:rFonts w:ascii="Times New Roman" w:hAnsi="Times New Roman" w:cs="Times New Roman"/>
          <w:bdr w:val="none" w:sz="0" w:space="0" w:color="auto" w:frame="1"/>
          <w:shd w:val="clear" w:color="auto" w:fill="FFFFFF"/>
        </w:rPr>
        <w:t xml:space="preserve"> y, en consecuencia, la medida legislativa deberá declararse compatible con la Constitución. No será entonces necesario preguntarse por su justificación. </w:t>
      </w:r>
      <w:r w:rsidRPr="004530CF">
        <w:rPr>
          <w:rFonts w:ascii="Times New Roman" w:hAnsi="Times New Roman" w:cs="Times New Roman"/>
          <w:bdr w:val="none" w:sz="0" w:space="0" w:color="auto" w:frame="1"/>
          <w:shd w:val="clear" w:color="auto" w:fill="FFFFFF"/>
        </w:rPr>
        <w:t xml:space="preserve">      </w:t>
      </w:r>
      <w:r w:rsidRPr="004530CF">
        <w:rPr>
          <w:rFonts w:ascii="Times New Roman" w:hAnsi="Times New Roman" w:cs="Times New Roman"/>
          <w:bdr w:val="none" w:sz="0" w:space="0" w:color="auto" w:frame="1"/>
          <w:shd w:val="clear" w:color="auto" w:fill="FFFFFF"/>
        </w:rPr>
        <w:t xml:space="preserve"> </w:t>
      </w:r>
    </w:p>
    <w:p w:rsidR="005154C7" w:rsidRPr="004530CF" w:rsidRDefault="004530CF" w:rsidP="004C7B30">
      <w:pPr>
        <w:pStyle w:val="Prrafodelista"/>
        <w:ind w:left="0"/>
        <w:rPr>
          <w:rFonts w:ascii="Times New Roman" w:eastAsia="Cambria" w:hAnsi="Times New Roman" w:cs="Times New Roman"/>
          <w:sz w:val="28"/>
        </w:rPr>
      </w:pPr>
    </w:p>
    <w:p w:rsidR="005154C7"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eastAsia="Cambria" w:hAnsi="Times New Roman" w:cs="Times New Roman"/>
          <w:b/>
        </w:rPr>
        <w:t>Solo e</w:t>
      </w:r>
      <w:r w:rsidRPr="004530CF">
        <w:rPr>
          <w:rFonts w:ascii="Times New Roman" w:eastAsia="Cambria" w:hAnsi="Times New Roman" w:cs="Times New Roman"/>
          <w:b/>
        </w:rPr>
        <w:t xml:space="preserve">n caso de constatar una </w:t>
      </w:r>
      <w:r w:rsidRPr="004530CF">
        <w:rPr>
          <w:rFonts w:ascii="Times New Roman" w:eastAsia="Cambria" w:hAnsi="Times New Roman" w:cs="Times New Roman"/>
          <w:b/>
          <w:i/>
        </w:rPr>
        <w:t>afectación</w:t>
      </w:r>
      <w:r w:rsidRPr="004530CF">
        <w:rPr>
          <w:rFonts w:ascii="Times New Roman" w:eastAsia="Cambria" w:hAnsi="Times New Roman" w:cs="Times New Roman"/>
          <w:b/>
        </w:rPr>
        <w:t xml:space="preserve"> del mandato de trato igual debido a la existencia de</w:t>
      </w:r>
      <w:r w:rsidRPr="004530CF">
        <w:rPr>
          <w:rFonts w:ascii="Times New Roman" w:eastAsia="Cambria" w:hAnsi="Times New Roman" w:cs="Times New Roman"/>
          <w:b/>
        </w:rPr>
        <w:t xml:space="preserve"> un trato diverso entre grupos comparables, la Corte debe examinar si tal afectación</w:t>
      </w:r>
      <w:r w:rsidRPr="004530CF">
        <w:rPr>
          <w:rFonts w:ascii="Times New Roman" w:eastAsia="Cambria" w:hAnsi="Times New Roman" w:cs="Times New Roman"/>
          <w:b/>
        </w:rPr>
        <w:t xml:space="preserve"> tiene una</w:t>
      </w:r>
      <w:r w:rsidRPr="004530CF">
        <w:rPr>
          <w:rFonts w:ascii="Times New Roman" w:eastAsia="Cambria" w:hAnsi="Times New Roman" w:cs="Times New Roman"/>
          <w:b/>
        </w:rPr>
        <w:t xml:space="preserve"> justifica</w:t>
      </w:r>
      <w:r w:rsidRPr="004530CF">
        <w:rPr>
          <w:rFonts w:ascii="Times New Roman" w:eastAsia="Cambria" w:hAnsi="Times New Roman" w:cs="Times New Roman"/>
          <w:b/>
        </w:rPr>
        <w:t>ción</w:t>
      </w:r>
      <w:r w:rsidRPr="004530CF">
        <w:rPr>
          <w:rFonts w:ascii="Times New Roman" w:eastAsia="Cambria" w:hAnsi="Times New Roman" w:cs="Times New Roman"/>
          <w:b/>
        </w:rPr>
        <w:t>.</w:t>
      </w:r>
      <w:r w:rsidRPr="004530CF">
        <w:rPr>
          <w:rFonts w:ascii="Times New Roman" w:eastAsia="Cambria" w:hAnsi="Times New Roman" w:cs="Times New Roman"/>
        </w:rPr>
        <w:t xml:space="preserve"> En caso de no acreditarse deberá concluirse</w:t>
      </w:r>
      <w:r w:rsidRPr="004530CF">
        <w:rPr>
          <w:rFonts w:ascii="Times New Roman" w:eastAsia="Cambria" w:hAnsi="Times New Roman" w:cs="Times New Roman"/>
        </w:rPr>
        <w:t xml:space="preserve"> la violación de ese mandato</w:t>
      </w:r>
      <w:r w:rsidRPr="004530CF">
        <w:rPr>
          <w:rFonts w:ascii="Times New Roman" w:eastAsia="Cambria" w:hAnsi="Times New Roman" w:cs="Times New Roman"/>
        </w:rPr>
        <w:t xml:space="preserve">. </w:t>
      </w:r>
      <w:r w:rsidRPr="004530CF">
        <w:rPr>
          <w:rFonts w:ascii="Times New Roman" w:eastAsia="Cambria" w:hAnsi="Times New Roman" w:cs="Times New Roman"/>
        </w:rPr>
        <w:t>Dicho de otra forma, n</w:t>
      </w:r>
      <w:r w:rsidRPr="004530CF">
        <w:rPr>
          <w:rFonts w:ascii="Times New Roman" w:eastAsia="Cambria" w:hAnsi="Times New Roman" w:cs="Times New Roman"/>
        </w:rPr>
        <w:t xml:space="preserve">o toda afectación del mandato de </w:t>
      </w:r>
      <w:r w:rsidRPr="004530CF">
        <w:rPr>
          <w:rFonts w:ascii="Times New Roman" w:eastAsia="Cambria" w:hAnsi="Times New Roman" w:cs="Times New Roman"/>
        </w:rPr>
        <w:t xml:space="preserve">trato </w:t>
      </w:r>
      <w:r w:rsidRPr="004530CF">
        <w:rPr>
          <w:rFonts w:ascii="Times New Roman" w:eastAsia="Cambria" w:hAnsi="Times New Roman" w:cs="Times New Roman"/>
        </w:rPr>
        <w:t>igual</w:t>
      </w:r>
      <w:r w:rsidRPr="004530CF">
        <w:rPr>
          <w:rFonts w:ascii="Times New Roman" w:eastAsia="Cambria" w:hAnsi="Times New Roman" w:cs="Times New Roman"/>
        </w:rPr>
        <w:t xml:space="preserve"> es</w:t>
      </w:r>
      <w:r w:rsidRPr="004530CF">
        <w:rPr>
          <w:rFonts w:ascii="Times New Roman" w:eastAsia="Cambria" w:hAnsi="Times New Roman" w:cs="Times New Roman"/>
        </w:rPr>
        <w:t>,</w:t>
      </w:r>
      <w:r w:rsidRPr="004530CF">
        <w:rPr>
          <w:rFonts w:ascii="Times New Roman" w:eastAsia="Cambria" w:hAnsi="Times New Roman" w:cs="Times New Roman"/>
        </w:rPr>
        <w:t xml:space="preserve"> al mismo tiempo</w:t>
      </w:r>
      <w:r w:rsidRPr="004530CF">
        <w:rPr>
          <w:rFonts w:ascii="Times New Roman" w:eastAsia="Cambria" w:hAnsi="Times New Roman" w:cs="Times New Roman"/>
        </w:rPr>
        <w:t>,</w:t>
      </w:r>
      <w:r w:rsidRPr="004530CF">
        <w:rPr>
          <w:rFonts w:ascii="Times New Roman" w:eastAsia="Cambria" w:hAnsi="Times New Roman" w:cs="Times New Roman"/>
        </w:rPr>
        <w:t xml:space="preserve"> </w:t>
      </w:r>
      <w:r w:rsidRPr="004530CF">
        <w:rPr>
          <w:rFonts w:ascii="Times New Roman" w:eastAsia="Cambria" w:hAnsi="Times New Roman" w:cs="Times New Roman"/>
        </w:rPr>
        <w:t>su</w:t>
      </w:r>
      <w:r w:rsidRPr="004530CF">
        <w:rPr>
          <w:rFonts w:ascii="Times New Roman" w:eastAsia="Cambria" w:hAnsi="Times New Roman" w:cs="Times New Roman"/>
        </w:rPr>
        <w:t xml:space="preserve"> violación. </w:t>
      </w:r>
      <w:r w:rsidRPr="004530CF">
        <w:rPr>
          <w:rFonts w:ascii="Times New Roman" w:eastAsia="Cambria" w:hAnsi="Times New Roman" w:cs="Times New Roman"/>
        </w:rPr>
        <w:t xml:space="preserve">Es por eso que la jurisprudencia temprana de este </w:t>
      </w:r>
      <w:r w:rsidRPr="004530CF">
        <w:rPr>
          <w:rFonts w:ascii="Times New Roman" w:eastAsia="Cambria" w:hAnsi="Times New Roman" w:cs="Times New Roman"/>
        </w:rPr>
        <w:t>T</w:t>
      </w:r>
      <w:r w:rsidRPr="004530CF">
        <w:rPr>
          <w:rFonts w:ascii="Times New Roman" w:eastAsia="Cambria" w:hAnsi="Times New Roman" w:cs="Times New Roman"/>
        </w:rPr>
        <w:t xml:space="preserve">ribunal </w:t>
      </w:r>
      <w:r w:rsidRPr="004530CF">
        <w:rPr>
          <w:rFonts w:ascii="Times New Roman" w:eastAsia="Cambria" w:hAnsi="Times New Roman" w:cs="Times New Roman"/>
        </w:rPr>
        <w:t xml:space="preserve">indicó </w:t>
      </w:r>
      <w:r w:rsidRPr="004530CF">
        <w:rPr>
          <w:rFonts w:ascii="Times New Roman" w:eastAsia="Cambria" w:hAnsi="Times New Roman" w:cs="Times New Roman"/>
        </w:rPr>
        <w:t>que “</w:t>
      </w:r>
      <w:r w:rsidRPr="004530CF">
        <w:rPr>
          <w:rFonts w:ascii="Times New Roman" w:eastAsia="Cambria" w:hAnsi="Times New Roman" w:cs="Times New Roman"/>
          <w:i/>
          <w:iCs/>
        </w:rPr>
        <w:t>e</w:t>
      </w:r>
      <w:r w:rsidRPr="004530CF">
        <w:rPr>
          <w:rFonts w:ascii="Times New Roman" w:hAnsi="Times New Roman" w:cs="Times New Roman"/>
          <w:i/>
          <w:iCs/>
          <w:shd w:val="clear" w:color="auto" w:fill="FFFFFF"/>
        </w:rPr>
        <w:t>l núcleo del principio de igualdad queda establecido en términos de la razón suficiente que justifique el trato desigual</w:t>
      </w:r>
      <w:r w:rsidRPr="004530CF">
        <w:rPr>
          <w:rFonts w:ascii="Times New Roman" w:hAnsi="Times New Roman" w:cs="Times New Roman"/>
          <w:shd w:val="clear" w:color="auto" w:fill="FFFFFF"/>
        </w:rPr>
        <w:t>”</w:t>
      </w:r>
      <w:r w:rsidRPr="004530CF">
        <w:rPr>
          <w:rStyle w:val="Refdenotaalpie"/>
          <w:rFonts w:ascii="Times New Roman" w:hAnsi="Times New Roman" w:cs="Times New Roman"/>
          <w:shd w:val="clear" w:color="auto" w:fill="FFFFFF"/>
        </w:rPr>
        <w:footnoteReference w:id="66"/>
      </w:r>
      <w:r w:rsidRPr="004530CF">
        <w:rPr>
          <w:rFonts w:ascii="Times New Roman" w:hAnsi="Times New Roman" w:cs="Times New Roman"/>
          <w:shd w:val="clear" w:color="auto" w:fill="FFFFFF"/>
        </w:rPr>
        <w:t xml:space="preserve">. </w:t>
      </w:r>
      <w:r w:rsidRPr="004530CF">
        <w:rPr>
          <w:rFonts w:ascii="Times New Roman" w:eastAsia="Cambria" w:hAnsi="Times New Roman" w:cs="Times New Roman"/>
        </w:rPr>
        <w:t>P</w:t>
      </w:r>
      <w:r w:rsidRPr="004530CF">
        <w:rPr>
          <w:rFonts w:ascii="Times New Roman" w:eastAsia="Cambria" w:hAnsi="Times New Roman" w:cs="Times New Roman"/>
        </w:rPr>
        <w:t xml:space="preserve">ara establecer si el trato </w:t>
      </w:r>
      <w:r w:rsidRPr="004530CF">
        <w:rPr>
          <w:rFonts w:ascii="Times New Roman" w:eastAsia="Cambria" w:hAnsi="Times New Roman" w:cs="Times New Roman"/>
        </w:rPr>
        <w:t xml:space="preserve">diferente </w:t>
      </w:r>
      <w:r w:rsidRPr="004530CF">
        <w:rPr>
          <w:rFonts w:ascii="Times New Roman" w:eastAsia="Cambria" w:hAnsi="Times New Roman" w:cs="Times New Roman"/>
        </w:rPr>
        <w:t>entre grupos comparables viola la Constitución</w:t>
      </w:r>
      <w:r w:rsidRPr="004530CF">
        <w:rPr>
          <w:rFonts w:ascii="Times New Roman" w:eastAsia="Cambria" w:hAnsi="Times New Roman" w:cs="Times New Roman"/>
        </w:rPr>
        <w:t>,</w:t>
      </w:r>
      <w:r w:rsidRPr="004530CF">
        <w:rPr>
          <w:rFonts w:ascii="Times New Roman" w:eastAsia="Cambria" w:hAnsi="Times New Roman" w:cs="Times New Roman"/>
        </w:rPr>
        <w:t xml:space="preserve"> </w:t>
      </w:r>
      <w:r w:rsidRPr="004530CF">
        <w:rPr>
          <w:rFonts w:ascii="Times New Roman" w:eastAsia="Cambria" w:hAnsi="Times New Roman" w:cs="Times New Roman"/>
        </w:rPr>
        <w:t>la Corte ha establecido un instrumento metodológico conocido como el juicio integrado de igualdad</w:t>
      </w:r>
      <w:r w:rsidRPr="004530CF">
        <w:rPr>
          <w:rStyle w:val="Refdenotaalpie"/>
          <w:rFonts w:ascii="Times New Roman" w:eastAsia="Cambria" w:hAnsi="Times New Roman" w:cs="Times New Roman"/>
        </w:rPr>
        <w:footnoteReference w:id="67"/>
      </w:r>
      <w:r w:rsidRPr="004530CF">
        <w:rPr>
          <w:rFonts w:ascii="Times New Roman" w:eastAsia="Cambria" w:hAnsi="Times New Roman" w:cs="Times New Roman"/>
        </w:rPr>
        <w:t xml:space="preserve">. </w:t>
      </w:r>
    </w:p>
    <w:p w:rsidR="005154C7" w:rsidRPr="004530CF" w:rsidRDefault="004530CF" w:rsidP="004C7B30">
      <w:pPr>
        <w:pStyle w:val="Prrafodelista"/>
        <w:ind w:left="0"/>
        <w:rPr>
          <w:rFonts w:ascii="Times New Roman" w:hAnsi="Times New Roman" w:cs="Times New Roman"/>
          <w:sz w:val="28"/>
        </w:rPr>
      </w:pPr>
    </w:p>
    <w:p w:rsidR="005154C7"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b/>
        </w:rPr>
        <w:t>Antes de la aplicación de ese juicio</w:t>
      </w:r>
      <w:r w:rsidRPr="004530CF">
        <w:rPr>
          <w:rFonts w:ascii="Times New Roman" w:hAnsi="Times New Roman" w:cs="Times New Roman"/>
          <w:b/>
        </w:rPr>
        <w:t>,</w:t>
      </w:r>
      <w:r w:rsidRPr="004530CF">
        <w:rPr>
          <w:rFonts w:ascii="Times New Roman" w:hAnsi="Times New Roman" w:cs="Times New Roman"/>
          <w:b/>
        </w:rPr>
        <w:t xml:space="preserve"> es necesario </w:t>
      </w:r>
      <w:r w:rsidRPr="004530CF">
        <w:rPr>
          <w:rFonts w:ascii="Times New Roman" w:hAnsi="Times New Roman" w:cs="Times New Roman"/>
          <w:b/>
        </w:rPr>
        <w:t>definir la intensidad con la cual corresponde</w:t>
      </w:r>
      <w:r w:rsidRPr="004530CF">
        <w:rPr>
          <w:rFonts w:ascii="Times New Roman" w:hAnsi="Times New Roman" w:cs="Times New Roman"/>
          <w:b/>
        </w:rPr>
        <w:t xml:space="preserve"> examinar la medida</w:t>
      </w:r>
      <w:r w:rsidRPr="004530CF">
        <w:rPr>
          <w:rFonts w:ascii="Times New Roman" w:hAnsi="Times New Roman" w:cs="Times New Roman"/>
        </w:rPr>
        <w:t xml:space="preserve">. Ello debe hacerse en función </w:t>
      </w:r>
      <w:r w:rsidRPr="004530CF">
        <w:rPr>
          <w:rFonts w:ascii="Times New Roman" w:hAnsi="Times New Roman" w:cs="Times New Roman"/>
        </w:rPr>
        <w:t xml:space="preserve">del tipo de </w:t>
      </w:r>
      <w:r w:rsidRPr="004530CF">
        <w:rPr>
          <w:rFonts w:ascii="Times New Roman" w:hAnsi="Times New Roman" w:cs="Times New Roman"/>
          <w:i/>
        </w:rPr>
        <w:t>bienes</w:t>
      </w:r>
      <w:r w:rsidRPr="004530CF">
        <w:rPr>
          <w:rFonts w:ascii="Times New Roman" w:hAnsi="Times New Roman" w:cs="Times New Roman"/>
        </w:rPr>
        <w:t xml:space="preserve"> que se distribuyen</w:t>
      </w:r>
      <w:r w:rsidRPr="004530CF">
        <w:rPr>
          <w:rFonts w:ascii="Times New Roman" w:hAnsi="Times New Roman" w:cs="Times New Roman"/>
        </w:rPr>
        <w:t xml:space="preserve"> mediante</w:t>
      </w:r>
      <w:r w:rsidRPr="004530CF">
        <w:rPr>
          <w:rFonts w:ascii="Times New Roman" w:hAnsi="Times New Roman" w:cs="Times New Roman"/>
        </w:rPr>
        <w:t xml:space="preserve"> </w:t>
      </w:r>
      <w:r w:rsidRPr="004530CF">
        <w:rPr>
          <w:rFonts w:ascii="Times New Roman" w:hAnsi="Times New Roman" w:cs="Times New Roman"/>
        </w:rPr>
        <w:t xml:space="preserve">el </w:t>
      </w:r>
      <w:r w:rsidRPr="004530CF">
        <w:rPr>
          <w:rFonts w:ascii="Times New Roman" w:hAnsi="Times New Roman" w:cs="Times New Roman"/>
        </w:rPr>
        <w:t>trato diverso</w:t>
      </w:r>
      <w:r w:rsidRPr="004530CF">
        <w:rPr>
          <w:rFonts w:ascii="Times New Roman" w:hAnsi="Times New Roman" w:cs="Times New Roman"/>
        </w:rPr>
        <w:t xml:space="preserve">, el margen de configuración del que dispone el legislador según el texto de la Constitución, así como la afectación </w:t>
      </w:r>
      <w:r w:rsidRPr="004530CF">
        <w:rPr>
          <w:rFonts w:ascii="Times New Roman" w:hAnsi="Times New Roman" w:cs="Times New Roman"/>
        </w:rPr>
        <w:t xml:space="preserve">de los diferentes </w:t>
      </w:r>
      <w:r w:rsidRPr="004530CF">
        <w:rPr>
          <w:rFonts w:ascii="Times New Roman" w:hAnsi="Times New Roman" w:cs="Times New Roman"/>
        </w:rPr>
        <w:t>interese</w:t>
      </w:r>
      <w:r w:rsidRPr="004530CF">
        <w:rPr>
          <w:rFonts w:ascii="Times New Roman" w:hAnsi="Times New Roman" w:cs="Times New Roman"/>
        </w:rPr>
        <w:t>s constitucionales. La jurisprudencia ha identificado un conjunto de criterios que podrían orientar la definición de la intensidad. Así</w:t>
      </w:r>
      <w:r w:rsidRPr="004530CF">
        <w:rPr>
          <w:rFonts w:ascii="Times New Roman" w:hAnsi="Times New Roman" w:cs="Times New Roman"/>
        </w:rPr>
        <w:t>,</w:t>
      </w:r>
      <w:r w:rsidRPr="004530CF">
        <w:rPr>
          <w:rFonts w:ascii="Times New Roman" w:hAnsi="Times New Roman" w:cs="Times New Roman"/>
        </w:rPr>
        <w:t xml:space="preserve"> por ejemplo</w:t>
      </w:r>
      <w:r w:rsidRPr="004530CF">
        <w:rPr>
          <w:rFonts w:ascii="Times New Roman" w:hAnsi="Times New Roman" w:cs="Times New Roman"/>
        </w:rPr>
        <w:t>,</w:t>
      </w:r>
      <w:r w:rsidRPr="004530CF">
        <w:rPr>
          <w:rFonts w:ascii="Times New Roman" w:hAnsi="Times New Roman" w:cs="Times New Roman"/>
        </w:rPr>
        <w:t xml:space="preserve"> ha señalado que un escrutinio </w:t>
      </w:r>
      <w:r w:rsidRPr="004530CF">
        <w:rPr>
          <w:rFonts w:ascii="Times New Roman" w:hAnsi="Times New Roman" w:cs="Times New Roman"/>
        </w:rPr>
        <w:t>de</w:t>
      </w:r>
      <w:r w:rsidRPr="004530CF">
        <w:rPr>
          <w:rFonts w:ascii="Times New Roman" w:hAnsi="Times New Roman" w:cs="Times New Roman"/>
          <w:i/>
        </w:rPr>
        <w:t xml:space="preserve"> intensidad </w:t>
      </w:r>
      <w:r w:rsidRPr="004530CF">
        <w:rPr>
          <w:rFonts w:ascii="Times New Roman" w:hAnsi="Times New Roman" w:cs="Times New Roman"/>
          <w:i/>
        </w:rPr>
        <w:t>estrict</w:t>
      </w:r>
      <w:r w:rsidRPr="004530CF">
        <w:rPr>
          <w:rFonts w:ascii="Times New Roman" w:hAnsi="Times New Roman" w:cs="Times New Roman"/>
          <w:i/>
        </w:rPr>
        <w:t>a</w:t>
      </w:r>
      <w:r w:rsidRPr="004530CF">
        <w:rPr>
          <w:rFonts w:ascii="Times New Roman" w:hAnsi="Times New Roman" w:cs="Times New Roman"/>
        </w:rPr>
        <w:t xml:space="preserve"> debe aplicarse en aquellos casos en los cuales la med</w:t>
      </w:r>
      <w:r w:rsidRPr="004530CF">
        <w:rPr>
          <w:rFonts w:ascii="Times New Roman" w:hAnsi="Times New Roman" w:cs="Times New Roman"/>
        </w:rPr>
        <w:t>ida examinada restringe el goce de un derecho constitucional fundamental, afecta a grupos especialmente protegidos por la Constitución</w:t>
      </w:r>
      <w:r w:rsidRPr="004530CF">
        <w:rPr>
          <w:rFonts w:ascii="Times New Roman" w:hAnsi="Times New Roman" w:cs="Times New Roman"/>
        </w:rPr>
        <w:t>,</w:t>
      </w:r>
      <w:r w:rsidRPr="004530CF">
        <w:rPr>
          <w:rFonts w:ascii="Times New Roman" w:hAnsi="Times New Roman" w:cs="Times New Roman"/>
        </w:rPr>
        <w:t xml:space="preserve"> o emplea categorías constitucionalmente sospechosas. El juicio de </w:t>
      </w:r>
      <w:r w:rsidRPr="004530CF">
        <w:rPr>
          <w:rFonts w:ascii="Times New Roman" w:hAnsi="Times New Roman" w:cs="Times New Roman"/>
          <w:i/>
        </w:rPr>
        <w:t>intensidad débil</w:t>
      </w:r>
      <w:r w:rsidRPr="004530CF">
        <w:rPr>
          <w:rFonts w:ascii="Times New Roman" w:hAnsi="Times New Roman" w:cs="Times New Roman"/>
        </w:rPr>
        <w:t xml:space="preserve"> suele ser aplicable en aquellos casos</w:t>
      </w:r>
      <w:r w:rsidRPr="004530CF">
        <w:rPr>
          <w:rFonts w:ascii="Times New Roman" w:hAnsi="Times New Roman" w:cs="Times New Roman"/>
        </w:rPr>
        <w:t xml:space="preserve"> en los cuales es posible identificar un amplio margen de configuración del legislador</w:t>
      </w:r>
      <w:r w:rsidRPr="004530CF">
        <w:rPr>
          <w:rFonts w:ascii="Times New Roman" w:hAnsi="Times New Roman" w:cs="Times New Roman"/>
        </w:rPr>
        <w:t>,</w:t>
      </w:r>
      <w:r w:rsidRPr="004530CF">
        <w:rPr>
          <w:rFonts w:ascii="Times New Roman" w:hAnsi="Times New Roman" w:cs="Times New Roman"/>
        </w:rPr>
        <w:t xml:space="preserve"> tal y como ocurre cuando la medida fue adoptada en desarrollo de una competencia constitucional específica o se trata de asuntos que, por su naturaleza, admiten múltipl</w:t>
      </w:r>
      <w:r w:rsidRPr="004530CF">
        <w:rPr>
          <w:rFonts w:ascii="Times New Roman" w:hAnsi="Times New Roman" w:cs="Times New Roman"/>
        </w:rPr>
        <w:t xml:space="preserve">es y variables opciones regulatorias. Finalmente, el juicio </w:t>
      </w:r>
      <w:r w:rsidRPr="004530CF">
        <w:rPr>
          <w:rFonts w:ascii="Times New Roman" w:hAnsi="Times New Roman" w:cs="Times New Roman"/>
        </w:rPr>
        <w:t xml:space="preserve">de </w:t>
      </w:r>
      <w:r w:rsidRPr="004530CF">
        <w:rPr>
          <w:rFonts w:ascii="Times New Roman" w:hAnsi="Times New Roman" w:cs="Times New Roman"/>
          <w:i/>
        </w:rPr>
        <w:t xml:space="preserve">intensidad </w:t>
      </w:r>
      <w:r w:rsidRPr="004530CF">
        <w:rPr>
          <w:rFonts w:ascii="Times New Roman" w:hAnsi="Times New Roman" w:cs="Times New Roman"/>
          <w:i/>
        </w:rPr>
        <w:t>intermedi</w:t>
      </w:r>
      <w:r w:rsidRPr="004530CF">
        <w:rPr>
          <w:rFonts w:ascii="Times New Roman" w:hAnsi="Times New Roman" w:cs="Times New Roman"/>
          <w:i/>
        </w:rPr>
        <w:t>a</w:t>
      </w:r>
      <w:r w:rsidRPr="004530CF">
        <w:rPr>
          <w:rFonts w:ascii="Times New Roman" w:hAnsi="Times New Roman" w:cs="Times New Roman"/>
        </w:rPr>
        <w:t xml:space="preserve"> puede ser el aplicable en aquellos casos en los cuales se afecta el goce de un derecho constitucional no fundamental o se adoptan medidas de discriminación inversa</w:t>
      </w:r>
      <w:r w:rsidRPr="004530CF">
        <w:rPr>
          <w:rStyle w:val="Refdenotaalpie"/>
          <w:rFonts w:ascii="Times New Roman" w:hAnsi="Times New Roman" w:cs="Times New Roman"/>
        </w:rPr>
        <w:footnoteReference w:id="68"/>
      </w:r>
      <w:r w:rsidRPr="004530CF">
        <w:rPr>
          <w:rFonts w:ascii="Times New Roman" w:hAnsi="Times New Roman" w:cs="Times New Roman"/>
        </w:rPr>
        <w:t>.</w:t>
      </w:r>
      <w:r w:rsidRPr="004530CF">
        <w:rPr>
          <w:rFonts w:ascii="Times New Roman" w:hAnsi="Times New Roman" w:cs="Times New Roman"/>
        </w:rPr>
        <w:t xml:space="preserve"> Sin duda, en su desarrollo, la Corte ha incluido otros supuestos adicionales en cada uno de ellos, por lo que esta exposición corresponde a una presentación general del mismo, sin el ánimo de agotar las distintas categorizaciones que se han realizado. </w:t>
      </w:r>
    </w:p>
    <w:p w:rsidR="005154C7" w:rsidRPr="004530CF" w:rsidRDefault="004530CF" w:rsidP="004C7B30">
      <w:pPr>
        <w:pStyle w:val="Prrafodelista"/>
        <w:ind w:left="0"/>
        <w:rPr>
          <w:rFonts w:ascii="Times New Roman" w:hAnsi="Times New Roman" w:cs="Times New Roman"/>
          <w:sz w:val="28"/>
        </w:rPr>
      </w:pPr>
    </w:p>
    <w:p w:rsidR="005154C7"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rPr>
        <w:t>L</w:t>
      </w:r>
      <w:r w:rsidRPr="004530CF">
        <w:rPr>
          <w:rFonts w:ascii="Times New Roman" w:hAnsi="Times New Roman" w:cs="Times New Roman"/>
        </w:rPr>
        <w:t>a definición de la intensidad del juicio es especialmente difícil.</w:t>
      </w:r>
      <w:r w:rsidRPr="004530CF">
        <w:rPr>
          <w:rFonts w:ascii="Times New Roman" w:hAnsi="Times New Roman" w:cs="Times New Roman"/>
        </w:rPr>
        <w:t xml:space="preserve"> </w:t>
      </w:r>
      <w:r w:rsidRPr="004530CF">
        <w:rPr>
          <w:rFonts w:ascii="Times New Roman" w:hAnsi="Times New Roman" w:cs="Times New Roman"/>
        </w:rPr>
        <w:t>N</w:t>
      </w:r>
      <w:r w:rsidRPr="004530CF">
        <w:rPr>
          <w:rFonts w:ascii="Times New Roman" w:hAnsi="Times New Roman" w:cs="Times New Roman"/>
        </w:rPr>
        <w:t>o solo porque no existe una lista exhaustiva de criterios, sino porque resulta posible que al realizar esta evaluación concurran criterios que simultáneamente exijan juicios de diferente i</w:t>
      </w:r>
      <w:r w:rsidRPr="004530CF">
        <w:rPr>
          <w:rFonts w:ascii="Times New Roman" w:hAnsi="Times New Roman" w:cs="Times New Roman"/>
        </w:rPr>
        <w:t>ntensidad</w:t>
      </w:r>
      <w:r w:rsidRPr="004530CF">
        <w:rPr>
          <w:rStyle w:val="Refdenotaalpie"/>
          <w:rFonts w:ascii="Times New Roman" w:hAnsi="Times New Roman" w:cs="Times New Roman"/>
        </w:rPr>
        <w:footnoteReference w:id="69"/>
      </w:r>
      <w:r w:rsidRPr="004530CF">
        <w:rPr>
          <w:rFonts w:ascii="Times New Roman" w:hAnsi="Times New Roman" w:cs="Times New Roman"/>
        </w:rPr>
        <w:t>. Esta dificultad puede presentarse, por ejemplo, en aquellos casos en los cuales la medida adoptada impone una restricción significativa a un derecho fundamental y, al mismo tiempo, fue adoptada por el Congreso de la República</w:t>
      </w:r>
      <w:r w:rsidRPr="004530CF">
        <w:rPr>
          <w:rFonts w:ascii="Times New Roman" w:hAnsi="Times New Roman" w:cs="Times New Roman"/>
        </w:rPr>
        <w:t>,</w:t>
      </w:r>
      <w:r w:rsidRPr="004530CF">
        <w:rPr>
          <w:rFonts w:ascii="Times New Roman" w:hAnsi="Times New Roman" w:cs="Times New Roman"/>
        </w:rPr>
        <w:t xml:space="preserve"> al amparo de una </w:t>
      </w:r>
      <w:r w:rsidRPr="004530CF">
        <w:rPr>
          <w:rFonts w:ascii="Times New Roman" w:hAnsi="Times New Roman" w:cs="Times New Roman"/>
        </w:rPr>
        <w:t>norma constitucional que le atribuye una competencia específica.</w:t>
      </w:r>
      <w:r w:rsidRPr="004530CF">
        <w:rPr>
          <w:rFonts w:ascii="Times New Roman" w:hAnsi="Times New Roman" w:cs="Times New Roman"/>
        </w:rPr>
        <w:t xml:space="preserve"> La complejidad de esta tarea</w:t>
      </w:r>
      <w:r w:rsidRPr="004530CF">
        <w:rPr>
          <w:rFonts w:ascii="Times New Roman" w:hAnsi="Times New Roman" w:cs="Times New Roman"/>
        </w:rPr>
        <w:t xml:space="preserve"> </w:t>
      </w:r>
      <w:r w:rsidRPr="004530CF">
        <w:rPr>
          <w:rFonts w:ascii="Times New Roman" w:hAnsi="Times New Roman" w:cs="Times New Roman"/>
        </w:rPr>
        <w:t xml:space="preserve">excluye </w:t>
      </w:r>
      <w:r w:rsidRPr="004530CF">
        <w:rPr>
          <w:rFonts w:ascii="Times New Roman" w:hAnsi="Times New Roman" w:cs="Times New Roman"/>
        </w:rPr>
        <w:t>cualquier escrutinio superficial o automático</w:t>
      </w:r>
      <w:r w:rsidRPr="004530CF">
        <w:rPr>
          <w:rFonts w:ascii="Times New Roman" w:hAnsi="Times New Roman" w:cs="Times New Roman"/>
        </w:rPr>
        <w:t>.</w:t>
      </w:r>
      <w:r w:rsidRPr="004530CF">
        <w:rPr>
          <w:rFonts w:ascii="Times New Roman" w:hAnsi="Times New Roman" w:cs="Times New Roman"/>
        </w:rPr>
        <w:t xml:space="preserve"> </w:t>
      </w:r>
      <w:r w:rsidRPr="004530CF">
        <w:rPr>
          <w:rFonts w:ascii="Times New Roman" w:hAnsi="Times New Roman" w:cs="Times New Roman"/>
        </w:rPr>
        <w:t>Le</w:t>
      </w:r>
      <w:r w:rsidRPr="004530CF">
        <w:rPr>
          <w:rFonts w:ascii="Times New Roman" w:hAnsi="Times New Roman" w:cs="Times New Roman"/>
        </w:rPr>
        <w:t xml:space="preserve"> impone a esta Corporación evaluar con cuidado cada uno de los criterios relevantes a fin de definir, cuá</w:t>
      </w:r>
      <w:r w:rsidRPr="004530CF">
        <w:rPr>
          <w:rFonts w:ascii="Times New Roman" w:hAnsi="Times New Roman" w:cs="Times New Roman"/>
        </w:rPr>
        <w:t xml:space="preserve">l es </w:t>
      </w:r>
      <w:r w:rsidRPr="004530CF">
        <w:rPr>
          <w:rFonts w:ascii="Times New Roman" w:hAnsi="Times New Roman" w:cs="Times New Roman"/>
        </w:rPr>
        <w:t>la mejor perspectiva o el</w:t>
      </w:r>
      <w:r w:rsidRPr="004530CF">
        <w:rPr>
          <w:rFonts w:ascii="Times New Roman" w:hAnsi="Times New Roman" w:cs="Times New Roman"/>
        </w:rPr>
        <w:t xml:space="preserve"> </w:t>
      </w:r>
      <w:r w:rsidRPr="004530CF">
        <w:rPr>
          <w:rFonts w:ascii="Times New Roman" w:hAnsi="Times New Roman" w:cs="Times New Roman"/>
          <w:i/>
        </w:rPr>
        <w:t>lente</w:t>
      </w:r>
      <w:r w:rsidRPr="004530CF">
        <w:rPr>
          <w:rFonts w:ascii="Times New Roman" w:hAnsi="Times New Roman" w:cs="Times New Roman"/>
        </w:rPr>
        <w:t xml:space="preserve"> adecuado</w:t>
      </w:r>
      <w:r w:rsidRPr="004530CF">
        <w:rPr>
          <w:rFonts w:ascii="Times New Roman" w:hAnsi="Times New Roman" w:cs="Times New Roman"/>
        </w:rPr>
        <w:t>,</w:t>
      </w:r>
      <w:r w:rsidRPr="004530CF">
        <w:rPr>
          <w:rFonts w:ascii="Times New Roman" w:hAnsi="Times New Roman" w:cs="Times New Roman"/>
        </w:rPr>
        <w:t xml:space="preserve"> para comprender el problema</w:t>
      </w:r>
      <w:r w:rsidRPr="004530CF">
        <w:rPr>
          <w:rFonts w:ascii="Times New Roman" w:hAnsi="Times New Roman" w:cs="Times New Roman"/>
        </w:rPr>
        <w:t xml:space="preserve"> </w:t>
      </w:r>
      <w:r w:rsidRPr="004530CF">
        <w:rPr>
          <w:rFonts w:ascii="Times New Roman" w:hAnsi="Times New Roman" w:cs="Times New Roman"/>
        </w:rPr>
        <w:t xml:space="preserve">constitucional </w:t>
      </w:r>
      <w:r w:rsidRPr="004530CF">
        <w:rPr>
          <w:rFonts w:ascii="Times New Roman" w:hAnsi="Times New Roman" w:cs="Times New Roman"/>
        </w:rPr>
        <w:t xml:space="preserve">que se ha puesto a su consideración. </w:t>
      </w:r>
      <w:r w:rsidRPr="004530CF">
        <w:rPr>
          <w:rFonts w:ascii="Times New Roman" w:hAnsi="Times New Roman" w:cs="Times New Roman"/>
        </w:rPr>
        <w:t xml:space="preserve"> </w:t>
      </w:r>
    </w:p>
    <w:p w:rsidR="005154C7" w:rsidRPr="004530CF" w:rsidRDefault="004530CF" w:rsidP="004C7B30">
      <w:pPr>
        <w:pStyle w:val="Prrafodelista"/>
        <w:ind w:left="0"/>
        <w:rPr>
          <w:rFonts w:ascii="Times New Roman" w:hAnsi="Times New Roman" w:cs="Times New Roman"/>
          <w:sz w:val="28"/>
        </w:rPr>
      </w:pPr>
    </w:p>
    <w:p w:rsidR="005154C7"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b/>
        </w:rPr>
        <w:t>Luego de que ha sido definida la intensidad del juicio corresponde aplicar sus etapas</w:t>
      </w:r>
      <w:r w:rsidRPr="004530CF">
        <w:rPr>
          <w:rFonts w:ascii="Times New Roman" w:hAnsi="Times New Roman" w:cs="Times New Roman"/>
        </w:rPr>
        <w:t xml:space="preserve">. En el caso del juicio de </w:t>
      </w:r>
      <w:r w:rsidRPr="004530CF">
        <w:rPr>
          <w:rFonts w:ascii="Times New Roman" w:hAnsi="Times New Roman" w:cs="Times New Roman"/>
          <w:i/>
        </w:rPr>
        <w:t>intensidad est</w:t>
      </w:r>
      <w:r w:rsidRPr="004530CF">
        <w:rPr>
          <w:rFonts w:ascii="Times New Roman" w:hAnsi="Times New Roman" w:cs="Times New Roman"/>
          <w:i/>
        </w:rPr>
        <w:t>ricta</w:t>
      </w:r>
      <w:r w:rsidRPr="004530CF">
        <w:rPr>
          <w:rFonts w:ascii="Times New Roman" w:hAnsi="Times New Roman" w:cs="Times New Roman"/>
        </w:rPr>
        <w:t>,</w:t>
      </w:r>
      <w:r w:rsidRPr="004530CF">
        <w:rPr>
          <w:rFonts w:ascii="Times New Roman" w:hAnsi="Times New Roman" w:cs="Times New Roman"/>
        </w:rPr>
        <w:t xml:space="preserve"> el trato diferente será constitucional</w:t>
      </w:r>
      <w:r w:rsidRPr="004530CF">
        <w:rPr>
          <w:rFonts w:ascii="Times New Roman" w:hAnsi="Times New Roman" w:cs="Times New Roman"/>
        </w:rPr>
        <w:t>,</w:t>
      </w:r>
      <w:r w:rsidRPr="004530CF">
        <w:rPr>
          <w:rFonts w:ascii="Times New Roman" w:hAnsi="Times New Roman" w:cs="Times New Roman"/>
        </w:rPr>
        <w:t xml:space="preserve"> si </w:t>
      </w:r>
      <w:r w:rsidRPr="004530CF">
        <w:rPr>
          <w:rFonts w:ascii="Times New Roman" w:hAnsi="Times New Roman" w:cs="Times New Roman"/>
        </w:rPr>
        <w:t>y solo si</w:t>
      </w:r>
      <w:r w:rsidRPr="004530CF">
        <w:rPr>
          <w:rFonts w:ascii="Times New Roman" w:hAnsi="Times New Roman" w:cs="Times New Roman"/>
        </w:rPr>
        <w:t>,</w:t>
      </w:r>
      <w:r w:rsidRPr="004530CF">
        <w:rPr>
          <w:rFonts w:ascii="Times New Roman" w:hAnsi="Times New Roman" w:cs="Times New Roman"/>
        </w:rPr>
        <w:t xml:space="preserve"> </w:t>
      </w:r>
      <w:r w:rsidRPr="004530CF">
        <w:rPr>
          <w:rFonts w:ascii="Times New Roman" w:hAnsi="Times New Roman" w:cs="Times New Roman"/>
        </w:rPr>
        <w:t xml:space="preserve">(i) persigue una finalidad constitucionalmente imperiosa, (ii) es efectivamente conducente para alcanzar tal propósito, (iii) no existen medios alternativos menos restrictivos </w:t>
      </w:r>
      <w:r w:rsidRPr="004530CF">
        <w:rPr>
          <w:rFonts w:ascii="Times New Roman" w:hAnsi="Times New Roman" w:cs="Times New Roman"/>
        </w:rPr>
        <w:t xml:space="preserve">para los intereses </w:t>
      </w:r>
      <w:r w:rsidRPr="004530CF">
        <w:rPr>
          <w:rFonts w:ascii="Times New Roman" w:hAnsi="Times New Roman" w:cs="Times New Roman"/>
        </w:rPr>
        <w:t xml:space="preserve">comprometidos </w:t>
      </w:r>
      <w:r w:rsidRPr="004530CF">
        <w:rPr>
          <w:rFonts w:ascii="Times New Roman" w:hAnsi="Times New Roman" w:cs="Times New Roman"/>
        </w:rPr>
        <w:t xml:space="preserve">y </w:t>
      </w:r>
      <w:r w:rsidRPr="004530CF">
        <w:rPr>
          <w:rFonts w:ascii="Times New Roman" w:hAnsi="Times New Roman" w:cs="Times New Roman"/>
        </w:rPr>
        <w:t xml:space="preserve">que </w:t>
      </w:r>
      <w:r w:rsidRPr="004530CF">
        <w:rPr>
          <w:rFonts w:ascii="Times New Roman" w:hAnsi="Times New Roman" w:cs="Times New Roman"/>
        </w:rPr>
        <w:t xml:space="preserve">también </w:t>
      </w:r>
      <w:r w:rsidRPr="004530CF">
        <w:rPr>
          <w:rFonts w:ascii="Times New Roman" w:hAnsi="Times New Roman" w:cs="Times New Roman"/>
        </w:rPr>
        <w:t>permitan</w:t>
      </w:r>
      <w:r w:rsidRPr="004530CF">
        <w:rPr>
          <w:rFonts w:ascii="Times New Roman" w:hAnsi="Times New Roman" w:cs="Times New Roman"/>
        </w:rPr>
        <w:t xml:space="preserve"> realizar la finalidad perseguida</w:t>
      </w:r>
      <w:r w:rsidRPr="004530CF">
        <w:rPr>
          <w:rFonts w:ascii="Times New Roman" w:hAnsi="Times New Roman" w:cs="Times New Roman"/>
        </w:rPr>
        <w:t>,</w:t>
      </w:r>
      <w:r w:rsidRPr="004530CF">
        <w:rPr>
          <w:rFonts w:ascii="Times New Roman" w:hAnsi="Times New Roman" w:cs="Times New Roman"/>
        </w:rPr>
        <w:t xml:space="preserve"> y (iv) es proporcionada en sentido estricto. En el caso del juicio de </w:t>
      </w:r>
      <w:r w:rsidRPr="004530CF">
        <w:rPr>
          <w:rFonts w:ascii="Times New Roman" w:hAnsi="Times New Roman" w:cs="Times New Roman"/>
          <w:i/>
        </w:rPr>
        <w:t>intensidad intermedia</w:t>
      </w:r>
      <w:r w:rsidRPr="004530CF">
        <w:rPr>
          <w:rFonts w:ascii="Times New Roman" w:hAnsi="Times New Roman" w:cs="Times New Roman"/>
        </w:rPr>
        <w:t>,</w:t>
      </w:r>
      <w:r w:rsidRPr="004530CF">
        <w:rPr>
          <w:rFonts w:ascii="Times New Roman" w:hAnsi="Times New Roman" w:cs="Times New Roman"/>
        </w:rPr>
        <w:t xml:space="preserve"> el trato diverso será constitucional</w:t>
      </w:r>
      <w:r w:rsidRPr="004530CF">
        <w:rPr>
          <w:rFonts w:ascii="Times New Roman" w:hAnsi="Times New Roman" w:cs="Times New Roman"/>
        </w:rPr>
        <w:t>,</w:t>
      </w:r>
      <w:r w:rsidRPr="004530CF">
        <w:rPr>
          <w:rFonts w:ascii="Times New Roman" w:hAnsi="Times New Roman" w:cs="Times New Roman"/>
        </w:rPr>
        <w:t xml:space="preserve"> </w:t>
      </w:r>
      <w:r w:rsidRPr="004530CF">
        <w:rPr>
          <w:rFonts w:ascii="Times New Roman" w:hAnsi="Times New Roman" w:cs="Times New Roman"/>
        </w:rPr>
        <w:t>cuando</w:t>
      </w:r>
      <w:r w:rsidRPr="004530CF">
        <w:rPr>
          <w:rFonts w:ascii="Times New Roman" w:hAnsi="Times New Roman" w:cs="Times New Roman"/>
        </w:rPr>
        <w:t xml:space="preserve"> (i) persigue un fin constitucionalmente importa</w:t>
      </w:r>
      <w:r w:rsidRPr="004530CF">
        <w:rPr>
          <w:rFonts w:ascii="Times New Roman" w:hAnsi="Times New Roman" w:cs="Times New Roman"/>
        </w:rPr>
        <w:t xml:space="preserve">nte, (ii) es conducente para alcanzar ese propósito y (iii) no es evidentemente desproporcionado. Finalmente, en el caso del juicio de </w:t>
      </w:r>
      <w:r w:rsidRPr="004530CF">
        <w:rPr>
          <w:rFonts w:ascii="Times New Roman" w:hAnsi="Times New Roman" w:cs="Times New Roman"/>
          <w:i/>
        </w:rPr>
        <w:t>intensidad débil</w:t>
      </w:r>
      <w:r w:rsidRPr="004530CF">
        <w:rPr>
          <w:rFonts w:ascii="Times New Roman" w:hAnsi="Times New Roman" w:cs="Times New Roman"/>
        </w:rPr>
        <w:t>,</w:t>
      </w:r>
      <w:r w:rsidRPr="004530CF">
        <w:rPr>
          <w:rFonts w:ascii="Times New Roman" w:hAnsi="Times New Roman" w:cs="Times New Roman"/>
        </w:rPr>
        <w:t xml:space="preserve"> el trato diverso será constitucional </w:t>
      </w:r>
      <w:r w:rsidRPr="004530CF">
        <w:rPr>
          <w:rFonts w:ascii="Times New Roman" w:hAnsi="Times New Roman" w:cs="Times New Roman"/>
        </w:rPr>
        <w:t xml:space="preserve">si </w:t>
      </w:r>
      <w:r w:rsidRPr="004530CF">
        <w:rPr>
          <w:rFonts w:ascii="Times New Roman" w:hAnsi="Times New Roman" w:cs="Times New Roman"/>
        </w:rPr>
        <w:t>(i) persigue una finalidad</w:t>
      </w:r>
      <w:r w:rsidRPr="004530CF">
        <w:rPr>
          <w:rFonts w:ascii="Times New Roman" w:hAnsi="Times New Roman" w:cs="Times New Roman"/>
        </w:rPr>
        <w:t xml:space="preserve"> legítima o </w:t>
      </w:r>
      <w:r w:rsidRPr="004530CF">
        <w:rPr>
          <w:rFonts w:ascii="Times New Roman" w:hAnsi="Times New Roman" w:cs="Times New Roman"/>
        </w:rPr>
        <w:t>no prohibida por la Const</w:t>
      </w:r>
      <w:r w:rsidRPr="004530CF">
        <w:rPr>
          <w:rFonts w:ascii="Times New Roman" w:hAnsi="Times New Roman" w:cs="Times New Roman"/>
        </w:rPr>
        <w:t>itución y (ii) es potencialmente adecuad</w:t>
      </w:r>
      <w:r w:rsidRPr="004530CF">
        <w:rPr>
          <w:rFonts w:ascii="Times New Roman" w:hAnsi="Times New Roman" w:cs="Times New Roman"/>
        </w:rPr>
        <w:t>o</w:t>
      </w:r>
      <w:r w:rsidRPr="004530CF">
        <w:rPr>
          <w:rFonts w:ascii="Times New Roman" w:hAnsi="Times New Roman" w:cs="Times New Roman"/>
        </w:rPr>
        <w:t xml:space="preserve"> para alcanzar </w:t>
      </w:r>
      <w:r w:rsidRPr="004530CF">
        <w:rPr>
          <w:rFonts w:ascii="Times New Roman" w:hAnsi="Times New Roman" w:cs="Times New Roman"/>
        </w:rPr>
        <w:t>dicho</w:t>
      </w:r>
      <w:r w:rsidRPr="004530CF">
        <w:rPr>
          <w:rFonts w:ascii="Times New Roman" w:hAnsi="Times New Roman" w:cs="Times New Roman"/>
        </w:rPr>
        <w:t xml:space="preserve"> fin. </w:t>
      </w:r>
    </w:p>
    <w:p w:rsidR="005154C7" w:rsidRPr="004530CF" w:rsidRDefault="004530CF" w:rsidP="004C7B30">
      <w:pPr>
        <w:pStyle w:val="Prrafodelista"/>
        <w:ind w:left="0"/>
        <w:rPr>
          <w:rFonts w:ascii="Times New Roman" w:hAnsi="Times New Roman" w:cs="Times New Roman"/>
          <w:sz w:val="28"/>
        </w:rPr>
      </w:pPr>
    </w:p>
    <w:p w:rsidR="005154C7"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rPr>
        <w:t>La estructura diferenciada de los juicios refleja el reconocimiento de diferentes márgenes de acción en la actividad del legislador. La amplitud de tales márgenes es inversamente proporci</w:t>
      </w:r>
      <w:r w:rsidRPr="004530CF">
        <w:rPr>
          <w:rFonts w:ascii="Times New Roman" w:hAnsi="Times New Roman" w:cs="Times New Roman"/>
        </w:rPr>
        <w:t>onal a la intensidad del</w:t>
      </w:r>
      <w:r w:rsidRPr="004530CF">
        <w:rPr>
          <w:rFonts w:ascii="Times New Roman" w:hAnsi="Times New Roman" w:cs="Times New Roman"/>
        </w:rPr>
        <w:t xml:space="preserve"> escrutinio</w:t>
      </w:r>
      <w:r w:rsidRPr="004530CF">
        <w:rPr>
          <w:rFonts w:ascii="Times New Roman" w:hAnsi="Times New Roman" w:cs="Times New Roman"/>
        </w:rPr>
        <w:t>. En es</w:t>
      </w:r>
      <w:r w:rsidRPr="004530CF">
        <w:rPr>
          <w:rFonts w:ascii="Times New Roman" w:hAnsi="Times New Roman" w:cs="Times New Roman"/>
        </w:rPr>
        <w:t>t</w:t>
      </w:r>
      <w:r w:rsidRPr="004530CF">
        <w:rPr>
          <w:rFonts w:ascii="Times New Roman" w:hAnsi="Times New Roman" w:cs="Times New Roman"/>
        </w:rPr>
        <w:t>e sentido</w:t>
      </w:r>
      <w:r w:rsidRPr="004530CF">
        <w:rPr>
          <w:rFonts w:ascii="Times New Roman" w:hAnsi="Times New Roman" w:cs="Times New Roman"/>
        </w:rPr>
        <w:t>,</w:t>
      </w:r>
      <w:r w:rsidRPr="004530CF">
        <w:rPr>
          <w:rFonts w:ascii="Times New Roman" w:hAnsi="Times New Roman" w:cs="Times New Roman"/>
        </w:rPr>
        <w:t xml:space="preserve"> en función de </w:t>
      </w:r>
      <w:r w:rsidRPr="004530CF">
        <w:rPr>
          <w:rFonts w:ascii="Times New Roman" w:hAnsi="Times New Roman" w:cs="Times New Roman"/>
        </w:rPr>
        <w:t>dicha</w:t>
      </w:r>
      <w:r w:rsidRPr="004530CF">
        <w:rPr>
          <w:rFonts w:ascii="Times New Roman" w:hAnsi="Times New Roman" w:cs="Times New Roman"/>
        </w:rPr>
        <w:t xml:space="preserve"> intensidad se reducirá o ampliará la competencia del legislador </w:t>
      </w:r>
      <w:r w:rsidRPr="004530CF">
        <w:rPr>
          <w:rFonts w:ascii="Times New Roman" w:hAnsi="Times New Roman" w:cs="Times New Roman"/>
        </w:rPr>
        <w:t>para seleccionar los fines y elegir los medios.</w:t>
      </w:r>
      <w:r w:rsidRPr="004530CF">
        <w:rPr>
          <w:rFonts w:ascii="Times New Roman" w:hAnsi="Times New Roman" w:cs="Times New Roman"/>
        </w:rPr>
        <w:t xml:space="preserve"> </w:t>
      </w:r>
      <w:r w:rsidRPr="004530CF">
        <w:rPr>
          <w:rFonts w:ascii="Times New Roman" w:hAnsi="Times New Roman" w:cs="Times New Roman"/>
        </w:rPr>
        <w:t>C</w:t>
      </w:r>
      <w:r w:rsidRPr="004530CF">
        <w:rPr>
          <w:rFonts w:ascii="Times New Roman" w:hAnsi="Times New Roman" w:cs="Times New Roman"/>
        </w:rPr>
        <w:t xml:space="preserve">orrelativamente, se acentuará </w:t>
      </w:r>
      <w:r w:rsidRPr="004530CF">
        <w:rPr>
          <w:rFonts w:ascii="Times New Roman" w:hAnsi="Times New Roman" w:cs="Times New Roman"/>
        </w:rPr>
        <w:t>o disminuirá el rigor del</w:t>
      </w:r>
      <w:r w:rsidRPr="004530CF">
        <w:rPr>
          <w:rFonts w:ascii="Times New Roman" w:hAnsi="Times New Roman" w:cs="Times New Roman"/>
        </w:rPr>
        <w:t xml:space="preserve"> examen judici</w:t>
      </w:r>
      <w:r w:rsidRPr="004530CF">
        <w:rPr>
          <w:rFonts w:ascii="Times New Roman" w:hAnsi="Times New Roman" w:cs="Times New Roman"/>
        </w:rPr>
        <w:t>al</w:t>
      </w:r>
      <w:r w:rsidRPr="004530CF">
        <w:rPr>
          <w:rFonts w:ascii="Times New Roman" w:hAnsi="Times New Roman" w:cs="Times New Roman"/>
        </w:rPr>
        <w:t xml:space="preserve">. </w:t>
      </w:r>
      <w:r w:rsidRPr="004530CF">
        <w:rPr>
          <w:rFonts w:ascii="Times New Roman" w:hAnsi="Times New Roman" w:cs="Times New Roman"/>
        </w:rPr>
        <w:t>Procede la Corte a juzgar la disposición demandada.</w:t>
      </w:r>
    </w:p>
    <w:p w:rsidR="005154C7" w:rsidRPr="004530CF" w:rsidRDefault="004530CF" w:rsidP="004C7B30">
      <w:pPr>
        <w:pStyle w:val="Prrafodelista"/>
        <w:ind w:left="0"/>
        <w:rPr>
          <w:rFonts w:ascii="Times New Roman" w:hAnsi="Times New Roman" w:cs="Times New Roman"/>
          <w:sz w:val="28"/>
        </w:rPr>
      </w:pPr>
    </w:p>
    <w:p w:rsidR="005154C7"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b/>
        </w:rPr>
        <w:t>Son dos los grupos cuya comparación ha propuesto el demandante</w:t>
      </w:r>
      <w:r w:rsidRPr="004530CF">
        <w:rPr>
          <w:rFonts w:ascii="Times New Roman" w:hAnsi="Times New Roman" w:cs="Times New Roman"/>
        </w:rPr>
        <w:t xml:space="preserve">. El primero se encuentra conformado por el </w:t>
      </w:r>
      <w:r w:rsidRPr="004530CF">
        <w:rPr>
          <w:rFonts w:ascii="Times New Roman" w:eastAsia="Cambria" w:hAnsi="Times New Roman" w:cs="Times New Roman"/>
        </w:rPr>
        <w:t>presidente</w:t>
      </w:r>
      <w:r w:rsidRPr="004530CF">
        <w:rPr>
          <w:rFonts w:ascii="Times New Roman" w:eastAsia="Cambria" w:hAnsi="Times New Roman" w:cs="Times New Roman"/>
        </w:rPr>
        <w:t xml:space="preserve"> y</w:t>
      </w:r>
      <w:r w:rsidRPr="004530CF">
        <w:rPr>
          <w:rFonts w:ascii="Times New Roman" w:eastAsia="Cambria" w:hAnsi="Times New Roman" w:cs="Times New Roman"/>
        </w:rPr>
        <w:t xml:space="preserve"> el vicepresidente</w:t>
      </w:r>
      <w:r w:rsidRPr="004530CF">
        <w:rPr>
          <w:rFonts w:ascii="Times New Roman" w:eastAsia="Cambria" w:hAnsi="Times New Roman" w:cs="Times New Roman"/>
        </w:rPr>
        <w:t xml:space="preserve"> de la República</w:t>
      </w:r>
      <w:r w:rsidRPr="004530CF">
        <w:rPr>
          <w:rFonts w:ascii="Times New Roman" w:eastAsia="Cambria" w:hAnsi="Times New Roman" w:cs="Times New Roman"/>
        </w:rPr>
        <w:t xml:space="preserve">, los senadores, representantes a la </w:t>
      </w:r>
      <w:r w:rsidRPr="004530CF">
        <w:rPr>
          <w:rFonts w:ascii="Times New Roman" w:eastAsia="Cambria" w:hAnsi="Times New Roman" w:cs="Times New Roman"/>
        </w:rPr>
        <w:t>c</w:t>
      </w:r>
      <w:r w:rsidRPr="004530CF">
        <w:rPr>
          <w:rFonts w:ascii="Times New Roman" w:eastAsia="Cambria" w:hAnsi="Times New Roman" w:cs="Times New Roman"/>
        </w:rPr>
        <w:t xml:space="preserve">ámara, representantes al Parlamento Andino, los gobernadores y el </w:t>
      </w:r>
      <w:r w:rsidRPr="004530CF">
        <w:rPr>
          <w:rFonts w:ascii="Times New Roman" w:eastAsia="Cambria" w:hAnsi="Times New Roman" w:cs="Times New Roman"/>
        </w:rPr>
        <w:t>A</w:t>
      </w:r>
      <w:r w:rsidRPr="004530CF">
        <w:rPr>
          <w:rFonts w:ascii="Times New Roman" w:eastAsia="Cambria" w:hAnsi="Times New Roman" w:cs="Times New Roman"/>
        </w:rPr>
        <w:t xml:space="preserve">lcalde </w:t>
      </w:r>
      <w:r w:rsidRPr="004530CF">
        <w:rPr>
          <w:rFonts w:ascii="Times New Roman" w:eastAsia="Cambria" w:hAnsi="Times New Roman" w:cs="Times New Roman"/>
        </w:rPr>
        <w:t>M</w:t>
      </w:r>
      <w:r w:rsidRPr="004530CF">
        <w:rPr>
          <w:rFonts w:ascii="Times New Roman" w:eastAsia="Cambria" w:hAnsi="Times New Roman" w:cs="Times New Roman"/>
        </w:rPr>
        <w:t xml:space="preserve">ayor de Bogotá </w:t>
      </w:r>
      <w:r w:rsidRPr="004530CF">
        <w:rPr>
          <w:rFonts w:ascii="Times New Roman" w:eastAsia="Cambria" w:hAnsi="Times New Roman" w:cs="Times New Roman"/>
        </w:rPr>
        <w:t>–</w:t>
      </w:r>
      <w:r w:rsidRPr="004530CF">
        <w:rPr>
          <w:rFonts w:ascii="Times New Roman" w:eastAsia="Cambria" w:hAnsi="Times New Roman" w:cs="Times New Roman"/>
        </w:rPr>
        <w:t>en adelante</w:t>
      </w:r>
      <w:r w:rsidRPr="004530CF">
        <w:rPr>
          <w:rFonts w:ascii="Times New Roman" w:eastAsia="Cambria" w:hAnsi="Times New Roman" w:cs="Times New Roman"/>
        </w:rPr>
        <w:t>,</w:t>
      </w:r>
      <w:r w:rsidRPr="004530CF">
        <w:rPr>
          <w:rFonts w:ascii="Times New Roman" w:eastAsia="Cambria" w:hAnsi="Times New Roman" w:cs="Times New Roman"/>
        </w:rPr>
        <w:t xml:space="preserve"> </w:t>
      </w:r>
      <w:r w:rsidRPr="004530CF">
        <w:rPr>
          <w:rFonts w:ascii="Times New Roman" w:eastAsia="Cambria" w:hAnsi="Times New Roman" w:cs="Times New Roman"/>
          <w:i/>
        </w:rPr>
        <w:t>el primer grupo</w:t>
      </w:r>
      <w:r w:rsidRPr="004530CF">
        <w:rPr>
          <w:rFonts w:ascii="Times New Roman" w:eastAsia="Cambria" w:hAnsi="Times New Roman" w:cs="Times New Roman"/>
        </w:rPr>
        <w:t>–</w:t>
      </w:r>
      <w:r w:rsidRPr="004530CF">
        <w:rPr>
          <w:rFonts w:ascii="Times New Roman" w:eastAsia="Cambria" w:hAnsi="Times New Roman" w:cs="Times New Roman"/>
        </w:rPr>
        <w:t xml:space="preserve">. El segundo está integrado </w:t>
      </w:r>
      <w:r w:rsidRPr="004530CF">
        <w:rPr>
          <w:rFonts w:ascii="Times New Roman" w:hAnsi="Times New Roman" w:cs="Times New Roman"/>
        </w:rPr>
        <w:t xml:space="preserve">por </w:t>
      </w:r>
      <w:r w:rsidRPr="004530CF">
        <w:rPr>
          <w:rFonts w:ascii="Times New Roman" w:hAnsi="Times New Roman" w:cs="Times New Roman"/>
        </w:rPr>
        <w:t xml:space="preserve">los </w:t>
      </w:r>
      <w:r w:rsidRPr="004530CF">
        <w:rPr>
          <w:rFonts w:ascii="Times New Roman" w:eastAsia="Cambria" w:hAnsi="Times New Roman" w:cs="Times New Roman"/>
        </w:rPr>
        <w:t xml:space="preserve">diputados, </w:t>
      </w:r>
      <w:r w:rsidRPr="004530CF">
        <w:rPr>
          <w:rFonts w:ascii="Times New Roman" w:eastAsia="Cambria" w:hAnsi="Times New Roman" w:cs="Times New Roman"/>
        </w:rPr>
        <w:t xml:space="preserve">los </w:t>
      </w:r>
      <w:r w:rsidRPr="004530CF">
        <w:rPr>
          <w:rFonts w:ascii="Times New Roman" w:eastAsia="Cambria" w:hAnsi="Times New Roman" w:cs="Times New Roman"/>
        </w:rPr>
        <w:t xml:space="preserve">concejales de Bogotá, </w:t>
      </w:r>
      <w:r w:rsidRPr="004530CF">
        <w:rPr>
          <w:rFonts w:ascii="Times New Roman" w:eastAsia="Cambria" w:hAnsi="Times New Roman" w:cs="Times New Roman"/>
        </w:rPr>
        <w:t xml:space="preserve">los </w:t>
      </w:r>
      <w:r w:rsidRPr="004530CF">
        <w:rPr>
          <w:rFonts w:ascii="Times New Roman" w:eastAsia="Cambria" w:hAnsi="Times New Roman" w:cs="Times New Roman"/>
        </w:rPr>
        <w:t xml:space="preserve">alcaldes municipales y distritales, </w:t>
      </w:r>
      <w:r w:rsidRPr="004530CF">
        <w:rPr>
          <w:rFonts w:ascii="Times New Roman" w:eastAsia="Cambria" w:hAnsi="Times New Roman" w:cs="Times New Roman"/>
        </w:rPr>
        <w:t xml:space="preserve">así como los </w:t>
      </w:r>
      <w:r w:rsidRPr="004530CF">
        <w:rPr>
          <w:rFonts w:ascii="Times New Roman" w:eastAsia="Cambria" w:hAnsi="Times New Roman" w:cs="Times New Roman"/>
        </w:rPr>
        <w:t>miembros d</w:t>
      </w:r>
      <w:r w:rsidRPr="004530CF">
        <w:rPr>
          <w:rFonts w:ascii="Times New Roman" w:eastAsia="Cambria" w:hAnsi="Times New Roman" w:cs="Times New Roman"/>
        </w:rPr>
        <w:t xml:space="preserve">e corporaciones públicas de los municipios y distritos </w:t>
      </w:r>
      <w:r w:rsidRPr="004530CF">
        <w:rPr>
          <w:rFonts w:ascii="Times New Roman" w:eastAsia="Cambria" w:hAnsi="Times New Roman" w:cs="Times New Roman"/>
        </w:rPr>
        <w:t>–</w:t>
      </w:r>
      <w:r w:rsidRPr="004530CF">
        <w:rPr>
          <w:rFonts w:ascii="Times New Roman" w:eastAsia="Cambria" w:hAnsi="Times New Roman" w:cs="Times New Roman"/>
        </w:rPr>
        <w:t>en adelante</w:t>
      </w:r>
      <w:r w:rsidRPr="004530CF">
        <w:rPr>
          <w:rFonts w:ascii="Times New Roman" w:eastAsia="Cambria" w:hAnsi="Times New Roman" w:cs="Times New Roman"/>
        </w:rPr>
        <w:t>,</w:t>
      </w:r>
      <w:r w:rsidRPr="004530CF">
        <w:rPr>
          <w:rFonts w:ascii="Times New Roman" w:eastAsia="Cambria" w:hAnsi="Times New Roman" w:cs="Times New Roman"/>
        </w:rPr>
        <w:t xml:space="preserve"> </w:t>
      </w:r>
      <w:r w:rsidRPr="004530CF">
        <w:rPr>
          <w:rFonts w:ascii="Times New Roman" w:eastAsia="Cambria" w:hAnsi="Times New Roman" w:cs="Times New Roman"/>
          <w:i/>
        </w:rPr>
        <w:t>el segundo grupo</w:t>
      </w:r>
      <w:r w:rsidRPr="004530CF">
        <w:rPr>
          <w:rFonts w:ascii="Times New Roman" w:eastAsia="Cambria" w:hAnsi="Times New Roman" w:cs="Times New Roman"/>
        </w:rPr>
        <w:t>–</w:t>
      </w:r>
      <w:r w:rsidRPr="004530CF">
        <w:rPr>
          <w:rFonts w:ascii="Times New Roman" w:eastAsia="Cambria" w:hAnsi="Times New Roman" w:cs="Times New Roman"/>
        </w:rPr>
        <w:t xml:space="preserve">. </w:t>
      </w:r>
    </w:p>
    <w:p w:rsidR="005154C7" w:rsidRPr="004530CF" w:rsidRDefault="004530CF" w:rsidP="004C7B30">
      <w:pPr>
        <w:pStyle w:val="Prrafodelista"/>
        <w:ind w:left="0"/>
        <w:rPr>
          <w:rFonts w:ascii="Times New Roman" w:hAnsi="Times New Roman" w:cs="Times New Roman"/>
          <w:sz w:val="28"/>
        </w:rPr>
      </w:pPr>
    </w:p>
    <w:p w:rsidR="005154C7"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rPr>
        <w:t>El trato diferente</w:t>
      </w:r>
      <w:r w:rsidRPr="004530CF">
        <w:rPr>
          <w:rFonts w:ascii="Times New Roman" w:hAnsi="Times New Roman" w:cs="Times New Roman"/>
        </w:rPr>
        <w:t xml:space="preserve"> </w:t>
      </w:r>
      <w:r w:rsidRPr="004530CF">
        <w:rPr>
          <w:rFonts w:ascii="Times New Roman" w:hAnsi="Times New Roman" w:cs="Times New Roman"/>
        </w:rPr>
        <w:t xml:space="preserve">se concreta en la regla según la cual </w:t>
      </w:r>
      <w:r w:rsidRPr="004530CF">
        <w:rPr>
          <w:rFonts w:ascii="Times New Roman" w:hAnsi="Times New Roman" w:cs="Times New Roman"/>
        </w:rPr>
        <w:t>los procesos de nulidad electoral</w:t>
      </w:r>
      <w:r w:rsidRPr="004530CF">
        <w:rPr>
          <w:rFonts w:ascii="Times New Roman" w:hAnsi="Times New Roman" w:cs="Times New Roman"/>
        </w:rPr>
        <w:t>,</w:t>
      </w:r>
      <w:r w:rsidRPr="004530CF">
        <w:rPr>
          <w:rFonts w:ascii="Times New Roman" w:hAnsi="Times New Roman" w:cs="Times New Roman"/>
        </w:rPr>
        <w:t xml:space="preserve"> respecto de los servidores públicos que conforman el </w:t>
      </w:r>
      <w:r w:rsidRPr="004530CF">
        <w:rPr>
          <w:rFonts w:ascii="Times New Roman" w:hAnsi="Times New Roman" w:cs="Times New Roman"/>
          <w:i/>
        </w:rPr>
        <w:t>primer grupo</w:t>
      </w:r>
      <w:r w:rsidRPr="004530CF">
        <w:rPr>
          <w:rFonts w:ascii="Times New Roman" w:hAnsi="Times New Roman" w:cs="Times New Roman"/>
          <w:i/>
        </w:rPr>
        <w:t>,</w:t>
      </w:r>
      <w:r w:rsidRPr="004530CF">
        <w:rPr>
          <w:rFonts w:ascii="Times New Roman" w:hAnsi="Times New Roman" w:cs="Times New Roman"/>
        </w:rPr>
        <w:t xml:space="preserve"> se tram</w:t>
      </w:r>
      <w:r w:rsidRPr="004530CF">
        <w:rPr>
          <w:rFonts w:ascii="Times New Roman" w:hAnsi="Times New Roman" w:cs="Times New Roman"/>
        </w:rPr>
        <w:t>itan ante el Consejo de Estado en única instancia</w:t>
      </w:r>
      <w:r w:rsidRPr="004530CF">
        <w:rPr>
          <w:rFonts w:ascii="Times New Roman" w:hAnsi="Times New Roman" w:cs="Times New Roman"/>
        </w:rPr>
        <w:t>,</w:t>
      </w:r>
      <w:r w:rsidRPr="004530CF">
        <w:rPr>
          <w:rFonts w:ascii="Times New Roman" w:hAnsi="Times New Roman" w:cs="Times New Roman"/>
        </w:rPr>
        <w:t xml:space="preserve"> mientras que, </w:t>
      </w:r>
      <w:r w:rsidRPr="004530CF">
        <w:rPr>
          <w:rFonts w:ascii="Times New Roman" w:hAnsi="Times New Roman" w:cs="Times New Roman"/>
        </w:rPr>
        <w:t xml:space="preserve">en el caso de los servidores del </w:t>
      </w:r>
      <w:r w:rsidRPr="004530CF">
        <w:rPr>
          <w:rFonts w:ascii="Times New Roman" w:hAnsi="Times New Roman" w:cs="Times New Roman"/>
          <w:i/>
        </w:rPr>
        <w:t>segundo grupo</w:t>
      </w:r>
      <w:r w:rsidRPr="004530CF">
        <w:rPr>
          <w:rFonts w:ascii="Times New Roman" w:hAnsi="Times New Roman" w:cs="Times New Roman"/>
        </w:rPr>
        <w:t>,</w:t>
      </w:r>
      <w:r w:rsidRPr="004530CF">
        <w:rPr>
          <w:rFonts w:ascii="Times New Roman" w:hAnsi="Times New Roman" w:cs="Times New Roman"/>
        </w:rPr>
        <w:t xml:space="preserve"> </w:t>
      </w:r>
      <w:r w:rsidRPr="004530CF">
        <w:rPr>
          <w:rFonts w:ascii="Times New Roman" w:hAnsi="Times New Roman" w:cs="Times New Roman"/>
        </w:rPr>
        <w:t>ese</w:t>
      </w:r>
      <w:r w:rsidRPr="004530CF">
        <w:rPr>
          <w:rFonts w:ascii="Times New Roman" w:hAnsi="Times New Roman" w:cs="Times New Roman"/>
        </w:rPr>
        <w:t xml:space="preserve"> tipo de procesos se tramitan en primera instancia ante los tribunales administrativos y</w:t>
      </w:r>
      <w:r w:rsidRPr="004530CF">
        <w:rPr>
          <w:rFonts w:ascii="Times New Roman" w:hAnsi="Times New Roman" w:cs="Times New Roman"/>
        </w:rPr>
        <w:t xml:space="preserve">, en caso </w:t>
      </w:r>
      <w:r w:rsidRPr="004530CF">
        <w:rPr>
          <w:rFonts w:ascii="Times New Roman" w:hAnsi="Times New Roman" w:cs="Times New Roman"/>
        </w:rPr>
        <w:t>de apelación</w:t>
      </w:r>
      <w:r w:rsidRPr="004530CF">
        <w:rPr>
          <w:rFonts w:ascii="Times New Roman" w:hAnsi="Times New Roman" w:cs="Times New Roman"/>
        </w:rPr>
        <w:t>,</w:t>
      </w:r>
      <w:r w:rsidRPr="004530CF">
        <w:rPr>
          <w:rFonts w:ascii="Times New Roman" w:hAnsi="Times New Roman" w:cs="Times New Roman"/>
        </w:rPr>
        <w:t xml:space="preserve"> </w:t>
      </w:r>
      <w:r w:rsidRPr="004530CF">
        <w:rPr>
          <w:rFonts w:ascii="Times New Roman" w:hAnsi="Times New Roman" w:cs="Times New Roman"/>
        </w:rPr>
        <w:t xml:space="preserve">su conocimiento se </w:t>
      </w:r>
      <w:r w:rsidRPr="004530CF">
        <w:rPr>
          <w:rFonts w:ascii="Times New Roman" w:hAnsi="Times New Roman" w:cs="Times New Roman"/>
        </w:rPr>
        <w:t>atribuye</w:t>
      </w:r>
      <w:r w:rsidRPr="004530CF">
        <w:rPr>
          <w:rFonts w:ascii="Times New Roman" w:hAnsi="Times New Roman" w:cs="Times New Roman"/>
        </w:rPr>
        <w:t xml:space="preserve"> a</w:t>
      </w:r>
      <w:r w:rsidRPr="004530CF">
        <w:rPr>
          <w:rFonts w:ascii="Times New Roman" w:hAnsi="Times New Roman" w:cs="Times New Roman"/>
        </w:rPr>
        <w:t xml:space="preserve">l Consejo de Estado. </w:t>
      </w:r>
    </w:p>
    <w:p w:rsidR="005154C7" w:rsidRPr="004530CF" w:rsidRDefault="004530CF" w:rsidP="004C7B30">
      <w:pPr>
        <w:pStyle w:val="Prrafodelista"/>
        <w:ind w:left="0"/>
        <w:rPr>
          <w:rFonts w:ascii="Times New Roman" w:hAnsi="Times New Roman" w:cs="Times New Roman"/>
          <w:sz w:val="28"/>
        </w:rPr>
      </w:pPr>
    </w:p>
    <w:p w:rsidR="005154C7"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rPr>
        <w:t>Tal y como</w:t>
      </w:r>
      <w:r w:rsidRPr="004530CF">
        <w:rPr>
          <w:rFonts w:ascii="Times New Roman" w:hAnsi="Times New Roman" w:cs="Times New Roman"/>
        </w:rPr>
        <w:t xml:space="preserve"> lo ha insistido la Corte</w:t>
      </w:r>
      <w:r w:rsidRPr="004530CF">
        <w:rPr>
          <w:rFonts w:ascii="Times New Roman" w:hAnsi="Times New Roman" w:cs="Times New Roman"/>
        </w:rPr>
        <w:t xml:space="preserve"> </w:t>
      </w:r>
      <w:r w:rsidRPr="004530CF">
        <w:rPr>
          <w:rFonts w:ascii="Times New Roman" w:hAnsi="Times New Roman" w:cs="Times New Roman"/>
          <w:shd w:val="clear" w:color="auto" w:fill="FFFFFF"/>
        </w:rPr>
        <w:t>“</w:t>
      </w:r>
      <w:r w:rsidRPr="004530CF">
        <w:rPr>
          <w:rFonts w:ascii="Times New Roman" w:hAnsi="Times New Roman" w:cs="Times New Roman"/>
          <w:i/>
          <w:iCs/>
          <w:shd w:val="clear" w:color="auto" w:fill="FFFFFF"/>
        </w:rPr>
        <w:t xml:space="preserve">la racionalidad de la medida diferenciadora obedece al grado de acierto del </w:t>
      </w:r>
      <w:r w:rsidRPr="004530CF">
        <w:rPr>
          <w:rFonts w:ascii="Times New Roman" w:hAnsi="Times New Roman" w:cs="Times New Roman"/>
          <w:i/>
          <w:iCs/>
          <w:shd w:val="clear" w:color="auto" w:fill="FFFFFF"/>
        </w:rPr>
        <w:t>l</w:t>
      </w:r>
      <w:r w:rsidRPr="004530CF">
        <w:rPr>
          <w:rFonts w:ascii="Times New Roman" w:hAnsi="Times New Roman" w:cs="Times New Roman"/>
          <w:i/>
          <w:iCs/>
          <w:shd w:val="clear" w:color="auto" w:fill="FFFFFF"/>
        </w:rPr>
        <w:t>egislador en incluir a todas las personas similarmente situadas para los fines de la ley</w:t>
      </w:r>
      <w:r w:rsidRPr="004530CF">
        <w:rPr>
          <w:rFonts w:ascii="Times New Roman" w:hAnsi="Times New Roman" w:cs="Times New Roman"/>
          <w:shd w:val="clear" w:color="auto" w:fill="FFFFFF"/>
        </w:rPr>
        <w:t>”</w:t>
      </w:r>
      <w:r w:rsidRPr="004530CF">
        <w:rPr>
          <w:rStyle w:val="Refdenotaalpie"/>
          <w:rFonts w:ascii="Times New Roman" w:hAnsi="Times New Roman" w:cs="Times New Roman"/>
          <w:shd w:val="clear" w:color="auto" w:fill="FFFFFF"/>
        </w:rPr>
        <w:footnoteReference w:id="70"/>
      </w:r>
      <w:r w:rsidRPr="004530CF">
        <w:rPr>
          <w:rFonts w:ascii="Times New Roman" w:hAnsi="Times New Roman" w:cs="Times New Roman"/>
          <w:shd w:val="clear" w:color="auto" w:fill="FFFFFF"/>
        </w:rPr>
        <w:t xml:space="preserve">. </w:t>
      </w:r>
      <w:r w:rsidRPr="004530CF">
        <w:rPr>
          <w:rFonts w:ascii="Times New Roman" w:hAnsi="Times New Roman" w:cs="Times New Roman"/>
          <w:shd w:val="clear" w:color="auto" w:fill="FFFFFF"/>
        </w:rPr>
        <w:t>Por ello,</w:t>
      </w:r>
      <w:r w:rsidRPr="004530CF">
        <w:rPr>
          <w:rFonts w:ascii="Times New Roman" w:hAnsi="Times New Roman" w:cs="Times New Roman"/>
          <w:shd w:val="clear" w:color="auto" w:fill="FFFFFF"/>
        </w:rPr>
        <w:t xml:space="preserve"> “</w:t>
      </w:r>
      <w:r w:rsidRPr="004530CF">
        <w:rPr>
          <w:rFonts w:ascii="Times New Roman" w:hAnsi="Times New Roman" w:cs="Times New Roman"/>
          <w:i/>
          <w:iCs/>
          <w:shd w:val="clear" w:color="auto" w:fill="FFFFFF"/>
        </w:rPr>
        <w:t xml:space="preserve">para </w:t>
      </w:r>
      <w:r w:rsidRPr="004530CF">
        <w:rPr>
          <w:rFonts w:ascii="Times New Roman" w:hAnsi="Times New Roman" w:cs="Times New Roman"/>
          <w:i/>
          <w:iCs/>
          <w:shd w:val="clear" w:color="auto" w:fill="FFFFFF"/>
        </w:rPr>
        <w:t>determinar si dos grupos o categorías son comparables</w:t>
      </w:r>
      <w:r w:rsidRPr="004530CF">
        <w:rPr>
          <w:rFonts w:ascii="Times New Roman" w:hAnsi="Times New Roman" w:cs="Times New Roman"/>
          <w:iCs/>
          <w:shd w:val="clear" w:color="auto" w:fill="FFFFFF"/>
        </w:rPr>
        <w:t>[,]</w:t>
      </w:r>
      <w:r w:rsidRPr="004530CF">
        <w:rPr>
          <w:rFonts w:ascii="Times New Roman" w:hAnsi="Times New Roman" w:cs="Times New Roman"/>
          <w:i/>
          <w:iCs/>
          <w:shd w:val="clear" w:color="auto" w:fill="FFFFFF"/>
        </w:rPr>
        <w:t xml:space="preserve"> es necesario examinar su situación a la luz de los fines de la norma</w:t>
      </w:r>
      <w:r w:rsidRPr="004530CF">
        <w:rPr>
          <w:rFonts w:ascii="Times New Roman" w:hAnsi="Times New Roman" w:cs="Times New Roman"/>
          <w:shd w:val="clear" w:color="auto" w:fill="FFFFFF"/>
        </w:rPr>
        <w:t>”</w:t>
      </w:r>
      <w:r w:rsidRPr="004530CF">
        <w:rPr>
          <w:rStyle w:val="Refdenotaalpie"/>
          <w:rFonts w:ascii="Times New Roman" w:hAnsi="Times New Roman" w:cs="Times New Roman"/>
          <w:shd w:val="clear" w:color="auto" w:fill="FFFFFF"/>
        </w:rPr>
        <w:footnoteReference w:id="71"/>
      </w:r>
      <w:r w:rsidRPr="004530CF">
        <w:rPr>
          <w:rFonts w:ascii="Times New Roman" w:hAnsi="Times New Roman" w:cs="Times New Roman"/>
          <w:shd w:val="clear" w:color="auto" w:fill="FFFFFF"/>
        </w:rPr>
        <w:t xml:space="preserve">. </w:t>
      </w:r>
    </w:p>
    <w:p w:rsidR="005154C7" w:rsidRPr="004530CF" w:rsidRDefault="004530CF" w:rsidP="004C7B30">
      <w:pPr>
        <w:pStyle w:val="Prrafodelista"/>
        <w:ind w:left="0"/>
        <w:rPr>
          <w:rFonts w:ascii="Times New Roman" w:hAnsi="Times New Roman" w:cs="Times New Roman"/>
          <w:sz w:val="28"/>
        </w:rPr>
      </w:pPr>
    </w:p>
    <w:p w:rsidR="005154C7"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rPr>
        <w:t>Según</w:t>
      </w:r>
      <w:r w:rsidRPr="004530CF">
        <w:rPr>
          <w:rFonts w:ascii="Times New Roman" w:hAnsi="Times New Roman" w:cs="Times New Roman"/>
        </w:rPr>
        <w:t xml:space="preserve"> la acusación</w:t>
      </w:r>
      <w:r w:rsidRPr="004530CF">
        <w:rPr>
          <w:rFonts w:ascii="Times New Roman" w:hAnsi="Times New Roman" w:cs="Times New Roman"/>
        </w:rPr>
        <w:t xml:space="preserve">, el criterio </w:t>
      </w:r>
      <w:r w:rsidRPr="004530CF">
        <w:rPr>
          <w:rFonts w:ascii="Times New Roman" w:hAnsi="Times New Roman" w:cs="Times New Roman"/>
        </w:rPr>
        <w:t xml:space="preserve">de comparación relevante </w:t>
      </w:r>
      <w:r w:rsidRPr="004530CF">
        <w:rPr>
          <w:rFonts w:ascii="Times New Roman" w:hAnsi="Times New Roman" w:cs="Times New Roman"/>
        </w:rPr>
        <w:t xml:space="preserve">está integrado por </w:t>
      </w:r>
      <w:r w:rsidRPr="004530CF">
        <w:rPr>
          <w:rFonts w:ascii="Times New Roman" w:hAnsi="Times New Roman" w:cs="Times New Roman"/>
        </w:rPr>
        <w:t xml:space="preserve">dos elementos: </w:t>
      </w:r>
      <w:r w:rsidRPr="004530CF">
        <w:rPr>
          <w:rFonts w:ascii="Times New Roman" w:hAnsi="Times New Roman" w:cs="Times New Roman"/>
        </w:rPr>
        <w:t xml:space="preserve">la </w:t>
      </w:r>
      <w:r w:rsidRPr="004530CF">
        <w:rPr>
          <w:rFonts w:ascii="Times New Roman" w:hAnsi="Times New Roman" w:cs="Times New Roman"/>
        </w:rPr>
        <w:t xml:space="preserve">forma de elección de los </w:t>
      </w:r>
      <w:r w:rsidRPr="004530CF">
        <w:rPr>
          <w:rFonts w:ascii="Times New Roman" w:hAnsi="Times New Roman" w:cs="Times New Roman"/>
        </w:rPr>
        <w:t>funcionarios</w:t>
      </w:r>
      <w:r w:rsidRPr="004530CF">
        <w:rPr>
          <w:rFonts w:ascii="Times New Roman" w:hAnsi="Times New Roman" w:cs="Times New Roman"/>
        </w:rPr>
        <w:t xml:space="preserve"> </w:t>
      </w:r>
      <w:r w:rsidRPr="004530CF">
        <w:rPr>
          <w:rFonts w:ascii="Times New Roman" w:hAnsi="Times New Roman" w:cs="Times New Roman"/>
        </w:rPr>
        <w:t>–</w:t>
      </w:r>
      <w:r w:rsidRPr="004530CF">
        <w:rPr>
          <w:rFonts w:ascii="Times New Roman" w:hAnsi="Times New Roman" w:cs="Times New Roman"/>
        </w:rPr>
        <w:t>voto popular</w:t>
      </w:r>
      <w:r w:rsidRPr="004530CF">
        <w:rPr>
          <w:rFonts w:ascii="Times New Roman" w:hAnsi="Times New Roman" w:cs="Times New Roman"/>
        </w:rPr>
        <w:t>–</w:t>
      </w:r>
      <w:r w:rsidRPr="004530CF">
        <w:rPr>
          <w:rFonts w:ascii="Times New Roman" w:hAnsi="Times New Roman" w:cs="Times New Roman"/>
        </w:rPr>
        <w:t xml:space="preserve"> y</w:t>
      </w:r>
      <w:r w:rsidRPr="004530CF">
        <w:rPr>
          <w:rFonts w:ascii="Times New Roman" w:hAnsi="Times New Roman" w:cs="Times New Roman"/>
        </w:rPr>
        <w:t xml:space="preserve"> las reglas procesales aplicables </w:t>
      </w:r>
      <w:r w:rsidRPr="004530CF">
        <w:rPr>
          <w:rFonts w:ascii="Times New Roman" w:hAnsi="Times New Roman" w:cs="Times New Roman"/>
        </w:rPr>
        <w:t>–</w:t>
      </w:r>
      <w:r w:rsidRPr="004530CF">
        <w:rPr>
          <w:rFonts w:ascii="Times New Roman" w:hAnsi="Times New Roman" w:cs="Times New Roman"/>
        </w:rPr>
        <w:t>nulidad electoral</w:t>
      </w:r>
      <w:r w:rsidRPr="004530CF">
        <w:rPr>
          <w:rFonts w:ascii="Times New Roman" w:hAnsi="Times New Roman" w:cs="Times New Roman"/>
        </w:rPr>
        <w:t>–</w:t>
      </w:r>
      <w:r w:rsidRPr="004530CF">
        <w:rPr>
          <w:rFonts w:ascii="Times New Roman" w:hAnsi="Times New Roman" w:cs="Times New Roman"/>
        </w:rPr>
        <w:t>. En esa dirección, dado que los servidores públicos</w:t>
      </w:r>
      <w:r w:rsidRPr="004530CF">
        <w:rPr>
          <w:rFonts w:ascii="Times New Roman" w:hAnsi="Times New Roman" w:cs="Times New Roman"/>
        </w:rPr>
        <w:t xml:space="preserve"> que conforman los dos grupos</w:t>
      </w:r>
      <w:r w:rsidRPr="004530CF">
        <w:rPr>
          <w:rFonts w:ascii="Times New Roman" w:hAnsi="Times New Roman" w:cs="Times New Roman"/>
        </w:rPr>
        <w:t xml:space="preserve"> han sido elegidos por el pueblo y se sujetan a</w:t>
      </w:r>
      <w:r w:rsidRPr="004530CF">
        <w:rPr>
          <w:rFonts w:ascii="Times New Roman" w:hAnsi="Times New Roman" w:cs="Times New Roman"/>
        </w:rPr>
        <w:t>l mismo régimen procesal, la disposición deman</w:t>
      </w:r>
      <w:r w:rsidRPr="004530CF">
        <w:rPr>
          <w:rFonts w:ascii="Times New Roman" w:hAnsi="Times New Roman" w:cs="Times New Roman"/>
        </w:rPr>
        <w:t xml:space="preserve">dada estaría afectando el </w:t>
      </w:r>
      <w:r w:rsidRPr="004530CF">
        <w:rPr>
          <w:rFonts w:ascii="Times New Roman" w:hAnsi="Times New Roman" w:cs="Times New Roman"/>
        </w:rPr>
        <w:t>principio de igualdad</w:t>
      </w:r>
      <w:r w:rsidRPr="004530CF">
        <w:rPr>
          <w:rFonts w:ascii="Times New Roman" w:hAnsi="Times New Roman" w:cs="Times New Roman"/>
        </w:rPr>
        <w:t>.</w:t>
      </w:r>
      <w:r w:rsidRPr="004530CF">
        <w:rPr>
          <w:rFonts w:ascii="Times New Roman" w:hAnsi="Times New Roman" w:cs="Times New Roman"/>
        </w:rPr>
        <w:t xml:space="preserve"> </w:t>
      </w:r>
    </w:p>
    <w:p w:rsidR="005154C7" w:rsidRPr="004530CF" w:rsidRDefault="004530CF" w:rsidP="004C7B30">
      <w:pPr>
        <w:pStyle w:val="Prrafodelista"/>
        <w:ind w:left="0"/>
        <w:rPr>
          <w:rFonts w:ascii="Times New Roman" w:hAnsi="Times New Roman" w:cs="Times New Roman"/>
          <w:sz w:val="28"/>
        </w:rPr>
      </w:pPr>
    </w:p>
    <w:p w:rsidR="005A6A6B"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rPr>
        <w:t>La Corte no comparte esta aproximación. En efecto, una lectura de los artículos 149.3, 150 y 152.7</w:t>
      </w:r>
      <w:r w:rsidRPr="004530CF">
        <w:rPr>
          <w:rFonts w:ascii="Times New Roman" w:hAnsi="Times New Roman" w:cs="Times New Roman"/>
        </w:rPr>
        <w:t>,</w:t>
      </w:r>
      <w:r w:rsidRPr="004530CF">
        <w:rPr>
          <w:rFonts w:ascii="Times New Roman" w:hAnsi="Times New Roman" w:cs="Times New Roman"/>
        </w:rPr>
        <w:t xml:space="preserve"> literal a)</w:t>
      </w:r>
      <w:r w:rsidRPr="004530CF">
        <w:rPr>
          <w:rFonts w:ascii="Times New Roman" w:hAnsi="Times New Roman" w:cs="Times New Roman"/>
        </w:rPr>
        <w:t>,</w:t>
      </w:r>
      <w:r w:rsidRPr="004530CF">
        <w:rPr>
          <w:rFonts w:ascii="Times New Roman" w:hAnsi="Times New Roman" w:cs="Times New Roman"/>
        </w:rPr>
        <w:t xml:space="preserve"> de la Ley 1437 de 2011, a la luz de lo dispuesto en el parágrafo del artículo 264 de la Const</w:t>
      </w:r>
      <w:r w:rsidRPr="004530CF">
        <w:rPr>
          <w:rFonts w:ascii="Times New Roman" w:hAnsi="Times New Roman" w:cs="Times New Roman"/>
        </w:rPr>
        <w:t>itución, indica que el propósito de la regulación juzgada consiste en establecer un régimen de competencias</w:t>
      </w:r>
      <w:r w:rsidRPr="004530CF">
        <w:rPr>
          <w:rFonts w:ascii="Times New Roman" w:hAnsi="Times New Roman" w:cs="Times New Roman"/>
        </w:rPr>
        <w:t xml:space="preserve"> </w:t>
      </w:r>
      <w:r w:rsidRPr="004530CF">
        <w:rPr>
          <w:rFonts w:ascii="Times New Roman" w:hAnsi="Times New Roman" w:cs="Times New Roman"/>
        </w:rPr>
        <w:t>que</w:t>
      </w:r>
      <w:r w:rsidRPr="004530CF">
        <w:rPr>
          <w:rFonts w:ascii="Times New Roman" w:hAnsi="Times New Roman" w:cs="Times New Roman"/>
        </w:rPr>
        <w:t xml:space="preserve"> (i) </w:t>
      </w:r>
      <w:r w:rsidRPr="004530CF">
        <w:rPr>
          <w:rFonts w:ascii="Times New Roman" w:hAnsi="Times New Roman" w:cs="Times New Roman"/>
        </w:rPr>
        <w:t xml:space="preserve">limite o aminore el impacto que para el funcionamiento del Estado </w:t>
      </w:r>
      <w:r w:rsidRPr="004530CF">
        <w:rPr>
          <w:rFonts w:ascii="Times New Roman" w:hAnsi="Times New Roman" w:cs="Times New Roman"/>
        </w:rPr>
        <w:t xml:space="preserve">tiene </w:t>
      </w:r>
      <w:r w:rsidRPr="004530CF">
        <w:rPr>
          <w:rFonts w:ascii="Times New Roman" w:hAnsi="Times New Roman" w:cs="Times New Roman"/>
        </w:rPr>
        <w:t xml:space="preserve">la incertidumbre originada </w:t>
      </w:r>
      <w:r w:rsidRPr="004530CF">
        <w:rPr>
          <w:rFonts w:ascii="Times New Roman" w:hAnsi="Times New Roman" w:cs="Times New Roman"/>
        </w:rPr>
        <w:t xml:space="preserve">por la posibilidad de que </w:t>
      </w:r>
      <w:r w:rsidRPr="004530CF">
        <w:rPr>
          <w:rFonts w:ascii="Times New Roman" w:hAnsi="Times New Roman" w:cs="Times New Roman"/>
        </w:rPr>
        <w:t xml:space="preserve">la justicia </w:t>
      </w:r>
      <w:r w:rsidRPr="004530CF">
        <w:rPr>
          <w:rFonts w:ascii="Times New Roman" w:hAnsi="Times New Roman" w:cs="Times New Roman"/>
        </w:rPr>
        <w:t>anu</w:t>
      </w:r>
      <w:r w:rsidRPr="004530CF">
        <w:rPr>
          <w:rFonts w:ascii="Times New Roman" w:hAnsi="Times New Roman" w:cs="Times New Roman"/>
        </w:rPr>
        <w:t>le una elección</w:t>
      </w:r>
      <w:r w:rsidRPr="004530CF">
        <w:rPr>
          <w:rFonts w:ascii="Times New Roman" w:hAnsi="Times New Roman" w:cs="Times New Roman"/>
        </w:rPr>
        <w:t>. Igualmente</w:t>
      </w:r>
      <w:r w:rsidRPr="004530CF">
        <w:rPr>
          <w:rFonts w:ascii="Times New Roman" w:hAnsi="Times New Roman" w:cs="Times New Roman"/>
        </w:rPr>
        <w:t xml:space="preserve">, </w:t>
      </w:r>
      <w:r w:rsidRPr="004530CF">
        <w:rPr>
          <w:rFonts w:ascii="Times New Roman" w:hAnsi="Times New Roman" w:cs="Times New Roman"/>
        </w:rPr>
        <w:t>la regulación</w:t>
      </w:r>
      <w:r w:rsidRPr="004530CF">
        <w:rPr>
          <w:rFonts w:ascii="Times New Roman" w:hAnsi="Times New Roman" w:cs="Times New Roman"/>
        </w:rPr>
        <w:t xml:space="preserve"> pretende</w:t>
      </w:r>
      <w:r w:rsidRPr="004530CF">
        <w:rPr>
          <w:rFonts w:ascii="Times New Roman" w:hAnsi="Times New Roman" w:cs="Times New Roman"/>
        </w:rPr>
        <w:t xml:space="preserve"> </w:t>
      </w:r>
      <w:r w:rsidRPr="004530CF">
        <w:rPr>
          <w:rFonts w:ascii="Times New Roman" w:hAnsi="Times New Roman" w:cs="Times New Roman"/>
        </w:rPr>
        <w:t xml:space="preserve">(ii) </w:t>
      </w:r>
      <w:r w:rsidRPr="004530CF">
        <w:rPr>
          <w:rFonts w:ascii="Times New Roman" w:hAnsi="Times New Roman" w:cs="Times New Roman"/>
        </w:rPr>
        <w:t>contraer l</w:t>
      </w:r>
      <w:r w:rsidRPr="004530CF">
        <w:rPr>
          <w:rFonts w:ascii="Times New Roman" w:hAnsi="Times New Roman" w:cs="Times New Roman"/>
        </w:rPr>
        <w:t xml:space="preserve">os efectos negativos </w:t>
      </w:r>
      <w:r w:rsidRPr="004530CF">
        <w:rPr>
          <w:rFonts w:ascii="Times New Roman" w:hAnsi="Times New Roman" w:cs="Times New Roman"/>
        </w:rPr>
        <w:t>que, el incumplimiento de las reglas electorales, pued</w:t>
      </w:r>
      <w:r w:rsidRPr="004530CF">
        <w:rPr>
          <w:rFonts w:ascii="Times New Roman" w:hAnsi="Times New Roman" w:cs="Times New Roman"/>
        </w:rPr>
        <w:t>e</w:t>
      </w:r>
      <w:r w:rsidRPr="004530CF">
        <w:rPr>
          <w:rFonts w:ascii="Times New Roman" w:hAnsi="Times New Roman" w:cs="Times New Roman"/>
        </w:rPr>
        <w:t xml:space="preserve"> tener en la confianza de las personas</w:t>
      </w:r>
      <w:r w:rsidRPr="004530CF">
        <w:rPr>
          <w:rFonts w:ascii="Times New Roman" w:hAnsi="Times New Roman" w:cs="Times New Roman"/>
        </w:rPr>
        <w:t xml:space="preserve"> en el sistema electoral</w:t>
      </w:r>
      <w:r w:rsidRPr="004530CF">
        <w:rPr>
          <w:rFonts w:ascii="Times New Roman" w:hAnsi="Times New Roman" w:cs="Times New Roman"/>
        </w:rPr>
        <w:t>.</w:t>
      </w:r>
    </w:p>
    <w:p w:rsidR="005A6A6B" w:rsidRPr="004530CF" w:rsidRDefault="004530CF" w:rsidP="004C7B30">
      <w:pPr>
        <w:pStyle w:val="Prrafodelista"/>
        <w:ind w:left="0"/>
        <w:rPr>
          <w:rStyle w:val="text-accent-secondary-000"/>
          <w:rFonts w:ascii="Times New Roman" w:hAnsi="Times New Roman" w:cs="Times New Roman"/>
          <w:sz w:val="28"/>
        </w:rPr>
      </w:pPr>
    </w:p>
    <w:p w:rsidR="001D7877" w:rsidRPr="004530CF" w:rsidRDefault="004530CF" w:rsidP="004C7B30">
      <w:pPr>
        <w:pStyle w:val="Numerales"/>
        <w:numPr>
          <w:ilvl w:val="0"/>
          <w:numId w:val="3"/>
        </w:numPr>
        <w:ind w:left="0" w:firstLine="0"/>
        <w:rPr>
          <w:rStyle w:val="text-accent-secondary-000"/>
          <w:rFonts w:ascii="Times New Roman" w:hAnsi="Times New Roman" w:cs="Times New Roman"/>
        </w:rPr>
      </w:pPr>
      <w:r w:rsidRPr="004530CF">
        <w:rPr>
          <w:rStyle w:val="text-accent-secondary-000"/>
          <w:rFonts w:ascii="Times New Roman" w:hAnsi="Times New Roman" w:cs="Times New Roman"/>
        </w:rPr>
        <w:t>Esta lectura encuentra respaldo en el trámite le</w:t>
      </w:r>
      <w:r w:rsidRPr="004530CF">
        <w:rPr>
          <w:rStyle w:val="text-accent-secondary-000"/>
          <w:rFonts w:ascii="Times New Roman" w:hAnsi="Times New Roman" w:cs="Times New Roman"/>
        </w:rPr>
        <w:t xml:space="preserve">gislativo de la </w:t>
      </w:r>
      <w:r w:rsidRPr="004530CF">
        <w:rPr>
          <w:rStyle w:val="text-accent-secondary-000"/>
          <w:rFonts w:ascii="Times New Roman" w:hAnsi="Times New Roman" w:cs="Times New Roman"/>
        </w:rPr>
        <w:t>L</w:t>
      </w:r>
      <w:r w:rsidRPr="004530CF">
        <w:rPr>
          <w:rStyle w:val="text-accent-secondary-000"/>
          <w:rFonts w:ascii="Times New Roman" w:hAnsi="Times New Roman" w:cs="Times New Roman"/>
        </w:rPr>
        <w:t xml:space="preserve">ey 1437 de 2011. Como lo destacó el procurador general de la Nación en su intervención, </w:t>
      </w:r>
      <w:r w:rsidRPr="004530CF">
        <w:rPr>
          <w:rStyle w:val="text-accent-secondary-000"/>
          <w:rFonts w:ascii="Times New Roman" w:hAnsi="Times New Roman" w:cs="Times New Roman"/>
        </w:rPr>
        <w:t>“</w:t>
      </w:r>
      <w:r w:rsidRPr="004530CF">
        <w:rPr>
          <w:rStyle w:val="text-accent-secondary-000"/>
          <w:rFonts w:ascii="Times New Roman" w:hAnsi="Times New Roman" w:cs="Times New Roman"/>
          <w:i/>
          <w:iCs/>
        </w:rPr>
        <w:t xml:space="preserve">la importancia del cargo […] y el ámbito de la circunscripción fueron los criterios que tuvo en cuenta el Legislador para distribuir y asignar la </w:t>
      </w:r>
      <w:r w:rsidRPr="004530CF">
        <w:rPr>
          <w:rStyle w:val="text-accent-secondary-000"/>
          <w:rFonts w:ascii="Times New Roman" w:hAnsi="Times New Roman" w:cs="Times New Roman"/>
          <w:i/>
          <w:iCs/>
        </w:rPr>
        <w:t>competencia respecto de los procesos que conocería el Consejo de Estado en única instancia</w:t>
      </w:r>
      <w:r w:rsidRPr="004530CF">
        <w:rPr>
          <w:rStyle w:val="text-accent-secondary-000"/>
          <w:rFonts w:ascii="Times New Roman" w:hAnsi="Times New Roman" w:cs="Times New Roman"/>
        </w:rPr>
        <w:t>”</w:t>
      </w:r>
      <w:r w:rsidRPr="004530CF">
        <w:rPr>
          <w:rStyle w:val="Refdenotaalpie"/>
          <w:rFonts w:ascii="Times New Roman" w:hAnsi="Times New Roman" w:cs="Times New Roman"/>
          <w:szCs w:val="24"/>
        </w:rPr>
        <w:footnoteReference w:id="72"/>
      </w:r>
      <w:r w:rsidRPr="004530CF">
        <w:rPr>
          <w:rStyle w:val="text-accent-secondary-000"/>
          <w:rFonts w:ascii="Times New Roman" w:hAnsi="Times New Roman" w:cs="Times New Roman"/>
        </w:rPr>
        <w:t xml:space="preserve">. </w:t>
      </w:r>
      <w:r w:rsidRPr="004530CF">
        <w:rPr>
          <w:rStyle w:val="text-accent-secondary-000"/>
          <w:rFonts w:ascii="Times New Roman" w:hAnsi="Times New Roman" w:cs="Times New Roman"/>
        </w:rPr>
        <w:t>Según se indicó en el Informe de Ponencia para primer debate en el Senado de la República</w:t>
      </w:r>
      <w:r w:rsidRPr="004530CF">
        <w:rPr>
          <w:rStyle w:val="text-accent-secondary-000"/>
          <w:rFonts w:ascii="Times New Roman" w:hAnsi="Times New Roman" w:cs="Times New Roman"/>
        </w:rPr>
        <w:t xml:space="preserve"> “[e]</w:t>
      </w:r>
      <w:r w:rsidRPr="004530CF">
        <w:rPr>
          <w:rStyle w:val="text-accent-secondary-000"/>
          <w:rFonts w:ascii="Times New Roman" w:hAnsi="Times New Roman" w:cs="Times New Roman"/>
          <w:i/>
        </w:rPr>
        <w:t>l</w:t>
      </w:r>
      <w:r w:rsidRPr="004530CF">
        <w:rPr>
          <w:rStyle w:val="text-accent-secondary-000"/>
          <w:rFonts w:ascii="Times New Roman" w:hAnsi="Times New Roman" w:cs="Times New Roman"/>
          <w:i/>
        </w:rPr>
        <w:t xml:space="preserve"> </w:t>
      </w:r>
      <w:r w:rsidRPr="004530CF">
        <w:rPr>
          <w:rFonts w:ascii="Times New Roman" w:hAnsi="Times New Roman" w:cs="Times New Roman"/>
          <w:i/>
          <w:color w:val="000000"/>
          <w:spacing w:val="-2"/>
          <w:shd w:val="clear" w:color="auto" w:fill="FFFFFF"/>
        </w:rPr>
        <w:t>proyecto establece un conjunto de disposiciones especiales para el</w:t>
      </w:r>
      <w:r w:rsidRPr="004530CF">
        <w:rPr>
          <w:rFonts w:ascii="Times New Roman" w:hAnsi="Times New Roman" w:cs="Times New Roman"/>
          <w:i/>
          <w:color w:val="000000"/>
          <w:spacing w:val="-2"/>
          <w:shd w:val="clear" w:color="auto" w:fill="FFFFFF"/>
        </w:rPr>
        <w:t xml:space="preserve"> trámite y decisión de las pretensiones de contenido electoral, con lo cual se busca atender la naturaleza especialísima de estos asuntos y la necesidad de adelantarlos en forma breve, dado el término tan corto señalado en el artículo 264 de la Constitució</w:t>
      </w:r>
      <w:r w:rsidRPr="004530CF">
        <w:rPr>
          <w:rFonts w:ascii="Times New Roman" w:hAnsi="Times New Roman" w:cs="Times New Roman"/>
          <w:i/>
          <w:color w:val="000000"/>
          <w:spacing w:val="-2"/>
          <w:shd w:val="clear" w:color="auto" w:fill="FFFFFF"/>
        </w:rPr>
        <w:t>n Política para la decisión de estas reclamaciones</w:t>
      </w:r>
      <w:r w:rsidRPr="004530CF">
        <w:rPr>
          <w:rFonts w:ascii="Times New Roman" w:hAnsi="Times New Roman" w:cs="Times New Roman"/>
          <w:color w:val="000000"/>
          <w:spacing w:val="-2"/>
          <w:shd w:val="clear" w:color="auto" w:fill="FFFFFF"/>
        </w:rPr>
        <w:t>”</w:t>
      </w:r>
      <w:r w:rsidRPr="004530CF">
        <w:rPr>
          <w:rStyle w:val="Refdenotaalpie"/>
          <w:rFonts w:ascii="Times New Roman" w:hAnsi="Times New Roman" w:cs="Times New Roman"/>
        </w:rPr>
        <w:footnoteReference w:id="73"/>
      </w:r>
      <w:r w:rsidRPr="004530CF">
        <w:rPr>
          <w:rStyle w:val="text-accent-secondary-000"/>
          <w:rFonts w:ascii="Times New Roman" w:hAnsi="Times New Roman" w:cs="Times New Roman"/>
        </w:rPr>
        <w:t>.</w:t>
      </w:r>
    </w:p>
    <w:p w:rsidR="001D7877" w:rsidRPr="004530CF" w:rsidRDefault="004530CF" w:rsidP="004C7B30">
      <w:pPr>
        <w:pStyle w:val="Prrafodelista"/>
        <w:ind w:left="0"/>
        <w:rPr>
          <w:rStyle w:val="text-accent-secondary-000"/>
          <w:rFonts w:ascii="Times New Roman" w:hAnsi="Times New Roman" w:cs="Times New Roman"/>
          <w:sz w:val="28"/>
        </w:rPr>
      </w:pPr>
    </w:p>
    <w:p w:rsidR="005154C7" w:rsidRPr="004530CF" w:rsidRDefault="004530CF" w:rsidP="004C7B30">
      <w:pPr>
        <w:pStyle w:val="Prrafodelista"/>
        <w:ind w:left="0"/>
        <w:rPr>
          <w:rFonts w:ascii="Times New Roman" w:hAnsi="Times New Roman" w:cs="Times New Roman"/>
          <w:sz w:val="28"/>
        </w:rPr>
      </w:pPr>
    </w:p>
    <w:p w:rsidR="002954A6"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rPr>
        <w:t xml:space="preserve">Si </w:t>
      </w:r>
      <w:r w:rsidRPr="004530CF">
        <w:rPr>
          <w:rFonts w:ascii="Times New Roman" w:hAnsi="Times New Roman" w:cs="Times New Roman"/>
        </w:rPr>
        <w:t>son</w:t>
      </w:r>
      <w:r w:rsidRPr="004530CF">
        <w:rPr>
          <w:rFonts w:ascii="Times New Roman" w:hAnsi="Times New Roman" w:cs="Times New Roman"/>
        </w:rPr>
        <w:t xml:space="preserve"> estos los fines</w:t>
      </w:r>
      <w:r w:rsidRPr="004530CF">
        <w:rPr>
          <w:rFonts w:ascii="Times New Roman" w:hAnsi="Times New Roman" w:cs="Times New Roman"/>
        </w:rPr>
        <w:t xml:space="preserve"> que se anudan a la medida analizada</w:t>
      </w:r>
      <w:r w:rsidRPr="004530CF">
        <w:rPr>
          <w:rFonts w:ascii="Times New Roman" w:hAnsi="Times New Roman" w:cs="Times New Roman"/>
        </w:rPr>
        <w:t>,</w:t>
      </w:r>
      <w:r w:rsidRPr="004530CF">
        <w:rPr>
          <w:rFonts w:ascii="Times New Roman" w:hAnsi="Times New Roman" w:cs="Times New Roman"/>
        </w:rPr>
        <w:t xml:space="preserve"> </w:t>
      </w:r>
      <w:r w:rsidRPr="004530CF">
        <w:rPr>
          <w:rFonts w:ascii="Times New Roman" w:hAnsi="Times New Roman" w:cs="Times New Roman"/>
        </w:rPr>
        <w:t xml:space="preserve">puede concluirse </w:t>
      </w:r>
      <w:r w:rsidRPr="004530CF">
        <w:rPr>
          <w:rFonts w:ascii="Times New Roman" w:hAnsi="Times New Roman" w:cs="Times New Roman"/>
        </w:rPr>
        <w:t>que el criterio de comparación</w:t>
      </w:r>
      <w:r w:rsidRPr="004530CF">
        <w:rPr>
          <w:rFonts w:ascii="Times New Roman" w:hAnsi="Times New Roman" w:cs="Times New Roman"/>
        </w:rPr>
        <w:t xml:space="preserve"> relevante corresponde</w:t>
      </w:r>
      <w:r w:rsidRPr="004530CF">
        <w:rPr>
          <w:rFonts w:ascii="Times New Roman" w:hAnsi="Times New Roman" w:cs="Times New Roman"/>
        </w:rPr>
        <w:t>,</w:t>
      </w:r>
      <w:r w:rsidRPr="004530CF">
        <w:rPr>
          <w:rFonts w:ascii="Times New Roman" w:hAnsi="Times New Roman" w:cs="Times New Roman"/>
        </w:rPr>
        <w:t xml:space="preserve"> </w:t>
      </w:r>
      <w:r w:rsidRPr="004530CF">
        <w:rPr>
          <w:rFonts w:ascii="Times New Roman" w:hAnsi="Times New Roman" w:cs="Times New Roman"/>
        </w:rPr>
        <w:t>no al origen popular de la elección</w:t>
      </w:r>
      <w:r w:rsidRPr="004530CF">
        <w:rPr>
          <w:rFonts w:ascii="Times New Roman" w:hAnsi="Times New Roman" w:cs="Times New Roman"/>
        </w:rPr>
        <w:t>,</w:t>
      </w:r>
      <w:r w:rsidRPr="004530CF">
        <w:rPr>
          <w:rFonts w:ascii="Times New Roman" w:hAnsi="Times New Roman" w:cs="Times New Roman"/>
        </w:rPr>
        <w:t xml:space="preserve"> sino al </w:t>
      </w:r>
      <w:r w:rsidRPr="004530CF">
        <w:rPr>
          <w:rFonts w:ascii="Times New Roman" w:hAnsi="Times New Roman" w:cs="Times New Roman"/>
          <w:b/>
          <w:i/>
        </w:rPr>
        <w:t xml:space="preserve">grado de incidencia que </w:t>
      </w:r>
      <w:r w:rsidRPr="004530CF">
        <w:rPr>
          <w:rFonts w:ascii="Times New Roman" w:hAnsi="Times New Roman" w:cs="Times New Roman"/>
          <w:b/>
          <w:i/>
        </w:rPr>
        <w:t>en</w:t>
      </w:r>
      <w:r w:rsidRPr="004530CF">
        <w:rPr>
          <w:rFonts w:ascii="Times New Roman" w:hAnsi="Times New Roman" w:cs="Times New Roman"/>
          <w:b/>
          <w:i/>
        </w:rPr>
        <w:t xml:space="preserve"> la actividad</w:t>
      </w:r>
      <w:r w:rsidRPr="004530CF">
        <w:rPr>
          <w:rFonts w:ascii="Times New Roman" w:hAnsi="Times New Roman" w:cs="Times New Roman"/>
          <w:b/>
          <w:i/>
        </w:rPr>
        <w:t xml:space="preserve"> </w:t>
      </w:r>
      <w:r w:rsidRPr="004530CF">
        <w:rPr>
          <w:rFonts w:ascii="Times New Roman" w:hAnsi="Times New Roman" w:cs="Times New Roman"/>
          <w:b/>
          <w:i/>
        </w:rPr>
        <w:t xml:space="preserve">y funcionamiento </w:t>
      </w:r>
      <w:r w:rsidRPr="004530CF">
        <w:rPr>
          <w:rFonts w:ascii="Times New Roman" w:hAnsi="Times New Roman" w:cs="Times New Roman"/>
          <w:b/>
          <w:i/>
        </w:rPr>
        <w:t>del Estado tiene</w:t>
      </w:r>
      <w:r w:rsidRPr="004530CF">
        <w:rPr>
          <w:rFonts w:ascii="Times New Roman" w:hAnsi="Times New Roman" w:cs="Times New Roman"/>
          <w:b/>
          <w:i/>
        </w:rPr>
        <w:t xml:space="preserve"> </w:t>
      </w:r>
      <w:r w:rsidRPr="004530CF">
        <w:rPr>
          <w:rFonts w:ascii="Times New Roman" w:hAnsi="Times New Roman" w:cs="Times New Roman"/>
          <w:b/>
          <w:i/>
        </w:rPr>
        <w:t>el servidor público</w:t>
      </w:r>
      <w:r w:rsidRPr="004530CF">
        <w:rPr>
          <w:rFonts w:ascii="Times New Roman" w:hAnsi="Times New Roman" w:cs="Times New Roman"/>
          <w:b/>
          <w:i/>
        </w:rPr>
        <w:t xml:space="preserve"> cuya elección se cuestiona</w:t>
      </w:r>
      <w:r w:rsidRPr="004530CF">
        <w:rPr>
          <w:rFonts w:ascii="Times New Roman" w:hAnsi="Times New Roman" w:cs="Times New Roman"/>
        </w:rPr>
        <w:t>,</w:t>
      </w:r>
      <w:r w:rsidRPr="004530CF">
        <w:rPr>
          <w:rFonts w:ascii="Times New Roman" w:hAnsi="Times New Roman" w:cs="Times New Roman"/>
        </w:rPr>
        <w:t xml:space="preserve"> mediante </w:t>
      </w:r>
      <w:r w:rsidRPr="004530CF">
        <w:rPr>
          <w:rFonts w:ascii="Times New Roman" w:hAnsi="Times New Roman" w:cs="Times New Roman"/>
        </w:rPr>
        <w:t>el medio de control</w:t>
      </w:r>
      <w:r w:rsidRPr="004530CF">
        <w:rPr>
          <w:rFonts w:ascii="Times New Roman" w:hAnsi="Times New Roman" w:cs="Times New Roman"/>
        </w:rPr>
        <w:t xml:space="preserve"> de nulidad electoral.</w:t>
      </w:r>
      <w:r w:rsidRPr="004530CF">
        <w:rPr>
          <w:rFonts w:ascii="Times New Roman" w:hAnsi="Times New Roman" w:cs="Times New Roman"/>
        </w:rPr>
        <w:t xml:space="preserve"> Tal criterio</w:t>
      </w:r>
      <w:r w:rsidRPr="004530CF">
        <w:rPr>
          <w:rFonts w:ascii="Times New Roman" w:hAnsi="Times New Roman" w:cs="Times New Roman"/>
        </w:rPr>
        <w:t>, en suma,</w:t>
      </w:r>
      <w:r w:rsidRPr="004530CF">
        <w:rPr>
          <w:rFonts w:ascii="Times New Roman" w:hAnsi="Times New Roman" w:cs="Times New Roman"/>
        </w:rPr>
        <w:t xml:space="preserve"> puede</w:t>
      </w:r>
      <w:r w:rsidRPr="004530CF">
        <w:rPr>
          <w:rFonts w:ascii="Times New Roman" w:hAnsi="Times New Roman" w:cs="Times New Roman"/>
        </w:rPr>
        <w:t xml:space="preserve"> comprenderse</w:t>
      </w:r>
      <w:r w:rsidRPr="004530CF">
        <w:rPr>
          <w:rFonts w:ascii="Times New Roman" w:hAnsi="Times New Roman" w:cs="Times New Roman"/>
        </w:rPr>
        <w:t xml:space="preserve"> a partir de la articulación de tres factores: (i) el tiempo, en c</w:t>
      </w:r>
      <w:r w:rsidRPr="004530CF">
        <w:rPr>
          <w:rFonts w:ascii="Times New Roman" w:hAnsi="Times New Roman" w:cs="Times New Roman"/>
        </w:rPr>
        <w:t xml:space="preserve">uanto la decisión sobre la validez de la elección debe adoptarse en el término breve de seis meses y en única instancia, conforme con el parágrafo del artículo 264 de la Constitución; (ii) la posición de los servidores públicos cuya elección se cuestiona, </w:t>
      </w:r>
      <w:r w:rsidRPr="004530CF">
        <w:rPr>
          <w:rFonts w:ascii="Times New Roman" w:hAnsi="Times New Roman" w:cs="Times New Roman"/>
        </w:rPr>
        <w:t>teniendo en cuenta</w:t>
      </w:r>
      <w:r w:rsidRPr="004530CF">
        <w:rPr>
          <w:rFonts w:ascii="Times New Roman" w:hAnsi="Times New Roman" w:cs="Times New Roman"/>
        </w:rPr>
        <w:t xml:space="preserve"> el grado de amplitud de la circunscripción en la que actúan y la naturaleza de las competencias a su cargo</w:t>
      </w:r>
      <w:r w:rsidRPr="004530CF">
        <w:rPr>
          <w:rFonts w:ascii="Times New Roman" w:hAnsi="Times New Roman" w:cs="Times New Roman"/>
        </w:rPr>
        <w:t>; y (iii) la jerarquía y especialidad del órgano jurisdiccional encargado de resolver la controversia, que en este caso corresponde</w:t>
      </w:r>
      <w:r w:rsidRPr="004530CF">
        <w:rPr>
          <w:rFonts w:ascii="Times New Roman" w:hAnsi="Times New Roman" w:cs="Times New Roman"/>
        </w:rPr>
        <w:t xml:space="preserve"> al Consejo de Estado</w:t>
      </w:r>
      <w:r w:rsidRPr="004530CF">
        <w:rPr>
          <w:rFonts w:ascii="Times New Roman" w:hAnsi="Times New Roman" w:cs="Times New Roman"/>
        </w:rPr>
        <w:t>,</w:t>
      </w:r>
      <w:r w:rsidRPr="004530CF">
        <w:rPr>
          <w:rFonts w:ascii="Times New Roman" w:hAnsi="Times New Roman" w:cs="Times New Roman"/>
        </w:rPr>
        <w:t xml:space="preserve"> como órgano de cierre de la </w:t>
      </w:r>
      <w:r w:rsidRPr="004530CF">
        <w:rPr>
          <w:rFonts w:ascii="Times New Roman" w:hAnsi="Times New Roman" w:cs="Times New Roman"/>
        </w:rPr>
        <w:t>J</w:t>
      </w:r>
      <w:r w:rsidRPr="004530CF">
        <w:rPr>
          <w:rFonts w:ascii="Times New Roman" w:hAnsi="Times New Roman" w:cs="Times New Roman"/>
        </w:rPr>
        <w:t>urisdicción</w:t>
      </w:r>
      <w:r w:rsidRPr="004530CF">
        <w:rPr>
          <w:rFonts w:ascii="Times New Roman" w:hAnsi="Times New Roman" w:cs="Times New Roman"/>
        </w:rPr>
        <w:t xml:space="preserve"> de lo</w:t>
      </w:r>
      <w:r w:rsidRPr="004530CF">
        <w:rPr>
          <w:rFonts w:ascii="Times New Roman" w:hAnsi="Times New Roman" w:cs="Times New Roman"/>
        </w:rPr>
        <w:t xml:space="preserve"> </w:t>
      </w:r>
      <w:r w:rsidRPr="004530CF">
        <w:rPr>
          <w:rFonts w:ascii="Times New Roman" w:hAnsi="Times New Roman" w:cs="Times New Roman"/>
        </w:rPr>
        <w:t>C</w:t>
      </w:r>
      <w:r w:rsidRPr="004530CF">
        <w:rPr>
          <w:rFonts w:ascii="Times New Roman" w:hAnsi="Times New Roman" w:cs="Times New Roman"/>
        </w:rPr>
        <w:t xml:space="preserve">ontencioso </w:t>
      </w:r>
      <w:r w:rsidRPr="004530CF">
        <w:rPr>
          <w:rFonts w:ascii="Times New Roman" w:hAnsi="Times New Roman" w:cs="Times New Roman"/>
        </w:rPr>
        <w:t>A</w:t>
      </w:r>
      <w:r w:rsidRPr="004530CF">
        <w:rPr>
          <w:rFonts w:ascii="Times New Roman" w:hAnsi="Times New Roman" w:cs="Times New Roman"/>
        </w:rPr>
        <w:t>dministrativ</w:t>
      </w:r>
      <w:r w:rsidRPr="004530CF">
        <w:rPr>
          <w:rFonts w:ascii="Times New Roman" w:hAnsi="Times New Roman" w:cs="Times New Roman"/>
        </w:rPr>
        <w:t>o</w:t>
      </w:r>
      <w:r w:rsidRPr="004530CF">
        <w:rPr>
          <w:rFonts w:ascii="Times New Roman" w:hAnsi="Times New Roman" w:cs="Times New Roman"/>
        </w:rPr>
        <w:t xml:space="preserve">. </w:t>
      </w:r>
      <w:r w:rsidRPr="004530CF">
        <w:rPr>
          <w:rFonts w:ascii="Times New Roman" w:hAnsi="Times New Roman" w:cs="Times New Roman"/>
        </w:rPr>
        <w:t>Esta conclusión adquiere mayor fuerza si se considera que tanto el numeral 3 del artículo 149</w:t>
      </w:r>
      <w:r w:rsidRPr="004530CF">
        <w:rPr>
          <w:rFonts w:ascii="Times New Roman" w:hAnsi="Times New Roman" w:cs="Times New Roman"/>
        </w:rPr>
        <w:t>,</w:t>
      </w:r>
      <w:r w:rsidRPr="004530CF">
        <w:rPr>
          <w:rFonts w:ascii="Times New Roman" w:hAnsi="Times New Roman" w:cs="Times New Roman"/>
        </w:rPr>
        <w:t xml:space="preserve"> como en el literal a) del numeral 7 del artículo 152, </w:t>
      </w:r>
      <w:r w:rsidRPr="004530CF">
        <w:rPr>
          <w:rFonts w:ascii="Times New Roman" w:hAnsi="Times New Roman" w:cs="Times New Roman"/>
          <w:i/>
        </w:rPr>
        <w:t>inclu</w:t>
      </w:r>
      <w:r w:rsidRPr="004530CF">
        <w:rPr>
          <w:rFonts w:ascii="Times New Roman" w:hAnsi="Times New Roman" w:cs="Times New Roman"/>
          <w:i/>
        </w:rPr>
        <w:t>yen</w:t>
      </w:r>
      <w:r w:rsidRPr="004530CF">
        <w:rPr>
          <w:rFonts w:ascii="Times New Roman" w:hAnsi="Times New Roman" w:cs="Times New Roman"/>
          <w:i/>
        </w:rPr>
        <w:t xml:space="preserve"> funcionarios no elegidos por el pueblo</w:t>
      </w:r>
      <w:r w:rsidRPr="004530CF">
        <w:rPr>
          <w:rFonts w:ascii="Times New Roman" w:hAnsi="Times New Roman" w:cs="Times New Roman"/>
        </w:rPr>
        <w:t>.</w:t>
      </w:r>
      <w:r w:rsidRPr="004530CF">
        <w:rPr>
          <w:rFonts w:ascii="Times New Roman" w:hAnsi="Times New Roman" w:cs="Times New Roman"/>
        </w:rPr>
        <w:t xml:space="preserve"> </w:t>
      </w:r>
      <w:r w:rsidRPr="004530CF">
        <w:rPr>
          <w:rFonts w:ascii="Times New Roman" w:hAnsi="Times New Roman" w:cs="Times New Roman"/>
        </w:rPr>
        <w:t>Esa</w:t>
      </w:r>
      <w:r w:rsidRPr="004530CF">
        <w:rPr>
          <w:rFonts w:ascii="Times New Roman" w:hAnsi="Times New Roman" w:cs="Times New Roman"/>
        </w:rPr>
        <w:t xml:space="preserve"> circunstancia indicaría que dicho factor no fue</w:t>
      </w:r>
      <w:r w:rsidRPr="004530CF">
        <w:rPr>
          <w:rFonts w:ascii="Times New Roman" w:hAnsi="Times New Roman" w:cs="Times New Roman"/>
        </w:rPr>
        <w:t xml:space="preserve"> decisivo en la clasificación</w:t>
      </w:r>
      <w:r w:rsidRPr="004530CF">
        <w:rPr>
          <w:rFonts w:ascii="Times New Roman" w:hAnsi="Times New Roman" w:cs="Times New Roman"/>
        </w:rPr>
        <w:t xml:space="preserve"> realizada por el legislador.</w:t>
      </w:r>
      <w:r w:rsidRPr="004530CF">
        <w:rPr>
          <w:rFonts w:ascii="Times New Roman" w:hAnsi="Times New Roman" w:cs="Times New Roman"/>
        </w:rPr>
        <w:t xml:space="preserve"> </w:t>
      </w:r>
      <w:r w:rsidRPr="004530CF">
        <w:rPr>
          <w:rFonts w:ascii="Times New Roman" w:hAnsi="Times New Roman" w:cs="Times New Roman"/>
        </w:rPr>
        <w:t>Se confirmaría entonces que</w:t>
      </w:r>
      <w:r w:rsidRPr="004530CF">
        <w:rPr>
          <w:rFonts w:ascii="Times New Roman" w:hAnsi="Times New Roman" w:cs="Times New Roman"/>
        </w:rPr>
        <w:t>,</w:t>
      </w:r>
      <w:r w:rsidRPr="004530CF">
        <w:rPr>
          <w:rFonts w:ascii="Times New Roman" w:hAnsi="Times New Roman" w:cs="Times New Roman"/>
        </w:rPr>
        <w:t xml:space="preserve"> en la raíz de la regulación</w:t>
      </w:r>
      <w:r w:rsidRPr="004530CF">
        <w:rPr>
          <w:rFonts w:ascii="Times New Roman" w:hAnsi="Times New Roman" w:cs="Times New Roman"/>
        </w:rPr>
        <w:t xml:space="preserve"> diferenciada,</w:t>
      </w:r>
      <w:r w:rsidRPr="004530CF">
        <w:rPr>
          <w:rFonts w:ascii="Times New Roman" w:hAnsi="Times New Roman" w:cs="Times New Roman"/>
        </w:rPr>
        <w:t xml:space="preserve"> est</w:t>
      </w:r>
      <w:r w:rsidRPr="004530CF">
        <w:rPr>
          <w:rFonts w:ascii="Times New Roman" w:hAnsi="Times New Roman" w:cs="Times New Roman"/>
        </w:rPr>
        <w:t>á</w:t>
      </w:r>
      <w:r w:rsidRPr="004530CF">
        <w:rPr>
          <w:rFonts w:ascii="Times New Roman" w:hAnsi="Times New Roman" w:cs="Times New Roman"/>
        </w:rPr>
        <w:t xml:space="preserve"> la idea según la cual a medid</w:t>
      </w:r>
      <w:r w:rsidRPr="004530CF">
        <w:rPr>
          <w:rFonts w:ascii="Times New Roman" w:hAnsi="Times New Roman" w:cs="Times New Roman"/>
        </w:rPr>
        <w:t>a que la incidencia del funcionario se incrementa</w:t>
      </w:r>
      <w:r w:rsidRPr="004530CF">
        <w:rPr>
          <w:rFonts w:ascii="Times New Roman" w:hAnsi="Times New Roman" w:cs="Times New Roman"/>
        </w:rPr>
        <w:t>,</w:t>
      </w:r>
      <w:r w:rsidRPr="004530CF">
        <w:rPr>
          <w:rFonts w:ascii="Times New Roman" w:hAnsi="Times New Roman" w:cs="Times New Roman"/>
        </w:rPr>
        <w:t xml:space="preserve"> la necesidad de una </w:t>
      </w:r>
      <w:r w:rsidRPr="004530CF">
        <w:rPr>
          <w:rFonts w:ascii="Times New Roman" w:hAnsi="Times New Roman" w:cs="Times New Roman"/>
          <w:i/>
        </w:rPr>
        <w:t>decisión</w:t>
      </w:r>
      <w:r w:rsidRPr="004530CF">
        <w:rPr>
          <w:rFonts w:ascii="Times New Roman" w:hAnsi="Times New Roman" w:cs="Times New Roman"/>
          <w:i/>
        </w:rPr>
        <w:t xml:space="preserve"> definitiva</w:t>
      </w:r>
      <w:r w:rsidRPr="004530CF">
        <w:rPr>
          <w:rFonts w:ascii="Times New Roman" w:hAnsi="Times New Roman" w:cs="Times New Roman"/>
        </w:rPr>
        <w:t xml:space="preserve"> sobre la nulidad electoral se torna más urgente. </w:t>
      </w:r>
    </w:p>
    <w:p w:rsidR="002954A6" w:rsidRPr="004530CF" w:rsidRDefault="004530CF" w:rsidP="004C7B30">
      <w:pPr>
        <w:pStyle w:val="Numerales"/>
        <w:ind w:left="0" w:firstLine="0"/>
        <w:rPr>
          <w:rFonts w:ascii="Times New Roman" w:hAnsi="Times New Roman" w:cs="Times New Roman"/>
        </w:rPr>
      </w:pPr>
      <w:r w:rsidRPr="004530CF">
        <w:rPr>
          <w:rFonts w:ascii="Times New Roman" w:hAnsi="Times New Roman" w:cs="Times New Roman"/>
        </w:rPr>
        <w:t xml:space="preserve"> </w:t>
      </w:r>
    </w:p>
    <w:p w:rsidR="005154C7" w:rsidRPr="004530CF" w:rsidRDefault="004530CF" w:rsidP="004C7B30">
      <w:pPr>
        <w:pStyle w:val="Numerales"/>
        <w:numPr>
          <w:ilvl w:val="0"/>
          <w:numId w:val="3"/>
        </w:numPr>
        <w:ind w:left="0" w:firstLine="0"/>
        <w:rPr>
          <w:rFonts w:ascii="Times New Roman" w:hAnsi="Times New Roman" w:cs="Times New Roman"/>
        </w:rPr>
      </w:pPr>
      <w:r w:rsidRPr="004530CF">
        <w:rPr>
          <w:rFonts w:ascii="Times New Roman" w:hAnsi="Times New Roman" w:cs="Times New Roman"/>
        </w:rPr>
        <w:t>E</w:t>
      </w:r>
      <w:r w:rsidRPr="004530CF">
        <w:rPr>
          <w:rFonts w:ascii="Times New Roman" w:hAnsi="Times New Roman" w:cs="Times New Roman"/>
        </w:rPr>
        <w:t>n el primer grupo</w:t>
      </w:r>
      <w:r w:rsidRPr="004530CF">
        <w:rPr>
          <w:rFonts w:ascii="Times New Roman" w:hAnsi="Times New Roman" w:cs="Times New Roman"/>
        </w:rPr>
        <w:t xml:space="preserve"> </w:t>
      </w:r>
      <w:r w:rsidRPr="004530CF">
        <w:rPr>
          <w:rFonts w:ascii="Times New Roman" w:hAnsi="Times New Roman" w:cs="Times New Roman"/>
        </w:rPr>
        <w:t>se encuentran incluidos servidores públicos que</w:t>
      </w:r>
      <w:r w:rsidRPr="004530CF">
        <w:rPr>
          <w:rFonts w:ascii="Times New Roman" w:hAnsi="Times New Roman" w:cs="Times New Roman"/>
        </w:rPr>
        <w:t>,</w:t>
      </w:r>
      <w:r w:rsidRPr="004530CF">
        <w:rPr>
          <w:rFonts w:ascii="Times New Roman" w:hAnsi="Times New Roman" w:cs="Times New Roman"/>
        </w:rPr>
        <w:t xml:space="preserve"> por (i) el </w:t>
      </w:r>
      <w:r w:rsidRPr="004530CF">
        <w:rPr>
          <w:rFonts w:ascii="Times New Roman" w:hAnsi="Times New Roman" w:cs="Times New Roman"/>
          <w:bCs/>
          <w:iCs/>
        </w:rPr>
        <w:t xml:space="preserve">grado de incidencia en la </w:t>
      </w:r>
      <w:r w:rsidRPr="004530CF">
        <w:rPr>
          <w:rFonts w:ascii="Times New Roman" w:hAnsi="Times New Roman" w:cs="Times New Roman"/>
          <w:bCs/>
          <w:iCs/>
        </w:rPr>
        <w:t>dirección política del Estado y (ii) la naturaleza de las funciones</w:t>
      </w:r>
      <w:r w:rsidRPr="004530CF">
        <w:rPr>
          <w:rFonts w:ascii="Times New Roman" w:hAnsi="Times New Roman" w:cs="Times New Roman"/>
          <w:bCs/>
          <w:iCs/>
        </w:rPr>
        <w:t xml:space="preserve"> asignadas</w:t>
      </w:r>
      <w:r w:rsidRPr="004530CF">
        <w:rPr>
          <w:rFonts w:ascii="Times New Roman" w:hAnsi="Times New Roman" w:cs="Times New Roman"/>
          <w:bCs/>
          <w:iCs/>
        </w:rPr>
        <w:t>, son destinatarios de un</w:t>
      </w:r>
      <w:r w:rsidRPr="004530CF">
        <w:rPr>
          <w:rFonts w:ascii="Times New Roman" w:hAnsi="Times New Roman" w:cs="Times New Roman"/>
          <w:bCs/>
          <w:iCs/>
        </w:rPr>
        <w:t>a</w:t>
      </w:r>
      <w:r w:rsidRPr="004530CF">
        <w:rPr>
          <w:rFonts w:ascii="Times New Roman" w:hAnsi="Times New Roman" w:cs="Times New Roman"/>
          <w:bCs/>
          <w:iCs/>
        </w:rPr>
        <w:t xml:space="preserve"> </w:t>
      </w:r>
      <w:r w:rsidRPr="004530CF">
        <w:rPr>
          <w:rFonts w:ascii="Times New Roman" w:hAnsi="Times New Roman" w:cs="Times New Roman"/>
          <w:bCs/>
          <w:iCs/>
        </w:rPr>
        <w:t xml:space="preserve">regla </w:t>
      </w:r>
      <w:r w:rsidRPr="004530CF">
        <w:rPr>
          <w:rFonts w:ascii="Times New Roman" w:hAnsi="Times New Roman" w:cs="Times New Roman"/>
          <w:bCs/>
          <w:iCs/>
        </w:rPr>
        <w:t xml:space="preserve">encaminada a asegurar </w:t>
      </w:r>
      <w:r w:rsidRPr="004530CF">
        <w:rPr>
          <w:rFonts w:ascii="Times New Roman" w:hAnsi="Times New Roman" w:cs="Times New Roman"/>
          <w:bCs/>
          <w:iCs/>
        </w:rPr>
        <w:t>que</w:t>
      </w:r>
      <w:r w:rsidRPr="004530CF">
        <w:rPr>
          <w:rFonts w:ascii="Times New Roman" w:hAnsi="Times New Roman" w:cs="Times New Roman"/>
          <w:bCs/>
          <w:iCs/>
        </w:rPr>
        <w:t xml:space="preserve"> la decisión sobre </w:t>
      </w:r>
      <w:r w:rsidRPr="004530CF">
        <w:rPr>
          <w:rFonts w:ascii="Times New Roman" w:hAnsi="Times New Roman" w:cs="Times New Roman"/>
          <w:bCs/>
          <w:iCs/>
        </w:rPr>
        <w:t>su permanencia o no en el cargo</w:t>
      </w:r>
      <w:r w:rsidRPr="004530CF">
        <w:rPr>
          <w:rFonts w:ascii="Times New Roman" w:hAnsi="Times New Roman" w:cs="Times New Roman"/>
          <w:bCs/>
          <w:iCs/>
        </w:rPr>
        <w:t>,</w:t>
      </w:r>
      <w:r w:rsidRPr="004530CF">
        <w:rPr>
          <w:rFonts w:ascii="Times New Roman" w:hAnsi="Times New Roman" w:cs="Times New Roman"/>
          <w:bCs/>
          <w:iCs/>
        </w:rPr>
        <w:t xml:space="preserve"> sea</w:t>
      </w:r>
      <w:r w:rsidRPr="004530CF">
        <w:rPr>
          <w:rFonts w:ascii="Times New Roman" w:hAnsi="Times New Roman" w:cs="Times New Roman"/>
          <w:bCs/>
          <w:iCs/>
        </w:rPr>
        <w:t xml:space="preserve"> adoptada</w:t>
      </w:r>
      <w:r w:rsidRPr="004530CF">
        <w:rPr>
          <w:rFonts w:ascii="Times New Roman" w:hAnsi="Times New Roman" w:cs="Times New Roman"/>
          <w:bCs/>
          <w:iCs/>
        </w:rPr>
        <w:t xml:space="preserve"> </w:t>
      </w:r>
      <w:r w:rsidRPr="004530CF">
        <w:rPr>
          <w:rFonts w:ascii="Times New Roman" w:hAnsi="Times New Roman" w:cs="Times New Roman"/>
          <w:bCs/>
          <w:iCs/>
        </w:rPr>
        <w:t xml:space="preserve">en </w:t>
      </w:r>
      <w:r w:rsidRPr="004530CF">
        <w:rPr>
          <w:rFonts w:ascii="Times New Roman" w:hAnsi="Times New Roman" w:cs="Times New Roman"/>
          <w:bCs/>
          <w:iCs/>
        </w:rPr>
        <w:t>un breve espacio de tiempo</w:t>
      </w:r>
      <w:r w:rsidRPr="004530CF">
        <w:rPr>
          <w:rFonts w:ascii="Times New Roman" w:hAnsi="Times New Roman" w:cs="Times New Roman"/>
          <w:bCs/>
          <w:iCs/>
        </w:rPr>
        <w:t>,</w:t>
      </w:r>
      <w:r w:rsidRPr="004530CF">
        <w:rPr>
          <w:rFonts w:ascii="Times New Roman" w:hAnsi="Times New Roman" w:cs="Times New Roman"/>
          <w:bCs/>
          <w:iCs/>
        </w:rPr>
        <w:t xml:space="preserve"> a fin de reducir el grado</w:t>
      </w:r>
      <w:r w:rsidRPr="004530CF">
        <w:rPr>
          <w:rFonts w:ascii="Times New Roman" w:hAnsi="Times New Roman" w:cs="Times New Roman"/>
          <w:bCs/>
          <w:iCs/>
        </w:rPr>
        <w:t xml:space="preserve"> de incertidumbre e inestabilidad</w:t>
      </w:r>
      <w:r w:rsidRPr="004530CF">
        <w:rPr>
          <w:rFonts w:ascii="Times New Roman" w:hAnsi="Times New Roman" w:cs="Times New Roman"/>
          <w:bCs/>
          <w:iCs/>
        </w:rPr>
        <w:t xml:space="preserve"> en su continuidad o no en la función pública, por lo que el conocimiento del proceso se asigna, por el legislador, a</w:t>
      </w:r>
      <w:r w:rsidRPr="004530CF">
        <w:rPr>
          <w:rFonts w:ascii="Times New Roman" w:hAnsi="Times New Roman" w:cs="Times New Roman"/>
          <w:bCs/>
          <w:iCs/>
        </w:rPr>
        <w:t xml:space="preserve"> un único órgano judicial</w:t>
      </w:r>
      <w:r w:rsidRPr="004530CF">
        <w:rPr>
          <w:rFonts w:ascii="Times New Roman" w:hAnsi="Times New Roman" w:cs="Times New Roman"/>
          <w:bCs/>
          <w:iCs/>
        </w:rPr>
        <w:t>.</w:t>
      </w:r>
      <w:r w:rsidRPr="004530CF">
        <w:rPr>
          <w:rFonts w:ascii="Times New Roman" w:hAnsi="Times New Roman" w:cs="Times New Roman"/>
          <w:bCs/>
          <w:iCs/>
        </w:rPr>
        <w:t xml:space="preserve"> </w:t>
      </w:r>
      <w:r w:rsidRPr="004530CF">
        <w:rPr>
          <w:rFonts w:ascii="Times New Roman" w:hAnsi="Times New Roman" w:cs="Times New Roman"/>
          <w:bCs/>
          <w:iCs/>
        </w:rPr>
        <w:t>Por ello, a</w:t>
      </w:r>
      <w:r w:rsidRPr="004530CF">
        <w:rPr>
          <w:rFonts w:ascii="Times New Roman" w:hAnsi="Times New Roman" w:cs="Times New Roman"/>
          <w:bCs/>
          <w:iCs/>
        </w:rPr>
        <w:t>l ser un trámite de única instancia</w:t>
      </w:r>
      <w:r w:rsidRPr="004530CF">
        <w:rPr>
          <w:rFonts w:ascii="Times New Roman" w:hAnsi="Times New Roman" w:cs="Times New Roman"/>
          <w:bCs/>
          <w:iCs/>
        </w:rPr>
        <w:t>,</w:t>
      </w:r>
      <w:r w:rsidRPr="004530CF">
        <w:rPr>
          <w:rFonts w:ascii="Times New Roman" w:hAnsi="Times New Roman" w:cs="Times New Roman"/>
          <w:bCs/>
          <w:iCs/>
        </w:rPr>
        <w:t xml:space="preserve"> se sujeta al término de seis me</w:t>
      </w:r>
      <w:r w:rsidRPr="004530CF">
        <w:rPr>
          <w:rFonts w:ascii="Times New Roman" w:hAnsi="Times New Roman" w:cs="Times New Roman"/>
          <w:bCs/>
          <w:iCs/>
        </w:rPr>
        <w:t>ses</w:t>
      </w:r>
      <w:r w:rsidRPr="004530CF">
        <w:rPr>
          <w:rFonts w:ascii="Times New Roman" w:hAnsi="Times New Roman" w:cs="Times New Roman"/>
          <w:bCs/>
          <w:iCs/>
        </w:rPr>
        <w:t xml:space="preserve"> para su desarrollo,</w:t>
      </w:r>
      <w:r w:rsidRPr="004530CF">
        <w:rPr>
          <w:rFonts w:ascii="Times New Roman" w:hAnsi="Times New Roman" w:cs="Times New Roman"/>
          <w:bCs/>
          <w:iCs/>
        </w:rPr>
        <w:t xml:space="preserve"> previsto en </w:t>
      </w:r>
      <w:r w:rsidRPr="004530CF">
        <w:rPr>
          <w:rFonts w:ascii="Times New Roman" w:hAnsi="Times New Roman" w:cs="Times New Roman"/>
          <w:bCs/>
          <w:iCs/>
        </w:rPr>
        <w:t>la segunda frase del</w:t>
      </w:r>
      <w:r w:rsidRPr="004530CF">
        <w:rPr>
          <w:rFonts w:ascii="Times New Roman" w:hAnsi="Times New Roman" w:cs="Times New Roman"/>
          <w:bCs/>
          <w:iCs/>
        </w:rPr>
        <w:t xml:space="preserve"> parágrafo del artículo 264</w:t>
      </w:r>
      <w:r w:rsidRPr="004530CF">
        <w:rPr>
          <w:rFonts w:ascii="Times New Roman" w:hAnsi="Times New Roman" w:cs="Times New Roman"/>
          <w:bCs/>
          <w:iCs/>
        </w:rPr>
        <w:t xml:space="preserve"> de la Constitución</w:t>
      </w:r>
      <w:r w:rsidRPr="004530CF">
        <w:rPr>
          <w:rFonts w:ascii="Times New Roman" w:hAnsi="Times New Roman" w:cs="Times New Roman"/>
          <w:bCs/>
          <w:iCs/>
        </w:rPr>
        <w:t xml:space="preserve">. </w:t>
      </w:r>
      <w:r w:rsidRPr="004530CF">
        <w:rPr>
          <w:rFonts w:ascii="Times New Roman" w:hAnsi="Times New Roman" w:cs="Times New Roman"/>
          <w:bCs/>
          <w:iCs/>
        </w:rPr>
        <w:t xml:space="preserve">Con ello, precisamente, se busca lograr celeridad y reducir incertidumbre. </w:t>
      </w:r>
      <w:r w:rsidRPr="004530CF">
        <w:rPr>
          <w:rFonts w:ascii="Times New Roman" w:hAnsi="Times New Roman" w:cs="Times New Roman"/>
          <w:bCs/>
          <w:iCs/>
        </w:rPr>
        <w:t xml:space="preserve">         </w:t>
      </w:r>
    </w:p>
    <w:p w:rsidR="005154C7" w:rsidRPr="004530CF" w:rsidRDefault="004530CF" w:rsidP="004C7B30">
      <w:pPr>
        <w:pStyle w:val="Prrafodelista"/>
        <w:shd w:val="clear" w:color="auto" w:fill="FFFFFF"/>
        <w:ind w:left="0"/>
        <w:jc w:val="both"/>
        <w:rPr>
          <w:rFonts w:ascii="Times New Roman" w:hAnsi="Times New Roman" w:cs="Times New Roman"/>
          <w:bCs/>
          <w:iCs/>
          <w:sz w:val="28"/>
          <w:szCs w:val="28"/>
          <w:highlight w:val="yellow"/>
        </w:rPr>
      </w:pPr>
    </w:p>
    <w:p w:rsidR="005154C7" w:rsidRPr="004530CF" w:rsidRDefault="004530CF" w:rsidP="004C7B30">
      <w:pPr>
        <w:pStyle w:val="Prrafodelista"/>
        <w:numPr>
          <w:ilvl w:val="0"/>
          <w:numId w:val="3"/>
        </w:numPr>
        <w:shd w:val="clear" w:color="auto" w:fill="FFFFFF"/>
        <w:ind w:left="0" w:firstLine="0"/>
        <w:jc w:val="both"/>
        <w:rPr>
          <w:rFonts w:ascii="Times New Roman" w:hAnsi="Times New Roman" w:cs="Times New Roman"/>
          <w:bCs/>
          <w:iCs/>
          <w:sz w:val="28"/>
          <w:szCs w:val="28"/>
        </w:rPr>
      </w:pPr>
      <w:r w:rsidRPr="004530CF">
        <w:rPr>
          <w:rFonts w:ascii="Times New Roman" w:hAnsi="Times New Roman" w:cs="Times New Roman"/>
          <w:bCs/>
          <w:iCs/>
          <w:sz w:val="28"/>
          <w:szCs w:val="28"/>
        </w:rPr>
        <w:t>Se encuentran en este grupo el presidente de la República</w:t>
      </w:r>
      <w:r w:rsidRPr="004530CF">
        <w:rPr>
          <w:rFonts w:ascii="Times New Roman" w:hAnsi="Times New Roman" w:cs="Times New Roman"/>
          <w:bCs/>
          <w:iCs/>
          <w:sz w:val="28"/>
          <w:szCs w:val="28"/>
        </w:rPr>
        <w:t>,</w:t>
      </w:r>
      <w:r w:rsidRPr="004530CF">
        <w:rPr>
          <w:rFonts w:ascii="Times New Roman" w:hAnsi="Times New Roman" w:cs="Times New Roman"/>
          <w:bCs/>
          <w:iCs/>
          <w:sz w:val="28"/>
          <w:szCs w:val="28"/>
        </w:rPr>
        <w:t xml:space="preserve"> quien ostenta la condición de jefe de Estado, jefe de Gobierno y suprema autoridad administrativa</w:t>
      </w:r>
      <w:r w:rsidRPr="004530CF">
        <w:rPr>
          <w:rFonts w:ascii="Times New Roman" w:hAnsi="Times New Roman" w:cs="Times New Roman"/>
          <w:sz w:val="28"/>
          <w:szCs w:val="28"/>
        </w:rPr>
        <w:t xml:space="preserve"> (art. 189)</w:t>
      </w:r>
      <w:r w:rsidRPr="004530CF">
        <w:rPr>
          <w:rFonts w:ascii="Times New Roman" w:hAnsi="Times New Roman" w:cs="Times New Roman"/>
          <w:bCs/>
          <w:iCs/>
          <w:sz w:val="28"/>
          <w:szCs w:val="28"/>
        </w:rPr>
        <w:t>. También se</w:t>
      </w:r>
      <w:r w:rsidRPr="004530CF">
        <w:rPr>
          <w:rFonts w:ascii="Times New Roman" w:hAnsi="Times New Roman" w:cs="Times New Roman"/>
          <w:bCs/>
          <w:iCs/>
          <w:sz w:val="28"/>
          <w:szCs w:val="28"/>
        </w:rPr>
        <w:t xml:space="preserve"> incluye</w:t>
      </w:r>
      <w:r w:rsidRPr="004530CF">
        <w:rPr>
          <w:rFonts w:ascii="Times New Roman" w:hAnsi="Times New Roman" w:cs="Times New Roman"/>
          <w:bCs/>
          <w:iCs/>
          <w:sz w:val="28"/>
          <w:szCs w:val="28"/>
        </w:rPr>
        <w:t xml:space="preserve"> </w:t>
      </w:r>
      <w:r w:rsidRPr="004530CF">
        <w:rPr>
          <w:rFonts w:ascii="Times New Roman" w:hAnsi="Times New Roman" w:cs="Times New Roman"/>
          <w:bCs/>
          <w:iCs/>
          <w:sz w:val="28"/>
          <w:szCs w:val="28"/>
        </w:rPr>
        <w:t>a</w:t>
      </w:r>
      <w:r w:rsidRPr="004530CF">
        <w:rPr>
          <w:rFonts w:ascii="Times New Roman" w:hAnsi="Times New Roman" w:cs="Times New Roman"/>
          <w:bCs/>
          <w:iCs/>
          <w:sz w:val="28"/>
          <w:szCs w:val="28"/>
        </w:rPr>
        <w:t>l vicepresidente</w:t>
      </w:r>
      <w:r w:rsidRPr="004530CF">
        <w:rPr>
          <w:rFonts w:ascii="Times New Roman" w:hAnsi="Times New Roman" w:cs="Times New Roman"/>
          <w:bCs/>
          <w:iCs/>
          <w:sz w:val="28"/>
          <w:szCs w:val="28"/>
        </w:rPr>
        <w:t>,</w:t>
      </w:r>
      <w:r w:rsidRPr="004530CF">
        <w:rPr>
          <w:rFonts w:ascii="Times New Roman" w:hAnsi="Times New Roman" w:cs="Times New Roman"/>
          <w:bCs/>
          <w:iCs/>
          <w:sz w:val="28"/>
          <w:szCs w:val="28"/>
        </w:rPr>
        <w:t xml:space="preserve"> a quien le corresponde reemplazar al presidente en el caso de sus faltas absolutas o temporales (art. 202).</w:t>
      </w:r>
      <w:r w:rsidRPr="004530CF">
        <w:rPr>
          <w:rFonts w:ascii="Times New Roman" w:hAnsi="Times New Roman" w:cs="Times New Roman"/>
          <w:bCs/>
          <w:iCs/>
          <w:sz w:val="28"/>
          <w:szCs w:val="28"/>
        </w:rPr>
        <w:t xml:space="preserve"> Los representantes a la </w:t>
      </w:r>
      <w:r w:rsidRPr="004530CF">
        <w:rPr>
          <w:rFonts w:ascii="Times New Roman" w:hAnsi="Times New Roman" w:cs="Times New Roman"/>
          <w:bCs/>
          <w:iCs/>
          <w:sz w:val="28"/>
          <w:szCs w:val="28"/>
        </w:rPr>
        <w:t>c</w:t>
      </w:r>
      <w:r w:rsidRPr="004530CF">
        <w:rPr>
          <w:rFonts w:ascii="Times New Roman" w:hAnsi="Times New Roman" w:cs="Times New Roman"/>
          <w:bCs/>
          <w:iCs/>
          <w:sz w:val="28"/>
          <w:szCs w:val="28"/>
        </w:rPr>
        <w:t xml:space="preserve">ámara y los senadores, </w:t>
      </w:r>
      <w:r w:rsidRPr="004530CF">
        <w:rPr>
          <w:rFonts w:ascii="Times New Roman" w:hAnsi="Times New Roman" w:cs="Times New Roman"/>
          <w:bCs/>
          <w:iCs/>
          <w:sz w:val="28"/>
          <w:szCs w:val="28"/>
        </w:rPr>
        <w:t xml:space="preserve">que integran </w:t>
      </w:r>
      <w:r w:rsidRPr="004530CF">
        <w:rPr>
          <w:rFonts w:ascii="Times New Roman" w:hAnsi="Times New Roman" w:cs="Times New Roman"/>
          <w:bCs/>
          <w:iCs/>
          <w:sz w:val="28"/>
          <w:szCs w:val="28"/>
        </w:rPr>
        <w:t xml:space="preserve">el Congreso de la República y </w:t>
      </w:r>
      <w:r w:rsidRPr="004530CF">
        <w:rPr>
          <w:rFonts w:ascii="Times New Roman" w:hAnsi="Times New Roman" w:cs="Times New Roman"/>
          <w:bCs/>
          <w:iCs/>
          <w:sz w:val="28"/>
          <w:szCs w:val="28"/>
        </w:rPr>
        <w:t>asumen el ejercicio de</w:t>
      </w:r>
      <w:r w:rsidRPr="004530CF">
        <w:rPr>
          <w:rFonts w:ascii="Times New Roman" w:hAnsi="Times New Roman" w:cs="Times New Roman"/>
          <w:bCs/>
          <w:iCs/>
          <w:sz w:val="28"/>
          <w:szCs w:val="28"/>
        </w:rPr>
        <w:t xml:space="preserve"> la función legislativa, el control político y </w:t>
      </w:r>
      <w:r w:rsidRPr="004530CF">
        <w:rPr>
          <w:rFonts w:ascii="Times New Roman" w:hAnsi="Times New Roman" w:cs="Times New Roman"/>
          <w:bCs/>
          <w:iCs/>
          <w:sz w:val="28"/>
          <w:szCs w:val="28"/>
        </w:rPr>
        <w:t xml:space="preserve">la </w:t>
      </w:r>
      <w:r w:rsidRPr="004530CF">
        <w:rPr>
          <w:rFonts w:ascii="Times New Roman" w:hAnsi="Times New Roman" w:cs="Times New Roman"/>
          <w:bCs/>
          <w:iCs/>
          <w:sz w:val="28"/>
          <w:szCs w:val="28"/>
        </w:rPr>
        <w:t xml:space="preserve">reforma </w:t>
      </w:r>
      <w:r w:rsidRPr="004530CF">
        <w:rPr>
          <w:rFonts w:ascii="Times New Roman" w:hAnsi="Times New Roman" w:cs="Times New Roman"/>
          <w:bCs/>
          <w:iCs/>
          <w:sz w:val="28"/>
          <w:szCs w:val="28"/>
        </w:rPr>
        <w:t xml:space="preserve">a </w:t>
      </w:r>
      <w:r w:rsidRPr="004530CF">
        <w:rPr>
          <w:rFonts w:ascii="Times New Roman" w:hAnsi="Times New Roman" w:cs="Times New Roman"/>
          <w:bCs/>
          <w:iCs/>
          <w:sz w:val="28"/>
          <w:szCs w:val="28"/>
        </w:rPr>
        <w:t>la Constitución (art. 150). Los representantes al Parlamento Andino ejercen una fu</w:t>
      </w:r>
      <w:r w:rsidRPr="004530CF">
        <w:rPr>
          <w:rFonts w:ascii="Times New Roman" w:hAnsi="Times New Roman" w:cs="Times New Roman"/>
          <w:bCs/>
          <w:iCs/>
          <w:sz w:val="28"/>
          <w:szCs w:val="28"/>
        </w:rPr>
        <w:t xml:space="preserve">nción de representación internacional en el órgano deliberante del Sistema Andino de Integración y, en esa medida, se articulan con el desarrollo de la política internacional y la integración latinoamericana (art. 227). Los gobernadores, a su vez, son </w:t>
      </w:r>
      <w:r w:rsidRPr="004530CF">
        <w:rPr>
          <w:rFonts w:ascii="Times New Roman" w:hAnsi="Times New Roman" w:cs="Times New Roman"/>
          <w:sz w:val="28"/>
          <w:szCs w:val="28"/>
        </w:rPr>
        <w:t>jefe</w:t>
      </w:r>
      <w:r w:rsidRPr="004530CF">
        <w:rPr>
          <w:rFonts w:ascii="Times New Roman" w:hAnsi="Times New Roman" w:cs="Times New Roman"/>
          <w:sz w:val="28"/>
          <w:szCs w:val="28"/>
        </w:rPr>
        <w:t xml:space="preserve">s de la administración seccional y actúan en condición de agentes del </w:t>
      </w:r>
      <w:r w:rsidRPr="004530CF">
        <w:rPr>
          <w:rFonts w:ascii="Times New Roman" w:hAnsi="Times New Roman" w:cs="Times New Roman"/>
          <w:sz w:val="28"/>
          <w:szCs w:val="28"/>
        </w:rPr>
        <w:t>p</w:t>
      </w:r>
      <w:r w:rsidRPr="004530CF">
        <w:rPr>
          <w:rFonts w:ascii="Times New Roman" w:hAnsi="Times New Roman" w:cs="Times New Roman"/>
          <w:sz w:val="28"/>
          <w:szCs w:val="28"/>
        </w:rPr>
        <w:t>residente de la República para el mantenimiento del orden público y la ejecución de la política económica general (art. 303)</w:t>
      </w:r>
      <w:r w:rsidRPr="004530CF">
        <w:rPr>
          <w:rFonts w:ascii="Times New Roman" w:hAnsi="Times New Roman" w:cs="Times New Roman"/>
          <w:bCs/>
          <w:iCs/>
          <w:sz w:val="28"/>
          <w:szCs w:val="28"/>
        </w:rPr>
        <w:t xml:space="preserve">. Finalmente, el Alcalde Mayor de Bogotá es el representante </w:t>
      </w:r>
      <w:r w:rsidRPr="004530CF">
        <w:rPr>
          <w:rFonts w:ascii="Times New Roman" w:hAnsi="Times New Roman" w:cs="Times New Roman"/>
          <w:bCs/>
          <w:iCs/>
          <w:sz w:val="28"/>
          <w:szCs w:val="28"/>
        </w:rPr>
        <w:t xml:space="preserve">legal de la capital de la </w:t>
      </w:r>
      <w:r w:rsidRPr="004530CF">
        <w:rPr>
          <w:rFonts w:ascii="Times New Roman" w:hAnsi="Times New Roman" w:cs="Times New Roman"/>
          <w:bCs/>
          <w:iCs/>
          <w:sz w:val="28"/>
          <w:szCs w:val="28"/>
        </w:rPr>
        <w:t>R</w:t>
      </w:r>
      <w:r w:rsidRPr="004530CF">
        <w:rPr>
          <w:rFonts w:ascii="Times New Roman" w:hAnsi="Times New Roman" w:cs="Times New Roman"/>
          <w:bCs/>
          <w:iCs/>
          <w:sz w:val="28"/>
          <w:szCs w:val="28"/>
        </w:rPr>
        <w:t>epública a la que la Constitución le atribuy</w:t>
      </w:r>
      <w:r w:rsidRPr="004530CF">
        <w:rPr>
          <w:rFonts w:ascii="Times New Roman" w:hAnsi="Times New Roman" w:cs="Times New Roman"/>
          <w:bCs/>
          <w:iCs/>
          <w:sz w:val="28"/>
          <w:szCs w:val="28"/>
        </w:rPr>
        <w:t>ó</w:t>
      </w:r>
      <w:r w:rsidRPr="004530CF">
        <w:rPr>
          <w:rFonts w:ascii="Times New Roman" w:hAnsi="Times New Roman" w:cs="Times New Roman"/>
          <w:bCs/>
          <w:iCs/>
          <w:sz w:val="28"/>
          <w:szCs w:val="28"/>
        </w:rPr>
        <w:t xml:space="preserve"> un régimen especial (arts. 322 al 327)</w:t>
      </w:r>
      <w:r w:rsidRPr="004530CF">
        <w:rPr>
          <w:rStyle w:val="Refdenotaalpie"/>
          <w:rFonts w:ascii="Times New Roman" w:hAnsi="Times New Roman" w:cs="Times New Roman"/>
          <w:bCs/>
          <w:iCs/>
          <w:sz w:val="28"/>
          <w:szCs w:val="28"/>
        </w:rPr>
        <w:footnoteReference w:id="74"/>
      </w:r>
      <w:r w:rsidRPr="004530CF">
        <w:rPr>
          <w:rFonts w:ascii="Times New Roman" w:hAnsi="Times New Roman" w:cs="Times New Roman"/>
          <w:bCs/>
          <w:iCs/>
          <w:sz w:val="28"/>
          <w:szCs w:val="28"/>
        </w:rPr>
        <w:t xml:space="preserve">. </w:t>
      </w:r>
    </w:p>
    <w:p w:rsidR="005154C7" w:rsidRPr="004530CF" w:rsidRDefault="004530CF" w:rsidP="004C7B30">
      <w:pPr>
        <w:pStyle w:val="Prrafodelista"/>
        <w:shd w:val="clear" w:color="auto" w:fill="FFFFFF"/>
        <w:ind w:left="0"/>
        <w:jc w:val="both"/>
        <w:rPr>
          <w:rFonts w:ascii="Times New Roman" w:hAnsi="Times New Roman" w:cs="Times New Roman"/>
          <w:bCs/>
          <w:iCs/>
          <w:sz w:val="28"/>
          <w:szCs w:val="28"/>
        </w:rPr>
      </w:pPr>
    </w:p>
    <w:p w:rsidR="005154C7" w:rsidRPr="004530CF" w:rsidRDefault="004530CF" w:rsidP="004C7B30">
      <w:pPr>
        <w:pStyle w:val="Prrafodelista"/>
        <w:numPr>
          <w:ilvl w:val="0"/>
          <w:numId w:val="3"/>
        </w:numPr>
        <w:shd w:val="clear" w:color="auto" w:fill="FFFFFF"/>
        <w:ind w:left="0" w:firstLine="0"/>
        <w:jc w:val="both"/>
        <w:rPr>
          <w:rFonts w:ascii="Times New Roman" w:hAnsi="Times New Roman" w:cs="Times New Roman"/>
          <w:bCs/>
          <w:iCs/>
          <w:sz w:val="28"/>
          <w:szCs w:val="28"/>
        </w:rPr>
      </w:pPr>
      <w:r w:rsidRPr="004530CF">
        <w:rPr>
          <w:rFonts w:ascii="Times New Roman" w:hAnsi="Times New Roman" w:cs="Times New Roman"/>
          <w:bCs/>
          <w:iCs/>
          <w:sz w:val="28"/>
          <w:szCs w:val="28"/>
        </w:rPr>
        <w:t>En contraste</w:t>
      </w:r>
      <w:r w:rsidRPr="004530CF">
        <w:rPr>
          <w:rFonts w:ascii="Times New Roman" w:hAnsi="Times New Roman" w:cs="Times New Roman"/>
          <w:bCs/>
          <w:iCs/>
          <w:sz w:val="28"/>
          <w:szCs w:val="28"/>
        </w:rPr>
        <w:t>,</w:t>
      </w:r>
      <w:r w:rsidRPr="004530CF">
        <w:rPr>
          <w:rFonts w:ascii="Times New Roman" w:hAnsi="Times New Roman" w:cs="Times New Roman"/>
          <w:bCs/>
          <w:iCs/>
          <w:sz w:val="28"/>
          <w:szCs w:val="28"/>
        </w:rPr>
        <w:t xml:space="preserve"> el segundo grupo se encuentra</w:t>
      </w:r>
      <w:r w:rsidRPr="004530CF">
        <w:rPr>
          <w:rFonts w:ascii="Times New Roman" w:hAnsi="Times New Roman" w:cs="Times New Roman"/>
          <w:bCs/>
          <w:iCs/>
          <w:sz w:val="28"/>
          <w:szCs w:val="28"/>
        </w:rPr>
        <w:t xml:space="preserve"> conformado</w:t>
      </w:r>
      <w:r w:rsidRPr="004530CF">
        <w:rPr>
          <w:rFonts w:ascii="Times New Roman" w:hAnsi="Times New Roman" w:cs="Times New Roman"/>
          <w:bCs/>
          <w:iCs/>
          <w:sz w:val="28"/>
          <w:szCs w:val="28"/>
        </w:rPr>
        <w:t xml:space="preserve"> por, entre otros, los alcaldes, los diputados y los concejales. Se trata de funcionar</w:t>
      </w:r>
      <w:r w:rsidRPr="004530CF">
        <w:rPr>
          <w:rFonts w:ascii="Times New Roman" w:hAnsi="Times New Roman" w:cs="Times New Roman"/>
          <w:bCs/>
          <w:iCs/>
          <w:sz w:val="28"/>
          <w:szCs w:val="28"/>
        </w:rPr>
        <w:t xml:space="preserve">ios </w:t>
      </w:r>
      <w:r w:rsidRPr="004530CF">
        <w:rPr>
          <w:rFonts w:ascii="Times New Roman" w:hAnsi="Times New Roman" w:cs="Times New Roman"/>
          <w:bCs/>
          <w:iCs/>
          <w:sz w:val="28"/>
          <w:szCs w:val="28"/>
        </w:rPr>
        <w:t xml:space="preserve">que tienen a </w:t>
      </w:r>
      <w:r w:rsidRPr="004530CF">
        <w:rPr>
          <w:rFonts w:ascii="Times New Roman" w:hAnsi="Times New Roman" w:cs="Times New Roman"/>
          <w:bCs/>
          <w:iCs/>
          <w:sz w:val="28"/>
          <w:szCs w:val="28"/>
        </w:rPr>
        <w:t xml:space="preserve">su </w:t>
      </w:r>
      <w:r w:rsidRPr="004530CF">
        <w:rPr>
          <w:rFonts w:ascii="Times New Roman" w:hAnsi="Times New Roman" w:cs="Times New Roman"/>
          <w:bCs/>
          <w:iCs/>
          <w:sz w:val="28"/>
          <w:szCs w:val="28"/>
        </w:rPr>
        <w:t>cargo el cumplimiento de competencias con un impacto</w:t>
      </w:r>
      <w:r w:rsidRPr="004530CF">
        <w:rPr>
          <w:rFonts w:ascii="Times New Roman" w:hAnsi="Times New Roman" w:cs="Times New Roman"/>
          <w:bCs/>
          <w:iCs/>
          <w:sz w:val="28"/>
          <w:szCs w:val="28"/>
        </w:rPr>
        <w:t xml:space="preserve"> </w:t>
      </w:r>
      <w:r w:rsidRPr="004530CF">
        <w:rPr>
          <w:rFonts w:ascii="Times New Roman" w:hAnsi="Times New Roman" w:cs="Times New Roman"/>
          <w:bCs/>
          <w:iCs/>
          <w:sz w:val="28"/>
          <w:szCs w:val="28"/>
        </w:rPr>
        <w:t xml:space="preserve">más </w:t>
      </w:r>
      <w:r w:rsidRPr="004530CF">
        <w:rPr>
          <w:rFonts w:ascii="Times New Roman" w:hAnsi="Times New Roman" w:cs="Times New Roman"/>
          <w:bCs/>
          <w:iCs/>
          <w:sz w:val="28"/>
          <w:szCs w:val="28"/>
        </w:rPr>
        <w:t>limitad</w:t>
      </w:r>
      <w:r w:rsidRPr="004530CF">
        <w:rPr>
          <w:rFonts w:ascii="Times New Roman" w:hAnsi="Times New Roman" w:cs="Times New Roman"/>
          <w:bCs/>
          <w:iCs/>
          <w:sz w:val="28"/>
          <w:szCs w:val="28"/>
        </w:rPr>
        <w:t xml:space="preserve">o en razón, por ejemplo, </w:t>
      </w:r>
      <w:r w:rsidRPr="004530CF">
        <w:rPr>
          <w:rFonts w:ascii="Times New Roman" w:hAnsi="Times New Roman" w:cs="Times New Roman"/>
          <w:bCs/>
          <w:iCs/>
          <w:sz w:val="28"/>
          <w:szCs w:val="28"/>
        </w:rPr>
        <w:t>del</w:t>
      </w:r>
      <w:r w:rsidRPr="004530CF">
        <w:rPr>
          <w:rFonts w:ascii="Times New Roman" w:hAnsi="Times New Roman" w:cs="Times New Roman"/>
          <w:bCs/>
          <w:iCs/>
          <w:sz w:val="28"/>
          <w:szCs w:val="28"/>
        </w:rPr>
        <w:t xml:space="preserve"> ámbito territorial en el que se ejercen</w:t>
      </w:r>
      <w:r w:rsidRPr="004530CF">
        <w:rPr>
          <w:rFonts w:ascii="Times New Roman" w:hAnsi="Times New Roman" w:cs="Times New Roman"/>
          <w:bCs/>
          <w:iCs/>
          <w:sz w:val="28"/>
          <w:szCs w:val="28"/>
        </w:rPr>
        <w:t>. En el caso de estos funcionarios</w:t>
      </w:r>
      <w:r w:rsidRPr="004530CF">
        <w:rPr>
          <w:rFonts w:ascii="Times New Roman" w:hAnsi="Times New Roman" w:cs="Times New Roman"/>
          <w:bCs/>
          <w:iCs/>
          <w:sz w:val="28"/>
          <w:szCs w:val="28"/>
        </w:rPr>
        <w:t>,</w:t>
      </w:r>
      <w:r w:rsidRPr="004530CF">
        <w:rPr>
          <w:rFonts w:ascii="Times New Roman" w:hAnsi="Times New Roman" w:cs="Times New Roman"/>
          <w:bCs/>
          <w:iCs/>
          <w:sz w:val="28"/>
          <w:szCs w:val="28"/>
        </w:rPr>
        <w:t xml:space="preserve"> el proceso de nulidad electora</w:t>
      </w:r>
      <w:r w:rsidRPr="004530CF">
        <w:rPr>
          <w:rFonts w:ascii="Times New Roman" w:hAnsi="Times New Roman" w:cs="Times New Roman"/>
          <w:bCs/>
          <w:iCs/>
          <w:sz w:val="28"/>
          <w:szCs w:val="28"/>
        </w:rPr>
        <w:t>l</w:t>
      </w:r>
      <w:r w:rsidRPr="004530CF">
        <w:rPr>
          <w:rFonts w:ascii="Times New Roman" w:hAnsi="Times New Roman" w:cs="Times New Roman"/>
          <w:bCs/>
          <w:iCs/>
          <w:sz w:val="28"/>
          <w:szCs w:val="28"/>
        </w:rPr>
        <w:t xml:space="preserve"> se encuentra sujeto a dos instancias y su trámite</w:t>
      </w:r>
      <w:r w:rsidRPr="004530CF">
        <w:rPr>
          <w:rFonts w:ascii="Times New Roman" w:hAnsi="Times New Roman" w:cs="Times New Roman"/>
          <w:bCs/>
          <w:iCs/>
          <w:sz w:val="28"/>
          <w:szCs w:val="28"/>
        </w:rPr>
        <w:t xml:space="preserve">, </w:t>
      </w:r>
      <w:r w:rsidRPr="004530CF">
        <w:rPr>
          <w:rFonts w:ascii="Times New Roman" w:hAnsi="Times New Roman" w:cs="Times New Roman"/>
          <w:bCs/>
          <w:iCs/>
          <w:sz w:val="28"/>
          <w:szCs w:val="28"/>
        </w:rPr>
        <w:t xml:space="preserve">según </w:t>
      </w:r>
      <w:r w:rsidRPr="004530CF">
        <w:rPr>
          <w:rFonts w:ascii="Times New Roman" w:hAnsi="Times New Roman" w:cs="Times New Roman"/>
          <w:bCs/>
          <w:iCs/>
          <w:sz w:val="28"/>
          <w:szCs w:val="28"/>
        </w:rPr>
        <w:t>la primera frase del</w:t>
      </w:r>
      <w:r w:rsidRPr="004530CF">
        <w:rPr>
          <w:rFonts w:ascii="Times New Roman" w:hAnsi="Times New Roman" w:cs="Times New Roman"/>
          <w:bCs/>
          <w:iCs/>
          <w:sz w:val="28"/>
          <w:szCs w:val="28"/>
        </w:rPr>
        <w:t xml:space="preserve"> parágrafo del artículo 264</w:t>
      </w:r>
      <w:r w:rsidRPr="004530CF">
        <w:rPr>
          <w:rFonts w:ascii="Times New Roman" w:hAnsi="Times New Roman" w:cs="Times New Roman"/>
          <w:bCs/>
          <w:iCs/>
          <w:sz w:val="28"/>
          <w:szCs w:val="28"/>
        </w:rPr>
        <w:t xml:space="preserve"> de la Carta</w:t>
      </w:r>
      <w:r w:rsidRPr="004530CF">
        <w:rPr>
          <w:rFonts w:ascii="Times New Roman" w:hAnsi="Times New Roman" w:cs="Times New Roman"/>
          <w:bCs/>
          <w:iCs/>
          <w:sz w:val="28"/>
          <w:szCs w:val="28"/>
        </w:rPr>
        <w:t>,</w:t>
      </w:r>
      <w:r w:rsidRPr="004530CF">
        <w:rPr>
          <w:rFonts w:ascii="Times New Roman" w:hAnsi="Times New Roman" w:cs="Times New Roman"/>
          <w:bCs/>
          <w:iCs/>
          <w:sz w:val="28"/>
          <w:szCs w:val="28"/>
        </w:rPr>
        <w:t xml:space="preserve"> debe</w:t>
      </w:r>
      <w:r w:rsidRPr="004530CF">
        <w:rPr>
          <w:rFonts w:ascii="Times New Roman" w:hAnsi="Times New Roman" w:cs="Times New Roman"/>
          <w:bCs/>
          <w:iCs/>
          <w:sz w:val="28"/>
          <w:szCs w:val="28"/>
        </w:rPr>
        <w:t xml:space="preserve"> agotarse</w:t>
      </w:r>
      <w:r w:rsidRPr="004530CF">
        <w:rPr>
          <w:rFonts w:ascii="Times New Roman" w:hAnsi="Times New Roman" w:cs="Times New Roman"/>
          <w:bCs/>
          <w:iCs/>
          <w:sz w:val="28"/>
          <w:szCs w:val="28"/>
        </w:rPr>
        <w:t xml:space="preserve"> en el término de un (1) año.  </w:t>
      </w:r>
    </w:p>
    <w:p w:rsidR="005154C7" w:rsidRPr="004530CF" w:rsidRDefault="004530CF" w:rsidP="004C7B30">
      <w:pPr>
        <w:pStyle w:val="Prrafodelista"/>
        <w:shd w:val="clear" w:color="auto" w:fill="FFFFFF"/>
        <w:ind w:left="0"/>
        <w:jc w:val="both"/>
        <w:rPr>
          <w:rFonts w:ascii="Times New Roman" w:hAnsi="Times New Roman" w:cs="Times New Roman"/>
          <w:bCs/>
          <w:iCs/>
          <w:sz w:val="28"/>
          <w:szCs w:val="28"/>
        </w:rPr>
      </w:pPr>
    </w:p>
    <w:p w:rsidR="00BC428F" w:rsidRPr="004530CF" w:rsidRDefault="004530CF" w:rsidP="004C7B30">
      <w:pPr>
        <w:pStyle w:val="Prrafodelista"/>
        <w:numPr>
          <w:ilvl w:val="0"/>
          <w:numId w:val="3"/>
        </w:numPr>
        <w:shd w:val="clear" w:color="auto" w:fill="FFFFFF"/>
        <w:ind w:left="0" w:firstLine="0"/>
        <w:jc w:val="both"/>
        <w:rPr>
          <w:rFonts w:ascii="Times New Roman" w:hAnsi="Times New Roman" w:cs="Times New Roman"/>
          <w:b/>
          <w:bCs/>
          <w:iCs/>
          <w:sz w:val="28"/>
          <w:szCs w:val="28"/>
        </w:rPr>
      </w:pPr>
      <w:r w:rsidRPr="004530CF">
        <w:rPr>
          <w:rFonts w:ascii="Times New Roman" w:hAnsi="Times New Roman" w:cs="Times New Roman"/>
          <w:bCs/>
          <w:iCs/>
          <w:sz w:val="28"/>
          <w:szCs w:val="28"/>
        </w:rPr>
        <w:t>Aunque el demandante alegó que los dos grupos podían ser comparados</w:t>
      </w:r>
      <w:r w:rsidRPr="004530CF">
        <w:rPr>
          <w:rFonts w:ascii="Times New Roman" w:hAnsi="Times New Roman" w:cs="Times New Roman"/>
          <w:bCs/>
          <w:iCs/>
          <w:sz w:val="28"/>
          <w:szCs w:val="28"/>
        </w:rPr>
        <w:t>,</w:t>
      </w:r>
      <w:r w:rsidRPr="004530CF">
        <w:rPr>
          <w:rFonts w:ascii="Times New Roman" w:hAnsi="Times New Roman" w:cs="Times New Roman"/>
          <w:bCs/>
          <w:iCs/>
          <w:sz w:val="28"/>
          <w:szCs w:val="28"/>
        </w:rPr>
        <w:t xml:space="preserve"> considerando el origen</w:t>
      </w:r>
      <w:r w:rsidRPr="004530CF">
        <w:rPr>
          <w:rFonts w:ascii="Times New Roman" w:hAnsi="Times New Roman" w:cs="Times New Roman"/>
          <w:bCs/>
          <w:iCs/>
          <w:sz w:val="28"/>
          <w:szCs w:val="28"/>
        </w:rPr>
        <w:t xml:space="preserve"> popular de su elección</w:t>
      </w:r>
      <w:r w:rsidRPr="004530CF">
        <w:rPr>
          <w:rFonts w:ascii="Times New Roman" w:hAnsi="Times New Roman" w:cs="Times New Roman"/>
          <w:bCs/>
          <w:iCs/>
          <w:sz w:val="28"/>
          <w:szCs w:val="28"/>
        </w:rPr>
        <w:t xml:space="preserve"> y la sujeción a un mismo régimen procesal</w:t>
      </w:r>
      <w:r w:rsidRPr="004530CF">
        <w:rPr>
          <w:rFonts w:ascii="Times New Roman" w:hAnsi="Times New Roman" w:cs="Times New Roman"/>
          <w:bCs/>
          <w:iCs/>
          <w:sz w:val="28"/>
          <w:szCs w:val="28"/>
        </w:rPr>
        <w:t xml:space="preserve">, </w:t>
      </w:r>
      <w:r w:rsidRPr="004530CF">
        <w:rPr>
          <w:rFonts w:ascii="Times New Roman" w:hAnsi="Times New Roman" w:cs="Times New Roman"/>
          <w:b/>
          <w:bCs/>
          <w:iCs/>
          <w:sz w:val="28"/>
          <w:szCs w:val="28"/>
        </w:rPr>
        <w:t xml:space="preserve">la Corte ha constatado que la finalidad perseguida por la disposición </w:t>
      </w:r>
      <w:r w:rsidRPr="004530CF">
        <w:rPr>
          <w:rFonts w:ascii="Times New Roman" w:hAnsi="Times New Roman" w:cs="Times New Roman"/>
          <w:b/>
          <w:bCs/>
          <w:iCs/>
          <w:sz w:val="28"/>
          <w:szCs w:val="28"/>
        </w:rPr>
        <w:t xml:space="preserve">permite identificar un criterio de comparación </w:t>
      </w:r>
      <w:r w:rsidRPr="004530CF">
        <w:rPr>
          <w:rFonts w:ascii="Times New Roman" w:hAnsi="Times New Roman" w:cs="Times New Roman"/>
          <w:b/>
          <w:bCs/>
          <w:iCs/>
          <w:sz w:val="28"/>
          <w:szCs w:val="28"/>
        </w:rPr>
        <w:t>que conduce a una conclusión diversa.</w:t>
      </w:r>
      <w:r w:rsidRPr="004530CF">
        <w:rPr>
          <w:rFonts w:ascii="Times New Roman" w:hAnsi="Times New Roman" w:cs="Times New Roman"/>
          <w:b/>
          <w:bCs/>
          <w:iCs/>
          <w:sz w:val="28"/>
          <w:szCs w:val="28"/>
        </w:rPr>
        <w:t xml:space="preserve"> </w:t>
      </w:r>
      <w:r w:rsidRPr="004530CF">
        <w:rPr>
          <w:rFonts w:ascii="Times New Roman" w:hAnsi="Times New Roman" w:cs="Times New Roman"/>
          <w:iCs/>
          <w:sz w:val="28"/>
          <w:szCs w:val="28"/>
        </w:rPr>
        <w:t xml:space="preserve">En efecto, como se expuso en los </w:t>
      </w:r>
      <w:r w:rsidRPr="004530CF">
        <w:rPr>
          <w:rFonts w:ascii="Times New Roman" w:hAnsi="Times New Roman" w:cs="Times New Roman"/>
          <w:iCs/>
          <w:sz w:val="28"/>
          <w:szCs w:val="28"/>
        </w:rPr>
        <w:t>fundamentos jurídicos precedentes, esa finalidad consiste en garantizar la definición pronta de los procesos de nulidad electoral cuando se cuestiona la elección de servidores públicos con un alto grado de incidencia en el funcionamiento y la dirección del</w:t>
      </w:r>
      <w:r w:rsidRPr="004530CF">
        <w:rPr>
          <w:rFonts w:ascii="Times New Roman" w:hAnsi="Times New Roman" w:cs="Times New Roman"/>
          <w:iCs/>
          <w:sz w:val="28"/>
          <w:szCs w:val="28"/>
        </w:rPr>
        <w:t xml:space="preserve"> Estado, propósito que encuentra respaldo expreso en el parágrafo del artículo 264 de la Constitución y en los antecedentes legislativos de la</w:t>
      </w:r>
      <w:r w:rsidRPr="004530CF">
        <w:rPr>
          <w:rFonts w:ascii="Times New Roman" w:hAnsi="Times New Roman" w:cs="Times New Roman"/>
          <w:iCs/>
          <w:sz w:val="28"/>
          <w:szCs w:val="28"/>
        </w:rPr>
        <w:t xml:space="preserve"> Ley</w:t>
      </w:r>
      <w:r w:rsidRPr="004530CF">
        <w:rPr>
          <w:rFonts w:ascii="Times New Roman" w:hAnsi="Times New Roman" w:cs="Times New Roman"/>
          <w:iCs/>
          <w:sz w:val="28"/>
          <w:szCs w:val="28"/>
        </w:rPr>
        <w:t xml:space="preserve"> 1437 de 2011. En atención a ese </w:t>
      </w:r>
      <w:r w:rsidRPr="004530CF">
        <w:rPr>
          <w:rFonts w:ascii="Times New Roman" w:hAnsi="Times New Roman" w:cs="Times New Roman"/>
          <w:iCs/>
          <w:sz w:val="28"/>
          <w:szCs w:val="28"/>
        </w:rPr>
        <w:t>objetivo</w:t>
      </w:r>
      <w:r w:rsidRPr="004530CF">
        <w:rPr>
          <w:rFonts w:ascii="Times New Roman" w:hAnsi="Times New Roman" w:cs="Times New Roman"/>
          <w:iCs/>
          <w:sz w:val="28"/>
          <w:szCs w:val="28"/>
        </w:rPr>
        <w:t>, el criterio de distinción relevante no es el origen popular de la e</w:t>
      </w:r>
      <w:r w:rsidRPr="004530CF">
        <w:rPr>
          <w:rFonts w:ascii="Times New Roman" w:hAnsi="Times New Roman" w:cs="Times New Roman"/>
          <w:iCs/>
          <w:sz w:val="28"/>
          <w:szCs w:val="28"/>
        </w:rPr>
        <w:t>lección, sino el grado de incidencia que el cargo tiene en la actividad y funcionamiento del Estado, lo que diferencia a los servidores del primer grupo, cuyas responsabilidades tienen un notorio impacto nacional, de aquellos del segundo grupo, cuyas compe</w:t>
      </w:r>
      <w:r w:rsidRPr="004530CF">
        <w:rPr>
          <w:rFonts w:ascii="Times New Roman" w:hAnsi="Times New Roman" w:cs="Times New Roman"/>
          <w:iCs/>
          <w:sz w:val="28"/>
          <w:szCs w:val="28"/>
        </w:rPr>
        <w:t xml:space="preserve">tencias tienen un alcance principalmente local o territorial. </w:t>
      </w:r>
      <w:r w:rsidRPr="004530CF">
        <w:rPr>
          <w:rFonts w:ascii="Times New Roman" w:hAnsi="Times New Roman" w:cs="Times New Roman"/>
          <w:iCs/>
          <w:sz w:val="28"/>
          <w:szCs w:val="28"/>
        </w:rPr>
        <w:t xml:space="preserve"> Y ello excluye, en consecuencia, la afectación del mandato de trato igual.</w:t>
      </w:r>
      <w:r w:rsidRPr="004530CF">
        <w:rPr>
          <w:rFonts w:ascii="Times New Roman" w:hAnsi="Times New Roman" w:cs="Times New Roman"/>
          <w:bCs/>
          <w:iCs/>
          <w:sz w:val="28"/>
          <w:szCs w:val="28"/>
        </w:rPr>
        <w:t xml:space="preserve"> </w:t>
      </w:r>
      <w:r w:rsidRPr="004530CF">
        <w:rPr>
          <w:rFonts w:ascii="Times New Roman" w:hAnsi="Times New Roman" w:cs="Times New Roman"/>
          <w:bCs/>
          <w:iCs/>
          <w:sz w:val="28"/>
          <w:szCs w:val="28"/>
        </w:rPr>
        <w:t xml:space="preserve"> </w:t>
      </w:r>
    </w:p>
    <w:p w:rsidR="001E3517" w:rsidRPr="004530CF" w:rsidRDefault="004530CF" w:rsidP="004C7B30">
      <w:pPr>
        <w:pStyle w:val="Prrafodelista"/>
        <w:shd w:val="clear" w:color="auto" w:fill="FFFFFF"/>
        <w:ind w:left="0"/>
        <w:jc w:val="both"/>
        <w:rPr>
          <w:rFonts w:ascii="Times New Roman" w:hAnsi="Times New Roman" w:cs="Times New Roman"/>
          <w:bCs/>
          <w:iCs/>
          <w:sz w:val="28"/>
          <w:szCs w:val="28"/>
        </w:rPr>
      </w:pPr>
    </w:p>
    <w:p w:rsidR="00BC428F" w:rsidRPr="004530CF" w:rsidRDefault="004530CF" w:rsidP="004C7B30">
      <w:pPr>
        <w:pStyle w:val="Prrafodelista"/>
        <w:numPr>
          <w:ilvl w:val="0"/>
          <w:numId w:val="3"/>
        </w:numPr>
        <w:shd w:val="clear" w:color="auto" w:fill="FFFFFF"/>
        <w:ind w:left="0" w:firstLine="0"/>
        <w:jc w:val="both"/>
        <w:rPr>
          <w:rFonts w:ascii="Times New Roman" w:hAnsi="Times New Roman" w:cs="Times New Roman"/>
          <w:bCs/>
          <w:iCs/>
          <w:sz w:val="28"/>
          <w:szCs w:val="28"/>
        </w:rPr>
      </w:pPr>
      <w:r w:rsidRPr="004530CF">
        <w:rPr>
          <w:rFonts w:ascii="Times New Roman" w:hAnsi="Times New Roman" w:cs="Times New Roman"/>
          <w:bCs/>
          <w:iCs/>
          <w:sz w:val="28"/>
          <w:szCs w:val="28"/>
        </w:rPr>
        <w:t>En contra de esta conclusión</w:t>
      </w:r>
      <w:r w:rsidRPr="004530CF">
        <w:rPr>
          <w:rFonts w:ascii="Times New Roman" w:hAnsi="Times New Roman" w:cs="Times New Roman"/>
          <w:bCs/>
          <w:iCs/>
          <w:sz w:val="28"/>
          <w:szCs w:val="28"/>
        </w:rPr>
        <w:t xml:space="preserve"> cabría</w:t>
      </w:r>
      <w:r w:rsidRPr="004530CF">
        <w:rPr>
          <w:rFonts w:ascii="Times New Roman" w:hAnsi="Times New Roman" w:cs="Times New Roman"/>
          <w:bCs/>
          <w:iCs/>
          <w:sz w:val="28"/>
          <w:szCs w:val="28"/>
        </w:rPr>
        <w:t xml:space="preserve"> formular</w:t>
      </w:r>
      <w:r w:rsidRPr="004530CF">
        <w:rPr>
          <w:rFonts w:ascii="Times New Roman" w:hAnsi="Times New Roman" w:cs="Times New Roman"/>
          <w:bCs/>
          <w:iCs/>
          <w:sz w:val="28"/>
          <w:szCs w:val="28"/>
        </w:rPr>
        <w:t xml:space="preserve"> dos</w:t>
      </w:r>
      <w:r w:rsidRPr="004530CF">
        <w:rPr>
          <w:rFonts w:ascii="Times New Roman" w:hAnsi="Times New Roman" w:cs="Times New Roman"/>
          <w:bCs/>
          <w:iCs/>
          <w:sz w:val="28"/>
          <w:szCs w:val="28"/>
        </w:rPr>
        <w:t xml:space="preserve"> objeci</w:t>
      </w:r>
      <w:r w:rsidRPr="004530CF">
        <w:rPr>
          <w:rFonts w:ascii="Times New Roman" w:hAnsi="Times New Roman" w:cs="Times New Roman"/>
          <w:bCs/>
          <w:iCs/>
          <w:sz w:val="28"/>
          <w:szCs w:val="28"/>
        </w:rPr>
        <w:t>o</w:t>
      </w:r>
      <w:r w:rsidRPr="004530CF">
        <w:rPr>
          <w:rFonts w:ascii="Times New Roman" w:hAnsi="Times New Roman" w:cs="Times New Roman"/>
          <w:bCs/>
          <w:iCs/>
          <w:sz w:val="28"/>
          <w:szCs w:val="28"/>
        </w:rPr>
        <w:t>n</w:t>
      </w:r>
      <w:r w:rsidRPr="004530CF">
        <w:rPr>
          <w:rFonts w:ascii="Times New Roman" w:hAnsi="Times New Roman" w:cs="Times New Roman"/>
          <w:bCs/>
          <w:iCs/>
          <w:sz w:val="28"/>
          <w:szCs w:val="28"/>
        </w:rPr>
        <w:t>es</w:t>
      </w:r>
      <w:r w:rsidRPr="004530CF">
        <w:rPr>
          <w:rFonts w:ascii="Times New Roman" w:hAnsi="Times New Roman" w:cs="Times New Roman"/>
          <w:bCs/>
          <w:iCs/>
          <w:sz w:val="28"/>
          <w:szCs w:val="28"/>
        </w:rPr>
        <w:t xml:space="preserve">. </w:t>
      </w:r>
      <w:r w:rsidRPr="004530CF">
        <w:rPr>
          <w:rFonts w:ascii="Times New Roman" w:hAnsi="Times New Roman" w:cs="Times New Roman"/>
          <w:bCs/>
          <w:iCs/>
          <w:sz w:val="28"/>
          <w:szCs w:val="28"/>
        </w:rPr>
        <w:t>De una parte, alguien podría</w:t>
      </w:r>
      <w:r w:rsidRPr="004530CF">
        <w:rPr>
          <w:rFonts w:ascii="Times New Roman" w:hAnsi="Times New Roman" w:cs="Times New Roman"/>
          <w:bCs/>
          <w:iCs/>
          <w:sz w:val="28"/>
          <w:szCs w:val="28"/>
        </w:rPr>
        <w:t xml:space="preserve"> sugerir que en la sentencia C-605 de 2019</w:t>
      </w:r>
      <w:r w:rsidRPr="004530CF">
        <w:rPr>
          <w:rFonts w:ascii="Times New Roman" w:hAnsi="Times New Roman" w:cs="Times New Roman"/>
          <w:bCs/>
          <w:iCs/>
          <w:sz w:val="28"/>
          <w:szCs w:val="28"/>
        </w:rPr>
        <w:t>,</w:t>
      </w:r>
      <w:r w:rsidRPr="004530CF">
        <w:rPr>
          <w:rFonts w:ascii="Times New Roman" w:hAnsi="Times New Roman" w:cs="Times New Roman"/>
          <w:bCs/>
          <w:iCs/>
          <w:sz w:val="28"/>
          <w:szCs w:val="28"/>
        </w:rPr>
        <w:t xml:space="preserve"> la Corte sostuvo, al juzgar una disposición que preveía el trámite en única instancia de l</w:t>
      </w:r>
      <w:r w:rsidRPr="004530CF">
        <w:rPr>
          <w:rFonts w:ascii="Times New Roman" w:hAnsi="Times New Roman" w:cs="Times New Roman"/>
          <w:iCs/>
          <w:sz w:val="28"/>
          <w:szCs w:val="28"/>
        </w:rPr>
        <w:t xml:space="preserve">a nulidad del acto de elección de alcaldes y de miembros de corporaciones públicas de municipios con menos de setenta mil </w:t>
      </w:r>
      <w:r w:rsidRPr="004530CF">
        <w:rPr>
          <w:rFonts w:ascii="Times New Roman" w:hAnsi="Times New Roman" w:cs="Times New Roman"/>
          <w:iCs/>
          <w:sz w:val="28"/>
          <w:szCs w:val="28"/>
        </w:rPr>
        <w:t xml:space="preserve">(70.000) habitantes, que la unidad del régimen procesal </w:t>
      </w:r>
      <w:r w:rsidRPr="004530CF">
        <w:rPr>
          <w:rFonts w:ascii="Times New Roman" w:hAnsi="Times New Roman" w:cs="Times New Roman"/>
          <w:iCs/>
          <w:sz w:val="28"/>
          <w:szCs w:val="28"/>
        </w:rPr>
        <w:t xml:space="preserve">aplicable </w:t>
      </w:r>
      <w:r w:rsidRPr="004530CF">
        <w:rPr>
          <w:rFonts w:ascii="Times New Roman" w:hAnsi="Times New Roman" w:cs="Times New Roman"/>
          <w:iCs/>
          <w:sz w:val="28"/>
          <w:szCs w:val="28"/>
        </w:rPr>
        <w:t>hacía comparable a ese grupo con el integrado por los municipios con un número mayor de habitantes</w:t>
      </w:r>
      <w:r w:rsidRPr="004530CF">
        <w:rPr>
          <w:rStyle w:val="Refdenotaalpie"/>
          <w:rFonts w:ascii="Times New Roman" w:hAnsi="Times New Roman" w:cs="Times New Roman"/>
          <w:iCs/>
          <w:sz w:val="28"/>
          <w:szCs w:val="28"/>
        </w:rPr>
        <w:footnoteReference w:id="75"/>
      </w:r>
      <w:r w:rsidRPr="004530CF">
        <w:rPr>
          <w:rFonts w:ascii="Times New Roman" w:hAnsi="Times New Roman" w:cs="Times New Roman"/>
          <w:iCs/>
          <w:sz w:val="28"/>
          <w:szCs w:val="28"/>
        </w:rPr>
        <w:t xml:space="preserve">. </w:t>
      </w:r>
    </w:p>
    <w:p w:rsidR="00BC428F" w:rsidRPr="004530CF" w:rsidRDefault="004530CF" w:rsidP="004C7B30">
      <w:pPr>
        <w:pStyle w:val="Prrafodelista"/>
        <w:ind w:left="0"/>
        <w:rPr>
          <w:rFonts w:ascii="Times New Roman" w:hAnsi="Times New Roman" w:cs="Times New Roman"/>
          <w:iCs/>
          <w:sz w:val="28"/>
          <w:szCs w:val="28"/>
          <w:u w:val="single"/>
        </w:rPr>
      </w:pPr>
    </w:p>
    <w:p w:rsidR="00BC428F" w:rsidRPr="004530CF" w:rsidRDefault="004530CF" w:rsidP="004C7B30">
      <w:pPr>
        <w:pStyle w:val="Prrafodelista"/>
        <w:numPr>
          <w:ilvl w:val="0"/>
          <w:numId w:val="3"/>
        </w:numPr>
        <w:shd w:val="clear" w:color="auto" w:fill="FFFFFF"/>
        <w:ind w:left="0" w:firstLine="0"/>
        <w:jc w:val="both"/>
        <w:rPr>
          <w:rFonts w:ascii="Times New Roman" w:hAnsi="Times New Roman" w:cs="Times New Roman"/>
          <w:bCs/>
          <w:iCs/>
          <w:sz w:val="28"/>
          <w:szCs w:val="28"/>
        </w:rPr>
      </w:pPr>
      <w:r w:rsidRPr="004530CF">
        <w:rPr>
          <w:rFonts w:ascii="Times New Roman" w:hAnsi="Times New Roman" w:cs="Times New Roman"/>
          <w:iCs/>
          <w:sz w:val="28"/>
          <w:szCs w:val="28"/>
        </w:rPr>
        <w:t>No obstante, esa regla de comparación no puede ser aplicable en esta oportunidad. En ef</w:t>
      </w:r>
      <w:r w:rsidRPr="004530CF">
        <w:rPr>
          <w:rFonts w:ascii="Times New Roman" w:hAnsi="Times New Roman" w:cs="Times New Roman"/>
          <w:iCs/>
          <w:sz w:val="28"/>
          <w:szCs w:val="28"/>
        </w:rPr>
        <w:t xml:space="preserve">ecto, en el caso que ahora analiza la Corte, la distinción </w:t>
      </w:r>
      <w:r w:rsidRPr="004530CF">
        <w:rPr>
          <w:rFonts w:ascii="Times New Roman" w:hAnsi="Times New Roman" w:cs="Times New Roman"/>
          <w:iCs/>
          <w:sz w:val="28"/>
          <w:szCs w:val="28"/>
        </w:rPr>
        <w:t xml:space="preserve">que hace la ley </w:t>
      </w:r>
      <w:r w:rsidRPr="004530CF">
        <w:rPr>
          <w:rFonts w:ascii="Times New Roman" w:hAnsi="Times New Roman" w:cs="Times New Roman"/>
          <w:iCs/>
          <w:sz w:val="28"/>
          <w:szCs w:val="28"/>
        </w:rPr>
        <w:t>no se</w:t>
      </w:r>
      <w:r w:rsidRPr="004530CF">
        <w:rPr>
          <w:rFonts w:ascii="Times New Roman" w:hAnsi="Times New Roman" w:cs="Times New Roman"/>
          <w:iCs/>
          <w:sz w:val="28"/>
          <w:szCs w:val="28"/>
        </w:rPr>
        <w:t xml:space="preserve"> apoya en el </w:t>
      </w:r>
      <w:r w:rsidRPr="004530CF">
        <w:rPr>
          <w:rFonts w:ascii="Times New Roman" w:hAnsi="Times New Roman" w:cs="Times New Roman"/>
          <w:iCs/>
          <w:sz w:val="28"/>
          <w:szCs w:val="28"/>
        </w:rPr>
        <w:t>n</w:t>
      </w:r>
      <w:r w:rsidRPr="004530CF">
        <w:rPr>
          <w:rFonts w:ascii="Times New Roman" w:hAnsi="Times New Roman" w:cs="Times New Roman"/>
          <w:iCs/>
          <w:sz w:val="28"/>
          <w:szCs w:val="28"/>
        </w:rPr>
        <w:t>ú</w:t>
      </w:r>
      <w:r w:rsidRPr="004530CF">
        <w:rPr>
          <w:rFonts w:ascii="Times New Roman" w:hAnsi="Times New Roman" w:cs="Times New Roman"/>
          <w:iCs/>
          <w:sz w:val="28"/>
          <w:szCs w:val="28"/>
        </w:rPr>
        <w:t>mero de habitantes sino, fundamentalmente, en la naturaleza especial del cargo que se ocupa</w:t>
      </w:r>
      <w:r w:rsidRPr="004530CF">
        <w:rPr>
          <w:rFonts w:ascii="Times New Roman" w:hAnsi="Times New Roman" w:cs="Times New Roman"/>
          <w:iCs/>
          <w:sz w:val="28"/>
          <w:szCs w:val="28"/>
        </w:rPr>
        <w:t xml:space="preserve"> y la responsabilidad que impone</w:t>
      </w:r>
      <w:r w:rsidRPr="004530CF">
        <w:rPr>
          <w:rFonts w:ascii="Times New Roman" w:hAnsi="Times New Roman" w:cs="Times New Roman"/>
          <w:iCs/>
          <w:sz w:val="28"/>
          <w:szCs w:val="28"/>
        </w:rPr>
        <w:t>.</w:t>
      </w:r>
      <w:r w:rsidRPr="004530CF">
        <w:rPr>
          <w:rFonts w:ascii="Times New Roman" w:hAnsi="Times New Roman" w:cs="Times New Roman"/>
          <w:iCs/>
          <w:sz w:val="28"/>
          <w:szCs w:val="28"/>
        </w:rPr>
        <w:t xml:space="preserve"> De este modo, teniendo en cuenta los</w:t>
      </w:r>
      <w:r w:rsidRPr="004530CF">
        <w:rPr>
          <w:rFonts w:ascii="Times New Roman" w:hAnsi="Times New Roman" w:cs="Times New Roman"/>
          <w:iCs/>
          <w:sz w:val="28"/>
          <w:szCs w:val="28"/>
        </w:rPr>
        <w:t xml:space="preserve"> fines en los que se asienta la disposición ahora demandada, no puede aplicarse este criterio con el propósito de asumir que se trata de grupos semejantes. </w:t>
      </w:r>
      <w:r w:rsidRPr="004530CF">
        <w:rPr>
          <w:rFonts w:ascii="Times New Roman" w:hAnsi="Times New Roman" w:cs="Times New Roman"/>
          <w:iCs/>
          <w:sz w:val="28"/>
          <w:szCs w:val="28"/>
        </w:rPr>
        <w:t xml:space="preserve">  </w:t>
      </w:r>
    </w:p>
    <w:p w:rsidR="005154C7" w:rsidRPr="004530CF" w:rsidRDefault="004530CF" w:rsidP="004C7B30">
      <w:pPr>
        <w:pStyle w:val="Prrafodelista"/>
        <w:ind w:left="0"/>
        <w:rPr>
          <w:rFonts w:ascii="Times New Roman" w:hAnsi="Times New Roman" w:cs="Times New Roman"/>
          <w:bCs/>
          <w:iCs/>
          <w:sz w:val="28"/>
          <w:szCs w:val="28"/>
        </w:rPr>
      </w:pPr>
    </w:p>
    <w:p w:rsidR="005154C7" w:rsidRPr="004530CF" w:rsidRDefault="004530CF" w:rsidP="004C7B30">
      <w:pPr>
        <w:pStyle w:val="Prrafodelista"/>
        <w:numPr>
          <w:ilvl w:val="0"/>
          <w:numId w:val="3"/>
        </w:numPr>
        <w:shd w:val="clear" w:color="auto" w:fill="FFFFFF"/>
        <w:ind w:left="0" w:firstLine="0"/>
        <w:jc w:val="both"/>
        <w:rPr>
          <w:rFonts w:ascii="Times New Roman" w:hAnsi="Times New Roman" w:cs="Times New Roman"/>
          <w:bCs/>
          <w:iCs/>
          <w:sz w:val="28"/>
          <w:szCs w:val="28"/>
        </w:rPr>
      </w:pPr>
      <w:r w:rsidRPr="004530CF">
        <w:rPr>
          <w:rFonts w:ascii="Times New Roman" w:hAnsi="Times New Roman" w:cs="Times New Roman"/>
          <w:bCs/>
          <w:iCs/>
          <w:sz w:val="28"/>
          <w:szCs w:val="28"/>
        </w:rPr>
        <w:t xml:space="preserve">La segunda objeción </w:t>
      </w:r>
      <w:r w:rsidRPr="004530CF">
        <w:rPr>
          <w:rFonts w:ascii="Times New Roman" w:hAnsi="Times New Roman" w:cs="Times New Roman"/>
          <w:bCs/>
          <w:iCs/>
          <w:sz w:val="28"/>
          <w:szCs w:val="28"/>
        </w:rPr>
        <w:t>sug</w:t>
      </w:r>
      <w:r w:rsidRPr="004530CF">
        <w:rPr>
          <w:rFonts w:ascii="Times New Roman" w:hAnsi="Times New Roman" w:cs="Times New Roman"/>
          <w:bCs/>
          <w:iCs/>
          <w:sz w:val="28"/>
          <w:szCs w:val="28"/>
        </w:rPr>
        <w:t>iere</w:t>
      </w:r>
      <w:r w:rsidRPr="004530CF">
        <w:rPr>
          <w:rFonts w:ascii="Times New Roman" w:hAnsi="Times New Roman" w:cs="Times New Roman"/>
          <w:bCs/>
          <w:iCs/>
          <w:sz w:val="28"/>
          <w:szCs w:val="28"/>
        </w:rPr>
        <w:t xml:space="preserve"> que, en todo caso, la clasificación realizada por el legislador</w:t>
      </w:r>
      <w:r w:rsidRPr="004530CF">
        <w:rPr>
          <w:rFonts w:ascii="Times New Roman" w:hAnsi="Times New Roman" w:cs="Times New Roman"/>
          <w:bCs/>
          <w:iCs/>
          <w:sz w:val="28"/>
          <w:szCs w:val="28"/>
        </w:rPr>
        <w:t>,</w:t>
      </w:r>
      <w:r w:rsidRPr="004530CF">
        <w:rPr>
          <w:rFonts w:ascii="Times New Roman" w:hAnsi="Times New Roman" w:cs="Times New Roman"/>
          <w:bCs/>
          <w:iCs/>
          <w:sz w:val="28"/>
          <w:szCs w:val="28"/>
        </w:rPr>
        <w:t xml:space="preserve"> a p</w:t>
      </w:r>
      <w:r w:rsidRPr="004530CF">
        <w:rPr>
          <w:rFonts w:ascii="Times New Roman" w:hAnsi="Times New Roman" w:cs="Times New Roman"/>
          <w:bCs/>
          <w:iCs/>
          <w:sz w:val="28"/>
          <w:szCs w:val="28"/>
        </w:rPr>
        <w:t xml:space="preserve">artir del criterio de comparación identificado </w:t>
      </w:r>
      <w:r w:rsidRPr="004530CF">
        <w:rPr>
          <w:rFonts w:ascii="Times New Roman" w:hAnsi="Times New Roman" w:cs="Times New Roman"/>
          <w:bCs/>
          <w:iCs/>
          <w:sz w:val="28"/>
          <w:szCs w:val="28"/>
        </w:rPr>
        <w:t>(</w:t>
      </w:r>
      <w:r w:rsidRPr="004530CF">
        <w:rPr>
          <w:rFonts w:ascii="Times New Roman" w:hAnsi="Times New Roman" w:cs="Times New Roman"/>
          <w:sz w:val="28"/>
          <w:szCs w:val="28"/>
        </w:rPr>
        <w:t xml:space="preserve">grado de incidencia en </w:t>
      </w:r>
      <w:r w:rsidRPr="004530CF">
        <w:rPr>
          <w:rFonts w:ascii="Times New Roman" w:hAnsi="Times New Roman" w:cs="Times New Roman"/>
          <w:sz w:val="28"/>
          <w:szCs w:val="28"/>
        </w:rPr>
        <w:t>las actividades y</w:t>
      </w:r>
      <w:r w:rsidRPr="004530CF">
        <w:rPr>
          <w:rFonts w:ascii="Times New Roman" w:hAnsi="Times New Roman" w:cs="Times New Roman"/>
          <w:sz w:val="28"/>
          <w:szCs w:val="28"/>
        </w:rPr>
        <w:t xml:space="preserve"> funcionamiento del Estado</w:t>
      </w:r>
      <w:r w:rsidRPr="004530CF">
        <w:rPr>
          <w:rFonts w:ascii="Times New Roman" w:hAnsi="Times New Roman" w:cs="Times New Roman"/>
          <w:sz w:val="28"/>
          <w:szCs w:val="28"/>
        </w:rPr>
        <w:t>)</w:t>
      </w:r>
      <w:r w:rsidRPr="004530CF">
        <w:rPr>
          <w:rFonts w:ascii="Times New Roman" w:hAnsi="Times New Roman" w:cs="Times New Roman"/>
          <w:b/>
          <w:sz w:val="28"/>
          <w:szCs w:val="28"/>
        </w:rPr>
        <w:t xml:space="preserve"> </w:t>
      </w:r>
      <w:r w:rsidRPr="004530CF">
        <w:rPr>
          <w:rFonts w:ascii="Times New Roman" w:hAnsi="Times New Roman" w:cs="Times New Roman"/>
          <w:sz w:val="28"/>
          <w:szCs w:val="28"/>
        </w:rPr>
        <w:t>pu</w:t>
      </w:r>
      <w:r w:rsidRPr="004530CF">
        <w:rPr>
          <w:rFonts w:ascii="Times New Roman" w:hAnsi="Times New Roman" w:cs="Times New Roman"/>
          <w:sz w:val="28"/>
          <w:szCs w:val="28"/>
        </w:rPr>
        <w:t>e</w:t>
      </w:r>
      <w:r w:rsidRPr="004530CF">
        <w:rPr>
          <w:rFonts w:ascii="Times New Roman" w:hAnsi="Times New Roman" w:cs="Times New Roman"/>
          <w:sz w:val="28"/>
          <w:szCs w:val="28"/>
        </w:rPr>
        <w:t>d</w:t>
      </w:r>
      <w:r w:rsidRPr="004530CF">
        <w:rPr>
          <w:rFonts w:ascii="Times New Roman" w:hAnsi="Times New Roman" w:cs="Times New Roman"/>
          <w:sz w:val="28"/>
          <w:szCs w:val="28"/>
        </w:rPr>
        <w:t>e</w:t>
      </w:r>
      <w:r w:rsidRPr="004530CF">
        <w:rPr>
          <w:rFonts w:ascii="Times New Roman" w:hAnsi="Times New Roman" w:cs="Times New Roman"/>
          <w:sz w:val="28"/>
          <w:szCs w:val="28"/>
        </w:rPr>
        <w:t xml:space="preserve"> resultar defectuosa</w:t>
      </w:r>
      <w:r w:rsidRPr="004530CF">
        <w:rPr>
          <w:rFonts w:ascii="Times New Roman" w:hAnsi="Times New Roman" w:cs="Times New Roman"/>
          <w:sz w:val="28"/>
          <w:szCs w:val="28"/>
        </w:rPr>
        <w:t xml:space="preserve">. Ello es así puesto </w:t>
      </w:r>
      <w:r w:rsidRPr="004530CF">
        <w:rPr>
          <w:rFonts w:ascii="Times New Roman" w:hAnsi="Times New Roman" w:cs="Times New Roman"/>
          <w:sz w:val="28"/>
          <w:szCs w:val="28"/>
        </w:rPr>
        <w:t xml:space="preserve">que </w:t>
      </w:r>
      <w:r w:rsidRPr="004530CF">
        <w:rPr>
          <w:rFonts w:ascii="Times New Roman" w:hAnsi="Times New Roman" w:cs="Times New Roman"/>
          <w:sz w:val="28"/>
          <w:szCs w:val="28"/>
        </w:rPr>
        <w:t>no incluye en alguno de los grupos a servidores que</w:t>
      </w:r>
      <w:r w:rsidRPr="004530CF">
        <w:rPr>
          <w:rFonts w:ascii="Times New Roman" w:hAnsi="Times New Roman" w:cs="Times New Roman"/>
          <w:sz w:val="28"/>
          <w:szCs w:val="28"/>
        </w:rPr>
        <w:t xml:space="preserve"> en atención al referido criterio</w:t>
      </w:r>
      <w:r w:rsidRPr="004530CF">
        <w:rPr>
          <w:rFonts w:ascii="Times New Roman" w:hAnsi="Times New Roman" w:cs="Times New Roman"/>
          <w:sz w:val="28"/>
          <w:szCs w:val="28"/>
        </w:rPr>
        <w:t xml:space="preserve"> podrían ser comparables. </w:t>
      </w:r>
      <w:r w:rsidRPr="004530CF">
        <w:rPr>
          <w:rFonts w:ascii="Times New Roman" w:hAnsi="Times New Roman" w:cs="Times New Roman"/>
          <w:sz w:val="28"/>
          <w:szCs w:val="28"/>
        </w:rPr>
        <w:t>Se p</w:t>
      </w:r>
      <w:r w:rsidRPr="004530CF">
        <w:rPr>
          <w:rFonts w:ascii="Times New Roman" w:hAnsi="Times New Roman" w:cs="Times New Roman"/>
          <w:sz w:val="28"/>
          <w:szCs w:val="28"/>
        </w:rPr>
        <w:t>odría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 xml:space="preserve">sugerir que ello ocurre, por ejemplo, </w:t>
      </w:r>
      <w:r w:rsidRPr="004530CF">
        <w:rPr>
          <w:rFonts w:ascii="Times New Roman" w:hAnsi="Times New Roman" w:cs="Times New Roman"/>
          <w:sz w:val="28"/>
          <w:szCs w:val="28"/>
        </w:rPr>
        <w:t xml:space="preserve">al establecer una distinción entre el Alcalde Mayor de Bogotá y </w:t>
      </w:r>
      <w:r w:rsidRPr="004530CF">
        <w:rPr>
          <w:rFonts w:ascii="Times New Roman" w:hAnsi="Times New Roman" w:cs="Times New Roman"/>
          <w:sz w:val="28"/>
          <w:szCs w:val="28"/>
        </w:rPr>
        <w:t xml:space="preserve">los alcaldes de los </w:t>
      </w:r>
      <w:r w:rsidRPr="004530CF">
        <w:rPr>
          <w:rFonts w:ascii="Times New Roman" w:hAnsi="Times New Roman" w:cs="Times New Roman"/>
          <w:sz w:val="28"/>
          <w:szCs w:val="28"/>
        </w:rPr>
        <w:t xml:space="preserve">otros </w:t>
      </w:r>
      <w:r w:rsidRPr="004530CF">
        <w:rPr>
          <w:rFonts w:ascii="Times New Roman" w:hAnsi="Times New Roman" w:cs="Times New Roman"/>
          <w:sz w:val="28"/>
          <w:szCs w:val="28"/>
        </w:rPr>
        <w:t xml:space="preserve">distritos enunciados en el artículo 328 de la Constitución. </w:t>
      </w:r>
    </w:p>
    <w:p w:rsidR="005154C7" w:rsidRPr="004530CF" w:rsidRDefault="004530CF" w:rsidP="004C7B30">
      <w:pPr>
        <w:pStyle w:val="Prrafodelista"/>
        <w:ind w:left="0"/>
        <w:rPr>
          <w:rFonts w:ascii="Times New Roman" w:hAnsi="Times New Roman" w:cs="Times New Roman"/>
          <w:sz w:val="28"/>
          <w:szCs w:val="28"/>
        </w:rPr>
      </w:pPr>
    </w:p>
    <w:p w:rsidR="00C13DEE" w:rsidRPr="004530CF" w:rsidRDefault="004530CF" w:rsidP="004C7B30">
      <w:pPr>
        <w:pStyle w:val="Prrafodelista"/>
        <w:numPr>
          <w:ilvl w:val="0"/>
          <w:numId w:val="3"/>
        </w:numPr>
        <w:shd w:val="clear" w:color="auto" w:fill="FFFFFF"/>
        <w:ind w:left="0" w:firstLine="0"/>
        <w:jc w:val="both"/>
        <w:rPr>
          <w:rFonts w:ascii="Times New Roman" w:hAnsi="Times New Roman" w:cs="Times New Roman"/>
          <w:bCs/>
          <w:iCs/>
          <w:sz w:val="28"/>
          <w:szCs w:val="28"/>
        </w:rPr>
      </w:pPr>
      <w:r w:rsidRPr="004530CF">
        <w:rPr>
          <w:rFonts w:ascii="Times New Roman" w:hAnsi="Times New Roman" w:cs="Times New Roman"/>
          <w:sz w:val="28"/>
          <w:szCs w:val="28"/>
        </w:rPr>
        <w:t xml:space="preserve">Sin embargo, </w:t>
      </w:r>
      <w:r w:rsidRPr="004530CF">
        <w:rPr>
          <w:rFonts w:ascii="Times New Roman" w:hAnsi="Times New Roman" w:cs="Times New Roman"/>
          <w:sz w:val="28"/>
          <w:szCs w:val="28"/>
        </w:rPr>
        <w:t>esa</w:t>
      </w:r>
      <w:r w:rsidRPr="004530CF">
        <w:rPr>
          <w:rFonts w:ascii="Times New Roman" w:hAnsi="Times New Roman" w:cs="Times New Roman"/>
          <w:sz w:val="28"/>
          <w:szCs w:val="28"/>
        </w:rPr>
        <w:t xml:space="preserve"> objeción no l</w:t>
      </w:r>
      <w:r w:rsidRPr="004530CF">
        <w:rPr>
          <w:rFonts w:ascii="Times New Roman" w:hAnsi="Times New Roman" w:cs="Times New Roman"/>
          <w:sz w:val="28"/>
          <w:szCs w:val="28"/>
        </w:rPr>
        <w:t>ogra desvirtuar el criterio de comparación identificado por la Corte. La distinción entre el Alcalde Mayor de Bogotá y los alcaldes de los demás distritos enunciados en el artículo 328 de la Constitución encuentra respaldo en el estatuto constitucional esp</w:t>
      </w:r>
      <w:r w:rsidRPr="004530CF">
        <w:rPr>
          <w:rFonts w:ascii="Times New Roman" w:hAnsi="Times New Roman" w:cs="Times New Roman"/>
          <w:sz w:val="28"/>
          <w:szCs w:val="28"/>
        </w:rPr>
        <w:t>ecial que la Carta reservó al Distrito Capital y que no es predicable de los demás distritos. En efecto, los artículos 322 a 327 de la Constitución le confieren a Bogotá un régimen jurídico, fiscal, administrativo y político propio, que la diferencia del r</w:t>
      </w:r>
      <w:r w:rsidRPr="004530CF">
        <w:rPr>
          <w:rFonts w:ascii="Times New Roman" w:hAnsi="Times New Roman" w:cs="Times New Roman"/>
          <w:sz w:val="28"/>
          <w:szCs w:val="28"/>
        </w:rPr>
        <w:t>esto de entidades territoriales, incluid</w:t>
      </w:r>
      <w:r w:rsidRPr="004530CF">
        <w:rPr>
          <w:rFonts w:ascii="Times New Roman" w:hAnsi="Times New Roman" w:cs="Times New Roman"/>
          <w:sz w:val="28"/>
          <w:szCs w:val="28"/>
        </w:rPr>
        <w:t>a</w:t>
      </w:r>
      <w:r w:rsidRPr="004530CF">
        <w:rPr>
          <w:rFonts w:ascii="Times New Roman" w:hAnsi="Times New Roman" w:cs="Times New Roman"/>
          <w:sz w:val="28"/>
          <w:szCs w:val="28"/>
        </w:rPr>
        <w:t>s aquell</w:t>
      </w:r>
      <w:r w:rsidRPr="004530CF">
        <w:rPr>
          <w:rFonts w:ascii="Times New Roman" w:hAnsi="Times New Roman" w:cs="Times New Roman"/>
          <w:sz w:val="28"/>
          <w:szCs w:val="28"/>
        </w:rPr>
        <w:t>a</w:t>
      </w:r>
      <w:r w:rsidRPr="004530CF">
        <w:rPr>
          <w:rFonts w:ascii="Times New Roman" w:hAnsi="Times New Roman" w:cs="Times New Roman"/>
          <w:sz w:val="28"/>
          <w:szCs w:val="28"/>
        </w:rPr>
        <w:t xml:space="preserve">s a los que se refiere el artículo 328. </w:t>
      </w:r>
    </w:p>
    <w:p w:rsidR="00C13DEE" w:rsidRPr="004530CF" w:rsidRDefault="004530CF" w:rsidP="004C7B30">
      <w:pPr>
        <w:pStyle w:val="Prrafodelista"/>
        <w:rPr>
          <w:rFonts w:ascii="Times New Roman" w:hAnsi="Times New Roman" w:cs="Times New Roman"/>
          <w:sz w:val="28"/>
          <w:szCs w:val="28"/>
        </w:rPr>
      </w:pPr>
    </w:p>
    <w:p w:rsidR="005154C7" w:rsidRPr="004530CF" w:rsidRDefault="004530CF" w:rsidP="004C7B30">
      <w:pPr>
        <w:pStyle w:val="Prrafodelista"/>
        <w:numPr>
          <w:ilvl w:val="0"/>
          <w:numId w:val="3"/>
        </w:numPr>
        <w:shd w:val="clear" w:color="auto" w:fill="FFFFFF"/>
        <w:ind w:left="0" w:firstLine="0"/>
        <w:jc w:val="both"/>
        <w:rPr>
          <w:rFonts w:ascii="Times New Roman" w:hAnsi="Times New Roman" w:cs="Times New Roman"/>
          <w:bCs/>
          <w:iCs/>
          <w:sz w:val="28"/>
          <w:szCs w:val="28"/>
        </w:rPr>
      </w:pPr>
      <w:r w:rsidRPr="004530CF">
        <w:rPr>
          <w:rFonts w:ascii="Times New Roman" w:hAnsi="Times New Roman" w:cs="Times New Roman"/>
          <w:sz w:val="28"/>
          <w:szCs w:val="28"/>
        </w:rPr>
        <w:t>Esa singularidad constitucional se proyecta sobre el cargo de Alcalde Mayor, cuyo ámbito de competencias, la complejidad institucional del Distrito y la magnitud de</w:t>
      </w:r>
      <w:r w:rsidRPr="004530CF">
        <w:rPr>
          <w:rFonts w:ascii="Times New Roman" w:hAnsi="Times New Roman" w:cs="Times New Roman"/>
          <w:sz w:val="28"/>
          <w:szCs w:val="28"/>
        </w:rPr>
        <w:t xml:space="preserve"> la población gobernada lo distinguen de cualquier otra alcaldía. A ello se añade que, desde el punto de vista político e institucional, el cargo de Alcalde Mayor de Bogotá ha sido tradicionalmente reconocido como el segundo cargo de elección popular más i</w:t>
      </w:r>
      <w:r w:rsidRPr="004530CF">
        <w:rPr>
          <w:rFonts w:ascii="Times New Roman" w:hAnsi="Times New Roman" w:cs="Times New Roman"/>
          <w:sz w:val="28"/>
          <w:szCs w:val="28"/>
        </w:rPr>
        <w:t>mportante del país</w:t>
      </w:r>
      <w:r w:rsidRPr="004530CF">
        <w:rPr>
          <w:rStyle w:val="Refdenotaalpie"/>
          <w:rFonts w:ascii="Times New Roman" w:hAnsi="Times New Roman" w:cs="Times New Roman"/>
          <w:sz w:val="28"/>
          <w:szCs w:val="28"/>
        </w:rPr>
        <w:footnoteReference w:id="76"/>
      </w:r>
      <w:r w:rsidRPr="004530CF">
        <w:rPr>
          <w:rFonts w:ascii="Times New Roman" w:hAnsi="Times New Roman" w:cs="Times New Roman"/>
          <w:sz w:val="28"/>
          <w:szCs w:val="28"/>
        </w:rPr>
        <w:t>, lo que justifica que el legislador haya considerado especialmente relevante adoptar respecto de su elección un régimen procesal dirigido a reducir la incertidumbre y a garantizar la pronta resolución de las controversias electorales. E</w:t>
      </w:r>
      <w:r w:rsidRPr="004530CF">
        <w:rPr>
          <w:rFonts w:ascii="Times New Roman" w:hAnsi="Times New Roman" w:cs="Times New Roman"/>
          <w:sz w:val="28"/>
          <w:szCs w:val="28"/>
        </w:rPr>
        <w:t>n es</w:t>
      </w:r>
      <w:r w:rsidRPr="004530CF">
        <w:rPr>
          <w:rFonts w:ascii="Times New Roman" w:hAnsi="Times New Roman" w:cs="Times New Roman"/>
          <w:sz w:val="28"/>
          <w:szCs w:val="28"/>
        </w:rPr>
        <w:t>t</w:t>
      </w:r>
      <w:r w:rsidRPr="004530CF">
        <w:rPr>
          <w:rFonts w:ascii="Times New Roman" w:hAnsi="Times New Roman" w:cs="Times New Roman"/>
          <w:sz w:val="28"/>
          <w:szCs w:val="28"/>
        </w:rPr>
        <w:t>a medida, el criterio de comparación toma nota de elementos constitucionalmente relevantes. Y debe advertirse, en cualquier caso, que las eventuales dificultades en la concreta delimitación de los grupos que resultan de aplicar el criterio</w:t>
      </w:r>
      <w:r w:rsidRPr="004530CF">
        <w:rPr>
          <w:rFonts w:ascii="Times New Roman" w:hAnsi="Times New Roman" w:cs="Times New Roman"/>
          <w:sz w:val="28"/>
          <w:szCs w:val="28"/>
        </w:rPr>
        <w:t>,</w:t>
      </w:r>
      <w:r w:rsidRPr="004530CF">
        <w:rPr>
          <w:rFonts w:ascii="Times New Roman" w:hAnsi="Times New Roman" w:cs="Times New Roman"/>
          <w:sz w:val="28"/>
          <w:szCs w:val="28"/>
        </w:rPr>
        <w:t xml:space="preserve"> no descart</w:t>
      </w:r>
      <w:r w:rsidRPr="004530CF">
        <w:rPr>
          <w:rFonts w:ascii="Times New Roman" w:hAnsi="Times New Roman" w:cs="Times New Roman"/>
          <w:sz w:val="28"/>
          <w:szCs w:val="28"/>
        </w:rPr>
        <w:t>an su corrección como parámetro de comparación.</w:t>
      </w:r>
    </w:p>
    <w:p w:rsidR="00FC519E" w:rsidRPr="004530CF" w:rsidRDefault="004530CF" w:rsidP="004C7B30">
      <w:pPr>
        <w:pStyle w:val="Prrafodelista"/>
        <w:shd w:val="clear" w:color="auto" w:fill="FFFFFF"/>
        <w:ind w:left="0"/>
        <w:jc w:val="both"/>
        <w:rPr>
          <w:rFonts w:ascii="Times New Roman" w:hAnsi="Times New Roman" w:cs="Times New Roman"/>
          <w:bCs/>
          <w:iCs/>
          <w:sz w:val="28"/>
          <w:szCs w:val="28"/>
        </w:rPr>
      </w:pPr>
    </w:p>
    <w:p w:rsidR="005154C7" w:rsidRPr="004530CF" w:rsidRDefault="004530CF" w:rsidP="002F52D7">
      <w:pPr>
        <w:pStyle w:val="Prrafodelista"/>
        <w:numPr>
          <w:ilvl w:val="0"/>
          <w:numId w:val="5"/>
        </w:numPr>
        <w:shd w:val="clear" w:color="auto" w:fill="FFFFFF"/>
        <w:ind w:left="0" w:firstLine="0"/>
        <w:jc w:val="both"/>
        <w:rPr>
          <w:rFonts w:ascii="Times New Roman" w:hAnsi="Times New Roman" w:cs="Times New Roman"/>
          <w:sz w:val="28"/>
          <w:szCs w:val="28"/>
        </w:rPr>
      </w:pPr>
      <w:r w:rsidRPr="004530CF">
        <w:rPr>
          <w:rFonts w:ascii="Times New Roman" w:hAnsi="Times New Roman" w:cs="Times New Roman"/>
          <w:bCs/>
          <w:iCs/>
          <w:sz w:val="28"/>
          <w:szCs w:val="28"/>
        </w:rPr>
        <w:t>Teniendo en cuenta que las objeciones referidas no</w:t>
      </w:r>
      <w:r w:rsidRPr="004530CF">
        <w:rPr>
          <w:rFonts w:ascii="Times New Roman" w:hAnsi="Times New Roman" w:cs="Times New Roman"/>
          <w:bCs/>
          <w:iCs/>
          <w:sz w:val="28"/>
          <w:szCs w:val="28"/>
        </w:rPr>
        <w:t xml:space="preserve"> </w:t>
      </w:r>
      <w:r w:rsidRPr="004530CF">
        <w:rPr>
          <w:rFonts w:ascii="Times New Roman" w:hAnsi="Times New Roman" w:cs="Times New Roman"/>
          <w:bCs/>
          <w:iCs/>
          <w:sz w:val="28"/>
          <w:szCs w:val="28"/>
        </w:rPr>
        <w:t>descarta</w:t>
      </w:r>
      <w:r w:rsidRPr="004530CF">
        <w:rPr>
          <w:rFonts w:ascii="Times New Roman" w:hAnsi="Times New Roman" w:cs="Times New Roman"/>
          <w:bCs/>
          <w:iCs/>
          <w:sz w:val="28"/>
          <w:szCs w:val="28"/>
        </w:rPr>
        <w:t>n</w:t>
      </w:r>
      <w:r w:rsidRPr="004530CF">
        <w:rPr>
          <w:rFonts w:ascii="Times New Roman" w:hAnsi="Times New Roman" w:cs="Times New Roman"/>
          <w:bCs/>
          <w:iCs/>
          <w:sz w:val="28"/>
          <w:szCs w:val="28"/>
        </w:rPr>
        <w:t xml:space="preserve"> el criterio de comparación identificado, ni</w:t>
      </w:r>
      <w:r w:rsidRPr="004530CF">
        <w:rPr>
          <w:rFonts w:ascii="Times New Roman" w:hAnsi="Times New Roman" w:cs="Times New Roman"/>
          <w:bCs/>
          <w:iCs/>
          <w:sz w:val="28"/>
          <w:szCs w:val="28"/>
        </w:rPr>
        <w:t xml:space="preserve"> inciden en la idea</w:t>
      </w:r>
      <w:r w:rsidRPr="004530CF">
        <w:rPr>
          <w:rFonts w:ascii="Times New Roman" w:hAnsi="Times New Roman" w:cs="Times New Roman"/>
          <w:bCs/>
          <w:iCs/>
          <w:sz w:val="28"/>
          <w:szCs w:val="28"/>
        </w:rPr>
        <w:t xml:space="preserve"> </w:t>
      </w:r>
      <w:r w:rsidRPr="004530CF">
        <w:rPr>
          <w:rFonts w:ascii="Times New Roman" w:hAnsi="Times New Roman" w:cs="Times New Roman"/>
          <w:bCs/>
          <w:iCs/>
          <w:sz w:val="28"/>
          <w:szCs w:val="28"/>
        </w:rPr>
        <w:t xml:space="preserve">según </w:t>
      </w:r>
      <w:r w:rsidRPr="004530CF">
        <w:rPr>
          <w:rFonts w:ascii="Times New Roman" w:hAnsi="Times New Roman" w:cs="Times New Roman"/>
          <w:bCs/>
          <w:iCs/>
          <w:sz w:val="28"/>
          <w:szCs w:val="28"/>
        </w:rPr>
        <w:t xml:space="preserve">la cual la clasificación realizada por el legislador se asienta en </w:t>
      </w:r>
      <w:r w:rsidRPr="004530CF">
        <w:rPr>
          <w:rFonts w:ascii="Times New Roman" w:hAnsi="Times New Roman" w:cs="Times New Roman"/>
          <w:bCs/>
          <w:iCs/>
          <w:sz w:val="28"/>
          <w:szCs w:val="28"/>
        </w:rPr>
        <w:t xml:space="preserve">los </w:t>
      </w:r>
      <w:r w:rsidRPr="004530CF">
        <w:rPr>
          <w:rFonts w:ascii="Times New Roman" w:hAnsi="Times New Roman" w:cs="Times New Roman"/>
          <w:bCs/>
          <w:iCs/>
          <w:sz w:val="28"/>
          <w:szCs w:val="28"/>
        </w:rPr>
        <w:t>rasgos</w:t>
      </w:r>
      <w:r w:rsidRPr="004530CF">
        <w:rPr>
          <w:rFonts w:ascii="Times New Roman" w:hAnsi="Times New Roman" w:cs="Times New Roman"/>
          <w:bCs/>
          <w:iCs/>
          <w:sz w:val="28"/>
          <w:szCs w:val="28"/>
        </w:rPr>
        <w:t xml:space="preserve"> relevantes </w:t>
      </w:r>
      <w:r w:rsidRPr="004530CF">
        <w:rPr>
          <w:rFonts w:ascii="Times New Roman" w:hAnsi="Times New Roman" w:cs="Times New Roman"/>
          <w:bCs/>
          <w:iCs/>
          <w:sz w:val="28"/>
          <w:szCs w:val="28"/>
        </w:rPr>
        <w:t>que integran tal criterio, la Corte concluye que el trato diverso no afecta el mandato de igualdad y, en consecuencia, la disposición debe ser declarada exequible. En este caso, la acusación aportó razones suficientes para que la Corte emprendi</w:t>
      </w:r>
      <w:r w:rsidRPr="004530CF">
        <w:rPr>
          <w:rFonts w:ascii="Times New Roman" w:hAnsi="Times New Roman" w:cs="Times New Roman"/>
          <w:bCs/>
          <w:iCs/>
          <w:sz w:val="28"/>
          <w:szCs w:val="28"/>
        </w:rPr>
        <w:t>era un examen encaminado a identificar si los grupos eran comparables. Sin embargo,</w:t>
      </w:r>
      <w:r w:rsidRPr="004530CF">
        <w:rPr>
          <w:rFonts w:ascii="Times New Roman" w:hAnsi="Times New Roman" w:cs="Times New Roman"/>
          <w:bCs/>
          <w:iCs/>
          <w:sz w:val="28"/>
          <w:szCs w:val="28"/>
        </w:rPr>
        <w:t xml:space="preserve"> por las consideraciones expuestas en esta decisión, la conclusión</w:t>
      </w:r>
      <w:r w:rsidRPr="004530CF">
        <w:rPr>
          <w:rFonts w:ascii="Times New Roman" w:hAnsi="Times New Roman" w:cs="Times New Roman"/>
          <w:bCs/>
          <w:iCs/>
          <w:sz w:val="28"/>
          <w:szCs w:val="28"/>
        </w:rPr>
        <w:t xml:space="preserve"> </w:t>
      </w:r>
      <w:r w:rsidRPr="004530CF">
        <w:rPr>
          <w:rFonts w:ascii="Times New Roman" w:hAnsi="Times New Roman" w:cs="Times New Roman"/>
          <w:bCs/>
          <w:iCs/>
          <w:sz w:val="28"/>
          <w:szCs w:val="28"/>
        </w:rPr>
        <w:t xml:space="preserve">sobre </w:t>
      </w:r>
      <w:r w:rsidRPr="004530CF">
        <w:rPr>
          <w:rFonts w:ascii="Times New Roman" w:hAnsi="Times New Roman" w:cs="Times New Roman"/>
          <w:bCs/>
          <w:iCs/>
          <w:sz w:val="28"/>
          <w:szCs w:val="28"/>
        </w:rPr>
        <w:t>esa premisa fue negativa</w:t>
      </w:r>
      <w:r w:rsidRPr="004530CF">
        <w:rPr>
          <w:rFonts w:ascii="Times New Roman" w:hAnsi="Times New Roman" w:cs="Times New Roman"/>
          <w:bCs/>
          <w:iCs/>
          <w:sz w:val="28"/>
          <w:szCs w:val="28"/>
        </w:rPr>
        <w:t xml:space="preserve">. </w:t>
      </w:r>
      <w:r w:rsidRPr="004530CF">
        <w:rPr>
          <w:rFonts w:ascii="Times New Roman" w:hAnsi="Times New Roman" w:cs="Times New Roman"/>
          <w:sz w:val="28"/>
          <w:szCs w:val="28"/>
        </w:rPr>
        <w:t xml:space="preserve">Conforme </w:t>
      </w:r>
      <w:r w:rsidRPr="004530CF">
        <w:rPr>
          <w:rFonts w:ascii="Times New Roman" w:hAnsi="Times New Roman" w:cs="Times New Roman"/>
          <w:sz w:val="28"/>
          <w:szCs w:val="28"/>
        </w:rPr>
        <w:t>con</w:t>
      </w:r>
      <w:r w:rsidRPr="004530CF">
        <w:rPr>
          <w:rFonts w:ascii="Times New Roman" w:hAnsi="Times New Roman" w:cs="Times New Roman"/>
          <w:sz w:val="28"/>
          <w:szCs w:val="28"/>
        </w:rPr>
        <w:t xml:space="preserve"> lo expuesto </w:t>
      </w:r>
      <w:r w:rsidRPr="004530CF">
        <w:rPr>
          <w:rFonts w:ascii="Times New Roman" w:hAnsi="Times New Roman" w:cs="Times New Roman"/>
          <w:sz w:val="28"/>
          <w:szCs w:val="28"/>
        </w:rPr>
        <w:t xml:space="preserve">no puede abrirse paso </w:t>
      </w:r>
      <w:r w:rsidRPr="004530CF">
        <w:rPr>
          <w:rFonts w:ascii="Times New Roman" w:hAnsi="Times New Roman" w:cs="Times New Roman"/>
          <w:sz w:val="28"/>
          <w:szCs w:val="28"/>
        </w:rPr>
        <w:t>la</w:t>
      </w:r>
      <w:r w:rsidRPr="004530CF">
        <w:rPr>
          <w:rFonts w:ascii="Times New Roman" w:hAnsi="Times New Roman" w:cs="Times New Roman"/>
          <w:sz w:val="28"/>
          <w:szCs w:val="28"/>
        </w:rPr>
        <w:t xml:space="preserve"> acusación </w:t>
      </w:r>
      <w:r w:rsidRPr="004530CF">
        <w:rPr>
          <w:rFonts w:ascii="Times New Roman" w:hAnsi="Times New Roman" w:cs="Times New Roman"/>
          <w:sz w:val="28"/>
          <w:szCs w:val="28"/>
        </w:rPr>
        <w:t xml:space="preserve">por el cargo </w:t>
      </w:r>
      <w:r w:rsidRPr="004530CF">
        <w:rPr>
          <w:rFonts w:ascii="Times New Roman" w:hAnsi="Times New Roman" w:cs="Times New Roman"/>
          <w:sz w:val="28"/>
          <w:szCs w:val="28"/>
        </w:rPr>
        <w:t>de igualdad en esta oportunidad analizado</w:t>
      </w:r>
      <w:r w:rsidRPr="004530CF">
        <w:rPr>
          <w:rFonts w:ascii="Times New Roman" w:hAnsi="Times New Roman" w:cs="Times New Roman"/>
          <w:sz w:val="28"/>
          <w:szCs w:val="28"/>
        </w:rPr>
        <w:t xml:space="preserve"> y, en consecuencia, así lo dispondrá la Corte. </w:t>
      </w:r>
      <w:r w:rsidRPr="004530CF">
        <w:rPr>
          <w:rFonts w:ascii="Times New Roman" w:hAnsi="Times New Roman" w:cs="Times New Roman"/>
          <w:sz w:val="28"/>
          <w:szCs w:val="28"/>
        </w:rPr>
        <w:t xml:space="preserve"> </w:t>
      </w:r>
    </w:p>
    <w:p w:rsidR="005154C7" w:rsidRPr="004530CF" w:rsidRDefault="004530CF" w:rsidP="004C7B30">
      <w:pPr>
        <w:pStyle w:val="Prrafodelista"/>
        <w:ind w:left="0"/>
        <w:jc w:val="both"/>
        <w:rPr>
          <w:rFonts w:ascii="Times New Roman" w:eastAsia="Times New Roman" w:hAnsi="Times New Roman" w:cs="Times New Roman"/>
          <w:sz w:val="28"/>
          <w:szCs w:val="28"/>
          <w:lang w:eastAsia="es-ES"/>
        </w:rPr>
      </w:pPr>
    </w:p>
    <w:p w:rsidR="005154C7" w:rsidRPr="004530CF" w:rsidRDefault="004530CF" w:rsidP="004C7B30">
      <w:pPr>
        <w:pStyle w:val="Numerales"/>
        <w:numPr>
          <w:ilvl w:val="0"/>
          <w:numId w:val="1"/>
        </w:numPr>
        <w:ind w:left="0" w:firstLine="0"/>
        <w:jc w:val="center"/>
        <w:outlineLvl w:val="0"/>
        <w:rPr>
          <w:rStyle w:val="Ttulo1Car"/>
          <w:rFonts w:ascii="Times New Roman" w:hAnsi="Times New Roman" w:cs="Times New Roman"/>
          <w:sz w:val="28"/>
          <w:szCs w:val="28"/>
        </w:rPr>
      </w:pPr>
      <w:r w:rsidRPr="004530CF">
        <w:rPr>
          <w:rStyle w:val="Ttulo1Car"/>
          <w:rFonts w:ascii="Times New Roman" w:hAnsi="Times New Roman" w:cs="Times New Roman"/>
          <w:bCs/>
          <w:sz w:val="28"/>
          <w:szCs w:val="28"/>
        </w:rPr>
        <w:t>DECISIÓN</w:t>
      </w:r>
    </w:p>
    <w:p w:rsidR="005154C7" w:rsidRPr="004530CF" w:rsidRDefault="004530CF" w:rsidP="004C7B30">
      <w:pPr>
        <w:jc w:val="both"/>
        <w:rPr>
          <w:rFonts w:ascii="Times New Roman" w:hAnsi="Times New Roman" w:cs="Times New Roman"/>
          <w:sz w:val="28"/>
          <w:szCs w:val="28"/>
        </w:rPr>
      </w:pPr>
    </w:p>
    <w:p w:rsidR="005154C7" w:rsidRPr="004530CF" w:rsidRDefault="004530CF" w:rsidP="004C7B30">
      <w:pPr>
        <w:jc w:val="both"/>
        <w:rPr>
          <w:rFonts w:ascii="Times New Roman" w:hAnsi="Times New Roman" w:cs="Times New Roman"/>
          <w:sz w:val="28"/>
          <w:szCs w:val="28"/>
        </w:rPr>
      </w:pPr>
      <w:r w:rsidRPr="004530CF">
        <w:rPr>
          <w:rFonts w:ascii="Times New Roman" w:hAnsi="Times New Roman" w:cs="Times New Roman"/>
          <w:sz w:val="28"/>
          <w:szCs w:val="28"/>
        </w:rPr>
        <w:t>La Corte Constitucional de la República de Colombia, administrando justicia en nombre del pueblo y por mandato de la Constitución,</w:t>
      </w:r>
    </w:p>
    <w:p w:rsidR="00672209" w:rsidRPr="004530CF" w:rsidRDefault="004530CF" w:rsidP="004C7B30">
      <w:pPr>
        <w:rPr>
          <w:rFonts w:ascii="Times New Roman" w:hAnsi="Times New Roman" w:cs="Times New Roman"/>
          <w:b/>
          <w:sz w:val="28"/>
          <w:szCs w:val="28"/>
        </w:rPr>
      </w:pPr>
    </w:p>
    <w:p w:rsidR="005154C7" w:rsidRPr="004530CF" w:rsidRDefault="004530CF" w:rsidP="004C7B30">
      <w:pPr>
        <w:jc w:val="center"/>
        <w:rPr>
          <w:rFonts w:ascii="Times New Roman" w:hAnsi="Times New Roman" w:cs="Times New Roman"/>
          <w:b/>
          <w:sz w:val="28"/>
          <w:szCs w:val="28"/>
        </w:rPr>
      </w:pPr>
      <w:r w:rsidRPr="004530CF">
        <w:rPr>
          <w:rFonts w:ascii="Times New Roman" w:hAnsi="Times New Roman" w:cs="Times New Roman"/>
          <w:b/>
          <w:sz w:val="28"/>
          <w:szCs w:val="28"/>
        </w:rPr>
        <w:t>RESUELVE</w:t>
      </w:r>
    </w:p>
    <w:p w:rsidR="005154C7" w:rsidRPr="004530CF" w:rsidRDefault="004530CF" w:rsidP="004C7B30">
      <w:pPr>
        <w:jc w:val="center"/>
        <w:rPr>
          <w:rFonts w:ascii="Times New Roman" w:hAnsi="Times New Roman" w:cs="Times New Roman"/>
          <w:b/>
          <w:sz w:val="28"/>
          <w:szCs w:val="28"/>
        </w:rPr>
      </w:pPr>
    </w:p>
    <w:p w:rsidR="005154C7" w:rsidRPr="004530CF" w:rsidRDefault="004530CF" w:rsidP="004C7B30">
      <w:pPr>
        <w:jc w:val="both"/>
        <w:rPr>
          <w:rFonts w:ascii="Times New Roman" w:hAnsi="Times New Roman" w:cs="Times New Roman"/>
          <w:sz w:val="28"/>
          <w:szCs w:val="28"/>
        </w:rPr>
      </w:pPr>
      <w:r w:rsidRPr="004530CF">
        <w:rPr>
          <w:rFonts w:ascii="Times New Roman" w:hAnsi="Times New Roman" w:cs="Times New Roman"/>
          <w:b/>
          <w:sz w:val="28"/>
          <w:szCs w:val="28"/>
        </w:rPr>
        <w:t>P</w:t>
      </w:r>
      <w:r w:rsidRPr="004530CF">
        <w:rPr>
          <w:rFonts w:ascii="Times New Roman" w:hAnsi="Times New Roman" w:cs="Times New Roman"/>
          <w:b/>
          <w:sz w:val="28"/>
          <w:szCs w:val="28"/>
        </w:rPr>
        <w:t>rimero</w:t>
      </w:r>
      <w:r w:rsidRPr="004530CF">
        <w:rPr>
          <w:rFonts w:ascii="Times New Roman" w:hAnsi="Times New Roman" w:cs="Times New Roman"/>
          <w:b/>
          <w:sz w:val="28"/>
          <w:szCs w:val="28"/>
        </w:rPr>
        <w:t xml:space="preserve">: </w:t>
      </w:r>
      <w:r w:rsidRPr="004530CF">
        <w:rPr>
          <w:rFonts w:ascii="Times New Roman" w:hAnsi="Times New Roman" w:cs="Times New Roman"/>
          <w:sz w:val="28"/>
          <w:szCs w:val="28"/>
        </w:rPr>
        <w:t>Declarar </w:t>
      </w:r>
      <w:r w:rsidRPr="004530CF">
        <w:rPr>
          <w:rFonts w:ascii="Times New Roman" w:hAnsi="Times New Roman" w:cs="Times New Roman"/>
          <w:b/>
          <w:bCs/>
          <w:sz w:val="28"/>
          <w:szCs w:val="28"/>
        </w:rPr>
        <w:t>EXEQUIBLE</w:t>
      </w:r>
      <w:r w:rsidRPr="004530CF">
        <w:rPr>
          <w:rFonts w:ascii="Times New Roman" w:hAnsi="Times New Roman" w:cs="Times New Roman"/>
          <w:sz w:val="28"/>
          <w:szCs w:val="28"/>
        </w:rPr>
        <w:t> la expresión “</w:t>
      </w:r>
      <w:r w:rsidRPr="004530CF">
        <w:rPr>
          <w:rFonts w:ascii="Times New Roman" w:hAnsi="Times New Roman" w:cs="Times New Roman"/>
          <w:i/>
          <w:sz w:val="28"/>
          <w:szCs w:val="28"/>
        </w:rPr>
        <w:t xml:space="preserve">del </w:t>
      </w:r>
      <w:r w:rsidRPr="004530CF">
        <w:rPr>
          <w:rFonts w:ascii="Times New Roman" w:hAnsi="Times New Roman" w:cs="Times New Roman"/>
          <w:i/>
          <w:sz w:val="28"/>
          <w:szCs w:val="28"/>
        </w:rPr>
        <w:t>presidente</w:t>
      </w:r>
      <w:r w:rsidRPr="004530CF">
        <w:rPr>
          <w:rFonts w:ascii="Times New Roman" w:hAnsi="Times New Roman" w:cs="Times New Roman"/>
          <w:i/>
          <w:sz w:val="28"/>
          <w:szCs w:val="28"/>
        </w:rPr>
        <w:t xml:space="preserve"> y el </w:t>
      </w:r>
      <w:r w:rsidRPr="004530CF">
        <w:rPr>
          <w:rFonts w:ascii="Times New Roman" w:hAnsi="Times New Roman" w:cs="Times New Roman"/>
          <w:i/>
          <w:sz w:val="28"/>
          <w:szCs w:val="28"/>
        </w:rPr>
        <w:t>vicepresidente</w:t>
      </w:r>
      <w:r w:rsidRPr="004530CF">
        <w:rPr>
          <w:rFonts w:ascii="Times New Roman" w:hAnsi="Times New Roman" w:cs="Times New Roman"/>
          <w:i/>
          <w:sz w:val="28"/>
          <w:szCs w:val="28"/>
        </w:rPr>
        <w:t xml:space="preserve"> de la República, de los </w:t>
      </w:r>
      <w:r w:rsidRPr="004530CF">
        <w:rPr>
          <w:rFonts w:ascii="Times New Roman" w:hAnsi="Times New Roman" w:cs="Times New Roman"/>
          <w:i/>
          <w:sz w:val="28"/>
          <w:szCs w:val="28"/>
        </w:rPr>
        <w:t>s</w:t>
      </w:r>
      <w:r w:rsidRPr="004530CF">
        <w:rPr>
          <w:rFonts w:ascii="Times New Roman" w:hAnsi="Times New Roman" w:cs="Times New Roman"/>
          <w:i/>
          <w:sz w:val="28"/>
          <w:szCs w:val="28"/>
        </w:rPr>
        <w:t xml:space="preserve">enadores, de los representantes a la </w:t>
      </w:r>
      <w:r w:rsidRPr="004530CF">
        <w:rPr>
          <w:rFonts w:ascii="Times New Roman" w:hAnsi="Times New Roman" w:cs="Times New Roman"/>
          <w:i/>
          <w:sz w:val="28"/>
          <w:szCs w:val="28"/>
        </w:rPr>
        <w:t>c</w:t>
      </w:r>
      <w:r w:rsidRPr="004530CF">
        <w:rPr>
          <w:rFonts w:ascii="Times New Roman" w:hAnsi="Times New Roman" w:cs="Times New Roman"/>
          <w:i/>
          <w:sz w:val="28"/>
          <w:szCs w:val="28"/>
        </w:rPr>
        <w:t xml:space="preserve">ámara, de los representantes al Parlamento Andino, de los gobernadores, del </w:t>
      </w:r>
      <w:r w:rsidRPr="004530CF">
        <w:rPr>
          <w:rFonts w:ascii="Times New Roman" w:hAnsi="Times New Roman" w:cs="Times New Roman"/>
          <w:i/>
          <w:sz w:val="28"/>
          <w:szCs w:val="28"/>
        </w:rPr>
        <w:t>A</w:t>
      </w:r>
      <w:r w:rsidRPr="004530CF">
        <w:rPr>
          <w:rFonts w:ascii="Times New Roman" w:hAnsi="Times New Roman" w:cs="Times New Roman"/>
          <w:i/>
          <w:sz w:val="28"/>
          <w:szCs w:val="28"/>
        </w:rPr>
        <w:t>lcalde Mayor de Bogotá</w:t>
      </w:r>
      <w:r w:rsidRPr="004530CF">
        <w:rPr>
          <w:rFonts w:ascii="Times New Roman" w:hAnsi="Times New Roman" w:cs="Times New Roman"/>
          <w:sz w:val="28"/>
          <w:szCs w:val="28"/>
        </w:rPr>
        <w:t>” del numeral 3 del artícu</w:t>
      </w:r>
      <w:r w:rsidRPr="004530CF">
        <w:rPr>
          <w:rFonts w:ascii="Times New Roman" w:hAnsi="Times New Roman" w:cs="Times New Roman"/>
          <w:sz w:val="28"/>
          <w:szCs w:val="28"/>
        </w:rPr>
        <w:t xml:space="preserve">lo 149 de la Ley 1437 de 2011, por el cargo </w:t>
      </w:r>
      <w:r w:rsidRPr="004530CF">
        <w:rPr>
          <w:rFonts w:ascii="Times New Roman" w:hAnsi="Times New Roman" w:cs="Times New Roman"/>
          <w:sz w:val="28"/>
          <w:szCs w:val="28"/>
        </w:rPr>
        <w:t>relativo a la infracción del derecho de acceder a</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la administración de justicia en condiciones de igualdad.</w:t>
      </w:r>
    </w:p>
    <w:p w:rsidR="005154C7" w:rsidRPr="004530CF" w:rsidRDefault="004530CF" w:rsidP="004C7B30">
      <w:pPr>
        <w:jc w:val="both"/>
        <w:rPr>
          <w:rFonts w:ascii="Times New Roman" w:hAnsi="Times New Roman" w:cs="Times New Roman"/>
          <w:sz w:val="28"/>
          <w:szCs w:val="28"/>
        </w:rPr>
      </w:pPr>
    </w:p>
    <w:p w:rsidR="005154C7" w:rsidRPr="004530CF" w:rsidRDefault="004530CF" w:rsidP="004C7B30">
      <w:pPr>
        <w:jc w:val="both"/>
        <w:rPr>
          <w:rFonts w:ascii="Times New Roman" w:hAnsi="Times New Roman" w:cs="Times New Roman"/>
          <w:sz w:val="28"/>
          <w:szCs w:val="28"/>
        </w:rPr>
      </w:pPr>
      <w:r w:rsidRPr="004530CF">
        <w:rPr>
          <w:rFonts w:ascii="Times New Roman" w:hAnsi="Times New Roman" w:cs="Times New Roman"/>
          <w:b/>
          <w:bCs/>
          <w:sz w:val="28"/>
          <w:szCs w:val="28"/>
        </w:rPr>
        <w:t>S</w:t>
      </w:r>
      <w:r w:rsidRPr="004530CF">
        <w:rPr>
          <w:rFonts w:ascii="Times New Roman" w:hAnsi="Times New Roman" w:cs="Times New Roman"/>
          <w:b/>
          <w:bCs/>
          <w:sz w:val="28"/>
          <w:szCs w:val="28"/>
        </w:rPr>
        <w:t>egundo</w:t>
      </w:r>
      <w:r w:rsidRPr="004530CF">
        <w:rPr>
          <w:rFonts w:ascii="Times New Roman" w:hAnsi="Times New Roman" w:cs="Times New Roman"/>
          <w:b/>
          <w:bCs/>
          <w:sz w:val="28"/>
          <w:szCs w:val="28"/>
        </w:rPr>
        <w:t>:</w:t>
      </w:r>
      <w:r w:rsidRPr="004530CF">
        <w:rPr>
          <w:rFonts w:ascii="Times New Roman" w:hAnsi="Times New Roman" w:cs="Times New Roman"/>
          <w:sz w:val="28"/>
          <w:szCs w:val="28"/>
        </w:rPr>
        <w:t xml:space="preserve">  Declararse </w:t>
      </w:r>
      <w:r w:rsidRPr="004530CF">
        <w:rPr>
          <w:rFonts w:ascii="Times New Roman" w:hAnsi="Times New Roman" w:cs="Times New Roman"/>
          <w:b/>
          <w:bCs/>
          <w:sz w:val="28"/>
          <w:szCs w:val="28"/>
        </w:rPr>
        <w:t>INHIBIDA</w:t>
      </w:r>
      <w:r w:rsidRPr="004530CF">
        <w:rPr>
          <w:rFonts w:ascii="Times New Roman" w:hAnsi="Times New Roman" w:cs="Times New Roman"/>
          <w:sz w:val="28"/>
          <w:szCs w:val="28"/>
        </w:rPr>
        <w:t> para adoptar un pronunciamiento de fondo en relación con los cargos relat</w:t>
      </w:r>
      <w:r w:rsidRPr="004530CF">
        <w:rPr>
          <w:rFonts w:ascii="Times New Roman" w:hAnsi="Times New Roman" w:cs="Times New Roman"/>
          <w:sz w:val="28"/>
          <w:szCs w:val="28"/>
        </w:rPr>
        <w:t>ivos</w:t>
      </w:r>
      <w:r w:rsidRPr="004530CF">
        <w:rPr>
          <w:rFonts w:ascii="Times New Roman" w:hAnsi="Times New Roman" w:cs="Times New Roman"/>
          <w:sz w:val="28"/>
          <w:szCs w:val="28"/>
        </w:rPr>
        <w:t xml:space="preserve"> (i)</w:t>
      </w:r>
      <w:r w:rsidRPr="004530CF">
        <w:rPr>
          <w:rFonts w:ascii="Times New Roman" w:hAnsi="Times New Roman" w:cs="Times New Roman"/>
          <w:sz w:val="28"/>
          <w:szCs w:val="28"/>
        </w:rPr>
        <w:t xml:space="preserve"> a la vulneración de </w:t>
      </w:r>
      <w:r w:rsidRPr="004530CF">
        <w:rPr>
          <w:rFonts w:ascii="Times New Roman" w:hAnsi="Times New Roman" w:cs="Times New Roman"/>
          <w:sz w:val="28"/>
          <w:szCs w:val="28"/>
          <w:lang w:eastAsia="es-ES"/>
        </w:rPr>
        <w:t xml:space="preserve">los </w:t>
      </w:r>
      <w:r w:rsidRPr="004530CF">
        <w:rPr>
          <w:rFonts w:ascii="Times New Roman" w:hAnsi="Times New Roman" w:cs="Times New Roman"/>
          <w:sz w:val="28"/>
          <w:szCs w:val="28"/>
        </w:rPr>
        <w:t xml:space="preserve">estándares nacionales e internacionales </w:t>
      </w:r>
      <w:r w:rsidRPr="004530CF">
        <w:rPr>
          <w:rFonts w:ascii="Times New Roman" w:hAnsi="Times New Roman" w:cs="Times New Roman"/>
          <w:sz w:val="28"/>
          <w:szCs w:val="28"/>
        </w:rPr>
        <w:t>asociados a</w:t>
      </w:r>
      <w:r w:rsidRPr="004530CF">
        <w:rPr>
          <w:rFonts w:ascii="Times New Roman" w:hAnsi="Times New Roman" w:cs="Times New Roman"/>
          <w:sz w:val="28"/>
          <w:szCs w:val="28"/>
        </w:rPr>
        <w:t xml:space="preserve"> la defensa de los derechos políticos; y </w:t>
      </w:r>
      <w:r w:rsidRPr="004530CF">
        <w:rPr>
          <w:rFonts w:ascii="Times New Roman" w:hAnsi="Times New Roman" w:cs="Times New Roman"/>
          <w:sz w:val="28"/>
          <w:szCs w:val="28"/>
        </w:rPr>
        <w:t xml:space="preserve">(ii) </w:t>
      </w:r>
      <w:r w:rsidRPr="004530CF">
        <w:rPr>
          <w:rFonts w:ascii="Times New Roman" w:hAnsi="Times New Roman" w:cs="Times New Roman"/>
          <w:sz w:val="28"/>
          <w:szCs w:val="28"/>
        </w:rPr>
        <w:t xml:space="preserve">a </w:t>
      </w:r>
      <w:r w:rsidRPr="004530CF">
        <w:rPr>
          <w:rFonts w:ascii="Times New Roman" w:hAnsi="Times New Roman" w:cs="Times New Roman"/>
          <w:sz w:val="28"/>
          <w:szCs w:val="28"/>
        </w:rPr>
        <w:t xml:space="preserve">la </w:t>
      </w:r>
      <w:r w:rsidRPr="004530CF">
        <w:rPr>
          <w:rFonts w:ascii="Times New Roman" w:hAnsi="Times New Roman" w:cs="Times New Roman"/>
          <w:sz w:val="28"/>
          <w:szCs w:val="28"/>
        </w:rPr>
        <w:t>violación</w:t>
      </w:r>
      <w:r w:rsidRPr="004530CF">
        <w:rPr>
          <w:rFonts w:ascii="Times New Roman" w:hAnsi="Times New Roman" w:cs="Times New Roman"/>
          <w:sz w:val="28"/>
          <w:szCs w:val="28"/>
        </w:rPr>
        <w:t xml:space="preserve"> de</w:t>
      </w:r>
      <w:r w:rsidRPr="004530CF">
        <w:rPr>
          <w:rFonts w:ascii="Times New Roman" w:hAnsi="Times New Roman" w:cs="Times New Roman"/>
          <w:sz w:val="28"/>
          <w:szCs w:val="28"/>
        </w:rPr>
        <w:t xml:space="preserve"> la</w:t>
      </w:r>
      <w:r w:rsidRPr="004530CF">
        <w:rPr>
          <w:rFonts w:ascii="Times New Roman" w:hAnsi="Times New Roman" w:cs="Times New Roman"/>
          <w:sz w:val="28"/>
          <w:szCs w:val="28"/>
        </w:rPr>
        <w:t xml:space="preserve"> garantía</w:t>
      </w:r>
      <w:r w:rsidRPr="004530CF">
        <w:rPr>
          <w:rFonts w:ascii="Times New Roman" w:hAnsi="Times New Roman" w:cs="Times New Roman"/>
          <w:sz w:val="28"/>
          <w:szCs w:val="28"/>
        </w:rPr>
        <w:t xml:space="preserve"> procesal</w:t>
      </w:r>
      <w:r w:rsidRPr="004530CF">
        <w:rPr>
          <w:rFonts w:ascii="Times New Roman" w:hAnsi="Times New Roman" w:cs="Times New Roman"/>
          <w:sz w:val="28"/>
          <w:szCs w:val="28"/>
        </w:rPr>
        <w:t xml:space="preserve"> </w:t>
      </w:r>
      <w:r w:rsidRPr="004530CF">
        <w:rPr>
          <w:rFonts w:ascii="Times New Roman" w:hAnsi="Times New Roman" w:cs="Times New Roman"/>
          <w:sz w:val="28"/>
          <w:szCs w:val="28"/>
        </w:rPr>
        <w:t>de</w:t>
      </w:r>
      <w:r w:rsidRPr="004530CF">
        <w:rPr>
          <w:rFonts w:ascii="Times New Roman" w:hAnsi="Times New Roman" w:cs="Times New Roman"/>
          <w:sz w:val="28"/>
          <w:szCs w:val="28"/>
        </w:rPr>
        <w:t xml:space="preserve"> la impugnación, </w:t>
      </w:r>
      <w:r w:rsidRPr="004530CF">
        <w:rPr>
          <w:rFonts w:ascii="Times New Roman" w:hAnsi="Times New Roman" w:cs="Times New Roman"/>
          <w:sz w:val="28"/>
          <w:szCs w:val="28"/>
        </w:rPr>
        <w:t>por ineptitud sustantiva de la demanda.</w:t>
      </w:r>
    </w:p>
    <w:p w:rsidR="001E3517" w:rsidRPr="004530CF" w:rsidRDefault="004530CF" w:rsidP="004C7B30">
      <w:pPr>
        <w:pStyle w:val="MediumShading1-Accent11"/>
        <w:jc w:val="both"/>
        <w:rPr>
          <w:rFonts w:ascii="Times New Roman" w:hAnsi="Times New Roman" w:cs="Times New Roman"/>
          <w:color w:val="auto"/>
          <w:sz w:val="28"/>
          <w:szCs w:val="28"/>
          <w:shd w:val="clear" w:color="auto" w:fill="FFFFFF"/>
          <w:lang w:val="es-CO"/>
        </w:rPr>
      </w:pPr>
    </w:p>
    <w:p w:rsidR="005154C7" w:rsidRPr="004530CF" w:rsidRDefault="004530CF" w:rsidP="004C7B30">
      <w:pPr>
        <w:pStyle w:val="MediumShading1-Accent11"/>
        <w:jc w:val="both"/>
        <w:rPr>
          <w:rFonts w:ascii="Times New Roman" w:hAnsi="Times New Roman" w:cs="Times New Roman"/>
          <w:color w:val="auto"/>
          <w:sz w:val="28"/>
          <w:szCs w:val="28"/>
          <w:shd w:val="clear" w:color="auto" w:fill="FFFFFF"/>
          <w:lang w:val="es-CO"/>
        </w:rPr>
      </w:pPr>
      <w:r w:rsidRPr="004530CF">
        <w:rPr>
          <w:rFonts w:ascii="Times New Roman" w:hAnsi="Times New Roman" w:cs="Times New Roman"/>
          <w:color w:val="auto"/>
          <w:sz w:val="28"/>
          <w:szCs w:val="28"/>
          <w:shd w:val="clear" w:color="auto" w:fill="FFFFFF"/>
          <w:lang w:val="es-CO"/>
        </w:rPr>
        <w:t xml:space="preserve">Notifíquese, comuníquese y </w:t>
      </w:r>
      <w:r w:rsidRPr="004530CF">
        <w:rPr>
          <w:rFonts w:ascii="Times New Roman" w:hAnsi="Times New Roman" w:cs="Times New Roman"/>
          <w:color w:val="auto"/>
          <w:sz w:val="28"/>
          <w:szCs w:val="28"/>
          <w:shd w:val="clear" w:color="auto" w:fill="FFFFFF"/>
          <w:lang w:val="es-CO"/>
        </w:rPr>
        <w:t>cúmplase,</w:t>
      </w:r>
    </w:p>
    <w:p w:rsidR="005154C7" w:rsidRPr="004530CF" w:rsidRDefault="004530CF" w:rsidP="004C7B30">
      <w:pPr>
        <w:pStyle w:val="Prrafodelista"/>
        <w:ind w:left="0"/>
        <w:jc w:val="both"/>
        <w:rPr>
          <w:rFonts w:ascii="Times New Roman" w:eastAsia="Times New Roman" w:hAnsi="Times New Roman" w:cs="Times New Roman"/>
          <w:sz w:val="28"/>
          <w:szCs w:val="28"/>
          <w:lang w:eastAsia="es-ES"/>
        </w:rPr>
      </w:pPr>
    </w:p>
    <w:p w:rsidR="005154C7" w:rsidRPr="004530CF" w:rsidRDefault="004530CF" w:rsidP="004C7B30">
      <w:pPr>
        <w:pStyle w:val="Prrafodelista"/>
        <w:ind w:left="0"/>
        <w:jc w:val="both"/>
        <w:rPr>
          <w:rFonts w:ascii="Times New Roman" w:hAnsi="Times New Roman" w:cs="Times New Roman"/>
          <w:sz w:val="28"/>
          <w:szCs w:val="28"/>
        </w:rPr>
      </w:pPr>
      <w:r w:rsidRPr="004530CF">
        <w:rPr>
          <w:rFonts w:ascii="Times New Roman" w:hAnsi="Times New Roman" w:cs="Times New Roman"/>
          <w:sz w:val="28"/>
          <w:szCs w:val="28"/>
        </w:rPr>
        <w:t xml:space="preserve">          </w:t>
      </w:r>
    </w:p>
    <w:p w:rsidR="005154C7" w:rsidRPr="004530CF" w:rsidRDefault="004530CF" w:rsidP="004C7B30">
      <w:pPr>
        <w:pStyle w:val="Prrafodelista"/>
        <w:ind w:left="0"/>
        <w:jc w:val="both"/>
        <w:rPr>
          <w:rFonts w:ascii="Times New Roman" w:hAnsi="Times New Roman" w:cs="Times New Roman"/>
          <w:sz w:val="28"/>
          <w:szCs w:val="28"/>
        </w:rPr>
      </w:pPr>
    </w:p>
    <w:p w:rsidR="005154C7"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PAOLA ANDREA MENESES MOSQUERA</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Presidenta</w:t>
      </w: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NATALIA ÁNGEL CABO</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Magistrada</w:t>
      </w: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CARLOS CAMARGO ASSIS</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Magistrado</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Con aclaración de voto</w:t>
      </w: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HECTOR ALFONSO CARVAJAL LONDOÑO</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Magistrado</w:t>
      </w: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JUAN CARLOS CORTÉS GONZÁLEZ</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Magistrado</w:t>
      </w: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 xml:space="preserve">LINA MARCELA </w:t>
      </w:r>
      <w:r w:rsidRPr="004530CF">
        <w:rPr>
          <w:rFonts w:ascii="Times New Roman" w:hAnsi="Times New Roman" w:cs="Times New Roman"/>
          <w:sz w:val="28"/>
          <w:szCs w:val="28"/>
        </w:rPr>
        <w:t>ESCOBAR MARTÍNEZ</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Magistrada</w:t>
      </w: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VLADIMIR FERNÁNDEZ ANDRADE</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Magistrado</w:t>
      </w: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 xml:space="preserve">JORGE ENRIQUE IBÁÑEZ NAJAR </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Magistrado</w:t>
      </w: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MIGUEL POLO ROSERO</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Magistrado</w:t>
      </w: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4C7B30">
      <w:pPr>
        <w:pStyle w:val="Prrafodelista"/>
        <w:ind w:left="0"/>
        <w:jc w:val="both"/>
        <w:rPr>
          <w:rFonts w:ascii="Times New Roman" w:hAnsi="Times New Roman" w:cs="Times New Roman"/>
          <w:sz w:val="28"/>
          <w:szCs w:val="28"/>
        </w:rPr>
      </w:pP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ANDREA LILIANA ROMERO LOPEZ</w:t>
      </w:r>
    </w:p>
    <w:p w:rsidR="006D23F1" w:rsidRPr="004530CF" w:rsidRDefault="004530CF" w:rsidP="006D23F1">
      <w:pPr>
        <w:pStyle w:val="Prrafodelista"/>
        <w:ind w:left="0"/>
        <w:jc w:val="center"/>
        <w:rPr>
          <w:rFonts w:ascii="Times New Roman" w:hAnsi="Times New Roman" w:cs="Times New Roman"/>
          <w:sz w:val="28"/>
          <w:szCs w:val="28"/>
        </w:rPr>
      </w:pPr>
      <w:r w:rsidRPr="004530CF">
        <w:rPr>
          <w:rFonts w:ascii="Times New Roman" w:hAnsi="Times New Roman" w:cs="Times New Roman"/>
          <w:sz w:val="28"/>
          <w:szCs w:val="28"/>
        </w:rPr>
        <w:t>Secretaria General</w:t>
      </w:r>
    </w:p>
    <w:p w:rsidR="006D23F1" w:rsidRPr="004530CF" w:rsidRDefault="004530CF" w:rsidP="004C7B30">
      <w:pPr>
        <w:pStyle w:val="Prrafodelista"/>
        <w:ind w:left="0"/>
        <w:jc w:val="both"/>
        <w:rPr>
          <w:rFonts w:ascii="Times New Roman" w:hAnsi="Times New Roman" w:cs="Times New Roman"/>
          <w:sz w:val="28"/>
          <w:szCs w:val="28"/>
        </w:rPr>
      </w:pPr>
    </w:p>
    <w:sectPr w:rsidR="006D23F1" w:rsidRPr="004530CF">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530CF">
      <w:pPr>
        <w:spacing w:after="0" w:line="240" w:lineRule="auto"/>
      </w:pPr>
      <w:r>
        <w:separator/>
      </w:r>
    </w:p>
  </w:endnote>
  <w:endnote w:type="continuationSeparator" w:id="0">
    <w:p w:rsidR="00000000" w:rsidRDefault="00453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Cuerpo en alfa">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530CF">
      <w:pPr>
        <w:spacing w:after="0" w:line="240" w:lineRule="auto"/>
      </w:pPr>
      <w:r>
        <w:separator/>
      </w:r>
    </w:p>
  </w:footnote>
  <w:footnote w:type="continuationSeparator" w:id="0">
    <w:p w:rsidR="00000000" w:rsidRDefault="004530CF">
      <w:pPr>
        <w:spacing w:after="0" w:line="240" w:lineRule="auto"/>
      </w:pPr>
      <w:r>
        <w:continuationSeparator/>
      </w:r>
    </w:p>
  </w:footnote>
  <w:footnote w:id="1">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Ley 2080 de 2021, “[p]</w:t>
      </w:r>
      <w:r w:rsidRPr="00A204C3">
        <w:rPr>
          <w:rFonts w:cs="Times New Roman"/>
          <w:i/>
          <w:iCs/>
          <w:sz w:val="20"/>
          <w:szCs w:val="20"/>
        </w:rPr>
        <w:t xml:space="preserve">or medio de la cual se Reforma el Código </w:t>
      </w:r>
      <w:r w:rsidRPr="00A204C3">
        <w:rPr>
          <w:rFonts w:cs="Times New Roman"/>
          <w:i/>
          <w:iCs/>
          <w:sz w:val="20"/>
          <w:szCs w:val="20"/>
        </w:rPr>
        <w:t>de Procedimiento Administrativo y de lo Contencioso Administrativo –Ley 1437 de 2011– y se dictan otras disposiciones en materia de descongestión en los procesos que se tramitan ante la jurisdicción</w:t>
      </w:r>
      <w:r w:rsidRPr="00A204C3">
        <w:rPr>
          <w:rFonts w:cs="Times New Roman"/>
          <w:sz w:val="20"/>
          <w:szCs w:val="20"/>
        </w:rPr>
        <w:t>”.</w:t>
      </w:r>
    </w:p>
  </w:footnote>
  <w:footnote w:id="2">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Escrito corrección de demanda, p.5.</w:t>
      </w:r>
    </w:p>
  </w:footnote>
  <w:footnote w:id="3">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r w:rsidRPr="00A204C3">
        <w:rPr>
          <w:rFonts w:cs="Times New Roman"/>
          <w:sz w:val="20"/>
          <w:szCs w:val="20"/>
        </w:rPr>
        <w:t>, p.11.</w:t>
      </w:r>
    </w:p>
  </w:footnote>
  <w:footnote w:id="4">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r w:rsidRPr="00A204C3">
        <w:rPr>
          <w:rFonts w:cs="Times New Roman"/>
          <w:sz w:val="20"/>
          <w:szCs w:val="20"/>
        </w:rPr>
        <w:t>, p. 24.</w:t>
      </w:r>
    </w:p>
  </w:footnote>
  <w:footnote w:id="5">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r w:rsidRPr="00A204C3">
        <w:rPr>
          <w:rFonts w:cs="Times New Roman"/>
          <w:sz w:val="20"/>
          <w:szCs w:val="20"/>
        </w:rPr>
        <w:t>, p. 37.</w:t>
      </w:r>
    </w:p>
  </w:footnote>
  <w:footnote w:id="6">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r w:rsidRPr="00A204C3">
        <w:rPr>
          <w:rFonts w:cs="Times New Roman"/>
          <w:sz w:val="20"/>
          <w:szCs w:val="20"/>
        </w:rPr>
        <w:t>, p. 37.</w:t>
      </w:r>
    </w:p>
  </w:footnote>
  <w:footnote w:id="7">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r w:rsidRPr="00A204C3">
        <w:rPr>
          <w:rFonts w:cs="Times New Roman"/>
          <w:sz w:val="20"/>
          <w:szCs w:val="20"/>
        </w:rPr>
        <w:t>, p. 37.</w:t>
      </w:r>
    </w:p>
  </w:footnote>
  <w:footnote w:id="8">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r w:rsidRPr="00A204C3">
        <w:rPr>
          <w:rFonts w:cs="Times New Roman"/>
          <w:sz w:val="20"/>
          <w:szCs w:val="20"/>
        </w:rPr>
        <w:t>, p. 39.</w:t>
      </w:r>
    </w:p>
  </w:footnote>
  <w:footnote w:id="9">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r w:rsidRPr="00A204C3">
        <w:rPr>
          <w:rFonts w:cs="Times New Roman"/>
          <w:sz w:val="20"/>
          <w:szCs w:val="20"/>
        </w:rPr>
        <w:t>, p. 41.</w:t>
      </w:r>
    </w:p>
  </w:footnote>
  <w:footnote w:id="10">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El artículo 242.1 de la Constitución y el artículo 7 del Decreto 2067 de 1991 establecen el derecho procesal de los ciudadanos a intervenir en los trámites de constitucionalidad que se surten ante la Corte, con la finalidad de impugnar o defender las norm</w:t>
      </w:r>
      <w:r w:rsidRPr="00A204C3">
        <w:rPr>
          <w:rFonts w:cs="Times New Roman"/>
          <w:sz w:val="20"/>
          <w:szCs w:val="20"/>
        </w:rPr>
        <w:t xml:space="preserve">as objeto de revisión. </w:t>
      </w:r>
    </w:p>
  </w:footnote>
  <w:footnote w:id="11">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Los artículos 244 de la Constitución y 11 del Decreto 2067 de 1991 disponen que es deber de la Corte Constitucional comunicar “</w:t>
      </w:r>
      <w:r w:rsidRPr="00A204C3">
        <w:rPr>
          <w:rFonts w:cs="Times New Roman"/>
          <w:i/>
          <w:iCs/>
          <w:sz w:val="20"/>
          <w:szCs w:val="20"/>
        </w:rPr>
        <w:t>al presidente de la República o al presidente del Congreso, según el caso, la iniciación de cualquier p</w:t>
      </w:r>
      <w:r w:rsidRPr="00A204C3">
        <w:rPr>
          <w:rFonts w:cs="Times New Roman"/>
          <w:i/>
          <w:iCs/>
          <w:sz w:val="20"/>
          <w:szCs w:val="20"/>
        </w:rPr>
        <w:t>roceso que tenga por objeto el examen de constitucionalidad de normas dictadas por ellos</w:t>
      </w:r>
      <w:r w:rsidRPr="00A204C3">
        <w:rPr>
          <w:rFonts w:cs="Times New Roman"/>
          <w:sz w:val="20"/>
          <w:szCs w:val="20"/>
        </w:rPr>
        <w:t>”. Esta comunicación, que se debe extender en el auto admisorio de la demanda, pretende que las respectivas autoridades rindan su concepto para justificar “</w:t>
      </w:r>
      <w:r w:rsidRPr="00A204C3">
        <w:rPr>
          <w:rFonts w:cs="Times New Roman"/>
          <w:i/>
          <w:iCs/>
          <w:sz w:val="20"/>
          <w:szCs w:val="20"/>
        </w:rPr>
        <w:t>la constituc</w:t>
      </w:r>
      <w:r w:rsidRPr="00A204C3">
        <w:rPr>
          <w:rFonts w:cs="Times New Roman"/>
          <w:i/>
          <w:iCs/>
          <w:sz w:val="20"/>
          <w:szCs w:val="20"/>
        </w:rPr>
        <w:t>ionalidad de las normas sometidas a control</w:t>
      </w:r>
      <w:r w:rsidRPr="00A204C3">
        <w:rPr>
          <w:rFonts w:cs="Times New Roman"/>
          <w:sz w:val="20"/>
          <w:szCs w:val="20"/>
        </w:rPr>
        <w:t>” (apartado final del inciso segundo del artículo 11 del Decreto 2067 de 1991), la cual también puede hacerse extensiva “</w:t>
      </w:r>
      <w:r w:rsidRPr="00A204C3">
        <w:rPr>
          <w:rFonts w:cs="Times New Roman"/>
          <w:i/>
          <w:iCs/>
          <w:sz w:val="20"/>
          <w:szCs w:val="20"/>
        </w:rPr>
        <w:t>a los organismos o entidades del Estado que hubieren participado en la elaboración o expedic</w:t>
      </w:r>
      <w:r w:rsidRPr="00A204C3">
        <w:rPr>
          <w:rFonts w:cs="Times New Roman"/>
          <w:i/>
          <w:iCs/>
          <w:sz w:val="20"/>
          <w:szCs w:val="20"/>
        </w:rPr>
        <w:t>ión de la norma</w:t>
      </w:r>
      <w:r w:rsidRPr="00A204C3">
        <w:rPr>
          <w:rFonts w:cs="Times New Roman"/>
          <w:sz w:val="20"/>
          <w:szCs w:val="20"/>
        </w:rPr>
        <w:t>”.</w:t>
      </w:r>
    </w:p>
  </w:footnote>
  <w:footnote w:id="12">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El artículo 13 del Decreto 2067 de 1991 faculta al magistrado sustanciador para invitar “</w:t>
      </w:r>
      <w:r w:rsidRPr="00A204C3">
        <w:rPr>
          <w:rFonts w:cs="Times New Roman"/>
          <w:i/>
          <w:iCs/>
          <w:sz w:val="20"/>
          <w:szCs w:val="20"/>
        </w:rPr>
        <w:t>a entidades públicas, a organizaciones privadas y a expertos en las materias relacionadas con el tema del proceso</w:t>
      </w:r>
      <w:r w:rsidRPr="00A204C3">
        <w:rPr>
          <w:rFonts w:cs="Times New Roman"/>
          <w:sz w:val="20"/>
          <w:szCs w:val="20"/>
        </w:rPr>
        <w:t xml:space="preserve">” a fin de que emitan su concepto </w:t>
      </w:r>
      <w:r w:rsidRPr="00A204C3">
        <w:rPr>
          <w:rFonts w:cs="Times New Roman"/>
          <w:sz w:val="20"/>
          <w:szCs w:val="20"/>
        </w:rPr>
        <w:t>sobre aspectos relevantes para la adopción de la decisión.</w:t>
      </w:r>
    </w:p>
  </w:footnote>
  <w:footnote w:id="13">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Corte Constitucional, sentencia C-448 de 2025. </w:t>
      </w:r>
    </w:p>
  </w:footnote>
  <w:footnote w:id="14">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Corte Constitucional, sentencia C-535 de 2016, reiterada en las sentencias C-190 de 2023 y C-321 de 2024. Al respecto también se pueden consultar</w:t>
      </w:r>
      <w:r w:rsidRPr="00A204C3">
        <w:rPr>
          <w:rFonts w:cs="Times New Roman"/>
          <w:sz w:val="20"/>
          <w:szCs w:val="20"/>
        </w:rPr>
        <w:t xml:space="preserve"> las sentencias C-894 de 2009, C-508 de 2014 y C-207 de 2016.</w:t>
      </w:r>
    </w:p>
  </w:footnote>
  <w:footnote w:id="15">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p>
  </w:footnote>
  <w:footnote w:id="16">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Corte Constitucional, sentencia C-535 de 2016. La Corte ha señalado que esta competencia permanece intacta, incluso cuando la admisión de la demanda ha sido el resultado de la orden </w:t>
      </w:r>
      <w:r w:rsidRPr="00A204C3">
        <w:rPr>
          <w:rFonts w:cs="Times New Roman"/>
          <w:sz w:val="20"/>
          <w:szCs w:val="20"/>
        </w:rPr>
        <w:t>impartida por la Sala Plena al resolver el recurso de súplica. Sobre ese particular, la sentencia C-190 de 2023 indicó: “</w:t>
      </w:r>
      <w:bookmarkStart w:id="4" w:name="_Hlk136441632"/>
      <w:r w:rsidRPr="00A204C3">
        <w:rPr>
          <w:rFonts w:cs="Times New Roman"/>
          <w:i/>
          <w:sz w:val="20"/>
          <w:szCs w:val="20"/>
          <w:bdr w:val="none" w:sz="0" w:space="0" w:color="auto" w:frame="1"/>
          <w:shd w:val="clear" w:color="auto" w:fill="FFFFFF"/>
        </w:rPr>
        <w:t>Ello también es predicable de una decisión adoptada por la Sala Plena en el en el marco de la resolución favorable de un recurso de súp</w:t>
      </w:r>
      <w:r w:rsidRPr="00A204C3">
        <w:rPr>
          <w:rFonts w:cs="Times New Roman"/>
          <w:i/>
          <w:sz w:val="20"/>
          <w:szCs w:val="20"/>
          <w:bdr w:val="none" w:sz="0" w:space="0" w:color="auto" w:frame="1"/>
          <w:shd w:val="clear" w:color="auto" w:fill="FFFFFF"/>
        </w:rPr>
        <w:t>lica presentado por el actor ante la decisión de rechazo de la demanda que ordena la admisión del libelo bajo la conducción del magistrado sustanciador, dado que (…) los actos de introducción en el proceso de constitucionalidad no comportan un prejuzgamien</w:t>
      </w:r>
      <w:r w:rsidRPr="00A204C3">
        <w:rPr>
          <w:rFonts w:cs="Times New Roman"/>
          <w:i/>
          <w:sz w:val="20"/>
          <w:szCs w:val="20"/>
          <w:bdr w:val="none" w:sz="0" w:space="0" w:color="auto" w:frame="1"/>
          <w:shd w:val="clear" w:color="auto" w:fill="FFFFFF"/>
        </w:rPr>
        <w:t>to de la cuestión sometida a trámite y, por tanto, hasta que se emita la sentencia que pone fin al proceso, la Sala Plena conserva su competencia para que en función de la ilustración que aporta la participación ciudadana, eventualmente varíe la valoración</w:t>
      </w:r>
      <w:r w:rsidRPr="00A204C3">
        <w:rPr>
          <w:rFonts w:cs="Times New Roman"/>
          <w:i/>
          <w:sz w:val="20"/>
          <w:szCs w:val="20"/>
          <w:bdr w:val="none" w:sz="0" w:space="0" w:color="auto" w:frame="1"/>
          <w:shd w:val="clear" w:color="auto" w:fill="FFFFFF"/>
        </w:rPr>
        <w:t xml:space="preserve"> acerca del cumplimiento de los presupuestos de procedibilidad</w:t>
      </w:r>
      <w:bookmarkEnd w:id="4"/>
      <w:r w:rsidRPr="00A204C3">
        <w:rPr>
          <w:rFonts w:cs="Times New Roman"/>
          <w:i/>
          <w:sz w:val="20"/>
          <w:szCs w:val="20"/>
          <w:bdr w:val="none" w:sz="0" w:space="0" w:color="auto" w:frame="1"/>
          <w:shd w:val="clear" w:color="auto" w:fill="FFFFFF"/>
        </w:rPr>
        <w:t xml:space="preserve"> (…)</w:t>
      </w:r>
      <w:r w:rsidRPr="00A204C3">
        <w:rPr>
          <w:rFonts w:cs="Times New Roman"/>
          <w:i/>
          <w:sz w:val="20"/>
          <w:szCs w:val="20"/>
          <w:shd w:val="clear" w:color="auto" w:fill="FFFFFF"/>
        </w:rPr>
        <w:t>. En estas circunstancias, la valoración de la aptitud de la demanda parte de analizar las consideraciones del pleno de la Corte al decidir el recurso de súplica, así como las etapas procesa</w:t>
      </w:r>
      <w:r w:rsidRPr="00A204C3">
        <w:rPr>
          <w:rFonts w:cs="Times New Roman"/>
          <w:i/>
          <w:sz w:val="20"/>
          <w:szCs w:val="20"/>
          <w:shd w:val="clear" w:color="auto" w:fill="FFFFFF"/>
        </w:rPr>
        <w:t>les subsiguientes que comprende la participación ciudadana y del Ministerio Público</w:t>
      </w:r>
      <w:r w:rsidRPr="00A204C3">
        <w:rPr>
          <w:rFonts w:cs="Times New Roman"/>
          <w:sz w:val="20"/>
          <w:szCs w:val="20"/>
          <w:shd w:val="clear" w:color="auto" w:fill="FFFFFF"/>
        </w:rPr>
        <w:t>”.</w:t>
      </w:r>
      <w:r w:rsidRPr="00A204C3">
        <w:rPr>
          <w:rFonts w:cs="Times New Roman"/>
          <w:sz w:val="20"/>
          <w:szCs w:val="20"/>
        </w:rPr>
        <w:t xml:space="preserve">  </w:t>
      </w:r>
    </w:p>
  </w:footnote>
  <w:footnote w:id="17">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Corte Constitucional, sentencias C-385 de 2025 y C-448 de 2025.</w:t>
      </w:r>
    </w:p>
  </w:footnote>
  <w:footnote w:id="18">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Al respecto, en la sentencia C-437 de 2013, la Corte señaló: “</w:t>
      </w:r>
      <w:r w:rsidRPr="00A204C3">
        <w:rPr>
          <w:rFonts w:cs="Times New Roman"/>
          <w:i/>
          <w:sz w:val="20"/>
          <w:szCs w:val="20"/>
        </w:rPr>
        <w:t>(…) de la naturaleza de esta acción se</w:t>
      </w:r>
      <w:r w:rsidRPr="00A204C3">
        <w:rPr>
          <w:rFonts w:cs="Times New Roman"/>
          <w:i/>
          <w:sz w:val="20"/>
          <w:szCs w:val="20"/>
        </w:rPr>
        <w:t xml:space="preserve"> destaca su carácter público, ya que cualquier persona (bajo la normativa anterior estaba reservada a los ciudadanos) puede solicitar la nulidad de los actos electorales referidos teniendo en cuenta que quien actúa lo hace en interés general para esclarece</w:t>
      </w:r>
      <w:r w:rsidRPr="00A204C3">
        <w:rPr>
          <w:rFonts w:cs="Times New Roman"/>
          <w:i/>
          <w:sz w:val="20"/>
          <w:szCs w:val="20"/>
        </w:rPr>
        <w:t>r la forma en que se realizó una elección y si la misma observó los lineamientos fijados en la Constitución y la ley. También se resalta el corto término de caducidad</w:t>
      </w:r>
      <w:r w:rsidRPr="00A204C3">
        <w:rPr>
          <w:rFonts w:cs="Times New Roman"/>
          <w:b/>
          <w:bCs/>
          <w:i/>
          <w:sz w:val="20"/>
          <w:szCs w:val="20"/>
        </w:rPr>
        <w:t> </w:t>
      </w:r>
      <w:r w:rsidRPr="00A204C3">
        <w:rPr>
          <w:rFonts w:cs="Times New Roman"/>
          <w:i/>
          <w:sz w:val="20"/>
          <w:szCs w:val="20"/>
        </w:rPr>
        <w:t>para ejercer la acción, el cual en el Código de Procedimiento actual se amplió de 20 a 30</w:t>
      </w:r>
      <w:r w:rsidRPr="00A204C3">
        <w:rPr>
          <w:rFonts w:cs="Times New Roman"/>
          <w:i/>
          <w:sz w:val="20"/>
          <w:szCs w:val="20"/>
        </w:rPr>
        <w:t xml:space="preserve"> días. Este lapso, que inicialmente puede calificarse como breve, </w:t>
      </w:r>
      <w:r w:rsidRPr="00A204C3">
        <w:rPr>
          <w:rFonts w:cs="Times New Roman"/>
          <w:b/>
          <w:bCs/>
          <w:i/>
          <w:sz w:val="20"/>
          <w:szCs w:val="20"/>
        </w:rPr>
        <w:t>responde al mandato contenido en el parágrafo del artículo 264 Superior según el cual la jurisdicción contencioso administrativa debe decidir la acción de nulidad electoral en el término máx</w:t>
      </w:r>
      <w:r w:rsidRPr="00A204C3">
        <w:rPr>
          <w:rFonts w:cs="Times New Roman"/>
          <w:b/>
          <w:bCs/>
          <w:i/>
          <w:sz w:val="20"/>
          <w:szCs w:val="20"/>
        </w:rPr>
        <w:t>imo de 1 año, pero advierte que, si los casos se tramitan en un proceso de única instancia, el término para decidir no puede exceder el de 6 meses</w:t>
      </w:r>
      <w:r w:rsidRPr="00A204C3">
        <w:rPr>
          <w:rFonts w:cs="Times New Roman"/>
          <w:sz w:val="20"/>
          <w:szCs w:val="20"/>
        </w:rPr>
        <w:t xml:space="preserve">”. </w:t>
      </w:r>
      <w:r w:rsidRPr="00A204C3">
        <w:rPr>
          <w:rFonts w:cs="Times New Roman"/>
          <w:sz w:val="20"/>
          <w:szCs w:val="20"/>
          <w:shd w:val="clear" w:color="auto" w:fill="FFFFFF"/>
        </w:rPr>
        <w:t>(Negrillas no son del texto).</w:t>
      </w:r>
      <w:r w:rsidRPr="00A204C3">
        <w:rPr>
          <w:rFonts w:cs="Times New Roman"/>
          <w:sz w:val="20"/>
          <w:szCs w:val="20"/>
        </w:rPr>
        <w:t xml:space="preserve">  </w:t>
      </w:r>
    </w:p>
  </w:footnote>
  <w:footnote w:id="19">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La Sala Plena, en sentencia SU-399 de 2012, indicó que: “</w:t>
      </w:r>
      <w:r w:rsidRPr="00A204C3">
        <w:rPr>
          <w:rFonts w:cs="Times New Roman"/>
          <w:i/>
          <w:sz w:val="20"/>
          <w:szCs w:val="20"/>
        </w:rPr>
        <w:t xml:space="preserve">(…) </w:t>
      </w:r>
      <w:r w:rsidRPr="00A204C3">
        <w:rPr>
          <w:rFonts w:cs="Times New Roman"/>
          <w:b/>
          <w:bCs/>
          <w:i/>
          <w:sz w:val="20"/>
          <w:szCs w:val="20"/>
        </w:rPr>
        <w:t>el legislado</w:t>
      </w:r>
      <w:r w:rsidRPr="00A204C3">
        <w:rPr>
          <w:rFonts w:cs="Times New Roman"/>
          <w:b/>
          <w:bCs/>
          <w:i/>
          <w:sz w:val="20"/>
          <w:szCs w:val="20"/>
        </w:rPr>
        <w:t>r ha confiado a la Jurisdicción de lo Contencioso Administrativo la guarda de la integridad de los principios constitucionales y legales del sufragio, que constituyen la base fundamental de un régimen participativo y democrático como el nuestro.</w:t>
      </w:r>
      <w:r w:rsidRPr="00A204C3">
        <w:rPr>
          <w:rFonts w:cs="Times New Roman"/>
          <w:i/>
          <w:sz w:val="20"/>
          <w:szCs w:val="20"/>
        </w:rPr>
        <w:t xml:space="preserve"> Ahora bien</w:t>
      </w:r>
      <w:r w:rsidRPr="00A204C3">
        <w:rPr>
          <w:rFonts w:cs="Times New Roman"/>
          <w:i/>
          <w:sz w:val="20"/>
          <w:szCs w:val="20"/>
        </w:rPr>
        <w:t xml:space="preserve">, la acción electoral comprende la impugnación de los actos de elección de las corporaciones públicas, dentro de las que se encuentran el Congreso, las Asambleas y los Concejos. </w:t>
      </w:r>
      <w:r w:rsidRPr="00A204C3">
        <w:rPr>
          <w:rFonts w:cs="Times New Roman"/>
          <w:b/>
          <w:bCs/>
          <w:i/>
          <w:sz w:val="20"/>
          <w:szCs w:val="20"/>
        </w:rPr>
        <w:t>Es de competencia de la Jurisdicción de lo Contencioso Administrativo, la cual</w:t>
      </w:r>
      <w:r w:rsidRPr="00A204C3">
        <w:rPr>
          <w:rFonts w:cs="Times New Roman"/>
          <w:b/>
          <w:bCs/>
          <w:i/>
          <w:sz w:val="20"/>
          <w:szCs w:val="20"/>
        </w:rPr>
        <w:t xml:space="preserve"> deberá resolverse en el término máximo de un (1) año, salvo en los casos de única instancia,</w:t>
      </w:r>
      <w:r w:rsidRPr="00A204C3">
        <w:rPr>
          <w:rFonts w:cs="Times New Roman"/>
          <w:b/>
          <w:bCs/>
          <w:sz w:val="20"/>
          <w:szCs w:val="20"/>
        </w:rPr>
        <w:t xml:space="preserve"> </w:t>
      </w:r>
      <w:r w:rsidRPr="00A204C3">
        <w:rPr>
          <w:rFonts w:cs="Times New Roman"/>
          <w:b/>
          <w:bCs/>
          <w:i/>
          <w:sz w:val="20"/>
          <w:szCs w:val="20"/>
        </w:rPr>
        <w:t>en los que el término para decidir no podrá exceder de seis (6) meses.</w:t>
      </w:r>
      <w:r w:rsidRPr="00A204C3">
        <w:rPr>
          <w:rFonts w:cs="Times New Roman"/>
          <w:i/>
          <w:sz w:val="20"/>
          <w:szCs w:val="20"/>
        </w:rPr>
        <w:t xml:space="preserve"> En este orden, a la acción electoral puede acudirse para impugnar los actos de elección de </w:t>
      </w:r>
      <w:r w:rsidRPr="00A204C3">
        <w:rPr>
          <w:rFonts w:cs="Times New Roman"/>
          <w:i/>
          <w:sz w:val="20"/>
          <w:szCs w:val="20"/>
        </w:rPr>
        <w:t>los miembros del Congreso de la República, cuya competencia corresponde en única instancia a la Sección Quinta del Consejo de Estado (…)</w:t>
      </w:r>
      <w:r w:rsidRPr="00A204C3">
        <w:rPr>
          <w:rFonts w:cs="Times New Roman"/>
          <w:sz w:val="20"/>
          <w:szCs w:val="20"/>
        </w:rPr>
        <w:t xml:space="preserve">” </w:t>
      </w:r>
      <w:r w:rsidRPr="00A204C3">
        <w:rPr>
          <w:rFonts w:cs="Times New Roman"/>
          <w:sz w:val="20"/>
          <w:szCs w:val="20"/>
          <w:shd w:val="clear" w:color="auto" w:fill="FFFFFF"/>
        </w:rPr>
        <w:t>(Negrillas no son del texto).</w:t>
      </w:r>
      <w:r w:rsidRPr="00A204C3">
        <w:rPr>
          <w:rFonts w:cs="Times New Roman"/>
          <w:sz w:val="20"/>
          <w:szCs w:val="20"/>
        </w:rPr>
        <w:t xml:space="preserve">  </w:t>
      </w:r>
    </w:p>
  </w:footnote>
  <w:footnote w:id="20">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 xml:space="preserve">Gaceta del Congreso 315 de 2003. </w:t>
      </w:r>
    </w:p>
  </w:footnote>
  <w:footnote w:id="21">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Gaceta del Congreso 169 de 2003.</w:t>
      </w:r>
    </w:p>
  </w:footnote>
  <w:footnote w:id="22">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Sobre la finalidad de la reforma y la obligación de decidir en los términos establecidos en la Constitución, la sentencia T-033 de 2007 indicó: “</w:t>
      </w:r>
      <w:r w:rsidRPr="00A204C3">
        <w:rPr>
          <w:rFonts w:cs="Times New Roman"/>
          <w:i/>
          <w:sz w:val="20"/>
          <w:szCs w:val="20"/>
          <w:shd w:val="clear" w:color="auto" w:fill="FFFFFF"/>
        </w:rPr>
        <w:t>La Sala de Revisión comprende que la Jurisdicción Contencioso Administrativa está sometida a una inmensa carga</w:t>
      </w:r>
      <w:r w:rsidRPr="00A204C3">
        <w:rPr>
          <w:rFonts w:cs="Times New Roman"/>
          <w:i/>
          <w:sz w:val="20"/>
          <w:szCs w:val="20"/>
          <w:shd w:val="clear" w:color="auto" w:fill="FFFFFF"/>
        </w:rPr>
        <w:t xml:space="preserve"> de trabajo, en vista del alto número de procesos que debe resolver. Pero al mismo tiempo considera que no puede aceptarse que un término judicial fijado en la Constitución sea desatendido. El </w:t>
      </w:r>
      <w:r w:rsidRPr="00A204C3">
        <w:rPr>
          <w:rFonts w:cs="Times New Roman"/>
          <w:b/>
          <w:i/>
          <w:sz w:val="20"/>
          <w:szCs w:val="20"/>
          <w:shd w:val="clear" w:color="auto" w:fill="FFFFFF"/>
        </w:rPr>
        <w:t>Congreso de la República consideró necesario que los procesos d</w:t>
      </w:r>
      <w:r w:rsidRPr="00A204C3">
        <w:rPr>
          <w:rFonts w:cs="Times New Roman"/>
          <w:b/>
          <w:i/>
          <w:sz w:val="20"/>
          <w:szCs w:val="20"/>
          <w:shd w:val="clear" w:color="auto" w:fill="FFFFFF"/>
        </w:rPr>
        <w:t>e nulidad electoral sean fallados dentro de términos estrictos y para ello decidió reformar la Constitución en este punto</w:t>
      </w:r>
      <w:r w:rsidRPr="00A204C3">
        <w:rPr>
          <w:rFonts w:cs="Times New Roman"/>
          <w:i/>
          <w:sz w:val="20"/>
          <w:szCs w:val="20"/>
          <w:shd w:val="clear" w:color="auto" w:fill="FFFFFF"/>
        </w:rPr>
        <w:t xml:space="preserve">. Si se acepta el principio de la supremacía de la Constitución es claro que los plazos fijados deben ser en todo caso acatados y que no puede aducirse como causal exoneratoria de responsabilidad la de la congestión judicial. En realidad, </w:t>
      </w:r>
      <w:r w:rsidRPr="00A204C3">
        <w:rPr>
          <w:rFonts w:cs="Times New Roman"/>
          <w:b/>
          <w:i/>
          <w:sz w:val="20"/>
          <w:szCs w:val="20"/>
          <w:shd w:val="clear" w:color="auto" w:fill="FFFFFF"/>
        </w:rPr>
        <w:t xml:space="preserve">si el legislador </w:t>
      </w:r>
      <w:r w:rsidRPr="00A204C3">
        <w:rPr>
          <w:rFonts w:cs="Times New Roman"/>
          <w:b/>
          <w:i/>
          <w:sz w:val="20"/>
          <w:szCs w:val="20"/>
          <w:shd w:val="clear" w:color="auto" w:fill="FFFFFF"/>
        </w:rPr>
        <w:t>decidió introducir en la Constitución estos términos judiciales, ha de entenderse que estos procesos deberán resolverse de manera preferente sobre los demás</w:t>
      </w:r>
      <w:r w:rsidRPr="00A204C3">
        <w:rPr>
          <w:rFonts w:cs="Times New Roman"/>
          <w:i/>
          <w:sz w:val="20"/>
          <w:szCs w:val="20"/>
          <w:shd w:val="clear" w:color="auto" w:fill="FFFFFF"/>
        </w:rPr>
        <w:t>, tal como ocurre con los términos establecidos constitucionalmente para la acción de tutela, todo c</w:t>
      </w:r>
      <w:r w:rsidRPr="00A204C3">
        <w:rPr>
          <w:rFonts w:cs="Times New Roman"/>
          <w:i/>
          <w:sz w:val="20"/>
          <w:szCs w:val="20"/>
          <w:shd w:val="clear" w:color="auto" w:fill="FFFFFF"/>
        </w:rPr>
        <w:t>on el fin de poder fallar estos procesos dentro de los plazos fijados en la Constitución</w:t>
      </w:r>
      <w:r w:rsidRPr="00A204C3">
        <w:rPr>
          <w:rFonts w:cs="Times New Roman"/>
          <w:sz w:val="20"/>
          <w:szCs w:val="20"/>
          <w:shd w:val="clear" w:color="auto" w:fill="FFFFFF"/>
        </w:rPr>
        <w:t>” (Negrillas no son del texto).</w:t>
      </w:r>
      <w:r w:rsidRPr="00A204C3">
        <w:rPr>
          <w:rFonts w:cs="Times New Roman"/>
          <w:sz w:val="20"/>
          <w:szCs w:val="20"/>
        </w:rPr>
        <w:t xml:space="preserve">  </w:t>
      </w:r>
    </w:p>
  </w:footnote>
  <w:footnote w:id="23">
    <w:p w:rsidR="00CE024C" w:rsidRPr="00A204C3" w:rsidRDefault="004530CF" w:rsidP="005F61BF">
      <w:pPr>
        <w:shd w:val="clear" w:color="auto" w:fill="FFFFFF"/>
        <w:ind w:right="49"/>
        <w:jc w:val="both"/>
        <w:textAlignment w:val="baseline"/>
        <w:rPr>
          <w:rFonts w:eastAsia="Times New Roman" w:cs="Times New Roman"/>
          <w:szCs w:val="20"/>
        </w:rPr>
      </w:pPr>
      <w:r w:rsidRPr="00A204C3">
        <w:rPr>
          <w:rStyle w:val="Refdenotaalpie"/>
          <w:rFonts w:cs="Times New Roman"/>
          <w:szCs w:val="20"/>
        </w:rPr>
        <w:footnoteRef/>
      </w:r>
      <w:r w:rsidRPr="00A204C3">
        <w:rPr>
          <w:rFonts w:cs="Times New Roman"/>
          <w:szCs w:val="20"/>
        </w:rPr>
        <w:t xml:space="preserve"> </w:t>
      </w:r>
      <w:r w:rsidRPr="00A204C3">
        <w:rPr>
          <w:rFonts w:cs="Times New Roman"/>
          <w:szCs w:val="20"/>
          <w:lang w:val="es-ES"/>
        </w:rPr>
        <w:t>En la sentencia C-394 de 2023, la Corte indicó: “</w:t>
      </w:r>
      <w:r w:rsidRPr="00A204C3">
        <w:rPr>
          <w:rFonts w:eastAsia="Times New Roman" w:cs="Times New Roman"/>
          <w:i/>
          <w:szCs w:val="20"/>
          <w:lang w:val="es-MX"/>
        </w:rPr>
        <w:t xml:space="preserve">Ahora bien, conforme lo anterior, si lo que alega la demanda es que la competencia </w:t>
      </w:r>
      <w:r w:rsidRPr="00A204C3">
        <w:rPr>
          <w:rFonts w:eastAsia="Times New Roman" w:cs="Times New Roman"/>
          <w:i/>
          <w:szCs w:val="20"/>
          <w:lang w:val="es-MX"/>
        </w:rPr>
        <w:t>que prevé la Ley 600 de 2000 para que la Fiscalía General de la Nación adopte medidas privativas de la libertad es contraria al actual artículo 250 de la Carta, y de otro lado se acepta que este último precepto no es parámetro para juzgar la constitucional</w:t>
      </w:r>
      <w:r w:rsidRPr="00A204C3">
        <w:rPr>
          <w:rFonts w:eastAsia="Times New Roman" w:cs="Times New Roman"/>
          <w:i/>
          <w:szCs w:val="20"/>
          <w:lang w:val="es-MX"/>
        </w:rPr>
        <w:t>idad de aquella ley, es claro que tampoco cumple con el requisito de </w:t>
      </w:r>
      <w:r w:rsidRPr="00A204C3">
        <w:rPr>
          <w:rFonts w:eastAsia="Times New Roman" w:cs="Times New Roman"/>
          <w:i/>
          <w:iCs/>
          <w:szCs w:val="20"/>
          <w:lang w:val="es-MX"/>
        </w:rPr>
        <w:t>especificidad,</w:t>
      </w:r>
      <w:r w:rsidRPr="00A204C3">
        <w:rPr>
          <w:rFonts w:eastAsia="Times New Roman" w:cs="Times New Roman"/>
          <w:i/>
          <w:szCs w:val="20"/>
          <w:lang w:val="es-MX"/>
        </w:rPr>
        <w:t> pues no se logra demostrar de qué manera las normas que se cuestiona resultan incompatibles con la Constitución, ni se suministra argumentos concretos que expliquen por qué</w:t>
      </w:r>
      <w:r w:rsidRPr="00A204C3">
        <w:rPr>
          <w:rFonts w:eastAsia="Times New Roman" w:cs="Times New Roman"/>
          <w:i/>
          <w:szCs w:val="20"/>
          <w:lang w:val="es-MX"/>
        </w:rPr>
        <w:t xml:space="preserve"> razón, pese a la circunstancia temporal objetiva prevista por el Acto Legislativo 2 de 2003 ni la pacífica jurisprudencia de la Corte, las normas demandadas resultarían contrarias a la Carta. Sobre todo, de cara a la regla de gradualidad prevista por el a</w:t>
      </w:r>
      <w:r w:rsidRPr="00A204C3">
        <w:rPr>
          <w:rFonts w:eastAsia="Times New Roman" w:cs="Times New Roman"/>
          <w:i/>
          <w:szCs w:val="20"/>
          <w:lang w:val="es-MX"/>
        </w:rPr>
        <w:t>rtículo 5 del A.L”</w:t>
      </w:r>
      <w:r w:rsidRPr="00A204C3">
        <w:rPr>
          <w:rFonts w:eastAsia="Times New Roman" w:cs="Times New Roman"/>
          <w:szCs w:val="20"/>
          <w:lang w:val="es-MX"/>
        </w:rPr>
        <w:t>.</w:t>
      </w:r>
    </w:p>
  </w:footnote>
  <w:footnote w:id="24">
    <w:p w:rsidR="00CE024C" w:rsidRPr="00A204C3" w:rsidRDefault="004530CF" w:rsidP="005F61BF">
      <w:pPr>
        <w:shd w:val="clear" w:color="auto" w:fill="FFFFFF"/>
        <w:ind w:right="48"/>
        <w:jc w:val="both"/>
        <w:textAlignment w:val="baseline"/>
        <w:rPr>
          <w:rFonts w:eastAsia="Times New Roman" w:cs="Times New Roman"/>
          <w:szCs w:val="20"/>
        </w:rPr>
      </w:pPr>
      <w:r w:rsidRPr="00A204C3">
        <w:rPr>
          <w:rStyle w:val="Refdenotaalpie"/>
          <w:rFonts w:cs="Times New Roman"/>
          <w:szCs w:val="20"/>
        </w:rPr>
        <w:footnoteRef/>
      </w:r>
      <w:r w:rsidRPr="00A204C3">
        <w:rPr>
          <w:rFonts w:cs="Times New Roman"/>
          <w:szCs w:val="20"/>
        </w:rPr>
        <w:t xml:space="preserve"> En la sentencia C-385 de 2025, la Sala Plena sostuvo: “</w:t>
      </w:r>
      <w:r w:rsidRPr="00A204C3">
        <w:rPr>
          <w:rFonts w:eastAsia="Times New Roman" w:cs="Times New Roman"/>
          <w:i/>
          <w:szCs w:val="20"/>
        </w:rPr>
        <w:t>Del cargo admitido también se extrañan los motivos por los cuales se pretende poner en consideración de la Sala Plena que la transferencia de funciones entre entidades del orden n</w:t>
      </w:r>
      <w:r w:rsidRPr="00A204C3">
        <w:rPr>
          <w:rFonts w:eastAsia="Times New Roman" w:cs="Times New Roman"/>
          <w:i/>
          <w:szCs w:val="20"/>
        </w:rPr>
        <w:t xml:space="preserve">acional, del Invías al Invir, afecta el respeto a los principios de descentralización y autonomía territorial, sin considerar criterios como la especialidad y la eficiencia administrativa. Esto resultaba relevante para comprender el grado de autonomía del </w:t>
      </w:r>
      <w:r w:rsidRPr="00A204C3">
        <w:rPr>
          <w:rFonts w:eastAsia="Times New Roman" w:cs="Times New Roman"/>
          <w:i/>
          <w:szCs w:val="20"/>
        </w:rPr>
        <w:t>que gozan las entidades territoriales y de la posible intervención de la Nación en el sector específico del transporte</w:t>
      </w:r>
      <w:r w:rsidRPr="00EE164F">
        <w:rPr>
          <w:rFonts w:eastAsia="Times New Roman" w:cs="Times New Roman"/>
          <w:szCs w:val="20"/>
        </w:rPr>
        <w:t xml:space="preserve"> (…)</w:t>
      </w:r>
      <w:r w:rsidRPr="00A204C3">
        <w:rPr>
          <w:rFonts w:eastAsia="Times New Roman" w:cs="Times New Roman"/>
          <w:szCs w:val="20"/>
        </w:rPr>
        <w:t>”.</w:t>
      </w:r>
    </w:p>
  </w:footnote>
  <w:footnote w:id="25">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En la sentencia C-259 de 2022, la Corte manifestó: “</w:t>
      </w:r>
      <w:r w:rsidRPr="00A204C3">
        <w:rPr>
          <w:rFonts w:cs="Times New Roman"/>
          <w:i/>
          <w:sz w:val="20"/>
          <w:szCs w:val="20"/>
        </w:rPr>
        <w:t xml:space="preserve">(…) </w:t>
      </w:r>
      <w:r w:rsidRPr="00A204C3">
        <w:rPr>
          <w:rFonts w:cs="Times New Roman"/>
          <w:i/>
          <w:sz w:val="20"/>
          <w:szCs w:val="20"/>
          <w:shd w:val="clear" w:color="auto" w:fill="FFFFFF"/>
        </w:rPr>
        <w:t>el cargo no satisface el requisito de </w:t>
      </w:r>
      <w:r w:rsidRPr="00A204C3">
        <w:rPr>
          <w:rFonts w:cs="Times New Roman"/>
          <w:i/>
          <w:iCs/>
          <w:sz w:val="20"/>
          <w:szCs w:val="20"/>
          <w:shd w:val="clear" w:color="auto" w:fill="FFFFFF"/>
        </w:rPr>
        <w:t>especificidad</w:t>
      </w:r>
      <w:r w:rsidRPr="00A204C3">
        <w:rPr>
          <w:rFonts w:cs="Times New Roman"/>
          <w:i/>
          <w:sz w:val="20"/>
          <w:szCs w:val="20"/>
          <w:shd w:val="clear" w:color="auto" w:fill="FFFFFF"/>
        </w:rPr>
        <w:t>, pues el preámbulo de</w:t>
      </w:r>
      <w:r w:rsidRPr="00A204C3">
        <w:rPr>
          <w:rFonts w:cs="Times New Roman"/>
          <w:i/>
          <w:sz w:val="20"/>
          <w:szCs w:val="20"/>
          <w:shd w:val="clear" w:color="auto" w:fill="FFFFFF"/>
        </w:rPr>
        <w:t xml:space="preserve"> la Constitución no implica que el deber de garantizar un orden económico y social justo conduzca, necesariamente, a que deba fijarse un monto de cotización igual para algunos pensionados, ya que una lectura integral de la Carta admite que los aportes se e</w:t>
      </w:r>
      <w:r w:rsidRPr="00A204C3">
        <w:rPr>
          <w:rFonts w:cs="Times New Roman"/>
          <w:i/>
          <w:sz w:val="20"/>
          <w:szCs w:val="20"/>
          <w:shd w:val="clear" w:color="auto" w:fill="FFFFFF"/>
        </w:rPr>
        <w:t>stablezcan a partir del valor de la mesada pensional que se recibe (…), sobre todo si se tienen en cuenta los principios de progresividad y equidad (CP art. 363)</w:t>
      </w:r>
      <w:r w:rsidRPr="00A204C3">
        <w:rPr>
          <w:rFonts w:cs="Times New Roman"/>
          <w:sz w:val="20"/>
          <w:szCs w:val="20"/>
          <w:shd w:val="clear" w:color="auto" w:fill="FFFFFF"/>
        </w:rPr>
        <w:t>”.</w:t>
      </w:r>
    </w:p>
  </w:footnote>
  <w:footnote w:id="26">
    <w:p w:rsidR="00CE024C" w:rsidRPr="00A204C3" w:rsidRDefault="004530CF">
      <w:pPr>
        <w:pStyle w:val="Textonotapie"/>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Sentencia C-292 de 2019.</w:t>
      </w:r>
    </w:p>
  </w:footnote>
  <w:footnote w:id="27">
    <w:p w:rsidR="00CE024C" w:rsidRPr="00A204C3" w:rsidRDefault="004530CF">
      <w:pPr>
        <w:pStyle w:val="Textonotapie"/>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Sentencia C-292 de 2019.</w:t>
      </w:r>
    </w:p>
  </w:footnote>
  <w:footnote w:id="28">
    <w:p w:rsidR="00CE024C" w:rsidRPr="00A204C3" w:rsidRDefault="004530CF">
      <w:pPr>
        <w:pStyle w:val="Textonotapie"/>
        <w:rPr>
          <w:rFonts w:cs="Times New Roman"/>
          <w:sz w:val="20"/>
          <w:szCs w:val="20"/>
        </w:rPr>
      </w:pPr>
      <w:r w:rsidRPr="004C3D02">
        <w:rPr>
          <w:rStyle w:val="Refdenotaalpie"/>
          <w:rFonts w:cs="Times New Roman"/>
          <w:sz w:val="20"/>
          <w:szCs w:val="20"/>
        </w:rPr>
        <w:footnoteRef/>
      </w:r>
      <w:r w:rsidRPr="004C3D02">
        <w:rPr>
          <w:rFonts w:cs="Times New Roman"/>
          <w:sz w:val="20"/>
          <w:szCs w:val="20"/>
        </w:rPr>
        <w:t xml:space="preserve"> Corte Constitucional, sentencia C-03</w:t>
      </w:r>
      <w:r w:rsidRPr="004C3D02">
        <w:rPr>
          <w:rFonts w:cs="Times New Roman"/>
          <w:sz w:val="20"/>
          <w:szCs w:val="20"/>
        </w:rPr>
        <w:t>0 de 2023.</w:t>
      </w:r>
    </w:p>
  </w:footnote>
  <w:footnote w:id="29">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Corte Constitucional, sentencia C-292 de 2019.</w:t>
      </w:r>
    </w:p>
  </w:footnote>
  <w:footnote w:id="30">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Señala también que conocerá de la nulidad de las demás elecciones que se realicen por voto popular, salvo la de jueces de paz y jueces de reconsideración.</w:t>
      </w:r>
    </w:p>
  </w:footnote>
  <w:footnote w:id="31">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Constitucional, sentencias C-507 de 1994, C-391 de 2002</w:t>
      </w:r>
      <w:r>
        <w:rPr>
          <w:rFonts w:cs="Times New Roman"/>
          <w:sz w:val="20"/>
          <w:szCs w:val="20"/>
        </w:rPr>
        <w:t xml:space="preserve"> y</w:t>
      </w:r>
      <w:r w:rsidRPr="00A204C3">
        <w:rPr>
          <w:rFonts w:cs="Times New Roman"/>
          <w:sz w:val="20"/>
          <w:szCs w:val="20"/>
        </w:rPr>
        <w:t xml:space="preserve"> T-864 de 2007 y reiteradas por las sentencias SU-399 de 2012, SU-264 de 2015 y SU-050 de 2018.</w:t>
      </w:r>
    </w:p>
  </w:footnote>
  <w:footnote w:id="32">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Constitucional, sentencia C-437 de 2013, reiterada en la sentencia SU-050 de 2018.</w:t>
      </w:r>
    </w:p>
  </w:footnote>
  <w:footnote w:id="33">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Con</w:t>
      </w:r>
      <w:r w:rsidRPr="00A204C3">
        <w:rPr>
          <w:rFonts w:cs="Times New Roman"/>
          <w:sz w:val="20"/>
          <w:szCs w:val="20"/>
        </w:rPr>
        <w:t>sejo de Estado, Sala Plena de lo Contencioso Administrativo. Sentencia del 27 de septiembre de 2016. Rad. 11001-03-15-000-2014-03886-00 (PI).</w:t>
      </w:r>
    </w:p>
  </w:footnote>
  <w:footnote w:id="34">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Constitucional, sentencia C- 437 de 2013, reiterada por la sentencia SU-050 de 2018.</w:t>
      </w:r>
    </w:p>
  </w:footnote>
  <w:footnote w:id="35">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w:t>
      </w:r>
      <w:r w:rsidRPr="00A204C3">
        <w:rPr>
          <w:rFonts w:cs="Times New Roman"/>
          <w:sz w:val="20"/>
          <w:szCs w:val="20"/>
        </w:rPr>
        <w:t>l, sentencias SU-264 de 2015 y SU-050 de 2018.</w:t>
      </w:r>
    </w:p>
  </w:footnote>
  <w:footnote w:id="36">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 xml:space="preserve">Ibídem </w:t>
      </w:r>
    </w:p>
  </w:footnote>
  <w:footnote w:id="37">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Consejo de Estado, Sala Plena de lo Contencioso Administrativo, sentencia de 28 de septiembre de 2016, exp. 2014-03883-00, reiterado por la sentencia SU-474 de 2020 </w:t>
      </w:r>
    </w:p>
  </w:footnote>
  <w:footnote w:id="38">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Constitucional, sentenc</w:t>
      </w:r>
      <w:r w:rsidRPr="00A204C3">
        <w:rPr>
          <w:rFonts w:cs="Times New Roman"/>
          <w:sz w:val="20"/>
          <w:szCs w:val="20"/>
        </w:rPr>
        <w:t>ias T-1160 de 2003, T-332 de 2006 y T-945 de 2008, reiteradas por las sentencias SU-399 de 2012 y SU 264 de 2015.</w:t>
      </w:r>
    </w:p>
  </w:footnote>
  <w:footnote w:id="39">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Sentencias C-507 de 1994, C-391 de 2002 y T-864 de 2007, reiteradas por la sentencia SU-399 de 2012.</w:t>
      </w:r>
    </w:p>
  </w:footnote>
  <w:footnote w:id="40">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Constitucional, sentencia SU-40</w:t>
      </w:r>
      <w:r w:rsidRPr="00A204C3">
        <w:rPr>
          <w:rFonts w:cs="Times New Roman"/>
          <w:sz w:val="20"/>
          <w:szCs w:val="20"/>
        </w:rPr>
        <w:t xml:space="preserve">0 de 2012, reiterada por la sentencia 474 de 2020. </w:t>
      </w:r>
    </w:p>
  </w:footnote>
  <w:footnote w:id="41">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Constitucional, sentencia C-630 de 2012, reiterada por la sentencia 474 de 2020. </w:t>
      </w:r>
    </w:p>
  </w:footnote>
  <w:footnote w:id="42">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Constitucional, sentencia SU-326 de 2022. </w:t>
      </w:r>
    </w:p>
  </w:footnote>
  <w:footnote w:id="43">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Constitucional, sentencia SU 050 de 2018. </w:t>
      </w:r>
    </w:p>
  </w:footnote>
  <w:footnote w:id="44">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w:t>
      </w:r>
      <w:r w:rsidRPr="00A204C3">
        <w:rPr>
          <w:rFonts w:cs="Times New Roman"/>
          <w:sz w:val="20"/>
          <w:szCs w:val="20"/>
        </w:rPr>
        <w:t xml:space="preserve">nstitucional, sentencia T-033 de 2007. </w:t>
      </w:r>
    </w:p>
  </w:footnote>
  <w:footnote w:id="45">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sz w:val="20"/>
          <w:szCs w:val="20"/>
        </w:rPr>
        <w:t>Ibidem.</w:t>
      </w:r>
      <w:r w:rsidRPr="00A204C3">
        <w:rPr>
          <w:rFonts w:cs="Times New Roman"/>
          <w:sz w:val="20"/>
          <w:szCs w:val="20"/>
        </w:rPr>
        <w:t xml:space="preserve"> </w:t>
      </w:r>
    </w:p>
  </w:footnote>
  <w:footnote w:id="46">
    <w:p w:rsidR="00CE024C" w:rsidRPr="00A204C3" w:rsidRDefault="004530CF" w:rsidP="00D52103">
      <w:pPr>
        <w:pStyle w:val="Textonotapie"/>
        <w:jc w:val="both"/>
        <w:rPr>
          <w:rFonts w:cs="Times New Roman"/>
          <w:sz w:val="20"/>
          <w:szCs w:val="20"/>
        </w:rPr>
      </w:pPr>
      <w:r w:rsidRPr="004C3D02">
        <w:rPr>
          <w:rStyle w:val="Refdenotaalpie"/>
          <w:rFonts w:cs="Times New Roman"/>
          <w:sz w:val="20"/>
          <w:szCs w:val="20"/>
        </w:rPr>
        <w:footnoteRef/>
      </w:r>
      <w:r w:rsidRPr="004C3D02">
        <w:rPr>
          <w:rFonts w:cs="Times New Roman"/>
          <w:sz w:val="20"/>
          <w:szCs w:val="20"/>
        </w:rPr>
        <w:t xml:space="preserve"> Consejo de Estado, Sala Plena de lo Contencioso Administrativo. sentencia del 29 de enero de 2029. Rad.</w:t>
      </w:r>
      <w:r w:rsidRPr="004C3D02">
        <w:rPr>
          <w:rFonts w:cs="Times New Roman"/>
          <w:sz w:val="20"/>
          <w:szCs w:val="20"/>
          <w:lang w:eastAsia="es-ES"/>
        </w:rPr>
        <w:t xml:space="preserve"> </w:t>
      </w:r>
      <w:r w:rsidRPr="004C3D02">
        <w:rPr>
          <w:rFonts w:cs="Times New Roman"/>
          <w:sz w:val="20"/>
          <w:szCs w:val="20"/>
        </w:rPr>
        <w:t xml:space="preserve">11001-03-28-000-2018-00031-00(SU) y sentencia del 27 de septiembre de 2016. Rad. </w:t>
      </w:r>
      <w:r w:rsidRPr="004C3D02">
        <w:rPr>
          <w:rFonts w:cs="Times New Roman"/>
          <w:sz w:val="20"/>
          <w:szCs w:val="20"/>
        </w:rPr>
        <w:t>11001-03-15-000-2014-03886-00. Cabe señalar que</w:t>
      </w:r>
      <w:r w:rsidRPr="004C3D02">
        <w:rPr>
          <w:rFonts w:cs="Times New Roman"/>
          <w:sz w:val="20"/>
          <w:szCs w:val="20"/>
        </w:rPr>
        <w:t>,</w:t>
      </w:r>
      <w:r w:rsidRPr="004C3D02">
        <w:rPr>
          <w:rFonts w:cs="Times New Roman"/>
          <w:sz w:val="20"/>
          <w:szCs w:val="20"/>
        </w:rPr>
        <w:t xml:space="preserve"> al referirse al juicio electoral por doble militancia</w:t>
      </w:r>
      <w:r w:rsidRPr="004C3D02">
        <w:rPr>
          <w:rFonts w:cs="Times New Roman"/>
          <w:sz w:val="20"/>
          <w:szCs w:val="20"/>
        </w:rPr>
        <w:t>,</w:t>
      </w:r>
      <w:r w:rsidRPr="004C3D02">
        <w:rPr>
          <w:rFonts w:cs="Times New Roman"/>
          <w:sz w:val="20"/>
          <w:szCs w:val="20"/>
        </w:rPr>
        <w:t xml:space="preserve"> el Consejo de Estado </w:t>
      </w:r>
      <w:r w:rsidRPr="004C3D02">
        <w:rPr>
          <w:rFonts w:cs="Times New Roman"/>
          <w:sz w:val="20"/>
          <w:szCs w:val="20"/>
        </w:rPr>
        <w:t>ha diferenciado</w:t>
      </w:r>
      <w:r w:rsidRPr="004C3D02">
        <w:rPr>
          <w:rFonts w:cs="Times New Roman"/>
          <w:sz w:val="20"/>
          <w:szCs w:val="20"/>
        </w:rPr>
        <w:t xml:space="preserve"> entre las medidas adoptadas por la organización a la que pertenezca el candidato </w:t>
      </w:r>
      <w:r w:rsidRPr="004C3D02">
        <w:rPr>
          <w:rFonts w:cs="Times New Roman"/>
          <w:sz w:val="20"/>
          <w:szCs w:val="20"/>
        </w:rPr>
        <w:t>–</w:t>
      </w:r>
      <w:r w:rsidRPr="004C3D02">
        <w:rPr>
          <w:rFonts w:cs="Times New Roman"/>
          <w:sz w:val="20"/>
          <w:szCs w:val="20"/>
        </w:rPr>
        <w:t>de naturaleza sancionatoria</w:t>
      </w:r>
      <w:r w:rsidRPr="004C3D02">
        <w:rPr>
          <w:rFonts w:cs="Times New Roman"/>
          <w:sz w:val="20"/>
          <w:szCs w:val="20"/>
        </w:rPr>
        <w:t>–</w:t>
      </w:r>
      <w:r w:rsidRPr="004C3D02">
        <w:rPr>
          <w:rFonts w:cs="Times New Roman"/>
          <w:sz w:val="20"/>
          <w:szCs w:val="20"/>
        </w:rPr>
        <w:t xml:space="preserve"> y la</w:t>
      </w:r>
      <w:r w:rsidRPr="004C3D02">
        <w:rPr>
          <w:rFonts w:cs="Times New Roman"/>
          <w:sz w:val="20"/>
          <w:szCs w:val="20"/>
        </w:rPr>
        <w:t xml:space="preserve">s decisiones que le corresponde a la </w:t>
      </w:r>
      <w:r w:rsidRPr="004C3D02">
        <w:rPr>
          <w:rFonts w:cs="Times New Roman"/>
          <w:sz w:val="20"/>
          <w:szCs w:val="20"/>
        </w:rPr>
        <w:t>J</w:t>
      </w:r>
      <w:r w:rsidRPr="004C3D02">
        <w:rPr>
          <w:rFonts w:cs="Times New Roman"/>
          <w:sz w:val="20"/>
          <w:szCs w:val="20"/>
        </w:rPr>
        <w:t xml:space="preserve">urisdicción de lo </w:t>
      </w:r>
      <w:r w:rsidRPr="004C3D02">
        <w:rPr>
          <w:rFonts w:cs="Times New Roman"/>
          <w:sz w:val="20"/>
          <w:szCs w:val="20"/>
        </w:rPr>
        <w:t>C</w:t>
      </w:r>
      <w:r w:rsidRPr="004C3D02">
        <w:rPr>
          <w:rFonts w:cs="Times New Roman"/>
          <w:sz w:val="20"/>
          <w:szCs w:val="20"/>
        </w:rPr>
        <w:t xml:space="preserve">ontencioso </w:t>
      </w:r>
      <w:r w:rsidRPr="004C3D02">
        <w:rPr>
          <w:rFonts w:cs="Times New Roman"/>
          <w:sz w:val="20"/>
          <w:szCs w:val="20"/>
        </w:rPr>
        <w:t>A</w:t>
      </w:r>
      <w:r w:rsidRPr="004C3D02">
        <w:rPr>
          <w:rFonts w:cs="Times New Roman"/>
          <w:sz w:val="20"/>
          <w:szCs w:val="20"/>
        </w:rPr>
        <w:t xml:space="preserve">dministrativo. Así, en </w:t>
      </w:r>
      <w:r w:rsidRPr="004C3D02">
        <w:rPr>
          <w:rFonts w:cs="Times New Roman"/>
          <w:sz w:val="20"/>
          <w:szCs w:val="20"/>
        </w:rPr>
        <w:t>providencia</w:t>
      </w:r>
      <w:r w:rsidRPr="004C3D02">
        <w:rPr>
          <w:rFonts w:cs="Times New Roman"/>
          <w:sz w:val="20"/>
          <w:szCs w:val="20"/>
        </w:rPr>
        <w:t xml:space="preserve"> de fecha 20 de mayo de 2021</w:t>
      </w:r>
      <w:r w:rsidRPr="004C3D02">
        <w:rPr>
          <w:rFonts w:cs="Times New Roman"/>
          <w:sz w:val="20"/>
          <w:szCs w:val="20"/>
        </w:rPr>
        <w:t>,</w:t>
      </w:r>
      <w:r w:rsidRPr="004C3D02">
        <w:rPr>
          <w:rFonts w:cs="Times New Roman"/>
          <w:sz w:val="20"/>
          <w:szCs w:val="20"/>
        </w:rPr>
        <w:t xml:space="preserve"> la Sección Quinta del Consejo de Estado indicó</w:t>
      </w:r>
      <w:r w:rsidRPr="004C3D02">
        <w:rPr>
          <w:rFonts w:cs="Times New Roman"/>
          <w:sz w:val="20"/>
          <w:szCs w:val="20"/>
        </w:rPr>
        <w:t xml:space="preserve"> que</w:t>
      </w:r>
      <w:r w:rsidRPr="004C3D02">
        <w:rPr>
          <w:rFonts w:cs="Times New Roman"/>
          <w:sz w:val="20"/>
          <w:szCs w:val="20"/>
        </w:rPr>
        <w:t>: “</w:t>
      </w:r>
      <w:r w:rsidRPr="004C3D02">
        <w:rPr>
          <w:i/>
          <w:sz w:val="20"/>
          <w:szCs w:val="20"/>
        </w:rPr>
        <w:t xml:space="preserve">Así las cosas, en este caso se debe diferenciar, las consecuencias al </w:t>
      </w:r>
      <w:r w:rsidRPr="004C3D02">
        <w:rPr>
          <w:i/>
          <w:sz w:val="20"/>
          <w:szCs w:val="20"/>
        </w:rPr>
        <w:t>interior de la colectividad por dar apoyo a otra candidatura, toda vez que allí, se podrá determinar que la Resolución No. 063 de 2019, lo exonera del reproche disciplinario interno, (medida diferente a la que se persigue a través del presente medio de con</w:t>
      </w:r>
      <w:r w:rsidRPr="004C3D02">
        <w:rPr>
          <w:i/>
          <w:sz w:val="20"/>
          <w:szCs w:val="20"/>
        </w:rPr>
        <w:t xml:space="preserve">trol) y, las que se deriven del proceso de nulidad electoral, </w:t>
      </w:r>
      <w:r w:rsidRPr="004C3D02">
        <w:rPr>
          <w:b/>
          <w:i/>
          <w:sz w:val="20"/>
          <w:szCs w:val="20"/>
        </w:rPr>
        <w:t>que es un control abstracto de legalidad</w:t>
      </w:r>
      <w:r w:rsidRPr="004C3D02">
        <w:rPr>
          <w:sz w:val="20"/>
          <w:szCs w:val="20"/>
        </w:rPr>
        <w:t>” (Negrillas no son del texto).</w:t>
      </w:r>
    </w:p>
  </w:footnote>
  <w:footnote w:id="47">
    <w:p w:rsidR="00CE024C" w:rsidRPr="00A204C3" w:rsidRDefault="004530CF" w:rsidP="005F61BF">
      <w:pPr>
        <w:pStyle w:val="Textonotapie"/>
        <w:jc w:val="both"/>
        <w:rPr>
          <w:rFonts w:cs="Times New Roman"/>
          <w:sz w:val="20"/>
          <w:szCs w:val="20"/>
          <w:lang w:val="es-MX"/>
        </w:rPr>
      </w:pPr>
      <w:r w:rsidRPr="00A204C3">
        <w:rPr>
          <w:rStyle w:val="Refdenotaalpie"/>
          <w:rFonts w:cs="Times New Roman"/>
          <w:sz w:val="20"/>
          <w:szCs w:val="20"/>
        </w:rPr>
        <w:footnoteRef/>
      </w:r>
      <w:r w:rsidRPr="00A204C3">
        <w:rPr>
          <w:rFonts w:cs="Times New Roman"/>
          <w:sz w:val="20"/>
          <w:szCs w:val="20"/>
        </w:rPr>
        <w:t xml:space="preserve"> Corte Constitucional, sentencia SU-082 de 2026. </w:t>
      </w:r>
    </w:p>
  </w:footnote>
  <w:footnote w:id="48">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Constitucional, sentencia SU-326 de 2022.</w:t>
      </w:r>
    </w:p>
  </w:footnote>
  <w:footnote w:id="49">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El artículo 179.4 d</w:t>
      </w:r>
      <w:r w:rsidRPr="00A204C3">
        <w:rPr>
          <w:rFonts w:cs="Times New Roman"/>
          <w:sz w:val="20"/>
          <w:szCs w:val="20"/>
        </w:rPr>
        <w:t>e la Constitución establece que no podrán ser congresistas “</w:t>
      </w:r>
      <w:r w:rsidRPr="006C6F46">
        <w:rPr>
          <w:rFonts w:cs="Times New Roman"/>
          <w:i/>
          <w:sz w:val="20"/>
          <w:szCs w:val="20"/>
        </w:rPr>
        <w:t>quienes hayan perdido la investidura de congresista</w:t>
      </w:r>
      <w:r w:rsidRPr="00A204C3">
        <w:rPr>
          <w:rFonts w:cs="Times New Roman"/>
          <w:sz w:val="20"/>
          <w:szCs w:val="20"/>
        </w:rPr>
        <w:t xml:space="preserve">”. A partir de esta disposición y lo desarrollado por la jurisprudencia en </w:t>
      </w:r>
      <w:r>
        <w:rPr>
          <w:rFonts w:cs="Times New Roman"/>
          <w:sz w:val="20"/>
          <w:szCs w:val="20"/>
        </w:rPr>
        <w:t xml:space="preserve">la </w:t>
      </w:r>
      <w:r w:rsidRPr="00A204C3">
        <w:rPr>
          <w:rFonts w:cs="Times New Roman"/>
          <w:sz w:val="20"/>
          <w:szCs w:val="20"/>
        </w:rPr>
        <w:t>sentencia SU-</w:t>
      </w:r>
      <w:r>
        <w:rPr>
          <w:rFonts w:cs="Times New Roman"/>
          <w:sz w:val="20"/>
          <w:szCs w:val="20"/>
        </w:rPr>
        <w:t>501</w:t>
      </w:r>
      <w:r w:rsidRPr="00A204C3">
        <w:rPr>
          <w:rFonts w:cs="Times New Roman"/>
          <w:sz w:val="20"/>
          <w:szCs w:val="20"/>
        </w:rPr>
        <w:t xml:space="preserve"> de 20</w:t>
      </w:r>
      <w:r>
        <w:rPr>
          <w:rFonts w:cs="Times New Roman"/>
          <w:sz w:val="20"/>
          <w:szCs w:val="20"/>
        </w:rPr>
        <w:t>24</w:t>
      </w:r>
      <w:r w:rsidRPr="00A204C3">
        <w:rPr>
          <w:rFonts w:cs="Times New Roman"/>
          <w:sz w:val="20"/>
          <w:szCs w:val="20"/>
        </w:rPr>
        <w:t xml:space="preserve"> se entiende que “</w:t>
      </w:r>
      <w:r w:rsidRPr="006C6F46">
        <w:rPr>
          <w:rFonts w:cs="Times New Roman"/>
          <w:i/>
          <w:sz w:val="20"/>
          <w:szCs w:val="20"/>
        </w:rPr>
        <w:t>la acción de pérdida de i</w:t>
      </w:r>
      <w:r w:rsidRPr="006C6F46">
        <w:rPr>
          <w:rFonts w:cs="Times New Roman"/>
          <w:i/>
          <w:sz w:val="20"/>
          <w:szCs w:val="20"/>
        </w:rPr>
        <w:t>nvestidura tiene como efecto el retiro el cargo y la imposición de una inhabilidad para ejercer otros cargos de elección popular, lo que implica una restricción intensa del derecho a elegir y ser elegido, y del derecho a acceder a cargos y funciones públic</w:t>
      </w:r>
      <w:r w:rsidRPr="006C6F46">
        <w:rPr>
          <w:rFonts w:cs="Times New Roman"/>
          <w:i/>
          <w:sz w:val="20"/>
          <w:szCs w:val="20"/>
        </w:rPr>
        <w:t>as</w:t>
      </w:r>
      <w:r w:rsidRPr="00A204C3">
        <w:rPr>
          <w:rFonts w:cs="Times New Roman"/>
          <w:sz w:val="20"/>
          <w:szCs w:val="20"/>
        </w:rPr>
        <w:t>”.</w:t>
      </w:r>
    </w:p>
  </w:footnote>
  <w:footnote w:id="50">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Corte Constitucional, sentencia SU-326 de 2022.</w:t>
      </w:r>
    </w:p>
  </w:footnote>
  <w:footnote w:id="51">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p>
  </w:footnote>
  <w:footnote w:id="52">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p>
  </w:footnote>
  <w:footnote w:id="53">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p>
  </w:footnote>
  <w:footnote w:id="54">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 xml:space="preserve">Pueden encontrarse en ese sentido, entre otras, las sentencias C-624 de 2008, C-818 de 2010, C-218 de 2015, C-125 de 2018, C-432 de 2020 y C-078 de 2023.  </w:t>
      </w:r>
    </w:p>
  </w:footnote>
  <w:footnote w:id="55">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Corte Constitucional, </w:t>
      </w:r>
      <w:r w:rsidRPr="00A204C3">
        <w:rPr>
          <w:rFonts w:cs="Times New Roman"/>
          <w:sz w:val="20"/>
          <w:szCs w:val="20"/>
          <w:lang w:val="es-ES"/>
        </w:rPr>
        <w:t>sentencia C-022 de 1996.</w:t>
      </w:r>
    </w:p>
  </w:footnote>
  <w:footnote w:id="56">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Corte Constitucional, </w:t>
      </w:r>
      <w:r w:rsidRPr="00A204C3">
        <w:rPr>
          <w:rFonts w:cs="Times New Roman"/>
          <w:sz w:val="20"/>
          <w:szCs w:val="20"/>
          <w:lang w:val="es-ES"/>
        </w:rPr>
        <w:t>sentencia C-022 de 1996.</w:t>
      </w:r>
    </w:p>
  </w:footnote>
  <w:footnote w:id="57">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Corte Constitucional, sentencia C-125 de 2018.</w:t>
      </w:r>
    </w:p>
  </w:footnote>
  <w:footnote w:id="58">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Corte Constitucional, sentencia C-125 de 2018.</w:t>
      </w:r>
    </w:p>
  </w:footnote>
  <w:footnote w:id="59">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lang w:val="es-ES"/>
        </w:rPr>
        <w:t xml:space="preserve"> En esta oportunidad la Corte no se refiere a la estructura </w:t>
      </w:r>
      <w:r w:rsidRPr="00A204C3">
        <w:rPr>
          <w:rFonts w:cs="Times New Roman"/>
          <w:sz w:val="20"/>
          <w:szCs w:val="20"/>
          <w:lang w:val="es-ES"/>
        </w:rPr>
        <w:t xml:space="preserve">específica del examen cuando se alega la violación del mandato de trato diferente. Sobre el particular pueden consultarse, entre otras, las sentencias C-054 de 2024 y C-099 de 2025.  </w:t>
      </w:r>
    </w:p>
  </w:footnote>
  <w:footnote w:id="60">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Al respecto, la Corte ha señalado que “</w:t>
      </w:r>
      <w:r w:rsidRPr="00A204C3">
        <w:rPr>
          <w:rFonts w:cs="Times New Roman"/>
          <w:i/>
          <w:iCs/>
          <w:sz w:val="20"/>
          <w:szCs w:val="20"/>
        </w:rPr>
        <w:t xml:space="preserve">la identificación del criterio </w:t>
      </w:r>
      <w:r w:rsidRPr="00A204C3">
        <w:rPr>
          <w:rFonts w:cs="Times New Roman"/>
          <w:i/>
          <w:iCs/>
          <w:sz w:val="20"/>
          <w:szCs w:val="20"/>
        </w:rPr>
        <w:t>de comparación es el paso inicial para examinar si la clasificación objeto de cuestionamiento fue racionalmente configurada por el legislador</w:t>
      </w:r>
      <w:r w:rsidRPr="00A204C3">
        <w:rPr>
          <w:rFonts w:cs="Times New Roman"/>
          <w:sz w:val="20"/>
          <w:szCs w:val="20"/>
        </w:rPr>
        <w:t>”, y que “</w:t>
      </w:r>
      <w:r w:rsidRPr="00A204C3">
        <w:rPr>
          <w:rFonts w:cs="Times New Roman"/>
          <w:i/>
          <w:iCs/>
          <w:sz w:val="20"/>
          <w:szCs w:val="20"/>
        </w:rPr>
        <w:t>la racionalidad de la medida diferenciadora obedece al grado de acierto del Legislador en incluir a todas</w:t>
      </w:r>
      <w:r w:rsidRPr="00A204C3">
        <w:rPr>
          <w:rFonts w:cs="Times New Roman"/>
          <w:i/>
          <w:iCs/>
          <w:sz w:val="20"/>
          <w:szCs w:val="20"/>
        </w:rPr>
        <w:t xml:space="preserve"> las personas similarmente situadas para los fines de la ley</w:t>
      </w:r>
      <w:r w:rsidRPr="00A204C3">
        <w:rPr>
          <w:rFonts w:cs="Times New Roman"/>
          <w:sz w:val="20"/>
          <w:szCs w:val="20"/>
        </w:rPr>
        <w:t>”. En esa dirección “</w:t>
      </w:r>
      <w:r w:rsidRPr="00A204C3">
        <w:rPr>
          <w:rFonts w:cs="Times New Roman"/>
          <w:i/>
          <w:iCs/>
          <w:sz w:val="20"/>
          <w:szCs w:val="20"/>
        </w:rPr>
        <w:t>para determinar si dos grupos o categorías son comparables es necesario examinar su situación a la luz de los fines de la norma</w:t>
      </w:r>
      <w:r w:rsidRPr="00A204C3">
        <w:rPr>
          <w:rFonts w:cs="Times New Roman"/>
          <w:sz w:val="20"/>
          <w:szCs w:val="20"/>
        </w:rPr>
        <w:t>”. Corte Constitucional, sentencia C-841 de 2003</w:t>
      </w:r>
      <w:r w:rsidRPr="00A204C3">
        <w:rPr>
          <w:rFonts w:cs="Times New Roman"/>
          <w:sz w:val="20"/>
          <w:szCs w:val="20"/>
        </w:rPr>
        <w:t>, reiterad</w:t>
      </w:r>
      <w:r>
        <w:rPr>
          <w:rFonts w:cs="Times New Roman"/>
          <w:sz w:val="20"/>
          <w:szCs w:val="20"/>
        </w:rPr>
        <w:t>a</w:t>
      </w:r>
      <w:r w:rsidRPr="00A204C3">
        <w:rPr>
          <w:rFonts w:cs="Times New Roman"/>
          <w:sz w:val="20"/>
          <w:szCs w:val="20"/>
        </w:rPr>
        <w:t xml:space="preserve"> en sentencia C-109 de 2020.</w:t>
      </w:r>
    </w:p>
  </w:footnote>
  <w:footnote w:id="61">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 xml:space="preserve">Corte Constitucional, sentencia C-109 de 2020. </w:t>
      </w:r>
    </w:p>
  </w:footnote>
  <w:footnote w:id="62">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 xml:space="preserve">Corte Constitucional, sentencia C-109 de 2020. </w:t>
      </w:r>
    </w:p>
  </w:footnote>
  <w:footnote w:id="63">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Corte Constitucional, sentencia C-109 de 2020.</w:t>
      </w:r>
    </w:p>
  </w:footnote>
  <w:footnote w:id="64">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Corte Constitucional, sentencia C-109 de 2020.</w:t>
      </w:r>
    </w:p>
  </w:footnote>
  <w:footnote w:id="65">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 xml:space="preserve">Corte </w:t>
      </w:r>
      <w:r w:rsidRPr="00A204C3">
        <w:rPr>
          <w:rFonts w:cs="Times New Roman"/>
          <w:sz w:val="20"/>
          <w:szCs w:val="20"/>
          <w:lang w:val="es-ES"/>
        </w:rPr>
        <w:t>Constitucional, sentencia C-109 de 2020.</w:t>
      </w:r>
    </w:p>
  </w:footnote>
  <w:footnote w:id="66">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Corte Constitucional, sentencia C-022 de 1996.</w:t>
      </w:r>
    </w:p>
  </w:footnote>
  <w:footnote w:id="67">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Para encontrar la evolución que en la jurisprudencia constitucional ha tenido este juicio pueden consultarse, entre muchas otras, las sentencias C-093 de 2001, C-67</w:t>
      </w:r>
      <w:r w:rsidRPr="00A204C3">
        <w:rPr>
          <w:rFonts w:cs="Times New Roman"/>
          <w:sz w:val="20"/>
          <w:szCs w:val="20"/>
        </w:rPr>
        <w:t>3 de 2001, C-115 de 2017 y C-345 de 2019.</w:t>
      </w:r>
    </w:p>
  </w:footnote>
  <w:footnote w:id="68">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En la sentencia C-345 de 2019, en la que la Corte unificó la estructura metodológica del juicio de igualdad, se enunciaron algunos de tales criterios.</w:t>
      </w:r>
    </w:p>
  </w:footnote>
  <w:footnote w:id="69">
    <w:p w:rsidR="00CE024C" w:rsidRPr="00A204C3" w:rsidRDefault="004530CF" w:rsidP="005F61BF">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En esta dirección se encuentra, por ejemplo, la sentencia S</w:t>
      </w:r>
      <w:r w:rsidRPr="00A204C3">
        <w:rPr>
          <w:rFonts w:cs="Times New Roman"/>
          <w:sz w:val="20"/>
          <w:szCs w:val="20"/>
        </w:rPr>
        <w:t>U-626 de 2015. En esa oportunidad, la Corte sostuvo: “</w:t>
      </w:r>
      <w:r w:rsidRPr="00A204C3">
        <w:rPr>
          <w:rFonts w:cs="Times New Roman"/>
          <w:i/>
          <w:sz w:val="20"/>
          <w:szCs w:val="20"/>
          <w:shd w:val="clear" w:color="auto" w:fill="FFFFFF"/>
        </w:rPr>
        <w:t>La elección del juicio aplicable tiene, en consecuencia, significativa importancia si se considera que de ello depende la amplitud del margen de configuración y apreciación de las autoridades, incidiend</w:t>
      </w:r>
      <w:r w:rsidRPr="00A204C3">
        <w:rPr>
          <w:rFonts w:cs="Times New Roman"/>
          <w:i/>
          <w:sz w:val="20"/>
          <w:szCs w:val="20"/>
          <w:shd w:val="clear" w:color="auto" w:fill="FFFFFF"/>
        </w:rPr>
        <w:t>o en las exigencias argumentales que deben satisfacerse para demostrar la constitucionalidad de la medida que se examine. Puede ocurrir que, en algunos casos, concurran razones que justifiquen el desarrollo de juicios de diferente intensidad y, por ello, n</w:t>
      </w:r>
      <w:r w:rsidRPr="00A204C3">
        <w:rPr>
          <w:rFonts w:cs="Times New Roman"/>
          <w:i/>
          <w:sz w:val="20"/>
          <w:szCs w:val="20"/>
          <w:shd w:val="clear" w:color="auto" w:fill="FFFFFF"/>
        </w:rPr>
        <w:t xml:space="preserve">o sea posible una aplicación exacta de los criterios que hasta el momento ha identificado la Corte. En esos casos deberá adelantarse un examen orientado a establecer la perspectiva bajo la cual puede comprenderse de mejor forma el problema planteado o, en </w:t>
      </w:r>
      <w:r w:rsidRPr="00A204C3">
        <w:rPr>
          <w:rFonts w:cs="Times New Roman"/>
          <w:i/>
          <w:sz w:val="20"/>
          <w:szCs w:val="20"/>
          <w:shd w:val="clear" w:color="auto" w:fill="FFFFFF"/>
        </w:rPr>
        <w:t>otros términos, deberá considerarse la relevancia concreta de las razones que promueven la aplicación simultanea de los dos juicios, a fin de establecer con la aplicación de cuál de ellos puede protegerse de mejor forma el contenido de todas las disposicio</w:t>
      </w:r>
      <w:r w:rsidRPr="00A204C3">
        <w:rPr>
          <w:rFonts w:cs="Times New Roman"/>
          <w:i/>
          <w:sz w:val="20"/>
          <w:szCs w:val="20"/>
          <w:shd w:val="clear" w:color="auto" w:fill="FFFFFF"/>
        </w:rPr>
        <w:t>nes de la Carta</w:t>
      </w:r>
      <w:r w:rsidRPr="00A204C3">
        <w:rPr>
          <w:rFonts w:cs="Times New Roman"/>
          <w:sz w:val="20"/>
          <w:szCs w:val="20"/>
          <w:shd w:val="clear" w:color="auto" w:fill="FFFFFF"/>
        </w:rPr>
        <w:t>”.          </w:t>
      </w:r>
    </w:p>
  </w:footnote>
  <w:footnote w:id="70">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Corte Constitucional, sentencia C-841 de 2003.</w:t>
      </w:r>
    </w:p>
  </w:footnote>
  <w:footnote w:id="71">
    <w:p w:rsidR="00CE024C" w:rsidRPr="00A204C3" w:rsidRDefault="004530CF" w:rsidP="005F61BF">
      <w:pPr>
        <w:pStyle w:val="Textonotapie"/>
        <w:jc w:val="both"/>
        <w:rPr>
          <w:rFonts w:cs="Times New Roman"/>
          <w:sz w:val="20"/>
          <w:szCs w:val="20"/>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i/>
          <w:iCs/>
          <w:sz w:val="20"/>
          <w:szCs w:val="20"/>
        </w:rPr>
        <w:t>Ibidem.</w:t>
      </w:r>
    </w:p>
  </w:footnote>
  <w:footnote w:id="72">
    <w:p w:rsidR="00CE024C" w:rsidRPr="004C3D02" w:rsidRDefault="004530CF">
      <w:pPr>
        <w:pStyle w:val="Textonotapie"/>
        <w:rPr>
          <w:rFonts w:cs="Times New Roman"/>
          <w:sz w:val="20"/>
          <w:szCs w:val="20"/>
        </w:rPr>
      </w:pPr>
      <w:r w:rsidRPr="004C3D02">
        <w:rPr>
          <w:rStyle w:val="Refdenotaalpie"/>
          <w:rFonts w:cs="Times New Roman"/>
          <w:sz w:val="20"/>
          <w:szCs w:val="20"/>
        </w:rPr>
        <w:footnoteRef/>
      </w:r>
      <w:r w:rsidRPr="004C3D02">
        <w:rPr>
          <w:rFonts w:cs="Times New Roman"/>
          <w:sz w:val="20"/>
          <w:szCs w:val="20"/>
        </w:rPr>
        <w:t xml:space="preserve"> Concepto procurador general de la Nación. </w:t>
      </w:r>
    </w:p>
  </w:footnote>
  <w:footnote w:id="73">
    <w:p w:rsidR="00CE024C" w:rsidRPr="00DE666A" w:rsidRDefault="004530CF" w:rsidP="00FB32FD">
      <w:pPr>
        <w:pStyle w:val="Textonotapie"/>
        <w:jc w:val="both"/>
        <w:rPr>
          <w:rFonts w:cs="Times New Roman"/>
          <w:sz w:val="20"/>
          <w:szCs w:val="20"/>
          <w:highlight w:val="yellow"/>
        </w:rPr>
      </w:pPr>
      <w:r w:rsidRPr="004C3D02">
        <w:rPr>
          <w:rStyle w:val="Refdenotaalpie"/>
          <w:rFonts w:cs="Times New Roman"/>
          <w:sz w:val="20"/>
          <w:szCs w:val="20"/>
        </w:rPr>
        <w:footnoteRef/>
      </w:r>
      <w:r w:rsidRPr="004C3D02">
        <w:rPr>
          <w:rFonts w:cs="Times New Roman"/>
          <w:sz w:val="20"/>
          <w:szCs w:val="20"/>
        </w:rPr>
        <w:t xml:space="preserve"> Gaceta del Congreso 1210 de 2009. Esta aproximación fue reiterada en el </w:t>
      </w:r>
      <w:r w:rsidRPr="004C3D02">
        <w:rPr>
          <w:rFonts w:cs="Times New Roman"/>
          <w:sz w:val="20"/>
          <w:szCs w:val="20"/>
        </w:rPr>
        <w:t>i</w:t>
      </w:r>
      <w:r w:rsidRPr="004C3D02">
        <w:rPr>
          <w:rFonts w:cs="Times New Roman"/>
          <w:sz w:val="20"/>
          <w:szCs w:val="20"/>
        </w:rPr>
        <w:t xml:space="preserve">nforme de </w:t>
      </w:r>
      <w:r w:rsidRPr="004C3D02">
        <w:rPr>
          <w:rFonts w:cs="Times New Roman"/>
          <w:sz w:val="20"/>
          <w:szCs w:val="20"/>
        </w:rPr>
        <w:t>p</w:t>
      </w:r>
      <w:r w:rsidRPr="004C3D02">
        <w:rPr>
          <w:rFonts w:cs="Times New Roman"/>
          <w:sz w:val="20"/>
          <w:szCs w:val="20"/>
        </w:rPr>
        <w:t>onencia presentado para segundo debate</w:t>
      </w:r>
      <w:r w:rsidRPr="004C3D02">
        <w:rPr>
          <w:rFonts w:cs="Times New Roman"/>
          <w:sz w:val="20"/>
          <w:szCs w:val="20"/>
        </w:rPr>
        <w:t xml:space="preserve"> en el Senado de la República, tal y como consta en la Gaceta 264 de 2010. A su vez, en el</w:t>
      </w:r>
      <w:r w:rsidRPr="004C3D02">
        <w:rPr>
          <w:rFonts w:cs="Times New Roman"/>
          <w:sz w:val="20"/>
          <w:szCs w:val="20"/>
        </w:rPr>
        <w:t xml:space="preserve"> i</w:t>
      </w:r>
      <w:r w:rsidRPr="004C3D02">
        <w:rPr>
          <w:rFonts w:cs="Times New Roman"/>
          <w:sz w:val="20"/>
          <w:szCs w:val="20"/>
        </w:rPr>
        <w:t xml:space="preserve">nforme de </w:t>
      </w:r>
      <w:r w:rsidRPr="004C3D02">
        <w:rPr>
          <w:rFonts w:cs="Times New Roman"/>
          <w:sz w:val="20"/>
          <w:szCs w:val="20"/>
        </w:rPr>
        <w:t>p</w:t>
      </w:r>
      <w:r w:rsidRPr="004C3D02">
        <w:rPr>
          <w:rFonts w:cs="Times New Roman"/>
          <w:sz w:val="20"/>
          <w:szCs w:val="20"/>
        </w:rPr>
        <w:t>onencia para segundo debate presentado en la Cámara de Representantes, publicado en la Gaceta 951 de 2010, se enunció, entre los criterios de la reforma,</w:t>
      </w:r>
      <w:r w:rsidRPr="004C3D02">
        <w:rPr>
          <w:rFonts w:cs="Times New Roman"/>
          <w:sz w:val="20"/>
          <w:szCs w:val="20"/>
        </w:rPr>
        <w:t xml:space="preserve"> el siguiente: “</w:t>
      </w:r>
      <w:r w:rsidRPr="00340569">
        <w:rPr>
          <w:rFonts w:cs="Times New Roman"/>
          <w:i/>
          <w:color w:val="000000"/>
          <w:sz w:val="20"/>
          <w:szCs w:val="20"/>
          <w:shd w:val="clear" w:color="auto" w:fill="FFFFFF"/>
        </w:rPr>
        <w:t>El rediseño del trámite y decisión de las pretensiones de contenido electoral, con el fin de agilizar el proceso en el que se ventilan y ajustarlo al término previsto en la Constitución de 1991, para su resolución en los términos establecid</w:t>
      </w:r>
      <w:r w:rsidRPr="00340569">
        <w:rPr>
          <w:rFonts w:cs="Times New Roman"/>
          <w:i/>
          <w:color w:val="000000"/>
          <w:sz w:val="20"/>
          <w:szCs w:val="20"/>
          <w:shd w:val="clear" w:color="auto" w:fill="FFFFFF"/>
        </w:rPr>
        <w:t>os en la reforma política, contenida en el Acto Legislativo 1 de 2009</w:t>
      </w:r>
      <w:r w:rsidRPr="00FB32FD">
        <w:rPr>
          <w:rFonts w:cs="Times New Roman"/>
          <w:color w:val="000000"/>
          <w:sz w:val="20"/>
          <w:szCs w:val="20"/>
          <w:shd w:val="clear" w:color="auto" w:fill="FFFFFF"/>
        </w:rPr>
        <w:t>”.</w:t>
      </w:r>
      <w:r>
        <w:rPr>
          <w:rFonts w:cs="Times New Roman"/>
          <w:sz w:val="20"/>
          <w:szCs w:val="20"/>
          <w:highlight w:val="yellow"/>
        </w:rPr>
        <w:t xml:space="preserve"> </w:t>
      </w:r>
    </w:p>
  </w:footnote>
  <w:footnote w:id="74">
    <w:p w:rsidR="00CE024C" w:rsidRPr="00A204C3" w:rsidRDefault="004530CF" w:rsidP="005F61BF">
      <w:pPr>
        <w:jc w:val="both"/>
        <w:rPr>
          <w:rFonts w:cs="Times New Roman"/>
          <w:bCs/>
          <w:iCs/>
          <w:szCs w:val="20"/>
        </w:rPr>
      </w:pPr>
      <w:r w:rsidRPr="00A204C3">
        <w:rPr>
          <w:rStyle w:val="Refdenotaalpie"/>
          <w:rFonts w:cs="Times New Roman"/>
          <w:szCs w:val="20"/>
        </w:rPr>
        <w:footnoteRef/>
      </w:r>
      <w:r w:rsidRPr="00A204C3">
        <w:rPr>
          <w:rFonts w:cs="Times New Roman"/>
          <w:szCs w:val="20"/>
        </w:rPr>
        <w:t xml:space="preserve"> En la sentencia C-503 de 1993, la Corte indicó: </w:t>
      </w:r>
      <w:r w:rsidRPr="00A204C3">
        <w:rPr>
          <w:rFonts w:cs="Times New Roman"/>
          <w:bCs/>
          <w:iCs/>
          <w:szCs w:val="20"/>
        </w:rPr>
        <w:t>“[p]</w:t>
      </w:r>
      <w:r w:rsidRPr="00A204C3">
        <w:rPr>
          <w:rFonts w:cs="Times New Roman"/>
          <w:bCs/>
          <w:i/>
          <w:iCs/>
          <w:szCs w:val="20"/>
        </w:rPr>
        <w:t>uede observarse, entonces, que el Constituyente definió claramente algunas diferencias entre el Alcalde Mayor de Bogotá y los alc</w:t>
      </w:r>
      <w:r w:rsidRPr="00A204C3">
        <w:rPr>
          <w:rFonts w:cs="Times New Roman"/>
          <w:bCs/>
          <w:i/>
          <w:iCs/>
          <w:szCs w:val="20"/>
        </w:rPr>
        <w:t>aldes municipales. Dentro de las más relevantes, debe destacarse el hecho de que únicamente el presidente de la República puede suspender o destituir al alcalde del Distrito Capital, mientras que, para el caso de los demás mandatarios municipales, esa facu</w:t>
      </w:r>
      <w:r w:rsidRPr="00A204C3">
        <w:rPr>
          <w:rFonts w:cs="Times New Roman"/>
          <w:bCs/>
          <w:i/>
          <w:iCs/>
          <w:szCs w:val="20"/>
        </w:rPr>
        <w:t>ltad le asiste tanto al presidente como a los gobernadores (art. 314 Constitución Política). (…) Las anteriores consideraciones permiten concluir que la designación de Alcalde Mayor para el mandatario del Distrito Capital, obedece a razones de tipo jurídic</w:t>
      </w:r>
      <w:r w:rsidRPr="00A204C3">
        <w:rPr>
          <w:rFonts w:cs="Times New Roman"/>
          <w:bCs/>
          <w:i/>
          <w:iCs/>
          <w:szCs w:val="20"/>
        </w:rPr>
        <w:t>o y político, toda vez que se trata del alcalde de la capital de la República –lo que de por sí justifica una primera diferenciación– que tradicionalmente se le han asignado las mismas atribuciones y el mismo status que a los gobernadores y que, por tanto,</w:t>
      </w:r>
      <w:r w:rsidRPr="00A204C3">
        <w:rPr>
          <w:rFonts w:cs="Times New Roman"/>
          <w:bCs/>
          <w:i/>
          <w:iCs/>
          <w:szCs w:val="20"/>
        </w:rPr>
        <w:t xml:space="preserve"> goza de unas prerrogativas especiales como es el hecho de que solamente el presidente de la República sea el funcionario autorizado constitucionalmente para suspenderlo o destituirlo</w:t>
      </w:r>
      <w:r w:rsidRPr="00A204C3">
        <w:rPr>
          <w:rFonts w:cs="Times New Roman"/>
          <w:bCs/>
          <w:iCs/>
          <w:szCs w:val="20"/>
        </w:rPr>
        <w:t>”.</w:t>
      </w:r>
    </w:p>
  </w:footnote>
  <w:footnote w:id="75">
    <w:p w:rsidR="00CE024C" w:rsidRPr="00A95DB6" w:rsidRDefault="004530CF" w:rsidP="00A95DB6">
      <w:pPr>
        <w:pStyle w:val="Textonotapie"/>
        <w:jc w:val="both"/>
        <w:rPr>
          <w:rFonts w:cs="Times New Roman"/>
          <w:sz w:val="20"/>
          <w:szCs w:val="20"/>
          <w:lang w:val="es-ES"/>
        </w:rPr>
      </w:pPr>
      <w:r w:rsidRPr="00A204C3">
        <w:rPr>
          <w:rStyle w:val="Refdenotaalpie"/>
          <w:rFonts w:cs="Times New Roman"/>
          <w:sz w:val="20"/>
          <w:szCs w:val="20"/>
        </w:rPr>
        <w:footnoteRef/>
      </w:r>
      <w:r w:rsidRPr="00A204C3">
        <w:rPr>
          <w:rFonts w:cs="Times New Roman"/>
          <w:sz w:val="20"/>
          <w:szCs w:val="20"/>
        </w:rPr>
        <w:t xml:space="preserve"> </w:t>
      </w:r>
      <w:r w:rsidRPr="00A204C3">
        <w:rPr>
          <w:rFonts w:cs="Times New Roman"/>
          <w:sz w:val="20"/>
          <w:szCs w:val="20"/>
          <w:lang w:val="es-ES"/>
        </w:rPr>
        <w:t>Indicó la Corte: “</w:t>
      </w:r>
      <w:r w:rsidRPr="00A204C3">
        <w:rPr>
          <w:rFonts w:cs="Times New Roman"/>
          <w:i/>
          <w:sz w:val="20"/>
          <w:szCs w:val="20"/>
          <w:shd w:val="clear" w:color="auto" w:fill="FFFFFF"/>
        </w:rPr>
        <w:t xml:space="preserve">Este tribunal observa que: 1) la situación del </w:t>
      </w:r>
      <w:r w:rsidRPr="00A204C3">
        <w:rPr>
          <w:rFonts w:cs="Times New Roman"/>
          <w:i/>
          <w:sz w:val="20"/>
          <w:szCs w:val="20"/>
          <w:shd w:val="clear" w:color="auto" w:fill="FFFFFF"/>
        </w:rPr>
        <w:t>alcalde o del miembro de la corporación municipal, en tanto servidores públicos de elección popular, es la misma, con independencia de la población del municipio o de que este sea capital del departamento; 2) el medio de control de nulidad de la elección d</w:t>
      </w:r>
      <w:r w:rsidRPr="00A204C3">
        <w:rPr>
          <w:rFonts w:cs="Times New Roman"/>
          <w:i/>
          <w:sz w:val="20"/>
          <w:szCs w:val="20"/>
          <w:shd w:val="clear" w:color="auto" w:fill="FFFFFF"/>
        </w:rPr>
        <w:t>e unos y otros, los legitimados para ejercerlo y los afectados por él, son también los mismos, conforme a lo previsto en el artículo 139 del CPACA; 3) las causales de nulidad, conforme a lo dispuesto en los artículos 137 y 275 del CPACA, son también las mi</w:t>
      </w:r>
      <w:r w:rsidRPr="00A204C3">
        <w:rPr>
          <w:rFonts w:cs="Times New Roman"/>
          <w:i/>
          <w:sz w:val="20"/>
          <w:szCs w:val="20"/>
          <w:shd w:val="clear" w:color="auto" w:fill="FFFFFF"/>
        </w:rPr>
        <w:t>smas; 4) el trámite del proceso contencioso administrativo, salvo lo relativo a la eventual segunda instancia, es también el mismo; 5) la autoridad competente para conocer de la demanda es la misma: el tribunal administrativo. Sobre esta base, no se advier</w:t>
      </w:r>
      <w:r w:rsidRPr="00A204C3">
        <w:rPr>
          <w:rFonts w:cs="Times New Roman"/>
          <w:i/>
          <w:sz w:val="20"/>
          <w:szCs w:val="20"/>
          <w:shd w:val="clear" w:color="auto" w:fill="FFFFFF"/>
        </w:rPr>
        <w:t>te que exista alguna diferencia relevante entre la nulidad de la elección de un alcalde o de otro, o entre la nulidad del miembr</w:t>
      </w:r>
      <w:r w:rsidRPr="00A95DB6">
        <w:rPr>
          <w:rFonts w:cs="Times New Roman"/>
          <w:i/>
          <w:sz w:val="20"/>
          <w:szCs w:val="20"/>
          <w:shd w:val="clear" w:color="auto" w:fill="FFFFFF"/>
        </w:rPr>
        <w:t>o de una corporación municipal o de otra, pues se trata de sujetos de la misma naturaleza, sometidos al mismo régimen jurídico</w:t>
      </w:r>
      <w:r w:rsidRPr="00A95DB6">
        <w:rPr>
          <w:rFonts w:cs="Times New Roman"/>
          <w:sz w:val="20"/>
          <w:szCs w:val="20"/>
          <w:shd w:val="clear" w:color="auto" w:fill="FFFFFF"/>
        </w:rPr>
        <w:t>”.</w:t>
      </w:r>
    </w:p>
  </w:footnote>
  <w:footnote w:id="76">
    <w:p w:rsidR="00CE024C" w:rsidRPr="004442C3" w:rsidRDefault="004530CF" w:rsidP="00A95DB6">
      <w:pPr>
        <w:pStyle w:val="Textonotapie"/>
        <w:jc w:val="both"/>
        <w:rPr>
          <w:lang w:val="es-ES"/>
        </w:rPr>
      </w:pPr>
      <w:r w:rsidRPr="00A95DB6">
        <w:rPr>
          <w:rStyle w:val="Refdenotaalpie"/>
          <w:rFonts w:cs="Times New Roman"/>
          <w:sz w:val="20"/>
          <w:szCs w:val="20"/>
        </w:rPr>
        <w:footnoteRef/>
      </w:r>
      <w:r w:rsidRPr="00A95DB6">
        <w:rPr>
          <w:rFonts w:cs="Times New Roman"/>
          <w:sz w:val="20"/>
          <w:szCs w:val="20"/>
        </w:rPr>
        <w:t xml:space="preserve"> </w:t>
      </w:r>
      <w:r w:rsidRPr="004C3D02">
        <w:rPr>
          <w:rFonts w:cs="Times New Roman"/>
          <w:sz w:val="20"/>
          <w:szCs w:val="20"/>
          <w:lang w:val="es-ES"/>
        </w:rPr>
        <w:t xml:space="preserve">En el </w:t>
      </w:r>
      <w:r w:rsidRPr="004C3D02">
        <w:rPr>
          <w:rFonts w:cs="Times New Roman"/>
          <w:bCs/>
          <w:color w:val="000000"/>
          <w:spacing w:val="2"/>
          <w:sz w:val="20"/>
          <w:szCs w:val="20"/>
          <w:shd w:val="clear" w:color="auto" w:fill="FFFFFF"/>
        </w:rPr>
        <w:t>i</w:t>
      </w:r>
      <w:r w:rsidRPr="004C3D02">
        <w:rPr>
          <w:rFonts w:cs="Times New Roman"/>
          <w:bCs/>
          <w:color w:val="000000"/>
          <w:spacing w:val="2"/>
          <w:sz w:val="20"/>
          <w:szCs w:val="20"/>
          <w:shd w:val="clear" w:color="auto" w:fill="FFFFFF"/>
        </w:rPr>
        <w:t xml:space="preserve">nforme de </w:t>
      </w:r>
      <w:r w:rsidRPr="004C3D02">
        <w:rPr>
          <w:rFonts w:cs="Times New Roman"/>
          <w:bCs/>
          <w:color w:val="000000"/>
          <w:spacing w:val="2"/>
          <w:sz w:val="20"/>
          <w:szCs w:val="20"/>
          <w:shd w:val="clear" w:color="auto" w:fill="FFFFFF"/>
        </w:rPr>
        <w:t>p</w:t>
      </w:r>
      <w:r w:rsidRPr="004C3D02">
        <w:rPr>
          <w:rFonts w:cs="Times New Roman"/>
          <w:bCs/>
          <w:color w:val="000000"/>
          <w:spacing w:val="2"/>
          <w:sz w:val="20"/>
          <w:szCs w:val="20"/>
          <w:shd w:val="clear" w:color="auto" w:fill="FFFFFF"/>
        </w:rPr>
        <w:t xml:space="preserve">onencia para </w:t>
      </w:r>
      <w:r w:rsidRPr="004C3D02">
        <w:rPr>
          <w:rFonts w:cs="Times New Roman"/>
          <w:bCs/>
          <w:color w:val="000000"/>
          <w:spacing w:val="2"/>
          <w:sz w:val="20"/>
          <w:szCs w:val="20"/>
          <w:shd w:val="clear" w:color="auto" w:fill="FFFFFF"/>
        </w:rPr>
        <w:t>p</w:t>
      </w:r>
      <w:r w:rsidRPr="004C3D02">
        <w:rPr>
          <w:rFonts w:cs="Times New Roman"/>
          <w:bCs/>
          <w:color w:val="000000"/>
          <w:spacing w:val="2"/>
          <w:sz w:val="20"/>
          <w:szCs w:val="20"/>
          <w:shd w:val="clear" w:color="auto" w:fill="FFFFFF"/>
        </w:rPr>
        <w:t xml:space="preserve">rimer </w:t>
      </w:r>
      <w:r w:rsidRPr="004C3D02">
        <w:rPr>
          <w:rFonts w:cs="Times New Roman"/>
          <w:bCs/>
          <w:color w:val="000000"/>
          <w:spacing w:val="2"/>
          <w:sz w:val="20"/>
          <w:szCs w:val="20"/>
          <w:shd w:val="clear" w:color="auto" w:fill="FFFFFF"/>
        </w:rPr>
        <w:t>d</w:t>
      </w:r>
      <w:r w:rsidRPr="004C3D02">
        <w:rPr>
          <w:rFonts w:cs="Times New Roman"/>
          <w:bCs/>
          <w:color w:val="000000"/>
          <w:spacing w:val="2"/>
          <w:sz w:val="20"/>
          <w:szCs w:val="20"/>
          <w:shd w:val="clear" w:color="auto" w:fill="FFFFFF"/>
        </w:rPr>
        <w:t>ebate en la Cámara de Representantes del Proyecto de ley número 315 de 2010 Cámara de Representantes, 198 de 2009 Senado, publicado en la Gaceta 683 de 2010 se indicó: “</w:t>
      </w:r>
      <w:r w:rsidRPr="004C3D02">
        <w:rPr>
          <w:rFonts w:cs="Times New Roman"/>
          <w:i/>
          <w:color w:val="000000"/>
          <w:sz w:val="20"/>
          <w:szCs w:val="20"/>
          <w:shd w:val="clear" w:color="auto" w:fill="FFFFFF"/>
        </w:rPr>
        <w:t xml:space="preserve">En relación con la causal contenida en el numeral 3 del artículo 150, que establece el conocimiento del juicio de nulidad del acto de elección de ciertos dignatarios, se agregan otros: los representantes ante el Parlamento Andino, los miembros de la Junta </w:t>
      </w:r>
      <w:r w:rsidRPr="004C3D02">
        <w:rPr>
          <w:rFonts w:cs="Times New Roman"/>
          <w:i/>
          <w:color w:val="000000"/>
          <w:sz w:val="20"/>
          <w:szCs w:val="20"/>
          <w:shd w:val="clear" w:color="auto" w:fill="FFFFFF"/>
        </w:rPr>
        <w:t xml:space="preserve">Directiva o Consejo directivo de las entidades públicas del orden nacional, de los entes autónomos del orden nacional, las Comisiones de Regulación, y el Alcalde Mayor de Bogotá. En relación al último, </w:t>
      </w:r>
      <w:r w:rsidRPr="004C3D02">
        <w:rPr>
          <w:rFonts w:cs="Times New Roman"/>
          <w:b/>
          <w:i/>
          <w:color w:val="000000"/>
          <w:sz w:val="20"/>
          <w:szCs w:val="20"/>
          <w:shd w:val="clear" w:color="auto" w:fill="FFFFFF"/>
        </w:rPr>
        <w:t xml:space="preserve">porque se considera como el segundo cargo de elección </w:t>
      </w:r>
      <w:r w:rsidRPr="004C3D02">
        <w:rPr>
          <w:rFonts w:cs="Times New Roman"/>
          <w:b/>
          <w:i/>
          <w:color w:val="000000"/>
          <w:sz w:val="20"/>
          <w:szCs w:val="20"/>
          <w:shd w:val="clear" w:color="auto" w:fill="FFFFFF"/>
        </w:rPr>
        <w:t>más importante del país</w:t>
      </w:r>
      <w:r w:rsidRPr="004C3D02">
        <w:rPr>
          <w:rFonts w:cs="Times New Roman"/>
          <w:i/>
          <w:color w:val="000000"/>
          <w:sz w:val="20"/>
          <w:szCs w:val="20"/>
          <w:shd w:val="clear" w:color="auto" w:fill="FFFFFF"/>
        </w:rPr>
        <w:t>, y en cuanto a los demás, porque efectivamente se trata de servidores elegidos en entidades del orden nacional</w:t>
      </w:r>
      <w:r w:rsidRPr="004C3D02">
        <w:rPr>
          <w:rFonts w:cs="Times New Roman"/>
          <w:color w:val="000000"/>
          <w:sz w:val="20"/>
          <w:szCs w:val="20"/>
          <w:shd w:val="clear" w:color="auto" w:fill="FFFFFF"/>
        </w:rPr>
        <w:t>” (Negrillas no son del texto).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8E16B4"/>
    <w:multiLevelType w:val="hybridMultilevel"/>
    <w:tmpl w:val="3BD81B02"/>
    <w:lvl w:ilvl="0" w:tplc="62023A96">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A27DCB"/>
    <w:multiLevelType w:val="hybridMultilevel"/>
    <w:tmpl w:val="3CC8240A"/>
    <w:lvl w:ilvl="0" w:tplc="F2486ECA">
      <w:start w:val="1"/>
      <w:numFmt w:val="upperRoman"/>
      <w:lvlText w:val="%1."/>
      <w:lvlJc w:val="left"/>
      <w:pPr>
        <w:ind w:left="1080" w:hanging="720"/>
      </w:pPr>
      <w:rPr>
        <w:rFonts w:hint="default"/>
      </w:rPr>
    </w:lvl>
    <w:lvl w:ilvl="1" w:tplc="7CFEA800">
      <w:start w:val="1"/>
      <w:numFmt w:val="upperLetter"/>
      <w:lvlText w:val="%2."/>
      <w:lvlJc w:val="left"/>
      <w:pPr>
        <w:ind w:left="1440" w:hanging="360"/>
      </w:pPr>
      <w:rPr>
        <w:b/>
        <w:bCs/>
      </w:rPr>
    </w:lvl>
    <w:lvl w:ilvl="2" w:tplc="B6F8C978">
      <w:start w:val="1"/>
      <w:numFmt w:val="lowerRoman"/>
      <w:lvlText w:val="(%3)"/>
      <w:lvlJc w:val="left"/>
      <w:pPr>
        <w:ind w:left="2700" w:hanging="720"/>
      </w:pPr>
      <w:rPr>
        <w:rFonts w:hint="default"/>
        <w:b/>
        <w:bCs/>
      </w:rPr>
    </w:lvl>
    <w:lvl w:ilvl="3" w:tplc="0C0A000F">
      <w:start w:val="1"/>
      <w:numFmt w:val="decimal"/>
      <w:lvlText w:val="%4."/>
      <w:lvlJc w:val="left"/>
      <w:pPr>
        <w:ind w:left="2880" w:hanging="360"/>
      </w:pPr>
    </w:lvl>
    <w:lvl w:ilvl="4" w:tplc="DBC49176">
      <w:start w:val="1"/>
      <w:numFmt w:val="lowerRoman"/>
      <w:lvlText w:val="%5)"/>
      <w:lvlJc w:val="left"/>
      <w:pPr>
        <w:ind w:left="3960" w:hanging="72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4B77CD8"/>
    <w:multiLevelType w:val="hybridMultilevel"/>
    <w:tmpl w:val="B1686686"/>
    <w:lvl w:ilvl="0" w:tplc="B5481E82">
      <w:start w:val="8"/>
      <w:numFmt w:val="decimal"/>
      <w:lvlText w:val="%1."/>
      <w:lvlJc w:val="left"/>
      <w:pPr>
        <w:ind w:left="720" w:hanging="360"/>
      </w:pPr>
      <w:rPr>
        <w:rFonts w:eastAsia="Calibri" w:hint="default"/>
        <w:b w:val="0"/>
        <w:bCs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9C7C50"/>
    <w:multiLevelType w:val="hybridMultilevel"/>
    <w:tmpl w:val="AB962B66"/>
    <w:lvl w:ilvl="0" w:tplc="4D3EB3BE">
      <w:start w:val="1"/>
      <w:numFmt w:val="lowerRoman"/>
      <w:lvlText w:val="(%1)"/>
      <w:lvlJc w:val="left"/>
      <w:pPr>
        <w:ind w:left="1080" w:hanging="720"/>
      </w:pPr>
      <w:rPr>
        <w:rFonts w:eastAsiaTheme="majorEastAsia"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8B80C78"/>
    <w:multiLevelType w:val="hybridMultilevel"/>
    <w:tmpl w:val="7E142B0E"/>
    <w:lvl w:ilvl="0" w:tplc="EFB8E5EE">
      <w:start w:val="137"/>
      <w:numFmt w:val="decimal"/>
      <w:lvlText w:val="%1."/>
      <w:lvlJc w:val="left"/>
      <w:pPr>
        <w:ind w:left="850" w:hanging="4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863593"/>
    <w:rsid w:val="004530CF"/>
    <w:rsid w:val="005539FF"/>
    <w:rsid w:val="008635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938F1115-EEB1-4EDA-9389-76A082D25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FC25BB"/>
    <w:pPr>
      <w:keepNext/>
      <w:spacing w:before="240" w:after="60"/>
      <w:outlineLvl w:val="0"/>
    </w:pPr>
    <w:rPr>
      <w:rFonts w:ascii="Cambria" w:eastAsia="Cambria" w:hAnsi="Cambria" w:cs="Cambria"/>
      <w:b/>
      <w:sz w:val="32"/>
      <w:szCs w:val="32"/>
    </w:rPr>
  </w:style>
  <w:style w:type="paragraph" w:styleId="Ttulo2">
    <w:name w:val="heading 2"/>
    <w:basedOn w:val="Normal"/>
    <w:next w:val="Normal"/>
    <w:link w:val="Ttulo2Car"/>
    <w:uiPriority w:val="9"/>
    <w:unhideWhenUsed/>
    <w:qFormat/>
    <w:rsid w:val="00FC25BB"/>
    <w:pPr>
      <w:keepNext/>
      <w:keepLines/>
      <w:spacing w:before="40"/>
      <w:outlineLvl w:val="1"/>
    </w:pPr>
    <w:rPr>
      <w:rFonts w:eastAsiaTheme="majorEastAsia" w:cstheme="majorBidi"/>
      <w:b/>
      <w:color w:val="000000" w:themeColor="text1"/>
      <w:sz w:val="28"/>
      <w:szCs w:val="26"/>
    </w:rPr>
  </w:style>
  <w:style w:type="paragraph" w:styleId="Ttulo3">
    <w:name w:val="heading 3"/>
    <w:basedOn w:val="Normal"/>
    <w:next w:val="Normal"/>
    <w:link w:val="Ttulo3Car"/>
    <w:uiPriority w:val="9"/>
    <w:unhideWhenUsed/>
    <w:qFormat/>
    <w:rsid w:val="00FC25BB"/>
    <w:pPr>
      <w:keepNext/>
      <w:keepLines/>
      <w:spacing w:before="40"/>
      <w:outlineLvl w:val="2"/>
    </w:pPr>
    <w:rPr>
      <w:rFonts w:eastAsiaTheme="majorEastAsia" w:cstheme="majorBidi"/>
      <w:b/>
      <w:color w:val="000000" w:themeColor="text1"/>
      <w:sz w:val="2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C25BB"/>
    <w:rPr>
      <w:rFonts w:ascii="Cambria" w:eastAsia="Cambria" w:hAnsi="Cambria" w:cs="Cambria"/>
      <w:b/>
      <w:sz w:val="32"/>
      <w:szCs w:val="32"/>
    </w:rPr>
  </w:style>
  <w:style w:type="character" w:customStyle="1" w:styleId="Ttulo2Car">
    <w:name w:val="Título 2 Car"/>
    <w:basedOn w:val="Fuentedeprrafopredeter"/>
    <w:link w:val="Ttulo2"/>
    <w:uiPriority w:val="9"/>
    <w:rsid w:val="00FC25BB"/>
    <w:rPr>
      <w:rFonts w:ascii="Times New Roman" w:eastAsiaTheme="majorEastAsia" w:hAnsi="Times New Roman" w:cstheme="majorBidi"/>
      <w:b/>
      <w:color w:val="000000" w:themeColor="text1"/>
      <w:sz w:val="28"/>
      <w:szCs w:val="26"/>
    </w:rPr>
  </w:style>
  <w:style w:type="character" w:customStyle="1" w:styleId="Ttulo3Car">
    <w:name w:val="Título 3 Car"/>
    <w:basedOn w:val="Fuentedeprrafopredeter"/>
    <w:link w:val="Ttulo3"/>
    <w:uiPriority w:val="9"/>
    <w:rsid w:val="00FC25BB"/>
    <w:rPr>
      <w:rFonts w:ascii="Times New Roman" w:eastAsiaTheme="majorEastAsia" w:hAnsi="Times New Roman" w:cstheme="majorBidi"/>
      <w:b/>
      <w:color w:val="000000" w:themeColor="text1"/>
      <w:sz w:val="28"/>
      <w:szCs w:val="24"/>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B"/>
    <w:basedOn w:val="Normal"/>
    <w:link w:val="PrrafodelistaCar"/>
    <w:uiPriority w:val="34"/>
    <w:qFormat/>
    <w:rsid w:val="00FC25BB"/>
    <w:pPr>
      <w:ind w:left="720"/>
      <w:contextualSpacing/>
    </w:p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e,Texto nota pie Ca"/>
    <w:basedOn w:val="Normal"/>
    <w:link w:val="TextonotapieCar"/>
    <w:uiPriority w:val="99"/>
    <w:unhideWhenUsed/>
    <w:qFormat/>
    <w:rsid w:val="00FC25BB"/>
    <w:rPr>
      <w:sz w:val="16"/>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FC25BB"/>
    <w:rPr>
      <w:rFonts w:ascii="Times New Roman" w:hAnsi="Times New Roman" w:cs="Times New Roman (Cuerpo en alfa"/>
      <w:sz w:val="16"/>
    </w:rPr>
  </w:style>
  <w:style w:type="character" w:styleId="Refdenotaalpie">
    <w:name w:val="footnote reference"/>
    <w:aliases w:val="Texto de nota al pie,Footnotes refss,Appel note de bas de page,Footnote number,referencia nota al pie,BVI fnr,f,4_G,16 Point,Superscript 6 Point,Ref. de nota al pie 2,Texto nota al pie,Footnote Reference Char3,Texto nota pie Car2,FC"/>
    <w:basedOn w:val="Fuentedeprrafopredeter"/>
    <w:link w:val="4GChar"/>
    <w:uiPriority w:val="99"/>
    <w:unhideWhenUsed/>
    <w:qFormat/>
    <w:rsid w:val="00FC25BB"/>
    <w:rPr>
      <w:vertAlign w:val="superscript"/>
    </w:rPr>
  </w:style>
  <w:style w:type="character" w:styleId="Refdecomentario">
    <w:name w:val="annotation reference"/>
    <w:basedOn w:val="Fuentedeprrafopredeter"/>
    <w:uiPriority w:val="99"/>
    <w:unhideWhenUsed/>
    <w:qFormat/>
    <w:rsid w:val="00FC25BB"/>
    <w:rPr>
      <w:sz w:val="16"/>
      <w:szCs w:val="16"/>
    </w:rPr>
  </w:style>
  <w:style w:type="paragraph" w:styleId="Textocomentario">
    <w:name w:val="annotation text"/>
    <w:basedOn w:val="Normal"/>
    <w:link w:val="TextocomentarioCar"/>
    <w:uiPriority w:val="99"/>
    <w:unhideWhenUsed/>
    <w:rsid w:val="00FC25BB"/>
  </w:style>
  <w:style w:type="character" w:customStyle="1" w:styleId="TextocomentarioCar">
    <w:name w:val="Texto comentario Car"/>
    <w:basedOn w:val="Fuentedeprrafopredeter"/>
    <w:link w:val="Textocomentario"/>
    <w:uiPriority w:val="99"/>
    <w:rsid w:val="00FC25BB"/>
    <w:rPr>
      <w:rFonts w:ascii="Times New Roman" w:hAnsi="Times New Roman" w:cs="Times New Roman (Cuerpo en alfa"/>
      <w:sz w:val="20"/>
    </w:rPr>
  </w:style>
  <w:style w:type="table" w:styleId="Tablaconcuadrcula">
    <w:name w:val="Table Grid"/>
    <w:basedOn w:val="Tablanormal"/>
    <w:uiPriority w:val="39"/>
    <w:rsid w:val="00FC25BB"/>
    <w:pPr>
      <w:widowControl w:val="0"/>
      <w:spacing w:after="0" w:line="240" w:lineRule="auto"/>
    </w:pPr>
    <w:rPr>
      <w:rFonts w:ascii="Times New Roman" w:eastAsia="Times New Roman" w:hAnsi="Times New Roman" w:cs="Times New Roman"/>
      <w:color w:val="00000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FC25BB"/>
    <w:pPr>
      <w:pBdr>
        <w:top w:val="nil"/>
        <w:left w:val="nil"/>
        <w:bottom w:val="nil"/>
        <w:right w:val="nil"/>
        <w:between w:val="nil"/>
      </w:pBdr>
      <w:contextualSpacing/>
      <w:jc w:val="both"/>
    </w:pPr>
    <w:rPr>
      <w:vertAlign w:val="superscript"/>
    </w:rPr>
  </w:style>
  <w:style w:type="paragraph" w:customStyle="1" w:styleId="Numerales">
    <w:name w:val="Numerales"/>
    <w:basedOn w:val="Normal"/>
    <w:link w:val="NumeralesCar"/>
    <w:qFormat/>
    <w:rsid w:val="00FC25BB"/>
    <w:pPr>
      <w:ind w:left="360" w:hanging="360"/>
      <w:jc w:val="both"/>
    </w:pPr>
    <w:rPr>
      <w:sz w:val="28"/>
      <w:szCs w:val="28"/>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qFormat/>
    <w:locked/>
    <w:rsid w:val="00FC25BB"/>
    <w:rPr>
      <w:rFonts w:ascii="Times New Roman" w:hAnsi="Times New Roman" w:cs="Times New Roman (Cuerpo en alfa"/>
      <w:sz w:val="20"/>
    </w:rPr>
  </w:style>
  <w:style w:type="character" w:customStyle="1" w:styleId="NumeralesCar">
    <w:name w:val="Numerales Car"/>
    <w:basedOn w:val="Fuentedeprrafopredeter"/>
    <w:link w:val="Numerales"/>
    <w:rsid w:val="00FC25BB"/>
    <w:rPr>
      <w:rFonts w:ascii="Times New Roman" w:hAnsi="Times New Roman" w:cs="Times New Roman (Cuerpo en alfa"/>
      <w:sz w:val="28"/>
      <w:szCs w:val="28"/>
    </w:rPr>
  </w:style>
  <w:style w:type="character" w:styleId="Hipervnculo">
    <w:name w:val="Hyperlink"/>
    <w:basedOn w:val="Fuentedeprrafopredeter"/>
    <w:uiPriority w:val="99"/>
    <w:unhideWhenUsed/>
    <w:rsid w:val="00FC25BB"/>
    <w:rPr>
      <w:color w:val="0563C1" w:themeColor="hyperlink"/>
      <w:u w:val="single"/>
    </w:rPr>
  </w:style>
  <w:style w:type="paragraph" w:styleId="Textodeglobo">
    <w:name w:val="Balloon Text"/>
    <w:basedOn w:val="Normal"/>
    <w:link w:val="TextodegloboCar"/>
    <w:uiPriority w:val="99"/>
    <w:semiHidden/>
    <w:unhideWhenUsed/>
    <w:rsid w:val="00FC25B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C25BB"/>
    <w:rPr>
      <w:rFonts w:ascii="Segoe UI" w:hAnsi="Segoe UI" w:cs="Segoe UI"/>
      <w:sz w:val="18"/>
      <w:szCs w:val="18"/>
    </w:rPr>
  </w:style>
  <w:style w:type="paragraph" w:styleId="Revisin">
    <w:name w:val="Revision"/>
    <w:hidden/>
    <w:uiPriority w:val="99"/>
    <w:semiHidden/>
    <w:rsid w:val="005C54A6"/>
    <w:pPr>
      <w:spacing w:after="0" w:line="240" w:lineRule="auto"/>
    </w:pPr>
    <w:rPr>
      <w:rFonts w:ascii="Times New Roman" w:hAnsi="Times New Roman" w:cs="Times New Roman (Cuerpo en alfa"/>
      <w:sz w:val="20"/>
    </w:rPr>
  </w:style>
  <w:style w:type="character" w:styleId="Mencinsinresolver">
    <w:name w:val="Unresolved Mention"/>
    <w:basedOn w:val="Fuentedeprrafopredeter"/>
    <w:uiPriority w:val="99"/>
    <w:semiHidden/>
    <w:unhideWhenUsed/>
    <w:rsid w:val="00D851FC"/>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664902"/>
    <w:rPr>
      <w:b/>
      <w:bCs/>
      <w:szCs w:val="20"/>
    </w:rPr>
  </w:style>
  <w:style w:type="character" w:customStyle="1" w:styleId="AsuntodelcomentarioCar">
    <w:name w:val="Asunto del comentario Car"/>
    <w:basedOn w:val="TextocomentarioCar"/>
    <w:link w:val="Asuntodelcomentario"/>
    <w:uiPriority w:val="99"/>
    <w:semiHidden/>
    <w:rsid w:val="00664902"/>
    <w:rPr>
      <w:rFonts w:ascii="Times New Roman" w:hAnsi="Times New Roman" w:cs="Times New Roman (Cuerpo en alfa"/>
      <w:b/>
      <w:bCs/>
      <w:sz w:val="20"/>
      <w:szCs w:val="20"/>
    </w:rPr>
  </w:style>
  <w:style w:type="paragraph" w:customStyle="1" w:styleId="Default">
    <w:name w:val="Default"/>
    <w:rsid w:val="00F45D0C"/>
    <w:pPr>
      <w:autoSpaceDE w:val="0"/>
      <w:autoSpaceDN w:val="0"/>
      <w:adjustRightInd w:val="0"/>
      <w:spacing w:after="0" w:line="240" w:lineRule="auto"/>
    </w:pPr>
    <w:rPr>
      <w:rFonts w:ascii="Georgia" w:hAnsi="Georgia" w:cs="Georgia"/>
      <w:color w:val="000000"/>
      <w:sz w:val="24"/>
      <w:szCs w:val="24"/>
    </w:rPr>
  </w:style>
  <w:style w:type="paragraph" w:styleId="NormalWeb">
    <w:name w:val="Normal (Web)"/>
    <w:basedOn w:val="Normal"/>
    <w:uiPriority w:val="99"/>
    <w:unhideWhenUsed/>
    <w:rsid w:val="00EE54D1"/>
    <w:pPr>
      <w:spacing w:before="100" w:beforeAutospacing="1" w:after="100" w:afterAutospacing="1"/>
    </w:pPr>
    <w:rPr>
      <w:rFonts w:eastAsia="Times New Roman" w:cs="Times New Roman"/>
      <w:sz w:val="24"/>
      <w:szCs w:val="24"/>
    </w:rPr>
  </w:style>
  <w:style w:type="character" w:customStyle="1" w:styleId="ng-star-inserted">
    <w:name w:val="ng-star-inserted"/>
    <w:basedOn w:val="Fuentedeprrafopredeter"/>
    <w:rsid w:val="008F50FE"/>
  </w:style>
  <w:style w:type="paragraph" w:customStyle="1" w:styleId="MediumShading1-Accent11">
    <w:name w:val="Medium Shading 1 - Accent 11"/>
    <w:uiPriority w:val="1"/>
    <w:qFormat/>
    <w:rsid w:val="00DF65DC"/>
    <w:pPr>
      <w:widowControl w:val="0"/>
      <w:pBdr>
        <w:top w:val="nil"/>
        <w:left w:val="nil"/>
        <w:bottom w:val="nil"/>
        <w:right w:val="nil"/>
        <w:between w:val="nil"/>
      </w:pBdr>
      <w:spacing w:after="0" w:line="240" w:lineRule="auto"/>
    </w:pPr>
    <w:rPr>
      <w:rFonts w:ascii="Calibri" w:eastAsia="Calibri" w:hAnsi="Calibri" w:cs="Calibri"/>
      <w:color w:val="000000"/>
      <w:sz w:val="20"/>
      <w:lang w:val="es-ES" w:eastAsia="es-ES"/>
    </w:rPr>
  </w:style>
  <w:style w:type="paragraph" w:styleId="Encabezado">
    <w:name w:val="header"/>
    <w:basedOn w:val="Normal"/>
    <w:link w:val="EncabezadoCar"/>
    <w:uiPriority w:val="99"/>
    <w:unhideWhenUsed/>
    <w:rsid w:val="008F1548"/>
    <w:pPr>
      <w:tabs>
        <w:tab w:val="center" w:pos="4419"/>
        <w:tab w:val="right" w:pos="8838"/>
      </w:tabs>
    </w:pPr>
  </w:style>
  <w:style w:type="character" w:customStyle="1" w:styleId="EncabezadoCar">
    <w:name w:val="Encabezado Car"/>
    <w:basedOn w:val="Fuentedeprrafopredeter"/>
    <w:link w:val="Encabezado"/>
    <w:uiPriority w:val="99"/>
    <w:rsid w:val="008F1548"/>
    <w:rPr>
      <w:rFonts w:ascii="Times New Roman" w:hAnsi="Times New Roman" w:cs="Times New Roman (Cuerpo en alfa"/>
      <w:sz w:val="20"/>
    </w:rPr>
  </w:style>
  <w:style w:type="paragraph" w:styleId="Piedepgina">
    <w:name w:val="footer"/>
    <w:basedOn w:val="Normal"/>
    <w:link w:val="PiedepginaCar"/>
    <w:uiPriority w:val="99"/>
    <w:unhideWhenUsed/>
    <w:rsid w:val="008F1548"/>
    <w:pPr>
      <w:tabs>
        <w:tab w:val="center" w:pos="4419"/>
        <w:tab w:val="right" w:pos="8838"/>
      </w:tabs>
    </w:pPr>
  </w:style>
  <w:style w:type="character" w:customStyle="1" w:styleId="PiedepginaCar">
    <w:name w:val="Pie de página Car"/>
    <w:basedOn w:val="Fuentedeprrafopredeter"/>
    <w:link w:val="Piedepgina"/>
    <w:uiPriority w:val="99"/>
    <w:rsid w:val="008F1548"/>
    <w:rPr>
      <w:rFonts w:ascii="Times New Roman" w:hAnsi="Times New Roman" w:cs="Times New Roman (Cuerpo en alfa"/>
      <w:sz w:val="20"/>
    </w:rPr>
  </w:style>
  <w:style w:type="character" w:customStyle="1" w:styleId="text-accent-secondary-000">
    <w:name w:val="text-accent-secondary-000"/>
    <w:basedOn w:val="Fuentedeprrafopredeter"/>
    <w:rsid w:val="005A6A6B"/>
  </w:style>
  <w:style w:type="character" w:styleId="Hipervnculovisitado">
    <w:name w:val="FollowedHyperlink"/>
    <w:basedOn w:val="Fuentedeprrafopredeter"/>
    <w:uiPriority w:val="99"/>
    <w:semiHidden/>
    <w:unhideWhenUsed/>
    <w:rsid w:val="007D40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16847</Words>
  <Characters>92662</Characters>
  <Application>Microsoft Office Word</Application>
  <DocSecurity>0</DocSecurity>
  <Lines>772</Lines>
  <Paragraphs>218</Paragraphs>
  <ScaleCrop>false</ScaleCrop>
  <Company/>
  <LinksUpToDate>false</LinksUpToDate>
  <CharactersWithSpaces>109291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2026-08-20T16:19:00Z</dcterms:created>
  <dcterms:modified xsi:type="dcterms:W3CDTF">2026-08-20T16:19:00Z</dcterms:modified>
</cp:coreProperties>
</file>