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83C30" w14:textId="2C883B06" w:rsidR="00362571" w:rsidRPr="00CF2E90" w:rsidRDefault="00362571" w:rsidP="001224E3">
      <w:pPr>
        <w:ind w:left="0" w:right="0" w:firstLine="0"/>
        <w:jc w:val="center"/>
        <w:rPr>
          <w:b/>
          <w:bCs/>
        </w:rPr>
      </w:pPr>
      <w:bookmarkStart w:id="0" w:name="_GoBack"/>
      <w:bookmarkEnd w:id="0"/>
      <w:r w:rsidRPr="00CF2E90">
        <w:rPr>
          <w:b/>
          <w:bCs/>
          <w:noProof/>
          <w:lang w:val="es-ES_tradnl"/>
        </w:rPr>
        <w:drawing>
          <wp:anchor distT="0" distB="0" distL="114300" distR="114300" simplePos="0" relativeHeight="251658240" behindDoc="1" locked="0" layoutInCell="1" allowOverlap="1" wp14:anchorId="6F6E6097" wp14:editId="787C7931">
            <wp:simplePos x="0" y="0"/>
            <wp:positionH relativeFrom="margin">
              <wp:align>center</wp:align>
            </wp:positionH>
            <wp:positionV relativeFrom="paragraph">
              <wp:posOffset>259080</wp:posOffset>
            </wp:positionV>
            <wp:extent cx="791845" cy="791845"/>
            <wp:effectExtent l="0" t="0" r="8255" b="8255"/>
            <wp:wrapTopAndBottom/>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1845" cy="791845"/>
                    </a:xfrm>
                    <a:prstGeom prst="rect">
                      <a:avLst/>
                    </a:prstGeom>
                  </pic:spPr>
                </pic:pic>
              </a:graphicData>
            </a:graphic>
            <wp14:sizeRelH relativeFrom="page">
              <wp14:pctWidth>0</wp14:pctWidth>
            </wp14:sizeRelH>
            <wp14:sizeRelV relativeFrom="page">
              <wp14:pctHeight>0</wp14:pctHeight>
            </wp14:sizeRelV>
          </wp:anchor>
        </w:drawing>
      </w:r>
      <w:r w:rsidRPr="00CF2E90">
        <w:rPr>
          <w:b/>
          <w:bCs/>
        </w:rPr>
        <w:t>REPÚBLICA DE COLOMBIA</w:t>
      </w:r>
    </w:p>
    <w:p w14:paraId="67D9B050" w14:textId="77777777" w:rsidR="00362571" w:rsidRPr="00CF2E90" w:rsidRDefault="00362571" w:rsidP="001224E3">
      <w:pPr>
        <w:ind w:left="0" w:right="0" w:firstLine="0"/>
        <w:jc w:val="center"/>
        <w:rPr>
          <w:b/>
          <w:bCs/>
        </w:rPr>
      </w:pPr>
      <w:r w:rsidRPr="00CF2E90">
        <w:rPr>
          <w:b/>
          <w:bCs/>
        </w:rPr>
        <w:t>CORTE CONSTITUCIONAL</w:t>
      </w:r>
    </w:p>
    <w:p w14:paraId="254DD3B7" w14:textId="77777777" w:rsidR="00362571" w:rsidRPr="00CF2E90" w:rsidRDefault="00362571" w:rsidP="001224E3">
      <w:pPr>
        <w:ind w:left="0" w:right="0" w:firstLine="0"/>
        <w:jc w:val="center"/>
        <w:rPr>
          <w:b/>
          <w:bCs/>
        </w:rPr>
      </w:pPr>
    </w:p>
    <w:p w14:paraId="35BFE77A" w14:textId="39588057" w:rsidR="00362571" w:rsidRPr="00CF2E90" w:rsidRDefault="00362571" w:rsidP="001224E3">
      <w:pPr>
        <w:ind w:left="0" w:right="0" w:firstLine="0"/>
        <w:jc w:val="center"/>
        <w:rPr>
          <w:b/>
          <w:bCs/>
        </w:rPr>
      </w:pPr>
      <w:r w:rsidRPr="00CF2E90">
        <w:rPr>
          <w:b/>
          <w:bCs/>
        </w:rPr>
        <w:t>SENTENCIA C</w:t>
      </w:r>
      <w:r w:rsidR="00D951DE" w:rsidRPr="00CF2E90">
        <w:rPr>
          <w:b/>
          <w:bCs/>
        </w:rPr>
        <w:t>-</w:t>
      </w:r>
      <w:r w:rsidR="005D60F7" w:rsidRPr="00CF2E90">
        <w:rPr>
          <w:b/>
          <w:bCs/>
        </w:rPr>
        <w:t>100</w:t>
      </w:r>
      <w:r w:rsidRPr="00CF2E90">
        <w:rPr>
          <w:b/>
          <w:bCs/>
        </w:rPr>
        <w:t xml:space="preserve"> DE 202</w:t>
      </w:r>
      <w:r w:rsidR="00D906B1" w:rsidRPr="00CF2E90">
        <w:rPr>
          <w:b/>
          <w:bCs/>
        </w:rPr>
        <w:t>6</w:t>
      </w:r>
    </w:p>
    <w:p w14:paraId="1E1FFE8D" w14:textId="77777777" w:rsidR="00362571" w:rsidRPr="00CF2E90" w:rsidRDefault="00362571" w:rsidP="001224E3">
      <w:pPr>
        <w:ind w:left="0" w:right="0" w:firstLine="0"/>
        <w:jc w:val="center"/>
      </w:pPr>
    </w:p>
    <w:p w14:paraId="4C7528C9" w14:textId="5F40ED25" w:rsidR="00362571" w:rsidRPr="00CF2E90" w:rsidRDefault="00362571" w:rsidP="003337D4">
      <w:pPr>
        <w:ind w:left="3544" w:right="0" w:firstLine="0"/>
      </w:pPr>
      <w:r w:rsidRPr="00CF2E90">
        <w:rPr>
          <w:b/>
          <w:bCs/>
        </w:rPr>
        <w:t>Referencia:</w:t>
      </w:r>
      <w:r w:rsidRPr="00CF2E90">
        <w:t xml:space="preserve"> </w:t>
      </w:r>
      <w:r w:rsidR="006F37A0" w:rsidRPr="00CF2E90">
        <w:t>e</w:t>
      </w:r>
      <w:r w:rsidRPr="00CF2E90">
        <w:t>xpediente</w:t>
      </w:r>
      <w:r w:rsidRPr="00CF2E90">
        <w:rPr>
          <w:b/>
        </w:rPr>
        <w:t xml:space="preserve"> </w:t>
      </w:r>
      <w:r w:rsidRPr="00CF2E90">
        <w:t>D-1</w:t>
      </w:r>
      <w:r w:rsidR="0094020A" w:rsidRPr="00CF2E90">
        <w:t>6</w:t>
      </w:r>
      <w:r w:rsidR="003337D4" w:rsidRPr="00CF2E90">
        <w:t>867</w:t>
      </w:r>
    </w:p>
    <w:p w14:paraId="45AA7E63" w14:textId="77777777" w:rsidR="00362571" w:rsidRPr="00CF2E90" w:rsidRDefault="00362571" w:rsidP="003337D4">
      <w:pPr>
        <w:ind w:left="3544" w:right="0" w:firstLine="0"/>
      </w:pPr>
    </w:p>
    <w:p w14:paraId="4C30C8F2" w14:textId="100D12CA" w:rsidR="00E27163" w:rsidRPr="00CF2E90" w:rsidRDefault="00E27163" w:rsidP="00E27163">
      <w:pPr>
        <w:ind w:left="3544" w:right="0" w:firstLine="0"/>
      </w:pPr>
      <w:r w:rsidRPr="00CF2E90">
        <w:t>Demanda de inconstitucionalidad contra los artículos 102, 103, 104, 105 y 106 de la Ley 906 de 2004, “Por la cual se expide el Código de Procedimiento Penal”</w:t>
      </w:r>
    </w:p>
    <w:p w14:paraId="66049B68" w14:textId="77777777" w:rsidR="00E27163" w:rsidRPr="00CF2E90" w:rsidRDefault="00E27163" w:rsidP="00E27163">
      <w:pPr>
        <w:ind w:left="0" w:right="0" w:firstLine="0"/>
      </w:pPr>
    </w:p>
    <w:p w14:paraId="7FAB4934" w14:textId="77777777" w:rsidR="00362571" w:rsidRPr="00CF2E90" w:rsidRDefault="00362571" w:rsidP="003337D4">
      <w:pPr>
        <w:ind w:left="3544" w:right="0" w:firstLine="0"/>
        <w:rPr>
          <w:b/>
          <w:bCs/>
        </w:rPr>
      </w:pPr>
      <w:r w:rsidRPr="00CF2E90">
        <w:rPr>
          <w:b/>
          <w:bCs/>
        </w:rPr>
        <w:t>Magistrada ponente:</w:t>
      </w:r>
    </w:p>
    <w:p w14:paraId="69244321" w14:textId="1A7DF808" w:rsidR="00362571" w:rsidRPr="00CF2E90" w:rsidRDefault="00EF05F6" w:rsidP="003337D4">
      <w:pPr>
        <w:ind w:left="3544" w:right="0" w:firstLine="0"/>
        <w:rPr>
          <w:b/>
          <w:bCs/>
        </w:rPr>
      </w:pPr>
      <w:r w:rsidRPr="00CF2E90">
        <w:rPr>
          <w:b/>
          <w:bCs/>
        </w:rPr>
        <w:t>Paola Andrea Meneses Mosquera</w:t>
      </w:r>
    </w:p>
    <w:p w14:paraId="2F3030EA" w14:textId="77777777" w:rsidR="00362571" w:rsidRPr="00CF2E90" w:rsidRDefault="00362571" w:rsidP="001224E3">
      <w:pPr>
        <w:ind w:left="0" w:right="0" w:firstLine="0"/>
      </w:pPr>
    </w:p>
    <w:p w14:paraId="66D1585F" w14:textId="0B64F043" w:rsidR="00362571" w:rsidRPr="00CF2E90" w:rsidRDefault="00362571" w:rsidP="001224E3">
      <w:pPr>
        <w:ind w:left="0" w:right="0" w:firstLine="0"/>
      </w:pPr>
      <w:r w:rsidRPr="00CF2E90">
        <w:t xml:space="preserve">Bogotá D.C., </w:t>
      </w:r>
      <w:r w:rsidR="005D60F7" w:rsidRPr="00CF2E90">
        <w:t>veintidós</w:t>
      </w:r>
      <w:r w:rsidRPr="00CF2E90">
        <w:t xml:space="preserve"> (</w:t>
      </w:r>
      <w:r w:rsidR="00B64B11" w:rsidRPr="00CF2E90">
        <w:t>2</w:t>
      </w:r>
      <w:r w:rsidR="005D60F7" w:rsidRPr="00CF2E90">
        <w:t>2</w:t>
      </w:r>
      <w:r w:rsidRPr="00CF2E90">
        <w:t xml:space="preserve">) de </w:t>
      </w:r>
      <w:r w:rsidR="005D60F7" w:rsidRPr="00CF2E90">
        <w:t>abril</w:t>
      </w:r>
      <w:r w:rsidRPr="00CF2E90">
        <w:t xml:space="preserve"> de dos mil </w:t>
      </w:r>
      <w:r w:rsidR="00723012" w:rsidRPr="00CF2E90">
        <w:t>veintiséis</w:t>
      </w:r>
      <w:r w:rsidR="00EF05F6" w:rsidRPr="00CF2E90">
        <w:t xml:space="preserve"> </w:t>
      </w:r>
      <w:r w:rsidRPr="00CF2E90">
        <w:t>(202</w:t>
      </w:r>
      <w:r w:rsidR="00723012" w:rsidRPr="00CF2E90">
        <w:t>6</w:t>
      </w:r>
      <w:r w:rsidRPr="00CF2E90">
        <w:t>)</w:t>
      </w:r>
    </w:p>
    <w:p w14:paraId="08382CC6" w14:textId="77777777" w:rsidR="00362571" w:rsidRPr="00CF2E90" w:rsidRDefault="00362571" w:rsidP="001224E3">
      <w:pPr>
        <w:ind w:left="0" w:right="0" w:firstLine="0"/>
        <w:rPr>
          <w:lang w:eastAsia="es-ES"/>
        </w:rPr>
      </w:pPr>
    </w:p>
    <w:p w14:paraId="6E1A6FDC" w14:textId="2D7C3294" w:rsidR="00362571" w:rsidRPr="00CF2E90" w:rsidRDefault="00362571" w:rsidP="001224E3">
      <w:pPr>
        <w:ind w:left="0" w:right="0" w:firstLine="0"/>
      </w:pPr>
      <w:r w:rsidRPr="00CF2E90">
        <w:t xml:space="preserve">La Sala Plena de la Corte Constitucional, en ejercicio de sus </w:t>
      </w:r>
      <w:r w:rsidR="00FD689A" w:rsidRPr="00CF2E90">
        <w:t>funciones</w:t>
      </w:r>
      <w:r w:rsidRPr="00CF2E90">
        <w:t xml:space="preserve"> constitucionales, y de conformidad con los requisitos y trámites previstos por el Decreto 2067 de 1991, profiere la siguiente:</w:t>
      </w:r>
    </w:p>
    <w:p w14:paraId="07423327" w14:textId="77777777" w:rsidR="00362571" w:rsidRPr="00CF2E90" w:rsidRDefault="00362571" w:rsidP="001224E3">
      <w:pPr>
        <w:ind w:left="0" w:right="0" w:firstLine="0"/>
      </w:pPr>
    </w:p>
    <w:p w14:paraId="11B105C2" w14:textId="77777777" w:rsidR="00362571" w:rsidRPr="00CF2E90" w:rsidRDefault="00362571" w:rsidP="001224E3">
      <w:pPr>
        <w:ind w:left="0" w:right="0" w:firstLine="0"/>
        <w:jc w:val="center"/>
        <w:rPr>
          <w:b/>
          <w:bCs/>
        </w:rPr>
      </w:pPr>
      <w:r w:rsidRPr="00CF2E90">
        <w:rPr>
          <w:b/>
          <w:bCs/>
        </w:rPr>
        <w:t>SENTENCIA</w:t>
      </w:r>
    </w:p>
    <w:p w14:paraId="0E2D0360" w14:textId="77777777" w:rsidR="00A61E5C" w:rsidRPr="00CF2E90" w:rsidRDefault="00A61E5C" w:rsidP="00BC310B">
      <w:pPr>
        <w:tabs>
          <w:tab w:val="left" w:pos="2448"/>
        </w:tabs>
        <w:ind w:left="0" w:right="0" w:firstLine="0"/>
        <w:rPr>
          <w:lang w:eastAsia="es-ES"/>
        </w:rPr>
      </w:pPr>
    </w:p>
    <w:p w14:paraId="4F36ABDB" w14:textId="36D1155B" w:rsidR="00362571" w:rsidRPr="00CF2E90" w:rsidRDefault="00A61E5C" w:rsidP="001224E3">
      <w:pPr>
        <w:tabs>
          <w:tab w:val="left" w:pos="2448"/>
        </w:tabs>
        <w:ind w:left="0" w:right="0" w:firstLine="0"/>
        <w:jc w:val="center"/>
        <w:rPr>
          <w:b/>
          <w:bCs/>
          <w:i/>
          <w:iCs/>
          <w:lang w:eastAsia="es-ES"/>
        </w:rPr>
      </w:pPr>
      <w:r w:rsidRPr="00CF2E90">
        <w:rPr>
          <w:b/>
          <w:bCs/>
          <w:i/>
          <w:iCs/>
          <w:lang w:eastAsia="es-ES"/>
        </w:rPr>
        <w:t>Síntesis de la decisión</w:t>
      </w:r>
    </w:p>
    <w:p w14:paraId="646544E1" w14:textId="77777777" w:rsidR="0092382F" w:rsidRPr="00CF2E90" w:rsidRDefault="0092382F" w:rsidP="00BC310B">
      <w:pPr>
        <w:tabs>
          <w:tab w:val="left" w:pos="2448"/>
        </w:tabs>
        <w:ind w:left="0" w:right="0" w:firstLine="0"/>
        <w:rPr>
          <w:lang w:eastAsia="es-ES"/>
        </w:rPr>
      </w:pPr>
    </w:p>
    <w:p w14:paraId="43712C5F" w14:textId="28F9B084" w:rsidR="00B209D0" w:rsidRPr="00CF2E90" w:rsidRDefault="00B209D0" w:rsidP="00B209D0">
      <w:pPr>
        <w:ind w:left="0" w:right="0" w:firstLine="0"/>
        <w:rPr>
          <w:color w:val="000000"/>
          <w:lang w:eastAsia="es-CO"/>
        </w:rPr>
      </w:pPr>
      <w:r w:rsidRPr="00CF2E90">
        <w:rPr>
          <w:b/>
          <w:bCs/>
          <w:color w:val="000000"/>
          <w:u w:val="single"/>
          <w:lang w:eastAsia="es-CO"/>
        </w:rPr>
        <w:t>La demanda</w:t>
      </w:r>
      <w:r w:rsidRPr="00CF2E90">
        <w:rPr>
          <w:color w:val="000000"/>
          <w:lang w:eastAsia="es-CO"/>
        </w:rPr>
        <w:t xml:space="preserve">. La Sala Plena de la Corte Constitucional estudió una demanda de inconstitucionalidad por omisión legislativa relativa contra los artículos 102 a 106 de la Ley 906 de 2004, los cuales regulan el incidente de reparación integral en el proceso penal. </w:t>
      </w:r>
      <w:r w:rsidR="00570400" w:rsidRPr="00CF2E90">
        <w:rPr>
          <w:color w:val="000000"/>
          <w:lang w:eastAsia="es-CO"/>
        </w:rPr>
        <w:t xml:space="preserve">Los demandantes alegaron que, al regular el trámite del incidente de reparación integral, el legislador omitió fijar un límite temporal a esta figura. En algunas partes de la demanda, se refirieron a la ausencia de un término máximo para su resolución; en otras, a la falta de un plazo de prescripción para iniciar la acción. </w:t>
      </w:r>
      <w:r w:rsidRPr="00CF2E90">
        <w:rPr>
          <w:color w:val="000000"/>
          <w:lang w:eastAsia="es-CO"/>
        </w:rPr>
        <w:t>Señalaron que</w:t>
      </w:r>
      <w:r w:rsidR="00251318" w:rsidRPr="00CF2E90">
        <w:rPr>
          <w:color w:val="000000"/>
          <w:lang w:eastAsia="es-CO"/>
        </w:rPr>
        <w:t>,</w:t>
      </w:r>
      <w:r w:rsidRPr="00CF2E90">
        <w:rPr>
          <w:color w:val="000000"/>
          <w:lang w:eastAsia="es-CO"/>
        </w:rPr>
        <w:t xml:space="preserve"> a diferencia de la Ley 600 de 2000</w:t>
      </w:r>
      <w:r w:rsidR="00251318" w:rsidRPr="00CF2E90">
        <w:rPr>
          <w:color w:val="000000"/>
          <w:lang w:eastAsia="es-CO"/>
        </w:rPr>
        <w:t>,</w:t>
      </w:r>
      <w:r w:rsidRPr="00CF2E90">
        <w:rPr>
          <w:color w:val="000000"/>
          <w:lang w:eastAsia="es-CO"/>
        </w:rPr>
        <w:t xml:space="preserve"> que</w:t>
      </w:r>
      <w:r w:rsidR="00251318" w:rsidRPr="00CF2E90">
        <w:rPr>
          <w:color w:val="000000"/>
          <w:lang w:eastAsia="es-CO"/>
        </w:rPr>
        <w:t>,</w:t>
      </w:r>
      <w:r w:rsidR="009D46A7" w:rsidRPr="00CF2E90">
        <w:rPr>
          <w:color w:val="000000"/>
          <w:lang w:eastAsia="es-CO"/>
        </w:rPr>
        <w:t xml:space="preserve"> al aludir a la acción civil,</w:t>
      </w:r>
      <w:r w:rsidRPr="00CF2E90">
        <w:rPr>
          <w:color w:val="000000"/>
          <w:lang w:eastAsia="es-CO"/>
        </w:rPr>
        <w:t xml:space="preserve"> permitía aplicar el término de prescripción previsto en el artículo 98 del Código Penal, la Ley 906 de 2004 (i) suprimió esa referencia sin sustituirla por un régimen temporal propio y (ii) no fijó un término de prescripción. </w:t>
      </w:r>
      <w:r w:rsidR="00251318" w:rsidRPr="00CF2E90">
        <w:rPr>
          <w:color w:val="000000"/>
          <w:lang w:eastAsia="es-CO"/>
        </w:rPr>
        <w:t>En su criterio,</w:t>
      </w:r>
      <w:r w:rsidRPr="00CF2E90">
        <w:rPr>
          <w:color w:val="000000"/>
          <w:lang w:eastAsia="es-CO"/>
        </w:rPr>
        <w:t xml:space="preserve"> esta omisión vulnera los artículos 29 y 229 de la Constitución Política y el artículo 8 de la Convención Americana sobre Derechos Humanos, al desconocer las garantías del debido proceso sin dilaciones injustificadas, el acceso efectivo a la administración de justicia y el principio del plazo razonable.</w:t>
      </w:r>
    </w:p>
    <w:p w14:paraId="6AF19340" w14:textId="77777777" w:rsidR="00B209D0" w:rsidRPr="00CF2E90" w:rsidRDefault="00B209D0" w:rsidP="00B209D0">
      <w:pPr>
        <w:ind w:left="0" w:right="0" w:firstLine="0"/>
        <w:rPr>
          <w:color w:val="000000"/>
          <w:lang w:eastAsia="es-CO"/>
        </w:rPr>
      </w:pPr>
    </w:p>
    <w:p w14:paraId="67C019E1" w14:textId="50AAF948" w:rsidR="00B209D0" w:rsidRPr="00CF2E90" w:rsidRDefault="00B209D0" w:rsidP="00B209D0">
      <w:pPr>
        <w:ind w:left="0" w:right="0" w:firstLine="0"/>
        <w:rPr>
          <w:color w:val="000000"/>
          <w:lang w:eastAsia="es-CO"/>
        </w:rPr>
      </w:pPr>
      <w:r w:rsidRPr="00CF2E90">
        <w:rPr>
          <w:color w:val="000000"/>
          <w:lang w:eastAsia="es-CO"/>
        </w:rPr>
        <w:t>En este sentido, solicitaron a la Corte dictar una sentencia integradora en la que se “llene el vacío normativo de manera transitoria aplicando por analogía una regla existente, mientras se exhorta al Congreso a expedir una regulación definitiva”. Asimismo, pidieron que, en el entretanto, se disponga que “el término de prescripción para iniciar el Incidente de Reparación Integral será igual al término de prescripción de la acción penal del delito por el cual se profirió la respectiva sentencia condenatoria”.</w:t>
      </w:r>
    </w:p>
    <w:p w14:paraId="4A2A22E3" w14:textId="77777777" w:rsidR="00B209D0" w:rsidRPr="00CF2E90" w:rsidRDefault="00B209D0" w:rsidP="00B209D0">
      <w:pPr>
        <w:ind w:left="0" w:right="0" w:firstLine="0"/>
        <w:rPr>
          <w:color w:val="000000"/>
          <w:lang w:eastAsia="es-CO"/>
        </w:rPr>
      </w:pPr>
    </w:p>
    <w:p w14:paraId="4FADBB55" w14:textId="428A3759" w:rsidR="00B209D0" w:rsidRPr="00CF2E90" w:rsidRDefault="00B209D0" w:rsidP="00B209D0">
      <w:pPr>
        <w:ind w:left="0" w:right="0" w:firstLine="0"/>
        <w:rPr>
          <w:color w:val="000000"/>
          <w:lang w:eastAsia="es-CO"/>
        </w:rPr>
      </w:pPr>
      <w:r w:rsidRPr="00CF2E90">
        <w:rPr>
          <w:b/>
          <w:bCs/>
          <w:color w:val="000000"/>
          <w:u w:val="single"/>
          <w:lang w:eastAsia="es-CO"/>
        </w:rPr>
        <w:t>Examen de la Sala.</w:t>
      </w:r>
      <w:r w:rsidRPr="00CF2E90">
        <w:rPr>
          <w:color w:val="000000"/>
          <w:lang w:eastAsia="es-CO"/>
        </w:rPr>
        <w:t xml:space="preserve"> La Corte concluyó que la demanda no </w:t>
      </w:r>
      <w:r w:rsidR="001E5916" w:rsidRPr="00CF2E90">
        <w:rPr>
          <w:color w:val="000000"/>
          <w:lang w:eastAsia="es-CO"/>
        </w:rPr>
        <w:t>cumplía con</w:t>
      </w:r>
      <w:r w:rsidRPr="00CF2E90">
        <w:rPr>
          <w:color w:val="000000"/>
          <w:lang w:eastAsia="es-CO"/>
        </w:rPr>
        <w:t xml:space="preserve"> los requisitos de aptitud sustantiva exigidos por la jurisprudencia constitucional para los cargos de omisión legislativa relativa. En concreto, la Sala encontró que el cargo carecía de claridad y certeza:</w:t>
      </w:r>
    </w:p>
    <w:p w14:paraId="22E609A9" w14:textId="77777777" w:rsidR="00B209D0" w:rsidRPr="00CF2E90" w:rsidRDefault="00B209D0" w:rsidP="00B209D0">
      <w:pPr>
        <w:ind w:left="600" w:right="0" w:firstLine="0"/>
        <w:rPr>
          <w:i/>
          <w:iCs/>
          <w:color w:val="000000"/>
          <w:lang w:eastAsia="es-CO"/>
        </w:rPr>
      </w:pPr>
    </w:p>
    <w:p w14:paraId="345C9ABC" w14:textId="545CB7A4" w:rsidR="00561A57" w:rsidRPr="00CF2E90" w:rsidRDefault="00B209D0" w:rsidP="00561A57">
      <w:pPr>
        <w:pStyle w:val="Prrafodelista"/>
        <w:numPr>
          <w:ilvl w:val="0"/>
          <w:numId w:val="3"/>
        </w:numPr>
        <w:ind w:left="567" w:right="0" w:hanging="283"/>
        <w:rPr>
          <w:color w:val="000000"/>
          <w:lang w:eastAsia="es-CO"/>
        </w:rPr>
      </w:pPr>
      <w:r w:rsidRPr="00CF2E90">
        <w:rPr>
          <w:i/>
          <w:iCs/>
          <w:color w:val="000000"/>
          <w:lang w:eastAsia="es-CO"/>
        </w:rPr>
        <w:t>Claridad.</w:t>
      </w:r>
      <w:r w:rsidRPr="00CF2E90">
        <w:rPr>
          <w:color w:val="000000"/>
          <w:lang w:eastAsia="es-CO"/>
        </w:rPr>
        <w:t> La Corte concluyó que la demanda no era clara</w:t>
      </w:r>
      <w:r w:rsidR="001E5916" w:rsidRPr="00CF2E90">
        <w:rPr>
          <w:color w:val="000000"/>
          <w:lang w:eastAsia="es-CO"/>
        </w:rPr>
        <w:t>, pues</w:t>
      </w:r>
      <w:r w:rsidRPr="00CF2E90">
        <w:rPr>
          <w:color w:val="000000"/>
          <w:lang w:eastAsia="es-CO"/>
        </w:rPr>
        <w:t xml:space="preserve"> aludía indistintamente a la inexistencia de (i) un término de prescripción de la acción resarcitoria y (ii) un término de duración máxima del proceso. Lo anterior, sin precisar cuál de estas figuras </w:t>
      </w:r>
      <w:r w:rsidR="001E5916" w:rsidRPr="00CF2E90">
        <w:rPr>
          <w:color w:val="000000"/>
          <w:lang w:eastAsia="es-CO"/>
        </w:rPr>
        <w:t>—</w:t>
      </w:r>
      <w:r w:rsidRPr="00CF2E90">
        <w:rPr>
          <w:color w:val="000000"/>
          <w:lang w:eastAsia="es-CO"/>
        </w:rPr>
        <w:t>de naturaleza y consecuencias jurídicas distintas</w:t>
      </w:r>
      <w:r w:rsidR="001E5916" w:rsidRPr="00CF2E90">
        <w:rPr>
          <w:color w:val="000000"/>
          <w:lang w:eastAsia="es-CO"/>
        </w:rPr>
        <w:t>—</w:t>
      </w:r>
      <w:r w:rsidRPr="00CF2E90">
        <w:rPr>
          <w:color w:val="000000"/>
          <w:lang w:eastAsia="es-CO"/>
        </w:rPr>
        <w:t xml:space="preserve"> constituía el ingrediente normativo presuntamente omitido por el legislador. En criterio de la Corte, esta ambivalencia impedía, como </w:t>
      </w:r>
      <w:r w:rsidR="001E5916" w:rsidRPr="00CF2E90">
        <w:rPr>
          <w:color w:val="000000"/>
          <w:lang w:eastAsia="es-CO"/>
        </w:rPr>
        <w:t>señaló la mayoría de los intervinientes, comprender</w:t>
      </w:r>
      <w:r w:rsidRPr="00CF2E90">
        <w:rPr>
          <w:color w:val="000000"/>
          <w:lang w:eastAsia="es-CO"/>
        </w:rPr>
        <w:t xml:space="preserve"> el verdadero alcance del cargo.</w:t>
      </w:r>
    </w:p>
    <w:p w14:paraId="5C43E4A8" w14:textId="5BB99787" w:rsidR="00B209D0" w:rsidRPr="00CF2E90" w:rsidRDefault="00B209D0" w:rsidP="00561A57">
      <w:pPr>
        <w:pStyle w:val="Prrafodelista"/>
        <w:numPr>
          <w:ilvl w:val="0"/>
          <w:numId w:val="3"/>
        </w:numPr>
        <w:ind w:left="567" w:right="0" w:hanging="283"/>
        <w:rPr>
          <w:color w:val="000000"/>
          <w:lang w:eastAsia="es-CO"/>
        </w:rPr>
      </w:pPr>
      <w:r w:rsidRPr="00CF2E90">
        <w:rPr>
          <w:i/>
          <w:iCs/>
          <w:color w:val="000000"/>
          <w:lang w:eastAsia="es-CO"/>
        </w:rPr>
        <w:t>Certeza.</w:t>
      </w:r>
      <w:r w:rsidRPr="00CF2E90">
        <w:rPr>
          <w:color w:val="000000"/>
          <w:lang w:eastAsia="es-CO"/>
        </w:rPr>
        <w:t xml:space="preserve"> La Corte determinó que el cargo carecía de certeza porque los demandantes fundaron su acusación en una lectura aislada -no sistemática- de las normas demandadas. Esto, al asumir que, dado que las normas demandadas no establecían de forma expresa un término máximo para la duración del incidente de reparación integral, este plazo no existía. Lo anterior, </w:t>
      </w:r>
      <w:r w:rsidR="00774F6A" w:rsidRPr="00CF2E90">
        <w:t>pese a que el artículo 25 del Código de Procedimiento Penal establece una regla de remisión expresa a la normat</w:t>
      </w:r>
      <w:r w:rsidR="00413308" w:rsidRPr="00CF2E90">
        <w:t>iva</w:t>
      </w:r>
      <w:r w:rsidR="00774F6A" w:rsidRPr="00CF2E90">
        <w:t xml:space="preserve"> procesal civil para los asuntos no regulados en ese estatuto, y la Sala de Casación Penal de la Corte Suprema de Justicia ha reconocido </w:t>
      </w:r>
      <w:r w:rsidR="001E5916" w:rsidRPr="00CF2E90">
        <w:t>reiteradamente</w:t>
      </w:r>
      <w:r w:rsidR="00774F6A" w:rsidRPr="00CF2E90">
        <w:t xml:space="preserve"> que en virtud de esa regla, el </w:t>
      </w:r>
      <w:r w:rsidR="00413308" w:rsidRPr="00CF2E90">
        <w:t>incidente de reparación integral</w:t>
      </w:r>
      <w:r w:rsidR="00774F6A" w:rsidRPr="00CF2E90">
        <w:t xml:space="preserve"> se rige por la normativ</w:t>
      </w:r>
      <w:r w:rsidR="00413308" w:rsidRPr="00CF2E90">
        <w:t>a</w:t>
      </w:r>
      <w:r w:rsidR="00774F6A" w:rsidRPr="00CF2E90">
        <w:t xml:space="preserve"> procesal civil en lo no previsto expresamente</w:t>
      </w:r>
      <w:r w:rsidRPr="00CF2E90">
        <w:rPr>
          <w:color w:val="000000"/>
          <w:lang w:eastAsia="es-CO"/>
        </w:rPr>
        <w:t xml:space="preserve">. A juicio de la Sala Plena, la existencia de esta norma de remisión y jurisprudencia penal ordinaria </w:t>
      </w:r>
      <w:r w:rsidR="001E5916" w:rsidRPr="00CF2E90">
        <w:rPr>
          <w:color w:val="000000"/>
          <w:lang w:eastAsia="es-CO"/>
        </w:rPr>
        <w:t>exigía</w:t>
      </w:r>
      <w:r w:rsidRPr="00CF2E90">
        <w:rPr>
          <w:color w:val="000000"/>
          <w:lang w:eastAsia="es-CO"/>
        </w:rPr>
        <w:t xml:space="preserve"> a los demandantes exponer las razones por las cuales, en todo caso, concluían que existía una omisión legislativa relativa. Los demandantes, sin embargo, no cumplieron con </w:t>
      </w:r>
      <w:r w:rsidR="001E5916" w:rsidRPr="00CF2E90">
        <w:rPr>
          <w:color w:val="000000"/>
          <w:lang w:eastAsia="es-CO"/>
        </w:rPr>
        <w:t>dicha</w:t>
      </w:r>
      <w:r w:rsidRPr="00CF2E90">
        <w:rPr>
          <w:color w:val="000000"/>
          <w:lang w:eastAsia="es-CO"/>
        </w:rPr>
        <w:t xml:space="preserve"> carga.</w:t>
      </w:r>
    </w:p>
    <w:p w14:paraId="44CFF8EF" w14:textId="77777777" w:rsidR="00B209D0" w:rsidRPr="00CF2E90" w:rsidRDefault="00B209D0" w:rsidP="00B209D0">
      <w:pPr>
        <w:pStyle w:val="Prrafodelista"/>
        <w:ind w:left="960" w:right="0" w:firstLine="0"/>
        <w:rPr>
          <w:color w:val="000000"/>
          <w:lang w:eastAsia="es-CO"/>
        </w:rPr>
      </w:pPr>
    </w:p>
    <w:p w14:paraId="33A7E2BD" w14:textId="458A6023" w:rsidR="00B209D0" w:rsidRPr="00CF2E90" w:rsidRDefault="00B209D0" w:rsidP="00B209D0">
      <w:pPr>
        <w:ind w:left="0" w:right="0" w:firstLine="0"/>
        <w:rPr>
          <w:color w:val="000000"/>
          <w:lang w:eastAsia="es-CO"/>
        </w:rPr>
      </w:pPr>
      <w:r w:rsidRPr="00CF2E90">
        <w:rPr>
          <w:b/>
          <w:bCs/>
          <w:color w:val="000000"/>
          <w:u w:val="single"/>
          <w:lang w:eastAsia="es-CO"/>
        </w:rPr>
        <w:t>Decisión</w:t>
      </w:r>
      <w:r w:rsidRPr="00CF2E90">
        <w:rPr>
          <w:color w:val="000000"/>
          <w:lang w:eastAsia="es-CO"/>
        </w:rPr>
        <w:t xml:space="preserve">. Con fundamento en las </w:t>
      </w:r>
      <w:r w:rsidR="00326454" w:rsidRPr="00CF2E90">
        <w:rPr>
          <w:color w:val="000000"/>
          <w:lang w:eastAsia="es-CO"/>
        </w:rPr>
        <w:t>consideraciones anteriores</w:t>
      </w:r>
      <w:r w:rsidRPr="00CF2E90">
        <w:rPr>
          <w:color w:val="000000"/>
          <w:lang w:eastAsia="es-CO"/>
        </w:rPr>
        <w:t>, la Corte se declaró inhibida para pronunciarse sobre la constitucionalidad de los artículos 102, 103, 104, 105 y 106 de la Ley 906 de 2004, “Por la cual se expide el Código de Procedimiento Penal”, por ineptitud sustantiva del cargo formulado en la demanda.</w:t>
      </w:r>
    </w:p>
    <w:p w14:paraId="6AB708E4" w14:textId="77777777" w:rsidR="005569CB" w:rsidRPr="00CF2E90" w:rsidRDefault="005569CB" w:rsidP="00BC310B">
      <w:pPr>
        <w:tabs>
          <w:tab w:val="left" w:pos="2448"/>
        </w:tabs>
        <w:ind w:left="0" w:right="0" w:firstLine="0"/>
        <w:rPr>
          <w:lang w:eastAsia="es-ES"/>
        </w:rPr>
      </w:pPr>
    </w:p>
    <w:p w14:paraId="7F6BDC3A" w14:textId="2F95897A" w:rsidR="00362571" w:rsidRPr="00CF2E90" w:rsidRDefault="00362571" w:rsidP="003D41C6">
      <w:pPr>
        <w:pStyle w:val="Ttulo2"/>
        <w:numPr>
          <w:ilvl w:val="0"/>
          <w:numId w:val="4"/>
        </w:numPr>
        <w:ind w:left="567" w:right="0" w:hanging="425"/>
      </w:pPr>
      <w:bookmarkStart w:id="1" w:name="_Toc67069263"/>
      <w:r w:rsidRPr="00CF2E90">
        <w:t>ANTECEDENTES</w:t>
      </w:r>
      <w:bookmarkEnd w:id="1"/>
      <w:r w:rsidRPr="00CF2E90">
        <w:t xml:space="preserve"> </w:t>
      </w:r>
    </w:p>
    <w:p w14:paraId="67EC9DF2" w14:textId="77777777" w:rsidR="00362571" w:rsidRPr="00CF2E90" w:rsidRDefault="00362571" w:rsidP="001224E3">
      <w:pPr>
        <w:ind w:left="0" w:right="0" w:firstLine="0"/>
      </w:pPr>
    </w:p>
    <w:p w14:paraId="7B7436EF" w14:textId="3448BC0B" w:rsidR="00362571" w:rsidRPr="00CF2E90" w:rsidRDefault="00362571" w:rsidP="003D41C6">
      <w:pPr>
        <w:numPr>
          <w:ilvl w:val="0"/>
          <w:numId w:val="5"/>
        </w:numPr>
        <w:ind w:left="567" w:right="0" w:hanging="425"/>
        <w:rPr>
          <w:b/>
          <w:bCs/>
        </w:rPr>
      </w:pPr>
      <w:r w:rsidRPr="00CF2E90">
        <w:rPr>
          <w:b/>
          <w:bCs/>
        </w:rPr>
        <w:t xml:space="preserve">Trámite de admisión </w:t>
      </w:r>
    </w:p>
    <w:p w14:paraId="346C6FDA" w14:textId="77777777" w:rsidR="00362571" w:rsidRPr="00CF2E90" w:rsidRDefault="00362571" w:rsidP="001224E3">
      <w:pPr>
        <w:ind w:left="0" w:right="0" w:firstLine="0"/>
      </w:pPr>
    </w:p>
    <w:p w14:paraId="2F8EE712" w14:textId="1E6BDEBF" w:rsidR="00EF1B15" w:rsidRPr="00CF2E90" w:rsidRDefault="00EF1B15">
      <w:pPr>
        <w:pStyle w:val="Prrafodelista"/>
        <w:widowControl w:val="0"/>
        <w:numPr>
          <w:ilvl w:val="0"/>
          <w:numId w:val="6"/>
        </w:numPr>
        <w:tabs>
          <w:tab w:val="left" w:pos="567"/>
        </w:tabs>
        <w:ind w:left="0" w:right="0" w:firstLine="0"/>
      </w:pPr>
      <w:r w:rsidRPr="00CF2E90">
        <w:t>El 22 de agosto de 2025, los ciudadanos Natalia María Moreno Báez y Andrés Francisco Sintura Sánchez presentaron demanda de inconstitucionalidad contra los artículos 102, 103, 104, 105 y 106 de la Ley 906 de 2004, “</w:t>
      </w:r>
      <w:r w:rsidR="003D41C6" w:rsidRPr="00CF2E90">
        <w:t>P</w:t>
      </w:r>
      <w:r w:rsidRPr="00CF2E90">
        <w:t>or la cual se expide el Código de Procedimiento Penal</w:t>
      </w:r>
      <w:r w:rsidR="00773DF0" w:rsidRPr="00CF2E90">
        <w:t>”</w:t>
      </w:r>
      <w:r w:rsidRPr="00CF2E90">
        <w:t xml:space="preserve">. </w:t>
      </w:r>
      <w:r w:rsidR="003D41C6" w:rsidRPr="00CF2E90">
        <w:t>S</w:t>
      </w:r>
      <w:r w:rsidRPr="00CF2E90">
        <w:t>ostuvieron que las normas acusadas desconocen los artículos 29 y 229 de la Constitución Política, así como el artículo 8 de la Convención Americana sobre Derechos Humanos (CADH), al no prever un término máximo para la tramitación del incidente de reparación integral</w:t>
      </w:r>
      <w:r w:rsidR="00740D0E" w:rsidRPr="00CF2E90">
        <w:t xml:space="preserve"> (en adelante, “</w:t>
      </w:r>
      <w:r w:rsidR="00740D0E" w:rsidRPr="00CF2E90">
        <w:rPr>
          <w:u w:val="single"/>
        </w:rPr>
        <w:t>IRI</w:t>
      </w:r>
      <w:r w:rsidR="00740D0E" w:rsidRPr="00CF2E90">
        <w:t>”)</w:t>
      </w:r>
      <w:r w:rsidRPr="00CF2E90">
        <w:t>.</w:t>
      </w:r>
    </w:p>
    <w:p w14:paraId="034EDB0B" w14:textId="77777777" w:rsidR="00EF1B15" w:rsidRPr="00CF2E90" w:rsidRDefault="00EF1B15" w:rsidP="00EF1B15">
      <w:pPr>
        <w:pStyle w:val="Prrafodelista"/>
        <w:widowControl w:val="0"/>
        <w:tabs>
          <w:tab w:val="left" w:pos="567"/>
        </w:tabs>
        <w:ind w:left="0" w:right="0" w:firstLine="0"/>
      </w:pPr>
    </w:p>
    <w:p w14:paraId="4FEF0DEF" w14:textId="23F8CC0A" w:rsidR="00F32C39" w:rsidRPr="00CF2E90" w:rsidRDefault="00EF1B15">
      <w:pPr>
        <w:pStyle w:val="Prrafodelista"/>
        <w:widowControl w:val="0"/>
        <w:numPr>
          <w:ilvl w:val="0"/>
          <w:numId w:val="6"/>
        </w:numPr>
        <w:tabs>
          <w:tab w:val="left" w:pos="567"/>
        </w:tabs>
        <w:ind w:left="0" w:right="0" w:firstLine="0"/>
      </w:pPr>
      <w:r w:rsidRPr="00CF2E90">
        <w:t>Mediante auto del 26 de septiembre de 2025, el magistrado sustanciador admitió la demanda</w:t>
      </w:r>
      <w:r w:rsidR="00773DF0" w:rsidRPr="00CF2E90">
        <w:rPr>
          <w:rStyle w:val="Refdenotaalpie"/>
        </w:rPr>
        <w:footnoteReference w:id="1"/>
      </w:r>
      <w:r w:rsidRPr="00CF2E90">
        <w:t>. En consecuencia, ordenó: (i) comunicar el inicio del proceso al Presidente de la República, al Presidente del Senado de la República, al Presidente de la Cámara de Representantes, al Ministro del Interior y al Ministro de Justicia y del Derecho; (ii) fijar en lista el asunto por el término de diez (10) días, para que cualquier ciudadano pudiera intervenir en defensa o impugnación de las normas demandadas; (iii) correr traslado al Procurador General de la Nación para que rindiera el correspondiente concepto; e (iv)</w:t>
      </w:r>
      <w:r w:rsidR="00F32C39" w:rsidRPr="00CF2E90">
        <w:t xml:space="preserve"> invitar a rendir concepto técnico especializado a diversas autoridades, instituciones académicas y organizaciones especializadas</w:t>
      </w:r>
      <w:r w:rsidR="00F32C39" w:rsidRPr="00CF2E90">
        <w:rPr>
          <w:rStyle w:val="Refdenotaalpie"/>
        </w:rPr>
        <w:footnoteReference w:id="2"/>
      </w:r>
      <w:r w:rsidR="00F32C39" w:rsidRPr="00CF2E90">
        <w:t xml:space="preserve">. </w:t>
      </w:r>
    </w:p>
    <w:p w14:paraId="7D22A3E0" w14:textId="77777777" w:rsidR="00EF1B15" w:rsidRPr="00CF2E90" w:rsidRDefault="00EF1B15" w:rsidP="00EF1B15">
      <w:pPr>
        <w:pStyle w:val="Prrafodelista"/>
        <w:widowControl w:val="0"/>
        <w:tabs>
          <w:tab w:val="left" w:pos="567"/>
        </w:tabs>
        <w:ind w:left="0" w:right="0" w:firstLine="0"/>
      </w:pPr>
    </w:p>
    <w:p w14:paraId="541441A4" w14:textId="26DEBD3C" w:rsidR="00EF1B15" w:rsidRPr="00CF2E90" w:rsidRDefault="00EF1B15">
      <w:pPr>
        <w:pStyle w:val="Prrafodelista"/>
        <w:widowControl w:val="0"/>
        <w:numPr>
          <w:ilvl w:val="0"/>
          <w:numId w:val="6"/>
        </w:numPr>
        <w:tabs>
          <w:tab w:val="left" w:pos="567"/>
        </w:tabs>
        <w:ind w:left="0" w:right="0" w:firstLine="0"/>
      </w:pPr>
      <w:r w:rsidRPr="00CF2E90">
        <w:t>Cumplidos los trámites constitucionales y legales propios de los procesos de constitucionalidad, la Sala Plena de esta Corte procede a decidir la demanda de la referencia.</w:t>
      </w:r>
    </w:p>
    <w:p w14:paraId="2502F196" w14:textId="77777777" w:rsidR="00EF1B15" w:rsidRPr="00CF2E90" w:rsidRDefault="00EF1B15" w:rsidP="00EF1B15">
      <w:pPr>
        <w:pStyle w:val="Prrafodelista"/>
        <w:widowControl w:val="0"/>
        <w:tabs>
          <w:tab w:val="left" w:pos="567"/>
        </w:tabs>
        <w:ind w:left="0" w:right="0" w:firstLine="0"/>
      </w:pPr>
    </w:p>
    <w:p w14:paraId="3417E081" w14:textId="2D55B231" w:rsidR="00EF41DE" w:rsidRPr="00CF2E90" w:rsidRDefault="003D41C6" w:rsidP="003D41C6">
      <w:pPr>
        <w:keepNext/>
        <w:numPr>
          <w:ilvl w:val="0"/>
          <w:numId w:val="5"/>
        </w:numPr>
        <w:ind w:left="426" w:right="0" w:hanging="284"/>
        <w:rPr>
          <w:b/>
        </w:rPr>
      </w:pPr>
      <w:bookmarkStart w:id="2" w:name="_Toc64141742"/>
      <w:bookmarkStart w:id="3" w:name="_Toc64191743"/>
      <w:bookmarkStart w:id="4" w:name="_Toc67069264"/>
      <w:r w:rsidRPr="00CF2E90">
        <w:rPr>
          <w:b/>
        </w:rPr>
        <w:t xml:space="preserve">    </w:t>
      </w:r>
      <w:r w:rsidR="00EF41DE" w:rsidRPr="00CF2E90">
        <w:rPr>
          <w:b/>
        </w:rPr>
        <w:t>Norma demandada</w:t>
      </w:r>
      <w:bookmarkEnd w:id="2"/>
      <w:bookmarkEnd w:id="3"/>
      <w:bookmarkEnd w:id="4"/>
      <w:r w:rsidR="00EF41DE" w:rsidRPr="00CF2E90">
        <w:rPr>
          <w:b/>
        </w:rPr>
        <w:t xml:space="preserve"> </w:t>
      </w:r>
    </w:p>
    <w:p w14:paraId="130C7275" w14:textId="77777777" w:rsidR="00EF41DE" w:rsidRPr="00CF2E90" w:rsidRDefault="00EF41DE" w:rsidP="001224E3">
      <w:pPr>
        <w:keepNext/>
        <w:ind w:left="0" w:right="0" w:firstLine="0"/>
        <w:jc w:val="left"/>
      </w:pPr>
    </w:p>
    <w:p w14:paraId="5F8FB1D1" w14:textId="20207C6D" w:rsidR="00EF41DE" w:rsidRPr="00CF2E90" w:rsidRDefault="00EF41DE">
      <w:pPr>
        <w:pStyle w:val="Prrafodelista"/>
        <w:numPr>
          <w:ilvl w:val="0"/>
          <w:numId w:val="6"/>
        </w:numPr>
        <w:ind w:left="0" w:right="0" w:firstLine="0"/>
      </w:pPr>
      <w:r w:rsidRPr="00CF2E90">
        <w:t>A continuación, se transcribe</w:t>
      </w:r>
      <w:r w:rsidR="002A7A17" w:rsidRPr="00CF2E90">
        <w:t>n</w:t>
      </w:r>
      <w:r w:rsidRPr="00CF2E90">
        <w:t xml:space="preserve"> </w:t>
      </w:r>
      <w:r w:rsidR="002A7A17" w:rsidRPr="00CF2E90">
        <w:t>los</w:t>
      </w:r>
      <w:r w:rsidR="006835A6" w:rsidRPr="00CF2E90">
        <w:t xml:space="preserve"> artículo</w:t>
      </w:r>
      <w:r w:rsidR="002A7A17" w:rsidRPr="00CF2E90">
        <w:t>s</w:t>
      </w:r>
      <w:r w:rsidR="006835A6" w:rsidRPr="00CF2E90">
        <w:t xml:space="preserve"> </w:t>
      </w:r>
      <w:r w:rsidR="002A7A17" w:rsidRPr="00CF2E90">
        <w:t>demandados de la Ley 906 de</w:t>
      </w:r>
      <w:r w:rsidR="003D41C6" w:rsidRPr="00CF2E90">
        <w:t xml:space="preserve"> </w:t>
      </w:r>
      <w:r w:rsidR="002A7A17" w:rsidRPr="00CF2E90">
        <w:t>2004</w:t>
      </w:r>
      <w:r w:rsidRPr="00CF2E90">
        <w:t>:</w:t>
      </w:r>
    </w:p>
    <w:p w14:paraId="4AB4F98B" w14:textId="0249FE15" w:rsidR="009349A5" w:rsidRPr="00CF2E90" w:rsidRDefault="009349A5" w:rsidP="001224E3">
      <w:pPr>
        <w:ind w:left="0" w:right="0" w:firstLine="0"/>
      </w:pPr>
    </w:p>
    <w:p w14:paraId="0557EC90" w14:textId="35E4D7CC" w:rsidR="002A7A17" w:rsidRPr="00CF2E90" w:rsidRDefault="002A7A17" w:rsidP="003D41C6">
      <w:pPr>
        <w:tabs>
          <w:tab w:val="left" w:pos="9072"/>
          <w:tab w:val="left" w:pos="9356"/>
        </w:tabs>
        <w:ind w:left="737" w:right="454" w:firstLine="0"/>
        <w:rPr>
          <w:szCs w:val="24"/>
          <w:lang w:val="es-ES" w:eastAsia="es-MX"/>
        </w:rPr>
      </w:pPr>
      <w:r w:rsidRPr="00CF2E90">
        <w:rPr>
          <w:szCs w:val="24"/>
          <w:lang w:val="es-ES" w:eastAsia="es-MX"/>
        </w:rPr>
        <w:t>“</w:t>
      </w:r>
      <w:r w:rsidRPr="00CF2E90">
        <w:rPr>
          <w:b/>
          <w:bCs/>
          <w:szCs w:val="24"/>
          <w:lang w:eastAsia="es-MX"/>
        </w:rPr>
        <w:t>Artículo 102. Procedencia y ejercicio del incidente de reparación integral.</w:t>
      </w:r>
      <w:r w:rsidRPr="00CF2E90">
        <w:rPr>
          <w:szCs w:val="24"/>
          <w:lang w:eastAsia="es-MX"/>
        </w:rPr>
        <w:t xml:space="preserve"> En firme la sentencia condenatoria y, previa solicitud expresa de la víctima, o del fiscal o del Ministerio Público a instancia de ella, el juez fallador convocará dentro de los ocho (8) días siguientes a la audiencia pública con la que dará inicio al incidente de reparación integral de los daños causados con la conducta criminal y ordenará las citaciones previstas en los artículos 107 y 108 de este Código, de ser solicitadas por el incidentante</w:t>
      </w:r>
      <w:r w:rsidRPr="00CF2E90">
        <w:rPr>
          <w:szCs w:val="24"/>
          <w:lang w:val="es-ES" w:eastAsia="es-MX"/>
        </w:rPr>
        <w:t xml:space="preserve">. </w:t>
      </w:r>
    </w:p>
    <w:p w14:paraId="191B0ECE" w14:textId="77777777" w:rsidR="002A7A17" w:rsidRPr="00CF2E90" w:rsidRDefault="002A7A17" w:rsidP="003D41C6">
      <w:pPr>
        <w:tabs>
          <w:tab w:val="left" w:pos="9072"/>
          <w:tab w:val="left" w:pos="9356"/>
        </w:tabs>
        <w:ind w:left="737" w:right="454" w:firstLine="0"/>
        <w:rPr>
          <w:szCs w:val="24"/>
          <w:lang w:val="es-ES" w:eastAsia="es-MX"/>
        </w:rPr>
      </w:pPr>
    </w:p>
    <w:p w14:paraId="3E13BB0B" w14:textId="77777777" w:rsidR="002A7A17" w:rsidRPr="00CF2E90" w:rsidRDefault="002A7A17" w:rsidP="003D41C6">
      <w:pPr>
        <w:tabs>
          <w:tab w:val="left" w:pos="9072"/>
          <w:tab w:val="left" w:pos="9356"/>
        </w:tabs>
        <w:ind w:left="737" w:right="454" w:firstLine="0"/>
        <w:rPr>
          <w:szCs w:val="24"/>
          <w:lang w:eastAsia="es-MX"/>
        </w:rPr>
      </w:pPr>
      <w:r w:rsidRPr="00CF2E90">
        <w:rPr>
          <w:b/>
          <w:bCs/>
          <w:szCs w:val="24"/>
          <w:lang w:eastAsia="es-MX"/>
        </w:rPr>
        <w:t xml:space="preserve">Artículo 103. Trámite del incidente de reparación integral. </w:t>
      </w:r>
      <w:r w:rsidRPr="00CF2E90">
        <w:rPr>
          <w:szCs w:val="24"/>
          <w:lang w:eastAsia="es-MX"/>
        </w:rPr>
        <w:t>Iniciada la audiencia el incidentante formulará oralmente su pretensión en contra del declarado penalmente responsable, con expresión concreta de la forma de reparación integral a la que aspira e indicación de las pruebas que hará valer. El juez examinará la pretensión y deberá rechazarla si quien la promueve no es víctima o está acreditado el pago efectivo de los</w:t>
      </w:r>
      <w:r w:rsidRPr="00CF2E90">
        <w:rPr>
          <w:b/>
          <w:bCs/>
          <w:szCs w:val="24"/>
          <w:lang w:eastAsia="es-MX"/>
        </w:rPr>
        <w:t xml:space="preserve"> </w:t>
      </w:r>
      <w:r w:rsidRPr="00CF2E90">
        <w:rPr>
          <w:szCs w:val="24"/>
          <w:lang w:eastAsia="es-MX"/>
        </w:rPr>
        <w:t>perjuicios y está fuera la única pretensión formulada. La decisión negativa al reconocimiento de la condición de víctima será objeto de los recursos ordinarios en los términos de este código.</w:t>
      </w:r>
    </w:p>
    <w:p w14:paraId="15FB7668" w14:textId="77777777" w:rsidR="002A7A17" w:rsidRPr="00CF2E90" w:rsidRDefault="002A7A17" w:rsidP="003D41C6">
      <w:pPr>
        <w:tabs>
          <w:tab w:val="left" w:pos="9072"/>
          <w:tab w:val="left" w:pos="9356"/>
        </w:tabs>
        <w:ind w:left="737" w:right="454" w:firstLine="0"/>
        <w:rPr>
          <w:szCs w:val="24"/>
          <w:lang w:eastAsia="es-MX"/>
        </w:rPr>
      </w:pPr>
    </w:p>
    <w:p w14:paraId="6AFA2C5A" w14:textId="77777777" w:rsidR="002A7A17" w:rsidRPr="00CF2E90" w:rsidRDefault="002A7A17" w:rsidP="003D41C6">
      <w:pPr>
        <w:tabs>
          <w:tab w:val="left" w:pos="9072"/>
        </w:tabs>
        <w:ind w:left="737" w:right="454" w:firstLine="0"/>
        <w:rPr>
          <w:szCs w:val="24"/>
          <w:lang w:eastAsia="es-MX"/>
        </w:rPr>
      </w:pPr>
      <w:r w:rsidRPr="00CF2E90">
        <w:rPr>
          <w:szCs w:val="24"/>
          <w:lang w:eastAsia="es-MX"/>
        </w:rPr>
        <w:t>Admitida la pretensión el juez la pondrá en conocimiento del condenado y acto seguido ofrecerá la posibilidad de una conciliación que de prosperar dará término al incidente. En caso contrario el juez fijará fecha para una nueva audiencia dentro de los ocho (8) días siguientes para intentar nuevamente la conciliación y de no lograrse, el sentenciado deberá ofrecer sus propios medios de prueba.</w:t>
      </w:r>
    </w:p>
    <w:p w14:paraId="1A8457DB" w14:textId="77777777" w:rsidR="002A7A17" w:rsidRPr="00CF2E90" w:rsidRDefault="002A7A17" w:rsidP="003D41C6">
      <w:pPr>
        <w:tabs>
          <w:tab w:val="left" w:pos="9072"/>
        </w:tabs>
        <w:ind w:left="737" w:right="454" w:firstLine="0"/>
        <w:rPr>
          <w:szCs w:val="24"/>
          <w:lang w:eastAsia="es-MX"/>
        </w:rPr>
      </w:pPr>
    </w:p>
    <w:p w14:paraId="622B3A68" w14:textId="77777777" w:rsidR="002A7A17" w:rsidRPr="00CF2E90" w:rsidRDefault="002A7A17" w:rsidP="003D41C6">
      <w:pPr>
        <w:tabs>
          <w:tab w:val="left" w:pos="9072"/>
        </w:tabs>
        <w:ind w:left="737" w:right="454" w:firstLine="0"/>
        <w:rPr>
          <w:szCs w:val="24"/>
          <w:lang w:eastAsia="es-MX"/>
        </w:rPr>
      </w:pPr>
      <w:r w:rsidRPr="00CF2E90">
        <w:rPr>
          <w:b/>
          <w:bCs/>
          <w:szCs w:val="24"/>
          <w:lang w:eastAsia="es-MX"/>
        </w:rPr>
        <w:t>Artículo 104. Audiencia de pruebas y alegaciones</w:t>
      </w:r>
      <w:r w:rsidRPr="00CF2E90">
        <w:rPr>
          <w:szCs w:val="24"/>
          <w:lang w:eastAsia="es-MX"/>
        </w:rPr>
        <w:t>. El día y hora señalados el juez realizará la audiencia, la cual iniciará con una invitación a los intervinientes a conciliar. De lograrse el acuerdo su contenido se incorporará a la decisión. En caso contrario, se procederá a la práctica de la prueba ofrecida por cada parte y se oirá el fundamento de sus pretensiones.</w:t>
      </w:r>
    </w:p>
    <w:p w14:paraId="2F6C9D6C" w14:textId="77777777" w:rsidR="002A7A17" w:rsidRPr="00CF2E90" w:rsidRDefault="002A7A17" w:rsidP="003D41C6">
      <w:pPr>
        <w:tabs>
          <w:tab w:val="left" w:pos="9072"/>
          <w:tab w:val="left" w:pos="9356"/>
        </w:tabs>
        <w:ind w:left="737" w:right="454" w:firstLine="0"/>
        <w:rPr>
          <w:szCs w:val="24"/>
          <w:lang w:eastAsia="es-MX"/>
        </w:rPr>
      </w:pPr>
    </w:p>
    <w:p w14:paraId="74DFF273" w14:textId="77777777" w:rsidR="002A7A17" w:rsidRPr="00CF2E90" w:rsidRDefault="002A7A17" w:rsidP="003D41C6">
      <w:pPr>
        <w:tabs>
          <w:tab w:val="left" w:pos="8931"/>
          <w:tab w:val="left" w:pos="9072"/>
        </w:tabs>
        <w:ind w:left="737" w:right="454" w:firstLine="0"/>
        <w:rPr>
          <w:szCs w:val="24"/>
          <w:lang w:eastAsia="es-MX"/>
        </w:rPr>
      </w:pPr>
      <w:r w:rsidRPr="00CF2E90">
        <w:rPr>
          <w:b/>
          <w:bCs/>
          <w:szCs w:val="24"/>
          <w:lang w:eastAsia="es-MX"/>
        </w:rPr>
        <w:t>PARÁGRAFO</w:t>
      </w:r>
      <w:r w:rsidRPr="00CF2E90">
        <w:rPr>
          <w:szCs w:val="24"/>
          <w:lang w:eastAsia="es-MX"/>
        </w:rPr>
        <w:t xml:space="preserve">. La ausencia injustificada del solicitante a las audiencias de este trámite implicará el desistimiento de la pretensión, el archivo de la solicitud, y la condenatoria en costas. Si injustificadamente no compareciere el declarado penalmente responsable se recibirá la prueba ofrecida por los presentes y, con base en ella, se resolverá. Quien no comparezca, habiendo sido citado en forma debida, quedará vinculado a los resultados de la decisión del incidente. </w:t>
      </w:r>
    </w:p>
    <w:p w14:paraId="4E652B26" w14:textId="77777777" w:rsidR="002A7A17" w:rsidRPr="00CF2E90" w:rsidRDefault="002A7A17" w:rsidP="003D41C6">
      <w:pPr>
        <w:tabs>
          <w:tab w:val="left" w:pos="8931"/>
          <w:tab w:val="left" w:pos="9072"/>
        </w:tabs>
        <w:ind w:left="737" w:right="454" w:firstLine="0"/>
        <w:rPr>
          <w:szCs w:val="24"/>
          <w:lang w:eastAsia="es-MX"/>
        </w:rPr>
      </w:pPr>
    </w:p>
    <w:p w14:paraId="1A3536EF" w14:textId="77777777" w:rsidR="002A7A17" w:rsidRPr="00CF2E90" w:rsidRDefault="002A7A17" w:rsidP="003D41C6">
      <w:pPr>
        <w:tabs>
          <w:tab w:val="left" w:pos="8931"/>
          <w:tab w:val="left" w:pos="9072"/>
        </w:tabs>
        <w:ind w:left="737" w:right="454" w:firstLine="0"/>
        <w:rPr>
          <w:szCs w:val="24"/>
          <w:lang w:eastAsia="es-MX"/>
        </w:rPr>
      </w:pPr>
      <w:r w:rsidRPr="00CF2E90">
        <w:rPr>
          <w:b/>
          <w:bCs/>
          <w:szCs w:val="24"/>
          <w:lang w:eastAsia="es-MX"/>
        </w:rPr>
        <w:t>Artículo 105. Decisión de reparación integral</w:t>
      </w:r>
      <w:r w:rsidRPr="00CF2E90">
        <w:rPr>
          <w:szCs w:val="24"/>
          <w:lang w:eastAsia="es-MX"/>
        </w:rPr>
        <w:t xml:space="preserve">. En la misma audiencia el juez adoptará la decisión que ponga fin al incidente, mediante sentencia. </w:t>
      </w:r>
    </w:p>
    <w:p w14:paraId="06893868" w14:textId="77777777" w:rsidR="002A7A17" w:rsidRPr="00CF2E90" w:rsidRDefault="002A7A17" w:rsidP="003D41C6">
      <w:pPr>
        <w:tabs>
          <w:tab w:val="left" w:pos="8931"/>
          <w:tab w:val="left" w:pos="9072"/>
        </w:tabs>
        <w:ind w:left="737" w:right="454" w:firstLine="0"/>
        <w:rPr>
          <w:szCs w:val="24"/>
          <w:lang w:eastAsia="es-MX"/>
        </w:rPr>
      </w:pPr>
    </w:p>
    <w:p w14:paraId="5945AF7E" w14:textId="146F95EC" w:rsidR="002A7A17" w:rsidRPr="00CF2E90" w:rsidRDefault="002A7A17" w:rsidP="003D41C6">
      <w:pPr>
        <w:tabs>
          <w:tab w:val="left" w:pos="8931"/>
          <w:tab w:val="left" w:pos="9072"/>
        </w:tabs>
        <w:ind w:left="737" w:right="454" w:firstLine="0"/>
        <w:rPr>
          <w:i/>
          <w:iCs/>
          <w:szCs w:val="24"/>
          <w:lang w:eastAsia="es-MX"/>
        </w:rPr>
      </w:pPr>
      <w:r w:rsidRPr="00CF2E90">
        <w:rPr>
          <w:b/>
          <w:bCs/>
          <w:szCs w:val="24"/>
          <w:lang w:eastAsia="es-MX"/>
        </w:rPr>
        <w:t>Artículo 106. Caducidad</w:t>
      </w:r>
      <w:r w:rsidRPr="00CF2E90">
        <w:rPr>
          <w:szCs w:val="24"/>
          <w:lang w:eastAsia="es-MX"/>
        </w:rPr>
        <w:t>. La solicitud para la reparación integral por medio de este procedimiento especial caduca treinta (30) días después de haber quedado en firme el fallo condenatorio”.</w:t>
      </w:r>
    </w:p>
    <w:p w14:paraId="2D3A0252" w14:textId="77777777" w:rsidR="002A7A17" w:rsidRPr="00CF2E90" w:rsidRDefault="002A7A17" w:rsidP="001224E3">
      <w:pPr>
        <w:widowControl w:val="0"/>
        <w:tabs>
          <w:tab w:val="left" w:pos="567"/>
        </w:tabs>
        <w:ind w:left="0" w:right="0" w:firstLine="0"/>
        <w:contextualSpacing/>
        <w:rPr>
          <w:lang w:eastAsia="es-ES"/>
        </w:rPr>
      </w:pPr>
    </w:p>
    <w:p w14:paraId="5C3CE154" w14:textId="4EA73D11" w:rsidR="00EF41DE" w:rsidRPr="00CF2E90" w:rsidRDefault="003D41C6" w:rsidP="003D41C6">
      <w:pPr>
        <w:pStyle w:val="Prrafodelista"/>
        <w:numPr>
          <w:ilvl w:val="0"/>
          <w:numId w:val="5"/>
        </w:numPr>
        <w:ind w:left="426" w:right="0" w:hanging="284"/>
        <w:rPr>
          <w:b/>
        </w:rPr>
      </w:pPr>
      <w:bookmarkStart w:id="5" w:name="296"/>
      <w:bookmarkEnd w:id="5"/>
      <w:r w:rsidRPr="00CF2E90">
        <w:rPr>
          <w:b/>
        </w:rPr>
        <w:t xml:space="preserve">    </w:t>
      </w:r>
      <w:r w:rsidR="009063D6" w:rsidRPr="00CF2E90">
        <w:rPr>
          <w:b/>
        </w:rPr>
        <w:t>La demanda</w:t>
      </w:r>
    </w:p>
    <w:p w14:paraId="5B0DC218" w14:textId="77777777" w:rsidR="00BA69C7" w:rsidRPr="00CF2E90" w:rsidRDefault="00BA69C7" w:rsidP="00BA69C7">
      <w:pPr>
        <w:ind w:left="0" w:right="0" w:firstLine="0"/>
        <w:rPr>
          <w:b/>
        </w:rPr>
      </w:pPr>
    </w:p>
    <w:p w14:paraId="0DB19066" w14:textId="15FC7CE5" w:rsidR="005247E6" w:rsidRPr="00CF2E90" w:rsidRDefault="00954309" w:rsidP="000B32E5">
      <w:pPr>
        <w:pStyle w:val="Prrafodelista"/>
        <w:numPr>
          <w:ilvl w:val="0"/>
          <w:numId w:val="6"/>
        </w:numPr>
        <w:autoSpaceDE w:val="0"/>
        <w:autoSpaceDN w:val="0"/>
        <w:adjustRightInd w:val="0"/>
        <w:ind w:left="0" w:right="0" w:firstLine="0"/>
        <w:rPr>
          <w:bCs/>
        </w:rPr>
      </w:pPr>
      <w:r w:rsidRPr="00CF2E90">
        <w:rPr>
          <w:bCs/>
        </w:rPr>
        <w:t xml:space="preserve">Los demandantes </w:t>
      </w:r>
      <w:r w:rsidR="000B32E5" w:rsidRPr="00CF2E90">
        <w:rPr>
          <w:bCs/>
        </w:rPr>
        <w:t>argumentaron que el legislador incurrió en una omisión legislativa relativa</w:t>
      </w:r>
      <w:r w:rsidRPr="00CF2E90">
        <w:rPr>
          <w:rStyle w:val="Refdenotaalpie"/>
          <w:bCs/>
        </w:rPr>
        <w:footnoteReference w:id="3"/>
      </w:r>
      <w:r w:rsidR="000B32E5" w:rsidRPr="00CF2E90">
        <w:rPr>
          <w:bCs/>
        </w:rPr>
        <w:t xml:space="preserve"> que vulnera los artículos 29 y 229 de la Constitución Política. Esto, porque</w:t>
      </w:r>
      <w:r w:rsidRPr="00CF2E90">
        <w:rPr>
          <w:bCs/>
        </w:rPr>
        <w:t xml:space="preserve"> los artículos 102 a 106 de la Ley 906 de 2004 regulan el procedimiento judicial del </w:t>
      </w:r>
      <w:r w:rsidR="00413308" w:rsidRPr="00CF2E90">
        <w:rPr>
          <w:bCs/>
        </w:rPr>
        <w:t>IRI</w:t>
      </w:r>
      <w:r w:rsidRPr="00CF2E90">
        <w:rPr>
          <w:bCs/>
        </w:rPr>
        <w:t xml:space="preserve">, </w:t>
      </w:r>
      <w:r w:rsidR="008858E3" w:rsidRPr="00CF2E90">
        <w:rPr>
          <w:bCs/>
        </w:rPr>
        <w:t>pero omiten “por completo la fijación de un término máximo para su trámite o, en otras palabras, su prescripción”</w:t>
      </w:r>
      <w:r w:rsidR="008858E3" w:rsidRPr="00CF2E90">
        <w:rPr>
          <w:rStyle w:val="Refdenotaalpie"/>
          <w:bCs/>
        </w:rPr>
        <w:footnoteReference w:id="4"/>
      </w:r>
      <w:r w:rsidR="008858E3" w:rsidRPr="00CF2E90">
        <w:rPr>
          <w:bCs/>
        </w:rPr>
        <w:t xml:space="preserve">. </w:t>
      </w:r>
      <w:r w:rsidR="00E42F16" w:rsidRPr="00CF2E90">
        <w:rPr>
          <w:bCs/>
        </w:rPr>
        <w:t>Destac</w:t>
      </w:r>
      <w:r w:rsidR="008858E3" w:rsidRPr="00CF2E90">
        <w:rPr>
          <w:bCs/>
        </w:rPr>
        <w:t>aron que “[s]i bien la norma establece un plazo de caducidad para iniciar la acción, esta figura tiene consecuencias jurídicas distintas y no resuelve el vacío señalado, pues se limita al tiempo para promover el incidente, mas no a su duración”</w:t>
      </w:r>
      <w:r w:rsidR="008858E3" w:rsidRPr="00CF2E90">
        <w:rPr>
          <w:rStyle w:val="Refdenotaalpie"/>
          <w:bCs/>
        </w:rPr>
        <w:footnoteReference w:id="5"/>
      </w:r>
      <w:r w:rsidR="008858E3" w:rsidRPr="00CF2E90">
        <w:rPr>
          <w:bCs/>
        </w:rPr>
        <w:t xml:space="preserve">. </w:t>
      </w:r>
    </w:p>
    <w:p w14:paraId="6DB517FB" w14:textId="77777777" w:rsidR="000B32E5" w:rsidRPr="00CF2E90" w:rsidRDefault="000B32E5" w:rsidP="000B32E5">
      <w:pPr>
        <w:pStyle w:val="Prrafodelista"/>
        <w:autoSpaceDE w:val="0"/>
        <w:autoSpaceDN w:val="0"/>
        <w:adjustRightInd w:val="0"/>
        <w:ind w:left="0" w:right="0" w:firstLine="0"/>
        <w:rPr>
          <w:bCs/>
        </w:rPr>
      </w:pPr>
    </w:p>
    <w:p w14:paraId="2146115C" w14:textId="601DE340" w:rsidR="000B32E5" w:rsidRPr="00CF2E90" w:rsidRDefault="000B32E5" w:rsidP="000B32E5">
      <w:pPr>
        <w:pStyle w:val="Prrafodelista"/>
        <w:numPr>
          <w:ilvl w:val="0"/>
          <w:numId w:val="6"/>
        </w:numPr>
        <w:autoSpaceDE w:val="0"/>
        <w:autoSpaceDN w:val="0"/>
        <w:adjustRightInd w:val="0"/>
        <w:ind w:left="0" w:right="0" w:firstLine="0"/>
        <w:rPr>
          <w:bCs/>
        </w:rPr>
      </w:pPr>
      <w:r w:rsidRPr="00CF2E90">
        <w:rPr>
          <w:bCs/>
        </w:rPr>
        <w:t xml:space="preserve">Los demandantes reconocieron </w:t>
      </w:r>
      <w:r w:rsidR="00AA2324" w:rsidRPr="00CF2E90">
        <w:rPr>
          <w:bCs/>
        </w:rPr>
        <w:t>que,</w:t>
      </w:r>
      <w:r w:rsidRPr="00CF2E90">
        <w:rPr>
          <w:bCs/>
        </w:rPr>
        <w:t xml:space="preserve"> conforme a la jurisprudencia constitucional, para formular un cargo por omisión legislativa relativa, </w:t>
      </w:r>
      <w:r w:rsidR="000D4FF6" w:rsidRPr="00CF2E90">
        <w:rPr>
          <w:bCs/>
        </w:rPr>
        <w:t>se debe</w:t>
      </w:r>
      <w:r w:rsidR="00D97058" w:rsidRPr="00CF2E90">
        <w:rPr>
          <w:bCs/>
        </w:rPr>
        <w:t>n acreditar cuatro requisitos</w:t>
      </w:r>
      <w:r w:rsidRPr="00CF2E90">
        <w:rPr>
          <w:bCs/>
        </w:rPr>
        <w:t>: (</w:t>
      </w:r>
      <w:r w:rsidR="009A0EE9" w:rsidRPr="00CF2E90">
        <w:rPr>
          <w:bCs/>
        </w:rPr>
        <w:t>1</w:t>
      </w:r>
      <w:r w:rsidRPr="00CF2E90">
        <w:rPr>
          <w:bCs/>
        </w:rPr>
        <w:t xml:space="preserve">) </w:t>
      </w:r>
      <w:r w:rsidR="00D97058" w:rsidRPr="00CF2E90">
        <w:rPr>
          <w:bCs/>
        </w:rPr>
        <w:t xml:space="preserve">identificar </w:t>
      </w:r>
      <w:r w:rsidRPr="00CF2E90">
        <w:rPr>
          <w:bCs/>
        </w:rPr>
        <w:t>una norma sobre la cual se predique la omisión; (</w:t>
      </w:r>
      <w:r w:rsidR="009A0EE9" w:rsidRPr="00CF2E90">
        <w:rPr>
          <w:bCs/>
        </w:rPr>
        <w:t>2</w:t>
      </w:r>
      <w:r w:rsidR="000D4FF6" w:rsidRPr="00CF2E90">
        <w:rPr>
          <w:bCs/>
        </w:rPr>
        <w:t xml:space="preserve">) identificar </w:t>
      </w:r>
      <w:r w:rsidRPr="00CF2E90">
        <w:rPr>
          <w:bCs/>
        </w:rPr>
        <w:t>un deber específico impuesto directamente por el Constituyente al legislador</w:t>
      </w:r>
      <w:r w:rsidR="00740D0E" w:rsidRPr="00CF2E90">
        <w:rPr>
          <w:bCs/>
        </w:rPr>
        <w:t xml:space="preserve"> que resulta omitido</w:t>
      </w:r>
      <w:r w:rsidR="000D4FF6" w:rsidRPr="00CF2E90">
        <w:rPr>
          <w:bCs/>
        </w:rPr>
        <w:t>; (</w:t>
      </w:r>
      <w:r w:rsidR="009A0EE9" w:rsidRPr="00CF2E90">
        <w:rPr>
          <w:bCs/>
        </w:rPr>
        <w:t>3</w:t>
      </w:r>
      <w:r w:rsidR="000D4FF6" w:rsidRPr="00CF2E90">
        <w:rPr>
          <w:bCs/>
        </w:rPr>
        <w:t>) explicar las razones por las cuales la omisión carece de razón suficiente y (</w:t>
      </w:r>
      <w:r w:rsidR="009A0EE9" w:rsidRPr="00CF2E90">
        <w:rPr>
          <w:bCs/>
        </w:rPr>
        <w:t>4</w:t>
      </w:r>
      <w:r w:rsidR="000D4FF6" w:rsidRPr="00CF2E90">
        <w:rPr>
          <w:bCs/>
        </w:rPr>
        <w:t xml:space="preserve">) demostrar que la omisión genera una desigualdad negativa. A juicio de los demandantes, </w:t>
      </w:r>
      <w:r w:rsidR="00740D0E" w:rsidRPr="00CF2E90">
        <w:rPr>
          <w:bCs/>
        </w:rPr>
        <w:t>la omisión denunciada en la demanda cumple con estos requisitos</w:t>
      </w:r>
      <w:r w:rsidR="000D4FF6" w:rsidRPr="00CF2E90">
        <w:rPr>
          <w:bCs/>
        </w:rPr>
        <w:t xml:space="preserve">: </w:t>
      </w:r>
    </w:p>
    <w:p w14:paraId="6533FAA5" w14:textId="77777777" w:rsidR="005247E6" w:rsidRPr="00CF2E90" w:rsidRDefault="005247E6" w:rsidP="005247E6">
      <w:pPr>
        <w:pStyle w:val="Prrafodelista"/>
        <w:autoSpaceDE w:val="0"/>
        <w:autoSpaceDN w:val="0"/>
        <w:adjustRightInd w:val="0"/>
        <w:ind w:left="0" w:right="0" w:firstLine="0"/>
        <w:rPr>
          <w:bCs/>
        </w:rPr>
      </w:pPr>
    </w:p>
    <w:p w14:paraId="2EB62B6C" w14:textId="005E5F5E" w:rsidR="008D68A0" w:rsidRPr="00CF2E90" w:rsidRDefault="000D4FF6" w:rsidP="008D68A0">
      <w:pPr>
        <w:pStyle w:val="Prrafodelista"/>
        <w:numPr>
          <w:ilvl w:val="0"/>
          <w:numId w:val="6"/>
        </w:numPr>
        <w:autoSpaceDE w:val="0"/>
        <w:autoSpaceDN w:val="0"/>
        <w:adjustRightInd w:val="0"/>
        <w:ind w:left="0" w:right="0" w:firstLine="0"/>
        <w:rPr>
          <w:bCs/>
          <w:u w:val="single"/>
        </w:rPr>
      </w:pPr>
      <w:r w:rsidRPr="00CF2E90">
        <w:rPr>
          <w:rFonts w:eastAsiaTheme="minorHAnsi"/>
          <w:u w:val="single"/>
          <w:lang w:eastAsia="en-US"/>
        </w:rPr>
        <w:t>Requisito 1</w:t>
      </w:r>
      <w:r w:rsidRPr="00CF2E90">
        <w:rPr>
          <w:rFonts w:eastAsiaTheme="minorHAnsi"/>
          <w:lang w:eastAsia="en-US"/>
        </w:rPr>
        <w:t xml:space="preserve">. </w:t>
      </w:r>
      <w:r w:rsidR="0010704B" w:rsidRPr="00CF2E90">
        <w:t xml:space="preserve">Los demandantes </w:t>
      </w:r>
      <w:r w:rsidRPr="00CF2E90">
        <w:t>argumentaron que</w:t>
      </w:r>
      <w:r w:rsidR="0010704B" w:rsidRPr="00CF2E90">
        <w:t xml:space="preserve"> “la falta de un término de prescripción para el IRI no obedece a una voluntad legislativa deliberada, sino a un olvido involuntario surgido durante la transición hacia el sistema penal acusatorio”</w:t>
      </w:r>
      <w:r w:rsidR="0010704B" w:rsidRPr="00CF2E90">
        <w:rPr>
          <w:rStyle w:val="Refdenotaalpie"/>
        </w:rPr>
        <w:footnoteReference w:id="6"/>
      </w:r>
      <w:r w:rsidR="0010704B" w:rsidRPr="00CF2E90">
        <w:t>.</w:t>
      </w:r>
      <w:r w:rsidR="00CC0058" w:rsidRPr="00CF2E90">
        <w:t xml:space="preserve"> </w:t>
      </w:r>
      <w:r w:rsidRPr="00CF2E90">
        <w:t>Resaltaron</w:t>
      </w:r>
      <w:r w:rsidR="00CC0058" w:rsidRPr="00CF2E90">
        <w:t xml:space="preserve"> que </w:t>
      </w:r>
      <w:r w:rsidR="005A727E" w:rsidRPr="00CF2E90">
        <w:t xml:space="preserve">la </w:t>
      </w:r>
      <w:r w:rsidR="00CC0058" w:rsidRPr="00CF2E90">
        <w:t>incorpora</w:t>
      </w:r>
      <w:r w:rsidR="005A727E" w:rsidRPr="00CF2E90">
        <w:t>ción</w:t>
      </w:r>
      <w:r w:rsidR="00CC0058" w:rsidRPr="00CF2E90">
        <w:t xml:space="preserve"> </w:t>
      </w:r>
      <w:r w:rsidR="005A727E" w:rsidRPr="00CF2E90">
        <w:t>d</w:t>
      </w:r>
      <w:r w:rsidR="00CC0058" w:rsidRPr="00CF2E90">
        <w:t xml:space="preserve">el sistema penal acusatorio </w:t>
      </w:r>
      <w:r w:rsidRPr="00CF2E90">
        <w:t>—</w:t>
      </w:r>
      <w:r w:rsidR="005A727E" w:rsidRPr="00CF2E90">
        <w:t>Ley 906 de 2004</w:t>
      </w:r>
      <w:r w:rsidRPr="00CF2E90">
        <w:t xml:space="preserve">— </w:t>
      </w:r>
      <w:r w:rsidR="00CC0058" w:rsidRPr="00CF2E90">
        <w:t xml:space="preserve">representó un cambio radical en la estructura del proceso </w:t>
      </w:r>
      <w:r w:rsidR="005A727E" w:rsidRPr="00CF2E90">
        <w:t xml:space="preserve">penal </w:t>
      </w:r>
      <w:r w:rsidRPr="00CF2E90">
        <w:t>porque, entre otras cosas,</w:t>
      </w:r>
      <w:r w:rsidR="00CC0058" w:rsidRPr="00CF2E90">
        <w:t xml:space="preserve"> </w:t>
      </w:r>
      <w:r w:rsidR="005A727E" w:rsidRPr="00CF2E90">
        <w:t>“</w:t>
      </w:r>
      <w:r w:rsidR="00CC0058" w:rsidRPr="00CF2E90">
        <w:t>reemplazó la figura de la ‘acción civil’ por el Incidente de Reparación Integral</w:t>
      </w:r>
      <w:r w:rsidR="005A727E" w:rsidRPr="00CF2E90">
        <w:t>”</w:t>
      </w:r>
      <w:r w:rsidRPr="00CF2E90">
        <w:t>.</w:t>
      </w:r>
      <w:r w:rsidR="005A727E" w:rsidRPr="00CF2E90">
        <w:t xml:space="preserve"> </w:t>
      </w:r>
      <w:r w:rsidR="00740D0E" w:rsidRPr="00CF2E90">
        <w:t>No obstante</w:t>
      </w:r>
      <w:r w:rsidR="005A727E" w:rsidRPr="00CF2E90">
        <w:t xml:space="preserve">, </w:t>
      </w:r>
      <w:r w:rsidRPr="00CF2E90">
        <w:t xml:space="preserve">el </w:t>
      </w:r>
      <w:r w:rsidR="005A727E" w:rsidRPr="00CF2E90">
        <w:t>incidente “</w:t>
      </w:r>
      <w:r w:rsidR="005A727E" w:rsidRPr="00CF2E90">
        <w:rPr>
          <w:rFonts w:eastAsiaTheme="minorHAnsi"/>
          <w:lang w:eastAsia="en-US"/>
        </w:rPr>
        <w:t>fue regulado sin que el legislador hiciera la más mínima alusión a un aspecto fundamental que históricamente siempre estuvo presente: un plazo máximo para su resolución</w:t>
      </w:r>
      <w:r w:rsidR="005A727E" w:rsidRPr="00CF2E90">
        <w:rPr>
          <w:bCs/>
        </w:rPr>
        <w:t>”</w:t>
      </w:r>
      <w:r w:rsidR="005A727E" w:rsidRPr="00CF2E90">
        <w:rPr>
          <w:rStyle w:val="Refdenotaalpie"/>
          <w:bCs/>
        </w:rPr>
        <w:footnoteReference w:id="7"/>
      </w:r>
      <w:r w:rsidR="005A727E" w:rsidRPr="00CF2E90">
        <w:rPr>
          <w:bCs/>
        </w:rPr>
        <w:t xml:space="preserve">. </w:t>
      </w:r>
    </w:p>
    <w:p w14:paraId="18DADF1A" w14:textId="77777777" w:rsidR="00CF3B3A" w:rsidRPr="00CF2E90" w:rsidRDefault="00CF3B3A" w:rsidP="00CF3B3A">
      <w:pPr>
        <w:pStyle w:val="Prrafodelista"/>
        <w:autoSpaceDE w:val="0"/>
        <w:autoSpaceDN w:val="0"/>
        <w:adjustRightInd w:val="0"/>
        <w:ind w:left="0" w:right="0" w:firstLine="0"/>
        <w:rPr>
          <w:bCs/>
          <w:u w:val="single"/>
        </w:rPr>
      </w:pPr>
    </w:p>
    <w:p w14:paraId="3521BE6A" w14:textId="1DEAD895" w:rsidR="00533F31" w:rsidRPr="00CF2E90" w:rsidRDefault="00954309">
      <w:pPr>
        <w:pStyle w:val="Prrafodelista"/>
        <w:numPr>
          <w:ilvl w:val="0"/>
          <w:numId w:val="6"/>
        </w:numPr>
        <w:autoSpaceDE w:val="0"/>
        <w:autoSpaceDN w:val="0"/>
        <w:adjustRightInd w:val="0"/>
        <w:ind w:left="0" w:right="0" w:firstLine="0"/>
        <w:rPr>
          <w:bCs/>
        </w:rPr>
      </w:pPr>
      <w:r w:rsidRPr="00CF2E90">
        <w:rPr>
          <w:bCs/>
        </w:rPr>
        <w:t xml:space="preserve">Los demandantes </w:t>
      </w:r>
      <w:r w:rsidR="00CF3B3A" w:rsidRPr="00CF2E90">
        <w:rPr>
          <w:bCs/>
        </w:rPr>
        <w:t xml:space="preserve">sostuvieron </w:t>
      </w:r>
      <w:r w:rsidRPr="00CF2E90">
        <w:rPr>
          <w:bCs/>
        </w:rPr>
        <w:t xml:space="preserve">que la Sala de Casación Penal de la Corte Suprema de Justicia ha confirmado la existencia de </w:t>
      </w:r>
      <w:r w:rsidR="000B1825" w:rsidRPr="00CF2E90">
        <w:rPr>
          <w:bCs/>
        </w:rPr>
        <w:t>“[e]ste vacío normativo”</w:t>
      </w:r>
      <w:r w:rsidR="000B1825" w:rsidRPr="00CF2E90">
        <w:rPr>
          <w:rStyle w:val="Refdenotaalpie"/>
          <w:bCs/>
        </w:rPr>
        <w:footnoteReference w:id="8"/>
      </w:r>
      <w:r w:rsidR="000B1825" w:rsidRPr="00CF2E90">
        <w:rPr>
          <w:bCs/>
        </w:rPr>
        <w:t xml:space="preserve"> y la inaplicabilidad del </w:t>
      </w:r>
      <w:r w:rsidRPr="00CF2E90">
        <w:rPr>
          <w:bCs/>
        </w:rPr>
        <w:t xml:space="preserve">artículo 98 del Código Penal </w:t>
      </w:r>
      <w:r w:rsidR="00D97058" w:rsidRPr="00CF2E90">
        <w:t>—</w:t>
      </w:r>
      <w:r w:rsidR="000B1825" w:rsidRPr="00CF2E90">
        <w:t xml:space="preserve">Ley 599 de </w:t>
      </w:r>
      <w:r w:rsidR="00D97058" w:rsidRPr="00CF2E90">
        <w:t>2000— en</w:t>
      </w:r>
      <w:r w:rsidR="000B1825" w:rsidRPr="00CF2E90">
        <w:t xml:space="preserve"> </w:t>
      </w:r>
      <w:r w:rsidR="009B54A4" w:rsidRPr="00CF2E90">
        <w:t>e</w:t>
      </w:r>
      <w:r w:rsidR="000B1825" w:rsidRPr="00CF2E90">
        <w:t>l trámite del IRI</w:t>
      </w:r>
      <w:r w:rsidR="00C24656" w:rsidRPr="00CF2E90">
        <w:t xml:space="preserve">, </w:t>
      </w:r>
      <w:r w:rsidR="000B1825" w:rsidRPr="00CF2E90">
        <w:t>“</w:t>
      </w:r>
      <w:r w:rsidR="000B1825" w:rsidRPr="00CF2E90">
        <w:rPr>
          <w:bCs/>
        </w:rPr>
        <w:t>haciendo evidente que el legislador omitió fijar un término de prescripción para el IRI”</w:t>
      </w:r>
      <w:r w:rsidR="000B1825" w:rsidRPr="00CF2E90">
        <w:rPr>
          <w:rStyle w:val="Refdenotaalpie"/>
          <w:bCs/>
        </w:rPr>
        <w:footnoteReference w:id="9"/>
      </w:r>
      <w:r w:rsidR="000B1825" w:rsidRPr="00CF2E90">
        <w:rPr>
          <w:bCs/>
        </w:rPr>
        <w:t xml:space="preserve">. </w:t>
      </w:r>
      <w:r w:rsidR="00C24656" w:rsidRPr="00CF2E90">
        <w:rPr>
          <w:bCs/>
        </w:rPr>
        <w:t>Asimismo, destacaron que “</w:t>
      </w:r>
      <w:r w:rsidR="00C24656" w:rsidRPr="00CF2E90">
        <w:rPr>
          <w:rFonts w:eastAsiaTheme="minorHAnsi"/>
          <w:lang w:eastAsia="en-US"/>
        </w:rPr>
        <w:t>es imperativo no confundir la figura de la prescripción con lo dispuesto en el artículo 121 del Código General del Proceso que regula la duración máxima de los procesos”. A juicio de los demandantes, “</w:t>
      </w:r>
      <w:r w:rsidR="00C24656" w:rsidRPr="00CF2E90">
        <w:rPr>
          <w:bCs/>
        </w:rPr>
        <w:t>[a]</w:t>
      </w:r>
      <w:r w:rsidR="00C24656" w:rsidRPr="00CF2E90">
        <w:rPr>
          <w:rFonts w:eastAsiaTheme="minorHAnsi"/>
          <w:lang w:eastAsia="en-US"/>
        </w:rPr>
        <w:t xml:space="preserve">mbas figuras tienen naturalezas y consecuencias jurídicas distintas: mientras la prescripción extingue el derecho a la acción, el incumplimiento del plazo del artículo 121 </w:t>
      </w:r>
      <w:r w:rsidR="00AC237F" w:rsidRPr="00CF2E90">
        <w:rPr>
          <w:rFonts w:eastAsiaTheme="minorHAnsi"/>
          <w:lang w:eastAsia="en-US"/>
        </w:rPr>
        <w:t xml:space="preserve">[del CGP] </w:t>
      </w:r>
      <w:r w:rsidR="00C24656" w:rsidRPr="00CF2E90">
        <w:rPr>
          <w:rFonts w:eastAsiaTheme="minorHAnsi"/>
          <w:lang w:eastAsia="en-US"/>
        </w:rPr>
        <w:t>solo acarrea la pérdida de competencia del juez, sin afectar la existencia del derecho de la víctima”</w:t>
      </w:r>
      <w:r w:rsidR="00C24656" w:rsidRPr="00CF2E90">
        <w:rPr>
          <w:rStyle w:val="Refdenotaalpie"/>
          <w:rFonts w:eastAsiaTheme="minorHAnsi"/>
          <w:lang w:eastAsia="en-US"/>
        </w:rPr>
        <w:footnoteReference w:id="10"/>
      </w:r>
      <w:r w:rsidR="00C24656" w:rsidRPr="00CF2E90">
        <w:rPr>
          <w:rFonts w:eastAsiaTheme="minorHAnsi"/>
          <w:lang w:eastAsia="en-US"/>
        </w:rPr>
        <w:t>.</w:t>
      </w:r>
    </w:p>
    <w:p w14:paraId="6A92B24F" w14:textId="77777777" w:rsidR="00533F31" w:rsidRPr="00CF2E90" w:rsidRDefault="00533F31" w:rsidP="00533F31">
      <w:pPr>
        <w:pStyle w:val="Prrafodelista"/>
        <w:rPr>
          <w:szCs w:val="24"/>
          <w:lang w:eastAsia="es-CO"/>
        </w:rPr>
      </w:pPr>
    </w:p>
    <w:p w14:paraId="35923965" w14:textId="3CEF9940" w:rsidR="000E737E" w:rsidRPr="00CF2E90" w:rsidRDefault="00D97058">
      <w:pPr>
        <w:pStyle w:val="Prrafodelista"/>
        <w:numPr>
          <w:ilvl w:val="0"/>
          <w:numId w:val="6"/>
        </w:numPr>
        <w:autoSpaceDE w:val="0"/>
        <w:autoSpaceDN w:val="0"/>
        <w:adjustRightInd w:val="0"/>
        <w:ind w:left="0" w:right="0" w:firstLine="0"/>
        <w:rPr>
          <w:szCs w:val="24"/>
          <w:lang w:eastAsia="es-CO"/>
        </w:rPr>
      </w:pPr>
      <w:r w:rsidRPr="00CF2E90">
        <w:rPr>
          <w:u w:val="single"/>
          <w:lang w:eastAsia="es-CO"/>
        </w:rPr>
        <w:t>Requisito 2</w:t>
      </w:r>
      <w:r w:rsidRPr="00CF2E90">
        <w:rPr>
          <w:lang w:eastAsia="es-CO"/>
        </w:rPr>
        <w:t xml:space="preserve">. </w:t>
      </w:r>
      <w:r w:rsidR="00385A16" w:rsidRPr="00CF2E90">
        <w:t>Los demandantes identificaron dos deberes constitucionales incumplidos. Primero,</w:t>
      </w:r>
      <w:r w:rsidR="00AD085B" w:rsidRPr="00CF2E90">
        <w:rPr>
          <w:szCs w:val="24"/>
          <w:lang w:eastAsia="es-CO"/>
        </w:rPr>
        <w:t xml:space="preserve"> </w:t>
      </w:r>
      <w:r w:rsidR="00AD085B" w:rsidRPr="00CF2E90">
        <w:rPr>
          <w:lang w:eastAsia="es-CO"/>
        </w:rPr>
        <w:t>s</w:t>
      </w:r>
      <w:r w:rsidR="00385A16" w:rsidRPr="00CF2E90">
        <w:t xml:space="preserve">eñalaron que el artículo 89 de la Constitución impone al legislador un </w:t>
      </w:r>
      <w:r w:rsidR="000762CA" w:rsidRPr="00CF2E90">
        <w:t>“</w:t>
      </w:r>
      <w:r w:rsidR="00385A16" w:rsidRPr="00CF2E90">
        <w:t>mandato imperativo</w:t>
      </w:r>
      <w:r w:rsidR="000762CA" w:rsidRPr="00CF2E90">
        <w:t>”</w:t>
      </w:r>
      <w:r w:rsidR="00385A16" w:rsidRPr="00CF2E90">
        <w:t xml:space="preserve"> </w:t>
      </w:r>
      <w:r w:rsidRPr="00CF2E90">
        <w:t>para regular de manera integral</w:t>
      </w:r>
      <w:r w:rsidR="00385A16" w:rsidRPr="00CF2E90">
        <w:t xml:space="preserve"> los recursos, las acciones y los procedimientos </w:t>
      </w:r>
      <w:r w:rsidR="000762CA" w:rsidRPr="00CF2E90">
        <w:t xml:space="preserve">judiciales. </w:t>
      </w:r>
      <w:r w:rsidRPr="00CF2E90">
        <w:t>En este sentido</w:t>
      </w:r>
      <w:r w:rsidR="000762CA" w:rsidRPr="00CF2E90">
        <w:t>,</w:t>
      </w:r>
      <w:r w:rsidRPr="00CF2E90">
        <w:t xml:space="preserve"> aseguraron que</w:t>
      </w:r>
      <w:r w:rsidR="000762CA" w:rsidRPr="00CF2E90">
        <w:t xml:space="preserve"> </w:t>
      </w:r>
      <w:r w:rsidR="00385A16" w:rsidRPr="00CF2E90">
        <w:t xml:space="preserve">el legislador no solo tenía el deber de crear el IRI, </w:t>
      </w:r>
      <w:r w:rsidRPr="00CF2E90">
        <w:t>sino que también tenía</w:t>
      </w:r>
      <w:r w:rsidR="00AD085B" w:rsidRPr="00CF2E90">
        <w:t xml:space="preserve"> </w:t>
      </w:r>
      <w:r w:rsidRPr="00CF2E90">
        <w:t xml:space="preserve">que </w:t>
      </w:r>
      <w:r w:rsidR="000762CA" w:rsidRPr="00CF2E90">
        <w:t>“</w:t>
      </w:r>
      <w:r w:rsidR="00385A16" w:rsidRPr="00CF2E90">
        <w:t>dotarlo de los elementos necesarios para asegurar su efectividad</w:t>
      </w:r>
      <w:r w:rsidR="000762CA" w:rsidRPr="00CF2E90">
        <w:t>”</w:t>
      </w:r>
      <w:r w:rsidR="00385A16" w:rsidRPr="00CF2E90">
        <w:t xml:space="preserve">, </w:t>
      </w:r>
      <w:r w:rsidRPr="00CF2E90">
        <w:t>entre ellos</w:t>
      </w:r>
      <w:r w:rsidR="00AD085B" w:rsidRPr="00CF2E90">
        <w:t>,</w:t>
      </w:r>
      <w:r w:rsidR="00385A16" w:rsidRPr="00CF2E90">
        <w:t xml:space="preserve"> </w:t>
      </w:r>
      <w:r w:rsidR="00AD085B" w:rsidRPr="00CF2E90">
        <w:t>“</w:t>
      </w:r>
      <w:r w:rsidR="00385A16" w:rsidRPr="00CF2E90">
        <w:t xml:space="preserve">la fijación de un </w:t>
      </w:r>
      <w:r w:rsidRPr="00CF2E90">
        <w:t>plazo máximo”</w:t>
      </w:r>
      <w:r w:rsidR="00AD085B" w:rsidRPr="00CF2E90">
        <w:rPr>
          <w:rStyle w:val="Refdenotaalpie"/>
        </w:rPr>
        <w:footnoteReference w:id="11"/>
      </w:r>
      <w:r w:rsidR="00385A16" w:rsidRPr="00CF2E90">
        <w:t xml:space="preserve">. </w:t>
      </w:r>
      <w:r w:rsidR="00FC0DA1" w:rsidRPr="00CF2E90">
        <w:t xml:space="preserve">Segundo, indicaron que el artículo 8 de </w:t>
      </w:r>
      <w:r w:rsidR="00AD085B" w:rsidRPr="00CF2E90">
        <w:t xml:space="preserve">la Convención Americana de Derechos Humanos </w:t>
      </w:r>
      <w:r w:rsidR="00385A16" w:rsidRPr="00CF2E90">
        <w:t xml:space="preserve">prohíbe </w:t>
      </w:r>
      <w:r w:rsidR="00691E87" w:rsidRPr="00CF2E90">
        <w:t>la existencia de</w:t>
      </w:r>
      <w:r w:rsidR="00385A16" w:rsidRPr="00CF2E90">
        <w:t xml:space="preserve"> </w:t>
      </w:r>
      <w:r w:rsidR="00691E87" w:rsidRPr="00CF2E90">
        <w:t>“</w:t>
      </w:r>
      <w:r w:rsidR="00385A16" w:rsidRPr="00CF2E90">
        <w:t>procesos de duración indefinida</w:t>
      </w:r>
      <w:r w:rsidR="00691E87" w:rsidRPr="00CF2E90">
        <w:t>”</w:t>
      </w:r>
      <w:r w:rsidR="00691E87" w:rsidRPr="00CF2E90">
        <w:rPr>
          <w:rStyle w:val="Refdenotaalpie"/>
        </w:rPr>
        <w:footnoteReference w:id="12"/>
      </w:r>
      <w:r w:rsidRPr="00CF2E90">
        <w:t xml:space="preserve">, de lo cual se deriva la obligación de establecer términos de prescripción. </w:t>
      </w:r>
    </w:p>
    <w:p w14:paraId="45B09548" w14:textId="77777777" w:rsidR="000E737E" w:rsidRPr="00CF2E90" w:rsidRDefault="000E737E" w:rsidP="000E737E">
      <w:pPr>
        <w:pStyle w:val="Prrafodelista"/>
        <w:rPr>
          <w:rStyle w:val="Textoennegrita"/>
        </w:rPr>
      </w:pPr>
    </w:p>
    <w:p w14:paraId="2F827EA4" w14:textId="2810332D" w:rsidR="00E518A5" w:rsidRPr="00CF2E90" w:rsidRDefault="00D97058">
      <w:pPr>
        <w:pStyle w:val="Prrafodelista"/>
        <w:numPr>
          <w:ilvl w:val="0"/>
          <w:numId w:val="6"/>
        </w:numPr>
        <w:autoSpaceDE w:val="0"/>
        <w:autoSpaceDN w:val="0"/>
        <w:adjustRightInd w:val="0"/>
        <w:ind w:left="0" w:right="0" w:firstLine="0"/>
        <w:rPr>
          <w:szCs w:val="24"/>
          <w:lang w:eastAsia="es-CO"/>
        </w:rPr>
      </w:pPr>
      <w:r w:rsidRPr="00CF2E90">
        <w:rPr>
          <w:rStyle w:val="Textoennegrita"/>
          <w:b w:val="0"/>
          <w:bCs w:val="0"/>
          <w:u w:val="single"/>
        </w:rPr>
        <w:t>Requisito 3</w:t>
      </w:r>
      <w:r w:rsidRPr="00CF2E90">
        <w:rPr>
          <w:rStyle w:val="Textoennegrita"/>
          <w:b w:val="0"/>
          <w:bCs w:val="0"/>
        </w:rPr>
        <w:t xml:space="preserve">. </w:t>
      </w:r>
      <w:r w:rsidR="000E737E" w:rsidRPr="00CF2E90">
        <w:rPr>
          <w:lang w:eastAsia="es-CO"/>
        </w:rPr>
        <w:t>Los demandantes señalaron que la revisión de las gacetas del Congreso correspondientes al trámite de la Ley 906 de 2004</w:t>
      </w:r>
      <w:r w:rsidR="000E737E" w:rsidRPr="00CF2E90">
        <w:rPr>
          <w:rStyle w:val="Refdenotaalpie"/>
          <w:lang w:eastAsia="es-CO"/>
        </w:rPr>
        <w:footnoteReference w:id="13"/>
      </w:r>
      <w:r w:rsidR="000E737E" w:rsidRPr="00CF2E90">
        <w:rPr>
          <w:lang w:eastAsia="es-CO"/>
        </w:rPr>
        <w:t xml:space="preserve"> permite constatar “la ausencia de un debate o de una argumentación explícita” que justifique la supresión del término prescriptivo del IRI</w:t>
      </w:r>
      <w:r w:rsidR="000E737E" w:rsidRPr="00CF2E90">
        <w:rPr>
          <w:rStyle w:val="Refdenotaalpie"/>
          <w:lang w:eastAsia="es-CO"/>
        </w:rPr>
        <w:footnoteReference w:id="14"/>
      </w:r>
      <w:r w:rsidR="000E737E" w:rsidRPr="00CF2E90">
        <w:rPr>
          <w:lang w:eastAsia="es-CO"/>
        </w:rPr>
        <w:t xml:space="preserve">. </w:t>
      </w:r>
      <w:r w:rsidRPr="00CF2E90">
        <w:rPr>
          <w:lang w:eastAsia="es-CO"/>
        </w:rPr>
        <w:t>A su juicio,</w:t>
      </w:r>
      <w:r w:rsidR="000E737E" w:rsidRPr="00CF2E90">
        <w:rPr>
          <w:lang w:eastAsia="es-CO"/>
        </w:rPr>
        <w:t xml:space="preserve"> la Gaceta 104 del 26 de marzo de 2004 evidencia una “notable paradoj</w:t>
      </w:r>
      <w:r w:rsidRPr="00CF2E90">
        <w:rPr>
          <w:lang w:eastAsia="es-CO"/>
        </w:rPr>
        <w:t>a</w:t>
      </w:r>
      <w:r w:rsidR="000E737E" w:rsidRPr="00CF2E90">
        <w:rPr>
          <w:lang w:eastAsia="es-CO"/>
        </w:rPr>
        <w:t xml:space="preserve">”: el legislador dejó constancia de su intención de que el IRI fuera un trámite expedito, pero la regulación propuesta </w:t>
      </w:r>
      <w:r w:rsidRPr="00CF2E90">
        <w:rPr>
          <w:lang w:eastAsia="es-CO"/>
        </w:rPr>
        <w:t>omitió “</w:t>
      </w:r>
      <w:r w:rsidR="000E737E" w:rsidRPr="00CF2E90">
        <w:rPr>
          <w:lang w:eastAsia="es-CO"/>
        </w:rPr>
        <w:t>el ingrediente normativo que precisamente garantizaría dicha celeridad: un plazo máximo para su trámite y resolución”</w:t>
      </w:r>
      <w:r w:rsidR="000E737E" w:rsidRPr="00CF2E90">
        <w:rPr>
          <w:rStyle w:val="Refdenotaalpie"/>
          <w:lang w:eastAsia="es-CO"/>
        </w:rPr>
        <w:footnoteReference w:id="15"/>
      </w:r>
      <w:r w:rsidR="000E737E" w:rsidRPr="00CF2E90">
        <w:rPr>
          <w:lang w:eastAsia="es-CO"/>
        </w:rPr>
        <w:t xml:space="preserve">. </w:t>
      </w:r>
      <w:r w:rsidRPr="00CF2E90">
        <w:rPr>
          <w:lang w:eastAsia="es-CO"/>
        </w:rPr>
        <w:t>En este sentido,</w:t>
      </w:r>
      <w:r w:rsidR="000E737E" w:rsidRPr="00CF2E90">
        <w:rPr>
          <w:lang w:eastAsia="es-CO"/>
        </w:rPr>
        <w:t xml:space="preserve"> concluyeron que </w:t>
      </w:r>
      <w:r w:rsidR="00E518A5" w:rsidRPr="00CF2E90">
        <w:rPr>
          <w:lang w:eastAsia="es-CO"/>
        </w:rPr>
        <w:t>“</w:t>
      </w:r>
      <w:r w:rsidR="000E737E" w:rsidRPr="00CF2E90">
        <w:rPr>
          <w:lang w:eastAsia="es-CO"/>
        </w:rPr>
        <w:t>la omisión no fue producto de una decisión política ponderada, sino una falta de previsión en el marco de una compleja reforma procesal</w:t>
      </w:r>
      <w:r w:rsidR="00E518A5" w:rsidRPr="00CF2E90">
        <w:rPr>
          <w:lang w:eastAsia="es-CO"/>
        </w:rPr>
        <w:t>”</w:t>
      </w:r>
      <w:r w:rsidR="00E518A5" w:rsidRPr="00CF2E90">
        <w:rPr>
          <w:rStyle w:val="Refdenotaalpie"/>
          <w:lang w:eastAsia="es-CO"/>
        </w:rPr>
        <w:footnoteReference w:id="16"/>
      </w:r>
      <w:r w:rsidR="000E737E" w:rsidRPr="00CF2E90">
        <w:rPr>
          <w:lang w:eastAsia="es-CO"/>
        </w:rPr>
        <w:t>.</w:t>
      </w:r>
    </w:p>
    <w:p w14:paraId="3C4136B7" w14:textId="77777777" w:rsidR="00E518A5" w:rsidRPr="00CF2E90" w:rsidRDefault="00E518A5" w:rsidP="00E518A5">
      <w:pPr>
        <w:pStyle w:val="Prrafodelista"/>
      </w:pPr>
    </w:p>
    <w:p w14:paraId="38656CB9" w14:textId="28080DE9" w:rsidR="001117F4" w:rsidRPr="00CF2E90" w:rsidRDefault="00D97058">
      <w:pPr>
        <w:pStyle w:val="Prrafodelista"/>
        <w:numPr>
          <w:ilvl w:val="0"/>
          <w:numId w:val="6"/>
        </w:numPr>
        <w:autoSpaceDE w:val="0"/>
        <w:autoSpaceDN w:val="0"/>
        <w:adjustRightInd w:val="0"/>
        <w:ind w:left="0" w:right="0" w:firstLine="0"/>
        <w:rPr>
          <w:szCs w:val="24"/>
          <w:lang w:eastAsia="es-CO"/>
        </w:rPr>
      </w:pPr>
      <w:r w:rsidRPr="00CF2E90">
        <w:rPr>
          <w:lang w:eastAsia="es-CO"/>
        </w:rPr>
        <w:t>Por otra parte</w:t>
      </w:r>
      <w:r w:rsidR="00E518A5" w:rsidRPr="00CF2E90">
        <w:t xml:space="preserve">, </w:t>
      </w:r>
      <w:r w:rsidR="00880A83" w:rsidRPr="00CF2E90">
        <w:t xml:space="preserve">los demandantes argumentaron </w:t>
      </w:r>
      <w:r w:rsidR="00E518A5" w:rsidRPr="00CF2E90">
        <w:t>que la omisión no solo carece de justificación, sino que</w:t>
      </w:r>
      <w:r w:rsidRPr="00CF2E90">
        <w:t xml:space="preserve">, además, </w:t>
      </w:r>
      <w:r w:rsidR="00880A83" w:rsidRPr="00CF2E90">
        <w:t xml:space="preserve">“un análisis teleológico” demuestra que </w:t>
      </w:r>
      <w:r w:rsidRPr="00CF2E90">
        <w:t>contraría</w:t>
      </w:r>
      <w:r w:rsidR="00E518A5" w:rsidRPr="00CF2E90">
        <w:t xml:space="preserve"> </w:t>
      </w:r>
      <w:r w:rsidRPr="00CF2E90">
        <w:t>la Constitución Política.</w:t>
      </w:r>
      <w:r w:rsidR="00880A83" w:rsidRPr="00CF2E90">
        <w:t xml:space="preserve"> En concreto, señalaron </w:t>
      </w:r>
      <w:r w:rsidRPr="00CF2E90">
        <w:t>que la omisión</w:t>
      </w:r>
      <w:r w:rsidR="00E518A5" w:rsidRPr="00CF2E90">
        <w:t>: (i) contraviene la seguridad jurídica</w:t>
      </w:r>
      <w:r w:rsidR="00880A83" w:rsidRPr="00CF2E90">
        <w:t xml:space="preserve"> porque “</w:t>
      </w:r>
      <w:r w:rsidR="00E518A5" w:rsidRPr="00CF2E90">
        <w:t>en lugar de crear certeza, la omisión genera una incertidumbre perpetua tanto para la víctima como para el condenado</w:t>
      </w:r>
      <w:r w:rsidR="00880A83" w:rsidRPr="00CF2E90">
        <w:t>”</w:t>
      </w:r>
      <w:r w:rsidR="001117F4" w:rsidRPr="00CF2E90">
        <w:rPr>
          <w:rStyle w:val="Refdenotaalpie"/>
        </w:rPr>
        <w:footnoteReference w:id="17"/>
      </w:r>
      <w:r w:rsidR="00E518A5" w:rsidRPr="00CF2E90">
        <w:t xml:space="preserve">; (ii) desnaturaliza la efectividad de los derechos de las víctimas, al transformar su derecho a una reparación pronta en </w:t>
      </w:r>
      <w:r w:rsidR="001117F4" w:rsidRPr="00CF2E90">
        <w:t>“</w:t>
      </w:r>
      <w:r w:rsidR="00E518A5" w:rsidRPr="00CF2E90">
        <w:t>una potencial revictimización</w:t>
      </w:r>
      <w:r w:rsidR="001117F4" w:rsidRPr="00CF2E90">
        <w:t>” porque “</w:t>
      </w:r>
      <w:r w:rsidR="00E518A5" w:rsidRPr="00CF2E90">
        <w:t>una justicia tardía no tiene la misma vocación reparadora que una justicia oportuna</w:t>
      </w:r>
      <w:r w:rsidR="001117F4" w:rsidRPr="00CF2E90">
        <w:t>”</w:t>
      </w:r>
      <w:r w:rsidR="001117F4" w:rsidRPr="00CF2E90">
        <w:rPr>
          <w:rStyle w:val="Refdenotaalpie"/>
        </w:rPr>
        <w:footnoteReference w:id="18"/>
      </w:r>
      <w:r w:rsidR="00E518A5" w:rsidRPr="00CF2E90">
        <w:t>; y (iii) restringe la eficacia de la administración de justicia</w:t>
      </w:r>
      <w:r w:rsidR="001117F4" w:rsidRPr="00CF2E90">
        <w:t xml:space="preserve"> porque</w:t>
      </w:r>
      <w:r w:rsidR="00E518A5" w:rsidRPr="00CF2E90">
        <w:t xml:space="preserve"> </w:t>
      </w:r>
      <w:r w:rsidR="001117F4" w:rsidRPr="00CF2E90">
        <w:t>“</w:t>
      </w:r>
      <w:r w:rsidR="00E518A5" w:rsidRPr="00CF2E90">
        <w:t>permitir procesos sin término de finalización atenta contra los principios de celeridad y economía procesal</w:t>
      </w:r>
      <w:r w:rsidR="001117F4" w:rsidRPr="00CF2E90">
        <w:t>”</w:t>
      </w:r>
      <w:r w:rsidR="001117F4" w:rsidRPr="00CF2E90">
        <w:rPr>
          <w:rStyle w:val="Refdenotaalpie"/>
        </w:rPr>
        <w:footnoteReference w:id="19"/>
      </w:r>
      <w:r w:rsidR="00E518A5" w:rsidRPr="00CF2E90">
        <w:t>.</w:t>
      </w:r>
    </w:p>
    <w:p w14:paraId="2608D26B" w14:textId="77777777" w:rsidR="001117F4" w:rsidRPr="00CF2E90" w:rsidRDefault="001117F4" w:rsidP="001117F4">
      <w:pPr>
        <w:pStyle w:val="Prrafodelista"/>
        <w:rPr>
          <w:b/>
          <w:bCs/>
          <w:szCs w:val="24"/>
          <w:lang w:eastAsia="es-CO"/>
        </w:rPr>
      </w:pPr>
    </w:p>
    <w:p w14:paraId="44039A37" w14:textId="55839A6E" w:rsidR="001117F4" w:rsidRPr="00CF2E90" w:rsidRDefault="00D64174">
      <w:pPr>
        <w:pStyle w:val="Prrafodelista"/>
        <w:numPr>
          <w:ilvl w:val="0"/>
          <w:numId w:val="6"/>
        </w:numPr>
        <w:ind w:left="0" w:firstLine="0"/>
        <w:rPr>
          <w:lang w:eastAsia="es-CO"/>
        </w:rPr>
      </w:pPr>
      <w:r w:rsidRPr="00CF2E90">
        <w:rPr>
          <w:u w:val="single"/>
          <w:lang w:eastAsia="es-CO"/>
        </w:rPr>
        <w:t>Requisito 4</w:t>
      </w:r>
      <w:r w:rsidRPr="00CF2E90">
        <w:rPr>
          <w:lang w:eastAsia="es-CO"/>
        </w:rPr>
        <w:t xml:space="preserve">. </w:t>
      </w:r>
      <w:r w:rsidR="001117F4" w:rsidRPr="00CF2E90">
        <w:rPr>
          <w:lang w:eastAsia="es-CO"/>
        </w:rPr>
        <w:t xml:space="preserve">Los demandantes precisaron que si bien la omisión </w:t>
      </w:r>
      <w:r w:rsidRPr="00CF2E90">
        <w:rPr>
          <w:lang w:eastAsia="es-CO"/>
        </w:rPr>
        <w:t xml:space="preserve">denunciada </w:t>
      </w:r>
      <w:r w:rsidR="001117F4" w:rsidRPr="00CF2E90">
        <w:rPr>
          <w:lang w:eastAsia="es-CO"/>
        </w:rPr>
        <w:t>no genera un trato diferenciado entre grupos de personas, sí configura una desigualdad negativa de otra índole: genera “una brecha injustificada entre el estándar de protección que la norma efectivamente ofrece y el nivel de garantía que la Constitución exige”</w:t>
      </w:r>
      <w:r w:rsidR="001117F4" w:rsidRPr="00CF2E90">
        <w:rPr>
          <w:rStyle w:val="Refdenotaalpie"/>
          <w:lang w:eastAsia="es-CO"/>
        </w:rPr>
        <w:footnoteReference w:id="20"/>
      </w:r>
      <w:r w:rsidR="001117F4" w:rsidRPr="00CF2E90">
        <w:rPr>
          <w:lang w:eastAsia="es-CO"/>
        </w:rPr>
        <w:t xml:space="preserve">. </w:t>
      </w:r>
      <w:r w:rsidR="00015FCF" w:rsidRPr="00CF2E90">
        <w:rPr>
          <w:lang w:eastAsia="es-CO"/>
        </w:rPr>
        <w:t xml:space="preserve">A juicio de los demandantes, esto </w:t>
      </w:r>
      <w:r w:rsidRPr="00CF2E90">
        <w:rPr>
          <w:lang w:eastAsia="es-CO"/>
        </w:rPr>
        <w:t>conduce a</w:t>
      </w:r>
      <w:r w:rsidR="001117F4" w:rsidRPr="00CF2E90">
        <w:rPr>
          <w:lang w:eastAsia="es-CO"/>
        </w:rPr>
        <w:t xml:space="preserve"> </w:t>
      </w:r>
      <w:r w:rsidR="00015FCF" w:rsidRPr="00CF2E90">
        <w:rPr>
          <w:lang w:eastAsia="es-CO"/>
        </w:rPr>
        <w:t xml:space="preserve">“(i) </w:t>
      </w:r>
      <w:r w:rsidRPr="00CF2E90">
        <w:rPr>
          <w:lang w:eastAsia="es-CO"/>
        </w:rPr>
        <w:t>l</w:t>
      </w:r>
      <w:r w:rsidR="00015FCF" w:rsidRPr="00CF2E90">
        <w:rPr>
          <w:lang w:eastAsia="es-CO"/>
        </w:rPr>
        <w:t>a vulneración del derecho a un debido proceso sin dilaciones injustificada</w:t>
      </w:r>
      <w:r w:rsidR="00E05A44" w:rsidRPr="00CF2E90">
        <w:rPr>
          <w:lang w:eastAsia="es-CO"/>
        </w:rPr>
        <w:t>s</w:t>
      </w:r>
      <w:r w:rsidR="00015FCF" w:rsidRPr="00CF2E90">
        <w:rPr>
          <w:lang w:eastAsia="es-CO"/>
        </w:rPr>
        <w:t xml:space="preserve"> y a un plazo razonable, (ii) la afectación del derecho a un recurso judicial efectivo y (iii) la conculcación del principio de seguridad jurídica”</w:t>
      </w:r>
      <w:r w:rsidR="00015FCF" w:rsidRPr="00CF2E90">
        <w:rPr>
          <w:rStyle w:val="Refdenotaalpie"/>
          <w:lang w:eastAsia="es-CO"/>
        </w:rPr>
        <w:footnoteReference w:id="21"/>
      </w:r>
      <w:r w:rsidR="001117F4" w:rsidRPr="00CF2E90">
        <w:rPr>
          <w:lang w:eastAsia="es-CO"/>
        </w:rPr>
        <w:t>.</w:t>
      </w:r>
    </w:p>
    <w:p w14:paraId="59400B51" w14:textId="77777777" w:rsidR="001117F4" w:rsidRPr="00CF2E90" w:rsidRDefault="001117F4" w:rsidP="001117F4">
      <w:pPr>
        <w:pStyle w:val="Prrafodelista"/>
        <w:rPr>
          <w:lang w:eastAsia="es-CO"/>
        </w:rPr>
      </w:pPr>
    </w:p>
    <w:p w14:paraId="1E7439EC" w14:textId="71112DA3" w:rsidR="004E5375" w:rsidRPr="00CF2E90" w:rsidRDefault="00D64174">
      <w:pPr>
        <w:pStyle w:val="Prrafodelista"/>
        <w:numPr>
          <w:ilvl w:val="0"/>
          <w:numId w:val="6"/>
        </w:numPr>
        <w:autoSpaceDE w:val="0"/>
        <w:autoSpaceDN w:val="0"/>
        <w:adjustRightInd w:val="0"/>
        <w:ind w:left="0" w:right="0" w:firstLine="0"/>
        <w:rPr>
          <w:lang w:eastAsia="es-CO"/>
        </w:rPr>
      </w:pPr>
      <w:r w:rsidRPr="00CF2E90">
        <w:rPr>
          <w:lang w:eastAsia="es-CO"/>
        </w:rPr>
        <w:t>Con base en estas consideraciones,</w:t>
      </w:r>
      <w:r w:rsidR="000B32E5" w:rsidRPr="00CF2E90">
        <w:rPr>
          <w:lang w:eastAsia="es-CO"/>
        </w:rPr>
        <w:t xml:space="preserve"> </w:t>
      </w:r>
      <w:r w:rsidRPr="00CF2E90">
        <w:rPr>
          <w:lang w:eastAsia="es-CO"/>
        </w:rPr>
        <w:t>los</w:t>
      </w:r>
      <w:r w:rsidR="001117F4" w:rsidRPr="00CF2E90">
        <w:rPr>
          <w:lang w:eastAsia="es-CO"/>
        </w:rPr>
        <w:t xml:space="preserve"> demandantes </w:t>
      </w:r>
      <w:r w:rsidRPr="00CF2E90">
        <w:rPr>
          <w:lang w:eastAsia="es-CO"/>
        </w:rPr>
        <w:t>sostuvieron que la Corte debía dictar</w:t>
      </w:r>
      <w:r w:rsidR="001117F4" w:rsidRPr="00CF2E90">
        <w:rPr>
          <w:lang w:eastAsia="es-CO"/>
        </w:rPr>
        <w:t xml:space="preserve"> una sentencia integradora que, de manera transitoria, </w:t>
      </w:r>
      <w:r w:rsidRPr="00CF2E90">
        <w:rPr>
          <w:lang w:eastAsia="es-CO"/>
        </w:rPr>
        <w:t>llenara el vacío normativo</w:t>
      </w:r>
      <w:r w:rsidR="00015FCF" w:rsidRPr="00CF2E90">
        <w:rPr>
          <w:rStyle w:val="Refdenotaalpie"/>
          <w:lang w:eastAsia="es-CO"/>
        </w:rPr>
        <w:footnoteReference w:id="22"/>
      </w:r>
      <w:r w:rsidR="00015FCF" w:rsidRPr="00CF2E90">
        <w:rPr>
          <w:lang w:eastAsia="es-CO"/>
        </w:rPr>
        <w:t>.</w:t>
      </w:r>
      <w:r w:rsidR="001117F4" w:rsidRPr="00CF2E90">
        <w:rPr>
          <w:lang w:eastAsia="es-CO"/>
        </w:rPr>
        <w:t xml:space="preserve"> </w:t>
      </w:r>
      <w:r w:rsidRPr="00CF2E90">
        <w:rPr>
          <w:lang w:eastAsia="es-CO"/>
        </w:rPr>
        <w:t>En este sentido</w:t>
      </w:r>
      <w:r w:rsidR="001117F4" w:rsidRPr="00CF2E90">
        <w:rPr>
          <w:lang w:eastAsia="es-CO"/>
        </w:rPr>
        <w:t xml:space="preserve">, </w:t>
      </w:r>
      <w:r w:rsidR="004E5375" w:rsidRPr="00CF2E90">
        <w:rPr>
          <w:lang w:eastAsia="es-CO"/>
        </w:rPr>
        <w:t xml:space="preserve">formularon las siguientes pretensiones principales y subsidiarias: </w:t>
      </w:r>
    </w:p>
    <w:p w14:paraId="5677938D" w14:textId="56C01DF8" w:rsidR="004E5375" w:rsidRPr="00CF2E90" w:rsidRDefault="004E5375" w:rsidP="004E5375">
      <w:pPr>
        <w:pStyle w:val="Prrafodelista"/>
        <w:autoSpaceDE w:val="0"/>
        <w:autoSpaceDN w:val="0"/>
        <w:adjustRightInd w:val="0"/>
        <w:ind w:left="0" w:right="0" w:firstLine="0"/>
        <w:rPr>
          <w:lang w:eastAsia="es-CO"/>
        </w:rPr>
      </w:pPr>
    </w:p>
    <w:p w14:paraId="69F88A38" w14:textId="3CB7E4D3" w:rsidR="004E5375" w:rsidRPr="00CF2E90" w:rsidRDefault="004E5375" w:rsidP="004E5375">
      <w:pPr>
        <w:pStyle w:val="Prrafodelista"/>
        <w:autoSpaceDE w:val="0"/>
        <w:autoSpaceDN w:val="0"/>
        <w:adjustRightInd w:val="0"/>
        <w:ind w:left="737" w:right="567" w:firstLine="0"/>
        <w:rPr>
          <w:szCs w:val="22"/>
          <w:lang w:eastAsia="es-CO"/>
        </w:rPr>
      </w:pPr>
      <w:r w:rsidRPr="00CF2E90">
        <w:rPr>
          <w:szCs w:val="22"/>
          <w:lang w:eastAsia="es-CO"/>
        </w:rPr>
        <w:t>(i) Declarar la EXEQUIBILIDAD CONDICIONADA de los artículos 102, 103, 104, 105 y 106 de la Ley 906 de 2004, por el cargo de omisión legislativa relativa, BAJO EL ENTENDIDO de que, mientras el Congreso de la Rep</w:t>
      </w:r>
      <w:r w:rsidR="00083165" w:rsidRPr="00CF2E90">
        <w:rPr>
          <w:szCs w:val="22"/>
          <w:lang w:eastAsia="es-CO"/>
        </w:rPr>
        <w:t>ú</w:t>
      </w:r>
      <w:r w:rsidRPr="00CF2E90">
        <w:rPr>
          <w:szCs w:val="22"/>
          <w:lang w:eastAsia="es-CO"/>
        </w:rPr>
        <w:t xml:space="preserve">blica expide una ley que regule la materia, el término de prescripción para iniciar el Incidente de Reparación Integral será igual al término de prescripción de la acción penal del delito por el cual se profirió la respectiva sentencia condenatoria. </w:t>
      </w:r>
    </w:p>
    <w:p w14:paraId="439DBEDF" w14:textId="77777777" w:rsidR="004E5375" w:rsidRPr="00CF2E90" w:rsidRDefault="004E5375" w:rsidP="004E5375">
      <w:pPr>
        <w:pStyle w:val="Prrafodelista"/>
        <w:autoSpaceDE w:val="0"/>
        <w:autoSpaceDN w:val="0"/>
        <w:adjustRightInd w:val="0"/>
        <w:ind w:left="737" w:right="567" w:firstLine="0"/>
        <w:rPr>
          <w:szCs w:val="22"/>
          <w:lang w:eastAsia="es-CO"/>
        </w:rPr>
      </w:pPr>
    </w:p>
    <w:p w14:paraId="234AA925" w14:textId="1D212E3A" w:rsidR="004E5375" w:rsidRPr="00CF2E90" w:rsidRDefault="004E5375" w:rsidP="004E5375">
      <w:pPr>
        <w:pStyle w:val="Prrafodelista"/>
        <w:autoSpaceDE w:val="0"/>
        <w:autoSpaceDN w:val="0"/>
        <w:adjustRightInd w:val="0"/>
        <w:ind w:left="737" w:right="567" w:firstLine="0"/>
        <w:rPr>
          <w:szCs w:val="22"/>
          <w:lang w:eastAsia="es-CO"/>
        </w:rPr>
      </w:pPr>
      <w:r w:rsidRPr="00CF2E90">
        <w:rPr>
          <w:szCs w:val="22"/>
          <w:lang w:eastAsia="es-CO"/>
        </w:rPr>
        <w:t>(ii) EXHORTAR al Congreso de la Rep</w:t>
      </w:r>
      <w:r w:rsidR="00083165" w:rsidRPr="00CF2E90">
        <w:rPr>
          <w:szCs w:val="22"/>
          <w:lang w:eastAsia="es-CO"/>
        </w:rPr>
        <w:t>ú</w:t>
      </w:r>
      <w:r w:rsidRPr="00CF2E90">
        <w:rPr>
          <w:szCs w:val="22"/>
          <w:lang w:eastAsia="es-CO"/>
        </w:rPr>
        <w:t>blica para que, en ejercicio de su potestad de configuración legislativa y en un plazo razonable que no exceda las dos (2) legislaturas siguientes, expida una ley que regule de manera integral el término de prescripción del Incidente de Reparación Integral, observando los principios de plazo razonable, celeridad y proporcionalidad.</w:t>
      </w:r>
    </w:p>
    <w:p w14:paraId="0BEC7BF7" w14:textId="0A5C73EC" w:rsidR="004E5375" w:rsidRPr="00CF2E90" w:rsidRDefault="004E5375" w:rsidP="004E5375">
      <w:pPr>
        <w:pStyle w:val="Prrafodelista"/>
        <w:autoSpaceDE w:val="0"/>
        <w:autoSpaceDN w:val="0"/>
        <w:adjustRightInd w:val="0"/>
        <w:ind w:left="737" w:right="567" w:firstLine="0"/>
        <w:rPr>
          <w:szCs w:val="22"/>
          <w:lang w:eastAsia="es-CO"/>
        </w:rPr>
      </w:pPr>
    </w:p>
    <w:p w14:paraId="17D7D943" w14:textId="062B3FCD" w:rsidR="004E5375" w:rsidRPr="00CF2E90" w:rsidRDefault="004E5375" w:rsidP="004E5375">
      <w:pPr>
        <w:pStyle w:val="Prrafodelista"/>
        <w:autoSpaceDE w:val="0"/>
        <w:autoSpaceDN w:val="0"/>
        <w:adjustRightInd w:val="0"/>
        <w:ind w:left="737" w:right="567" w:firstLine="0"/>
        <w:rPr>
          <w:szCs w:val="22"/>
          <w:lang w:eastAsia="es-CO"/>
        </w:rPr>
      </w:pPr>
      <w:r w:rsidRPr="00CF2E90">
        <w:rPr>
          <w:szCs w:val="22"/>
          <w:lang w:eastAsia="es-CO"/>
        </w:rPr>
        <w:t xml:space="preserve">(iii) </w:t>
      </w:r>
      <w:r w:rsidRPr="00CF2E90">
        <w:rPr>
          <w:b/>
          <w:bCs/>
          <w:szCs w:val="22"/>
          <w:lang w:eastAsia="es-CO"/>
        </w:rPr>
        <w:t>SUBSIDIARIA</w:t>
      </w:r>
      <w:r w:rsidRPr="00CF2E90">
        <w:rPr>
          <w:szCs w:val="22"/>
          <w:lang w:eastAsia="es-CO"/>
        </w:rPr>
        <w:t>: En caso de no acceder a la pretensión principal, solicito se EXHORTE al Congreso de la República para que, en un plazo perentorio que no exceda una (1) legislatura, expida la legislación mencionada para subsanar la omisión legislativa relativa que vulnera los derechos fundamentales al debido proceso y al acceso a la administración de justicia.</w:t>
      </w:r>
    </w:p>
    <w:p w14:paraId="0C1D9AC0" w14:textId="77777777" w:rsidR="009063D6" w:rsidRPr="00CF2E90" w:rsidRDefault="009063D6" w:rsidP="001224E3">
      <w:pPr>
        <w:ind w:left="0" w:right="0" w:firstLine="0"/>
        <w:jc w:val="left"/>
        <w:rPr>
          <w:b/>
        </w:rPr>
      </w:pPr>
    </w:p>
    <w:p w14:paraId="5100394D" w14:textId="32E57387" w:rsidR="00EF41DE" w:rsidRPr="00CF2E90" w:rsidRDefault="00EF41DE" w:rsidP="000B32E5">
      <w:pPr>
        <w:pStyle w:val="Prrafodelista"/>
        <w:numPr>
          <w:ilvl w:val="0"/>
          <w:numId w:val="5"/>
        </w:numPr>
        <w:ind w:left="567" w:right="0" w:hanging="425"/>
        <w:rPr>
          <w:b/>
        </w:rPr>
      </w:pPr>
      <w:r w:rsidRPr="00CF2E90">
        <w:rPr>
          <w:b/>
        </w:rPr>
        <w:t>Intervenciones</w:t>
      </w:r>
    </w:p>
    <w:p w14:paraId="10A32614" w14:textId="77777777" w:rsidR="00EF41DE" w:rsidRPr="00CF2E90" w:rsidRDefault="00EF41DE" w:rsidP="001224E3">
      <w:pPr>
        <w:ind w:left="0" w:right="0" w:firstLine="0"/>
        <w:jc w:val="left"/>
      </w:pPr>
    </w:p>
    <w:p w14:paraId="383CFDED" w14:textId="43ABE0B8" w:rsidR="00E9165B" w:rsidRPr="00CF2E90" w:rsidRDefault="001449D1">
      <w:pPr>
        <w:pStyle w:val="Prrafodelista"/>
        <w:numPr>
          <w:ilvl w:val="0"/>
          <w:numId w:val="6"/>
        </w:numPr>
        <w:ind w:left="0" w:right="0" w:firstLine="0"/>
      </w:pPr>
      <w:r w:rsidRPr="00CF2E90">
        <w:t>La Corte recibió ocho (8) escritos de intervención</w:t>
      </w:r>
      <w:r w:rsidR="00D64174" w:rsidRPr="00CF2E90">
        <w:t>: (i)</w:t>
      </w:r>
      <w:r w:rsidR="0072526A" w:rsidRPr="00CF2E90">
        <w:t xml:space="preserve"> </w:t>
      </w:r>
      <w:r w:rsidR="00D64174" w:rsidRPr="00CF2E90">
        <w:t>u</w:t>
      </w:r>
      <w:r w:rsidRPr="00CF2E90">
        <w:t>n interviniente solicita que la Corte se declare inhibida por ineptitud sustantiva de la demanda</w:t>
      </w:r>
      <w:r w:rsidRPr="00CF2E90">
        <w:rPr>
          <w:rStyle w:val="Refdenotaalpie"/>
        </w:rPr>
        <w:footnoteReference w:id="23"/>
      </w:r>
      <w:r w:rsidRPr="00CF2E90">
        <w:t xml:space="preserve">; </w:t>
      </w:r>
      <w:r w:rsidR="00D64174" w:rsidRPr="00CF2E90">
        <w:t xml:space="preserve">(ii) </w:t>
      </w:r>
      <w:r w:rsidRPr="00CF2E90">
        <w:t xml:space="preserve">dos intervinientes </w:t>
      </w:r>
      <w:r w:rsidR="00ED0D8B" w:rsidRPr="00CF2E90">
        <w:t>piden</w:t>
      </w:r>
      <w:r w:rsidRPr="00CF2E90">
        <w:t xml:space="preserve"> la inhibición y, en subsidio, la exequibilidad simple</w:t>
      </w:r>
      <w:r w:rsidRPr="00CF2E90">
        <w:rPr>
          <w:rStyle w:val="Refdenotaalpie"/>
        </w:rPr>
        <w:footnoteReference w:id="24"/>
      </w:r>
      <w:r w:rsidRPr="00CF2E90">
        <w:t xml:space="preserve">; </w:t>
      </w:r>
      <w:r w:rsidR="00D64174" w:rsidRPr="00CF2E90">
        <w:t xml:space="preserve">(iii) </w:t>
      </w:r>
      <w:r w:rsidRPr="00CF2E90">
        <w:t>un interviniente solicita la exequibilidad simple</w:t>
      </w:r>
      <w:r w:rsidRPr="00CF2E90">
        <w:rPr>
          <w:rStyle w:val="Refdenotaalpie"/>
        </w:rPr>
        <w:footnoteReference w:id="25"/>
      </w:r>
      <w:r w:rsidRPr="00CF2E90">
        <w:t xml:space="preserve">; y </w:t>
      </w:r>
      <w:r w:rsidR="00D64174" w:rsidRPr="00CF2E90">
        <w:t xml:space="preserve">(iv) </w:t>
      </w:r>
      <w:r w:rsidRPr="00CF2E90">
        <w:t xml:space="preserve">cuatro </w:t>
      </w:r>
      <w:r w:rsidR="00D64174" w:rsidRPr="00CF2E90">
        <w:t xml:space="preserve">intervinientes </w:t>
      </w:r>
      <w:r w:rsidR="00ED0D8B" w:rsidRPr="00CF2E90">
        <w:t>consideran que la Corte debe declarar la</w:t>
      </w:r>
      <w:r w:rsidRPr="00CF2E90">
        <w:t xml:space="preserve"> exequibilidad condicionada</w:t>
      </w:r>
      <w:r w:rsidRPr="00CF2E90">
        <w:rPr>
          <w:rStyle w:val="Refdenotaalpie"/>
        </w:rPr>
        <w:footnoteReference w:id="26"/>
      </w:r>
      <w:r w:rsidRPr="00CF2E90">
        <w:t>. La siguiente tabla sintetiza las solicitudes:</w:t>
      </w:r>
    </w:p>
    <w:p w14:paraId="0135941F" w14:textId="703D3772" w:rsidR="00AE68B8" w:rsidRPr="00CF2E90" w:rsidRDefault="00AE68B8" w:rsidP="001224E3">
      <w:pPr>
        <w:ind w:left="0" w:right="0" w:firstLine="0"/>
        <w:rPr>
          <w:lang w:eastAsia="es-ES"/>
        </w:rPr>
      </w:pPr>
    </w:p>
    <w:tbl>
      <w:tblPr>
        <w:tblStyle w:val="Tablaconcuadrcula"/>
        <w:tblW w:w="0" w:type="auto"/>
        <w:tblLook w:val="04A0" w:firstRow="1" w:lastRow="0" w:firstColumn="1" w:lastColumn="0" w:noHBand="0" w:noVBand="1"/>
      </w:tblPr>
      <w:tblGrid>
        <w:gridCol w:w="4415"/>
        <w:gridCol w:w="4415"/>
      </w:tblGrid>
      <w:tr w:rsidR="00951917" w:rsidRPr="00CF2E90" w14:paraId="50F88CD2" w14:textId="77777777" w:rsidTr="00951917">
        <w:tc>
          <w:tcPr>
            <w:tcW w:w="4415" w:type="dxa"/>
            <w:shd w:val="clear" w:color="auto" w:fill="D0CECE" w:themeFill="background2" w:themeFillShade="E6"/>
          </w:tcPr>
          <w:p w14:paraId="7E7C95C8" w14:textId="159591A2" w:rsidR="00951917" w:rsidRPr="00CF2E90" w:rsidRDefault="00951917" w:rsidP="00951917">
            <w:pPr>
              <w:ind w:left="0" w:right="0" w:firstLine="0"/>
              <w:jc w:val="center"/>
              <w:rPr>
                <w:lang w:eastAsia="es-ES"/>
              </w:rPr>
            </w:pPr>
            <w:r w:rsidRPr="00CF2E90">
              <w:rPr>
                <w:rFonts w:eastAsia="Arial"/>
                <w:b/>
                <w:bCs/>
                <w:szCs w:val="22"/>
              </w:rPr>
              <w:t>Interviniente</w:t>
            </w:r>
          </w:p>
        </w:tc>
        <w:tc>
          <w:tcPr>
            <w:tcW w:w="4415" w:type="dxa"/>
            <w:shd w:val="clear" w:color="auto" w:fill="D0CECE" w:themeFill="background2" w:themeFillShade="E6"/>
          </w:tcPr>
          <w:p w14:paraId="0C8B2434" w14:textId="2600AB27" w:rsidR="00951917" w:rsidRPr="00CF2E90" w:rsidRDefault="00951917" w:rsidP="00951917">
            <w:pPr>
              <w:ind w:left="0" w:right="0" w:firstLine="0"/>
              <w:jc w:val="center"/>
              <w:rPr>
                <w:lang w:eastAsia="es-ES"/>
              </w:rPr>
            </w:pPr>
            <w:r w:rsidRPr="00CF2E90">
              <w:rPr>
                <w:rFonts w:eastAsia="Arial"/>
                <w:b/>
                <w:bCs/>
                <w:szCs w:val="22"/>
              </w:rPr>
              <w:t>Solicitud</w:t>
            </w:r>
          </w:p>
        </w:tc>
      </w:tr>
      <w:tr w:rsidR="00951917" w:rsidRPr="00CF2E90" w14:paraId="34CC586F" w14:textId="77777777">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6A3F3B63" w14:textId="2EF724A6" w:rsidR="00951917" w:rsidRPr="00CF2E90" w:rsidRDefault="00951917" w:rsidP="00951917">
            <w:pPr>
              <w:ind w:left="0" w:right="0" w:firstLine="0"/>
              <w:jc w:val="center"/>
              <w:rPr>
                <w:lang w:eastAsia="es-ES"/>
              </w:rPr>
            </w:pPr>
            <w:r w:rsidRPr="00CF2E90">
              <w:rPr>
                <w:rFonts w:eastAsia="Arial"/>
                <w:szCs w:val="22"/>
              </w:rPr>
              <w:t>Universidad Pontificia Bolivariana</w:t>
            </w:r>
          </w:p>
        </w:tc>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16D642C6" w14:textId="6C24747C" w:rsidR="00951917" w:rsidRPr="00CF2E90" w:rsidRDefault="00951917" w:rsidP="00951917">
            <w:pPr>
              <w:ind w:left="0" w:right="0" w:firstLine="0"/>
              <w:jc w:val="center"/>
              <w:rPr>
                <w:lang w:eastAsia="es-ES"/>
              </w:rPr>
            </w:pPr>
            <w:r w:rsidRPr="00CF2E90">
              <w:rPr>
                <w:rFonts w:eastAsia="Arial"/>
                <w:szCs w:val="22"/>
              </w:rPr>
              <w:t>Inhibición</w:t>
            </w:r>
          </w:p>
        </w:tc>
      </w:tr>
      <w:tr w:rsidR="00951917" w:rsidRPr="00CF2E90" w14:paraId="69DC27FE" w14:textId="77777777">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1E695E23" w14:textId="5A45C6CD" w:rsidR="00951917" w:rsidRPr="00CF2E90" w:rsidRDefault="00951917" w:rsidP="00951917">
            <w:pPr>
              <w:ind w:left="0" w:right="0" w:firstLine="0"/>
              <w:jc w:val="center"/>
              <w:rPr>
                <w:lang w:eastAsia="es-ES"/>
              </w:rPr>
            </w:pPr>
            <w:r w:rsidRPr="00CF2E90">
              <w:rPr>
                <w:rFonts w:eastAsia="Arial"/>
                <w:szCs w:val="22"/>
              </w:rPr>
              <w:t>Universidad Externado de Colombia</w:t>
            </w:r>
          </w:p>
        </w:tc>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4B4D26F3" w14:textId="4D95B1D5" w:rsidR="00951917" w:rsidRPr="00CF2E90" w:rsidRDefault="00951917" w:rsidP="00951917">
            <w:pPr>
              <w:ind w:left="0" w:right="0" w:firstLine="0"/>
              <w:jc w:val="center"/>
              <w:rPr>
                <w:lang w:eastAsia="es-ES"/>
              </w:rPr>
            </w:pPr>
            <w:r w:rsidRPr="00CF2E90">
              <w:rPr>
                <w:rFonts w:eastAsia="Arial"/>
                <w:szCs w:val="22"/>
              </w:rPr>
              <w:t>Inhibición / Exequibilidad simple (subsidiaria)</w:t>
            </w:r>
          </w:p>
        </w:tc>
      </w:tr>
      <w:tr w:rsidR="00951917" w:rsidRPr="00CF2E90" w14:paraId="6F668164" w14:textId="77777777">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3DF734CF" w14:textId="41E87FCA" w:rsidR="00951917" w:rsidRPr="00CF2E90" w:rsidRDefault="00951917" w:rsidP="00951917">
            <w:pPr>
              <w:ind w:left="0" w:right="0" w:firstLine="0"/>
              <w:jc w:val="center"/>
              <w:rPr>
                <w:lang w:eastAsia="es-ES"/>
              </w:rPr>
            </w:pPr>
            <w:r w:rsidRPr="00CF2E90">
              <w:rPr>
                <w:rFonts w:eastAsia="Arial"/>
                <w:szCs w:val="22"/>
              </w:rPr>
              <w:t>Ministerio de Justicia y del Derecho</w:t>
            </w:r>
          </w:p>
        </w:tc>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4FB1B480" w14:textId="02D40ABB" w:rsidR="00951917" w:rsidRPr="00CF2E90" w:rsidRDefault="00951917" w:rsidP="00951917">
            <w:pPr>
              <w:ind w:left="0" w:right="0" w:firstLine="0"/>
              <w:jc w:val="center"/>
              <w:rPr>
                <w:lang w:eastAsia="es-ES"/>
              </w:rPr>
            </w:pPr>
            <w:r w:rsidRPr="00CF2E90">
              <w:rPr>
                <w:rFonts w:eastAsia="Arial"/>
                <w:szCs w:val="22"/>
              </w:rPr>
              <w:t>Inhibición / Exequibilidad simple (subsidiaria)</w:t>
            </w:r>
          </w:p>
        </w:tc>
      </w:tr>
      <w:tr w:rsidR="00951917" w:rsidRPr="00CF2E90" w14:paraId="064D3A27" w14:textId="77777777">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4A7ED2F0" w14:textId="0F7B2FA5" w:rsidR="00951917" w:rsidRPr="00CF2E90" w:rsidRDefault="00951917" w:rsidP="00951917">
            <w:pPr>
              <w:ind w:left="0" w:right="0" w:firstLine="0"/>
              <w:jc w:val="center"/>
              <w:rPr>
                <w:lang w:eastAsia="es-ES"/>
              </w:rPr>
            </w:pPr>
            <w:r w:rsidRPr="00CF2E90">
              <w:rPr>
                <w:rFonts w:eastAsia="Arial"/>
                <w:szCs w:val="22"/>
              </w:rPr>
              <w:t>Academia Colombiana de Jurisprudencia</w:t>
            </w:r>
          </w:p>
        </w:tc>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7E6F1388" w14:textId="1BAC4CF3" w:rsidR="00951917" w:rsidRPr="00CF2E90" w:rsidRDefault="00951917" w:rsidP="00951917">
            <w:pPr>
              <w:ind w:left="0" w:right="0" w:firstLine="0"/>
              <w:jc w:val="center"/>
              <w:rPr>
                <w:lang w:eastAsia="es-ES"/>
              </w:rPr>
            </w:pPr>
            <w:r w:rsidRPr="00CF2E90">
              <w:rPr>
                <w:rFonts w:eastAsia="Arial"/>
                <w:szCs w:val="22"/>
              </w:rPr>
              <w:t>Exequibilidad simple</w:t>
            </w:r>
          </w:p>
        </w:tc>
      </w:tr>
      <w:tr w:rsidR="00951917" w:rsidRPr="00CF2E90" w14:paraId="5F01E34B" w14:textId="77777777">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5BBC9374" w14:textId="03DF7675" w:rsidR="00951917" w:rsidRPr="00CF2E90" w:rsidRDefault="00951917" w:rsidP="00951917">
            <w:pPr>
              <w:ind w:left="0" w:right="0" w:firstLine="0"/>
              <w:jc w:val="center"/>
              <w:rPr>
                <w:lang w:eastAsia="es-ES"/>
              </w:rPr>
            </w:pPr>
            <w:r w:rsidRPr="00CF2E90">
              <w:rPr>
                <w:rFonts w:eastAsia="Arial"/>
                <w:szCs w:val="22"/>
              </w:rPr>
              <w:t>Fundación Jurídica Proyecto Inocencia</w:t>
            </w:r>
          </w:p>
        </w:tc>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6C71A633" w14:textId="3C10D5C7" w:rsidR="00951917" w:rsidRPr="00CF2E90" w:rsidRDefault="00951917" w:rsidP="00951917">
            <w:pPr>
              <w:ind w:left="0" w:right="0" w:firstLine="0"/>
              <w:jc w:val="center"/>
              <w:rPr>
                <w:lang w:eastAsia="es-ES"/>
              </w:rPr>
            </w:pPr>
            <w:r w:rsidRPr="00CF2E90">
              <w:rPr>
                <w:rFonts w:eastAsia="Arial"/>
                <w:szCs w:val="22"/>
              </w:rPr>
              <w:t>Exequibilidad condicionada</w:t>
            </w:r>
          </w:p>
        </w:tc>
      </w:tr>
      <w:tr w:rsidR="00951917" w:rsidRPr="00CF2E90" w14:paraId="643F01F2" w14:textId="77777777">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46E61805" w14:textId="2241920E" w:rsidR="00951917" w:rsidRPr="00CF2E90" w:rsidRDefault="00951917" w:rsidP="00951917">
            <w:pPr>
              <w:ind w:left="0" w:right="0" w:firstLine="0"/>
              <w:jc w:val="center"/>
              <w:rPr>
                <w:rFonts w:eastAsia="Arial"/>
                <w:szCs w:val="22"/>
              </w:rPr>
            </w:pPr>
            <w:r w:rsidRPr="00CF2E90">
              <w:rPr>
                <w:rFonts w:eastAsia="Arial"/>
                <w:szCs w:val="22"/>
              </w:rPr>
              <w:t>Colegio de Abogados Penalistas de Colombia</w:t>
            </w:r>
          </w:p>
        </w:tc>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043444C6" w14:textId="488CDFDA" w:rsidR="00951917" w:rsidRPr="00CF2E90" w:rsidRDefault="00951917" w:rsidP="00951917">
            <w:pPr>
              <w:ind w:left="0" w:right="0" w:firstLine="0"/>
              <w:jc w:val="center"/>
              <w:rPr>
                <w:rFonts w:eastAsia="Arial"/>
                <w:szCs w:val="22"/>
              </w:rPr>
            </w:pPr>
            <w:r w:rsidRPr="00CF2E90">
              <w:rPr>
                <w:rFonts w:eastAsia="Arial"/>
                <w:szCs w:val="22"/>
              </w:rPr>
              <w:t>Exequibilidad condicionada</w:t>
            </w:r>
          </w:p>
        </w:tc>
      </w:tr>
      <w:tr w:rsidR="00951917" w:rsidRPr="00CF2E90" w14:paraId="70D4DD62" w14:textId="77777777">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603A8C96" w14:textId="5F7493F2" w:rsidR="00951917" w:rsidRPr="00CF2E90" w:rsidRDefault="00951917" w:rsidP="00951917">
            <w:pPr>
              <w:ind w:left="0" w:right="0" w:firstLine="0"/>
              <w:jc w:val="center"/>
              <w:rPr>
                <w:rFonts w:eastAsia="Arial"/>
                <w:szCs w:val="22"/>
              </w:rPr>
            </w:pPr>
            <w:r w:rsidRPr="00CF2E90">
              <w:rPr>
                <w:rFonts w:eastAsia="Arial"/>
                <w:szCs w:val="22"/>
              </w:rPr>
              <w:t>Universidad de los Andes</w:t>
            </w:r>
          </w:p>
        </w:tc>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41303101" w14:textId="165C9E62" w:rsidR="00951917" w:rsidRPr="00CF2E90" w:rsidRDefault="00951917" w:rsidP="00951917">
            <w:pPr>
              <w:ind w:left="0" w:right="0" w:firstLine="0"/>
              <w:jc w:val="center"/>
              <w:rPr>
                <w:rFonts w:eastAsia="Arial"/>
                <w:szCs w:val="22"/>
              </w:rPr>
            </w:pPr>
            <w:r w:rsidRPr="00CF2E90">
              <w:rPr>
                <w:rFonts w:eastAsia="Arial"/>
                <w:szCs w:val="22"/>
              </w:rPr>
              <w:t>Exequibilidad condicionada</w:t>
            </w:r>
          </w:p>
        </w:tc>
      </w:tr>
      <w:tr w:rsidR="00951917" w:rsidRPr="00CF2E90" w14:paraId="24EB4928" w14:textId="77777777">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313DF9A1" w14:textId="7A34C58D" w:rsidR="00951917" w:rsidRPr="00CF2E90" w:rsidRDefault="00951917" w:rsidP="00951917">
            <w:pPr>
              <w:ind w:left="0" w:right="0" w:firstLine="0"/>
              <w:jc w:val="center"/>
              <w:rPr>
                <w:rFonts w:eastAsia="Arial"/>
                <w:szCs w:val="22"/>
              </w:rPr>
            </w:pPr>
            <w:r w:rsidRPr="00CF2E90">
              <w:rPr>
                <w:rFonts w:eastAsia="Arial"/>
                <w:szCs w:val="22"/>
              </w:rPr>
              <w:t>Instituto Colombiano de Derecho Procesal</w:t>
            </w:r>
          </w:p>
        </w:tc>
        <w:tc>
          <w:tcPr>
            <w:tcW w:w="4415" w:type="dxa"/>
            <w:tcBorders>
              <w:top w:val="single" w:sz="4" w:space="0" w:color="000000"/>
              <w:left w:val="single" w:sz="4" w:space="0" w:color="000000"/>
              <w:bottom w:val="single" w:sz="4" w:space="0" w:color="000000"/>
              <w:right w:val="single" w:sz="4" w:space="0" w:color="000000"/>
            </w:tcBorders>
            <w:shd w:val="clear" w:color="auto" w:fill="FFFFFF"/>
          </w:tcPr>
          <w:p w14:paraId="319E673C" w14:textId="558BBC04" w:rsidR="00951917" w:rsidRPr="00CF2E90" w:rsidRDefault="00951917" w:rsidP="00951917">
            <w:pPr>
              <w:ind w:left="0" w:right="0" w:firstLine="0"/>
              <w:jc w:val="center"/>
              <w:rPr>
                <w:rFonts w:eastAsia="Arial"/>
                <w:szCs w:val="22"/>
              </w:rPr>
            </w:pPr>
            <w:r w:rsidRPr="00CF2E90">
              <w:rPr>
                <w:rFonts w:eastAsia="Arial"/>
                <w:szCs w:val="22"/>
              </w:rPr>
              <w:t>Exequibilidad condicionada</w:t>
            </w:r>
          </w:p>
        </w:tc>
      </w:tr>
    </w:tbl>
    <w:p w14:paraId="7A369F45" w14:textId="77777777" w:rsidR="00951917" w:rsidRPr="00CF2E90" w:rsidRDefault="00951917" w:rsidP="001224E3">
      <w:pPr>
        <w:ind w:left="0" w:right="0" w:firstLine="0"/>
        <w:rPr>
          <w:lang w:eastAsia="es-ES"/>
        </w:rPr>
      </w:pPr>
    </w:p>
    <w:p w14:paraId="095D8281" w14:textId="6491FE88" w:rsidR="00D64174" w:rsidRPr="00CF2E90" w:rsidRDefault="00D64174" w:rsidP="00D64174">
      <w:pPr>
        <w:pStyle w:val="Prrafodelista"/>
        <w:numPr>
          <w:ilvl w:val="0"/>
          <w:numId w:val="6"/>
        </w:numPr>
        <w:ind w:left="0" w:right="0" w:firstLine="0"/>
        <w:rPr>
          <w:lang w:eastAsia="es-ES"/>
        </w:rPr>
      </w:pPr>
      <w:r w:rsidRPr="00CF2E90">
        <w:rPr>
          <w:lang w:eastAsia="es-ES"/>
        </w:rPr>
        <w:t xml:space="preserve">El resumen detallado </w:t>
      </w:r>
      <w:r w:rsidR="00235A27" w:rsidRPr="00CF2E90">
        <w:rPr>
          <w:lang w:eastAsia="es-ES"/>
        </w:rPr>
        <w:t xml:space="preserve">e individualizado </w:t>
      </w:r>
      <w:r w:rsidRPr="00CF2E90">
        <w:rPr>
          <w:lang w:eastAsia="es-ES"/>
        </w:rPr>
        <w:t xml:space="preserve">de las intervenciones se presenta en el </w:t>
      </w:r>
      <w:r w:rsidRPr="00CF2E90">
        <w:rPr>
          <w:b/>
          <w:bCs/>
          <w:lang w:eastAsia="es-ES"/>
        </w:rPr>
        <w:t>Anexo 1</w:t>
      </w:r>
      <w:r w:rsidRPr="00CF2E90">
        <w:rPr>
          <w:lang w:eastAsia="es-ES"/>
        </w:rPr>
        <w:t xml:space="preserve"> de esta providencia. </w:t>
      </w:r>
      <w:r w:rsidR="00235A27" w:rsidRPr="00CF2E90">
        <w:rPr>
          <w:lang w:eastAsia="es-ES"/>
        </w:rPr>
        <w:t xml:space="preserve">Con todo, a continuación, la Corte </w:t>
      </w:r>
      <w:r w:rsidR="00ED0D8B" w:rsidRPr="00CF2E90">
        <w:rPr>
          <w:lang w:eastAsia="es-ES"/>
        </w:rPr>
        <w:t>resume y agrupa</w:t>
      </w:r>
      <w:r w:rsidR="00235A27" w:rsidRPr="00CF2E90">
        <w:rPr>
          <w:lang w:eastAsia="es-ES"/>
        </w:rPr>
        <w:t xml:space="preserve"> l</w:t>
      </w:r>
      <w:r w:rsidR="00ED0D8B" w:rsidRPr="00CF2E90">
        <w:rPr>
          <w:lang w:eastAsia="es-ES"/>
        </w:rPr>
        <w:t>os argumentos</w:t>
      </w:r>
      <w:r w:rsidR="00E05A44" w:rsidRPr="00CF2E90">
        <w:rPr>
          <w:lang w:eastAsia="es-ES"/>
        </w:rPr>
        <w:t xml:space="preserve"> de las</w:t>
      </w:r>
      <w:r w:rsidR="00235A27" w:rsidRPr="00CF2E90">
        <w:rPr>
          <w:lang w:eastAsia="es-ES"/>
        </w:rPr>
        <w:t xml:space="preserve"> intervenciones en función de la solicitud</w:t>
      </w:r>
      <w:r w:rsidR="00ED0D8B" w:rsidRPr="00CF2E90">
        <w:rPr>
          <w:lang w:eastAsia="es-ES"/>
        </w:rPr>
        <w:t xml:space="preserve"> que formulan</w:t>
      </w:r>
      <w:r w:rsidR="00235A27" w:rsidRPr="00CF2E90">
        <w:rPr>
          <w:lang w:eastAsia="es-ES"/>
        </w:rPr>
        <w:t xml:space="preserve">. </w:t>
      </w:r>
    </w:p>
    <w:p w14:paraId="74E5A858" w14:textId="77777777" w:rsidR="00D64174" w:rsidRPr="00CF2E90" w:rsidRDefault="00D64174" w:rsidP="00D64174">
      <w:pPr>
        <w:pStyle w:val="Prrafodelista"/>
        <w:ind w:left="0" w:right="0" w:firstLine="0"/>
        <w:rPr>
          <w:lang w:eastAsia="es-ES"/>
        </w:rPr>
      </w:pPr>
    </w:p>
    <w:p w14:paraId="1CC462CD" w14:textId="1AA4A6C3" w:rsidR="00DE5238" w:rsidRPr="00CF2E90" w:rsidRDefault="00DE5238" w:rsidP="00235A27">
      <w:pPr>
        <w:pStyle w:val="Prrafodelista"/>
        <w:numPr>
          <w:ilvl w:val="1"/>
          <w:numId w:val="5"/>
        </w:numPr>
        <w:ind w:left="709" w:right="0" w:hanging="567"/>
        <w:rPr>
          <w:b/>
          <w:bCs/>
        </w:rPr>
      </w:pPr>
      <w:r w:rsidRPr="00CF2E90">
        <w:rPr>
          <w:b/>
          <w:bCs/>
        </w:rPr>
        <w:t>Solicitud</w:t>
      </w:r>
      <w:r w:rsidR="00D64174" w:rsidRPr="00CF2E90">
        <w:rPr>
          <w:b/>
          <w:bCs/>
        </w:rPr>
        <w:t xml:space="preserve">es </w:t>
      </w:r>
      <w:r w:rsidRPr="00CF2E90">
        <w:rPr>
          <w:b/>
          <w:bCs/>
        </w:rPr>
        <w:t xml:space="preserve">de </w:t>
      </w:r>
      <w:r w:rsidR="00725636" w:rsidRPr="00CF2E90">
        <w:rPr>
          <w:b/>
          <w:bCs/>
        </w:rPr>
        <w:t xml:space="preserve">inhibición </w:t>
      </w:r>
    </w:p>
    <w:p w14:paraId="42E277D0" w14:textId="77777777" w:rsidR="00725636" w:rsidRPr="00CF2E90" w:rsidRDefault="00725636" w:rsidP="00725636">
      <w:pPr>
        <w:pStyle w:val="font-claude-response-body"/>
        <w:spacing w:before="0" w:beforeAutospacing="0" w:after="0" w:afterAutospacing="0"/>
        <w:jc w:val="both"/>
        <w:rPr>
          <w:sz w:val="28"/>
        </w:rPr>
      </w:pPr>
    </w:p>
    <w:p w14:paraId="6B3555E1" w14:textId="0F1FEA75" w:rsidR="00235A27" w:rsidRPr="00CF2E90" w:rsidRDefault="00BD571C">
      <w:pPr>
        <w:pStyle w:val="font-claude-response-body"/>
        <w:numPr>
          <w:ilvl w:val="0"/>
          <w:numId w:val="6"/>
        </w:numPr>
        <w:spacing w:before="0" w:beforeAutospacing="0" w:after="0" w:afterAutospacing="0"/>
        <w:ind w:left="0" w:firstLine="0"/>
        <w:jc w:val="both"/>
        <w:rPr>
          <w:sz w:val="28"/>
        </w:rPr>
      </w:pPr>
      <w:r w:rsidRPr="00CF2E90">
        <w:rPr>
          <w:sz w:val="28"/>
          <w:szCs w:val="28"/>
        </w:rPr>
        <w:t xml:space="preserve">La Universidad Externado de Colombia, el Ministerio de Justicia y del Derecho y la Universidad Pontificia Bolivariana </w:t>
      </w:r>
      <w:r w:rsidR="00074AE0" w:rsidRPr="00CF2E90">
        <w:rPr>
          <w:sz w:val="28"/>
          <w:szCs w:val="28"/>
        </w:rPr>
        <w:t xml:space="preserve">consideraron </w:t>
      </w:r>
      <w:r w:rsidR="00725636" w:rsidRPr="00CF2E90">
        <w:rPr>
          <w:sz w:val="28"/>
          <w:szCs w:val="28"/>
        </w:rPr>
        <w:t xml:space="preserve">que la demanda no satisface </w:t>
      </w:r>
      <w:r w:rsidR="00235A27" w:rsidRPr="00CF2E90">
        <w:rPr>
          <w:sz w:val="28"/>
          <w:szCs w:val="28"/>
        </w:rPr>
        <w:t xml:space="preserve">las cargas </w:t>
      </w:r>
      <w:r w:rsidR="00074AE0" w:rsidRPr="00CF2E90">
        <w:rPr>
          <w:sz w:val="28"/>
          <w:szCs w:val="28"/>
        </w:rPr>
        <w:t xml:space="preserve">mínimas </w:t>
      </w:r>
      <w:r w:rsidR="00235A27" w:rsidRPr="00CF2E90">
        <w:rPr>
          <w:sz w:val="28"/>
          <w:szCs w:val="28"/>
        </w:rPr>
        <w:t xml:space="preserve">de argumentación desarrolladas por la jurisprudencia constitucional. En concreto, </w:t>
      </w:r>
      <w:r w:rsidR="00074AE0" w:rsidRPr="00CF2E90">
        <w:rPr>
          <w:sz w:val="28"/>
          <w:szCs w:val="28"/>
        </w:rPr>
        <w:t>argumentaron</w:t>
      </w:r>
      <w:r w:rsidR="00235A27" w:rsidRPr="00CF2E90">
        <w:rPr>
          <w:sz w:val="28"/>
          <w:szCs w:val="28"/>
        </w:rPr>
        <w:t xml:space="preserve"> que la demanda carece de claridad, certeza, pertinencia y suficiencia</w:t>
      </w:r>
      <w:r w:rsidR="00ED0D8B" w:rsidRPr="00CF2E90">
        <w:rPr>
          <w:sz w:val="28"/>
          <w:szCs w:val="28"/>
        </w:rPr>
        <w:t xml:space="preserve">, por las siguientes razones: </w:t>
      </w:r>
      <w:r w:rsidR="00235A27" w:rsidRPr="00CF2E90">
        <w:rPr>
          <w:sz w:val="28"/>
          <w:szCs w:val="28"/>
        </w:rPr>
        <w:t xml:space="preserve"> </w:t>
      </w:r>
    </w:p>
    <w:p w14:paraId="1859D184" w14:textId="77777777" w:rsidR="00235A27" w:rsidRPr="00CF2E90" w:rsidRDefault="00235A27" w:rsidP="00235A27">
      <w:pPr>
        <w:pStyle w:val="font-claude-response-body"/>
        <w:spacing w:before="0" w:beforeAutospacing="0" w:after="0" w:afterAutospacing="0"/>
        <w:jc w:val="both"/>
        <w:rPr>
          <w:sz w:val="28"/>
        </w:rPr>
      </w:pPr>
    </w:p>
    <w:p w14:paraId="173170CB" w14:textId="145172F2" w:rsidR="00074AE0" w:rsidRPr="00CF2E90" w:rsidRDefault="00074AE0" w:rsidP="00630EDF">
      <w:pPr>
        <w:pStyle w:val="font-claude-response-body"/>
        <w:numPr>
          <w:ilvl w:val="0"/>
          <w:numId w:val="7"/>
        </w:numPr>
        <w:spacing w:before="0" w:beforeAutospacing="0" w:after="0" w:afterAutospacing="0"/>
        <w:ind w:left="426" w:hanging="284"/>
        <w:jc w:val="both"/>
        <w:rPr>
          <w:sz w:val="28"/>
        </w:rPr>
      </w:pPr>
      <w:r w:rsidRPr="00CF2E90">
        <w:rPr>
          <w:i/>
          <w:iCs/>
          <w:sz w:val="28"/>
          <w:szCs w:val="28"/>
        </w:rPr>
        <w:t>Claridad</w:t>
      </w:r>
      <w:r w:rsidRPr="00CF2E90">
        <w:rPr>
          <w:sz w:val="28"/>
          <w:szCs w:val="28"/>
        </w:rPr>
        <w:t xml:space="preserve">. </w:t>
      </w:r>
      <w:r w:rsidR="00725636" w:rsidRPr="00CF2E90">
        <w:rPr>
          <w:sz w:val="28"/>
          <w:szCs w:val="28"/>
        </w:rPr>
        <w:t>La Universidad Externado de Colombia y el Ministerio de Justicia y del Derecho señala</w:t>
      </w:r>
      <w:r w:rsidR="00ED0D8B" w:rsidRPr="00CF2E90">
        <w:rPr>
          <w:sz w:val="28"/>
          <w:szCs w:val="28"/>
        </w:rPr>
        <w:t>ron</w:t>
      </w:r>
      <w:r w:rsidR="00725636" w:rsidRPr="00CF2E90">
        <w:rPr>
          <w:sz w:val="28"/>
          <w:szCs w:val="28"/>
        </w:rPr>
        <w:t xml:space="preserve"> que la demanda </w:t>
      </w:r>
      <w:r w:rsidR="00235A27" w:rsidRPr="00CF2E90">
        <w:rPr>
          <w:sz w:val="28"/>
          <w:szCs w:val="28"/>
        </w:rPr>
        <w:t>carece de claridad</w:t>
      </w:r>
      <w:r w:rsidR="00251318" w:rsidRPr="00CF2E90">
        <w:rPr>
          <w:sz w:val="28"/>
          <w:szCs w:val="28"/>
        </w:rPr>
        <w:t>, pues</w:t>
      </w:r>
      <w:r w:rsidR="00235A27" w:rsidRPr="00CF2E90">
        <w:rPr>
          <w:sz w:val="28"/>
          <w:szCs w:val="28"/>
        </w:rPr>
        <w:t xml:space="preserve"> </w:t>
      </w:r>
      <w:r w:rsidR="00725636" w:rsidRPr="00CF2E90">
        <w:rPr>
          <w:sz w:val="28"/>
          <w:szCs w:val="28"/>
        </w:rPr>
        <w:t xml:space="preserve">no </w:t>
      </w:r>
      <w:r w:rsidR="00235A27" w:rsidRPr="00CF2E90">
        <w:rPr>
          <w:sz w:val="28"/>
          <w:szCs w:val="28"/>
        </w:rPr>
        <w:t>identifica</w:t>
      </w:r>
      <w:r w:rsidR="00725636" w:rsidRPr="00CF2E90">
        <w:rPr>
          <w:sz w:val="28"/>
          <w:szCs w:val="28"/>
        </w:rPr>
        <w:t xml:space="preserve"> con precisión cuál es el ingrediente normativo </w:t>
      </w:r>
      <w:r w:rsidRPr="00CF2E90">
        <w:rPr>
          <w:sz w:val="28"/>
          <w:szCs w:val="28"/>
        </w:rPr>
        <w:t xml:space="preserve">presuntamente </w:t>
      </w:r>
      <w:r w:rsidR="00725636" w:rsidRPr="00CF2E90">
        <w:rPr>
          <w:sz w:val="28"/>
          <w:szCs w:val="28"/>
        </w:rPr>
        <w:t>omitido por el legislador</w:t>
      </w:r>
      <w:r w:rsidR="00235A27" w:rsidRPr="00CF2E90">
        <w:rPr>
          <w:sz w:val="28"/>
          <w:szCs w:val="28"/>
        </w:rPr>
        <w:t xml:space="preserve">. </w:t>
      </w:r>
      <w:r w:rsidRPr="00CF2E90">
        <w:rPr>
          <w:sz w:val="28"/>
          <w:szCs w:val="28"/>
        </w:rPr>
        <w:t>Resalta</w:t>
      </w:r>
      <w:r w:rsidR="00425173" w:rsidRPr="00CF2E90">
        <w:rPr>
          <w:sz w:val="28"/>
          <w:szCs w:val="28"/>
        </w:rPr>
        <w:t>ron</w:t>
      </w:r>
      <w:r w:rsidRPr="00CF2E90">
        <w:rPr>
          <w:sz w:val="28"/>
          <w:szCs w:val="28"/>
        </w:rPr>
        <w:t xml:space="preserve"> </w:t>
      </w:r>
      <w:r w:rsidR="00235A27" w:rsidRPr="00CF2E90">
        <w:rPr>
          <w:sz w:val="28"/>
          <w:szCs w:val="28"/>
        </w:rPr>
        <w:t>que</w:t>
      </w:r>
      <w:r w:rsidR="00251318" w:rsidRPr="00CF2E90">
        <w:rPr>
          <w:sz w:val="28"/>
          <w:szCs w:val="28"/>
        </w:rPr>
        <w:t>, a lo largo del escrito, los demandantes se refieren indistintamente</w:t>
      </w:r>
      <w:r w:rsidR="00725636" w:rsidRPr="00CF2E90">
        <w:rPr>
          <w:sz w:val="28"/>
          <w:szCs w:val="28"/>
        </w:rPr>
        <w:t xml:space="preserve"> </w:t>
      </w:r>
      <w:r w:rsidR="00235A27" w:rsidRPr="00CF2E90">
        <w:rPr>
          <w:sz w:val="28"/>
          <w:szCs w:val="28"/>
        </w:rPr>
        <w:t xml:space="preserve">a </w:t>
      </w:r>
      <w:r w:rsidR="00725636" w:rsidRPr="00CF2E90">
        <w:rPr>
          <w:sz w:val="28"/>
          <w:szCs w:val="28"/>
        </w:rPr>
        <w:t xml:space="preserve">dos figuras jurídicas de naturaleza y consecuencias distintas: la prescripción de la acción civil y el término de duración máxima </w:t>
      </w:r>
      <w:r w:rsidRPr="00CF2E90">
        <w:rPr>
          <w:sz w:val="28"/>
          <w:szCs w:val="28"/>
        </w:rPr>
        <w:t>del incidente de reparación</w:t>
      </w:r>
      <w:r w:rsidR="00725636" w:rsidRPr="00CF2E90">
        <w:rPr>
          <w:sz w:val="28"/>
          <w:szCs w:val="28"/>
        </w:rPr>
        <w:t>.</w:t>
      </w:r>
      <w:r w:rsidR="004B03ED" w:rsidRPr="00CF2E90">
        <w:rPr>
          <w:sz w:val="28"/>
          <w:szCs w:val="28"/>
        </w:rPr>
        <w:t xml:space="preserve"> </w:t>
      </w:r>
      <w:r w:rsidRPr="00CF2E90">
        <w:rPr>
          <w:sz w:val="28"/>
          <w:szCs w:val="28"/>
        </w:rPr>
        <w:t>En</w:t>
      </w:r>
      <w:r w:rsidR="00883F4D" w:rsidRPr="00CF2E90">
        <w:rPr>
          <w:sz w:val="28"/>
          <w:szCs w:val="28"/>
        </w:rPr>
        <w:t xml:space="preserve"> la formulación del cargo, los demandantes</w:t>
      </w:r>
      <w:r w:rsidR="00235A27" w:rsidRPr="00CF2E90">
        <w:rPr>
          <w:sz w:val="28"/>
          <w:szCs w:val="28"/>
        </w:rPr>
        <w:t xml:space="preserve"> parecen equiparar ambas figuras, al</w:t>
      </w:r>
      <w:r w:rsidR="00883F4D" w:rsidRPr="00CF2E90">
        <w:rPr>
          <w:sz w:val="28"/>
          <w:szCs w:val="28"/>
        </w:rPr>
        <w:t xml:space="preserve"> afirma</w:t>
      </w:r>
      <w:r w:rsidR="00235A27" w:rsidRPr="00CF2E90">
        <w:rPr>
          <w:sz w:val="28"/>
          <w:szCs w:val="28"/>
        </w:rPr>
        <w:t xml:space="preserve">r </w:t>
      </w:r>
      <w:r w:rsidR="00883F4D" w:rsidRPr="00CF2E90">
        <w:rPr>
          <w:sz w:val="28"/>
          <w:szCs w:val="28"/>
        </w:rPr>
        <w:t xml:space="preserve">que el legislador “omitió por completo la fijación de un término máximo para su trámite o, en otras palabras, su prescripción”. Sin embargo, </w:t>
      </w:r>
      <w:r w:rsidRPr="00CF2E90">
        <w:rPr>
          <w:sz w:val="28"/>
          <w:szCs w:val="28"/>
        </w:rPr>
        <w:t>luego</w:t>
      </w:r>
      <w:r w:rsidR="00883F4D" w:rsidRPr="00CF2E90">
        <w:rPr>
          <w:sz w:val="28"/>
          <w:szCs w:val="28"/>
        </w:rPr>
        <w:t xml:space="preserve"> reconocen que “es imperativo no confundir la figura de la prescripción con lo dispuesto en el artículo 121 del CGP que regula la duración máxima de los procesos”.</w:t>
      </w:r>
      <w:r w:rsidR="00235A27" w:rsidRPr="00CF2E90">
        <w:rPr>
          <w:sz w:val="28"/>
        </w:rPr>
        <w:t xml:space="preserve"> </w:t>
      </w:r>
      <w:r w:rsidR="00235A27" w:rsidRPr="00CF2E90">
        <w:rPr>
          <w:sz w:val="28"/>
          <w:szCs w:val="28"/>
        </w:rPr>
        <w:t xml:space="preserve">Para los intervinientes, </w:t>
      </w:r>
      <w:r w:rsidR="00F0454D" w:rsidRPr="00CF2E90">
        <w:rPr>
          <w:sz w:val="28"/>
          <w:szCs w:val="28"/>
        </w:rPr>
        <w:t>esta ambigüedad “genera confusión y compromete la claridad de la demanda”</w:t>
      </w:r>
      <w:r w:rsidR="00F0454D" w:rsidRPr="00CF2E90">
        <w:rPr>
          <w:rStyle w:val="Refdenotaalpie"/>
          <w:sz w:val="28"/>
          <w:szCs w:val="28"/>
        </w:rPr>
        <w:footnoteReference w:id="27"/>
      </w:r>
      <w:r w:rsidR="00235A27" w:rsidRPr="00CF2E90">
        <w:rPr>
          <w:sz w:val="28"/>
          <w:szCs w:val="28"/>
        </w:rPr>
        <w:t xml:space="preserve">. </w:t>
      </w:r>
    </w:p>
    <w:p w14:paraId="08034A5F" w14:textId="205D39C9" w:rsidR="00074AE0" w:rsidRPr="00CF2E90" w:rsidRDefault="00074AE0" w:rsidP="00630EDF">
      <w:pPr>
        <w:pStyle w:val="font-claude-response-body"/>
        <w:numPr>
          <w:ilvl w:val="0"/>
          <w:numId w:val="7"/>
        </w:numPr>
        <w:spacing w:before="0" w:beforeAutospacing="0" w:after="0" w:afterAutospacing="0"/>
        <w:ind w:left="426" w:hanging="284"/>
        <w:jc w:val="both"/>
        <w:rPr>
          <w:sz w:val="28"/>
          <w:szCs w:val="28"/>
        </w:rPr>
      </w:pPr>
      <w:r w:rsidRPr="00CF2E90">
        <w:rPr>
          <w:i/>
          <w:iCs/>
          <w:sz w:val="28"/>
          <w:szCs w:val="28"/>
        </w:rPr>
        <w:t>Certeza</w:t>
      </w:r>
      <w:r w:rsidRPr="00CF2E90">
        <w:rPr>
          <w:sz w:val="28"/>
          <w:szCs w:val="28"/>
        </w:rPr>
        <w:t xml:space="preserve">. </w:t>
      </w:r>
      <w:r w:rsidR="00235A27" w:rsidRPr="00CF2E90">
        <w:rPr>
          <w:sz w:val="28"/>
          <w:szCs w:val="28"/>
        </w:rPr>
        <w:t>Los intervinientes sost</w:t>
      </w:r>
      <w:r w:rsidR="00ED0D8B" w:rsidRPr="00CF2E90">
        <w:rPr>
          <w:sz w:val="28"/>
          <w:szCs w:val="28"/>
        </w:rPr>
        <w:t>uvieron</w:t>
      </w:r>
      <w:r w:rsidR="00235A27" w:rsidRPr="00CF2E90">
        <w:rPr>
          <w:sz w:val="28"/>
          <w:szCs w:val="28"/>
        </w:rPr>
        <w:t xml:space="preserve"> que la</w:t>
      </w:r>
      <w:r w:rsidR="004B03ED" w:rsidRPr="00CF2E90">
        <w:rPr>
          <w:sz w:val="28"/>
          <w:szCs w:val="28"/>
        </w:rPr>
        <w:t xml:space="preserve"> demanda </w:t>
      </w:r>
      <w:r w:rsidRPr="00CF2E90">
        <w:rPr>
          <w:sz w:val="28"/>
          <w:szCs w:val="28"/>
        </w:rPr>
        <w:t xml:space="preserve">no satisface la carga de certeza, dado que </w:t>
      </w:r>
      <w:r w:rsidR="004B03ED" w:rsidRPr="00CF2E90">
        <w:rPr>
          <w:sz w:val="28"/>
          <w:szCs w:val="28"/>
        </w:rPr>
        <w:t>incurre en “un yerro o imprecisión jurídica” al sostener que el IRI carece de un término de prescripción</w:t>
      </w:r>
      <w:r w:rsidR="004B03ED" w:rsidRPr="00CF2E90">
        <w:rPr>
          <w:rStyle w:val="Refdenotaalpie"/>
          <w:sz w:val="28"/>
          <w:szCs w:val="28"/>
        </w:rPr>
        <w:footnoteReference w:id="28"/>
      </w:r>
      <w:r w:rsidR="004B03ED" w:rsidRPr="00CF2E90">
        <w:rPr>
          <w:sz w:val="28"/>
          <w:szCs w:val="28"/>
        </w:rPr>
        <w:t>. Esto, porque</w:t>
      </w:r>
      <w:r w:rsidR="00ED0D8B" w:rsidRPr="00CF2E90">
        <w:rPr>
          <w:sz w:val="28"/>
          <w:szCs w:val="28"/>
        </w:rPr>
        <w:t xml:space="preserve"> en estricto sentido,</w:t>
      </w:r>
      <w:r w:rsidR="004B03ED" w:rsidRPr="00CF2E90">
        <w:rPr>
          <w:sz w:val="28"/>
          <w:szCs w:val="28"/>
        </w:rPr>
        <w:t xml:space="preserve"> lo que prescribe es la </w:t>
      </w:r>
      <w:r w:rsidR="004B03ED" w:rsidRPr="00CF2E90">
        <w:rPr>
          <w:i/>
          <w:iCs/>
          <w:sz w:val="28"/>
          <w:szCs w:val="28"/>
        </w:rPr>
        <w:t>acción</w:t>
      </w:r>
      <w:r w:rsidR="004B03ED" w:rsidRPr="00CF2E90">
        <w:rPr>
          <w:sz w:val="28"/>
          <w:szCs w:val="28"/>
        </w:rPr>
        <w:t xml:space="preserve">, no el </w:t>
      </w:r>
      <w:r w:rsidR="004B03ED" w:rsidRPr="00CF2E90">
        <w:rPr>
          <w:i/>
          <w:iCs/>
          <w:sz w:val="28"/>
          <w:szCs w:val="28"/>
        </w:rPr>
        <w:t>proceso</w:t>
      </w:r>
      <w:r w:rsidR="004B03ED" w:rsidRPr="00CF2E90">
        <w:rPr>
          <w:sz w:val="28"/>
          <w:szCs w:val="28"/>
        </w:rPr>
        <w:t xml:space="preserve">. </w:t>
      </w:r>
      <w:r w:rsidR="00235A27" w:rsidRPr="00CF2E90">
        <w:rPr>
          <w:sz w:val="28"/>
          <w:szCs w:val="28"/>
        </w:rPr>
        <w:t xml:space="preserve">En su criterio, </w:t>
      </w:r>
      <w:r w:rsidR="004B03ED" w:rsidRPr="00CF2E90">
        <w:rPr>
          <w:sz w:val="28"/>
          <w:szCs w:val="28"/>
        </w:rPr>
        <w:t xml:space="preserve">esta distinción deja sin sustento el reproche central de la demanda, </w:t>
      </w:r>
      <w:r w:rsidR="00235A27" w:rsidRPr="00CF2E90">
        <w:rPr>
          <w:sz w:val="28"/>
          <w:szCs w:val="28"/>
        </w:rPr>
        <w:t>que</w:t>
      </w:r>
      <w:r w:rsidR="00883F4D" w:rsidRPr="00CF2E90">
        <w:rPr>
          <w:sz w:val="28"/>
          <w:szCs w:val="28"/>
        </w:rPr>
        <w:t xml:space="preserve">, </w:t>
      </w:r>
      <w:r w:rsidR="00235A27" w:rsidRPr="00CF2E90">
        <w:rPr>
          <w:sz w:val="28"/>
          <w:szCs w:val="28"/>
        </w:rPr>
        <w:t>a su juicio</w:t>
      </w:r>
      <w:r w:rsidR="00883F4D" w:rsidRPr="00CF2E90">
        <w:rPr>
          <w:sz w:val="28"/>
          <w:szCs w:val="28"/>
        </w:rPr>
        <w:t>,</w:t>
      </w:r>
      <w:r w:rsidR="004B03ED" w:rsidRPr="00CF2E90">
        <w:rPr>
          <w:sz w:val="28"/>
          <w:szCs w:val="28"/>
        </w:rPr>
        <w:t xml:space="preserve"> </w:t>
      </w:r>
      <w:r w:rsidR="00235A27" w:rsidRPr="00CF2E90">
        <w:rPr>
          <w:sz w:val="28"/>
          <w:szCs w:val="28"/>
        </w:rPr>
        <w:t xml:space="preserve">se funda en una </w:t>
      </w:r>
      <w:r w:rsidR="004B03ED" w:rsidRPr="00CF2E90">
        <w:rPr>
          <w:sz w:val="28"/>
          <w:szCs w:val="28"/>
        </w:rPr>
        <w:t>confu</w:t>
      </w:r>
      <w:r w:rsidR="00235A27" w:rsidRPr="00CF2E90">
        <w:rPr>
          <w:sz w:val="28"/>
          <w:szCs w:val="28"/>
        </w:rPr>
        <w:t>sión</w:t>
      </w:r>
      <w:r w:rsidR="004B03ED" w:rsidRPr="00CF2E90">
        <w:rPr>
          <w:sz w:val="28"/>
          <w:szCs w:val="28"/>
        </w:rPr>
        <w:t xml:space="preserve"> </w:t>
      </w:r>
      <w:r w:rsidR="00235A27" w:rsidRPr="00CF2E90">
        <w:rPr>
          <w:sz w:val="28"/>
          <w:szCs w:val="28"/>
        </w:rPr>
        <w:t>d</w:t>
      </w:r>
      <w:r w:rsidR="004B03ED" w:rsidRPr="00CF2E90">
        <w:rPr>
          <w:sz w:val="28"/>
          <w:szCs w:val="28"/>
        </w:rPr>
        <w:t>el presupuesto de validez del proceso con la duración de su trámite.</w:t>
      </w:r>
      <w:r w:rsidR="00235A27" w:rsidRPr="00CF2E90">
        <w:rPr>
          <w:sz w:val="28"/>
          <w:szCs w:val="28"/>
        </w:rPr>
        <w:t xml:space="preserve"> En </w:t>
      </w:r>
      <w:r w:rsidRPr="00CF2E90">
        <w:rPr>
          <w:sz w:val="28"/>
          <w:szCs w:val="28"/>
        </w:rPr>
        <w:t>este sentido</w:t>
      </w:r>
      <w:r w:rsidR="00235A27" w:rsidRPr="00CF2E90">
        <w:rPr>
          <w:sz w:val="28"/>
          <w:szCs w:val="28"/>
        </w:rPr>
        <w:t>, los intervinientes concluye</w:t>
      </w:r>
      <w:r w:rsidR="00425173" w:rsidRPr="00CF2E90">
        <w:rPr>
          <w:sz w:val="28"/>
          <w:szCs w:val="28"/>
        </w:rPr>
        <w:t>ron</w:t>
      </w:r>
      <w:r w:rsidR="00235A27" w:rsidRPr="00CF2E90">
        <w:rPr>
          <w:sz w:val="28"/>
          <w:szCs w:val="28"/>
        </w:rPr>
        <w:t xml:space="preserve"> </w:t>
      </w:r>
      <w:r w:rsidR="00F05E4A" w:rsidRPr="00CF2E90">
        <w:rPr>
          <w:sz w:val="28"/>
          <w:szCs w:val="28"/>
        </w:rPr>
        <w:t xml:space="preserve">que la acusación no recae sobre una proposición jurídica real y verificable, sino sobre una construcción argumentativa que </w:t>
      </w:r>
      <w:r w:rsidR="00235A27" w:rsidRPr="00CF2E90">
        <w:rPr>
          <w:sz w:val="28"/>
          <w:szCs w:val="28"/>
        </w:rPr>
        <w:t>omite</w:t>
      </w:r>
      <w:r w:rsidR="00F05E4A" w:rsidRPr="00CF2E90">
        <w:rPr>
          <w:sz w:val="28"/>
          <w:szCs w:val="28"/>
        </w:rPr>
        <w:t xml:space="preserve"> </w:t>
      </w:r>
      <w:r w:rsidR="00235A27" w:rsidRPr="00CF2E90">
        <w:rPr>
          <w:sz w:val="28"/>
          <w:szCs w:val="28"/>
        </w:rPr>
        <w:t>interpretar de forma sistemática</w:t>
      </w:r>
      <w:r w:rsidR="00F05E4A" w:rsidRPr="00CF2E90">
        <w:rPr>
          <w:sz w:val="28"/>
          <w:szCs w:val="28"/>
        </w:rPr>
        <w:t xml:space="preserve"> el ordenamiento jurídico</w:t>
      </w:r>
      <w:r w:rsidR="00BB34C4" w:rsidRPr="00CF2E90">
        <w:rPr>
          <w:rStyle w:val="Refdenotaalpie"/>
          <w:sz w:val="28"/>
          <w:szCs w:val="28"/>
        </w:rPr>
        <w:footnoteReference w:id="29"/>
      </w:r>
      <w:r w:rsidR="00F05E4A" w:rsidRPr="00CF2E90">
        <w:rPr>
          <w:sz w:val="28"/>
          <w:szCs w:val="28"/>
        </w:rPr>
        <w:t xml:space="preserve">. </w:t>
      </w:r>
    </w:p>
    <w:p w14:paraId="7DBA96A0" w14:textId="7102F69D" w:rsidR="00927C59" w:rsidRPr="00CF2E90" w:rsidRDefault="00074AE0" w:rsidP="00630EDF">
      <w:pPr>
        <w:pStyle w:val="font-claude-response-body"/>
        <w:numPr>
          <w:ilvl w:val="0"/>
          <w:numId w:val="7"/>
        </w:numPr>
        <w:spacing w:before="0" w:beforeAutospacing="0" w:after="0" w:afterAutospacing="0"/>
        <w:ind w:left="426" w:hanging="284"/>
        <w:jc w:val="both"/>
        <w:rPr>
          <w:sz w:val="28"/>
          <w:szCs w:val="28"/>
        </w:rPr>
      </w:pPr>
      <w:r w:rsidRPr="00CF2E90">
        <w:rPr>
          <w:i/>
          <w:iCs/>
          <w:sz w:val="28"/>
          <w:szCs w:val="28"/>
        </w:rPr>
        <w:t>Pertinencia y suficiencia</w:t>
      </w:r>
      <w:r w:rsidRPr="00CF2E90">
        <w:rPr>
          <w:sz w:val="28"/>
          <w:szCs w:val="28"/>
        </w:rPr>
        <w:t xml:space="preserve">. </w:t>
      </w:r>
      <w:r w:rsidR="00927C59" w:rsidRPr="00CF2E90">
        <w:rPr>
          <w:sz w:val="28"/>
          <w:szCs w:val="28"/>
        </w:rPr>
        <w:t>La Universidad Pontificia Bolivariana considera que</w:t>
      </w:r>
      <w:r w:rsidR="00ED0D8B" w:rsidRPr="00CF2E90">
        <w:rPr>
          <w:sz w:val="28"/>
          <w:szCs w:val="28"/>
        </w:rPr>
        <w:t>, además de no ser clara y cierta,</w:t>
      </w:r>
      <w:r w:rsidR="00927C59" w:rsidRPr="00CF2E90">
        <w:rPr>
          <w:sz w:val="28"/>
          <w:szCs w:val="28"/>
        </w:rPr>
        <w:t xml:space="preserve"> la demanda carece de pertinencia y suficiencia</w:t>
      </w:r>
      <w:r w:rsidR="00D35DAF" w:rsidRPr="00CF2E90">
        <w:rPr>
          <w:sz w:val="28"/>
          <w:szCs w:val="28"/>
        </w:rPr>
        <w:t>. En su criterio, al solicitar como pretensión subsidiaria que la Corte exhorte</w:t>
      </w:r>
      <w:r w:rsidR="00927C59" w:rsidRPr="00CF2E90">
        <w:rPr>
          <w:sz w:val="28"/>
          <w:szCs w:val="28"/>
        </w:rPr>
        <w:t xml:space="preserve"> al Congreso </w:t>
      </w:r>
      <w:r w:rsidR="00D35DAF" w:rsidRPr="00CF2E90">
        <w:rPr>
          <w:sz w:val="28"/>
          <w:szCs w:val="28"/>
        </w:rPr>
        <w:t>a regular</w:t>
      </w:r>
      <w:r w:rsidR="00927C59" w:rsidRPr="00CF2E90">
        <w:rPr>
          <w:sz w:val="28"/>
          <w:szCs w:val="28"/>
        </w:rPr>
        <w:t xml:space="preserve"> íntegramente el término de prescripción del IRI, los demandantes “implícitamente estarían reconociendo</w:t>
      </w:r>
      <w:r w:rsidR="00927C59" w:rsidRPr="00CF2E90">
        <w:rPr>
          <w:rFonts w:eastAsiaTheme="minorHAnsi"/>
          <w:color w:val="000000"/>
          <w:sz w:val="28"/>
          <w:szCs w:val="28"/>
          <w:lang w:eastAsia="en-US"/>
        </w:rPr>
        <w:t xml:space="preserve"> </w:t>
      </w:r>
      <w:r w:rsidR="00927C59" w:rsidRPr="00CF2E90">
        <w:rPr>
          <w:sz w:val="28"/>
          <w:szCs w:val="28"/>
        </w:rPr>
        <w:t>una supuesta omisión legislativa absoluta”</w:t>
      </w:r>
      <w:r w:rsidR="00927C59" w:rsidRPr="00CF2E90">
        <w:rPr>
          <w:rStyle w:val="Refdenotaalpie"/>
          <w:sz w:val="28"/>
          <w:szCs w:val="28"/>
        </w:rPr>
        <w:footnoteReference w:id="30"/>
      </w:r>
      <w:r w:rsidR="00927C59" w:rsidRPr="00CF2E90">
        <w:rPr>
          <w:sz w:val="28"/>
          <w:szCs w:val="28"/>
        </w:rPr>
        <w:t xml:space="preserve">. </w:t>
      </w:r>
      <w:r w:rsidR="00D35DAF" w:rsidRPr="00CF2E90">
        <w:rPr>
          <w:sz w:val="28"/>
          <w:szCs w:val="28"/>
        </w:rPr>
        <w:t>Lo anterior, pese a que</w:t>
      </w:r>
      <w:r w:rsidR="00927C59" w:rsidRPr="00CF2E90">
        <w:rPr>
          <w:sz w:val="28"/>
          <w:szCs w:val="28"/>
        </w:rPr>
        <w:t xml:space="preserve"> la Corte “ha señalado de manera invariable que no es competente para conocer omisiones legislativas absolutas”</w:t>
      </w:r>
      <w:r w:rsidR="00927C59" w:rsidRPr="00CF2E90">
        <w:rPr>
          <w:rStyle w:val="Refdenotaalpie"/>
          <w:sz w:val="28"/>
          <w:szCs w:val="28"/>
        </w:rPr>
        <w:footnoteReference w:id="31"/>
      </w:r>
      <w:r w:rsidR="00927C59" w:rsidRPr="00CF2E90">
        <w:rPr>
          <w:sz w:val="28"/>
          <w:szCs w:val="28"/>
        </w:rPr>
        <w:t xml:space="preserve">. </w:t>
      </w:r>
    </w:p>
    <w:p w14:paraId="12C46116" w14:textId="77777777" w:rsidR="00074AE0" w:rsidRPr="00CF2E90" w:rsidRDefault="00074AE0" w:rsidP="00074AE0">
      <w:pPr>
        <w:pStyle w:val="font-claude-response-body"/>
        <w:spacing w:before="0" w:beforeAutospacing="0" w:after="0" w:afterAutospacing="0"/>
        <w:ind w:left="720"/>
        <w:jc w:val="both"/>
        <w:rPr>
          <w:sz w:val="28"/>
        </w:rPr>
      </w:pPr>
    </w:p>
    <w:p w14:paraId="2DAB8944" w14:textId="085CF515" w:rsidR="00876BB7" w:rsidRPr="00CF2E90" w:rsidRDefault="00074AE0" w:rsidP="00074AE0">
      <w:pPr>
        <w:pStyle w:val="font-claude-response-body"/>
        <w:numPr>
          <w:ilvl w:val="0"/>
          <w:numId w:val="6"/>
        </w:numPr>
        <w:spacing w:before="0" w:beforeAutospacing="0" w:after="0" w:afterAutospacing="0"/>
        <w:ind w:left="0" w:firstLine="0"/>
        <w:jc w:val="both"/>
        <w:rPr>
          <w:sz w:val="28"/>
          <w:szCs w:val="28"/>
        </w:rPr>
      </w:pPr>
      <w:r w:rsidRPr="00CF2E90">
        <w:rPr>
          <w:sz w:val="28"/>
          <w:szCs w:val="28"/>
        </w:rPr>
        <w:t xml:space="preserve">Con fundamento en estas consideraciones, </w:t>
      </w:r>
      <w:r w:rsidR="00ED0D8B" w:rsidRPr="00CF2E90">
        <w:rPr>
          <w:sz w:val="28"/>
          <w:szCs w:val="28"/>
        </w:rPr>
        <w:t xml:space="preserve">los intervinientes </w:t>
      </w:r>
      <w:r w:rsidRPr="00CF2E90">
        <w:rPr>
          <w:sz w:val="28"/>
          <w:szCs w:val="28"/>
        </w:rPr>
        <w:t xml:space="preserve">solicitan a la Corte </w:t>
      </w:r>
      <w:r w:rsidR="00251318" w:rsidRPr="00CF2E90">
        <w:rPr>
          <w:sz w:val="28"/>
          <w:szCs w:val="28"/>
        </w:rPr>
        <w:t>que profiera</w:t>
      </w:r>
      <w:r w:rsidRPr="00CF2E90">
        <w:rPr>
          <w:sz w:val="28"/>
          <w:szCs w:val="28"/>
        </w:rPr>
        <w:t xml:space="preserve"> un fallo inhibitorio. </w:t>
      </w:r>
    </w:p>
    <w:p w14:paraId="6FD0456D" w14:textId="77777777" w:rsidR="00074AE0" w:rsidRPr="00CF2E90" w:rsidRDefault="00074AE0" w:rsidP="00074AE0">
      <w:pPr>
        <w:pStyle w:val="font-claude-response-body"/>
        <w:spacing w:before="0" w:beforeAutospacing="0" w:after="0" w:afterAutospacing="0"/>
        <w:jc w:val="both"/>
        <w:rPr>
          <w:sz w:val="28"/>
          <w:szCs w:val="28"/>
        </w:rPr>
      </w:pPr>
    </w:p>
    <w:p w14:paraId="707EAECA" w14:textId="4872B16A" w:rsidR="00DE5238" w:rsidRPr="00CF2E90" w:rsidRDefault="00DE5238" w:rsidP="00D35DAF">
      <w:pPr>
        <w:pStyle w:val="Prrafodelista"/>
        <w:numPr>
          <w:ilvl w:val="1"/>
          <w:numId w:val="5"/>
        </w:numPr>
        <w:ind w:left="709" w:right="0" w:hanging="567"/>
        <w:rPr>
          <w:b/>
          <w:bCs/>
        </w:rPr>
      </w:pPr>
      <w:r w:rsidRPr="00CF2E90">
        <w:rPr>
          <w:b/>
          <w:bCs/>
        </w:rPr>
        <w:t>Solicitudes de</w:t>
      </w:r>
      <w:r w:rsidR="00BC6E09" w:rsidRPr="00CF2E90">
        <w:rPr>
          <w:b/>
          <w:bCs/>
        </w:rPr>
        <w:t xml:space="preserve"> </w:t>
      </w:r>
      <w:r w:rsidRPr="00CF2E90">
        <w:rPr>
          <w:b/>
          <w:bCs/>
        </w:rPr>
        <w:t>exequibilidad</w:t>
      </w:r>
      <w:r w:rsidR="00BC6E09" w:rsidRPr="00CF2E90">
        <w:rPr>
          <w:b/>
          <w:bCs/>
        </w:rPr>
        <w:t xml:space="preserve"> simple</w:t>
      </w:r>
    </w:p>
    <w:p w14:paraId="4704712C" w14:textId="77777777" w:rsidR="00DE5238" w:rsidRPr="00CF2E90" w:rsidRDefault="00DE5238" w:rsidP="001224E3">
      <w:pPr>
        <w:ind w:left="0" w:right="0" w:firstLine="0"/>
      </w:pPr>
    </w:p>
    <w:p w14:paraId="419BE567" w14:textId="4AE8FA38" w:rsidR="00533287" w:rsidRPr="00CF2E90" w:rsidRDefault="00B02298">
      <w:pPr>
        <w:pStyle w:val="Prrafodelista"/>
        <w:numPr>
          <w:ilvl w:val="0"/>
          <w:numId w:val="6"/>
        </w:numPr>
        <w:ind w:left="0" w:right="0" w:firstLine="0"/>
      </w:pPr>
      <w:r w:rsidRPr="00CF2E90">
        <w:t xml:space="preserve">La Academia Colombiana de Jurisprudencia, la Universidad Externado de Colombia y el Ministerio de Justicia y del Derecho </w:t>
      </w:r>
      <w:r w:rsidR="004C79C0" w:rsidRPr="00CF2E90">
        <w:t>solicita</w:t>
      </w:r>
      <w:r w:rsidR="00ED0D8B" w:rsidRPr="00CF2E90">
        <w:t>ron</w:t>
      </w:r>
      <w:r w:rsidR="00D35DAF" w:rsidRPr="00CF2E90">
        <w:t xml:space="preserve"> a la Corte, como pretensión principal o subsidiaria, declarar la exequibilidad</w:t>
      </w:r>
      <w:r w:rsidR="004C79C0" w:rsidRPr="00CF2E90">
        <w:t xml:space="preserve"> simple</w:t>
      </w:r>
      <w:r w:rsidR="00D35DAF" w:rsidRPr="00CF2E90">
        <w:t xml:space="preserve"> de las normas demandadas. </w:t>
      </w:r>
      <w:r w:rsidR="00ED0D8B" w:rsidRPr="00CF2E90">
        <w:t xml:space="preserve">Sostuvieron </w:t>
      </w:r>
      <w:r w:rsidR="00D35DAF" w:rsidRPr="00CF2E90">
        <w:t>que contrario a lo alegado por los demandantes, la omisión legislativa denunciada no existe, puesto</w:t>
      </w:r>
      <w:r w:rsidR="00074AE0" w:rsidRPr="00CF2E90">
        <w:t xml:space="preserve"> que</w:t>
      </w:r>
      <w:r w:rsidR="00D35DAF" w:rsidRPr="00CF2E90">
        <w:t xml:space="preserve"> </w:t>
      </w:r>
      <w:r w:rsidR="00ED0D8B" w:rsidRPr="00CF2E90">
        <w:t xml:space="preserve">la </w:t>
      </w:r>
      <w:r w:rsidR="00D35DAF" w:rsidRPr="00CF2E90">
        <w:t>legislación procesal, leída de manera sistemática, regula los términos de prescripción de la acción civil ejercida</w:t>
      </w:r>
      <w:r w:rsidRPr="00CF2E90">
        <w:t xml:space="preserve"> en el IRI.</w:t>
      </w:r>
    </w:p>
    <w:p w14:paraId="1E4640AB" w14:textId="77777777" w:rsidR="00533287" w:rsidRPr="00CF2E90" w:rsidRDefault="00533287" w:rsidP="00533287">
      <w:pPr>
        <w:pStyle w:val="Prrafodelista"/>
        <w:ind w:left="0" w:right="0" w:firstLine="0"/>
      </w:pPr>
    </w:p>
    <w:p w14:paraId="7A0005AB" w14:textId="25A7FFF3" w:rsidR="00074AE0" w:rsidRPr="00CF2E90" w:rsidRDefault="00B02298" w:rsidP="004C79C0">
      <w:pPr>
        <w:pStyle w:val="Prrafodelista"/>
        <w:numPr>
          <w:ilvl w:val="0"/>
          <w:numId w:val="6"/>
        </w:numPr>
        <w:ind w:left="0" w:right="0" w:firstLine="0"/>
      </w:pPr>
      <w:r w:rsidRPr="00CF2E90">
        <w:t>L</w:t>
      </w:r>
      <w:r w:rsidR="00D35DAF" w:rsidRPr="00CF2E90">
        <w:t xml:space="preserve">os intervinientes reconocieron </w:t>
      </w:r>
      <w:r w:rsidRPr="00CF2E90">
        <w:t xml:space="preserve">que </w:t>
      </w:r>
      <w:r w:rsidR="00D35DAF" w:rsidRPr="00CF2E90">
        <w:t>los artículos demandados no prevén “</w:t>
      </w:r>
      <w:r w:rsidRPr="00CF2E90">
        <w:t>expresamente el término de prescripción del Incidente de Reparación Integral</w:t>
      </w:r>
      <w:r w:rsidR="00533287" w:rsidRPr="00CF2E90">
        <w:t>”</w:t>
      </w:r>
      <w:r w:rsidR="00533287" w:rsidRPr="00CF2E90">
        <w:rPr>
          <w:rStyle w:val="Refdenotaalpie"/>
        </w:rPr>
        <w:footnoteReference w:id="32"/>
      </w:r>
      <w:r w:rsidRPr="00CF2E90">
        <w:t xml:space="preserve">. Sin embargo, </w:t>
      </w:r>
      <w:r w:rsidR="00D35DAF" w:rsidRPr="00CF2E90">
        <w:t>sostuvieron</w:t>
      </w:r>
      <w:r w:rsidRPr="00CF2E90">
        <w:t xml:space="preserve"> que</w:t>
      </w:r>
      <w:r w:rsidR="00D35DAF" w:rsidRPr="00CF2E90">
        <w:t xml:space="preserve"> </w:t>
      </w:r>
      <w:r w:rsidR="004C79C0" w:rsidRPr="00CF2E90">
        <w:t>por analogía</w:t>
      </w:r>
      <w:r w:rsidRPr="00CF2E90">
        <w:t xml:space="preserve">, son aplicables al IRI las normas </w:t>
      </w:r>
      <w:r w:rsidR="00074AE0" w:rsidRPr="00CF2E90">
        <w:t>del Código Civil y el Código General del Proceso</w:t>
      </w:r>
      <w:r w:rsidR="00E13E26" w:rsidRPr="00CF2E90">
        <w:t xml:space="preserve"> (CGP)</w:t>
      </w:r>
      <w:r w:rsidR="00074AE0" w:rsidRPr="00CF2E90">
        <w:t xml:space="preserve"> </w:t>
      </w:r>
      <w:r w:rsidRPr="00CF2E90">
        <w:t>que regulan</w:t>
      </w:r>
      <w:r w:rsidR="004C79C0" w:rsidRPr="00CF2E90">
        <w:t xml:space="preserve"> </w:t>
      </w:r>
      <w:r w:rsidRPr="00CF2E90">
        <w:t xml:space="preserve">la prescripción </w:t>
      </w:r>
      <w:r w:rsidR="00074AE0" w:rsidRPr="00CF2E90">
        <w:t xml:space="preserve">de la acción civil y </w:t>
      </w:r>
      <w:r w:rsidR="004C79C0" w:rsidRPr="00CF2E90">
        <w:t>la duración máxima de los</w:t>
      </w:r>
      <w:r w:rsidR="00E13E26" w:rsidRPr="00CF2E90">
        <w:t xml:space="preserve"> procesos, respectivamente</w:t>
      </w:r>
      <w:r w:rsidR="00533287" w:rsidRPr="00CF2E90">
        <w:rPr>
          <w:rStyle w:val="Refdenotaalpie"/>
        </w:rPr>
        <w:footnoteReference w:id="33"/>
      </w:r>
      <w:r w:rsidRPr="00CF2E90">
        <w:t>.</w:t>
      </w:r>
      <w:r w:rsidR="00533287" w:rsidRPr="00CF2E90">
        <w:t xml:space="preserve"> </w:t>
      </w:r>
      <w:r w:rsidR="004C79C0" w:rsidRPr="00CF2E90">
        <w:t>Además, señalaron que</w:t>
      </w:r>
      <w:r w:rsidR="00074AE0" w:rsidRPr="00CF2E90">
        <w:t xml:space="preserve"> en la sentencia SP1356</w:t>
      </w:r>
      <w:r w:rsidR="00425173" w:rsidRPr="00CF2E90">
        <w:t xml:space="preserve"> del 7 de mayo de 2025</w:t>
      </w:r>
      <w:r w:rsidR="00074AE0" w:rsidRPr="00CF2E90">
        <w:t xml:space="preserve">, </w:t>
      </w:r>
      <w:r w:rsidR="003C11AF" w:rsidRPr="00CF2E90">
        <w:t xml:space="preserve">la Sala de Casación Penal de la Corte Suprema de Justicia precisó que el IRI es un mecanismo procesal independiente y posterior al trámite penal, cuyo objetivo es el resarcimiento del daño, </w:t>
      </w:r>
      <w:r w:rsidR="004C79C0" w:rsidRPr="00CF2E90">
        <w:t>por lo que</w:t>
      </w:r>
      <w:r w:rsidR="003C11AF" w:rsidRPr="00CF2E90">
        <w:t xml:space="preserve"> su trámite no se rige por las normas de la Ley 906 de 2004</w:t>
      </w:r>
      <w:r w:rsidR="00813EE2" w:rsidRPr="00CF2E90">
        <w:t>,</w:t>
      </w:r>
      <w:r w:rsidR="003C11AF" w:rsidRPr="00CF2E90">
        <w:t xml:space="preserve"> sino por la legislación civil, en concreto, el CGP</w:t>
      </w:r>
      <w:r w:rsidR="004C79C0" w:rsidRPr="00CF2E90">
        <w:rPr>
          <w:vertAlign w:val="superscript"/>
        </w:rPr>
        <w:footnoteReference w:id="34"/>
      </w:r>
      <w:r w:rsidR="003C11AF" w:rsidRPr="00CF2E90">
        <w:t>.</w:t>
      </w:r>
      <w:r w:rsidR="00074AE0" w:rsidRPr="00CF2E90">
        <w:t xml:space="preserve"> Esto implica, según la Sala Penal, que el</w:t>
      </w:r>
      <w:r w:rsidR="003C11AF" w:rsidRPr="00CF2E90">
        <w:t xml:space="preserve"> </w:t>
      </w:r>
      <w:r w:rsidR="00074AE0" w:rsidRPr="00CF2E90">
        <w:t xml:space="preserve">artículo 121 del CGP, que regula la duración máxima de los procesos, es aplicable al IRI. </w:t>
      </w:r>
    </w:p>
    <w:p w14:paraId="6DE67A03" w14:textId="77777777" w:rsidR="00074AE0" w:rsidRPr="00CF2E90" w:rsidRDefault="00074AE0" w:rsidP="00A8656F">
      <w:pPr>
        <w:ind w:left="0" w:firstLine="0"/>
      </w:pPr>
    </w:p>
    <w:p w14:paraId="2ED8133D" w14:textId="48A195E3" w:rsidR="00B02298" w:rsidRPr="00CF2E90" w:rsidRDefault="003C11AF" w:rsidP="004C79C0">
      <w:pPr>
        <w:pStyle w:val="Prrafodelista"/>
        <w:numPr>
          <w:ilvl w:val="0"/>
          <w:numId w:val="6"/>
        </w:numPr>
        <w:ind w:left="0" w:right="0" w:firstLine="0"/>
      </w:pPr>
      <w:r w:rsidRPr="00CF2E90">
        <w:t xml:space="preserve">En tal sentido, </w:t>
      </w:r>
      <w:r w:rsidR="004C79C0" w:rsidRPr="00CF2E90">
        <w:t xml:space="preserve">concluyeron que </w:t>
      </w:r>
      <w:r w:rsidRPr="00CF2E90">
        <w:t>“</w:t>
      </w:r>
      <w:r w:rsidR="00B02298" w:rsidRPr="00CF2E90">
        <w:t>el diseño normativo actual del incidente de reparación integral no presenta vacío alguno que comprometa la constitucionalidad del ordenamiento</w:t>
      </w:r>
      <w:r w:rsidRPr="00CF2E90">
        <w:t>”</w:t>
      </w:r>
      <w:r w:rsidR="00074AE0" w:rsidRPr="00CF2E90">
        <w:t>. Lo anterior, en el entendido de que</w:t>
      </w:r>
      <w:r w:rsidRPr="00CF2E90">
        <w:t xml:space="preserve"> “</w:t>
      </w:r>
      <w:r w:rsidR="00B02298" w:rsidRPr="00CF2E90">
        <w:t>la combinación de los principios procesales, la remisión supletoria al Código General del Proceso y los mecanismos de control judicial garantizan plenamente el respeto a los derechos de las partes y la efectividad del derecho a un proceso sin dilaciones injustificadas</w:t>
      </w:r>
      <w:r w:rsidRPr="00CF2E90">
        <w:t>”</w:t>
      </w:r>
      <w:r w:rsidRPr="00CF2E90">
        <w:rPr>
          <w:rStyle w:val="Refdenotaalpie"/>
        </w:rPr>
        <w:footnoteReference w:id="35"/>
      </w:r>
      <w:r w:rsidR="00B02298" w:rsidRPr="00CF2E90">
        <w:t>.</w:t>
      </w:r>
    </w:p>
    <w:p w14:paraId="71E2B4AC" w14:textId="77777777" w:rsidR="00BC6E09" w:rsidRPr="00CF2E90" w:rsidRDefault="00BC6E09" w:rsidP="003C11AF">
      <w:pPr>
        <w:ind w:left="0" w:right="0" w:firstLine="0"/>
      </w:pPr>
    </w:p>
    <w:p w14:paraId="64CA1DF9" w14:textId="039CC6E8" w:rsidR="00BC6E09" w:rsidRPr="00CF2E90" w:rsidRDefault="00BC6E09" w:rsidP="00A8656F">
      <w:pPr>
        <w:numPr>
          <w:ilvl w:val="1"/>
          <w:numId w:val="5"/>
        </w:numPr>
        <w:ind w:left="709" w:right="0" w:hanging="567"/>
        <w:contextualSpacing/>
      </w:pPr>
      <w:r w:rsidRPr="00CF2E90">
        <w:rPr>
          <w:b/>
          <w:bCs/>
        </w:rPr>
        <w:t>Solicitud</w:t>
      </w:r>
      <w:r w:rsidR="00D64174" w:rsidRPr="00CF2E90">
        <w:rPr>
          <w:b/>
          <w:bCs/>
        </w:rPr>
        <w:t>es</w:t>
      </w:r>
      <w:r w:rsidRPr="00CF2E90">
        <w:rPr>
          <w:b/>
          <w:bCs/>
        </w:rPr>
        <w:t xml:space="preserve"> de exequibilidad condicionada</w:t>
      </w:r>
      <w:r w:rsidRPr="00CF2E90">
        <w:t xml:space="preserve"> </w:t>
      </w:r>
    </w:p>
    <w:p w14:paraId="38ECC282" w14:textId="77777777" w:rsidR="00BC6E09" w:rsidRPr="00CF2E90" w:rsidRDefault="00BC6E09" w:rsidP="00935B42">
      <w:pPr>
        <w:ind w:left="0" w:right="0" w:firstLine="0"/>
      </w:pPr>
    </w:p>
    <w:p w14:paraId="28BC1A29" w14:textId="22AA745E" w:rsidR="00074AE0" w:rsidRPr="00CF2E90" w:rsidRDefault="00935B42" w:rsidP="00074AE0">
      <w:pPr>
        <w:pStyle w:val="font-claude-response-body"/>
        <w:numPr>
          <w:ilvl w:val="0"/>
          <w:numId w:val="6"/>
        </w:numPr>
        <w:spacing w:before="0" w:beforeAutospacing="0" w:after="0" w:afterAutospacing="0"/>
        <w:ind w:left="0" w:firstLine="0"/>
        <w:jc w:val="both"/>
        <w:rPr>
          <w:sz w:val="28"/>
          <w:szCs w:val="28"/>
        </w:rPr>
      </w:pPr>
      <w:r w:rsidRPr="00CF2E90">
        <w:rPr>
          <w:sz w:val="28"/>
          <w:szCs w:val="28"/>
        </w:rPr>
        <w:t xml:space="preserve">La Fundación Jurídica Proyecto Inocencia, el Colegio de Abogados Penalistas de Colombia, la Universidad de los Andes y el Instituto Colombiano de Derecho Procesal solicitaron </w:t>
      </w:r>
      <w:r w:rsidR="004C79C0" w:rsidRPr="00CF2E90">
        <w:rPr>
          <w:sz w:val="28"/>
          <w:szCs w:val="28"/>
        </w:rPr>
        <w:t>que se declarara</w:t>
      </w:r>
      <w:r w:rsidRPr="00CF2E90">
        <w:rPr>
          <w:sz w:val="28"/>
          <w:szCs w:val="28"/>
        </w:rPr>
        <w:t xml:space="preserve"> la exequibilidad condicionada de las normas demandadas. </w:t>
      </w:r>
      <w:r w:rsidR="00E13E26" w:rsidRPr="00CF2E90">
        <w:rPr>
          <w:sz w:val="28"/>
          <w:szCs w:val="28"/>
        </w:rPr>
        <w:t>Argumentaron que</w:t>
      </w:r>
      <w:r w:rsidRPr="00CF2E90">
        <w:rPr>
          <w:sz w:val="28"/>
          <w:szCs w:val="28"/>
        </w:rPr>
        <w:t xml:space="preserve"> el legislador incurrió en una omisión legislativa relativa al regular el IRI sin prever un término máximo para su trámite. </w:t>
      </w:r>
      <w:r w:rsidR="00E13E26" w:rsidRPr="00CF2E90">
        <w:rPr>
          <w:sz w:val="28"/>
          <w:szCs w:val="28"/>
        </w:rPr>
        <w:t>En su criterio, esta</w:t>
      </w:r>
      <w:r w:rsidR="004175BD" w:rsidRPr="00CF2E90">
        <w:rPr>
          <w:sz w:val="28"/>
          <w:szCs w:val="28"/>
        </w:rPr>
        <w:t xml:space="preserve"> omisión quebró una tradición jurídica en la que los sucesivos estatutos procesales penales siempre contemplaron un término prescriptivo para la acción de reparación.</w:t>
      </w:r>
    </w:p>
    <w:p w14:paraId="7FDCF98C" w14:textId="77777777" w:rsidR="00074AE0" w:rsidRPr="00CF2E90" w:rsidRDefault="00074AE0" w:rsidP="00074AE0">
      <w:pPr>
        <w:pStyle w:val="font-claude-response-body"/>
        <w:spacing w:before="0" w:beforeAutospacing="0" w:after="0" w:afterAutospacing="0"/>
        <w:jc w:val="both"/>
        <w:rPr>
          <w:sz w:val="28"/>
          <w:szCs w:val="28"/>
        </w:rPr>
      </w:pPr>
    </w:p>
    <w:p w14:paraId="4BF4C6A4" w14:textId="18D6F5CC" w:rsidR="004175BD" w:rsidRPr="00CF2E90" w:rsidRDefault="004175BD" w:rsidP="00062D47">
      <w:pPr>
        <w:pStyle w:val="font-claude-response-body"/>
        <w:numPr>
          <w:ilvl w:val="0"/>
          <w:numId w:val="6"/>
        </w:numPr>
        <w:spacing w:before="0" w:beforeAutospacing="0" w:after="0" w:afterAutospacing="0"/>
        <w:ind w:left="0" w:firstLine="0"/>
        <w:jc w:val="both"/>
        <w:rPr>
          <w:sz w:val="28"/>
          <w:szCs w:val="28"/>
        </w:rPr>
      </w:pPr>
      <w:r w:rsidRPr="00CF2E90">
        <w:rPr>
          <w:sz w:val="28"/>
          <w:szCs w:val="28"/>
        </w:rPr>
        <w:t xml:space="preserve">Los intervinientes argumentaron que, tal y como lo señala la demanda, los artículos 29, 89 y 229 de la Constitución, así como </w:t>
      </w:r>
      <w:r w:rsidR="00813EE2" w:rsidRPr="00CF2E90">
        <w:rPr>
          <w:sz w:val="28"/>
          <w:szCs w:val="28"/>
        </w:rPr>
        <w:t xml:space="preserve">el artículo </w:t>
      </w:r>
      <w:r w:rsidRPr="00CF2E90">
        <w:rPr>
          <w:sz w:val="28"/>
          <w:szCs w:val="28"/>
        </w:rPr>
        <w:t xml:space="preserve">8 de la Convención Americana </w:t>
      </w:r>
      <w:r w:rsidR="00813EE2" w:rsidRPr="00CF2E90">
        <w:rPr>
          <w:sz w:val="28"/>
          <w:szCs w:val="28"/>
        </w:rPr>
        <w:t>s</w:t>
      </w:r>
      <w:r w:rsidRPr="00CF2E90">
        <w:rPr>
          <w:sz w:val="28"/>
          <w:szCs w:val="28"/>
        </w:rPr>
        <w:t xml:space="preserve">obre Derechos Humanos, </w:t>
      </w:r>
      <w:r w:rsidR="00074AE0" w:rsidRPr="00CF2E90">
        <w:rPr>
          <w:sz w:val="28"/>
          <w:szCs w:val="28"/>
        </w:rPr>
        <w:t xml:space="preserve">imponen al legislador el deber de fijar el término máximo de los procedimientos. </w:t>
      </w:r>
      <w:r w:rsidR="00E13E26" w:rsidRPr="00CF2E90">
        <w:rPr>
          <w:sz w:val="28"/>
          <w:szCs w:val="28"/>
        </w:rPr>
        <w:t xml:space="preserve">A su </w:t>
      </w:r>
      <w:r w:rsidR="00A8656F" w:rsidRPr="00CF2E90">
        <w:rPr>
          <w:sz w:val="28"/>
          <w:szCs w:val="28"/>
        </w:rPr>
        <w:t>juicio</w:t>
      </w:r>
      <w:r w:rsidR="00E13E26" w:rsidRPr="00CF2E90">
        <w:rPr>
          <w:sz w:val="28"/>
          <w:szCs w:val="28"/>
        </w:rPr>
        <w:t>,</w:t>
      </w:r>
      <w:r w:rsidR="00074AE0" w:rsidRPr="00CF2E90">
        <w:rPr>
          <w:sz w:val="28"/>
          <w:szCs w:val="28"/>
        </w:rPr>
        <w:t xml:space="preserve"> la ausencia de un término máximo somete a las víctimas a una incertidumbre perpetua sobre el cierre de su proceso reparatorio y mantiene al condenado sujeto a una obligación patrimonial indefinida, vulnerando la garantía del plazo razonable, el debido proceso sin dilaciones injustificadas y el acceso efectivo a la administración de justicia.</w:t>
      </w:r>
    </w:p>
    <w:p w14:paraId="1A0C0E14" w14:textId="77777777" w:rsidR="000C1B66" w:rsidRPr="00CF2E90" w:rsidRDefault="000C1B66" w:rsidP="000C1B66">
      <w:pPr>
        <w:pStyle w:val="Prrafodelista"/>
      </w:pPr>
    </w:p>
    <w:p w14:paraId="1C5B9325" w14:textId="5377161E" w:rsidR="000C1B66" w:rsidRPr="00CF2E90" w:rsidRDefault="004C79C0">
      <w:pPr>
        <w:pStyle w:val="font-claude-response-body"/>
        <w:numPr>
          <w:ilvl w:val="0"/>
          <w:numId w:val="6"/>
        </w:numPr>
        <w:spacing w:before="0" w:beforeAutospacing="0" w:after="0" w:afterAutospacing="0"/>
        <w:ind w:left="0" w:firstLine="0"/>
        <w:jc w:val="both"/>
        <w:rPr>
          <w:sz w:val="28"/>
          <w:szCs w:val="28"/>
        </w:rPr>
      </w:pPr>
      <w:r w:rsidRPr="00CF2E90">
        <w:rPr>
          <w:sz w:val="28"/>
          <w:szCs w:val="28"/>
        </w:rPr>
        <w:t>En criterio de los intervinientes, esta</w:t>
      </w:r>
      <w:r w:rsidR="00935B42" w:rsidRPr="00CF2E90">
        <w:rPr>
          <w:sz w:val="28"/>
          <w:szCs w:val="28"/>
        </w:rPr>
        <w:t xml:space="preserve"> </w:t>
      </w:r>
      <w:r w:rsidR="000C1B66" w:rsidRPr="00CF2E90">
        <w:rPr>
          <w:sz w:val="28"/>
          <w:szCs w:val="28"/>
        </w:rPr>
        <w:t>omisión legislativa</w:t>
      </w:r>
      <w:r w:rsidR="00935B42" w:rsidRPr="00CF2E90">
        <w:rPr>
          <w:sz w:val="28"/>
          <w:szCs w:val="28"/>
        </w:rPr>
        <w:t xml:space="preserve"> genera una desigualdad negativa frente a otros escenarios </w:t>
      </w:r>
      <w:r w:rsidRPr="00CF2E90">
        <w:rPr>
          <w:sz w:val="28"/>
          <w:szCs w:val="28"/>
        </w:rPr>
        <w:t xml:space="preserve">procesales </w:t>
      </w:r>
      <w:r w:rsidR="00935B42" w:rsidRPr="00CF2E90">
        <w:rPr>
          <w:sz w:val="28"/>
          <w:szCs w:val="28"/>
        </w:rPr>
        <w:t xml:space="preserve">que sí cuentan con regulación expresa </w:t>
      </w:r>
      <w:r w:rsidR="000C1B66" w:rsidRPr="00CF2E90">
        <w:rPr>
          <w:sz w:val="28"/>
          <w:szCs w:val="28"/>
        </w:rPr>
        <w:t>-</w:t>
      </w:r>
      <w:r w:rsidR="00935B42" w:rsidRPr="00CF2E90">
        <w:rPr>
          <w:sz w:val="28"/>
          <w:szCs w:val="28"/>
        </w:rPr>
        <w:t>la Ley 600, el Código Civil y el Código de Comercio</w:t>
      </w:r>
      <w:r w:rsidR="000C1B66" w:rsidRPr="00CF2E90">
        <w:rPr>
          <w:sz w:val="28"/>
          <w:szCs w:val="28"/>
        </w:rPr>
        <w:t>-</w:t>
      </w:r>
      <w:r w:rsidR="00935B42" w:rsidRPr="00CF2E90">
        <w:rPr>
          <w:sz w:val="28"/>
          <w:szCs w:val="28"/>
        </w:rPr>
        <w:t>, con términos de diez (10) años para las acciones ordinarias, tres (3) años para la responsabilidad extracontractual indirecta, y entre dos (2) y cinco (5) años para las acciones derivadas del contrato de seguro.</w:t>
      </w:r>
      <w:r w:rsidR="000C1B66" w:rsidRPr="00CF2E90">
        <w:rPr>
          <w:sz w:val="28"/>
          <w:szCs w:val="28"/>
        </w:rPr>
        <w:t xml:space="preserve"> </w:t>
      </w:r>
      <w:r w:rsidRPr="00CF2E90">
        <w:rPr>
          <w:sz w:val="28"/>
          <w:szCs w:val="28"/>
        </w:rPr>
        <w:t xml:space="preserve">En </w:t>
      </w:r>
      <w:r w:rsidR="00062D47" w:rsidRPr="00CF2E90">
        <w:rPr>
          <w:sz w:val="28"/>
          <w:szCs w:val="28"/>
        </w:rPr>
        <w:t>este sentido</w:t>
      </w:r>
      <w:r w:rsidRPr="00CF2E90">
        <w:rPr>
          <w:sz w:val="28"/>
          <w:szCs w:val="28"/>
        </w:rPr>
        <w:t xml:space="preserve">, </w:t>
      </w:r>
      <w:r w:rsidR="00062D47" w:rsidRPr="00CF2E90">
        <w:rPr>
          <w:sz w:val="28"/>
          <w:szCs w:val="28"/>
        </w:rPr>
        <w:t xml:space="preserve">enfatizaron que, </w:t>
      </w:r>
      <w:r w:rsidRPr="00CF2E90">
        <w:rPr>
          <w:sz w:val="28"/>
          <w:szCs w:val="28"/>
        </w:rPr>
        <w:t>en contraste con otros procesos,</w:t>
      </w:r>
      <w:r w:rsidR="000C1B66" w:rsidRPr="00CF2E90">
        <w:rPr>
          <w:sz w:val="28"/>
          <w:szCs w:val="28"/>
        </w:rPr>
        <w:t xml:space="preserve"> l</w:t>
      </w:r>
      <w:r w:rsidR="00935B42" w:rsidRPr="00CF2E90">
        <w:rPr>
          <w:sz w:val="28"/>
          <w:szCs w:val="28"/>
        </w:rPr>
        <w:t xml:space="preserve">as víctimas </w:t>
      </w:r>
      <w:r w:rsidRPr="00CF2E90">
        <w:rPr>
          <w:sz w:val="28"/>
          <w:szCs w:val="28"/>
        </w:rPr>
        <w:t xml:space="preserve">de los procesos penales </w:t>
      </w:r>
      <w:r w:rsidR="00935B42" w:rsidRPr="00CF2E90">
        <w:rPr>
          <w:sz w:val="28"/>
          <w:szCs w:val="28"/>
        </w:rPr>
        <w:t xml:space="preserve">del IRI quedan sometidas a la </w:t>
      </w:r>
      <w:r w:rsidR="000C1B66" w:rsidRPr="00CF2E90">
        <w:rPr>
          <w:sz w:val="28"/>
          <w:szCs w:val="28"/>
        </w:rPr>
        <w:t>“discrecionalidad interpretativa de los operadores judiciales”</w:t>
      </w:r>
      <w:r w:rsidRPr="00CF2E90">
        <w:rPr>
          <w:sz w:val="28"/>
          <w:szCs w:val="28"/>
          <w:vertAlign w:val="superscript"/>
        </w:rPr>
        <w:footnoteReference w:id="36"/>
      </w:r>
      <w:r w:rsidR="00935B42" w:rsidRPr="00CF2E90">
        <w:rPr>
          <w:sz w:val="28"/>
          <w:szCs w:val="28"/>
        </w:rPr>
        <w:t>.</w:t>
      </w:r>
    </w:p>
    <w:p w14:paraId="4A2EA280" w14:textId="77777777" w:rsidR="00523886" w:rsidRPr="00CF2E90" w:rsidRDefault="00523886" w:rsidP="00062D47">
      <w:pPr>
        <w:ind w:left="0" w:firstLine="0"/>
      </w:pPr>
    </w:p>
    <w:p w14:paraId="027C7887" w14:textId="09A0417E" w:rsidR="00935B42" w:rsidRPr="00CF2E90" w:rsidRDefault="00E13E26">
      <w:pPr>
        <w:pStyle w:val="font-claude-response-body"/>
        <w:numPr>
          <w:ilvl w:val="0"/>
          <w:numId w:val="6"/>
        </w:numPr>
        <w:spacing w:before="0" w:beforeAutospacing="0" w:after="0" w:afterAutospacing="0"/>
        <w:ind w:left="0" w:firstLine="0"/>
        <w:jc w:val="both"/>
        <w:rPr>
          <w:sz w:val="28"/>
          <w:szCs w:val="28"/>
        </w:rPr>
      </w:pPr>
      <w:r w:rsidRPr="00CF2E90">
        <w:rPr>
          <w:sz w:val="28"/>
          <w:szCs w:val="28"/>
        </w:rPr>
        <w:t>Lo</w:t>
      </w:r>
      <w:r w:rsidR="00813EE2" w:rsidRPr="00CF2E90">
        <w:rPr>
          <w:sz w:val="28"/>
          <w:szCs w:val="28"/>
        </w:rPr>
        <w:t>s</w:t>
      </w:r>
      <w:r w:rsidRPr="00CF2E90">
        <w:rPr>
          <w:sz w:val="28"/>
          <w:szCs w:val="28"/>
        </w:rPr>
        <w:t xml:space="preserve"> intervinientes consideraron que</w:t>
      </w:r>
      <w:r w:rsidR="00935B42" w:rsidRPr="00CF2E90">
        <w:rPr>
          <w:sz w:val="28"/>
          <w:szCs w:val="28"/>
        </w:rPr>
        <w:t xml:space="preserve"> </w:t>
      </w:r>
      <w:r w:rsidR="00062D47" w:rsidRPr="00CF2E90">
        <w:rPr>
          <w:sz w:val="28"/>
          <w:szCs w:val="28"/>
        </w:rPr>
        <w:t>el remedio adecuado para la omisión identificada</w:t>
      </w:r>
      <w:r w:rsidR="00935B42" w:rsidRPr="00CF2E90">
        <w:rPr>
          <w:sz w:val="28"/>
          <w:szCs w:val="28"/>
        </w:rPr>
        <w:t xml:space="preserve"> </w:t>
      </w:r>
      <w:r w:rsidR="00062D47" w:rsidRPr="00CF2E90">
        <w:rPr>
          <w:sz w:val="28"/>
          <w:szCs w:val="28"/>
        </w:rPr>
        <w:t xml:space="preserve">consiste en (i) proferir </w:t>
      </w:r>
      <w:r w:rsidR="00935B42" w:rsidRPr="00CF2E90">
        <w:rPr>
          <w:sz w:val="28"/>
          <w:szCs w:val="28"/>
        </w:rPr>
        <w:t>una sentencia integradora</w:t>
      </w:r>
      <w:r w:rsidR="00062D47" w:rsidRPr="00CF2E90">
        <w:rPr>
          <w:sz w:val="28"/>
          <w:szCs w:val="28"/>
        </w:rPr>
        <w:t xml:space="preserve"> que resuelva el vacío normativo provisionalmente y (ii) exhortar</w:t>
      </w:r>
      <w:r w:rsidR="00935B42" w:rsidRPr="00CF2E90">
        <w:rPr>
          <w:sz w:val="28"/>
          <w:szCs w:val="28"/>
        </w:rPr>
        <w:t xml:space="preserve"> al Congreso</w:t>
      </w:r>
      <w:r w:rsidR="00062D47" w:rsidRPr="00CF2E90">
        <w:rPr>
          <w:sz w:val="28"/>
          <w:szCs w:val="28"/>
        </w:rPr>
        <w:t xml:space="preserve"> de la República para que regule el término de duración máximo del IRI</w:t>
      </w:r>
      <w:r w:rsidR="00935B42" w:rsidRPr="00CF2E90">
        <w:rPr>
          <w:sz w:val="28"/>
          <w:szCs w:val="28"/>
        </w:rPr>
        <w:t xml:space="preserve">. </w:t>
      </w:r>
      <w:r w:rsidRPr="00CF2E90">
        <w:rPr>
          <w:sz w:val="28"/>
          <w:szCs w:val="28"/>
        </w:rPr>
        <w:t>No obstante,</w:t>
      </w:r>
      <w:r w:rsidR="00935B42" w:rsidRPr="00CF2E90">
        <w:rPr>
          <w:sz w:val="28"/>
          <w:szCs w:val="28"/>
        </w:rPr>
        <w:t xml:space="preserve"> </w:t>
      </w:r>
      <w:r w:rsidRPr="00CF2E90">
        <w:rPr>
          <w:sz w:val="28"/>
          <w:szCs w:val="28"/>
        </w:rPr>
        <w:t>propusieron fórmulas diversas para el condicionamiento</w:t>
      </w:r>
      <w:r w:rsidR="00935B42" w:rsidRPr="00CF2E90">
        <w:rPr>
          <w:sz w:val="28"/>
          <w:szCs w:val="28"/>
        </w:rPr>
        <w:t xml:space="preserve">. </w:t>
      </w:r>
      <w:r w:rsidRPr="00CF2E90">
        <w:rPr>
          <w:sz w:val="28"/>
          <w:szCs w:val="28"/>
        </w:rPr>
        <w:t>De un lado, la</w:t>
      </w:r>
      <w:r w:rsidR="00935B42" w:rsidRPr="00CF2E90">
        <w:rPr>
          <w:sz w:val="28"/>
          <w:szCs w:val="28"/>
        </w:rPr>
        <w:t xml:space="preserve"> Fundación Jurídica Proyecto Inocencia propuso que</w:t>
      </w:r>
      <w:r w:rsidRPr="00CF2E90">
        <w:rPr>
          <w:sz w:val="28"/>
          <w:szCs w:val="28"/>
        </w:rPr>
        <w:t xml:space="preserve"> la Corte señalara que</w:t>
      </w:r>
      <w:r w:rsidR="00935B42" w:rsidRPr="00CF2E90">
        <w:rPr>
          <w:sz w:val="28"/>
          <w:szCs w:val="28"/>
        </w:rPr>
        <w:t xml:space="preserve"> la radicación del incidente interrumpa el término de prescripción de la acción penal exclusivamente respecto de los efectos patrimoniales de la conducta punible, y que el juez de conocimiento lo resuelva en un plazo máximo de tres años con base en el artículo 292 de la Ley 906 de 2004</w:t>
      </w:r>
      <w:r w:rsidR="00523886" w:rsidRPr="00CF2E90">
        <w:rPr>
          <w:rStyle w:val="Refdenotaalpie"/>
          <w:sz w:val="28"/>
          <w:szCs w:val="28"/>
        </w:rPr>
        <w:footnoteReference w:id="37"/>
      </w:r>
      <w:r w:rsidR="00935B42" w:rsidRPr="00CF2E90">
        <w:rPr>
          <w:sz w:val="28"/>
          <w:szCs w:val="28"/>
        </w:rPr>
        <w:t>. El Instituto Colombiano de Derecho Procesal</w:t>
      </w:r>
      <w:r w:rsidR="00523886" w:rsidRPr="00CF2E90">
        <w:rPr>
          <w:sz w:val="28"/>
          <w:szCs w:val="28"/>
        </w:rPr>
        <w:t>, por su parte,</w:t>
      </w:r>
      <w:r w:rsidR="00935B42" w:rsidRPr="00CF2E90">
        <w:rPr>
          <w:sz w:val="28"/>
          <w:szCs w:val="28"/>
        </w:rPr>
        <w:t xml:space="preserve"> sugirió que el término sea el de prescripción del delito que originó la condena, con un tope de 20 años, salvo en los casos de imprescriptibilidad o extensión superior a ese límite por razones de política criminal</w:t>
      </w:r>
      <w:r w:rsidR="00523886" w:rsidRPr="00CF2E90">
        <w:rPr>
          <w:rStyle w:val="Refdenotaalpie"/>
          <w:sz w:val="28"/>
          <w:szCs w:val="28"/>
        </w:rPr>
        <w:footnoteReference w:id="38"/>
      </w:r>
      <w:r w:rsidR="00935B42" w:rsidRPr="00CF2E90">
        <w:rPr>
          <w:sz w:val="28"/>
          <w:szCs w:val="28"/>
        </w:rPr>
        <w:t xml:space="preserve">. </w:t>
      </w:r>
      <w:r w:rsidRPr="00CF2E90">
        <w:rPr>
          <w:sz w:val="28"/>
          <w:szCs w:val="28"/>
        </w:rPr>
        <w:t>Por último, la</w:t>
      </w:r>
      <w:r w:rsidR="00935B42" w:rsidRPr="00CF2E90">
        <w:rPr>
          <w:sz w:val="28"/>
          <w:szCs w:val="28"/>
        </w:rPr>
        <w:t xml:space="preserve"> Universidad de los Andes y el Colegio de Abogados Penalistas no propusieron una fórmula específica, pero respaldaron la necesidad de la sentencia integradora y del exhorto al Congreso para que expida una regulación que garantice el plazo razonable, la seguridad jurídica y el derecho efectivo de acceso a la justicia.</w:t>
      </w:r>
    </w:p>
    <w:p w14:paraId="0681421B" w14:textId="77777777" w:rsidR="00935B42" w:rsidRPr="00CF2E90" w:rsidRDefault="00935B42" w:rsidP="001224E3">
      <w:pPr>
        <w:ind w:left="0" w:right="0" w:firstLine="0"/>
      </w:pPr>
    </w:p>
    <w:p w14:paraId="454651D8" w14:textId="77777777" w:rsidR="00EF2DAB" w:rsidRPr="00CF2E90" w:rsidRDefault="00DE5238" w:rsidP="00493BCC">
      <w:pPr>
        <w:pStyle w:val="Prrafodelista"/>
        <w:keepNext/>
        <w:numPr>
          <w:ilvl w:val="0"/>
          <w:numId w:val="8"/>
        </w:numPr>
        <w:ind w:left="567" w:right="0" w:hanging="425"/>
        <w:rPr>
          <w:b/>
        </w:rPr>
      </w:pPr>
      <w:bookmarkStart w:id="6" w:name="_Toc64141752"/>
      <w:bookmarkStart w:id="7" w:name="_Toc64191753"/>
      <w:bookmarkStart w:id="8" w:name="_Toc67069274"/>
      <w:r w:rsidRPr="00CF2E90">
        <w:rPr>
          <w:b/>
        </w:rPr>
        <w:t xml:space="preserve">Concepto del </w:t>
      </w:r>
      <w:bookmarkEnd w:id="6"/>
      <w:bookmarkEnd w:id="7"/>
      <w:bookmarkEnd w:id="8"/>
      <w:r w:rsidRPr="00CF2E90">
        <w:rPr>
          <w:b/>
        </w:rPr>
        <w:t>Ministerio Público</w:t>
      </w:r>
    </w:p>
    <w:p w14:paraId="4B1A2BF3" w14:textId="77777777" w:rsidR="00EF2DAB" w:rsidRPr="00CF2E90" w:rsidRDefault="00EF2DAB" w:rsidP="00EF2DAB">
      <w:pPr>
        <w:pStyle w:val="Prrafodelista"/>
        <w:keepNext/>
        <w:ind w:left="567" w:right="0" w:firstLine="0"/>
        <w:rPr>
          <w:b/>
        </w:rPr>
      </w:pPr>
    </w:p>
    <w:p w14:paraId="2ADFE480" w14:textId="298230BA" w:rsidR="00EF2DAB" w:rsidRPr="00CF2E90" w:rsidRDefault="00EF2DAB" w:rsidP="00493BCC">
      <w:pPr>
        <w:pStyle w:val="Prrafodelista"/>
        <w:keepNext/>
        <w:numPr>
          <w:ilvl w:val="0"/>
          <w:numId w:val="6"/>
        </w:numPr>
        <w:ind w:left="0" w:right="0" w:firstLine="0"/>
        <w:rPr>
          <w:b/>
        </w:rPr>
      </w:pPr>
      <w:r w:rsidRPr="00CF2E90">
        <w:t>El Procurador General de la Nación solicitó a la Corte que declare la exequibilidad de los artículos 102, 103, 104, 105 y 106 de la Ley 906 de 2004</w:t>
      </w:r>
      <w:r w:rsidR="00493BCC" w:rsidRPr="00CF2E90">
        <w:rPr>
          <w:rStyle w:val="Refdenotaalpie"/>
        </w:rPr>
        <w:footnoteReference w:id="39"/>
      </w:r>
      <w:r w:rsidR="00493BCC" w:rsidRPr="00CF2E90">
        <w:t xml:space="preserve">, dado que, en su criterio, la omisión legislativa relativa denunciada no existe. </w:t>
      </w:r>
      <w:r w:rsidR="00E13E26" w:rsidRPr="00CF2E90">
        <w:t xml:space="preserve">En concepto del </w:t>
      </w:r>
      <w:r w:rsidRPr="00CF2E90">
        <w:t xml:space="preserve">Procurador </w:t>
      </w:r>
      <w:r w:rsidR="00E13E26" w:rsidRPr="00CF2E90">
        <w:t xml:space="preserve">General, </w:t>
      </w:r>
      <w:r w:rsidRPr="00CF2E90">
        <w:t xml:space="preserve">“la presunta ausencia del ingrediente normativo señalado se supera a partir </w:t>
      </w:r>
      <w:r w:rsidR="00AA0F2A" w:rsidRPr="00CF2E90">
        <w:t xml:space="preserve">de </w:t>
      </w:r>
      <w:r w:rsidRPr="00CF2E90">
        <w:t>una interpretación sistemática del ordenamiento jurídico”</w:t>
      </w:r>
      <w:r w:rsidRPr="00CF2E90">
        <w:rPr>
          <w:rStyle w:val="Refdenotaalpie"/>
        </w:rPr>
        <w:footnoteReference w:id="40"/>
      </w:r>
      <w:r w:rsidR="00493BCC" w:rsidRPr="00CF2E90">
        <w:t xml:space="preserve"> y </w:t>
      </w:r>
      <w:r w:rsidRPr="00CF2E90">
        <w:t xml:space="preserve">la analogía </w:t>
      </w:r>
      <w:r w:rsidRPr="00CF2E90">
        <w:rPr>
          <w:i/>
          <w:iCs/>
        </w:rPr>
        <w:t>legis</w:t>
      </w:r>
      <w:r w:rsidR="00493BCC" w:rsidRPr="00CF2E90">
        <w:t xml:space="preserve">, </w:t>
      </w:r>
      <w:r w:rsidRPr="00CF2E90">
        <w:t>como “criterio auxiliar del derecho”</w:t>
      </w:r>
      <w:r w:rsidRPr="00CF2E90">
        <w:rPr>
          <w:rStyle w:val="Refdenotaalpie"/>
        </w:rPr>
        <w:footnoteReference w:id="41"/>
      </w:r>
      <w:r w:rsidRPr="00CF2E90">
        <w:t xml:space="preserve">. </w:t>
      </w:r>
    </w:p>
    <w:p w14:paraId="6A4DC808" w14:textId="77777777" w:rsidR="00EF2DAB" w:rsidRPr="00CF2E90" w:rsidRDefault="00EF2DAB" w:rsidP="00EF2DAB">
      <w:pPr>
        <w:pStyle w:val="Prrafodelista"/>
      </w:pPr>
    </w:p>
    <w:p w14:paraId="0C622263" w14:textId="3CA5D362" w:rsidR="00A07172" w:rsidRPr="00CF2E90" w:rsidRDefault="00493BCC">
      <w:pPr>
        <w:pStyle w:val="Prrafodelista"/>
        <w:keepNext/>
        <w:numPr>
          <w:ilvl w:val="0"/>
          <w:numId w:val="6"/>
        </w:numPr>
        <w:ind w:left="0" w:right="0" w:firstLine="0"/>
        <w:rPr>
          <w:b/>
        </w:rPr>
      </w:pPr>
      <w:r w:rsidRPr="00CF2E90">
        <w:t xml:space="preserve">El </w:t>
      </w:r>
      <w:r w:rsidR="00EF2DAB" w:rsidRPr="00CF2E90">
        <w:t>Ministerio Público reconoc</w:t>
      </w:r>
      <w:r w:rsidRPr="00CF2E90">
        <w:t>ió</w:t>
      </w:r>
      <w:r w:rsidR="00EF2DAB" w:rsidRPr="00CF2E90">
        <w:t xml:space="preserve"> que en las normas acusadas </w:t>
      </w:r>
      <w:r w:rsidR="00A07172" w:rsidRPr="00CF2E90">
        <w:t>“</w:t>
      </w:r>
      <w:r w:rsidR="00EF2DAB" w:rsidRPr="00CF2E90">
        <w:t>no hay una mención explícita ni al término de prescripción ni de trámite del IRI</w:t>
      </w:r>
      <w:r w:rsidR="00A07172" w:rsidRPr="00CF2E90">
        <w:t>”</w:t>
      </w:r>
      <w:r w:rsidR="00A07172" w:rsidRPr="00CF2E90">
        <w:rPr>
          <w:rStyle w:val="Refdenotaalpie"/>
        </w:rPr>
        <w:footnoteReference w:id="42"/>
      </w:r>
      <w:r w:rsidR="00EF2DAB" w:rsidRPr="00CF2E90">
        <w:t xml:space="preserve">. No obstante, </w:t>
      </w:r>
      <w:r w:rsidRPr="00CF2E90">
        <w:t xml:space="preserve">resaltó que </w:t>
      </w:r>
      <w:r w:rsidR="00EF2DAB" w:rsidRPr="00CF2E90">
        <w:t xml:space="preserve">el artículo 25 de la Ley 906 de 2004 </w:t>
      </w:r>
      <w:r w:rsidRPr="00CF2E90">
        <w:t xml:space="preserve">establece una norma de remisión según la cual, en lo no regulado, resulta aplicable </w:t>
      </w:r>
      <w:r w:rsidR="00C3797D" w:rsidRPr="00CF2E90">
        <w:t>e</w:t>
      </w:r>
      <w:r w:rsidRPr="00CF2E90">
        <w:t>l</w:t>
      </w:r>
      <w:r w:rsidR="00EF2DAB" w:rsidRPr="00CF2E90">
        <w:t xml:space="preserve"> derecho procesal civil y las demás normas procesales que no sean contrarias a la naturaleza del procedimiento penal</w:t>
      </w:r>
      <w:r w:rsidRPr="00CF2E90">
        <w:t>. En ese sentido, recordó que la Corte Suprema de Justicia, mediante sentencias como la SP1356 del 7 de mayo de 2025, ha sostenido que el IRI, “como mecanismo accesorio al proceso penal, está regulado por el derecho civil en todo aquello que, de su naturaleza, y alcance, no aparece previsto en la Ley 906 de 2004”</w:t>
      </w:r>
      <w:r w:rsidRPr="00CF2E90">
        <w:rPr>
          <w:vertAlign w:val="superscript"/>
        </w:rPr>
        <w:footnoteReference w:id="43"/>
      </w:r>
      <w:r w:rsidRPr="00CF2E90">
        <w:t>. Por esta razón, señaló el Procurador General,</w:t>
      </w:r>
      <w:r w:rsidR="00EF2DAB" w:rsidRPr="00CF2E90">
        <w:t xml:space="preserve"> </w:t>
      </w:r>
      <w:r w:rsidR="00A07172" w:rsidRPr="00CF2E90">
        <w:t>“</w:t>
      </w:r>
      <w:r w:rsidR="00EF2DAB" w:rsidRPr="00CF2E90">
        <w:t>los términos alegados como inexistentes pueden ser determinados acudiendo a normas de similar naturaleza, provenientes de otras jurisdicciones, siempre que no se opongan a la naturaleza del procedimiento penal</w:t>
      </w:r>
      <w:r w:rsidR="00A07172" w:rsidRPr="00CF2E90">
        <w:t>”</w:t>
      </w:r>
      <w:r w:rsidR="00A07172" w:rsidRPr="00CF2E90">
        <w:rPr>
          <w:rStyle w:val="Refdenotaalpie"/>
        </w:rPr>
        <w:footnoteReference w:id="44"/>
      </w:r>
      <w:r w:rsidR="00EF2DAB" w:rsidRPr="00CF2E90">
        <w:t xml:space="preserve">. </w:t>
      </w:r>
    </w:p>
    <w:p w14:paraId="2BCDE371" w14:textId="77777777" w:rsidR="00A07172" w:rsidRPr="00CF2E90" w:rsidRDefault="00A07172" w:rsidP="00A07172">
      <w:pPr>
        <w:pStyle w:val="Prrafodelista"/>
      </w:pPr>
    </w:p>
    <w:p w14:paraId="5D4B679C" w14:textId="4D9BF1E4" w:rsidR="00ED5900" w:rsidRPr="00CF2E90" w:rsidRDefault="00F03D62">
      <w:pPr>
        <w:pStyle w:val="Prrafodelista"/>
        <w:keepNext/>
        <w:numPr>
          <w:ilvl w:val="0"/>
          <w:numId w:val="6"/>
        </w:numPr>
        <w:ind w:left="0" w:right="0" w:firstLine="0"/>
        <w:rPr>
          <w:b/>
        </w:rPr>
      </w:pPr>
      <w:r w:rsidRPr="00CF2E90">
        <w:t xml:space="preserve">El </w:t>
      </w:r>
      <w:r w:rsidR="00EF2DAB" w:rsidRPr="00CF2E90">
        <w:t xml:space="preserve">Procurador </w:t>
      </w:r>
      <w:r w:rsidR="00E13E26" w:rsidRPr="00CF2E90">
        <w:t xml:space="preserve">General </w:t>
      </w:r>
      <w:r w:rsidR="00EF2DAB" w:rsidRPr="00CF2E90">
        <w:t>estim</w:t>
      </w:r>
      <w:r w:rsidR="00A07172" w:rsidRPr="00CF2E90">
        <w:t>ó</w:t>
      </w:r>
      <w:r w:rsidRPr="00CF2E90">
        <w:t xml:space="preserve"> que en lo que se refiere al término máximo para decidir el IRI, </w:t>
      </w:r>
      <w:r w:rsidR="00E13E26" w:rsidRPr="00CF2E90">
        <w:t>resulta</w:t>
      </w:r>
      <w:r w:rsidR="00EF2DAB" w:rsidRPr="00CF2E90">
        <w:t xml:space="preserve"> aplicable por analogía el artículo 121 del CGP, que fija en un año el término máximo para dictar sentencia de primera o única instancia, so pena de pérdida de competencia del juez. </w:t>
      </w:r>
      <w:r w:rsidR="00A07172" w:rsidRPr="00CF2E90">
        <w:t>Consideró que e</w:t>
      </w:r>
      <w:r w:rsidR="00EF2DAB" w:rsidRPr="00CF2E90">
        <w:t>sta remisión es procedente porque</w:t>
      </w:r>
      <w:r w:rsidR="00A07172" w:rsidRPr="00CF2E90">
        <w:t xml:space="preserve"> “</w:t>
      </w:r>
      <w:r w:rsidR="00EF2DAB" w:rsidRPr="00CF2E90">
        <w:t>satisface la noción de plazo razonable y la proscripción de dilaciones injustificadas, las cuales, a diferencia de la prescripción, dependen más de un aspecto subjetivo relacionado con la probidad y diligencia del juez o la organización y funcionamiento de la administración de justicia</w:t>
      </w:r>
      <w:r w:rsidR="00A07172" w:rsidRPr="00CF2E90">
        <w:t>”</w:t>
      </w:r>
      <w:r w:rsidR="00A07172" w:rsidRPr="00CF2E90">
        <w:rPr>
          <w:rStyle w:val="Refdenotaalpie"/>
        </w:rPr>
        <w:footnoteReference w:id="45"/>
      </w:r>
      <w:r w:rsidR="00EF2DAB" w:rsidRPr="00CF2E90">
        <w:t>.</w:t>
      </w:r>
    </w:p>
    <w:p w14:paraId="30D2BF5D" w14:textId="77777777" w:rsidR="00ED5900" w:rsidRPr="00CF2E90" w:rsidRDefault="00ED5900" w:rsidP="00ED5900">
      <w:pPr>
        <w:pStyle w:val="Prrafodelista"/>
      </w:pPr>
    </w:p>
    <w:p w14:paraId="13C4F825" w14:textId="729B95DC" w:rsidR="00ED5900" w:rsidRPr="00CF2E90" w:rsidRDefault="00F03D62">
      <w:pPr>
        <w:pStyle w:val="Prrafodelista"/>
        <w:keepNext/>
        <w:numPr>
          <w:ilvl w:val="0"/>
          <w:numId w:val="6"/>
        </w:numPr>
        <w:ind w:left="0" w:right="0" w:firstLine="0"/>
        <w:rPr>
          <w:b/>
        </w:rPr>
      </w:pPr>
      <w:r w:rsidRPr="00CF2E90">
        <w:t>Por otra parte, respecto de la</w:t>
      </w:r>
      <w:r w:rsidR="00EF2DAB" w:rsidRPr="00CF2E90">
        <w:t xml:space="preserve"> prescripción el Ministerio Público </w:t>
      </w:r>
      <w:r w:rsidRPr="00CF2E90">
        <w:t>sostuvo</w:t>
      </w:r>
      <w:r w:rsidR="00EF2DAB" w:rsidRPr="00CF2E90">
        <w:t xml:space="preserve"> que los artículos 2341 y 2358 del Código Civil, relativos a la acción de reparación del daño proveniente de delito o culpa</w:t>
      </w:r>
      <w:r w:rsidR="00ED5900" w:rsidRPr="00CF2E90">
        <w:t>, son aplicables por analogía al trámite del IRI</w:t>
      </w:r>
      <w:r w:rsidR="00EF2DAB" w:rsidRPr="00CF2E90">
        <w:t xml:space="preserve">. </w:t>
      </w:r>
      <w:r w:rsidR="00ED5900" w:rsidRPr="00CF2E90">
        <w:t>A su juicio, l</w:t>
      </w:r>
      <w:r w:rsidR="00EF2DAB" w:rsidRPr="00CF2E90">
        <w:t xml:space="preserve">a </w:t>
      </w:r>
      <w:r w:rsidR="00ED5900" w:rsidRPr="00CF2E90">
        <w:t>“</w:t>
      </w:r>
      <w:r w:rsidR="00EF2DAB" w:rsidRPr="00CF2E90">
        <w:t>identidad de razón</w:t>
      </w:r>
      <w:r w:rsidR="00ED5900" w:rsidRPr="00CF2E90">
        <w:t>”</w:t>
      </w:r>
      <w:r w:rsidR="00EF2DAB" w:rsidRPr="00CF2E90">
        <w:t xml:space="preserve"> entre esta acción y el IRI es sustancial, </w:t>
      </w:r>
      <w:r w:rsidR="00ED5900" w:rsidRPr="00CF2E90">
        <w:t>“</w:t>
      </w:r>
      <w:r w:rsidR="00EF2DAB" w:rsidRPr="00CF2E90">
        <w:t>dada la similitud entre la legitimidad por activa (haber sufrido daños en la comisión de un delito por parte de un tercero) y por pasiva (persona que ha cometido un delito), y la finalidad del mismo (reparación de los daños causados)</w:t>
      </w:r>
      <w:r w:rsidR="00ED5900" w:rsidRPr="00CF2E90">
        <w:t>”</w:t>
      </w:r>
      <w:r w:rsidR="00ED5900" w:rsidRPr="00CF2E90">
        <w:rPr>
          <w:rStyle w:val="Refdenotaalpie"/>
        </w:rPr>
        <w:footnoteReference w:id="46"/>
      </w:r>
      <w:r w:rsidR="00EF2DAB" w:rsidRPr="00CF2E90">
        <w:t>. Adicionalmente, consider</w:t>
      </w:r>
      <w:r w:rsidR="00ED5900" w:rsidRPr="00CF2E90">
        <w:t>ó</w:t>
      </w:r>
      <w:r w:rsidR="00EF2DAB" w:rsidRPr="00CF2E90">
        <w:t xml:space="preserve"> aplicable </w:t>
      </w:r>
      <w:r w:rsidR="00ED5900" w:rsidRPr="00CF2E90">
        <w:t xml:space="preserve">al trámite del IRI </w:t>
      </w:r>
      <w:r w:rsidR="00EF2DAB" w:rsidRPr="00CF2E90">
        <w:t xml:space="preserve">el artículo 2358 del Código Civil, que establece que </w:t>
      </w:r>
      <w:r w:rsidR="00ED5900" w:rsidRPr="00CF2E90">
        <w:t>“</w:t>
      </w:r>
      <w:r w:rsidR="00EF2DAB" w:rsidRPr="00CF2E90">
        <w:t>las acciones para la reparación del daño proveniente de delito o culpa que puedan ejercitarse contra los que sean punibles por el delito o la culpa, se prescriben dentro de los términos señalados en el Código Penal para la prescripción de la pena principal</w:t>
      </w:r>
      <w:r w:rsidR="00ED5900" w:rsidRPr="00CF2E90">
        <w:t>”</w:t>
      </w:r>
      <w:r w:rsidR="00ED5900" w:rsidRPr="00CF2E90">
        <w:rPr>
          <w:rStyle w:val="Refdenotaalpie"/>
        </w:rPr>
        <w:footnoteReference w:id="47"/>
      </w:r>
      <w:r w:rsidR="00EF2DAB" w:rsidRPr="00CF2E90">
        <w:t>.</w:t>
      </w:r>
    </w:p>
    <w:p w14:paraId="06707139" w14:textId="77777777" w:rsidR="00ED5900" w:rsidRPr="00CF2E90" w:rsidRDefault="00ED5900" w:rsidP="00ED5900">
      <w:pPr>
        <w:ind w:left="0" w:firstLine="0"/>
      </w:pPr>
    </w:p>
    <w:p w14:paraId="6DC1575A" w14:textId="1A1DADEC" w:rsidR="00ED5900" w:rsidRPr="00CF2E90" w:rsidRDefault="00F03D62">
      <w:pPr>
        <w:pStyle w:val="Prrafodelista"/>
        <w:keepNext/>
        <w:numPr>
          <w:ilvl w:val="0"/>
          <w:numId w:val="6"/>
        </w:numPr>
        <w:ind w:left="0" w:right="0" w:firstLine="0"/>
        <w:rPr>
          <w:b/>
        </w:rPr>
      </w:pPr>
      <w:r w:rsidRPr="00CF2E90">
        <w:t>El Ministerio P</w:t>
      </w:r>
      <w:r w:rsidR="00425173" w:rsidRPr="00CF2E90">
        <w:t>ú</w:t>
      </w:r>
      <w:r w:rsidRPr="00CF2E90">
        <w:t>blic</w:t>
      </w:r>
      <w:r w:rsidR="000F4252" w:rsidRPr="00CF2E90">
        <w:t>o</w:t>
      </w:r>
      <w:r w:rsidRPr="00CF2E90">
        <w:t xml:space="preserve"> argumentó</w:t>
      </w:r>
      <w:r w:rsidR="00ED5900" w:rsidRPr="00CF2E90">
        <w:t xml:space="preserve"> que l</w:t>
      </w:r>
      <w:r w:rsidR="00EF2DAB" w:rsidRPr="00CF2E90">
        <w:t xml:space="preserve">a aplicación analógica </w:t>
      </w:r>
      <w:r w:rsidR="00E13E26" w:rsidRPr="00CF2E90">
        <w:t>de estas no</w:t>
      </w:r>
      <w:r w:rsidR="000F4252" w:rsidRPr="00CF2E90">
        <w:t>r</w:t>
      </w:r>
      <w:r w:rsidR="00E13E26" w:rsidRPr="00CF2E90">
        <w:t xml:space="preserve">mas se justifica porque </w:t>
      </w:r>
      <w:r w:rsidR="00ED5900" w:rsidRPr="00CF2E90">
        <w:t>“</w:t>
      </w:r>
      <w:r w:rsidR="00EF2DAB" w:rsidRPr="00CF2E90">
        <w:t>garantiza el cumplimiento de mandatos constitucionales como la disposición de recursos o mecanismos judiciales efectivos de duración predictible, la garantía del derecho al acceso a la administración de justicia y la proscripción de procesos interminables</w:t>
      </w:r>
      <w:r w:rsidR="00ED5900" w:rsidRPr="00CF2E90">
        <w:t>”</w:t>
      </w:r>
      <w:r w:rsidR="00ED5900" w:rsidRPr="00CF2E90">
        <w:rPr>
          <w:rStyle w:val="Refdenotaalpie"/>
        </w:rPr>
        <w:footnoteReference w:id="48"/>
      </w:r>
      <w:r w:rsidR="00EF2DAB" w:rsidRPr="00CF2E90">
        <w:t xml:space="preserve">. Adicionalmente, no </w:t>
      </w:r>
      <w:r w:rsidRPr="00CF2E90">
        <w:t>desconoce</w:t>
      </w:r>
      <w:r w:rsidR="00EF2DAB" w:rsidRPr="00CF2E90">
        <w:t xml:space="preserve"> la naturaleza del proceso penal, pues las normas </w:t>
      </w:r>
      <w:r w:rsidR="00ED5900" w:rsidRPr="00CF2E90">
        <w:t>acusadas</w:t>
      </w:r>
      <w:r w:rsidR="00EF2DAB" w:rsidRPr="00CF2E90">
        <w:t xml:space="preserve"> </w:t>
      </w:r>
      <w:r w:rsidR="00ED5900" w:rsidRPr="00CF2E90">
        <w:t>“</w:t>
      </w:r>
      <w:r w:rsidR="00EF2DAB" w:rsidRPr="00CF2E90">
        <w:t xml:space="preserve">no hacen referencia a aspectos sustanciales que perjudiquen a los responsables penales, como aquellos asociados con la imposición de sanciones punitivas o la imputación de delitos, sino que aluden a normativas de carácter procesal, que en todo caso contribuyen a la materialización del derecho al debido proceso de las partes procesales en su conjunto (analogía </w:t>
      </w:r>
      <w:r w:rsidR="00EF2DAB" w:rsidRPr="00CF2E90">
        <w:rPr>
          <w:i/>
          <w:iCs/>
        </w:rPr>
        <w:t>in bonam partem</w:t>
      </w:r>
      <w:r w:rsidR="00EF2DAB" w:rsidRPr="00CF2E90">
        <w:t>)</w:t>
      </w:r>
      <w:r w:rsidR="00ED5900" w:rsidRPr="00CF2E90">
        <w:t>”</w:t>
      </w:r>
      <w:r w:rsidR="00ED5900" w:rsidRPr="00CF2E90">
        <w:rPr>
          <w:rStyle w:val="Refdenotaalpie"/>
        </w:rPr>
        <w:footnoteReference w:id="49"/>
      </w:r>
      <w:r w:rsidR="00EF2DAB" w:rsidRPr="00CF2E90">
        <w:t>.</w:t>
      </w:r>
    </w:p>
    <w:p w14:paraId="2D40FF06" w14:textId="77777777" w:rsidR="00ED5900" w:rsidRPr="00CF2E90" w:rsidRDefault="00ED5900" w:rsidP="00F604BB">
      <w:pPr>
        <w:ind w:left="0" w:firstLine="0"/>
      </w:pPr>
    </w:p>
    <w:p w14:paraId="129CE3D6" w14:textId="35F6EE4B" w:rsidR="000C0309" w:rsidRPr="00CF2E90" w:rsidRDefault="00F03D62">
      <w:pPr>
        <w:pStyle w:val="Prrafodelista"/>
        <w:keepNext/>
        <w:numPr>
          <w:ilvl w:val="0"/>
          <w:numId w:val="6"/>
        </w:numPr>
        <w:ind w:left="0" w:right="0" w:firstLine="0"/>
        <w:rPr>
          <w:b/>
        </w:rPr>
      </w:pPr>
      <w:r w:rsidRPr="00CF2E90">
        <w:t>Con fundamento en esta argumentación</w:t>
      </w:r>
      <w:r w:rsidR="00EF2DAB" w:rsidRPr="00CF2E90">
        <w:t xml:space="preserve">, el Procurador General </w:t>
      </w:r>
      <w:r w:rsidRPr="00CF2E90">
        <w:t xml:space="preserve">concluyó </w:t>
      </w:r>
      <w:r w:rsidR="00E66BED" w:rsidRPr="00CF2E90">
        <w:t xml:space="preserve">que </w:t>
      </w:r>
      <w:r w:rsidR="00ED5900" w:rsidRPr="00CF2E90">
        <w:t>“</w:t>
      </w:r>
      <w:r w:rsidR="00EF2DAB" w:rsidRPr="00CF2E90">
        <w:t>la Ley 906 de 2004 no omite fijar frente al IRI un plazo máximo de duración que asegure su predictibilidad, eficacia y libere a las partes de la incertidumbre y angustia propia de un trámite interminable, puesto que tal como se infiere de las normas acusadas, pese a que el Legislador no estableció de manera expresa un término de prescripción y plazo razonable de trámite, dichos vacíos se suplen a partir de la remisión, por analogía, a los contenidos de las normas civiles</w:t>
      </w:r>
      <w:r w:rsidR="00ED5900" w:rsidRPr="00CF2E90">
        <w:t>”</w:t>
      </w:r>
      <w:r w:rsidR="00ED5900" w:rsidRPr="00CF2E90">
        <w:rPr>
          <w:rStyle w:val="Refdenotaalpie"/>
        </w:rPr>
        <w:footnoteReference w:id="50"/>
      </w:r>
      <w:r w:rsidR="00EF2DAB" w:rsidRPr="00CF2E90">
        <w:t>.</w:t>
      </w:r>
    </w:p>
    <w:p w14:paraId="27348DCB" w14:textId="77777777" w:rsidR="00EF2DAB" w:rsidRPr="00CF2E90" w:rsidRDefault="00EF2DAB" w:rsidP="001224E3">
      <w:pPr>
        <w:ind w:left="0" w:right="0" w:firstLine="0"/>
      </w:pPr>
    </w:p>
    <w:p w14:paraId="67FF3D05" w14:textId="58C52695" w:rsidR="006E7246" w:rsidRPr="00CF2E90" w:rsidRDefault="006E7246" w:rsidP="00E13E26">
      <w:pPr>
        <w:pStyle w:val="Prrafodelista"/>
        <w:numPr>
          <w:ilvl w:val="0"/>
          <w:numId w:val="4"/>
        </w:numPr>
        <w:ind w:left="567" w:right="0" w:hanging="207"/>
        <w:rPr>
          <w:b/>
          <w:bCs/>
        </w:rPr>
      </w:pPr>
      <w:r w:rsidRPr="00CF2E90">
        <w:rPr>
          <w:b/>
          <w:bCs/>
        </w:rPr>
        <w:t>CONSIDERACIONES</w:t>
      </w:r>
    </w:p>
    <w:p w14:paraId="0F8E65CA" w14:textId="77777777" w:rsidR="00584A90" w:rsidRPr="00CF2E90" w:rsidRDefault="00584A90" w:rsidP="001224E3">
      <w:pPr>
        <w:pStyle w:val="Prrafodelista"/>
        <w:ind w:left="0" w:right="0" w:firstLine="0"/>
        <w:rPr>
          <w:b/>
          <w:bCs/>
        </w:rPr>
      </w:pPr>
    </w:p>
    <w:p w14:paraId="575FE9A9" w14:textId="77777777" w:rsidR="004233DD" w:rsidRPr="00CF2E90" w:rsidRDefault="004233DD">
      <w:pPr>
        <w:pStyle w:val="Ttulo2"/>
        <w:numPr>
          <w:ilvl w:val="0"/>
          <w:numId w:val="9"/>
        </w:numPr>
        <w:ind w:left="567" w:right="0" w:hanging="567"/>
      </w:pPr>
      <w:r w:rsidRPr="00CF2E90">
        <w:t>Competencia</w:t>
      </w:r>
    </w:p>
    <w:p w14:paraId="0A9E6E5C" w14:textId="77777777" w:rsidR="00584A90" w:rsidRPr="00CF2E90" w:rsidRDefault="00584A90" w:rsidP="001224E3">
      <w:pPr>
        <w:pStyle w:val="Prrafodelista"/>
        <w:ind w:left="0" w:right="0" w:firstLine="0"/>
        <w:rPr>
          <w:b/>
          <w:bCs/>
        </w:rPr>
      </w:pPr>
    </w:p>
    <w:p w14:paraId="536427C4" w14:textId="772235BB" w:rsidR="00630EDF" w:rsidRPr="00CF2E90" w:rsidRDefault="008A024B" w:rsidP="00630EDF">
      <w:pPr>
        <w:numPr>
          <w:ilvl w:val="0"/>
          <w:numId w:val="6"/>
        </w:numPr>
        <w:ind w:left="0" w:right="0" w:firstLine="0"/>
      </w:pPr>
      <w:r w:rsidRPr="00CF2E90">
        <w:t xml:space="preserve">La Corte Constitucional es competente para adelantar el control de constitucionalidad de la presente demanda, de conformidad con lo dispuesto por el numeral </w:t>
      </w:r>
      <w:r w:rsidR="00F03D62" w:rsidRPr="00CF2E90">
        <w:t>4</w:t>
      </w:r>
      <w:r w:rsidR="00506DCA" w:rsidRPr="00CF2E90">
        <w:t>º</w:t>
      </w:r>
      <w:r w:rsidRPr="00CF2E90">
        <w:t xml:space="preserve"> del artículo 241 de la Constitución.</w:t>
      </w:r>
    </w:p>
    <w:p w14:paraId="608303B7" w14:textId="77777777" w:rsidR="00630EDF" w:rsidRPr="00CF2E90" w:rsidRDefault="00630EDF" w:rsidP="000F19AA">
      <w:pPr>
        <w:pStyle w:val="Ttulo2"/>
        <w:numPr>
          <w:ilvl w:val="0"/>
          <w:numId w:val="0"/>
        </w:numPr>
        <w:ind w:right="0"/>
      </w:pPr>
    </w:p>
    <w:p w14:paraId="1D327839" w14:textId="77777777" w:rsidR="00630EDF" w:rsidRPr="00CF2E90" w:rsidRDefault="00630EDF" w:rsidP="00630EDF">
      <w:pPr>
        <w:pStyle w:val="Ttulo2"/>
        <w:numPr>
          <w:ilvl w:val="0"/>
          <w:numId w:val="9"/>
        </w:numPr>
        <w:ind w:right="0"/>
      </w:pPr>
      <w:r w:rsidRPr="00CF2E90">
        <w:t>Cuestión previa: aptitud sustantiva de la demanda</w:t>
      </w:r>
    </w:p>
    <w:p w14:paraId="343AD609" w14:textId="77777777" w:rsidR="00630EDF" w:rsidRPr="00CF2E90" w:rsidRDefault="00630EDF" w:rsidP="00630EDF">
      <w:pPr>
        <w:ind w:left="0" w:right="0" w:firstLine="0"/>
        <w:rPr>
          <w:b/>
          <w:bCs/>
        </w:rPr>
      </w:pPr>
    </w:p>
    <w:p w14:paraId="06995125" w14:textId="32C62594" w:rsidR="007554D5" w:rsidRPr="00CF2E90" w:rsidRDefault="009754D8" w:rsidP="00E563F1">
      <w:pPr>
        <w:pStyle w:val="Prrafodelista"/>
        <w:numPr>
          <w:ilvl w:val="0"/>
          <w:numId w:val="6"/>
        </w:numPr>
        <w:ind w:left="0" w:right="0" w:firstLine="0"/>
      </w:pPr>
      <w:r w:rsidRPr="00CF2E90">
        <w:t>En la fase de admisión de la demanda, corresponde al magistrado ponente llevar a cabo</w:t>
      </w:r>
      <w:r w:rsidR="00202E62" w:rsidRPr="00CF2E90">
        <w:t xml:space="preserve"> el examen de aptitud de la demanda. No obstante, la jurisprudencia constitucional ha reiterado que </w:t>
      </w:r>
      <w:r w:rsidRPr="00CF2E90">
        <w:t>la Sala Plena está facultada para realizar un nuevo estudio de aptitud en la sentencia de constitucionalidad</w:t>
      </w:r>
      <w:r w:rsidRPr="00CF2E90">
        <w:rPr>
          <w:rStyle w:val="Refdenotaalpie"/>
        </w:rPr>
        <w:footnoteReference w:id="51"/>
      </w:r>
      <w:r w:rsidRPr="00CF2E90">
        <w:t xml:space="preserve">. Esto es así, porque la Constitución Política asignó a la Sala Plena la competencia de dictar sentencia de mérito en los procesos de constitucionalidad, lo que implica que el </w:t>
      </w:r>
      <w:r w:rsidR="00202E62" w:rsidRPr="00CF2E90">
        <w:t xml:space="preserve">examen del magistrado sustanciador </w:t>
      </w:r>
      <w:r w:rsidRPr="00CF2E90">
        <w:t xml:space="preserve">es apenas preliminar y </w:t>
      </w:r>
      <w:r w:rsidR="00202E62" w:rsidRPr="00CF2E90">
        <w:t xml:space="preserve">no compromete </w:t>
      </w:r>
      <w:r w:rsidRPr="00CF2E90">
        <w:t>la</w:t>
      </w:r>
      <w:r w:rsidR="00202E62" w:rsidRPr="00CF2E90">
        <w:t xml:space="preserve"> competencia </w:t>
      </w:r>
      <w:r w:rsidRPr="00CF2E90">
        <w:t>del pleno de la Corte. En tales términos, la admisión de la demanda por parte del magistrado sustanciador no implica que</w:t>
      </w:r>
      <w:r w:rsidR="00837B7C" w:rsidRPr="00CF2E90">
        <w:t xml:space="preserve"> la Corte deba dictar necesariamente</w:t>
      </w:r>
      <w:r w:rsidRPr="00CF2E90">
        <w:t xml:space="preserve"> una sentencia de fondo. La Sala Plena conserva su competencia para dictar un fallo inhibitorio total o parcial si encuentra que la demanda o alguno de los cargos no son aptos. </w:t>
      </w:r>
    </w:p>
    <w:p w14:paraId="75AF06E8" w14:textId="77777777" w:rsidR="007554D5" w:rsidRPr="00CF2E90" w:rsidRDefault="007554D5" w:rsidP="007554D5">
      <w:pPr>
        <w:pStyle w:val="Prrafodelista"/>
        <w:ind w:left="0" w:right="0" w:firstLine="0"/>
      </w:pPr>
    </w:p>
    <w:p w14:paraId="7A4B00BD" w14:textId="77777777" w:rsidR="007554D5" w:rsidRPr="00CF2E90" w:rsidRDefault="00E563F1" w:rsidP="007554D5">
      <w:pPr>
        <w:pStyle w:val="Prrafodelista"/>
        <w:numPr>
          <w:ilvl w:val="0"/>
          <w:numId w:val="6"/>
        </w:numPr>
        <w:ind w:left="0" w:right="0" w:firstLine="0"/>
      </w:pPr>
      <w:r w:rsidRPr="00CF2E90">
        <w:t xml:space="preserve">Con todo, </w:t>
      </w:r>
      <w:r w:rsidR="007554D5" w:rsidRPr="00CF2E90">
        <w:t>este tribunal</w:t>
      </w:r>
      <w:r w:rsidRPr="00CF2E90">
        <w:t xml:space="preserve"> ha precisado que la Corte no está obligada a llevar a cabo un nuevo estudio de aptitud en todos los casos. A partir de la sentencia C-100 de 2022, </w:t>
      </w:r>
      <w:r w:rsidR="007554D5" w:rsidRPr="00CF2E90">
        <w:t>la jurisprudencia constitucional</w:t>
      </w:r>
      <w:r w:rsidRPr="00CF2E90">
        <w:t xml:space="preserve"> ha </w:t>
      </w:r>
      <w:r w:rsidR="007554D5" w:rsidRPr="00CF2E90">
        <w:t xml:space="preserve">reiterado </w:t>
      </w:r>
      <w:r w:rsidRPr="00CF2E90">
        <w:t xml:space="preserve">que el estudio de aptitud por el pleno de la Corte sólo será </w:t>
      </w:r>
      <w:r w:rsidR="007554D5" w:rsidRPr="00CF2E90">
        <w:t xml:space="preserve">procedente </w:t>
      </w:r>
      <w:r w:rsidRPr="00CF2E90">
        <w:t xml:space="preserve">en aquellos casos en los que, durante el término de fijación en lista, los intervinientes </w:t>
      </w:r>
      <w:r w:rsidR="007554D5" w:rsidRPr="00CF2E90">
        <w:t>formulan “un análisis mínimo que permita colegir las razones del incumplimiento de cada uno de los requisitos de la carga argumentativa”</w:t>
      </w:r>
      <w:r w:rsidRPr="00CF2E90">
        <w:rPr>
          <w:rStyle w:val="Refdenotaalpie"/>
        </w:rPr>
        <w:footnoteReference w:id="52"/>
      </w:r>
      <w:r w:rsidRPr="00CF2E90">
        <w:t>. En contraste, si los intervinientes presentan “solicitudes genéricas de aptitud”</w:t>
      </w:r>
      <w:r w:rsidRPr="00CF2E90">
        <w:rPr>
          <w:rStyle w:val="Refdenotaalpie"/>
        </w:rPr>
        <w:footnoteReference w:id="53"/>
      </w:r>
      <w:r w:rsidR="007554D5" w:rsidRPr="00CF2E90">
        <w:t xml:space="preserve">, la Corte debe proceder al examen de fondo de la demanda. </w:t>
      </w:r>
    </w:p>
    <w:p w14:paraId="2A684D2B" w14:textId="77777777" w:rsidR="007554D5" w:rsidRPr="00CF2E90" w:rsidRDefault="007554D5" w:rsidP="007554D5">
      <w:pPr>
        <w:pStyle w:val="Prrafodelista"/>
      </w:pPr>
    </w:p>
    <w:p w14:paraId="0CDC652F" w14:textId="1E2C69D9" w:rsidR="007554D5" w:rsidRPr="00CF2E90" w:rsidRDefault="007554D5" w:rsidP="007554D5">
      <w:pPr>
        <w:pStyle w:val="Prrafodelista"/>
        <w:numPr>
          <w:ilvl w:val="0"/>
          <w:numId w:val="6"/>
        </w:numPr>
        <w:ind w:left="0" w:right="0" w:firstLine="0"/>
      </w:pPr>
      <w:r w:rsidRPr="00CF2E90">
        <w:t>Con base en estas reglas,</w:t>
      </w:r>
      <w:r w:rsidR="00630EDF" w:rsidRPr="00CF2E90">
        <w:t xml:space="preserve"> la </w:t>
      </w:r>
      <w:r w:rsidRPr="00CF2E90">
        <w:t>Corte considera que, en esta oportunidad, debe llevar a cabo un nuevo examen de aptitud de la demanda</w:t>
      </w:r>
      <w:r w:rsidR="00630EDF" w:rsidRPr="00CF2E90">
        <w:t xml:space="preserve"> </w:t>
      </w:r>
      <w:r w:rsidRPr="00CF2E90">
        <w:t xml:space="preserve">D-16867. Esto se debe a que </w:t>
      </w:r>
      <w:r w:rsidR="00630EDF" w:rsidRPr="00CF2E90">
        <w:t>la Universidad Externado de Colombia, el Ministerio de Justicia y del Derecho y la Universidad Pontificia Bolivariana</w:t>
      </w:r>
      <w:r w:rsidR="00837B7C" w:rsidRPr="00CF2E90">
        <w:t xml:space="preserve"> </w:t>
      </w:r>
      <w:r w:rsidR="00630EDF" w:rsidRPr="00CF2E90">
        <w:t xml:space="preserve">solicitaron expresamente la inhibición con fundamento en argumentos concretos </w:t>
      </w:r>
      <w:r w:rsidRPr="00CF2E90">
        <w:t>que cuestionan la</w:t>
      </w:r>
      <w:r w:rsidR="00630EDF" w:rsidRPr="00CF2E90">
        <w:t xml:space="preserve"> claridad, </w:t>
      </w:r>
      <w:r w:rsidR="00837B7C" w:rsidRPr="00CF2E90">
        <w:t>la certeza y la</w:t>
      </w:r>
      <w:r w:rsidR="00630EDF" w:rsidRPr="00CF2E90">
        <w:t xml:space="preserve"> especificidad de la demanda (sección </w:t>
      </w:r>
      <w:r w:rsidRPr="00CF2E90">
        <w:t>I.4(1)</w:t>
      </w:r>
      <w:r w:rsidR="00630EDF" w:rsidRPr="00CF2E90">
        <w:t xml:space="preserve"> </w:t>
      </w:r>
      <w:r w:rsidR="00630EDF" w:rsidRPr="00CF2E90">
        <w:rPr>
          <w:i/>
          <w:iCs/>
        </w:rPr>
        <w:t>supra</w:t>
      </w:r>
      <w:r w:rsidR="00630EDF" w:rsidRPr="00CF2E90">
        <w:t xml:space="preserve">). En </w:t>
      </w:r>
      <w:r w:rsidR="00397C91" w:rsidRPr="00CF2E90">
        <w:t>un sentido similar</w:t>
      </w:r>
      <w:r w:rsidR="00630EDF" w:rsidRPr="00CF2E90">
        <w:t xml:space="preserve">, el Procurador General de la Nación </w:t>
      </w:r>
      <w:r w:rsidR="00837B7C" w:rsidRPr="00CF2E90">
        <w:t>consideró que el cargo se fundaba</w:t>
      </w:r>
      <w:r w:rsidRPr="00CF2E90">
        <w:t xml:space="preserve"> en una interpretación </w:t>
      </w:r>
      <w:r w:rsidR="00837B7C" w:rsidRPr="00CF2E90">
        <w:t xml:space="preserve">descontextualizada </w:t>
      </w:r>
      <w:r w:rsidRPr="00CF2E90">
        <w:t>del régimen del incidente de reparación integral</w:t>
      </w:r>
      <w:r w:rsidR="00630EDF" w:rsidRPr="00CF2E90">
        <w:t xml:space="preserve">. </w:t>
      </w:r>
    </w:p>
    <w:p w14:paraId="7E227F95" w14:textId="77777777" w:rsidR="007554D5" w:rsidRPr="00CF2E90" w:rsidRDefault="007554D5" w:rsidP="007554D5">
      <w:pPr>
        <w:pStyle w:val="Prrafodelista"/>
      </w:pPr>
    </w:p>
    <w:p w14:paraId="4DF3A62B" w14:textId="5A15CBFA" w:rsidR="007554D5" w:rsidRPr="00CF2E90" w:rsidRDefault="00630EDF" w:rsidP="007554D5">
      <w:pPr>
        <w:pStyle w:val="Prrafodelista"/>
        <w:numPr>
          <w:ilvl w:val="0"/>
          <w:numId w:val="6"/>
        </w:numPr>
        <w:ind w:left="0" w:right="0" w:firstLine="0"/>
      </w:pPr>
      <w:r w:rsidRPr="00CF2E90">
        <w:t xml:space="preserve">En consecuencia, </w:t>
      </w:r>
      <w:r w:rsidR="007554D5" w:rsidRPr="00CF2E90">
        <w:t>a continuación</w:t>
      </w:r>
      <w:r w:rsidR="000F4252" w:rsidRPr="00CF2E90">
        <w:t>,</w:t>
      </w:r>
      <w:r w:rsidR="007554D5" w:rsidRPr="00CF2E90">
        <w:t xml:space="preserve"> </w:t>
      </w:r>
      <w:r w:rsidRPr="00CF2E90">
        <w:t xml:space="preserve">la Sala Plena </w:t>
      </w:r>
      <w:r w:rsidR="007554D5" w:rsidRPr="00CF2E90">
        <w:t xml:space="preserve">reiterará la jurisprudencia constitucional sobre los requisitos generales de las demandas de inconstitucionalidad y las exigencias argumentativas específicas de los cargos por omisión legislativa relativa. Luego, determinará si la demanda D-16867 cumple con estas exigencias.  </w:t>
      </w:r>
    </w:p>
    <w:p w14:paraId="28A86555" w14:textId="77777777" w:rsidR="00630EDF" w:rsidRPr="00CF2E90" w:rsidRDefault="00630EDF" w:rsidP="00630EDF">
      <w:pPr>
        <w:pStyle w:val="Prrafodelista"/>
        <w:widowControl w:val="0"/>
        <w:ind w:left="0" w:right="0" w:firstLine="0"/>
        <w:rPr>
          <w:b/>
          <w:bCs/>
        </w:rPr>
      </w:pPr>
    </w:p>
    <w:p w14:paraId="5F443CB4" w14:textId="77777777" w:rsidR="00630EDF" w:rsidRPr="00CF2E90" w:rsidRDefault="00630EDF" w:rsidP="00630EDF">
      <w:pPr>
        <w:pStyle w:val="Prrafodelista"/>
        <w:widowControl w:val="0"/>
        <w:numPr>
          <w:ilvl w:val="1"/>
          <w:numId w:val="9"/>
        </w:numPr>
        <w:ind w:left="567" w:right="0" w:hanging="567"/>
        <w:rPr>
          <w:b/>
          <w:bCs/>
          <w:shd w:val="clear" w:color="auto" w:fill="FFFFFF"/>
        </w:rPr>
      </w:pPr>
      <w:r w:rsidRPr="00CF2E90">
        <w:rPr>
          <w:b/>
          <w:bCs/>
          <w:shd w:val="clear" w:color="auto" w:fill="FFFFFF"/>
        </w:rPr>
        <w:t xml:space="preserve">Requisitos generales de las demandas de inconstitucionalidad y exigencias argumentativas específicas de los cargos por omisión legislativa relativa </w:t>
      </w:r>
    </w:p>
    <w:p w14:paraId="57D9A286" w14:textId="77777777" w:rsidR="00630EDF" w:rsidRPr="00CF2E90" w:rsidRDefault="00630EDF" w:rsidP="00630EDF">
      <w:pPr>
        <w:ind w:right="0"/>
        <w:rPr>
          <w:shd w:val="clear" w:color="auto" w:fill="FFFFFF"/>
        </w:rPr>
      </w:pPr>
    </w:p>
    <w:p w14:paraId="533CE66A" w14:textId="5B61384F" w:rsidR="00630EDF" w:rsidRPr="00CF2E90" w:rsidRDefault="00630EDF" w:rsidP="00630EDF">
      <w:pPr>
        <w:numPr>
          <w:ilvl w:val="0"/>
          <w:numId w:val="6"/>
        </w:numPr>
        <w:ind w:left="0" w:right="0" w:firstLine="0"/>
        <w:rPr>
          <w:shd w:val="clear" w:color="auto" w:fill="FFFFFF"/>
        </w:rPr>
      </w:pPr>
      <w:r w:rsidRPr="00CF2E90">
        <w:rPr>
          <w:shd w:val="clear" w:color="auto" w:fill="FFFFFF"/>
        </w:rPr>
        <w:t xml:space="preserve">El artículo 2º del Decreto 2067 de 1991 prevé que uno de los requisitos de las demandas de inconstitucionalidad es la formulación del concepto de la violación. Esto implica que el demandante debe </w:t>
      </w:r>
      <w:r w:rsidRPr="00CF2E90">
        <w:rPr>
          <w:iCs/>
          <w:shd w:val="clear" w:color="auto" w:fill="FFFFFF"/>
        </w:rPr>
        <w:t>(i) identificar las normas constitucionales vulneradas, (ii) exponer el contenido normativo de las disposiciones acusadas</w:t>
      </w:r>
      <w:r w:rsidRPr="00CF2E90">
        <w:rPr>
          <w:iCs/>
          <w:shd w:val="clear" w:color="auto" w:fill="FFFFFF"/>
          <w:vertAlign w:val="superscript"/>
        </w:rPr>
        <w:footnoteReference w:id="54"/>
      </w:r>
      <w:r w:rsidRPr="00CF2E90">
        <w:rPr>
          <w:iCs/>
          <w:shd w:val="clear" w:color="auto" w:fill="FFFFFF"/>
        </w:rPr>
        <w:t xml:space="preserve"> y (iii) expresar las razones por las </w:t>
      </w:r>
      <w:r w:rsidR="00837B7C" w:rsidRPr="00CF2E90">
        <w:rPr>
          <w:iCs/>
          <w:shd w:val="clear" w:color="auto" w:fill="FFFFFF"/>
        </w:rPr>
        <w:t>que los textos demandados vulneran</w:t>
      </w:r>
      <w:r w:rsidRPr="00CF2E90">
        <w:rPr>
          <w:iCs/>
          <w:shd w:val="clear" w:color="auto" w:fill="FFFFFF"/>
        </w:rPr>
        <w:t xml:space="preserve"> la Constitución. A partir de la sentencia C-1052 de 2001, la jurisprudencia constitucional ha reiterado que las razones que fundamentan el concepto de la violación deben satisfacer cinco exigencias mínimas de argumentación: certeza, claridad, especificidad, pertinencia y suficiencia</w:t>
      </w:r>
      <w:r w:rsidRPr="00CF2E90">
        <w:rPr>
          <w:shd w:val="clear" w:color="auto" w:fill="FFFFFF"/>
          <w:vertAlign w:val="superscript"/>
        </w:rPr>
        <w:footnoteReference w:id="55"/>
      </w:r>
      <w:r w:rsidRPr="00CF2E90">
        <w:rPr>
          <w:shd w:val="clear" w:color="auto" w:fill="FFFFFF"/>
        </w:rPr>
        <w:t xml:space="preserve">. </w:t>
      </w:r>
    </w:p>
    <w:p w14:paraId="62605463" w14:textId="77777777" w:rsidR="00630EDF" w:rsidRPr="00CF2E90" w:rsidRDefault="00630EDF" w:rsidP="00630EDF">
      <w:pPr>
        <w:ind w:right="0"/>
        <w:rPr>
          <w:shd w:val="clear" w:color="auto" w:fill="FFFFFF"/>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275"/>
      </w:tblGrid>
      <w:tr w:rsidR="00630EDF" w:rsidRPr="00CF2E90" w14:paraId="29713283" w14:textId="77777777" w:rsidTr="00951917">
        <w:tc>
          <w:tcPr>
            <w:tcW w:w="156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49238AD" w14:textId="77777777" w:rsidR="00630EDF" w:rsidRPr="00CF2E90" w:rsidRDefault="00630EDF">
            <w:pPr>
              <w:widowControl w:val="0"/>
              <w:spacing w:line="254" w:lineRule="auto"/>
              <w:ind w:right="0"/>
              <w:jc w:val="center"/>
              <w:rPr>
                <w:b/>
                <w:kern w:val="2"/>
                <w:szCs w:val="22"/>
                <w:highlight w:val="lightGray"/>
                <w:lang w:eastAsia="es-CO"/>
              </w:rPr>
            </w:pPr>
            <w:r w:rsidRPr="00CF2E90">
              <w:rPr>
                <w:b/>
                <w:kern w:val="2"/>
                <w:szCs w:val="22"/>
                <w:highlight w:val="lightGray"/>
                <w:lang w:eastAsia="es-CO"/>
              </w:rPr>
              <w:t>Carga</w:t>
            </w:r>
          </w:p>
        </w:tc>
        <w:tc>
          <w:tcPr>
            <w:tcW w:w="727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8950F1B" w14:textId="77777777" w:rsidR="00630EDF" w:rsidRPr="00CF2E90" w:rsidRDefault="00630EDF">
            <w:pPr>
              <w:widowControl w:val="0"/>
              <w:spacing w:line="254" w:lineRule="auto"/>
              <w:ind w:right="0"/>
              <w:jc w:val="center"/>
              <w:rPr>
                <w:b/>
                <w:kern w:val="2"/>
                <w:szCs w:val="22"/>
                <w:highlight w:val="lightGray"/>
                <w:lang w:eastAsia="es-CO"/>
              </w:rPr>
            </w:pPr>
            <w:r w:rsidRPr="00CF2E90">
              <w:rPr>
                <w:b/>
                <w:kern w:val="2"/>
                <w:szCs w:val="22"/>
                <w:highlight w:val="lightGray"/>
                <w:lang w:eastAsia="es-CO"/>
              </w:rPr>
              <w:t>Contenido</w:t>
            </w:r>
          </w:p>
        </w:tc>
      </w:tr>
      <w:tr w:rsidR="00630EDF" w:rsidRPr="00CF2E90" w14:paraId="7CBC2FA1" w14:textId="77777777" w:rsidTr="00951917">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AB8BCD" w14:textId="77777777" w:rsidR="00630EDF" w:rsidRPr="00CF2E90" w:rsidRDefault="00630EDF">
            <w:pPr>
              <w:widowControl w:val="0"/>
              <w:spacing w:line="254" w:lineRule="auto"/>
              <w:ind w:right="0"/>
              <w:jc w:val="center"/>
              <w:rPr>
                <w:b/>
                <w:bCs/>
                <w:kern w:val="2"/>
                <w:szCs w:val="22"/>
                <w:lang w:eastAsia="es-CO"/>
              </w:rPr>
            </w:pPr>
            <w:r w:rsidRPr="00CF2E90">
              <w:rPr>
                <w:b/>
                <w:bCs/>
                <w:kern w:val="2"/>
                <w:szCs w:val="22"/>
                <w:lang w:eastAsia="es-CO"/>
              </w:rPr>
              <w:t>Certeza</w:t>
            </w:r>
          </w:p>
        </w:tc>
        <w:tc>
          <w:tcPr>
            <w:tcW w:w="7275" w:type="dxa"/>
            <w:tcBorders>
              <w:top w:val="single" w:sz="4" w:space="0" w:color="auto"/>
              <w:left w:val="single" w:sz="4" w:space="0" w:color="auto"/>
              <w:bottom w:val="single" w:sz="4" w:space="0" w:color="auto"/>
              <w:right w:val="single" w:sz="4" w:space="0" w:color="auto"/>
            </w:tcBorders>
            <w:hideMark/>
          </w:tcPr>
          <w:p w14:paraId="2E1F2ADD" w14:textId="54E5CB08" w:rsidR="00630EDF" w:rsidRPr="00CF2E90" w:rsidRDefault="00630EDF">
            <w:pPr>
              <w:widowControl w:val="0"/>
              <w:spacing w:line="254" w:lineRule="auto"/>
              <w:ind w:left="0" w:right="0" w:firstLine="0"/>
              <w:rPr>
                <w:kern w:val="2"/>
                <w:szCs w:val="22"/>
                <w:lang w:eastAsia="es-CO"/>
              </w:rPr>
            </w:pPr>
            <w:r w:rsidRPr="00CF2E90">
              <w:rPr>
                <w:bCs/>
                <w:kern w:val="2"/>
                <w:szCs w:val="22"/>
                <w:lang w:eastAsia="es-CO"/>
              </w:rPr>
              <w:t>Exige que la acusación recaiga sobre una “</w:t>
            </w:r>
            <w:r w:rsidRPr="00CF2E90">
              <w:rPr>
                <w:bCs/>
                <w:iCs/>
                <w:kern w:val="2"/>
                <w:szCs w:val="22"/>
                <w:lang w:eastAsia="es-CO"/>
              </w:rPr>
              <w:t>proposición jurídica real y existente</w:t>
            </w:r>
            <w:r w:rsidRPr="00CF2E90">
              <w:rPr>
                <w:bCs/>
                <w:kern w:val="2"/>
                <w:szCs w:val="22"/>
                <w:lang w:eastAsia="es-CO"/>
              </w:rPr>
              <w:t>”</w:t>
            </w:r>
            <w:r w:rsidRPr="00CF2E90">
              <w:rPr>
                <w:bCs/>
                <w:kern w:val="2"/>
                <w:szCs w:val="22"/>
                <w:vertAlign w:val="superscript"/>
                <w:lang w:eastAsia="es-CO"/>
              </w:rPr>
              <w:footnoteReference w:id="56"/>
            </w:r>
            <w:r w:rsidRPr="00CF2E90">
              <w:rPr>
                <w:bCs/>
                <w:kern w:val="2"/>
                <w:szCs w:val="22"/>
                <w:lang w:eastAsia="es-CO"/>
              </w:rPr>
              <w:t xml:space="preserve"> y no </w:t>
            </w:r>
            <w:r w:rsidR="00326454" w:rsidRPr="00CF2E90">
              <w:rPr>
                <w:bCs/>
                <w:kern w:val="2"/>
                <w:szCs w:val="22"/>
                <w:lang w:eastAsia="es-CO"/>
              </w:rPr>
              <w:t>se base</w:t>
            </w:r>
            <w:r w:rsidRPr="00CF2E90">
              <w:rPr>
                <w:bCs/>
                <w:kern w:val="2"/>
                <w:szCs w:val="22"/>
                <w:lang w:eastAsia="es-CO"/>
              </w:rPr>
              <w:t xml:space="preserve"> en “interpretaciones puramente subjetivas, caprichosas o irrazonables de los textos demandados”</w:t>
            </w:r>
            <w:r w:rsidRPr="00CF2E90">
              <w:rPr>
                <w:bCs/>
                <w:kern w:val="2"/>
                <w:szCs w:val="22"/>
                <w:vertAlign w:val="superscript"/>
                <w:lang w:eastAsia="es-CO"/>
              </w:rPr>
              <w:footnoteReference w:id="57"/>
            </w:r>
            <w:r w:rsidRPr="00CF2E90">
              <w:rPr>
                <w:bCs/>
                <w:kern w:val="2"/>
                <w:szCs w:val="22"/>
                <w:lang w:eastAsia="es-CO"/>
              </w:rPr>
              <w:t>.</w:t>
            </w:r>
          </w:p>
        </w:tc>
      </w:tr>
      <w:tr w:rsidR="00630EDF" w:rsidRPr="00CF2E90" w14:paraId="6DED4194" w14:textId="77777777" w:rsidTr="00951917">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7C4167" w14:textId="77777777" w:rsidR="00630EDF" w:rsidRPr="00CF2E90" w:rsidRDefault="00630EDF">
            <w:pPr>
              <w:widowControl w:val="0"/>
              <w:spacing w:line="254" w:lineRule="auto"/>
              <w:ind w:right="0"/>
              <w:jc w:val="center"/>
              <w:rPr>
                <w:b/>
                <w:bCs/>
                <w:kern w:val="2"/>
                <w:szCs w:val="22"/>
                <w:lang w:eastAsia="es-CO"/>
              </w:rPr>
            </w:pPr>
            <w:r w:rsidRPr="00CF2E90">
              <w:rPr>
                <w:b/>
                <w:bCs/>
                <w:kern w:val="2"/>
                <w:szCs w:val="22"/>
                <w:lang w:eastAsia="es-CO"/>
              </w:rPr>
              <w:t>Claridad</w:t>
            </w:r>
          </w:p>
        </w:tc>
        <w:tc>
          <w:tcPr>
            <w:tcW w:w="7275" w:type="dxa"/>
            <w:tcBorders>
              <w:top w:val="single" w:sz="4" w:space="0" w:color="auto"/>
              <w:left w:val="single" w:sz="4" w:space="0" w:color="auto"/>
              <w:bottom w:val="single" w:sz="4" w:space="0" w:color="auto"/>
              <w:right w:val="single" w:sz="4" w:space="0" w:color="auto"/>
            </w:tcBorders>
            <w:hideMark/>
          </w:tcPr>
          <w:p w14:paraId="6BE5E774" w14:textId="77777777" w:rsidR="00630EDF" w:rsidRPr="00CF2E90" w:rsidRDefault="00630EDF">
            <w:pPr>
              <w:widowControl w:val="0"/>
              <w:spacing w:line="254" w:lineRule="auto"/>
              <w:ind w:left="0" w:right="0" w:firstLine="0"/>
              <w:rPr>
                <w:kern w:val="2"/>
                <w:szCs w:val="22"/>
                <w:lang w:eastAsia="es-CO"/>
              </w:rPr>
            </w:pPr>
            <w:r w:rsidRPr="00CF2E90">
              <w:rPr>
                <w:bCs/>
                <w:kern w:val="2"/>
                <w:szCs w:val="22"/>
                <w:lang w:eastAsia="es-CO"/>
              </w:rPr>
              <w:t>Las palabras empleadas para formular los argumentos deben ser inteligibles o comprensibles</w:t>
            </w:r>
            <w:r w:rsidRPr="00CF2E90">
              <w:rPr>
                <w:bCs/>
                <w:kern w:val="2"/>
                <w:szCs w:val="22"/>
                <w:vertAlign w:val="superscript"/>
                <w:lang w:eastAsia="es-CO"/>
              </w:rPr>
              <w:footnoteReference w:id="58"/>
            </w:r>
            <w:r w:rsidRPr="00CF2E90">
              <w:rPr>
                <w:bCs/>
                <w:kern w:val="2"/>
                <w:szCs w:val="22"/>
                <w:lang w:eastAsia="es-CO"/>
              </w:rPr>
              <w:t>. Además, la exposición argumentativa debe seguir un hilo conductor lógico</w:t>
            </w:r>
            <w:r w:rsidRPr="00CF2E90">
              <w:rPr>
                <w:bCs/>
                <w:kern w:val="2"/>
                <w:szCs w:val="22"/>
                <w:vertAlign w:val="superscript"/>
                <w:lang w:eastAsia="es-CO"/>
              </w:rPr>
              <w:footnoteReference w:id="59"/>
            </w:r>
            <w:r w:rsidRPr="00CF2E90">
              <w:rPr>
                <w:bCs/>
                <w:kern w:val="2"/>
                <w:szCs w:val="22"/>
                <w:lang w:eastAsia="es-CO"/>
              </w:rPr>
              <w:t xml:space="preserve"> que “permita al lector comprender el contenido de su demanda y las justificaciones en las que se basa”</w:t>
            </w:r>
            <w:r w:rsidRPr="00CF2E90">
              <w:rPr>
                <w:bCs/>
                <w:kern w:val="2"/>
                <w:szCs w:val="22"/>
                <w:vertAlign w:val="superscript"/>
                <w:lang w:eastAsia="es-CO"/>
              </w:rPr>
              <w:footnoteReference w:id="60"/>
            </w:r>
            <w:r w:rsidRPr="00CF2E90">
              <w:rPr>
                <w:bCs/>
                <w:kern w:val="2"/>
                <w:szCs w:val="22"/>
                <w:lang w:eastAsia="es-CO"/>
              </w:rPr>
              <w:t>.</w:t>
            </w:r>
          </w:p>
        </w:tc>
      </w:tr>
      <w:tr w:rsidR="00630EDF" w:rsidRPr="00CF2E90" w14:paraId="16870224" w14:textId="77777777" w:rsidTr="00951917">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F9AF18" w14:textId="77777777" w:rsidR="00630EDF" w:rsidRPr="00CF2E90" w:rsidRDefault="00630EDF">
            <w:pPr>
              <w:widowControl w:val="0"/>
              <w:spacing w:line="254" w:lineRule="auto"/>
              <w:ind w:right="0"/>
              <w:jc w:val="center"/>
              <w:rPr>
                <w:b/>
                <w:bCs/>
                <w:kern w:val="2"/>
                <w:szCs w:val="22"/>
                <w:lang w:eastAsia="es-CO"/>
              </w:rPr>
            </w:pPr>
            <w:r w:rsidRPr="00CF2E90">
              <w:rPr>
                <w:b/>
                <w:bCs/>
                <w:kern w:val="2"/>
                <w:szCs w:val="22"/>
                <w:lang w:eastAsia="es-CO"/>
              </w:rPr>
              <w:t xml:space="preserve">Especificidad </w:t>
            </w:r>
          </w:p>
        </w:tc>
        <w:tc>
          <w:tcPr>
            <w:tcW w:w="7275" w:type="dxa"/>
            <w:tcBorders>
              <w:top w:val="single" w:sz="4" w:space="0" w:color="auto"/>
              <w:left w:val="single" w:sz="4" w:space="0" w:color="auto"/>
              <w:bottom w:val="single" w:sz="4" w:space="0" w:color="auto"/>
              <w:right w:val="single" w:sz="4" w:space="0" w:color="auto"/>
            </w:tcBorders>
            <w:hideMark/>
          </w:tcPr>
          <w:p w14:paraId="22BF0DF4" w14:textId="3BBA083D" w:rsidR="00630EDF" w:rsidRPr="00CF2E90" w:rsidRDefault="00630EDF">
            <w:pPr>
              <w:widowControl w:val="0"/>
              <w:spacing w:line="254" w:lineRule="auto"/>
              <w:ind w:left="0" w:right="0" w:firstLine="0"/>
              <w:rPr>
                <w:bCs/>
                <w:kern w:val="2"/>
                <w:szCs w:val="22"/>
                <w:lang w:eastAsia="es-CO"/>
              </w:rPr>
            </w:pPr>
            <w:r w:rsidRPr="00CF2E90">
              <w:rPr>
                <w:bCs/>
                <w:iCs/>
                <w:kern w:val="2"/>
                <w:szCs w:val="22"/>
                <w:lang w:eastAsia="es-CO"/>
              </w:rPr>
              <w:t>Impone al demandante la carga de exponer argumentos concretos y precisos que sustenten la solicitud de inconstitucionalidad, no</w:t>
            </w:r>
            <w:r w:rsidRPr="00CF2E90">
              <w:rPr>
                <w:bCs/>
                <w:i/>
                <w:iCs/>
                <w:kern w:val="2"/>
                <w:szCs w:val="22"/>
                <w:lang w:eastAsia="es-CO"/>
              </w:rPr>
              <w:t xml:space="preserve"> </w:t>
            </w:r>
            <w:r w:rsidRPr="00CF2E90">
              <w:rPr>
                <w:bCs/>
                <w:kern w:val="2"/>
                <w:szCs w:val="22"/>
                <w:lang w:eastAsia="es-CO"/>
              </w:rPr>
              <w:t>“genéricos o excesivamente vagos</w:t>
            </w:r>
            <w:r w:rsidRPr="00CF2E90">
              <w:rPr>
                <w:bCs/>
                <w:iCs/>
                <w:kern w:val="2"/>
                <w:szCs w:val="22"/>
                <w:lang w:eastAsia="es-CO"/>
              </w:rPr>
              <w:t>”</w:t>
            </w:r>
            <w:r w:rsidRPr="00CF2E90">
              <w:rPr>
                <w:bCs/>
                <w:kern w:val="2"/>
                <w:szCs w:val="22"/>
                <w:vertAlign w:val="superscript"/>
                <w:lang w:eastAsia="es-CO"/>
              </w:rPr>
              <w:footnoteReference w:id="61"/>
            </w:r>
            <w:r w:rsidRPr="00CF2E90">
              <w:rPr>
                <w:bCs/>
                <w:kern w:val="2"/>
                <w:szCs w:val="22"/>
                <w:lang w:eastAsia="es-CO"/>
              </w:rPr>
              <w:t>.</w:t>
            </w:r>
          </w:p>
        </w:tc>
      </w:tr>
      <w:tr w:rsidR="00630EDF" w:rsidRPr="00CF2E90" w14:paraId="21429AC6" w14:textId="77777777" w:rsidTr="00951917">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69D0E8" w14:textId="77777777" w:rsidR="00630EDF" w:rsidRPr="00CF2E90" w:rsidRDefault="00630EDF">
            <w:pPr>
              <w:widowControl w:val="0"/>
              <w:spacing w:line="254" w:lineRule="auto"/>
              <w:ind w:right="0"/>
              <w:jc w:val="center"/>
              <w:rPr>
                <w:b/>
                <w:bCs/>
                <w:kern w:val="2"/>
                <w:szCs w:val="22"/>
                <w:lang w:eastAsia="es-CO"/>
              </w:rPr>
            </w:pPr>
            <w:r w:rsidRPr="00CF2E90">
              <w:rPr>
                <w:b/>
                <w:bCs/>
                <w:kern w:val="2"/>
                <w:szCs w:val="22"/>
                <w:lang w:eastAsia="es-CO"/>
              </w:rPr>
              <w:t xml:space="preserve">Pertinencia </w:t>
            </w:r>
          </w:p>
        </w:tc>
        <w:tc>
          <w:tcPr>
            <w:tcW w:w="7275" w:type="dxa"/>
            <w:tcBorders>
              <w:top w:val="single" w:sz="4" w:space="0" w:color="auto"/>
              <w:left w:val="single" w:sz="4" w:space="0" w:color="auto"/>
              <w:bottom w:val="single" w:sz="4" w:space="0" w:color="auto"/>
              <w:right w:val="single" w:sz="4" w:space="0" w:color="auto"/>
            </w:tcBorders>
            <w:hideMark/>
          </w:tcPr>
          <w:p w14:paraId="7A80261A" w14:textId="77777777" w:rsidR="00630EDF" w:rsidRPr="00CF2E90" w:rsidRDefault="00630EDF">
            <w:pPr>
              <w:widowControl w:val="0"/>
              <w:spacing w:line="254" w:lineRule="auto"/>
              <w:ind w:left="0" w:right="0" w:firstLine="0"/>
              <w:rPr>
                <w:bCs/>
                <w:kern w:val="2"/>
                <w:szCs w:val="22"/>
                <w:lang w:eastAsia="es-CO"/>
              </w:rPr>
            </w:pPr>
            <w:r w:rsidRPr="00CF2E90">
              <w:rPr>
                <w:bCs/>
                <w:kern w:val="2"/>
                <w:szCs w:val="22"/>
                <w:lang w:eastAsia="es-CO"/>
              </w:rPr>
              <w:t>La acusación debe estar fundada en la transgresión de una disposición constitucional</w:t>
            </w:r>
            <w:r w:rsidRPr="00CF2E90">
              <w:rPr>
                <w:bCs/>
                <w:kern w:val="2"/>
                <w:szCs w:val="22"/>
                <w:vertAlign w:val="superscript"/>
                <w:lang w:eastAsia="es-CO"/>
              </w:rPr>
              <w:footnoteReference w:id="62"/>
            </w:r>
            <w:r w:rsidRPr="00CF2E90">
              <w:rPr>
                <w:bCs/>
                <w:kern w:val="2"/>
                <w:szCs w:val="22"/>
                <w:lang w:eastAsia="es-CO"/>
              </w:rPr>
              <w:t>. El demandante debe plantear argumentos de “</w:t>
            </w:r>
            <w:r w:rsidRPr="00CF2E90">
              <w:rPr>
                <w:bCs/>
                <w:iCs/>
                <w:kern w:val="2"/>
                <w:szCs w:val="22"/>
                <w:lang w:eastAsia="es-CO"/>
              </w:rPr>
              <w:t>naturaleza estrictamente constitucional</w:t>
            </w:r>
            <w:r w:rsidRPr="00CF2E90">
              <w:rPr>
                <w:bCs/>
                <w:kern w:val="2"/>
                <w:szCs w:val="22"/>
                <w:lang w:eastAsia="es-CO"/>
              </w:rPr>
              <w:t xml:space="preserve">”, </w:t>
            </w:r>
            <w:r w:rsidRPr="00CF2E90">
              <w:rPr>
                <w:bCs/>
                <w:iCs/>
                <w:kern w:val="2"/>
                <w:szCs w:val="22"/>
                <w:lang w:eastAsia="es-CO"/>
              </w:rPr>
              <w:t>no de legalidad</w:t>
            </w:r>
            <w:r w:rsidRPr="00CF2E90">
              <w:rPr>
                <w:bCs/>
                <w:kern w:val="2"/>
                <w:szCs w:val="22"/>
                <w:lang w:eastAsia="es-CO"/>
              </w:rPr>
              <w:t>,</w:t>
            </w:r>
            <w:r w:rsidRPr="00CF2E90">
              <w:rPr>
                <w:bCs/>
                <w:i/>
                <w:iCs/>
                <w:kern w:val="2"/>
                <w:szCs w:val="22"/>
                <w:lang w:eastAsia="es-CO"/>
              </w:rPr>
              <w:t xml:space="preserve"> </w:t>
            </w:r>
            <w:r w:rsidRPr="00CF2E90">
              <w:rPr>
                <w:bCs/>
                <w:iCs/>
                <w:kern w:val="2"/>
                <w:szCs w:val="22"/>
                <w:lang w:eastAsia="es-CO"/>
              </w:rPr>
              <w:t>“</w:t>
            </w:r>
            <w:r w:rsidRPr="00CF2E90">
              <w:rPr>
                <w:bCs/>
                <w:kern w:val="2"/>
                <w:szCs w:val="22"/>
                <w:lang w:eastAsia="es-CO"/>
              </w:rPr>
              <w:t>conveniencia o corrección de las decisiones legislativas”</w:t>
            </w:r>
            <w:r w:rsidRPr="00CF2E90">
              <w:rPr>
                <w:bCs/>
                <w:kern w:val="2"/>
                <w:szCs w:val="22"/>
                <w:vertAlign w:val="superscript"/>
                <w:lang w:eastAsia="es-CO"/>
              </w:rPr>
              <w:footnoteReference w:id="63"/>
            </w:r>
            <w:r w:rsidRPr="00CF2E90">
              <w:rPr>
                <w:bCs/>
                <w:kern w:val="2"/>
                <w:szCs w:val="22"/>
                <w:lang w:eastAsia="es-CO"/>
              </w:rPr>
              <w:t>.</w:t>
            </w:r>
          </w:p>
        </w:tc>
      </w:tr>
      <w:tr w:rsidR="00630EDF" w:rsidRPr="00CF2E90" w14:paraId="19F4D46B" w14:textId="77777777" w:rsidTr="00951917">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3863FE" w14:textId="77777777" w:rsidR="00630EDF" w:rsidRPr="00CF2E90" w:rsidRDefault="00630EDF">
            <w:pPr>
              <w:widowControl w:val="0"/>
              <w:spacing w:line="254" w:lineRule="auto"/>
              <w:ind w:right="0"/>
              <w:jc w:val="center"/>
              <w:rPr>
                <w:b/>
                <w:bCs/>
                <w:kern w:val="2"/>
                <w:szCs w:val="22"/>
                <w:lang w:eastAsia="es-CO"/>
              </w:rPr>
            </w:pPr>
            <w:r w:rsidRPr="00CF2E90">
              <w:rPr>
                <w:b/>
                <w:bCs/>
                <w:kern w:val="2"/>
                <w:szCs w:val="22"/>
                <w:lang w:eastAsia="es-CO"/>
              </w:rPr>
              <w:t>Suficiencia</w:t>
            </w:r>
          </w:p>
        </w:tc>
        <w:tc>
          <w:tcPr>
            <w:tcW w:w="7275" w:type="dxa"/>
            <w:tcBorders>
              <w:top w:val="single" w:sz="4" w:space="0" w:color="auto"/>
              <w:left w:val="single" w:sz="4" w:space="0" w:color="auto"/>
              <w:bottom w:val="single" w:sz="4" w:space="0" w:color="auto"/>
              <w:right w:val="single" w:sz="4" w:space="0" w:color="auto"/>
            </w:tcBorders>
            <w:hideMark/>
          </w:tcPr>
          <w:p w14:paraId="7560B461" w14:textId="77777777" w:rsidR="00630EDF" w:rsidRPr="00CF2E90" w:rsidRDefault="00630EDF">
            <w:pPr>
              <w:widowControl w:val="0"/>
              <w:spacing w:line="254" w:lineRule="auto"/>
              <w:ind w:left="0" w:right="0" w:firstLine="0"/>
              <w:rPr>
                <w:kern w:val="2"/>
                <w:szCs w:val="22"/>
                <w:lang w:eastAsia="es-CO"/>
              </w:rPr>
            </w:pPr>
            <w:r w:rsidRPr="00CF2E90">
              <w:rPr>
                <w:bCs/>
                <w:kern w:val="2"/>
                <w:szCs w:val="22"/>
                <w:lang w:eastAsia="es-CO"/>
              </w:rPr>
              <w:t>Exige que los argumentos formulados generen “una duda inicial sobre la constitucionalidad de la disposición demandada”</w:t>
            </w:r>
            <w:r w:rsidRPr="00CF2E90">
              <w:rPr>
                <w:bCs/>
                <w:kern w:val="2"/>
                <w:szCs w:val="22"/>
                <w:vertAlign w:val="superscript"/>
                <w:lang w:eastAsia="es-CO"/>
              </w:rPr>
              <w:footnoteReference w:id="64"/>
            </w:r>
            <w:r w:rsidRPr="00CF2E90">
              <w:rPr>
                <w:bCs/>
                <w:kern w:val="2"/>
                <w:szCs w:val="22"/>
                <w:lang w:eastAsia="es-CO"/>
              </w:rPr>
              <w:t>. La carga de suficiencia es un “criterio de cierre para definir la aptitud del cargo”</w:t>
            </w:r>
            <w:r w:rsidRPr="00CF2E90">
              <w:rPr>
                <w:bCs/>
                <w:kern w:val="2"/>
                <w:szCs w:val="22"/>
                <w:vertAlign w:val="superscript"/>
                <w:lang w:eastAsia="es-CO"/>
              </w:rPr>
              <w:footnoteReference w:id="65"/>
            </w:r>
            <w:r w:rsidRPr="00CF2E90">
              <w:rPr>
                <w:bCs/>
                <w:kern w:val="2"/>
                <w:szCs w:val="22"/>
                <w:lang w:eastAsia="es-CO"/>
              </w:rPr>
              <w:t>.</w:t>
            </w:r>
          </w:p>
        </w:tc>
      </w:tr>
    </w:tbl>
    <w:p w14:paraId="6085C4FE" w14:textId="77777777" w:rsidR="00630EDF" w:rsidRPr="00CF2E90" w:rsidRDefault="00630EDF" w:rsidP="00630EDF">
      <w:pPr>
        <w:ind w:right="0"/>
        <w:rPr>
          <w:shd w:val="clear" w:color="auto" w:fill="FFFFFF"/>
        </w:rPr>
      </w:pPr>
    </w:p>
    <w:p w14:paraId="06E31FFD" w14:textId="51815529" w:rsidR="00630EDF" w:rsidRPr="00CF2E90" w:rsidRDefault="00630EDF" w:rsidP="00630EDF">
      <w:pPr>
        <w:numPr>
          <w:ilvl w:val="0"/>
          <w:numId w:val="6"/>
        </w:numPr>
        <w:ind w:left="0" w:right="0" w:firstLine="0"/>
        <w:rPr>
          <w:color w:val="000000" w:themeColor="text1"/>
          <w:lang w:val="es-ES_tradnl" w:eastAsia="es-MX"/>
        </w:rPr>
      </w:pPr>
      <w:r w:rsidRPr="00CF2E90">
        <w:rPr>
          <w:shd w:val="clear" w:color="auto" w:fill="FFFFFF"/>
        </w:rPr>
        <w:t xml:space="preserve">De otro lado, esta Corte ha precisado que </w:t>
      </w:r>
      <w:r w:rsidRPr="00CF2E90">
        <w:t xml:space="preserve">si la demanda invoca la existencia de una </w:t>
      </w:r>
      <w:r w:rsidRPr="00CF2E90">
        <w:rPr>
          <w:i/>
          <w:iCs/>
        </w:rPr>
        <w:t>omisión legislativa relativa</w:t>
      </w:r>
      <w:r w:rsidRPr="00CF2E90">
        <w:t>, el actor debe cumplir con una “</w:t>
      </w:r>
      <w:r w:rsidRPr="00CF2E90">
        <w:rPr>
          <w:color w:val="000000" w:themeColor="text1"/>
          <w:lang w:val="es-ES_tradnl" w:eastAsia="es-MX"/>
        </w:rPr>
        <w:t>carga argumentativa más rigurosa”</w:t>
      </w:r>
      <w:r w:rsidRPr="00CF2E90">
        <w:rPr>
          <w:rStyle w:val="Refdenotaalpie"/>
          <w:color w:val="000000" w:themeColor="text1"/>
          <w:lang w:val="es-ES_tradnl" w:eastAsia="es-MX"/>
        </w:rPr>
        <w:footnoteReference w:id="66"/>
      </w:r>
      <w:r w:rsidRPr="00CF2E90">
        <w:rPr>
          <w:color w:val="000000" w:themeColor="text1"/>
          <w:lang w:val="es-ES_tradnl"/>
        </w:rPr>
        <w:t>, que le exige formular un “razonamiento específico que demuestre la existencia de una carencia parcial de regulación que vulnere el ordenamiento superior”</w:t>
      </w:r>
      <w:r w:rsidRPr="00CF2E90">
        <w:rPr>
          <w:rStyle w:val="Refdenotaalpie"/>
          <w:color w:val="000000" w:themeColor="text1"/>
          <w:lang w:val="es-ES_tradnl"/>
        </w:rPr>
        <w:footnoteReference w:id="67"/>
      </w:r>
      <w:r w:rsidRPr="00CF2E90">
        <w:rPr>
          <w:color w:val="000000" w:themeColor="text1"/>
          <w:lang w:val="es-ES_tradnl"/>
        </w:rPr>
        <w:t xml:space="preserve">. A dichos efectos, el demandante debe: (i) </w:t>
      </w:r>
      <w:r w:rsidR="004432B4" w:rsidRPr="00CF2E90">
        <w:rPr>
          <w:color w:val="000000" w:themeColor="text1"/>
          <w:u w:val="single"/>
          <w:lang w:val="es-ES_tradnl"/>
        </w:rPr>
        <w:t>requisito 1</w:t>
      </w:r>
      <w:r w:rsidR="004432B4" w:rsidRPr="00CF2E90">
        <w:rPr>
          <w:color w:val="000000" w:themeColor="text1"/>
          <w:lang w:val="es-ES_tradnl"/>
        </w:rPr>
        <w:t xml:space="preserve">: </w:t>
      </w:r>
      <w:r w:rsidRPr="00CF2E90">
        <w:rPr>
          <w:color w:val="000000" w:themeColor="text1"/>
          <w:lang w:val="es-ES_tradnl"/>
        </w:rPr>
        <w:t>señalar la norma jurídica sobre la cual se predica la omisión, vacío de regulación o precepto normativo incompleto; (ii)</w:t>
      </w:r>
      <w:r w:rsidR="004432B4" w:rsidRPr="00CF2E90">
        <w:rPr>
          <w:color w:val="000000" w:themeColor="text1"/>
          <w:lang w:val="es-ES_tradnl"/>
        </w:rPr>
        <w:t xml:space="preserve"> </w:t>
      </w:r>
      <w:r w:rsidR="004432B4" w:rsidRPr="00CF2E90">
        <w:rPr>
          <w:color w:val="000000" w:themeColor="text1"/>
          <w:u w:val="single"/>
          <w:lang w:val="es-ES_tradnl"/>
        </w:rPr>
        <w:t>requisito 2</w:t>
      </w:r>
      <w:r w:rsidR="004432B4" w:rsidRPr="00CF2E90">
        <w:rPr>
          <w:color w:val="000000" w:themeColor="text1"/>
          <w:lang w:val="es-ES_tradnl"/>
        </w:rPr>
        <w:t>:</w:t>
      </w:r>
      <w:r w:rsidRPr="00CF2E90">
        <w:rPr>
          <w:color w:val="000000" w:themeColor="text1"/>
          <w:lang w:val="es-ES_tradnl"/>
        </w:rPr>
        <w:t xml:space="preserve"> identificar el deber específico previsto en la Constitución presuntamente desconocido; y (iii) </w:t>
      </w:r>
      <w:r w:rsidR="004432B4" w:rsidRPr="00CF2E90">
        <w:rPr>
          <w:color w:val="000000" w:themeColor="text1"/>
          <w:u w:val="single"/>
          <w:lang w:val="es-ES_tradnl"/>
        </w:rPr>
        <w:t>requisito 3</w:t>
      </w:r>
      <w:r w:rsidR="004432B4" w:rsidRPr="00CF2E90">
        <w:rPr>
          <w:color w:val="000000" w:themeColor="text1"/>
          <w:lang w:val="es-ES_tradnl"/>
        </w:rPr>
        <w:t xml:space="preserve">: </w:t>
      </w:r>
      <w:r w:rsidRPr="00CF2E90">
        <w:rPr>
          <w:color w:val="000000" w:themeColor="text1"/>
          <w:lang w:val="es-ES_tradnl"/>
        </w:rPr>
        <w:t>explicar las razones por la</w:t>
      </w:r>
      <w:r w:rsidR="00CF39ED" w:rsidRPr="00CF2E90">
        <w:rPr>
          <w:color w:val="000000" w:themeColor="text1"/>
          <w:lang w:val="es-ES_tradnl"/>
        </w:rPr>
        <w:t>s</w:t>
      </w:r>
      <w:r w:rsidRPr="00CF2E90">
        <w:rPr>
          <w:color w:val="000000" w:themeColor="text1"/>
          <w:lang w:val="es-ES_tradnl"/>
        </w:rPr>
        <w:t xml:space="preserve"> </w:t>
      </w:r>
      <w:r w:rsidR="00CF39ED" w:rsidRPr="00CF2E90">
        <w:rPr>
          <w:color w:val="000000" w:themeColor="text1"/>
          <w:lang w:val="es-ES_tradnl"/>
        </w:rPr>
        <w:t>cuales</w:t>
      </w:r>
      <w:r w:rsidRPr="00CF2E90">
        <w:rPr>
          <w:color w:val="000000" w:themeColor="text1"/>
          <w:lang w:val="es-ES_tradnl"/>
        </w:rPr>
        <w:t xml:space="preserve"> considera que el legislador desconoció tal deber</w:t>
      </w:r>
      <w:r w:rsidRPr="00CF2E90">
        <w:rPr>
          <w:rStyle w:val="Refdenotaalpie"/>
          <w:color w:val="000000" w:themeColor="text1"/>
          <w:lang w:val="es-ES_tradnl"/>
        </w:rPr>
        <w:footnoteReference w:id="68"/>
      </w:r>
      <w:r w:rsidRPr="00CF2E90">
        <w:rPr>
          <w:color w:val="000000" w:themeColor="text1"/>
          <w:lang w:val="es-ES_tradnl"/>
        </w:rPr>
        <w:t xml:space="preserve">. </w:t>
      </w:r>
    </w:p>
    <w:p w14:paraId="524EECF9" w14:textId="77777777" w:rsidR="00630EDF" w:rsidRPr="00CF2E90" w:rsidRDefault="00630EDF" w:rsidP="00630EDF">
      <w:pPr>
        <w:ind w:left="0" w:right="0" w:firstLine="0"/>
        <w:rPr>
          <w:color w:val="000000" w:themeColor="text1"/>
          <w:lang w:val="es-ES_tradnl" w:eastAsia="es-MX"/>
        </w:rPr>
      </w:pPr>
    </w:p>
    <w:p w14:paraId="38E5F1E9" w14:textId="43E6D3D1" w:rsidR="00630EDF" w:rsidRPr="00CF2E90" w:rsidRDefault="00630EDF" w:rsidP="00630EDF">
      <w:pPr>
        <w:numPr>
          <w:ilvl w:val="0"/>
          <w:numId w:val="6"/>
        </w:numPr>
        <w:ind w:left="0" w:right="0" w:firstLine="0"/>
        <w:rPr>
          <w:color w:val="000000" w:themeColor="text1"/>
          <w:lang w:val="es-ES_tradnl" w:eastAsia="es-MX"/>
        </w:rPr>
      </w:pPr>
      <w:r w:rsidRPr="00CF2E90">
        <w:rPr>
          <w:color w:val="000000" w:themeColor="text1"/>
          <w:lang w:val="es-ES_tradnl"/>
        </w:rPr>
        <w:t>La Corte Constitucional ha reiterado que</w:t>
      </w:r>
      <w:r w:rsidR="004432B4" w:rsidRPr="00CF2E90">
        <w:rPr>
          <w:color w:val="000000" w:themeColor="text1"/>
          <w:lang w:val="es-ES_tradnl"/>
        </w:rPr>
        <w:t xml:space="preserve"> los cargos por omisión legislativa relativa no pueden fundarse </w:t>
      </w:r>
      <w:r w:rsidRPr="00CF2E90">
        <w:rPr>
          <w:color w:val="000000" w:themeColor="text1"/>
          <w:lang w:val="es-ES_tradnl"/>
        </w:rPr>
        <w:t>en una lectura aislada o descontextualizada de la</w:t>
      </w:r>
      <w:r w:rsidR="004432B4" w:rsidRPr="00CF2E90">
        <w:rPr>
          <w:color w:val="000000" w:themeColor="text1"/>
          <w:lang w:val="es-ES_tradnl"/>
        </w:rPr>
        <w:t>s</w:t>
      </w:r>
      <w:r w:rsidRPr="00CF2E90">
        <w:rPr>
          <w:color w:val="000000" w:themeColor="text1"/>
          <w:lang w:val="es-ES_tradnl"/>
        </w:rPr>
        <w:t xml:space="preserve"> norma</w:t>
      </w:r>
      <w:r w:rsidR="004432B4" w:rsidRPr="00CF2E90">
        <w:rPr>
          <w:color w:val="000000" w:themeColor="text1"/>
          <w:lang w:val="es-ES_tradnl"/>
        </w:rPr>
        <w:t>s</w:t>
      </w:r>
      <w:r w:rsidRPr="00CF2E90">
        <w:rPr>
          <w:color w:val="000000" w:themeColor="text1"/>
          <w:lang w:val="es-ES_tradnl"/>
        </w:rPr>
        <w:t xml:space="preserve"> demandada</w:t>
      </w:r>
      <w:r w:rsidR="004432B4" w:rsidRPr="00CF2E90">
        <w:rPr>
          <w:color w:val="000000" w:themeColor="text1"/>
          <w:lang w:val="es-ES_tradnl"/>
        </w:rPr>
        <w:t>s</w:t>
      </w:r>
      <w:r w:rsidR="00A04F71" w:rsidRPr="00CF2E90">
        <w:rPr>
          <w:color w:val="000000" w:themeColor="text1"/>
          <w:lang w:val="es-ES_tradnl"/>
        </w:rPr>
        <w:t>, que ignore el régimen y el</w:t>
      </w:r>
      <w:r w:rsidR="004432B4" w:rsidRPr="00CF2E90">
        <w:rPr>
          <w:color w:val="000000" w:themeColor="text1"/>
          <w:lang w:val="es-ES_tradnl"/>
        </w:rPr>
        <w:t xml:space="preserve"> contexto normativo en </w:t>
      </w:r>
      <w:r w:rsidR="00A04F71" w:rsidRPr="00CF2E90">
        <w:rPr>
          <w:color w:val="000000" w:themeColor="text1"/>
          <w:lang w:val="es-ES_tradnl"/>
        </w:rPr>
        <w:t>los</w:t>
      </w:r>
      <w:r w:rsidR="004432B4" w:rsidRPr="00CF2E90">
        <w:rPr>
          <w:color w:val="000000" w:themeColor="text1"/>
          <w:lang w:val="es-ES_tradnl"/>
        </w:rPr>
        <w:t xml:space="preserve"> que se insertan</w:t>
      </w:r>
      <w:r w:rsidR="004432B4" w:rsidRPr="00CF2E90">
        <w:rPr>
          <w:rStyle w:val="Refdenotaalpie"/>
          <w:color w:val="000000" w:themeColor="text1"/>
        </w:rPr>
        <w:footnoteReference w:id="69"/>
      </w:r>
      <w:r w:rsidRPr="00CF2E90">
        <w:rPr>
          <w:color w:val="000000" w:themeColor="text1"/>
          <w:lang w:val="es-ES_tradnl"/>
        </w:rPr>
        <w:t xml:space="preserve">. </w:t>
      </w:r>
      <w:r w:rsidR="004432B4" w:rsidRPr="00CF2E90">
        <w:rPr>
          <w:color w:val="000000" w:themeColor="text1"/>
          <w:lang w:val="es-ES_tradnl"/>
        </w:rPr>
        <w:t xml:space="preserve">Esto implica que, para el cumplimiento del requisito 1 </w:t>
      </w:r>
      <w:r w:rsidR="004432B4" w:rsidRPr="00CF2E90">
        <w:rPr>
          <w:i/>
          <w:iCs/>
          <w:color w:val="000000" w:themeColor="text1"/>
          <w:lang w:val="es-ES_tradnl"/>
        </w:rPr>
        <w:t>supra</w:t>
      </w:r>
      <w:r w:rsidR="004432B4" w:rsidRPr="00CF2E90">
        <w:rPr>
          <w:color w:val="000000" w:themeColor="text1"/>
          <w:lang w:val="es-ES_tradnl"/>
        </w:rPr>
        <w:t xml:space="preserve">, el </w:t>
      </w:r>
      <w:r w:rsidRPr="00CF2E90">
        <w:rPr>
          <w:color w:val="000000" w:themeColor="text1"/>
          <w:lang w:val="es-ES_tradnl"/>
        </w:rPr>
        <w:t xml:space="preserve">demandante debe demostrar no </w:t>
      </w:r>
      <w:r w:rsidR="00397C91" w:rsidRPr="00CF2E90">
        <w:rPr>
          <w:color w:val="000000" w:themeColor="text1"/>
          <w:lang w:val="es-ES_tradnl"/>
        </w:rPr>
        <w:t>solo que la norma o normas demandadas no establecen la regulación presuntamente omitida, sino también que el precepto omitido no</w:t>
      </w:r>
      <w:r w:rsidRPr="00CF2E90">
        <w:rPr>
          <w:color w:val="000000" w:themeColor="text1"/>
          <w:lang w:val="es-ES_tradnl"/>
        </w:rPr>
        <w:t xml:space="preserve"> </w:t>
      </w:r>
      <w:r w:rsidR="00A04F71" w:rsidRPr="00CF2E90">
        <w:rPr>
          <w:color w:val="000000" w:themeColor="text1"/>
          <w:lang w:val="es-ES_tradnl"/>
        </w:rPr>
        <w:t>figura en ninguna otra norma ni puede encontrarse mediante</w:t>
      </w:r>
      <w:r w:rsidRPr="00CF2E90">
        <w:rPr>
          <w:color w:val="000000" w:themeColor="text1"/>
          <w:lang w:val="es-ES_tradnl"/>
        </w:rPr>
        <w:t xml:space="preserve"> una interpretación sistemática o analógica</w:t>
      </w:r>
      <w:r w:rsidR="004432B4" w:rsidRPr="00CF2E90">
        <w:rPr>
          <w:color w:val="000000" w:themeColor="text1"/>
          <w:lang w:val="es-ES_tradnl"/>
        </w:rPr>
        <w:t xml:space="preserve"> del régimen normativo del </w:t>
      </w:r>
      <w:r w:rsidR="00397C91" w:rsidRPr="00CF2E90">
        <w:rPr>
          <w:color w:val="000000" w:themeColor="text1"/>
          <w:lang w:val="es-ES_tradnl"/>
        </w:rPr>
        <w:t>que</w:t>
      </w:r>
      <w:r w:rsidR="004432B4" w:rsidRPr="00CF2E90">
        <w:rPr>
          <w:color w:val="000000" w:themeColor="text1"/>
          <w:lang w:val="es-ES_tradnl"/>
        </w:rPr>
        <w:t xml:space="preserve"> forma parte</w:t>
      </w:r>
      <w:r w:rsidRPr="00CF2E90">
        <w:rPr>
          <w:color w:val="000000" w:themeColor="text1"/>
          <w:lang w:val="es-ES_tradnl"/>
        </w:rPr>
        <w:t>. En tales términos, la jurisprudencia ha enfatizado que la Corte debe declararse inhibida</w:t>
      </w:r>
      <w:r w:rsidRPr="00CF2E90">
        <w:rPr>
          <w:color w:val="000000" w:themeColor="text1"/>
          <w:lang w:eastAsia="es-MX"/>
        </w:rPr>
        <w:t xml:space="preserve"> “cuando la exclusión normativa que se alega a título de omisión legislativa obedece a una lectura aislada, subjetiva, restringida o parcial de la disposición acusada, bien porque el ingrediente, condición normativa, grupo social o consecuencia jurídica que se echa de menos, se encuentra contenido en otra norma del ordenamiento jurídico o porque, previamente, por vía de interpretación, fue incorporado”</w:t>
      </w:r>
      <w:r w:rsidRPr="00CF2E90">
        <w:rPr>
          <w:rStyle w:val="Refdenotaalpie"/>
          <w:color w:val="000000" w:themeColor="text1"/>
          <w:lang w:eastAsia="es-MX"/>
        </w:rPr>
        <w:footnoteReference w:id="70"/>
      </w:r>
      <w:r w:rsidRPr="00CF2E90">
        <w:rPr>
          <w:color w:val="000000" w:themeColor="text1"/>
          <w:lang w:eastAsia="es-MX"/>
        </w:rPr>
        <w:t xml:space="preserve">. </w:t>
      </w:r>
    </w:p>
    <w:p w14:paraId="687E4F3C" w14:textId="77777777" w:rsidR="00630EDF" w:rsidRPr="00CF2E90" w:rsidRDefault="00630EDF" w:rsidP="00630EDF">
      <w:pPr>
        <w:ind w:left="0" w:right="0" w:firstLine="0"/>
        <w:rPr>
          <w:color w:val="000000" w:themeColor="text1"/>
          <w:lang w:val="es-ES_tradnl" w:eastAsia="es-MX"/>
        </w:rPr>
      </w:pPr>
    </w:p>
    <w:p w14:paraId="50B29799" w14:textId="6A55A2AB" w:rsidR="00630EDF" w:rsidRPr="00CF2E90" w:rsidRDefault="00630EDF" w:rsidP="00630EDF">
      <w:pPr>
        <w:numPr>
          <w:ilvl w:val="0"/>
          <w:numId w:val="6"/>
        </w:numPr>
        <w:ind w:left="0" w:right="0" w:firstLine="0"/>
        <w:rPr>
          <w:color w:val="000000" w:themeColor="text1"/>
          <w:lang w:val="es-ES_tradnl" w:eastAsia="es-MX"/>
        </w:rPr>
      </w:pPr>
      <w:r w:rsidRPr="00CF2E90">
        <w:rPr>
          <w:color w:val="000000" w:themeColor="text1"/>
          <w:lang w:val="es-ES_tradnl"/>
        </w:rPr>
        <w:t xml:space="preserve">Con base en esta regla </w:t>
      </w:r>
      <w:r w:rsidR="00A04F71" w:rsidRPr="00CF2E90">
        <w:rPr>
          <w:color w:val="000000" w:themeColor="text1"/>
          <w:lang w:val="es-ES_tradnl"/>
        </w:rPr>
        <w:t xml:space="preserve">de </w:t>
      </w:r>
      <w:r w:rsidRPr="00CF2E90">
        <w:rPr>
          <w:color w:val="000000" w:themeColor="text1"/>
          <w:lang w:val="es-ES_tradnl"/>
        </w:rPr>
        <w:t xml:space="preserve">decisión, en la sentencia </w:t>
      </w:r>
      <w:r w:rsidRPr="00CF2E90">
        <w:rPr>
          <w:b/>
          <w:bCs/>
          <w:color w:val="000000" w:themeColor="text1"/>
          <w:lang w:val="es-ES_tradnl"/>
        </w:rPr>
        <w:t>C-122 de 2020</w:t>
      </w:r>
      <w:r w:rsidRPr="00CF2E90">
        <w:rPr>
          <w:color w:val="000000" w:themeColor="text1"/>
          <w:lang w:val="es-ES_tradnl"/>
        </w:rPr>
        <w:t xml:space="preserve">, la Corte declaró la ineptitud sustantiva de una demanda que denunciaba la existencia de una omisión legislativa relativa, derivada de la presunta inexistencia de un término para que la Superintendencia Nacional de Salud adelantara la segunda instancia de los procesos jurisdiccionales a su cargo. La Sala Plena recordó que: </w:t>
      </w:r>
    </w:p>
    <w:p w14:paraId="6E6EAA83" w14:textId="77777777" w:rsidR="00630EDF" w:rsidRPr="00CF2E90" w:rsidRDefault="00630EDF" w:rsidP="00630EDF">
      <w:pPr>
        <w:pStyle w:val="font-claude-response-body"/>
        <w:spacing w:before="0" w:beforeAutospacing="0" w:after="0" w:afterAutospacing="0"/>
        <w:jc w:val="both"/>
        <w:rPr>
          <w:sz w:val="28"/>
        </w:rPr>
      </w:pPr>
    </w:p>
    <w:p w14:paraId="26904CF1" w14:textId="77777777" w:rsidR="00630EDF" w:rsidRPr="00CF2E90" w:rsidRDefault="00630EDF" w:rsidP="00630EDF">
      <w:pPr>
        <w:pStyle w:val="Prrafodelista"/>
        <w:shd w:val="clear" w:color="auto" w:fill="FFFFFF"/>
        <w:ind w:left="360" w:right="567" w:firstLine="0"/>
        <w:textAlignment w:val="baseline"/>
        <w:rPr>
          <w:szCs w:val="22"/>
        </w:rPr>
      </w:pPr>
      <w:r w:rsidRPr="00CF2E90">
        <w:rPr>
          <w:szCs w:val="22"/>
        </w:rPr>
        <w:t>“La jurisprudencia constitucional ha reconocido las dificultades que se pueden presentar en la formulación de los cargos por omisiones legislativas relativas, entre las que ha destacado la lectura parcial de las normas acusadas. En ese sentido, la </w:t>
      </w:r>
      <w:r w:rsidRPr="00CF2E90">
        <w:rPr>
          <w:b/>
          <w:bCs/>
          <w:szCs w:val="22"/>
        </w:rPr>
        <w:t xml:space="preserve">Sentencia C-091 de 2014 </w:t>
      </w:r>
      <w:r w:rsidRPr="00CF2E90">
        <w:rPr>
          <w:szCs w:val="22"/>
        </w:rPr>
        <w:t>que examinó una demanda que cuestionaba la falta de fijación de un término para que la Corte Suprema de Justicia emitiera su concepto en el trámite de extradición, señaló:</w:t>
      </w:r>
    </w:p>
    <w:p w14:paraId="08E47C04" w14:textId="77777777" w:rsidR="00630EDF" w:rsidRPr="00CF2E90" w:rsidRDefault="00630EDF" w:rsidP="00630EDF">
      <w:pPr>
        <w:pStyle w:val="Prrafodelista"/>
        <w:shd w:val="clear" w:color="auto" w:fill="FFFFFF"/>
        <w:ind w:left="360" w:right="567" w:firstLine="0"/>
        <w:textAlignment w:val="baseline"/>
        <w:rPr>
          <w:szCs w:val="22"/>
        </w:rPr>
      </w:pPr>
    </w:p>
    <w:p w14:paraId="40765D5A" w14:textId="77777777" w:rsidR="00630EDF" w:rsidRPr="00CF2E90" w:rsidRDefault="00630EDF" w:rsidP="00630EDF">
      <w:pPr>
        <w:pStyle w:val="Prrafodelista"/>
        <w:shd w:val="clear" w:color="auto" w:fill="FFFFFF"/>
        <w:ind w:left="737" w:right="737" w:firstLine="0"/>
        <w:textAlignment w:val="baseline"/>
        <w:rPr>
          <w:szCs w:val="22"/>
          <w:bdr w:val="none" w:sz="0" w:space="0" w:color="auto" w:frame="1"/>
        </w:rPr>
      </w:pPr>
      <w:r w:rsidRPr="00CF2E90">
        <w:rPr>
          <w:szCs w:val="22"/>
          <w:bdr w:val="none" w:sz="0" w:space="0" w:color="auto" w:frame="1"/>
        </w:rPr>
        <w:t>‘(…) puede acontecer que el precepto considerado incompleto, realmente no contenga la regulación exigida, pero que esta se encuentre en otra disposición o que la lectura aislada de un texto legislativo tenga por resultado la verificación de una omisión que, sin embargo, resulte superada por una interpretación sistemática de la legislación que, al incorporar otros preceptos en el análisis, permita concluir que no hay omisión relativa y que el legislador ha proveído respecto del pretendido faltante, salvo que lo ha hecho de manera tal que le corresponde al intérprete o al aplicador del derecho efectuar el ejercicio interpretativo que conduzca a evidenciar la regulación completa de una materia’”.</w:t>
      </w:r>
    </w:p>
    <w:p w14:paraId="17E80C81" w14:textId="77777777" w:rsidR="00630EDF" w:rsidRPr="00CF2E90" w:rsidRDefault="00630EDF" w:rsidP="00630EDF">
      <w:pPr>
        <w:shd w:val="clear" w:color="auto" w:fill="FFFFFF"/>
        <w:ind w:right="737"/>
        <w:textAlignment w:val="baseline"/>
        <w:rPr>
          <w:szCs w:val="20"/>
        </w:rPr>
      </w:pPr>
    </w:p>
    <w:p w14:paraId="3C347D4A" w14:textId="6B5772E5" w:rsidR="00630EDF" w:rsidRPr="00CF2E90" w:rsidRDefault="00A04F71" w:rsidP="00630EDF">
      <w:pPr>
        <w:numPr>
          <w:ilvl w:val="0"/>
          <w:numId w:val="6"/>
        </w:numPr>
        <w:ind w:left="0" w:right="0" w:firstLine="0"/>
        <w:rPr>
          <w:color w:val="000000" w:themeColor="text1"/>
          <w:lang w:val="es-ES_tradnl" w:eastAsia="es-MX"/>
        </w:rPr>
      </w:pPr>
      <w:r w:rsidRPr="00CF2E90">
        <w:t>En la sentencia C-122 de 2020, l</w:t>
      </w:r>
      <w:r w:rsidR="00630EDF" w:rsidRPr="00CF2E90">
        <w:t xml:space="preserve">a Corte concluyó que el cargo por omisión legislativa relativa carecía de certeza porque “el alcance de la norma acusada no podía establecerse únicamente a partir de su tenor literal, sino que era necesario que el actor presentara argumentos suficientes que descartaran la aplicabilidad de las reglas generales de procedimiento y demostraran la inviabilidad de una interpretación sistemática”. La Corte agregó que los problemas de certeza se reforzaban “por la naturaleza de la disposición cuestionada, esto es, la regulación de elementos en un procedimiento judicial”. En efecto, dijo </w:t>
      </w:r>
      <w:r w:rsidRPr="00CF2E90">
        <w:t>este tribunal</w:t>
      </w:r>
      <w:r w:rsidR="00630EDF" w:rsidRPr="00CF2E90">
        <w:t xml:space="preserve">, “en el ordenamiento jurídico existen reglas generales en materia procesal, previstas con la finalidad de regular la actividad de los procesos en los aspectos que no están expresamente definidos en otras leyes. Por lo tanto, el alcance de la norma acusada no podía establecerse únicamente a partir de su tenor literal, sino que era necesario que el actor presentara argumentos suficientes que descartaran la aplicabilidad de las reglas generales de procedimiento y demostraran la inviabilidad de una interpretación sistemática”. En síntesis, “el ciudadano no presentó los elementos mínimos que permitan a la Sala establecer que, a partir de la norma acusada, es cierto que se deriva la omisión cuestionada”. Por último, concluyó que: </w:t>
      </w:r>
    </w:p>
    <w:p w14:paraId="44B76436" w14:textId="77777777" w:rsidR="00630EDF" w:rsidRPr="00CF2E90" w:rsidRDefault="00630EDF" w:rsidP="00630EDF">
      <w:pPr>
        <w:shd w:val="clear" w:color="auto" w:fill="FFFFFF"/>
        <w:ind w:right="567"/>
        <w:textAlignment w:val="baseline"/>
      </w:pPr>
    </w:p>
    <w:p w14:paraId="4A8C4DC6" w14:textId="77777777" w:rsidR="00630EDF" w:rsidRPr="00CF2E90" w:rsidRDefault="00630EDF" w:rsidP="00630EDF">
      <w:pPr>
        <w:pStyle w:val="Prrafodelista"/>
        <w:shd w:val="clear" w:color="auto" w:fill="FFFFFF"/>
        <w:ind w:left="737" w:right="567" w:firstLine="0"/>
        <w:textAlignment w:val="baseline"/>
        <w:rPr>
          <w:szCs w:val="22"/>
        </w:rPr>
      </w:pPr>
      <w:r w:rsidRPr="00CF2E90">
        <w:rPr>
          <w:szCs w:val="22"/>
        </w:rPr>
        <w:t xml:space="preserve">“La falencia identificada se confirma con las intervenciones presentadas en este trámite constitucional. En ese sentido, se destaca que el Ministerio de Salud y Protección Social adujo que el cargo no es cierto porque existen otras disposiciones del ordenamiento que, por remisión, prevén el término para decidir la segunda instancia, en particular los artículos 1º y </w:t>
      </w:r>
      <w:r w:rsidRPr="00CF2E90">
        <w:rPr>
          <w:b/>
          <w:bCs/>
          <w:szCs w:val="22"/>
          <w:u w:val="single"/>
        </w:rPr>
        <w:t>121 del Código General del Proceso</w:t>
      </w:r>
      <w:r w:rsidRPr="00CF2E90">
        <w:rPr>
          <w:szCs w:val="22"/>
        </w:rPr>
        <w:t>. Por su parte, </w:t>
      </w:r>
      <w:bookmarkStart w:id="9" w:name="_Hlk35677043"/>
      <w:r w:rsidRPr="00CF2E90">
        <w:rPr>
          <w:szCs w:val="22"/>
        </w:rPr>
        <w:t>el Ministerio de Justicia y del Derecho, la Academia Colombiana de Jurisprudencia y la Superintendencia Nacional de Salud</w:t>
      </w:r>
      <w:r w:rsidRPr="00CF2E90">
        <w:rPr>
          <w:b/>
          <w:bCs/>
          <w:szCs w:val="22"/>
        </w:rPr>
        <w:t> </w:t>
      </w:r>
      <w:bookmarkEnd w:id="9"/>
      <w:r w:rsidRPr="00CF2E90">
        <w:rPr>
          <w:szCs w:val="22"/>
        </w:rPr>
        <w:t>señalaron que la norma es exequible porque el Legislador no incurrió en la omisión cuestionada, ya que el término para decidir la segunda instancia está previsto en otras disposiciones legales” (énfasis añadido)</w:t>
      </w:r>
    </w:p>
    <w:p w14:paraId="03907CD3" w14:textId="77777777" w:rsidR="00630EDF" w:rsidRPr="00CF2E90" w:rsidRDefault="00630EDF" w:rsidP="00630EDF">
      <w:pPr>
        <w:ind w:left="0" w:right="0" w:firstLine="0"/>
        <w:rPr>
          <w:color w:val="000000" w:themeColor="text1"/>
          <w:lang w:val="es-ES_tradnl" w:eastAsia="es-MX"/>
        </w:rPr>
      </w:pPr>
    </w:p>
    <w:p w14:paraId="59116099" w14:textId="14DFB733" w:rsidR="00630EDF" w:rsidRPr="00CF2E90" w:rsidRDefault="00630EDF" w:rsidP="00630EDF">
      <w:pPr>
        <w:numPr>
          <w:ilvl w:val="0"/>
          <w:numId w:val="6"/>
        </w:numPr>
        <w:ind w:left="0" w:right="0" w:firstLine="0"/>
        <w:rPr>
          <w:color w:val="000000" w:themeColor="text1"/>
          <w:lang w:val="es-ES_tradnl" w:eastAsia="es-MX"/>
        </w:rPr>
      </w:pPr>
      <w:r w:rsidRPr="00CF2E90">
        <w:rPr>
          <w:color w:val="000000" w:themeColor="text1"/>
          <w:lang w:val="es-ES_tradnl" w:eastAsia="es-MX"/>
        </w:rPr>
        <w:t>En síntesis, conforme a la jurisprudencia constitucional, son ineptos los cargos por omisión legislativa relativa que fundan la existencia de un vacío normativo o la presunta omisión</w:t>
      </w:r>
      <w:r w:rsidR="00A04F71" w:rsidRPr="00CF2E90">
        <w:rPr>
          <w:color w:val="000000" w:themeColor="text1"/>
          <w:lang w:val="es-ES_tradnl" w:eastAsia="es-MX"/>
        </w:rPr>
        <w:t xml:space="preserve">, en una lectura aislada de las normas demandadas, </w:t>
      </w:r>
      <w:r w:rsidRPr="00CF2E90">
        <w:rPr>
          <w:color w:val="000000" w:themeColor="text1"/>
          <w:lang w:val="es-ES_tradnl" w:eastAsia="es-MX"/>
        </w:rPr>
        <w:t xml:space="preserve">que ignora el sistema normativo </w:t>
      </w:r>
      <w:r w:rsidR="004432B4" w:rsidRPr="00CF2E90">
        <w:rPr>
          <w:color w:val="000000" w:themeColor="text1"/>
          <w:lang w:val="es-ES_tradnl" w:eastAsia="es-MX"/>
        </w:rPr>
        <w:t>en el que se insertan.</w:t>
      </w:r>
      <w:r w:rsidRPr="00CF2E90">
        <w:rPr>
          <w:color w:val="000000" w:themeColor="text1"/>
          <w:lang w:val="es-ES_tradnl" w:eastAsia="es-MX"/>
        </w:rPr>
        <w:t xml:space="preserve">  </w:t>
      </w:r>
    </w:p>
    <w:p w14:paraId="0AB3C565" w14:textId="77777777" w:rsidR="00630EDF" w:rsidRPr="00CF2E90" w:rsidRDefault="00630EDF" w:rsidP="00630EDF">
      <w:pPr>
        <w:tabs>
          <w:tab w:val="left" w:pos="567"/>
        </w:tabs>
        <w:ind w:left="0" w:right="0" w:firstLine="0"/>
        <w:rPr>
          <w:shd w:val="clear" w:color="auto" w:fill="FFFFFF"/>
        </w:rPr>
      </w:pPr>
    </w:p>
    <w:p w14:paraId="2DA8782D" w14:textId="37B5C770" w:rsidR="00630EDF" w:rsidRPr="00CF2E90" w:rsidRDefault="00630EDF" w:rsidP="00A61B4A">
      <w:pPr>
        <w:pStyle w:val="Prrafodelista"/>
        <w:widowControl w:val="0"/>
        <w:numPr>
          <w:ilvl w:val="1"/>
          <w:numId w:val="9"/>
        </w:numPr>
        <w:ind w:left="709" w:right="0" w:hanging="567"/>
        <w:rPr>
          <w:b/>
          <w:bCs/>
        </w:rPr>
      </w:pPr>
      <w:r w:rsidRPr="00CF2E90">
        <w:rPr>
          <w:b/>
          <w:bCs/>
        </w:rPr>
        <w:t xml:space="preserve">Caso concreto </w:t>
      </w:r>
    </w:p>
    <w:p w14:paraId="5F2A55DD" w14:textId="77777777" w:rsidR="00630EDF" w:rsidRPr="00CF2E90" w:rsidRDefault="00630EDF" w:rsidP="004432B4">
      <w:pPr>
        <w:ind w:left="0" w:right="0" w:firstLine="0"/>
      </w:pPr>
    </w:p>
    <w:p w14:paraId="762CDA05" w14:textId="3C9E375A" w:rsidR="00630EDF" w:rsidRPr="00CF2E90" w:rsidRDefault="00630EDF" w:rsidP="00630EDF">
      <w:pPr>
        <w:numPr>
          <w:ilvl w:val="0"/>
          <w:numId w:val="6"/>
        </w:numPr>
        <w:ind w:left="0" w:right="0" w:firstLine="0"/>
      </w:pPr>
      <w:r w:rsidRPr="00CF2E90">
        <w:t xml:space="preserve">La Sala Plena considera que el cargo por omisión legislativa relativa formulado en la demanda </w:t>
      </w:r>
      <w:r w:rsidR="00A04F71" w:rsidRPr="00CF2E90">
        <w:t xml:space="preserve">D-16867 </w:t>
      </w:r>
      <w:r w:rsidRPr="00CF2E90">
        <w:t>no es apto</w:t>
      </w:r>
      <w:r w:rsidRPr="00CF2E90">
        <w:rPr>
          <w:bCs/>
        </w:rPr>
        <w:t xml:space="preserve">. Esto, porque no satisface las </w:t>
      </w:r>
      <w:r w:rsidR="004432B4" w:rsidRPr="00CF2E90">
        <w:rPr>
          <w:bCs/>
        </w:rPr>
        <w:t xml:space="preserve">cargas argumentativas mínimas de claridad y certeza: </w:t>
      </w:r>
      <w:r w:rsidRPr="00CF2E90">
        <w:rPr>
          <w:bCs/>
        </w:rPr>
        <w:t xml:space="preserve">  </w:t>
      </w:r>
    </w:p>
    <w:p w14:paraId="31B4F0BF" w14:textId="77777777" w:rsidR="00630EDF" w:rsidRPr="00CF2E90" w:rsidRDefault="00630EDF" w:rsidP="00630EDF">
      <w:pPr>
        <w:ind w:left="0" w:right="0" w:firstLine="0"/>
      </w:pPr>
    </w:p>
    <w:p w14:paraId="05849DD7" w14:textId="2A9B5F90" w:rsidR="00630EDF" w:rsidRPr="00CF2E90" w:rsidRDefault="004432B4" w:rsidP="004432B4">
      <w:pPr>
        <w:pStyle w:val="Prrafodelista"/>
        <w:numPr>
          <w:ilvl w:val="0"/>
          <w:numId w:val="10"/>
        </w:numPr>
        <w:ind w:left="709" w:right="0" w:hanging="567"/>
        <w:rPr>
          <w:u w:val="single"/>
        </w:rPr>
      </w:pPr>
      <w:r w:rsidRPr="00CF2E90">
        <w:rPr>
          <w:u w:val="single"/>
        </w:rPr>
        <w:t>Claridad</w:t>
      </w:r>
    </w:p>
    <w:p w14:paraId="4BA7FB66" w14:textId="77777777" w:rsidR="00630EDF" w:rsidRPr="00CF2E90" w:rsidRDefault="00630EDF" w:rsidP="00630EDF">
      <w:pPr>
        <w:ind w:left="0" w:right="0" w:firstLine="0"/>
      </w:pPr>
    </w:p>
    <w:p w14:paraId="33CF05C3" w14:textId="6583EAAE" w:rsidR="00BC21E3" w:rsidRPr="00CF2E90" w:rsidRDefault="00630EDF" w:rsidP="0070260A">
      <w:pPr>
        <w:numPr>
          <w:ilvl w:val="0"/>
          <w:numId w:val="6"/>
        </w:numPr>
        <w:ind w:left="0" w:right="0" w:firstLine="0"/>
      </w:pPr>
      <w:r w:rsidRPr="00CF2E90">
        <w:t xml:space="preserve">La </w:t>
      </w:r>
      <w:r w:rsidR="00BC21E3" w:rsidRPr="00CF2E90">
        <w:t xml:space="preserve">Corte </w:t>
      </w:r>
      <w:r w:rsidRPr="00CF2E90">
        <w:t>advierte que el cargo carece de claridad</w:t>
      </w:r>
      <w:r w:rsidR="00A04F71" w:rsidRPr="00CF2E90">
        <w:t>, pues</w:t>
      </w:r>
      <w:r w:rsidRPr="00CF2E90">
        <w:t xml:space="preserve"> la demanda no identifica con precisión el ingrediente normativo que el legislador habría </w:t>
      </w:r>
      <w:r w:rsidR="00A04F71" w:rsidRPr="00CF2E90">
        <w:t xml:space="preserve">presuntamente </w:t>
      </w:r>
      <w:r w:rsidRPr="00CF2E90">
        <w:t xml:space="preserve">omitido </w:t>
      </w:r>
      <w:r w:rsidR="00C67ABD" w:rsidRPr="00CF2E90">
        <w:t>al regular el incidente de reparación integral en</w:t>
      </w:r>
      <w:r w:rsidRPr="00CF2E90">
        <w:t xml:space="preserve"> los artículos 102 a 106 de la Ley 906 de 2004. </w:t>
      </w:r>
    </w:p>
    <w:p w14:paraId="58A32EAD" w14:textId="77777777" w:rsidR="00C67ABD" w:rsidRPr="00CF2E90" w:rsidRDefault="00C67ABD" w:rsidP="004E5375">
      <w:pPr>
        <w:ind w:left="0" w:firstLine="0"/>
      </w:pPr>
    </w:p>
    <w:p w14:paraId="6C5581F7" w14:textId="10CEF62C" w:rsidR="00A04F71" w:rsidRPr="00CF2E90" w:rsidRDefault="00C67ABD" w:rsidP="001E5E8D">
      <w:pPr>
        <w:numPr>
          <w:ilvl w:val="0"/>
          <w:numId w:val="6"/>
        </w:numPr>
        <w:ind w:left="0" w:right="0" w:firstLine="0"/>
      </w:pPr>
      <w:r w:rsidRPr="00CF2E90">
        <w:t>En la demanda</w:t>
      </w:r>
      <w:r w:rsidR="00A04F71" w:rsidRPr="00CF2E90">
        <w:t>,</w:t>
      </w:r>
      <w:r w:rsidR="0070260A" w:rsidRPr="00CF2E90">
        <w:t xml:space="preserve"> los actores </w:t>
      </w:r>
      <w:r w:rsidRPr="00CF2E90">
        <w:t xml:space="preserve">denuncian, indistintamente, (i) la presunta inexistencia de un término de </w:t>
      </w:r>
      <w:r w:rsidRPr="00CF2E90">
        <w:rPr>
          <w:i/>
          <w:iCs/>
        </w:rPr>
        <w:t>prescripción</w:t>
      </w:r>
      <w:r w:rsidRPr="00CF2E90">
        <w:t xml:space="preserve"> </w:t>
      </w:r>
      <w:r w:rsidR="00F0296C" w:rsidRPr="00CF2E90">
        <w:t xml:space="preserve">para interponer </w:t>
      </w:r>
      <w:r w:rsidRPr="00CF2E90">
        <w:t xml:space="preserve">la acción resarcitoria y (ii) la ausencia de un término de </w:t>
      </w:r>
      <w:r w:rsidRPr="00CF2E90">
        <w:rPr>
          <w:i/>
          <w:iCs/>
        </w:rPr>
        <w:t xml:space="preserve">duración máxima </w:t>
      </w:r>
      <w:r w:rsidRPr="00CF2E90">
        <w:t xml:space="preserve">del incidente de reparación integral. </w:t>
      </w:r>
      <w:r w:rsidR="00F0296C" w:rsidRPr="00CF2E90">
        <w:t xml:space="preserve">En efecto, </w:t>
      </w:r>
      <w:r w:rsidRPr="00CF2E90">
        <w:t xml:space="preserve">al describir el alcance del cargo, los demandantes señalan que las </w:t>
      </w:r>
      <w:r w:rsidR="00F0296C" w:rsidRPr="00CF2E90">
        <w:t>disposiciones acusadas</w:t>
      </w:r>
      <w:r w:rsidRPr="00CF2E90">
        <w:t xml:space="preserve"> no incluyeron “dentro de la regulación del IRI un plazo máximo para su resolución o un término concreto de prescripción”</w:t>
      </w:r>
      <w:r w:rsidRPr="00CF2E90">
        <w:rPr>
          <w:vertAlign w:val="superscript"/>
        </w:rPr>
        <w:footnoteReference w:id="71"/>
      </w:r>
      <w:r w:rsidRPr="00CF2E90">
        <w:t>.</w:t>
      </w:r>
      <w:r w:rsidR="00F0296C" w:rsidRPr="00CF2E90">
        <w:t xml:space="preserve"> Asimismo,</w:t>
      </w:r>
      <w:r w:rsidR="00A04F71" w:rsidRPr="00CF2E90">
        <w:t xml:space="preserve"> afirman</w:t>
      </w:r>
      <w:r w:rsidR="00F0296C" w:rsidRPr="00CF2E90">
        <w:t xml:space="preserve"> que “como se observa del articulado transcrito, el legislador dispuso los elementos procesales del Incidente de Reparación Integral (IRI), pero omitió por completo la fijación de un término máximo para su trámite o, en otras palabras, su prescripción”.</w:t>
      </w:r>
      <w:r w:rsidRPr="00CF2E90">
        <w:t xml:space="preserve"> Como puede verse, los </w:t>
      </w:r>
      <w:r w:rsidR="001E5E8D" w:rsidRPr="00CF2E90">
        <w:t xml:space="preserve">demandantes parecen equiparar </w:t>
      </w:r>
      <w:r w:rsidR="00F0296C" w:rsidRPr="00CF2E90">
        <w:t>ambas instituciones</w:t>
      </w:r>
      <w:r w:rsidRPr="00CF2E90">
        <w:t xml:space="preserve">. </w:t>
      </w:r>
    </w:p>
    <w:p w14:paraId="2767CD61" w14:textId="77777777" w:rsidR="00A04F71" w:rsidRPr="00CF2E90" w:rsidRDefault="00A04F71" w:rsidP="00135B0D">
      <w:pPr>
        <w:pStyle w:val="Prrafodelista"/>
      </w:pPr>
    </w:p>
    <w:p w14:paraId="37B2199C" w14:textId="3202D21E" w:rsidR="00F0296C" w:rsidRPr="00CF2E90" w:rsidRDefault="00F0296C" w:rsidP="001E5E8D">
      <w:pPr>
        <w:numPr>
          <w:ilvl w:val="0"/>
          <w:numId w:val="6"/>
        </w:numPr>
        <w:ind w:left="0" w:right="0" w:firstLine="0"/>
      </w:pPr>
      <w:r w:rsidRPr="00CF2E90">
        <w:t xml:space="preserve">Esta aparente confusión entre el término de prescripción para interponer la acción resarcitoria y el término máximo de duración del incidente no es </w:t>
      </w:r>
      <w:r w:rsidR="00A04F71" w:rsidRPr="00CF2E90">
        <w:t>aislada</w:t>
      </w:r>
      <w:r w:rsidRPr="00CF2E90">
        <w:t xml:space="preserve">. Por el contrario, como se </w:t>
      </w:r>
      <w:r w:rsidR="001E5E8D" w:rsidRPr="00CF2E90">
        <w:t>muestra</w:t>
      </w:r>
      <w:r w:rsidRPr="00CF2E90">
        <w:t xml:space="preserve"> en la siguiente tabla, </w:t>
      </w:r>
      <w:r w:rsidR="00A04F71" w:rsidRPr="00CF2E90">
        <w:t>se presenta a</w:t>
      </w:r>
      <w:r w:rsidRPr="00CF2E90">
        <w:t xml:space="preserve"> lo largo de tod</w:t>
      </w:r>
      <w:r w:rsidR="001E5E8D" w:rsidRPr="00CF2E90">
        <w:t>o</w:t>
      </w:r>
      <w:r w:rsidRPr="00CF2E90">
        <w:t xml:space="preserve"> el escrito de demanda</w:t>
      </w:r>
      <w:r w:rsidR="001E5E8D" w:rsidRPr="00CF2E90">
        <w:t xml:space="preserve"> y al desarrollar cada uno de los requisitos </w:t>
      </w:r>
      <w:r w:rsidR="00A04F71" w:rsidRPr="00CF2E90">
        <w:t>del cargo</w:t>
      </w:r>
      <w:r w:rsidR="001E5E8D" w:rsidRPr="00CF2E90">
        <w:t xml:space="preserve"> por omisión legislativa relativa</w:t>
      </w:r>
      <w:r w:rsidRPr="00CF2E90">
        <w:t xml:space="preserve">:  </w:t>
      </w:r>
    </w:p>
    <w:p w14:paraId="72DB4644" w14:textId="77777777" w:rsidR="00F0296C" w:rsidRPr="00CF2E90" w:rsidRDefault="00F0296C" w:rsidP="000C6D53">
      <w:pPr>
        <w:ind w:left="0" w:firstLine="0"/>
      </w:pPr>
    </w:p>
    <w:tbl>
      <w:tblPr>
        <w:tblStyle w:val="Tablaconcuadrcula"/>
        <w:tblW w:w="0" w:type="auto"/>
        <w:tblLook w:val="04A0" w:firstRow="1" w:lastRow="0" w:firstColumn="1" w:lastColumn="0" w:noHBand="0" w:noVBand="1"/>
      </w:tblPr>
      <w:tblGrid>
        <w:gridCol w:w="2263"/>
        <w:gridCol w:w="6567"/>
      </w:tblGrid>
      <w:tr w:rsidR="00F0296C" w:rsidRPr="00CF2E90" w14:paraId="7919B5F2" w14:textId="77777777" w:rsidTr="00B64EC1">
        <w:tc>
          <w:tcPr>
            <w:tcW w:w="2263" w:type="dxa"/>
            <w:shd w:val="clear" w:color="auto" w:fill="D9D9D9" w:themeFill="background1" w:themeFillShade="D9"/>
          </w:tcPr>
          <w:p w14:paraId="287045AB" w14:textId="77777777" w:rsidR="001E5E8D" w:rsidRPr="00CF2E90" w:rsidRDefault="001E5E8D" w:rsidP="001E5E8D">
            <w:pPr>
              <w:ind w:left="0" w:right="0" w:firstLine="0"/>
              <w:jc w:val="center"/>
              <w:rPr>
                <w:b/>
                <w:bCs/>
                <w:szCs w:val="22"/>
              </w:rPr>
            </w:pPr>
          </w:p>
          <w:p w14:paraId="4B1F1DB6" w14:textId="77777777" w:rsidR="001E5E8D" w:rsidRPr="00CF2E90" w:rsidRDefault="001E5E8D" w:rsidP="001E5E8D">
            <w:pPr>
              <w:ind w:left="0" w:right="0" w:firstLine="0"/>
              <w:jc w:val="center"/>
              <w:rPr>
                <w:b/>
                <w:bCs/>
                <w:szCs w:val="22"/>
              </w:rPr>
            </w:pPr>
          </w:p>
          <w:p w14:paraId="072C6E8A" w14:textId="77777777" w:rsidR="001E5E8D" w:rsidRPr="00CF2E90" w:rsidRDefault="001E5E8D" w:rsidP="001E5E8D">
            <w:pPr>
              <w:ind w:left="0" w:right="0" w:firstLine="0"/>
              <w:jc w:val="center"/>
              <w:rPr>
                <w:b/>
                <w:bCs/>
                <w:szCs w:val="22"/>
              </w:rPr>
            </w:pPr>
          </w:p>
          <w:p w14:paraId="5A17BC47" w14:textId="03C3BCBE" w:rsidR="00F0296C" w:rsidRPr="00CF2E90" w:rsidRDefault="00F0296C" w:rsidP="001E5E8D">
            <w:pPr>
              <w:ind w:left="0" w:right="0" w:firstLine="0"/>
              <w:jc w:val="center"/>
              <w:rPr>
                <w:b/>
                <w:bCs/>
                <w:szCs w:val="22"/>
              </w:rPr>
            </w:pPr>
            <w:r w:rsidRPr="00CF2E90">
              <w:rPr>
                <w:b/>
                <w:bCs/>
                <w:szCs w:val="22"/>
              </w:rPr>
              <w:t>Inexistencia de término de prescripción para interponer la acción</w:t>
            </w:r>
          </w:p>
        </w:tc>
        <w:tc>
          <w:tcPr>
            <w:tcW w:w="6567" w:type="dxa"/>
          </w:tcPr>
          <w:p w14:paraId="63780D66" w14:textId="77777777" w:rsidR="00F0296C" w:rsidRPr="00CF2E90" w:rsidRDefault="001E5E8D" w:rsidP="001E5E8D">
            <w:pPr>
              <w:pStyle w:val="Prrafodelista"/>
              <w:numPr>
                <w:ilvl w:val="0"/>
                <w:numId w:val="7"/>
              </w:numPr>
              <w:ind w:left="175" w:right="0" w:hanging="142"/>
              <w:rPr>
                <w:szCs w:val="22"/>
              </w:rPr>
            </w:pPr>
            <w:r w:rsidRPr="00CF2E90">
              <w:rPr>
                <w:szCs w:val="22"/>
              </w:rPr>
              <w:t xml:space="preserve">“El análisis de la legislación procesal penal colombiana revela una constante en la regulación de la reparación de los perjuicios derivados del delito, la cual permite concluir que la falta de un término de </w:t>
            </w:r>
            <w:r w:rsidRPr="00CF2E90">
              <w:rPr>
                <w:i/>
                <w:iCs/>
                <w:szCs w:val="22"/>
              </w:rPr>
              <w:t>prescripción</w:t>
            </w:r>
            <w:r w:rsidRPr="00CF2E90">
              <w:rPr>
                <w:szCs w:val="22"/>
              </w:rPr>
              <w:t xml:space="preserve"> para el IRI no obedece a una voluntad legislativa”. </w:t>
            </w:r>
          </w:p>
          <w:p w14:paraId="417CD155" w14:textId="77777777" w:rsidR="00894027" w:rsidRPr="00CF2E90" w:rsidRDefault="001E5E8D" w:rsidP="00894027">
            <w:pPr>
              <w:pStyle w:val="Prrafodelista"/>
              <w:numPr>
                <w:ilvl w:val="0"/>
                <w:numId w:val="7"/>
              </w:numPr>
              <w:ind w:left="175" w:right="0" w:hanging="142"/>
              <w:rPr>
                <w:szCs w:val="22"/>
              </w:rPr>
            </w:pPr>
            <w:r w:rsidRPr="00CF2E90">
              <w:rPr>
                <w:szCs w:val="22"/>
              </w:rPr>
              <w:t>“Sabiendo que el IRI reemplazó una acción civil que siempre tuvo un término de prescripción definido resulta contrario a la lógica legislativa suponer que la intención del Congreso fuera crear, de manera tácita y sin debate alguno, una acción perpetua”.</w:t>
            </w:r>
          </w:p>
          <w:p w14:paraId="5B9EE08F" w14:textId="7A61E113" w:rsidR="00894027" w:rsidRPr="00CF2E90" w:rsidRDefault="00EA546D" w:rsidP="00EA546D">
            <w:pPr>
              <w:pStyle w:val="Prrafodelista"/>
              <w:numPr>
                <w:ilvl w:val="0"/>
                <w:numId w:val="7"/>
              </w:numPr>
              <w:ind w:left="175" w:right="0" w:hanging="142"/>
              <w:rPr>
                <w:szCs w:val="22"/>
              </w:rPr>
            </w:pPr>
            <w:r w:rsidRPr="00CF2E90">
              <w:rPr>
                <w:szCs w:val="22"/>
              </w:rPr>
              <w:t>“Permitir que el inicio del incidente pueda dilatarse por un periodo de hasta 20 años deja al condenado sujeto a una obligación latente, creciente e impredecible que obstaculiza gravemente los fines resocializadores de la pena”.</w:t>
            </w:r>
          </w:p>
        </w:tc>
      </w:tr>
      <w:tr w:rsidR="00F0296C" w:rsidRPr="00CF2E90" w14:paraId="719B68BC" w14:textId="77777777" w:rsidTr="00970954">
        <w:tc>
          <w:tcPr>
            <w:tcW w:w="2263" w:type="dxa"/>
            <w:shd w:val="clear" w:color="auto" w:fill="D9D9D9" w:themeFill="background1" w:themeFillShade="D9"/>
          </w:tcPr>
          <w:p w14:paraId="6EC4A935" w14:textId="0277C3A3" w:rsidR="00F0296C" w:rsidRPr="00CF2E90" w:rsidRDefault="00F0296C" w:rsidP="001E5E8D">
            <w:pPr>
              <w:ind w:left="0" w:right="0" w:firstLine="0"/>
              <w:jc w:val="center"/>
              <w:rPr>
                <w:b/>
                <w:bCs/>
                <w:szCs w:val="22"/>
              </w:rPr>
            </w:pPr>
          </w:p>
          <w:p w14:paraId="4798EABA" w14:textId="77777777" w:rsidR="001E5E8D" w:rsidRPr="00CF2E90" w:rsidRDefault="001E5E8D" w:rsidP="001E5E8D">
            <w:pPr>
              <w:ind w:left="0" w:right="0" w:firstLine="0"/>
              <w:jc w:val="center"/>
              <w:rPr>
                <w:b/>
                <w:bCs/>
                <w:szCs w:val="22"/>
              </w:rPr>
            </w:pPr>
          </w:p>
          <w:p w14:paraId="4DE9F576" w14:textId="68B91ED9" w:rsidR="00F0296C" w:rsidRPr="00CF2E90" w:rsidRDefault="00F0296C" w:rsidP="001E5E8D">
            <w:pPr>
              <w:ind w:left="0" w:right="0" w:firstLine="0"/>
              <w:jc w:val="center"/>
              <w:rPr>
                <w:b/>
                <w:bCs/>
                <w:szCs w:val="22"/>
              </w:rPr>
            </w:pPr>
          </w:p>
          <w:p w14:paraId="20E1536F" w14:textId="7F4A92AD" w:rsidR="000C6D53" w:rsidRPr="00CF2E90" w:rsidRDefault="000C6D53" w:rsidP="001E5E8D">
            <w:pPr>
              <w:ind w:left="0" w:right="0" w:firstLine="0"/>
              <w:jc w:val="center"/>
              <w:rPr>
                <w:b/>
                <w:bCs/>
                <w:szCs w:val="22"/>
              </w:rPr>
            </w:pPr>
          </w:p>
          <w:p w14:paraId="6AE9F061" w14:textId="77777777" w:rsidR="000C6D53" w:rsidRPr="00CF2E90" w:rsidRDefault="000C6D53" w:rsidP="001E5E8D">
            <w:pPr>
              <w:ind w:left="0" w:right="0" w:firstLine="0"/>
              <w:jc w:val="center"/>
              <w:rPr>
                <w:b/>
                <w:bCs/>
                <w:szCs w:val="22"/>
              </w:rPr>
            </w:pPr>
          </w:p>
          <w:p w14:paraId="0202DF9B" w14:textId="77777777" w:rsidR="001E5E8D" w:rsidRPr="00CF2E90" w:rsidRDefault="001E5E8D" w:rsidP="001E5E8D">
            <w:pPr>
              <w:ind w:left="0" w:right="0" w:firstLine="0"/>
              <w:jc w:val="center"/>
              <w:rPr>
                <w:b/>
                <w:bCs/>
                <w:szCs w:val="22"/>
              </w:rPr>
            </w:pPr>
          </w:p>
          <w:p w14:paraId="6A66099C" w14:textId="413AEFB0" w:rsidR="00F0296C" w:rsidRPr="00CF2E90" w:rsidRDefault="00F0296C" w:rsidP="001E5E8D">
            <w:pPr>
              <w:ind w:left="0" w:right="0" w:firstLine="0"/>
              <w:jc w:val="center"/>
              <w:rPr>
                <w:b/>
                <w:bCs/>
                <w:szCs w:val="22"/>
              </w:rPr>
            </w:pPr>
            <w:r w:rsidRPr="00CF2E90">
              <w:rPr>
                <w:b/>
                <w:bCs/>
                <w:szCs w:val="22"/>
              </w:rPr>
              <w:t>Inexistencia de un término máximo del incidente de reparación integral</w:t>
            </w:r>
          </w:p>
        </w:tc>
        <w:tc>
          <w:tcPr>
            <w:tcW w:w="6567" w:type="dxa"/>
          </w:tcPr>
          <w:p w14:paraId="667AE65E" w14:textId="77777777" w:rsidR="001E5E8D" w:rsidRPr="00CF2E90" w:rsidRDefault="001E5E8D" w:rsidP="001E5E8D">
            <w:pPr>
              <w:pStyle w:val="Prrafodelista"/>
              <w:numPr>
                <w:ilvl w:val="0"/>
                <w:numId w:val="7"/>
              </w:numPr>
              <w:ind w:left="175" w:right="0" w:hanging="175"/>
              <w:rPr>
                <w:szCs w:val="22"/>
              </w:rPr>
            </w:pPr>
            <w:r w:rsidRPr="00CF2E90">
              <w:rPr>
                <w:szCs w:val="22"/>
              </w:rPr>
              <w:t>“Aplicando lo anterior al caso concreto, un procedimiento judicial sin un término máximo de duración, que puede prolongarse indefinidamente en el tiempo, es intrínsecamente ineficaz”.</w:t>
            </w:r>
          </w:p>
          <w:p w14:paraId="38BB7D8F" w14:textId="77777777" w:rsidR="001E5E8D" w:rsidRPr="00CF2E90" w:rsidRDefault="001E5E8D" w:rsidP="001E5E8D">
            <w:pPr>
              <w:pStyle w:val="Prrafodelista"/>
              <w:numPr>
                <w:ilvl w:val="0"/>
                <w:numId w:val="7"/>
              </w:numPr>
              <w:ind w:left="175" w:right="0" w:hanging="175"/>
              <w:rPr>
                <w:szCs w:val="22"/>
              </w:rPr>
            </w:pPr>
            <w:r w:rsidRPr="00CF2E90">
              <w:rPr>
                <w:szCs w:val="22"/>
              </w:rPr>
              <w:t>“Al verificar la aplicación de estas normas a la institución bajo estudio, salta a la vista que el IRI no goza de las garantías dispuestas por el artículo 8 del CADH, en tanto el legislador no dispuso para este proceso un término máximo de duración”.</w:t>
            </w:r>
          </w:p>
          <w:p w14:paraId="636E01F4" w14:textId="0E4DCCF4" w:rsidR="001E5E8D" w:rsidRPr="00CF2E90" w:rsidRDefault="00F0296C" w:rsidP="001E5E8D">
            <w:pPr>
              <w:pStyle w:val="Prrafodelista"/>
              <w:numPr>
                <w:ilvl w:val="0"/>
                <w:numId w:val="7"/>
              </w:numPr>
              <w:ind w:left="175" w:right="0" w:hanging="175"/>
              <w:rPr>
                <w:szCs w:val="22"/>
              </w:rPr>
            </w:pPr>
            <w:r w:rsidRPr="00CF2E90">
              <w:rPr>
                <w:szCs w:val="22"/>
              </w:rPr>
              <w:t>“En desarrollo de lo anterior, la omisión del legislador degrada al IRI de un mecanismo efectivo a una mera formalidad. Al no tener un término máximo, el procedimiento puede dilatarse indefinidamente, lo que provoca que el derecho a la reparación, aunque reconocido en la sentencia penal, quede en un limbo procesal, sin posibilidad de materializarse”.</w:t>
            </w:r>
          </w:p>
          <w:p w14:paraId="59BC61EA" w14:textId="1C5C7896" w:rsidR="001E5E8D" w:rsidRPr="00CF2E90" w:rsidRDefault="001E5E8D" w:rsidP="001E5E8D">
            <w:pPr>
              <w:pStyle w:val="Prrafodelista"/>
              <w:numPr>
                <w:ilvl w:val="0"/>
                <w:numId w:val="7"/>
              </w:numPr>
              <w:ind w:left="175" w:right="0" w:hanging="175"/>
              <w:rPr>
                <w:szCs w:val="22"/>
              </w:rPr>
            </w:pPr>
            <w:r w:rsidRPr="00CF2E90">
              <w:rPr>
                <w:szCs w:val="22"/>
              </w:rPr>
              <w:t>“El tercer requisito exigido por la jurisprudencia para la procedencia de una acción por omisión legislativa relativa impone demostrar que la exclusión —en este caso, el término máximo de duración del IRI— carece de un principio de razón suficiente”.</w:t>
            </w:r>
          </w:p>
          <w:p w14:paraId="678B99E2" w14:textId="4CEAB6A7" w:rsidR="00F0296C" w:rsidRPr="00CF2E90" w:rsidRDefault="00F0296C" w:rsidP="001E5E8D">
            <w:pPr>
              <w:pStyle w:val="Prrafodelista"/>
              <w:numPr>
                <w:ilvl w:val="0"/>
                <w:numId w:val="7"/>
              </w:numPr>
              <w:ind w:left="175" w:right="0" w:hanging="175"/>
              <w:rPr>
                <w:szCs w:val="22"/>
              </w:rPr>
            </w:pPr>
            <w:r w:rsidRPr="00CF2E90">
              <w:rPr>
                <w:szCs w:val="22"/>
              </w:rPr>
              <w:t xml:space="preserve">“La omisión del legislador de fijar un término máximo para la duración del IRI vulnera de manera simultánea los derechos fundamentales al debido proceso (Art. 29 C.P.) y al acceso a la administración de justicia (Art. 229 C.P.)”. </w:t>
            </w:r>
          </w:p>
        </w:tc>
      </w:tr>
    </w:tbl>
    <w:p w14:paraId="785EBCA8" w14:textId="77777777" w:rsidR="00F0296C" w:rsidRPr="00CF2E90" w:rsidRDefault="00F0296C" w:rsidP="001E5E8D">
      <w:pPr>
        <w:ind w:left="0" w:right="0" w:firstLine="0"/>
      </w:pPr>
    </w:p>
    <w:p w14:paraId="21FD9AD2" w14:textId="3573745F" w:rsidR="001E5E8D" w:rsidRPr="00CF2E90" w:rsidRDefault="00C67ABD" w:rsidP="00F0296C">
      <w:pPr>
        <w:numPr>
          <w:ilvl w:val="0"/>
          <w:numId w:val="6"/>
        </w:numPr>
        <w:ind w:left="0" w:right="0" w:firstLine="0"/>
      </w:pPr>
      <w:r w:rsidRPr="00CF2E90">
        <w:t xml:space="preserve">Esta inconsistencia </w:t>
      </w:r>
      <w:r w:rsidR="00F0296C" w:rsidRPr="00CF2E90">
        <w:t xml:space="preserve">en el ingrediente normativo presuntamente omitido </w:t>
      </w:r>
      <w:r w:rsidRPr="00CF2E90">
        <w:t>también se refleja en las pretensiones</w:t>
      </w:r>
      <w:r w:rsidR="00A04F71" w:rsidRPr="00CF2E90">
        <w:t xml:space="preserve"> de la demanda</w:t>
      </w:r>
      <w:r w:rsidRPr="00CF2E90">
        <w:t xml:space="preserve">. En efecto, los </w:t>
      </w:r>
      <w:r w:rsidR="00A04F71" w:rsidRPr="00CF2E90">
        <w:t xml:space="preserve">actores </w:t>
      </w:r>
      <w:r w:rsidRPr="00CF2E90">
        <w:t>solicitaron</w:t>
      </w:r>
      <w:r w:rsidR="004E5375" w:rsidRPr="00CF2E90">
        <w:t>, como pretensi</w:t>
      </w:r>
      <w:r w:rsidR="00F0296C" w:rsidRPr="00CF2E90">
        <w:t>ones</w:t>
      </w:r>
      <w:r w:rsidR="004E5375" w:rsidRPr="00CF2E90">
        <w:t xml:space="preserve"> principal</w:t>
      </w:r>
      <w:r w:rsidR="00F0296C" w:rsidRPr="00CF2E90">
        <w:t>es</w:t>
      </w:r>
      <w:r w:rsidR="004E5375" w:rsidRPr="00CF2E90">
        <w:t xml:space="preserve">, que la Corte (i) profiera una sentencia integradora que fije “el término de prescripción para </w:t>
      </w:r>
      <w:r w:rsidR="004E5375" w:rsidRPr="00CF2E90">
        <w:rPr>
          <w:i/>
          <w:iCs/>
        </w:rPr>
        <w:t>iniciar</w:t>
      </w:r>
      <w:r w:rsidR="004E5375" w:rsidRPr="00CF2E90">
        <w:t xml:space="preserve"> el Incidente de Reparación Integral”</w:t>
      </w:r>
      <w:r w:rsidR="004E5375" w:rsidRPr="00CF2E90">
        <w:rPr>
          <w:vertAlign w:val="superscript"/>
        </w:rPr>
        <w:footnoteReference w:id="72"/>
      </w:r>
      <w:r w:rsidR="004E5375" w:rsidRPr="00CF2E90">
        <w:t xml:space="preserve"> y (ii) </w:t>
      </w:r>
      <w:r w:rsidR="00A04F71" w:rsidRPr="00CF2E90">
        <w:t>que, al mismo tiempo,</w:t>
      </w:r>
      <w:r w:rsidR="00F0296C" w:rsidRPr="00CF2E90">
        <w:t xml:space="preserve"> </w:t>
      </w:r>
      <w:r w:rsidR="004E5375" w:rsidRPr="00CF2E90">
        <w:t xml:space="preserve">exhorte al Congreso a regular la </w:t>
      </w:r>
      <w:r w:rsidR="00F0296C" w:rsidRPr="00CF2E90">
        <w:t xml:space="preserve">duración máxima del </w:t>
      </w:r>
      <w:r w:rsidR="00443584" w:rsidRPr="00CF2E90">
        <w:t>proceso</w:t>
      </w:r>
      <w:r w:rsidR="004E5375" w:rsidRPr="00CF2E90">
        <w:t xml:space="preserve">. </w:t>
      </w:r>
      <w:r w:rsidR="001E5E8D" w:rsidRPr="00CF2E90">
        <w:t xml:space="preserve">Como puede verse, la primera pretensión </w:t>
      </w:r>
      <w:r w:rsidR="00A04F71" w:rsidRPr="00CF2E90">
        <w:t xml:space="preserve">busca </w:t>
      </w:r>
      <w:r w:rsidR="001E5E8D" w:rsidRPr="00CF2E90">
        <w:t xml:space="preserve">que la Corte fije un término de prescripción de la </w:t>
      </w:r>
      <w:r w:rsidR="001E5E8D" w:rsidRPr="00CF2E90">
        <w:rPr>
          <w:i/>
          <w:iCs/>
        </w:rPr>
        <w:t>acción</w:t>
      </w:r>
      <w:r w:rsidR="001E5E8D" w:rsidRPr="00CF2E90">
        <w:t xml:space="preserve">. En contraste, la segunda pretensión principal parece estar encaminada a fijar un </w:t>
      </w:r>
      <w:r w:rsidR="00A04F71" w:rsidRPr="00CF2E90">
        <w:t>plazo máximo para el</w:t>
      </w:r>
      <w:r w:rsidR="00443584" w:rsidRPr="00CF2E90">
        <w:t xml:space="preserve"> </w:t>
      </w:r>
      <w:r w:rsidR="000C6D53" w:rsidRPr="00CF2E90">
        <w:t xml:space="preserve">incidente de reparación integral. </w:t>
      </w:r>
    </w:p>
    <w:p w14:paraId="5C6FD6F5" w14:textId="77777777" w:rsidR="001E5E8D" w:rsidRPr="00CF2E90" w:rsidRDefault="001E5E8D" w:rsidP="001E5E8D">
      <w:pPr>
        <w:ind w:left="0" w:right="0" w:firstLine="0"/>
      </w:pPr>
    </w:p>
    <w:p w14:paraId="1D80921A" w14:textId="51CF2354" w:rsidR="0002652A" w:rsidRPr="00CF2E90" w:rsidRDefault="001E5E8D" w:rsidP="0002652A">
      <w:pPr>
        <w:numPr>
          <w:ilvl w:val="0"/>
          <w:numId w:val="6"/>
        </w:numPr>
        <w:ind w:left="0" w:right="0" w:firstLine="0"/>
      </w:pPr>
      <w:r w:rsidRPr="00CF2E90">
        <w:t xml:space="preserve"> </w:t>
      </w:r>
      <w:r w:rsidR="00970954" w:rsidRPr="00CF2E90">
        <w:t>Ahora bien, la Sala Plena reconoce que, en un aparte de la demanda, los actores señalan que “es imperativo no confundir la figura de la prescripción con lo dispuesto en el artículo 121 del CGP que regula la duración máxima de los procesos”</w:t>
      </w:r>
      <w:r w:rsidR="00970954" w:rsidRPr="00CF2E90">
        <w:rPr>
          <w:rStyle w:val="Refdenotaalpie"/>
        </w:rPr>
        <w:footnoteReference w:id="73"/>
      </w:r>
      <w:r w:rsidR="00970954" w:rsidRPr="00CF2E90">
        <w:t xml:space="preserve">. No obstante, este aparte no </w:t>
      </w:r>
      <w:r w:rsidR="00A04F71" w:rsidRPr="00CF2E90">
        <w:t>aclara</w:t>
      </w:r>
      <w:r w:rsidR="00970954" w:rsidRPr="00CF2E90">
        <w:t xml:space="preserve"> el alcance del cargo. Por el contrario, acentúa la confusión advertida</w:t>
      </w:r>
      <w:r w:rsidR="00326454" w:rsidRPr="00CF2E90">
        <w:t>, dado que resulta incomprensible que, en la mayor parte de la demanda, los actores traten la prescripción de la acción resarcitoria y el término máximo del IRI como instituciones análogas, mientras que en otros casos</w:t>
      </w:r>
      <w:r w:rsidR="00970954" w:rsidRPr="00CF2E90">
        <w:t xml:space="preserve"> </w:t>
      </w:r>
      <w:r w:rsidR="00DD7871" w:rsidRPr="00CF2E90">
        <w:t>sugieren</w:t>
      </w:r>
      <w:r w:rsidR="0013312A" w:rsidRPr="00CF2E90">
        <w:t xml:space="preserve"> </w:t>
      </w:r>
      <w:r w:rsidR="00970954" w:rsidRPr="00CF2E90">
        <w:t xml:space="preserve">que son diferentes. </w:t>
      </w:r>
    </w:p>
    <w:p w14:paraId="31C22179" w14:textId="77777777" w:rsidR="00631A64" w:rsidRPr="00CF2E90" w:rsidRDefault="00631A64" w:rsidP="00716AE9">
      <w:pPr>
        <w:ind w:left="0" w:firstLine="0"/>
      </w:pPr>
    </w:p>
    <w:p w14:paraId="63200AFA" w14:textId="2D7592F1" w:rsidR="00970954" w:rsidRPr="00CF2E90" w:rsidRDefault="00631A64">
      <w:pPr>
        <w:numPr>
          <w:ilvl w:val="0"/>
          <w:numId w:val="6"/>
        </w:numPr>
        <w:ind w:left="0" w:right="0" w:firstLine="0"/>
      </w:pPr>
      <w:r w:rsidRPr="00CF2E90">
        <w:t>Esta oscilación entre dos ingredientes normativos</w:t>
      </w:r>
      <w:r w:rsidR="0013312A" w:rsidRPr="00CF2E90">
        <w:t>, de naturaleza y consecuencias jurídicas distintas, impide identificar con claridad cuál es el vacío que los actores</w:t>
      </w:r>
      <w:r w:rsidRPr="00CF2E90">
        <w:t xml:space="preserve"> atribuyen al legislador en las normas acusadas.</w:t>
      </w:r>
      <w:r w:rsidR="00970954" w:rsidRPr="00CF2E90">
        <w:t xml:space="preserve"> Esta falta insuperable de claridad se </w:t>
      </w:r>
      <w:r w:rsidR="0013312A" w:rsidRPr="00CF2E90">
        <w:t>comprueba en las intervenciones presentadas durante el trámite de fijación en lista del</w:t>
      </w:r>
      <w:r w:rsidR="00970954" w:rsidRPr="00CF2E90">
        <w:t xml:space="preserve"> presente proceso. En efecto, algunos intervinientes presentaron consideraciones sobre la presunta ausencia de un término de prescripción. Otros interpretaron que la omisión denunciada consistía en la inexistencia de un término máximo de duración del incidente de reparación integral. </w:t>
      </w:r>
      <w:r w:rsidR="00443584" w:rsidRPr="00CF2E90">
        <w:t xml:space="preserve">Por último, los intervinientes que solicitaron a la Corte que dictara un fallo inhibitorio fundaron su solicitud, justamente, en las imprecisiones dogmáticas y técnicas que conducen a concluir que la demanda carece de claridad. </w:t>
      </w:r>
    </w:p>
    <w:p w14:paraId="01A32796" w14:textId="77777777" w:rsidR="00970954" w:rsidRPr="00CF2E90" w:rsidRDefault="00970954" w:rsidP="00970954">
      <w:pPr>
        <w:ind w:left="0" w:right="0" w:firstLine="0"/>
        <w:rPr>
          <w:color w:val="000000" w:themeColor="text1"/>
        </w:rPr>
      </w:pPr>
    </w:p>
    <w:p w14:paraId="6550DEB8" w14:textId="7FDDD4BB" w:rsidR="00631A64" w:rsidRPr="00CF2E90" w:rsidRDefault="00970954">
      <w:pPr>
        <w:numPr>
          <w:ilvl w:val="0"/>
          <w:numId w:val="6"/>
        </w:numPr>
        <w:ind w:left="0" w:right="0" w:firstLine="0"/>
        <w:rPr>
          <w:color w:val="000000" w:themeColor="text1"/>
        </w:rPr>
      </w:pPr>
      <w:r w:rsidRPr="00CF2E90">
        <w:t>La Corte reitera que</w:t>
      </w:r>
      <w:r w:rsidR="0013312A" w:rsidRPr="00CF2E90">
        <w:t xml:space="preserve"> el</w:t>
      </w:r>
      <w:r w:rsidRPr="00CF2E90">
        <w:t xml:space="preserve"> </w:t>
      </w:r>
      <w:r w:rsidR="00631A64" w:rsidRPr="00CF2E90">
        <w:t xml:space="preserve">requisito </w:t>
      </w:r>
      <w:r w:rsidR="0013312A" w:rsidRPr="00CF2E90">
        <w:t xml:space="preserve">argumentativo </w:t>
      </w:r>
      <w:r w:rsidR="00631A64" w:rsidRPr="00CF2E90">
        <w:t xml:space="preserve">de claridad </w:t>
      </w:r>
      <w:r w:rsidR="0013312A" w:rsidRPr="00CF2E90">
        <w:t xml:space="preserve">desarrollado por la jurisprudencia constitucional </w:t>
      </w:r>
      <w:r w:rsidR="00631A64" w:rsidRPr="00CF2E90">
        <w:t>exige que los argumentos de la demanda sean “determinados y comprensibles” y permitan captar de manera inequívoca en qué sentido el texto demandado infringe la Constitución</w:t>
      </w:r>
      <w:r w:rsidR="00631A64" w:rsidRPr="00CF2E90">
        <w:rPr>
          <w:rStyle w:val="Refdenotaalpie"/>
        </w:rPr>
        <w:footnoteReference w:id="74"/>
      </w:r>
      <w:r w:rsidR="00631A64" w:rsidRPr="00CF2E90">
        <w:t xml:space="preserve">. </w:t>
      </w:r>
      <w:r w:rsidRPr="00CF2E90">
        <w:t>C</w:t>
      </w:r>
      <w:r w:rsidR="00631A64" w:rsidRPr="00CF2E90">
        <w:t xml:space="preserve">uando la Corte examina un cargo por omisión legislativa relativa y el ingrediente normativo presuntamente omitido no puede identificarse con precisión </w:t>
      </w:r>
      <w:r w:rsidR="0013312A" w:rsidRPr="00CF2E90">
        <w:t>e inequívocamente, no procede</w:t>
      </w:r>
      <w:r w:rsidRPr="00CF2E90">
        <w:t xml:space="preserve"> </w:t>
      </w:r>
      <w:r w:rsidR="0013312A" w:rsidRPr="00CF2E90">
        <w:t xml:space="preserve">a efectuar </w:t>
      </w:r>
      <w:r w:rsidRPr="00CF2E90">
        <w:t>un examen</w:t>
      </w:r>
      <w:r w:rsidR="00631A64" w:rsidRPr="00CF2E90">
        <w:t xml:space="preserve"> de </w:t>
      </w:r>
      <w:r w:rsidRPr="00CF2E90">
        <w:t xml:space="preserve">fondo. </w:t>
      </w:r>
      <w:r w:rsidR="0013312A" w:rsidRPr="00CF2E90">
        <w:t>En criterio de la Sala Plena, e</w:t>
      </w:r>
      <w:r w:rsidRPr="00CF2E90">
        <w:t xml:space="preserve">sto es lo que ocurre en este caso. </w:t>
      </w:r>
    </w:p>
    <w:p w14:paraId="745BC5A3" w14:textId="77777777" w:rsidR="00631A64" w:rsidRPr="00CF2E90" w:rsidRDefault="00631A64" w:rsidP="00631A64">
      <w:pPr>
        <w:ind w:left="0" w:right="0" w:firstLine="0"/>
        <w:rPr>
          <w:color w:val="000000" w:themeColor="text1"/>
        </w:rPr>
      </w:pPr>
    </w:p>
    <w:p w14:paraId="0E16976F" w14:textId="10B55556" w:rsidR="00630EDF" w:rsidRPr="00CF2E90" w:rsidRDefault="00970954" w:rsidP="00B209ED">
      <w:pPr>
        <w:pStyle w:val="Prrafodelista"/>
        <w:numPr>
          <w:ilvl w:val="0"/>
          <w:numId w:val="10"/>
        </w:numPr>
        <w:rPr>
          <w:color w:val="000000" w:themeColor="text1"/>
          <w:u w:val="single"/>
        </w:rPr>
      </w:pPr>
      <w:r w:rsidRPr="00CF2E90">
        <w:rPr>
          <w:color w:val="000000" w:themeColor="text1"/>
          <w:u w:val="single"/>
        </w:rPr>
        <w:t>Certeza</w:t>
      </w:r>
    </w:p>
    <w:p w14:paraId="13BC48DB" w14:textId="77777777" w:rsidR="00630EDF" w:rsidRPr="00CF2E90" w:rsidRDefault="00630EDF" w:rsidP="00630EDF">
      <w:pPr>
        <w:ind w:left="0" w:firstLine="0"/>
        <w:rPr>
          <w:color w:val="000000" w:themeColor="text1"/>
        </w:rPr>
      </w:pPr>
    </w:p>
    <w:p w14:paraId="4E67A152" w14:textId="4617E31D" w:rsidR="001761EC" w:rsidRPr="00CF2E90" w:rsidRDefault="001F3B5E" w:rsidP="001761EC">
      <w:pPr>
        <w:pStyle w:val="Prrafodelista"/>
        <w:numPr>
          <w:ilvl w:val="0"/>
          <w:numId w:val="6"/>
        </w:numPr>
        <w:ind w:left="0" w:firstLine="0"/>
        <w:rPr>
          <w:color w:val="000000" w:themeColor="text1"/>
        </w:rPr>
      </w:pPr>
      <w:r w:rsidRPr="00CF2E90">
        <w:rPr>
          <w:color w:val="000000" w:themeColor="text1"/>
        </w:rPr>
        <w:t xml:space="preserve">La </w:t>
      </w:r>
      <w:r w:rsidR="00DC6442" w:rsidRPr="00CF2E90">
        <w:rPr>
          <w:color w:val="000000" w:themeColor="text1"/>
        </w:rPr>
        <w:t>Corte</w:t>
      </w:r>
      <w:r w:rsidR="00970954" w:rsidRPr="00CF2E90">
        <w:rPr>
          <w:color w:val="000000" w:themeColor="text1"/>
        </w:rPr>
        <w:t xml:space="preserve"> </w:t>
      </w:r>
      <w:r w:rsidRPr="00CF2E90">
        <w:rPr>
          <w:color w:val="000000" w:themeColor="text1"/>
        </w:rPr>
        <w:t xml:space="preserve">constata que el cargo tampoco satisface el requisito de certeza. Como se expuso </w:t>
      </w:r>
      <w:r w:rsidRPr="00CF2E90">
        <w:rPr>
          <w:i/>
          <w:iCs/>
          <w:color w:val="000000" w:themeColor="text1"/>
        </w:rPr>
        <w:t>supra</w:t>
      </w:r>
      <w:r w:rsidR="005B69DC" w:rsidRPr="00CF2E90">
        <w:rPr>
          <w:i/>
          <w:iCs/>
          <w:color w:val="000000" w:themeColor="text1"/>
        </w:rPr>
        <w:t xml:space="preserve"> </w:t>
      </w:r>
      <w:r w:rsidR="005B69DC" w:rsidRPr="00CF2E90">
        <w:rPr>
          <w:color w:val="000000" w:themeColor="text1"/>
        </w:rPr>
        <w:t>(párrs. 37 a 40)</w:t>
      </w:r>
      <w:r w:rsidRPr="00CF2E90">
        <w:rPr>
          <w:color w:val="000000" w:themeColor="text1"/>
        </w:rPr>
        <w:t xml:space="preserve">, </w:t>
      </w:r>
      <w:r w:rsidR="00A61B4A" w:rsidRPr="00CF2E90">
        <w:rPr>
          <w:color w:val="000000" w:themeColor="text1"/>
        </w:rPr>
        <w:t xml:space="preserve">cuando se formulan cargos por omisión </w:t>
      </w:r>
      <w:r w:rsidRPr="00CF2E90">
        <w:rPr>
          <w:color w:val="000000" w:themeColor="text1"/>
        </w:rPr>
        <w:t xml:space="preserve">legislativa relativa que denuncian la ausencia de un término procesal, </w:t>
      </w:r>
      <w:r w:rsidR="00A61B4A" w:rsidRPr="00CF2E90">
        <w:rPr>
          <w:color w:val="000000" w:themeColor="text1"/>
        </w:rPr>
        <w:t xml:space="preserve">la argumentación </w:t>
      </w:r>
      <w:r w:rsidR="00A61B4A" w:rsidRPr="00CF2E90">
        <w:rPr>
          <w:color w:val="000000" w:themeColor="text1"/>
          <w:lang w:val="es-ES_tradnl"/>
        </w:rPr>
        <w:t>no puede fundarse en una lectura aislada o descontextualizada de las normas demandadas</w:t>
      </w:r>
      <w:r w:rsidR="0013312A" w:rsidRPr="00CF2E90">
        <w:rPr>
          <w:color w:val="000000" w:themeColor="text1"/>
          <w:lang w:val="es-ES_tradnl"/>
        </w:rPr>
        <w:t>, que ignore el régimen y el contexto normativo en los</w:t>
      </w:r>
      <w:r w:rsidR="00A61B4A" w:rsidRPr="00CF2E90">
        <w:rPr>
          <w:color w:val="000000" w:themeColor="text1"/>
          <w:lang w:val="es-ES_tradnl"/>
        </w:rPr>
        <w:t xml:space="preserve"> que se insertan</w:t>
      </w:r>
      <w:r w:rsidR="00A61B4A" w:rsidRPr="00CF2E90">
        <w:rPr>
          <w:vertAlign w:val="superscript"/>
        </w:rPr>
        <w:footnoteReference w:id="75"/>
      </w:r>
      <w:r w:rsidR="00A61B4A" w:rsidRPr="00CF2E90">
        <w:rPr>
          <w:color w:val="000000" w:themeColor="text1"/>
          <w:lang w:val="es-ES_tradnl"/>
        </w:rPr>
        <w:t xml:space="preserve">. </w:t>
      </w:r>
      <w:r w:rsidR="0013312A" w:rsidRPr="00CF2E90">
        <w:rPr>
          <w:color w:val="000000" w:themeColor="text1"/>
          <w:lang w:val="es-ES_tradnl"/>
        </w:rPr>
        <w:t>La</w:t>
      </w:r>
      <w:r w:rsidR="00A61B4A" w:rsidRPr="00CF2E90">
        <w:rPr>
          <w:color w:val="000000" w:themeColor="text1"/>
          <w:lang w:val="es-ES_tradnl"/>
        </w:rPr>
        <w:t xml:space="preserve"> jurisprudencia</w:t>
      </w:r>
      <w:r w:rsidR="0013312A" w:rsidRPr="00CF2E90">
        <w:rPr>
          <w:color w:val="000000" w:themeColor="text1"/>
          <w:lang w:val="es-ES_tradnl"/>
        </w:rPr>
        <w:t xml:space="preserve"> constitucional</w:t>
      </w:r>
      <w:r w:rsidR="00A61B4A" w:rsidRPr="00CF2E90">
        <w:rPr>
          <w:color w:val="000000" w:themeColor="text1"/>
          <w:lang w:val="es-ES_tradnl"/>
        </w:rPr>
        <w:t xml:space="preserve"> ha </w:t>
      </w:r>
      <w:r w:rsidR="0013312A" w:rsidRPr="00CF2E90">
        <w:rPr>
          <w:color w:val="000000" w:themeColor="text1"/>
          <w:lang w:val="es-ES_tradnl"/>
        </w:rPr>
        <w:t xml:space="preserve">enfatizado </w:t>
      </w:r>
      <w:r w:rsidR="00A61B4A" w:rsidRPr="00CF2E90">
        <w:rPr>
          <w:color w:val="000000" w:themeColor="text1"/>
          <w:lang w:val="es-ES_tradnl"/>
        </w:rPr>
        <w:t xml:space="preserve">que el demandante debe demostrar no </w:t>
      </w:r>
      <w:r w:rsidR="0013312A" w:rsidRPr="00CF2E90">
        <w:rPr>
          <w:color w:val="000000" w:themeColor="text1"/>
          <w:lang w:val="es-ES_tradnl"/>
        </w:rPr>
        <w:t>solo que la norma o normas demandadas no establecen la regulación presuntamente omitida, sino también que el precepto omitido no se encuentra en ninguna otra norma ni puede hallarse mediante</w:t>
      </w:r>
      <w:r w:rsidR="00A61B4A" w:rsidRPr="00CF2E90">
        <w:rPr>
          <w:color w:val="000000" w:themeColor="text1"/>
          <w:lang w:val="es-ES_tradnl"/>
        </w:rPr>
        <w:t xml:space="preserve"> una interpretación sistemática o analógica del régimen normativo del </w:t>
      </w:r>
      <w:r w:rsidR="0013312A" w:rsidRPr="00CF2E90">
        <w:rPr>
          <w:color w:val="000000" w:themeColor="text1"/>
          <w:lang w:val="es-ES_tradnl"/>
        </w:rPr>
        <w:t xml:space="preserve">que </w:t>
      </w:r>
      <w:r w:rsidR="00A61B4A" w:rsidRPr="00CF2E90">
        <w:rPr>
          <w:color w:val="000000" w:themeColor="text1"/>
          <w:lang w:val="es-ES_tradnl"/>
        </w:rPr>
        <w:t xml:space="preserve">forma parte. </w:t>
      </w:r>
    </w:p>
    <w:p w14:paraId="24D40093" w14:textId="77777777" w:rsidR="00A61B4A" w:rsidRPr="00CF2E90" w:rsidRDefault="00A61B4A" w:rsidP="00A61B4A">
      <w:pPr>
        <w:pStyle w:val="Prrafodelista"/>
        <w:ind w:left="0" w:firstLine="0"/>
        <w:rPr>
          <w:color w:val="000000" w:themeColor="text1"/>
        </w:rPr>
      </w:pPr>
    </w:p>
    <w:p w14:paraId="3CB6C87A" w14:textId="46ABAAF5" w:rsidR="00B26D02" w:rsidRPr="00CF2E90" w:rsidRDefault="00DC6442" w:rsidP="00D533D9">
      <w:pPr>
        <w:pStyle w:val="Prrafodelista"/>
        <w:numPr>
          <w:ilvl w:val="0"/>
          <w:numId w:val="6"/>
        </w:numPr>
        <w:ind w:left="0" w:firstLine="0"/>
        <w:rPr>
          <w:color w:val="000000" w:themeColor="text1"/>
        </w:rPr>
      </w:pPr>
      <w:r w:rsidRPr="00CF2E90">
        <w:t xml:space="preserve">La Corte considera que esta regla de decisión es plenamente aplicable en el presente caso. </w:t>
      </w:r>
      <w:r w:rsidR="004E0DF4" w:rsidRPr="00CF2E90">
        <w:t>En</w:t>
      </w:r>
      <w:r w:rsidR="001761EC" w:rsidRPr="00CF2E90">
        <w:t xml:space="preserve"> </w:t>
      </w:r>
      <w:r w:rsidRPr="00CF2E90">
        <w:t>efecto</w:t>
      </w:r>
      <w:r w:rsidR="001761EC" w:rsidRPr="00CF2E90">
        <w:t xml:space="preserve">, </w:t>
      </w:r>
      <w:r w:rsidRPr="00CF2E90">
        <w:t>el cargo por omisión legislativa relativa</w:t>
      </w:r>
      <w:r w:rsidR="001761EC" w:rsidRPr="00CF2E90">
        <w:t xml:space="preserve"> </w:t>
      </w:r>
      <w:r w:rsidRPr="00CF2E90">
        <w:t>que los demandantes formulan en la demanda D-16867 se funda</w:t>
      </w:r>
      <w:r w:rsidR="0013312A" w:rsidRPr="00CF2E90">
        <w:t xml:space="preserve"> principalmente en que los artículos 102 a 106 de la Ley 906 de 2004 no prevén de forma expresa un término de prescripción para iniciar el IRI ni ningún plazo de duración máxima</w:t>
      </w:r>
      <w:r w:rsidR="001761EC" w:rsidRPr="00CF2E90">
        <w:t xml:space="preserve"> </w:t>
      </w:r>
      <w:r w:rsidRPr="00CF2E90">
        <w:t xml:space="preserve">para su tramitación. Los demandantes, sin embargo, </w:t>
      </w:r>
      <w:r w:rsidR="00E15B70" w:rsidRPr="00CF2E90">
        <w:t>no consideraro</w:t>
      </w:r>
      <w:r w:rsidR="00271828" w:rsidRPr="00CF2E90">
        <w:t xml:space="preserve">n </w:t>
      </w:r>
      <w:r w:rsidRPr="00CF2E90">
        <w:t>que</w:t>
      </w:r>
      <w:r w:rsidR="00397C91" w:rsidRPr="00CF2E90">
        <w:t>,</w:t>
      </w:r>
      <w:r w:rsidRPr="00CF2E90">
        <w:t xml:space="preserve"> conforme a la jurisprudencia de la Sala Penal, este vacío puede llenarse por medio de la cláusula de remisión prevista en el artículo 25 del Código de Procedimiento Penal. </w:t>
      </w:r>
    </w:p>
    <w:p w14:paraId="4B35D4E0" w14:textId="77777777" w:rsidR="00B26D02" w:rsidRPr="00CF2E90" w:rsidRDefault="00B26D02" w:rsidP="00A61B4A">
      <w:pPr>
        <w:ind w:left="0" w:firstLine="0"/>
        <w:rPr>
          <w:color w:val="000000" w:themeColor="text1"/>
        </w:rPr>
      </w:pPr>
    </w:p>
    <w:p w14:paraId="08B12890" w14:textId="2B8DF8C0" w:rsidR="0013312A" w:rsidRPr="00CF2E90" w:rsidRDefault="00DC6442" w:rsidP="00645384">
      <w:pPr>
        <w:pStyle w:val="Prrafodelista"/>
        <w:numPr>
          <w:ilvl w:val="0"/>
          <w:numId w:val="6"/>
        </w:numPr>
        <w:ind w:left="0" w:firstLine="0"/>
      </w:pPr>
      <w:r w:rsidRPr="00CF2E90">
        <w:rPr>
          <w:color w:val="000000" w:themeColor="text1"/>
        </w:rPr>
        <w:t>El</w:t>
      </w:r>
      <w:r w:rsidR="00B26D02" w:rsidRPr="00CF2E90">
        <w:rPr>
          <w:color w:val="000000" w:themeColor="text1"/>
        </w:rPr>
        <w:t xml:space="preserve"> </w:t>
      </w:r>
      <w:r w:rsidR="0013312A" w:rsidRPr="00CF2E90">
        <w:rPr>
          <w:color w:val="000000" w:themeColor="text1"/>
        </w:rPr>
        <w:t xml:space="preserve">artículo </w:t>
      </w:r>
      <w:r w:rsidR="00B26D02" w:rsidRPr="00CF2E90">
        <w:rPr>
          <w:color w:val="000000" w:themeColor="text1"/>
        </w:rPr>
        <w:t xml:space="preserve">25 del Código de Procedimiento Penal establece que “[e]n materias que no estén expresamente reguladas en este código o demás disposiciones complementarias, son aplicables las del Código de Procedimiento Civil y las de otros ordenamientos procesales cuando no se opongan a la naturaleza del procedimiento penal”. Esta regla de integración normativa forma parte del mismo estatuto procesal que contiene las normas demandadas y constituye un mandato de interpretación sistemática aplicable al régimen del IRI. </w:t>
      </w:r>
      <w:r w:rsidRPr="00CF2E90">
        <w:t xml:space="preserve">Con base en esta norma, la Sala de Casación Penal de la Corte Suprema de Justicia ha señalado </w:t>
      </w:r>
      <w:r w:rsidR="00645384" w:rsidRPr="00CF2E90">
        <w:rPr>
          <w:color w:val="000000" w:themeColor="text1"/>
        </w:rPr>
        <w:t>que el IRI, como actuación de naturaleza materialmente civil, se rige por la normativ</w:t>
      </w:r>
      <w:r w:rsidR="009B4AA3" w:rsidRPr="00CF2E90">
        <w:rPr>
          <w:color w:val="000000" w:themeColor="text1"/>
        </w:rPr>
        <w:t>a</w:t>
      </w:r>
      <w:r w:rsidR="00645384" w:rsidRPr="00CF2E90">
        <w:rPr>
          <w:color w:val="000000" w:themeColor="text1"/>
        </w:rPr>
        <w:t xml:space="preserve"> procesal civil</w:t>
      </w:r>
      <w:r w:rsidR="0013312A" w:rsidRPr="00CF2E90">
        <w:rPr>
          <w:color w:val="000000" w:themeColor="text1"/>
        </w:rPr>
        <w:t>, en virtud del</w:t>
      </w:r>
      <w:r w:rsidR="00645384" w:rsidRPr="00CF2E90">
        <w:rPr>
          <w:color w:val="000000" w:themeColor="text1"/>
        </w:rPr>
        <w:t xml:space="preserve"> principio de integración</w:t>
      </w:r>
      <w:r w:rsidR="00645384" w:rsidRPr="00CF2E90">
        <w:rPr>
          <w:rStyle w:val="Refdenotaalpie"/>
          <w:color w:val="000000" w:themeColor="text1"/>
        </w:rPr>
        <w:footnoteReference w:id="76"/>
      </w:r>
      <w:r w:rsidR="00645384" w:rsidRPr="00CF2E90">
        <w:rPr>
          <w:color w:val="000000" w:themeColor="text1"/>
        </w:rPr>
        <w:t>.</w:t>
      </w:r>
      <w:r w:rsidR="001C5522" w:rsidRPr="00CF2E90">
        <w:rPr>
          <w:color w:val="000000" w:themeColor="text1"/>
        </w:rPr>
        <w:t xml:space="preserve"> </w:t>
      </w:r>
    </w:p>
    <w:p w14:paraId="0F6DBF28" w14:textId="77777777" w:rsidR="0013312A" w:rsidRPr="00CF2E90" w:rsidRDefault="0013312A" w:rsidP="00135B0D">
      <w:pPr>
        <w:pStyle w:val="Prrafodelista"/>
      </w:pPr>
    </w:p>
    <w:p w14:paraId="5B2CE8F2" w14:textId="7BFBB515" w:rsidR="00645384" w:rsidRPr="00CF2E90" w:rsidRDefault="0013312A" w:rsidP="0013312A">
      <w:pPr>
        <w:pStyle w:val="Prrafodelista"/>
        <w:numPr>
          <w:ilvl w:val="0"/>
          <w:numId w:val="6"/>
        </w:numPr>
        <w:ind w:left="0" w:firstLine="0"/>
      </w:pPr>
      <w:r w:rsidRPr="00CF2E90">
        <w:t>En atención a la existencia de</w:t>
      </w:r>
      <w:r w:rsidR="005E6496" w:rsidRPr="00CF2E90">
        <w:t xml:space="preserve"> esta regla general de remisión, los demandantes debían </w:t>
      </w:r>
      <w:r w:rsidRPr="00CF2E90">
        <w:t>acreditar de manera suficiente que el artículo 121 del Código General del Proceso, que regula el límite temporal de los</w:t>
      </w:r>
      <w:r w:rsidR="005E6496" w:rsidRPr="00CF2E90">
        <w:t xml:space="preserve"> procedimientos judiciales</w:t>
      </w:r>
      <w:r w:rsidR="001C5522" w:rsidRPr="00CF2E90">
        <w:t xml:space="preserve">, </w:t>
      </w:r>
      <w:r w:rsidR="005E6496" w:rsidRPr="00CF2E90">
        <w:t>no resultaba aplicable al incidente de reparación integral por vía de dicha remisión.</w:t>
      </w:r>
      <w:r w:rsidR="001C5522" w:rsidRPr="00CF2E90">
        <w:t xml:space="preserve"> </w:t>
      </w:r>
      <w:r w:rsidRPr="00CF2E90">
        <w:t xml:space="preserve">En criterio de la Corte, sin embargo, los demandantes no cumplieron con </w:t>
      </w:r>
      <w:r w:rsidR="00DB61AB" w:rsidRPr="00CF2E90">
        <w:t>dicha</w:t>
      </w:r>
      <w:r w:rsidRPr="00CF2E90">
        <w:t xml:space="preserve"> carga. La Sala Plena reconoce</w:t>
      </w:r>
      <w:r w:rsidR="00645384" w:rsidRPr="00CF2E90">
        <w:t xml:space="preserve"> que, en un aparte de</w:t>
      </w:r>
      <w:r w:rsidRPr="00CF2E90">
        <w:t>l escrito</w:t>
      </w:r>
      <w:r w:rsidR="00645384" w:rsidRPr="00CF2E90">
        <w:t xml:space="preserve">, los demandantes señalaron que la aplicación del </w:t>
      </w:r>
      <w:r w:rsidR="00271C2A" w:rsidRPr="00CF2E90">
        <w:t>artículo 121 del CGP no proced</w:t>
      </w:r>
      <w:r w:rsidRPr="00CF2E90">
        <w:t>ía</w:t>
      </w:r>
      <w:r w:rsidR="00271C2A" w:rsidRPr="00CF2E90">
        <w:t xml:space="preserve"> </w:t>
      </w:r>
      <w:r w:rsidR="00B26D02" w:rsidRPr="00CF2E90">
        <w:t>“</w:t>
      </w:r>
      <w:r w:rsidR="00271C2A" w:rsidRPr="00CF2E90">
        <w:t>por cuanto regula la duración máxima de los procesos y no resuelve el problema jurídico que es la ausencia del término para resolver el incidente</w:t>
      </w:r>
      <w:r w:rsidR="00B26D02" w:rsidRPr="00CF2E90">
        <w:t>”</w:t>
      </w:r>
      <w:r w:rsidR="00B26D02" w:rsidRPr="00CF2E90">
        <w:rPr>
          <w:rStyle w:val="Refdenotaalpie"/>
        </w:rPr>
        <w:footnoteReference w:id="77"/>
      </w:r>
      <w:r w:rsidR="00271C2A" w:rsidRPr="00CF2E90">
        <w:t xml:space="preserve">. </w:t>
      </w:r>
      <w:r w:rsidRPr="00CF2E90">
        <w:t>A juicio de</w:t>
      </w:r>
      <w:r w:rsidR="00645384" w:rsidRPr="00CF2E90">
        <w:t xml:space="preserve"> la Corte</w:t>
      </w:r>
      <w:r w:rsidRPr="00CF2E90">
        <w:t>, sin embargo,</w:t>
      </w:r>
      <w:r w:rsidR="00271C2A" w:rsidRPr="00CF2E90">
        <w:t xml:space="preserve"> este argumento no </w:t>
      </w:r>
      <w:r w:rsidR="00645384" w:rsidRPr="00CF2E90">
        <w:t>descarta la falta de certeza de la demanda</w:t>
      </w:r>
      <w:r w:rsidR="00271C2A" w:rsidRPr="00CF2E90">
        <w:t>.</w:t>
      </w:r>
      <w:r w:rsidR="00645384" w:rsidRPr="00CF2E90">
        <w:t xml:space="preserve"> Por el contrario, refuerza la incertidumbre sobre la norma demandada</w:t>
      </w:r>
      <w:r w:rsidR="00FD29B0" w:rsidRPr="00CF2E90">
        <w:t xml:space="preserve"> y el alcance del cargo,</w:t>
      </w:r>
      <w:r w:rsidR="00645384" w:rsidRPr="00CF2E90">
        <w:t xml:space="preserve"> dado que parecería sugerir que la demanda realmente no denuncia una presunta omisión legislativa</w:t>
      </w:r>
      <w:r w:rsidR="00FD29B0" w:rsidRPr="00CF2E90">
        <w:t xml:space="preserve"> relativa</w:t>
      </w:r>
      <w:r w:rsidR="00645384" w:rsidRPr="00CF2E90">
        <w:t>, sino que est</w:t>
      </w:r>
      <w:r w:rsidR="00FD29B0" w:rsidRPr="00CF2E90">
        <w:t xml:space="preserve">á </w:t>
      </w:r>
      <w:r w:rsidR="00645384" w:rsidRPr="00CF2E90">
        <w:t>dirigida</w:t>
      </w:r>
      <w:r w:rsidR="00FD29B0" w:rsidRPr="00CF2E90">
        <w:t xml:space="preserve"> a cuestionar</w:t>
      </w:r>
      <w:r w:rsidR="00645384" w:rsidRPr="00CF2E90">
        <w:t xml:space="preserve"> </w:t>
      </w:r>
      <w:r w:rsidR="00FD29B0" w:rsidRPr="00CF2E90">
        <w:t>la aplicabilidad</w:t>
      </w:r>
      <w:r w:rsidR="00645384" w:rsidRPr="00CF2E90">
        <w:t xml:space="preserve"> de la cláusula de remisión del Código de Procedimiento Penal o el alcance que a dicha cláusula le ha dado la Sala de Casación Penal</w:t>
      </w:r>
      <w:r w:rsidR="00FD29B0" w:rsidRPr="00CF2E90">
        <w:t xml:space="preserve"> al momento de integrar el régimen del incidente de reparación integral, mediante una interpretación sistemática y analógica</w:t>
      </w:r>
      <w:r w:rsidR="00645384" w:rsidRPr="00CF2E90">
        <w:t xml:space="preserve">. </w:t>
      </w:r>
      <w:r w:rsidR="00FD29B0" w:rsidRPr="00CF2E90">
        <w:t xml:space="preserve">Ambos asuntos parecen exceder el alcance del cargo formulado por los demandantes. </w:t>
      </w:r>
    </w:p>
    <w:p w14:paraId="77FE1EC8" w14:textId="77777777" w:rsidR="00E335B4" w:rsidRPr="00CF2E90" w:rsidRDefault="00E335B4" w:rsidP="00E335B4">
      <w:pPr>
        <w:pStyle w:val="Prrafodelista"/>
        <w:ind w:left="0" w:firstLine="0"/>
        <w:rPr>
          <w:color w:val="000000" w:themeColor="text1"/>
        </w:rPr>
      </w:pPr>
    </w:p>
    <w:p w14:paraId="333DD415" w14:textId="5B6EF143" w:rsidR="00630EDF" w:rsidRPr="00CF2E90" w:rsidRDefault="00FD29B0" w:rsidP="004E0DF4">
      <w:pPr>
        <w:pStyle w:val="Prrafodelista"/>
        <w:numPr>
          <w:ilvl w:val="0"/>
          <w:numId w:val="6"/>
        </w:numPr>
        <w:ind w:left="0" w:firstLine="0"/>
        <w:rPr>
          <w:color w:val="000000" w:themeColor="text1"/>
        </w:rPr>
      </w:pPr>
      <w:r w:rsidRPr="00CF2E90">
        <w:t>La Corte advierte que e</w:t>
      </w:r>
      <w:r w:rsidR="0013312A" w:rsidRPr="00CF2E90">
        <w:t>l</w:t>
      </w:r>
      <w:r w:rsidRPr="00CF2E90">
        <w:t xml:space="preserve"> examen </w:t>
      </w:r>
      <w:r w:rsidR="00E61025" w:rsidRPr="00CF2E90">
        <w:t>de</w:t>
      </w:r>
      <w:r w:rsidRPr="00CF2E90">
        <w:t xml:space="preserve"> la certeza del</w:t>
      </w:r>
      <w:r w:rsidR="00FA6E04" w:rsidRPr="00CF2E90">
        <w:t xml:space="preserve"> cargo </w:t>
      </w:r>
      <w:r w:rsidRPr="00CF2E90">
        <w:t xml:space="preserve">no está fundado en un entendimiento estricto de las cargas argumentativas y </w:t>
      </w:r>
      <w:r w:rsidR="00FA6E04" w:rsidRPr="00CF2E90">
        <w:t xml:space="preserve">no </w:t>
      </w:r>
      <w:r w:rsidRPr="00CF2E90">
        <w:t xml:space="preserve">puede superarse en virtud del principio </w:t>
      </w:r>
      <w:r w:rsidRPr="00CF2E90">
        <w:rPr>
          <w:i/>
          <w:iCs/>
        </w:rPr>
        <w:t>pro actione</w:t>
      </w:r>
      <w:r w:rsidR="0013312A" w:rsidRPr="00CF2E90">
        <w:t>. A</w:t>
      </w:r>
      <w:r w:rsidRPr="00CF2E90">
        <w:t xml:space="preserve"> juicio de la Sala Plena, el hecho de que un número significativo de los intervinientes haya advertido est</w:t>
      </w:r>
      <w:r w:rsidR="0013312A" w:rsidRPr="00CF2E90">
        <w:t>a falencia</w:t>
      </w:r>
      <w:r w:rsidRPr="00CF2E90">
        <w:t xml:space="preserve">, demuestra que la demanda está basada en </w:t>
      </w:r>
      <w:r w:rsidRPr="00CF2E90">
        <w:rPr>
          <w:bCs/>
        </w:rPr>
        <w:t xml:space="preserve">interpretaciones puramente subjetivas, caprichosas </w:t>
      </w:r>
      <w:r w:rsidR="0013312A" w:rsidRPr="00CF2E90">
        <w:rPr>
          <w:bCs/>
        </w:rPr>
        <w:t>y aisladas</w:t>
      </w:r>
      <w:r w:rsidRPr="00CF2E90">
        <w:rPr>
          <w:bCs/>
        </w:rPr>
        <w:t xml:space="preserve"> de los textos demandados.</w:t>
      </w:r>
      <w:r w:rsidRPr="00CF2E90">
        <w:t xml:space="preserve"> Al respecto</w:t>
      </w:r>
      <w:r w:rsidR="004E0DF4" w:rsidRPr="00CF2E90">
        <w:t xml:space="preserve">, </w:t>
      </w:r>
      <w:r w:rsidR="0013312A" w:rsidRPr="00CF2E90">
        <w:t xml:space="preserve">la Corte resalta que </w:t>
      </w:r>
      <w:r w:rsidR="004E0DF4" w:rsidRPr="00CF2E90">
        <w:t>el</w:t>
      </w:r>
      <w:r w:rsidR="00271C2A" w:rsidRPr="00CF2E90">
        <w:t xml:space="preserve"> Procurador General de la Nación sostuvo que</w:t>
      </w:r>
      <w:r w:rsidR="004E0DF4" w:rsidRPr="00CF2E90">
        <w:t>, con base en los argumentos de la demanda,</w:t>
      </w:r>
      <w:r w:rsidR="00271C2A" w:rsidRPr="00CF2E90">
        <w:t xml:space="preserve"> no puede constatarse que el legislador haya incurrido en una omisión legislativa relativa</w:t>
      </w:r>
      <w:r w:rsidR="00E335B4" w:rsidRPr="00CF2E90">
        <w:t xml:space="preserve"> porque</w:t>
      </w:r>
      <w:r w:rsidR="00271C2A" w:rsidRPr="00CF2E90">
        <w:t xml:space="preserve"> </w:t>
      </w:r>
      <w:r w:rsidR="00E335B4" w:rsidRPr="00CF2E90">
        <w:t>“</w:t>
      </w:r>
      <w:r w:rsidR="00271C2A" w:rsidRPr="00CF2E90">
        <w:t>la pretendida ausencia normativa se puede superar a partir de una interpretación sistemática del ordenamiento jurídico</w:t>
      </w:r>
      <w:r w:rsidR="00E335B4" w:rsidRPr="00CF2E90">
        <w:t>”</w:t>
      </w:r>
      <w:r w:rsidR="00271C2A" w:rsidRPr="00CF2E90">
        <w:t>, destacando que el artículo 121 del CGP aplica como límite temporal por vía de analogía con los procesos declarativos de responsabilidad civil extracontractual</w:t>
      </w:r>
      <w:r w:rsidR="00F83C35" w:rsidRPr="00CF2E90">
        <w:rPr>
          <w:rStyle w:val="Refdenotaalpie"/>
        </w:rPr>
        <w:footnoteReference w:id="78"/>
      </w:r>
      <w:r w:rsidR="00271C2A" w:rsidRPr="00CF2E90">
        <w:t xml:space="preserve">. En el mismo sentido, el Ministerio de Justicia y del Derecho señaló que la </w:t>
      </w:r>
      <w:r w:rsidR="004E0DF4" w:rsidRPr="00CF2E90">
        <w:t>omisión denunciada por los demandantes era implausible</w:t>
      </w:r>
      <w:r w:rsidR="00E61025" w:rsidRPr="00CF2E90">
        <w:t>, pues “el artículo 25 del CPP hace una remisión expresa al hoy vigente CGP, para suplir vacíos que no estén expresamente regulados en el estatuto procesal penal”, por lo que, por esa vía, resultaba aplicable</w:t>
      </w:r>
      <w:r w:rsidR="00271C2A" w:rsidRPr="00CF2E90">
        <w:t xml:space="preserve"> el término del artículo 121 del CGP</w:t>
      </w:r>
      <w:r w:rsidR="008E05F2" w:rsidRPr="00CF2E90">
        <w:rPr>
          <w:rStyle w:val="Refdenotaalpie"/>
        </w:rPr>
        <w:footnoteReference w:id="79"/>
      </w:r>
      <w:r w:rsidR="00CF39ED" w:rsidRPr="00CF2E90">
        <w:t xml:space="preserve">. En la misma dirección, </w:t>
      </w:r>
      <w:r w:rsidR="004E0DF4" w:rsidRPr="00CF2E90">
        <w:t>la</w:t>
      </w:r>
      <w:r w:rsidR="00271C2A" w:rsidRPr="00CF2E90">
        <w:t xml:space="preserve"> Universidad Pontificia Bolivariana </w:t>
      </w:r>
      <w:r w:rsidR="004E0DF4" w:rsidRPr="00CF2E90">
        <w:t>cuestionó</w:t>
      </w:r>
      <w:r w:rsidR="00271C2A" w:rsidRPr="00CF2E90">
        <w:t xml:space="preserve"> la certeza del cargo</w:t>
      </w:r>
      <w:r w:rsidR="0013312A" w:rsidRPr="00CF2E90">
        <w:t>, al considerar que se basaba en</w:t>
      </w:r>
      <w:r w:rsidR="00271C2A" w:rsidRPr="00CF2E90">
        <w:t xml:space="preserve"> una lectura incompleta del ordenamiento procesal</w:t>
      </w:r>
      <w:r w:rsidR="008E05F2" w:rsidRPr="00CF2E90">
        <w:rPr>
          <w:rStyle w:val="Refdenotaalpie"/>
        </w:rPr>
        <w:footnoteReference w:id="80"/>
      </w:r>
      <w:r w:rsidR="00271C2A" w:rsidRPr="00CF2E90">
        <w:t xml:space="preserve">. Por </w:t>
      </w:r>
      <w:r w:rsidRPr="00CF2E90">
        <w:t>último</w:t>
      </w:r>
      <w:r w:rsidR="00271C2A" w:rsidRPr="00CF2E90">
        <w:t xml:space="preserve">, la Universidad Externado señaló que la demanda </w:t>
      </w:r>
      <w:r w:rsidR="00E335B4" w:rsidRPr="00CF2E90">
        <w:t>“</w:t>
      </w:r>
      <w:r w:rsidR="00271C2A" w:rsidRPr="00CF2E90">
        <w:t xml:space="preserve">no fundamenta adecuadamente su punto de partida, </w:t>
      </w:r>
      <w:r w:rsidR="0013312A" w:rsidRPr="00CF2E90">
        <w:t>pues</w:t>
      </w:r>
      <w:r w:rsidR="00271C2A" w:rsidRPr="00CF2E90">
        <w:t xml:space="preserve"> afirma la existencia de una laguna sin considerar las opciones interpretativas existentes</w:t>
      </w:r>
      <w:r w:rsidR="00E335B4" w:rsidRPr="00CF2E90">
        <w:t>”</w:t>
      </w:r>
      <w:r w:rsidR="00F83C35" w:rsidRPr="00CF2E90">
        <w:rPr>
          <w:rStyle w:val="Refdenotaalpie"/>
        </w:rPr>
        <w:footnoteReference w:id="81"/>
      </w:r>
      <w:r w:rsidR="00271C2A" w:rsidRPr="00CF2E90">
        <w:t>.</w:t>
      </w:r>
      <w:r w:rsidR="0013312A" w:rsidRPr="00CF2E90">
        <w:t xml:space="preserve"> La Corte considera que todas estas intervenciones refuerzan la conclusión sobre la certeza del cargo. </w:t>
      </w:r>
    </w:p>
    <w:p w14:paraId="64858BCD" w14:textId="77777777" w:rsidR="00F83C35" w:rsidRPr="00CF2E90" w:rsidRDefault="00F83C35" w:rsidP="00F83C35">
      <w:pPr>
        <w:pStyle w:val="Prrafodelista"/>
        <w:rPr>
          <w:color w:val="000000" w:themeColor="text1"/>
        </w:rPr>
      </w:pPr>
    </w:p>
    <w:p w14:paraId="5A28E32C" w14:textId="5316C312" w:rsidR="00630EDF" w:rsidRPr="00CF2E90" w:rsidRDefault="004E0DF4" w:rsidP="008F6DF2">
      <w:pPr>
        <w:pStyle w:val="Prrafodelista"/>
        <w:numPr>
          <w:ilvl w:val="0"/>
          <w:numId w:val="6"/>
        </w:numPr>
        <w:ind w:left="0" w:firstLine="0"/>
        <w:rPr>
          <w:color w:val="000000" w:themeColor="text1"/>
        </w:rPr>
      </w:pPr>
      <w:r w:rsidRPr="00CF2E90">
        <w:rPr>
          <w:b/>
          <w:bCs/>
          <w:u w:val="single"/>
        </w:rPr>
        <w:t>Conclusión</w:t>
      </w:r>
      <w:r w:rsidRPr="00CF2E90">
        <w:t xml:space="preserve">. </w:t>
      </w:r>
      <w:r w:rsidR="00FF5E53" w:rsidRPr="00CF2E90">
        <w:t xml:space="preserve">Por las razones expuestas, la Sala Plena concluye que el cargo formulado por los actores no satisface los requisitos mínimos de </w:t>
      </w:r>
      <w:r w:rsidR="00FF5E53" w:rsidRPr="00CF2E90">
        <w:rPr>
          <w:i/>
          <w:iCs/>
        </w:rPr>
        <w:t>claridad</w:t>
      </w:r>
      <w:r w:rsidR="00FF5E53" w:rsidRPr="00CF2E90">
        <w:t xml:space="preserve"> y </w:t>
      </w:r>
      <w:r w:rsidR="00FF5E53" w:rsidRPr="00CF2E90">
        <w:rPr>
          <w:i/>
          <w:iCs/>
        </w:rPr>
        <w:t>certeza</w:t>
      </w:r>
      <w:r w:rsidR="00FF5E53" w:rsidRPr="00CF2E90">
        <w:t xml:space="preserve"> exigibles para </w:t>
      </w:r>
      <w:r w:rsidR="0013312A" w:rsidRPr="00CF2E90">
        <w:t>pronunciarse sobre el</w:t>
      </w:r>
      <w:r w:rsidR="00FF5E53" w:rsidRPr="00CF2E90">
        <w:t xml:space="preserve"> fondo. En efecto, la demanda no identifica con precisión el ingrediente normativo presuntamente omitido en los artículos 102 a 106 de la Ley 906 de 2004</w:t>
      </w:r>
      <w:r w:rsidRPr="00CF2E90">
        <w:t xml:space="preserve"> </w:t>
      </w:r>
      <w:r w:rsidR="00FF5E53" w:rsidRPr="00CF2E90">
        <w:t>y</w:t>
      </w:r>
      <w:r w:rsidRPr="00CF2E90">
        <w:t xml:space="preserve">, además, fundamenta la presunta omisión en una lectura aislada y descontextualizada de las normas demandadas, que no consulta la cláusula de remisión prevista en el </w:t>
      </w:r>
      <w:r w:rsidR="00FD29B0" w:rsidRPr="00CF2E90">
        <w:t>C</w:t>
      </w:r>
      <w:r w:rsidRPr="00CF2E90">
        <w:t xml:space="preserve">ódigo </w:t>
      </w:r>
      <w:r w:rsidR="00FD29B0" w:rsidRPr="00CF2E90">
        <w:t>de Procedimiento P</w:t>
      </w:r>
      <w:r w:rsidRPr="00CF2E90">
        <w:t xml:space="preserve">enal ni los principios de interpretación sistemática y analógica. </w:t>
      </w:r>
      <w:r w:rsidR="00FF5E53" w:rsidRPr="00CF2E90">
        <w:t xml:space="preserve">Estas </w:t>
      </w:r>
      <w:r w:rsidRPr="00CF2E90">
        <w:t>falencias argumentativas</w:t>
      </w:r>
      <w:r w:rsidR="00FF5E53" w:rsidRPr="00CF2E90">
        <w:t xml:space="preserve"> no </w:t>
      </w:r>
      <w:r w:rsidRPr="00CF2E90">
        <w:t xml:space="preserve">pueden suplirse en virtud del principio </w:t>
      </w:r>
      <w:r w:rsidRPr="00CF2E90">
        <w:rPr>
          <w:i/>
          <w:iCs/>
        </w:rPr>
        <w:t>pro actione</w:t>
      </w:r>
      <w:r w:rsidRPr="00CF2E90">
        <w:t>, pues</w:t>
      </w:r>
      <w:r w:rsidR="00135B0D" w:rsidRPr="00CF2E90">
        <w:t>, de hacerlo, la Corte</w:t>
      </w:r>
      <w:r w:rsidRPr="00CF2E90">
        <w:t xml:space="preserve"> tendría que reformular el cargo</w:t>
      </w:r>
      <w:r w:rsidR="00FF5E53" w:rsidRPr="00CF2E90">
        <w:t>, lo que excedería el ámbito de su</w:t>
      </w:r>
      <w:r w:rsidR="00B209D0" w:rsidRPr="00CF2E90">
        <w:t xml:space="preserve">s </w:t>
      </w:r>
      <w:r w:rsidRPr="00CF2E90">
        <w:t>competencias y desconocería la jurisprudencia constitucional</w:t>
      </w:r>
      <w:r w:rsidR="00FF5E53" w:rsidRPr="00CF2E90">
        <w:t>. En consecuencia, la Corte se inhibirá de pronunciarse de fondo sobre la constitucionalidad de las normas demandadas por ineptitud sustantiva de la demanda.</w:t>
      </w:r>
    </w:p>
    <w:p w14:paraId="27A00C48" w14:textId="77777777" w:rsidR="00FF5E53" w:rsidRPr="00CF2E90" w:rsidRDefault="00FF5E53" w:rsidP="00FF5E53">
      <w:pPr>
        <w:pStyle w:val="Prrafodelista"/>
        <w:ind w:left="0" w:firstLine="0"/>
        <w:rPr>
          <w:color w:val="000000" w:themeColor="text1"/>
        </w:rPr>
      </w:pPr>
    </w:p>
    <w:p w14:paraId="31C7BBB2" w14:textId="52980D26" w:rsidR="008F6DF2" w:rsidRPr="00CF2E90" w:rsidRDefault="008F6DF2">
      <w:pPr>
        <w:pStyle w:val="Prrafodelista"/>
        <w:numPr>
          <w:ilvl w:val="0"/>
          <w:numId w:val="4"/>
        </w:numPr>
        <w:ind w:right="0"/>
        <w:rPr>
          <w:b/>
          <w:bCs/>
          <w:color w:val="000000" w:themeColor="text1"/>
        </w:rPr>
      </w:pPr>
      <w:r w:rsidRPr="00CF2E90">
        <w:rPr>
          <w:b/>
          <w:bCs/>
          <w:color w:val="000000" w:themeColor="text1"/>
        </w:rPr>
        <w:t>DECISIÓN</w:t>
      </w:r>
    </w:p>
    <w:p w14:paraId="56785A3A" w14:textId="77777777" w:rsidR="008F6DF2" w:rsidRPr="00CF2E90" w:rsidRDefault="008F6DF2" w:rsidP="008F6DF2"/>
    <w:p w14:paraId="622A569C" w14:textId="77777777" w:rsidR="008F6DF2" w:rsidRPr="00CF2E90" w:rsidRDefault="008F6DF2" w:rsidP="008F6DF2">
      <w:pPr>
        <w:ind w:left="0" w:firstLine="0"/>
      </w:pPr>
      <w:r w:rsidRPr="00CF2E90">
        <w:t>La Corte Constitucional de Colombia, administrando justicia en nombre del pueblo y por mandato de la Constitución,</w:t>
      </w:r>
    </w:p>
    <w:p w14:paraId="0D497BF6" w14:textId="77777777" w:rsidR="008F6DF2" w:rsidRPr="00CF2E90" w:rsidRDefault="008F6DF2" w:rsidP="008F6DF2">
      <w:r w:rsidRPr="00CF2E90">
        <w:t> </w:t>
      </w:r>
    </w:p>
    <w:p w14:paraId="57254550" w14:textId="77777777" w:rsidR="008F6DF2" w:rsidRPr="00CF2E90" w:rsidRDefault="008F6DF2" w:rsidP="008F6DF2">
      <w:pPr>
        <w:jc w:val="center"/>
      </w:pPr>
      <w:r w:rsidRPr="00CF2E90">
        <w:rPr>
          <w:b/>
          <w:bCs/>
        </w:rPr>
        <w:t>RESUELVE:</w:t>
      </w:r>
    </w:p>
    <w:p w14:paraId="4BE0E9B3" w14:textId="77777777" w:rsidR="008F6DF2" w:rsidRPr="00CF2E90" w:rsidRDefault="008F6DF2" w:rsidP="008F6DF2"/>
    <w:p w14:paraId="47B3C425" w14:textId="3C36015B" w:rsidR="008F6DF2" w:rsidRPr="00CF2E90" w:rsidRDefault="004E0DF4" w:rsidP="008F6DF2">
      <w:pPr>
        <w:ind w:left="0" w:firstLine="0"/>
      </w:pPr>
      <w:r w:rsidRPr="00CF2E90">
        <w:rPr>
          <w:b/>
          <w:bCs/>
        </w:rPr>
        <w:t>ÚNICO</w:t>
      </w:r>
      <w:r w:rsidR="005D1E3B" w:rsidRPr="00CF2E90">
        <w:rPr>
          <w:b/>
          <w:bCs/>
        </w:rPr>
        <w:t xml:space="preserve">. </w:t>
      </w:r>
      <w:r w:rsidR="005D1E3B" w:rsidRPr="00CF2E90">
        <w:t xml:space="preserve">Declararse </w:t>
      </w:r>
      <w:r w:rsidR="005D1E3B" w:rsidRPr="00CF2E90">
        <w:rPr>
          <w:b/>
          <w:bCs/>
        </w:rPr>
        <w:t>INHIBIDA</w:t>
      </w:r>
      <w:r w:rsidR="005D1E3B" w:rsidRPr="00CF2E90">
        <w:t xml:space="preserve"> para pronunciarse sobre la constitucionalidad de los artículos 102, 103, 104, 105 y 106 de la Ley 906 de 2004, “</w:t>
      </w:r>
      <w:r w:rsidR="00135B0D" w:rsidRPr="00CF2E90">
        <w:t>[p]</w:t>
      </w:r>
      <w:r w:rsidR="005D1E3B" w:rsidRPr="00CF2E90">
        <w:t>or la cual se expide el Código de Procedimiento Penal”, por ineptitud sustantiva de la demanda.</w:t>
      </w:r>
    </w:p>
    <w:p w14:paraId="03B0534D" w14:textId="77777777" w:rsidR="005D1E3B" w:rsidRPr="00CF2E90" w:rsidRDefault="005D1E3B" w:rsidP="008F6DF2">
      <w:pPr>
        <w:ind w:left="0" w:firstLine="0"/>
      </w:pPr>
    </w:p>
    <w:p w14:paraId="56788F9D" w14:textId="77777777" w:rsidR="008F6DF2" w:rsidRPr="00CF2E90" w:rsidRDefault="008F6DF2" w:rsidP="008F6DF2">
      <w:r w:rsidRPr="00CF2E90">
        <w:t xml:space="preserve">Notifíquese, comuníquese y cúmplase, </w:t>
      </w:r>
    </w:p>
    <w:p w14:paraId="6A2A6182" w14:textId="67C142EC" w:rsidR="008F6DF2" w:rsidRPr="00CF2E90" w:rsidRDefault="008F6DF2" w:rsidP="008F6DF2">
      <w:pPr>
        <w:ind w:left="0" w:right="0" w:firstLine="0"/>
        <w:rPr>
          <w:color w:val="000000" w:themeColor="text1"/>
        </w:rPr>
      </w:pPr>
    </w:p>
    <w:p w14:paraId="7C314D85" w14:textId="0A77D5D7" w:rsidR="00E533CC" w:rsidRPr="00CF2E90" w:rsidRDefault="00E533CC" w:rsidP="008F6DF2">
      <w:pPr>
        <w:ind w:left="0" w:right="0" w:firstLine="0"/>
        <w:rPr>
          <w:color w:val="000000" w:themeColor="text1"/>
        </w:rPr>
      </w:pPr>
    </w:p>
    <w:p w14:paraId="32534996" w14:textId="29F0233D" w:rsidR="00E533CC" w:rsidRPr="00CF2E90" w:rsidRDefault="00E533CC" w:rsidP="00E533CC">
      <w:pPr>
        <w:ind w:left="0" w:right="0" w:firstLine="0"/>
        <w:jc w:val="center"/>
        <w:rPr>
          <w:color w:val="000000" w:themeColor="text1"/>
        </w:rPr>
      </w:pPr>
      <w:r w:rsidRPr="00CF2E90">
        <w:rPr>
          <w:color w:val="000000" w:themeColor="text1"/>
        </w:rPr>
        <w:t>PAOLA ANDREA MENESES MOSQUERA</w:t>
      </w:r>
    </w:p>
    <w:p w14:paraId="7C849A65" w14:textId="3302D2C4" w:rsidR="00E533CC" w:rsidRPr="00CF2E90" w:rsidRDefault="00E533CC" w:rsidP="00E533CC">
      <w:pPr>
        <w:ind w:left="0" w:right="0" w:firstLine="0"/>
        <w:jc w:val="center"/>
        <w:rPr>
          <w:color w:val="000000" w:themeColor="text1"/>
        </w:rPr>
      </w:pPr>
      <w:r w:rsidRPr="00CF2E90">
        <w:rPr>
          <w:color w:val="000000" w:themeColor="text1"/>
        </w:rPr>
        <w:t>Presidenta</w:t>
      </w:r>
    </w:p>
    <w:p w14:paraId="0E5C6C7E" w14:textId="0ABAD599" w:rsidR="00E533CC" w:rsidRPr="00CF2E90" w:rsidRDefault="00E533CC" w:rsidP="008F6DF2">
      <w:pPr>
        <w:ind w:left="0" w:right="0" w:firstLine="0"/>
        <w:rPr>
          <w:color w:val="000000" w:themeColor="text1"/>
        </w:rPr>
      </w:pPr>
    </w:p>
    <w:p w14:paraId="3CA10E6C" w14:textId="09B315C9" w:rsidR="00E533CC" w:rsidRPr="00CF2E90" w:rsidRDefault="00E533CC" w:rsidP="008F6DF2">
      <w:pPr>
        <w:ind w:left="0" w:right="0" w:firstLine="0"/>
        <w:rPr>
          <w:color w:val="000000" w:themeColor="text1"/>
        </w:rPr>
      </w:pPr>
    </w:p>
    <w:p w14:paraId="36577D9D" w14:textId="5EA5D5D4" w:rsidR="00E533CC" w:rsidRPr="00CF2E90" w:rsidRDefault="00E533CC" w:rsidP="00E533CC">
      <w:pPr>
        <w:ind w:left="0" w:right="0" w:firstLine="0"/>
        <w:jc w:val="center"/>
        <w:rPr>
          <w:color w:val="000000" w:themeColor="text1"/>
        </w:rPr>
      </w:pPr>
      <w:r w:rsidRPr="00CF2E90">
        <w:rPr>
          <w:color w:val="000000" w:themeColor="text1"/>
        </w:rPr>
        <w:t>NATALIA ÁNGEL CABO</w:t>
      </w:r>
    </w:p>
    <w:p w14:paraId="1B090075" w14:textId="52626DF3" w:rsidR="00E533CC" w:rsidRPr="00CF2E90" w:rsidRDefault="00E533CC" w:rsidP="00E533CC">
      <w:pPr>
        <w:ind w:left="0" w:right="0" w:firstLine="0"/>
        <w:jc w:val="center"/>
        <w:rPr>
          <w:color w:val="000000" w:themeColor="text1"/>
        </w:rPr>
      </w:pPr>
      <w:r w:rsidRPr="00CF2E90">
        <w:rPr>
          <w:color w:val="000000" w:themeColor="text1"/>
        </w:rPr>
        <w:t>Magistrada</w:t>
      </w:r>
    </w:p>
    <w:p w14:paraId="2520D480" w14:textId="77850871" w:rsidR="00E533CC" w:rsidRPr="00CF2E90" w:rsidRDefault="00E533CC" w:rsidP="008F6DF2">
      <w:pPr>
        <w:ind w:left="0" w:right="0" w:firstLine="0"/>
        <w:rPr>
          <w:color w:val="000000" w:themeColor="text1"/>
        </w:rPr>
      </w:pPr>
    </w:p>
    <w:p w14:paraId="45A1BE01" w14:textId="6902F604" w:rsidR="00E533CC" w:rsidRPr="00CF2E90" w:rsidRDefault="00E533CC" w:rsidP="008F6DF2">
      <w:pPr>
        <w:ind w:left="0" w:right="0" w:firstLine="0"/>
        <w:rPr>
          <w:color w:val="000000" w:themeColor="text1"/>
        </w:rPr>
      </w:pPr>
    </w:p>
    <w:p w14:paraId="31A4E680" w14:textId="048D4ED2" w:rsidR="00E533CC" w:rsidRPr="00CF2E90" w:rsidRDefault="00E533CC" w:rsidP="00E533CC">
      <w:pPr>
        <w:ind w:left="0" w:right="0" w:firstLine="0"/>
        <w:jc w:val="center"/>
        <w:rPr>
          <w:color w:val="000000" w:themeColor="text1"/>
        </w:rPr>
      </w:pPr>
      <w:r w:rsidRPr="00CF2E90">
        <w:rPr>
          <w:color w:val="000000" w:themeColor="text1"/>
        </w:rPr>
        <w:t>CARLOS CAMARGO ASSIS</w:t>
      </w:r>
    </w:p>
    <w:p w14:paraId="3C159373" w14:textId="31AAC1F6" w:rsidR="00E533CC" w:rsidRPr="00CF2E90" w:rsidRDefault="00E533CC" w:rsidP="00E533CC">
      <w:pPr>
        <w:ind w:left="0" w:right="0" w:firstLine="0"/>
        <w:jc w:val="center"/>
        <w:rPr>
          <w:color w:val="000000" w:themeColor="text1"/>
        </w:rPr>
      </w:pPr>
      <w:r w:rsidRPr="00CF2E90">
        <w:rPr>
          <w:color w:val="000000" w:themeColor="text1"/>
        </w:rPr>
        <w:t>Magistrado</w:t>
      </w:r>
    </w:p>
    <w:p w14:paraId="7EDFD447" w14:textId="6BDFA6CB" w:rsidR="00E533CC" w:rsidRPr="00CF2E90" w:rsidRDefault="00E533CC" w:rsidP="008F6DF2">
      <w:pPr>
        <w:ind w:left="0" w:right="0" w:firstLine="0"/>
        <w:rPr>
          <w:color w:val="000000" w:themeColor="text1"/>
        </w:rPr>
      </w:pPr>
    </w:p>
    <w:p w14:paraId="7E0EB573" w14:textId="1553F8C9" w:rsidR="00E533CC" w:rsidRPr="00CF2E90" w:rsidRDefault="00E533CC" w:rsidP="008F6DF2">
      <w:pPr>
        <w:ind w:left="0" w:right="0" w:firstLine="0"/>
        <w:rPr>
          <w:color w:val="000000" w:themeColor="text1"/>
        </w:rPr>
      </w:pPr>
    </w:p>
    <w:p w14:paraId="517C022C" w14:textId="5AEB2309" w:rsidR="00E533CC" w:rsidRPr="00CF2E90" w:rsidRDefault="00E533CC" w:rsidP="00E533CC">
      <w:pPr>
        <w:ind w:left="0" w:right="0" w:firstLine="0"/>
        <w:jc w:val="center"/>
        <w:rPr>
          <w:color w:val="000000" w:themeColor="text1"/>
        </w:rPr>
      </w:pPr>
      <w:r w:rsidRPr="00CF2E90">
        <w:rPr>
          <w:color w:val="000000" w:themeColor="text1"/>
        </w:rPr>
        <w:t>HECTOR ALFONSO CARVAJAL LONDOÑO</w:t>
      </w:r>
    </w:p>
    <w:p w14:paraId="09AC0829" w14:textId="4CD5E703" w:rsidR="00E533CC" w:rsidRPr="00CF2E90" w:rsidRDefault="00E533CC" w:rsidP="00E533CC">
      <w:pPr>
        <w:ind w:left="0" w:right="0" w:firstLine="0"/>
        <w:jc w:val="center"/>
        <w:rPr>
          <w:color w:val="000000" w:themeColor="text1"/>
        </w:rPr>
      </w:pPr>
      <w:r w:rsidRPr="00CF2E90">
        <w:rPr>
          <w:color w:val="000000" w:themeColor="text1"/>
        </w:rPr>
        <w:t>Magistrado</w:t>
      </w:r>
    </w:p>
    <w:p w14:paraId="450C4F75" w14:textId="04510E87" w:rsidR="00E533CC" w:rsidRPr="00CF2E90" w:rsidRDefault="00E533CC" w:rsidP="008F6DF2">
      <w:pPr>
        <w:ind w:left="0" w:right="0" w:firstLine="0"/>
        <w:rPr>
          <w:color w:val="000000" w:themeColor="text1"/>
        </w:rPr>
      </w:pPr>
    </w:p>
    <w:p w14:paraId="34A70E69" w14:textId="07E0A2EC" w:rsidR="00E533CC" w:rsidRPr="00CF2E90" w:rsidRDefault="00E533CC" w:rsidP="008F6DF2">
      <w:pPr>
        <w:ind w:left="0" w:right="0" w:firstLine="0"/>
        <w:rPr>
          <w:color w:val="000000" w:themeColor="text1"/>
        </w:rPr>
      </w:pPr>
    </w:p>
    <w:p w14:paraId="4FD6E3DE" w14:textId="058F8EFE" w:rsidR="00E533CC" w:rsidRPr="00CF2E90" w:rsidRDefault="00E533CC" w:rsidP="00E533CC">
      <w:pPr>
        <w:ind w:left="0" w:right="0" w:firstLine="0"/>
        <w:jc w:val="center"/>
        <w:rPr>
          <w:color w:val="000000" w:themeColor="text1"/>
        </w:rPr>
      </w:pPr>
      <w:r w:rsidRPr="00CF2E90">
        <w:rPr>
          <w:color w:val="000000" w:themeColor="text1"/>
        </w:rPr>
        <w:t>JUAN CARLOS CORTÉS GONZÁLEZ</w:t>
      </w:r>
    </w:p>
    <w:p w14:paraId="6F6D4FC9" w14:textId="7D0FDD99" w:rsidR="00E533CC" w:rsidRPr="00CF2E90" w:rsidRDefault="00E533CC" w:rsidP="00E533CC">
      <w:pPr>
        <w:ind w:left="0" w:right="0" w:firstLine="0"/>
        <w:jc w:val="center"/>
        <w:rPr>
          <w:color w:val="000000" w:themeColor="text1"/>
        </w:rPr>
      </w:pPr>
      <w:r w:rsidRPr="00CF2E90">
        <w:rPr>
          <w:color w:val="000000" w:themeColor="text1"/>
        </w:rPr>
        <w:t>Magistrado</w:t>
      </w:r>
    </w:p>
    <w:p w14:paraId="64B52C5E" w14:textId="157400AC" w:rsidR="00E533CC" w:rsidRPr="00CF2E90" w:rsidRDefault="00E533CC" w:rsidP="008F6DF2">
      <w:pPr>
        <w:ind w:left="0" w:right="0" w:firstLine="0"/>
        <w:rPr>
          <w:color w:val="000000" w:themeColor="text1"/>
        </w:rPr>
      </w:pPr>
    </w:p>
    <w:p w14:paraId="1E4A76E4" w14:textId="29BFC958" w:rsidR="00E533CC" w:rsidRPr="00CF2E90" w:rsidRDefault="00E533CC" w:rsidP="008F6DF2">
      <w:pPr>
        <w:ind w:left="0" w:right="0" w:firstLine="0"/>
        <w:rPr>
          <w:color w:val="000000" w:themeColor="text1"/>
        </w:rPr>
      </w:pPr>
    </w:p>
    <w:p w14:paraId="3D9BF781" w14:textId="0C315C69" w:rsidR="00E533CC" w:rsidRPr="00CF2E90" w:rsidRDefault="00E533CC" w:rsidP="00E533CC">
      <w:pPr>
        <w:ind w:left="0" w:right="0" w:firstLine="0"/>
        <w:jc w:val="center"/>
        <w:rPr>
          <w:color w:val="000000" w:themeColor="text1"/>
        </w:rPr>
      </w:pPr>
      <w:r w:rsidRPr="00CF2E90">
        <w:rPr>
          <w:color w:val="000000" w:themeColor="text1"/>
        </w:rPr>
        <w:t>LINA MARCELA ESCOBAR MARTÍNEZ</w:t>
      </w:r>
    </w:p>
    <w:p w14:paraId="5CB2CE95" w14:textId="2D2C66BD" w:rsidR="00E533CC" w:rsidRPr="00CF2E90" w:rsidRDefault="00E533CC" w:rsidP="00E533CC">
      <w:pPr>
        <w:ind w:left="0" w:right="0" w:firstLine="0"/>
        <w:jc w:val="center"/>
        <w:rPr>
          <w:color w:val="000000" w:themeColor="text1"/>
        </w:rPr>
      </w:pPr>
      <w:r w:rsidRPr="00CF2E90">
        <w:rPr>
          <w:color w:val="000000" w:themeColor="text1"/>
        </w:rPr>
        <w:t>Magistrada</w:t>
      </w:r>
    </w:p>
    <w:p w14:paraId="1B6E3A6D" w14:textId="6EC4324C" w:rsidR="00E533CC" w:rsidRPr="00CF2E90" w:rsidRDefault="00E533CC" w:rsidP="008F6DF2">
      <w:pPr>
        <w:ind w:left="0" w:right="0" w:firstLine="0"/>
        <w:rPr>
          <w:color w:val="000000" w:themeColor="text1"/>
        </w:rPr>
      </w:pPr>
    </w:p>
    <w:p w14:paraId="77CA917B" w14:textId="313C0FE6" w:rsidR="00E533CC" w:rsidRPr="00CF2E90" w:rsidRDefault="00E533CC" w:rsidP="008F6DF2">
      <w:pPr>
        <w:ind w:left="0" w:right="0" w:firstLine="0"/>
        <w:rPr>
          <w:color w:val="000000" w:themeColor="text1"/>
        </w:rPr>
      </w:pPr>
    </w:p>
    <w:p w14:paraId="683AB9E7" w14:textId="40D0687B" w:rsidR="00E533CC" w:rsidRPr="00CF2E90" w:rsidRDefault="00E533CC" w:rsidP="00E533CC">
      <w:pPr>
        <w:ind w:left="0" w:right="0" w:firstLine="0"/>
        <w:jc w:val="center"/>
        <w:rPr>
          <w:color w:val="000000" w:themeColor="text1"/>
        </w:rPr>
      </w:pPr>
      <w:r w:rsidRPr="00CF2E90">
        <w:rPr>
          <w:color w:val="000000" w:themeColor="text1"/>
        </w:rPr>
        <w:t>VLADIMIR FERNÁNDEZ ANDRADE</w:t>
      </w:r>
    </w:p>
    <w:p w14:paraId="16451D30" w14:textId="0DB75B9C" w:rsidR="00E533CC" w:rsidRPr="00CF2E90" w:rsidRDefault="00E533CC" w:rsidP="00E533CC">
      <w:pPr>
        <w:ind w:left="0" w:right="0" w:firstLine="0"/>
        <w:jc w:val="center"/>
        <w:rPr>
          <w:color w:val="000000" w:themeColor="text1"/>
        </w:rPr>
      </w:pPr>
      <w:r w:rsidRPr="00CF2E90">
        <w:rPr>
          <w:color w:val="000000" w:themeColor="text1"/>
        </w:rPr>
        <w:t>Magistrado</w:t>
      </w:r>
    </w:p>
    <w:p w14:paraId="4E4230A2" w14:textId="5C50A332" w:rsidR="00E533CC" w:rsidRPr="00CF2E90" w:rsidRDefault="00E533CC" w:rsidP="008F6DF2">
      <w:pPr>
        <w:ind w:left="0" w:right="0" w:firstLine="0"/>
        <w:rPr>
          <w:color w:val="000000" w:themeColor="text1"/>
        </w:rPr>
      </w:pPr>
    </w:p>
    <w:p w14:paraId="1C91A808" w14:textId="1AE7FFD8" w:rsidR="00E533CC" w:rsidRPr="00CF2E90" w:rsidRDefault="00E533CC" w:rsidP="008F6DF2">
      <w:pPr>
        <w:ind w:left="0" w:right="0" w:firstLine="0"/>
        <w:rPr>
          <w:color w:val="000000" w:themeColor="text1"/>
        </w:rPr>
      </w:pPr>
    </w:p>
    <w:p w14:paraId="514EB924" w14:textId="222C72C3" w:rsidR="00E533CC" w:rsidRPr="00CF2E90" w:rsidRDefault="00E533CC" w:rsidP="00E533CC">
      <w:pPr>
        <w:ind w:left="0" w:right="0" w:firstLine="0"/>
        <w:jc w:val="center"/>
        <w:rPr>
          <w:color w:val="000000" w:themeColor="text1"/>
        </w:rPr>
      </w:pPr>
      <w:r w:rsidRPr="00CF2E90">
        <w:rPr>
          <w:color w:val="000000" w:themeColor="text1"/>
        </w:rPr>
        <w:t xml:space="preserve">JORGE ENRIQUE IBÁÑEZ NAJAR </w:t>
      </w:r>
    </w:p>
    <w:p w14:paraId="1E3B5FAF" w14:textId="34F5D3CE" w:rsidR="00E533CC" w:rsidRPr="00CF2E90" w:rsidRDefault="00E533CC" w:rsidP="00E533CC">
      <w:pPr>
        <w:ind w:left="0" w:right="0" w:firstLine="0"/>
        <w:jc w:val="center"/>
        <w:rPr>
          <w:color w:val="000000" w:themeColor="text1"/>
        </w:rPr>
      </w:pPr>
      <w:r w:rsidRPr="00CF2E90">
        <w:rPr>
          <w:color w:val="000000" w:themeColor="text1"/>
        </w:rPr>
        <w:t>Magistrado</w:t>
      </w:r>
    </w:p>
    <w:p w14:paraId="55CB5C87" w14:textId="03AB054D" w:rsidR="00E533CC" w:rsidRPr="00CF2E90" w:rsidRDefault="00E533CC" w:rsidP="00E533CC">
      <w:pPr>
        <w:ind w:left="0" w:right="0" w:firstLine="0"/>
        <w:jc w:val="center"/>
        <w:rPr>
          <w:color w:val="000000" w:themeColor="text1"/>
        </w:rPr>
      </w:pPr>
      <w:r w:rsidRPr="00CF2E90">
        <w:rPr>
          <w:color w:val="000000" w:themeColor="text1"/>
        </w:rPr>
        <w:t>Con salvamento de voto</w:t>
      </w:r>
    </w:p>
    <w:p w14:paraId="52F71989" w14:textId="6C9B904E" w:rsidR="00E533CC" w:rsidRPr="00CF2E90" w:rsidRDefault="00E533CC" w:rsidP="008F6DF2">
      <w:pPr>
        <w:ind w:left="0" w:right="0" w:firstLine="0"/>
        <w:rPr>
          <w:color w:val="000000" w:themeColor="text1"/>
        </w:rPr>
      </w:pPr>
    </w:p>
    <w:p w14:paraId="26FC03FD" w14:textId="2D31B9EF" w:rsidR="00E533CC" w:rsidRPr="00CF2E90" w:rsidRDefault="00E533CC" w:rsidP="008F6DF2">
      <w:pPr>
        <w:ind w:left="0" w:right="0" w:firstLine="0"/>
        <w:rPr>
          <w:color w:val="000000" w:themeColor="text1"/>
        </w:rPr>
      </w:pPr>
    </w:p>
    <w:p w14:paraId="67B6C211" w14:textId="52BB488A" w:rsidR="00E533CC" w:rsidRPr="00CF2E90" w:rsidRDefault="00E533CC" w:rsidP="00E533CC">
      <w:pPr>
        <w:ind w:left="0" w:right="0" w:firstLine="0"/>
        <w:jc w:val="center"/>
        <w:rPr>
          <w:color w:val="000000" w:themeColor="text1"/>
        </w:rPr>
      </w:pPr>
      <w:r w:rsidRPr="00CF2E90">
        <w:rPr>
          <w:color w:val="000000" w:themeColor="text1"/>
        </w:rPr>
        <w:t>MIGUEL POLO ROSERO</w:t>
      </w:r>
    </w:p>
    <w:p w14:paraId="75DAA9D3" w14:textId="27ACA158" w:rsidR="00E533CC" w:rsidRPr="00CF2E90" w:rsidRDefault="00E533CC" w:rsidP="00E533CC">
      <w:pPr>
        <w:ind w:left="0" w:right="0" w:firstLine="0"/>
        <w:jc w:val="center"/>
        <w:rPr>
          <w:color w:val="000000" w:themeColor="text1"/>
        </w:rPr>
      </w:pPr>
      <w:r w:rsidRPr="00CF2E90">
        <w:rPr>
          <w:color w:val="000000" w:themeColor="text1"/>
        </w:rPr>
        <w:t>Magistrado</w:t>
      </w:r>
    </w:p>
    <w:p w14:paraId="24B682D7" w14:textId="08C62BBB" w:rsidR="00E533CC" w:rsidRPr="00CF2E90" w:rsidRDefault="00E533CC" w:rsidP="008F6DF2">
      <w:pPr>
        <w:ind w:left="0" w:right="0" w:firstLine="0"/>
        <w:rPr>
          <w:color w:val="000000" w:themeColor="text1"/>
        </w:rPr>
      </w:pPr>
    </w:p>
    <w:p w14:paraId="35884C32" w14:textId="48DFFAE5" w:rsidR="00E533CC" w:rsidRPr="00CF2E90" w:rsidRDefault="00E533CC" w:rsidP="008F6DF2">
      <w:pPr>
        <w:ind w:left="0" w:right="0" w:firstLine="0"/>
        <w:rPr>
          <w:color w:val="000000" w:themeColor="text1"/>
        </w:rPr>
      </w:pPr>
    </w:p>
    <w:p w14:paraId="53A91023" w14:textId="116D9A47" w:rsidR="00E533CC" w:rsidRPr="00CF2E90" w:rsidRDefault="00E533CC" w:rsidP="00E533CC">
      <w:pPr>
        <w:ind w:left="0" w:right="0" w:firstLine="0"/>
        <w:jc w:val="center"/>
        <w:rPr>
          <w:color w:val="000000" w:themeColor="text1"/>
        </w:rPr>
      </w:pPr>
      <w:r w:rsidRPr="00CF2E90">
        <w:rPr>
          <w:color w:val="000000" w:themeColor="text1"/>
        </w:rPr>
        <w:t>ANDREA LILIANA ROMERO LOPEZ</w:t>
      </w:r>
    </w:p>
    <w:p w14:paraId="34C45076" w14:textId="0BECBA8F" w:rsidR="00E533CC" w:rsidRPr="00CF2E90" w:rsidRDefault="00E533CC" w:rsidP="00E533CC">
      <w:pPr>
        <w:ind w:left="0" w:right="0" w:firstLine="0"/>
        <w:jc w:val="center"/>
        <w:rPr>
          <w:color w:val="000000" w:themeColor="text1"/>
        </w:rPr>
      </w:pPr>
      <w:r w:rsidRPr="00CF2E90">
        <w:rPr>
          <w:color w:val="000000" w:themeColor="text1"/>
        </w:rPr>
        <w:t>Secretaria General</w:t>
      </w:r>
    </w:p>
    <w:p w14:paraId="13BDA56B" w14:textId="77777777" w:rsidR="00E533CC" w:rsidRPr="00CF2E90" w:rsidRDefault="00E533CC" w:rsidP="008F6DF2">
      <w:pPr>
        <w:ind w:left="0" w:right="0" w:firstLine="0"/>
        <w:rPr>
          <w:color w:val="000000" w:themeColor="text1"/>
        </w:rPr>
      </w:pPr>
    </w:p>
    <w:p w14:paraId="525C3B97" w14:textId="086B19F7" w:rsidR="003845FB" w:rsidRPr="00CF2E90" w:rsidRDefault="00CF2E90" w:rsidP="00F36AB2">
      <w:pPr>
        <w:jc w:val="center"/>
        <w:rPr>
          <w:b/>
          <w:bCs/>
          <w:szCs w:val="24"/>
        </w:rPr>
      </w:pPr>
      <w:r w:rsidRPr="00CF2E90">
        <w:rPr>
          <w:b/>
          <w:bCs/>
          <w:szCs w:val="24"/>
        </w:rPr>
        <w:t>ANEXO I</w:t>
      </w:r>
    </w:p>
    <w:p w14:paraId="0FCFDF77" w14:textId="34BC9DB1" w:rsidR="00F36AB2" w:rsidRPr="00CF2E90" w:rsidRDefault="00CF2E90"/>
    <w:tbl>
      <w:tblPr>
        <w:tblStyle w:val="Tablaconcuadrcula"/>
        <w:tblW w:w="0" w:type="auto"/>
        <w:tblLook w:val="04A0" w:firstRow="1" w:lastRow="0" w:firstColumn="1" w:lastColumn="0" w:noHBand="0" w:noVBand="1"/>
      </w:tblPr>
      <w:tblGrid>
        <w:gridCol w:w="2122"/>
        <w:gridCol w:w="7228"/>
      </w:tblGrid>
      <w:tr w:rsidR="00F36AB2" w:rsidRPr="00CF2E90" w14:paraId="107D28C2" w14:textId="77777777" w:rsidTr="00CD326C">
        <w:trPr>
          <w:tblHeader/>
        </w:trPr>
        <w:tc>
          <w:tcPr>
            <w:tcW w:w="2122" w:type="dxa"/>
            <w:shd w:val="clear" w:color="auto" w:fill="D0CECE" w:themeFill="background2" w:themeFillShade="E6"/>
          </w:tcPr>
          <w:p w14:paraId="0286A89C" w14:textId="77777777" w:rsidR="00F36AB2" w:rsidRPr="00CF2E90" w:rsidRDefault="00CF2E90" w:rsidP="00087129">
            <w:pPr>
              <w:jc w:val="center"/>
              <w:rPr>
                <w:b/>
                <w:bCs/>
                <w:szCs w:val="22"/>
              </w:rPr>
            </w:pPr>
            <w:r w:rsidRPr="00CF2E90">
              <w:rPr>
                <w:b/>
                <w:bCs/>
                <w:szCs w:val="22"/>
              </w:rPr>
              <w:t>Interviniente</w:t>
            </w:r>
          </w:p>
        </w:tc>
        <w:tc>
          <w:tcPr>
            <w:tcW w:w="7228" w:type="dxa"/>
            <w:shd w:val="clear" w:color="auto" w:fill="D0CECE" w:themeFill="background2" w:themeFillShade="E6"/>
          </w:tcPr>
          <w:p w14:paraId="02FF200C" w14:textId="77777777" w:rsidR="00F36AB2" w:rsidRPr="00CF2E90" w:rsidRDefault="00CF2E90" w:rsidP="00087129">
            <w:pPr>
              <w:jc w:val="center"/>
              <w:rPr>
                <w:b/>
                <w:bCs/>
                <w:szCs w:val="22"/>
              </w:rPr>
            </w:pPr>
            <w:r w:rsidRPr="00CF2E90">
              <w:rPr>
                <w:b/>
                <w:bCs/>
                <w:szCs w:val="22"/>
              </w:rPr>
              <w:t>Síntesis de la intervención</w:t>
            </w:r>
          </w:p>
        </w:tc>
      </w:tr>
      <w:tr w:rsidR="00F36AB2" w:rsidRPr="00CF2E90" w14:paraId="47EC5B57" w14:textId="77777777" w:rsidTr="00087129">
        <w:tc>
          <w:tcPr>
            <w:tcW w:w="2122" w:type="dxa"/>
          </w:tcPr>
          <w:p w14:paraId="260F854B" w14:textId="77777777" w:rsidR="002048CD" w:rsidRPr="00CF2E90" w:rsidRDefault="00CF2E90" w:rsidP="00087129">
            <w:pPr>
              <w:spacing w:before="240" w:after="240"/>
              <w:jc w:val="center"/>
              <w:rPr>
                <w:rFonts w:eastAsia="Aptos"/>
                <w:b/>
                <w:bCs/>
                <w:kern w:val="2"/>
                <w:szCs w:val="22"/>
              </w:rPr>
            </w:pPr>
          </w:p>
          <w:p w14:paraId="16677F04" w14:textId="77777777" w:rsidR="002048CD" w:rsidRPr="00CF2E90" w:rsidRDefault="00CF2E90" w:rsidP="00087129">
            <w:pPr>
              <w:spacing w:before="240" w:after="240"/>
              <w:jc w:val="center"/>
              <w:rPr>
                <w:rFonts w:eastAsia="Aptos"/>
                <w:b/>
                <w:bCs/>
                <w:kern w:val="2"/>
                <w:szCs w:val="22"/>
              </w:rPr>
            </w:pPr>
          </w:p>
          <w:p w14:paraId="29920C4A" w14:textId="77777777" w:rsidR="002048CD" w:rsidRPr="00CF2E90" w:rsidRDefault="00CF2E90" w:rsidP="00087129">
            <w:pPr>
              <w:spacing w:before="240" w:after="240"/>
              <w:jc w:val="center"/>
              <w:rPr>
                <w:rFonts w:eastAsia="Aptos"/>
                <w:b/>
                <w:bCs/>
                <w:kern w:val="2"/>
                <w:szCs w:val="22"/>
              </w:rPr>
            </w:pPr>
          </w:p>
          <w:p w14:paraId="68DA3FB5" w14:textId="77777777" w:rsidR="002048CD" w:rsidRPr="00CF2E90" w:rsidRDefault="00CF2E90" w:rsidP="00087129">
            <w:pPr>
              <w:spacing w:before="240" w:after="240"/>
              <w:jc w:val="center"/>
              <w:rPr>
                <w:rFonts w:eastAsia="Aptos"/>
                <w:b/>
                <w:bCs/>
                <w:kern w:val="2"/>
                <w:szCs w:val="22"/>
              </w:rPr>
            </w:pPr>
          </w:p>
          <w:p w14:paraId="60041C48" w14:textId="77777777" w:rsidR="002048CD" w:rsidRPr="00CF2E90" w:rsidRDefault="00CF2E90" w:rsidP="00087129">
            <w:pPr>
              <w:spacing w:before="240" w:after="240"/>
              <w:jc w:val="center"/>
              <w:rPr>
                <w:rFonts w:eastAsia="Aptos"/>
                <w:b/>
                <w:bCs/>
                <w:kern w:val="2"/>
                <w:szCs w:val="22"/>
              </w:rPr>
            </w:pPr>
          </w:p>
          <w:p w14:paraId="2C914E06" w14:textId="17CAF420" w:rsidR="00F36AB2" w:rsidRPr="00CF2E90" w:rsidRDefault="00CF2E90" w:rsidP="00087129">
            <w:pPr>
              <w:spacing w:before="240" w:after="240"/>
              <w:jc w:val="center"/>
              <w:rPr>
                <w:szCs w:val="22"/>
                <w:highlight w:val="yellow"/>
              </w:rPr>
            </w:pPr>
            <w:r w:rsidRPr="00CF2E90">
              <w:rPr>
                <w:rFonts w:eastAsia="Aptos"/>
                <w:b/>
                <w:bCs/>
                <w:kern w:val="2"/>
                <w:szCs w:val="22"/>
              </w:rPr>
              <w:t>Fundación Jurídica Proyecto Inocencia</w:t>
            </w:r>
            <w:r w:rsidRPr="00CF2E90">
              <w:rPr>
                <w:rStyle w:val="Refdenotaalpie"/>
                <w:rFonts w:eastAsia="Aptos"/>
                <w:b/>
                <w:bCs/>
                <w:kern w:val="2"/>
                <w:szCs w:val="22"/>
              </w:rPr>
              <w:footnoteReference w:id="82"/>
            </w:r>
          </w:p>
        </w:tc>
        <w:tc>
          <w:tcPr>
            <w:tcW w:w="7228" w:type="dxa"/>
          </w:tcPr>
          <w:p w14:paraId="5D6B0D32" w14:textId="3C9C5D89"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 xml:space="preserve">Solicitó </w:t>
            </w:r>
            <w:r w:rsidRPr="00CF2E90">
              <w:rPr>
                <w:sz w:val="28"/>
                <w:szCs w:val="22"/>
              </w:rPr>
              <w:t xml:space="preserve">declarar </w:t>
            </w:r>
            <w:r w:rsidRPr="00CF2E90">
              <w:rPr>
                <w:sz w:val="28"/>
                <w:szCs w:val="22"/>
              </w:rPr>
              <w:t>la exequibilidad</w:t>
            </w:r>
            <w:r w:rsidRPr="00CF2E90">
              <w:rPr>
                <w:sz w:val="28"/>
                <w:szCs w:val="22"/>
              </w:rPr>
              <w:t xml:space="preserve"> condicionada de las normas acusadas. Sin embargo, consideró que “la solución que plantean los demandantes resulta contradictoria con la demanda”</w:t>
            </w:r>
            <w:r w:rsidRPr="00CF2E90">
              <w:rPr>
                <w:rStyle w:val="Refdenotaalpie"/>
                <w:sz w:val="28"/>
                <w:szCs w:val="22"/>
              </w:rPr>
              <w:footnoteReference w:id="83"/>
            </w:r>
            <w:r w:rsidRPr="00CF2E90">
              <w:rPr>
                <w:sz w:val="28"/>
                <w:szCs w:val="22"/>
              </w:rPr>
              <w:t xml:space="preserve"> porque estos proponen que el término para iniciar el IRI “será igual al término de prescripción de la acción </w:t>
            </w:r>
            <w:r w:rsidRPr="00CF2E90">
              <w:rPr>
                <w:sz w:val="28"/>
                <w:szCs w:val="22"/>
              </w:rPr>
              <w:t>penal del delito por el cual se profirió la respectiva sentencia condenatoria”</w:t>
            </w:r>
            <w:r w:rsidRPr="00CF2E90">
              <w:rPr>
                <w:rStyle w:val="Refdenotaalpie"/>
                <w:sz w:val="28"/>
                <w:szCs w:val="22"/>
              </w:rPr>
              <w:footnoteReference w:id="84"/>
            </w:r>
            <w:r w:rsidRPr="00CF2E90">
              <w:rPr>
                <w:sz w:val="28"/>
                <w:szCs w:val="22"/>
              </w:rPr>
              <w:t>. A su juicio, lo que la demanda realmente evidencia es la ausencia de “término para efecto de que el incidente sea resuelto de manera definitiva por parte de las autoridades ju</w:t>
            </w:r>
            <w:r w:rsidRPr="00CF2E90">
              <w:rPr>
                <w:sz w:val="28"/>
                <w:szCs w:val="22"/>
              </w:rPr>
              <w:t>risdiccionales”</w:t>
            </w:r>
            <w:r w:rsidRPr="00CF2E90">
              <w:rPr>
                <w:rStyle w:val="Refdenotaalpie"/>
                <w:sz w:val="28"/>
                <w:szCs w:val="22"/>
              </w:rPr>
              <w:footnoteReference w:id="85"/>
            </w:r>
            <w:r w:rsidRPr="00CF2E90">
              <w:rPr>
                <w:sz w:val="28"/>
                <w:szCs w:val="22"/>
              </w:rPr>
              <w:t>.</w:t>
            </w:r>
          </w:p>
          <w:p w14:paraId="6EE616B2" w14:textId="77777777" w:rsidR="00F36AB2" w:rsidRPr="00CF2E90" w:rsidRDefault="00CF2E90" w:rsidP="00087129">
            <w:pPr>
              <w:pStyle w:val="font-claude-response-body"/>
              <w:spacing w:before="0" w:beforeAutospacing="0" w:after="0" w:afterAutospacing="0"/>
              <w:jc w:val="both"/>
              <w:rPr>
                <w:sz w:val="28"/>
                <w:szCs w:val="22"/>
              </w:rPr>
            </w:pPr>
          </w:p>
          <w:p w14:paraId="0C019B36"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Sobre el término aplicable, consideró que la solución no puede equipararse al tiempo de la pena impuesta ni al término que faltare para completar la prescripción de la acción penal porque “en muchos casos, los falladores, incluso en sede</w:t>
            </w:r>
            <w:r w:rsidRPr="00CF2E90">
              <w:rPr>
                <w:sz w:val="28"/>
                <w:szCs w:val="22"/>
              </w:rPr>
              <w:t xml:space="preserve"> de casación, se toman todo el tiempo de prescripción para resolver el proceso penal”, lo que tornaría dichos plazos irrazonables e indefinidos</w:t>
            </w:r>
            <w:r w:rsidRPr="00CF2E90">
              <w:rPr>
                <w:rStyle w:val="Refdenotaalpie"/>
                <w:sz w:val="28"/>
                <w:szCs w:val="22"/>
              </w:rPr>
              <w:footnoteReference w:id="86"/>
            </w:r>
            <w:r w:rsidRPr="00CF2E90">
              <w:rPr>
                <w:sz w:val="28"/>
                <w:szCs w:val="22"/>
              </w:rPr>
              <w:t>.</w:t>
            </w:r>
          </w:p>
          <w:p w14:paraId="34AC1380" w14:textId="77777777" w:rsidR="00F36AB2" w:rsidRPr="00CF2E90" w:rsidRDefault="00CF2E90" w:rsidP="00087129">
            <w:pPr>
              <w:pStyle w:val="font-claude-response-body"/>
              <w:spacing w:before="0" w:beforeAutospacing="0" w:after="0" w:afterAutospacing="0"/>
              <w:jc w:val="both"/>
              <w:rPr>
                <w:sz w:val="28"/>
                <w:szCs w:val="22"/>
              </w:rPr>
            </w:pPr>
          </w:p>
          <w:p w14:paraId="4874E7C5"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En este sentido, propuso a la Corte que declare la exequibilidad condicionada de las normas acusadas, en el e</w:t>
            </w:r>
            <w:r w:rsidRPr="00CF2E90">
              <w:rPr>
                <w:sz w:val="28"/>
                <w:szCs w:val="22"/>
              </w:rPr>
              <w:t>ntendido de que “la radicación del incidente de reparación integral por parte de la víctima interrumpe el término de prescripción de la acción penal, exclusivamente respecto de los efectos patrimoniales derivados de la conducta punible, debiendo ser resuel</w:t>
            </w:r>
            <w:r w:rsidRPr="00CF2E90">
              <w:rPr>
                <w:sz w:val="28"/>
                <w:szCs w:val="22"/>
              </w:rPr>
              <w:t>to por el juez de conocimiento en un término que no podrá superar los tres (3) años de que trata el artículo 292 de la Ley 906 de 2004, so pena de que el Estado pierda la potestad para resolver el incidente”</w:t>
            </w:r>
            <w:r w:rsidRPr="00CF2E90">
              <w:rPr>
                <w:rStyle w:val="Refdenotaalpie"/>
                <w:sz w:val="28"/>
                <w:szCs w:val="22"/>
              </w:rPr>
              <w:footnoteReference w:id="87"/>
            </w:r>
            <w:r w:rsidRPr="00CF2E90">
              <w:rPr>
                <w:sz w:val="28"/>
                <w:szCs w:val="22"/>
              </w:rPr>
              <w:t>.</w:t>
            </w:r>
          </w:p>
        </w:tc>
      </w:tr>
      <w:tr w:rsidR="00F36AB2" w:rsidRPr="00CF2E90" w14:paraId="7502BD74" w14:textId="77777777" w:rsidTr="00087129">
        <w:tc>
          <w:tcPr>
            <w:tcW w:w="2122" w:type="dxa"/>
          </w:tcPr>
          <w:p w14:paraId="5178EC3A" w14:textId="77777777" w:rsidR="00F36AB2" w:rsidRPr="00CF2E90" w:rsidRDefault="00CF2E90" w:rsidP="00087129">
            <w:pPr>
              <w:spacing w:before="240" w:after="240"/>
              <w:jc w:val="center"/>
              <w:rPr>
                <w:szCs w:val="22"/>
                <w:highlight w:val="yellow"/>
              </w:rPr>
            </w:pPr>
            <w:r w:rsidRPr="00CF2E90">
              <w:rPr>
                <w:rFonts w:eastAsia="Aptos"/>
                <w:b/>
                <w:bCs/>
                <w:kern w:val="2"/>
                <w:szCs w:val="22"/>
              </w:rPr>
              <w:t>Colegio de Abogados Penalistas</w:t>
            </w:r>
            <w:r w:rsidRPr="00CF2E90">
              <w:rPr>
                <w:rFonts w:eastAsia="Aptos"/>
                <w:b/>
                <w:bCs/>
                <w:kern w:val="2"/>
                <w:szCs w:val="22"/>
                <w:vertAlign w:val="superscript"/>
              </w:rPr>
              <w:footnoteReference w:id="88"/>
            </w:r>
          </w:p>
        </w:tc>
        <w:tc>
          <w:tcPr>
            <w:tcW w:w="7228" w:type="dxa"/>
          </w:tcPr>
          <w:p w14:paraId="270B3BD2" w14:textId="77777777" w:rsidR="00F36AB2" w:rsidRPr="00CF2E90" w:rsidRDefault="00CF2E90" w:rsidP="00087129">
            <w:pPr>
              <w:pStyle w:val="Prrafodelista"/>
              <w:ind w:right="37"/>
              <w:rPr>
                <w:szCs w:val="22"/>
                <w:highlight w:val="yellow"/>
                <w:lang w:val="es-ES"/>
              </w:rPr>
            </w:pPr>
            <w:r w:rsidRPr="00CF2E90">
              <w:rPr>
                <w:rFonts w:eastAsia="Aptos"/>
                <w:kern w:val="2"/>
                <w:szCs w:val="22"/>
              </w:rPr>
              <w:t>Solicitó</w:t>
            </w:r>
            <w:r w:rsidRPr="00CF2E90">
              <w:rPr>
                <w:szCs w:val="22"/>
              </w:rPr>
              <w:t xml:space="preserve"> que se reconozca la existencia de una omisión legislativa relativa y que se declare la exequibilidad condicionada en los términos planteados por los demandantes y que se exhorte al legislador para que expida una regulación suficiente. Consideró que, con d</w:t>
            </w:r>
            <w:r w:rsidRPr="00CF2E90">
              <w:rPr>
                <w:szCs w:val="22"/>
              </w:rPr>
              <w:t xml:space="preserve">ichas medidas, se garantiza que el </w:t>
            </w:r>
            <w:r w:rsidRPr="00CF2E90">
              <w:rPr>
                <w:rFonts w:eastAsiaTheme="minorHAnsi"/>
                <w:szCs w:val="22"/>
              </w:rPr>
              <w:t>incidente de reparación integral</w:t>
            </w:r>
            <w:r w:rsidRPr="00CF2E90">
              <w:rPr>
                <w:szCs w:val="22"/>
              </w:rPr>
              <w:t xml:space="preserve"> cumpla con su finalidad restaurativa sin sacrificar el plazo razonable, la seguridad jurídica y el derecho efectivo de acceso a la justicia. </w:t>
            </w:r>
          </w:p>
        </w:tc>
      </w:tr>
      <w:tr w:rsidR="00F36AB2" w:rsidRPr="00CF2E90" w14:paraId="0E2F143B" w14:textId="77777777" w:rsidTr="00087129">
        <w:tc>
          <w:tcPr>
            <w:tcW w:w="2122" w:type="dxa"/>
          </w:tcPr>
          <w:p w14:paraId="052B0700" w14:textId="77777777" w:rsidR="00F36AB2" w:rsidRPr="00CF2E90" w:rsidRDefault="00CF2E90" w:rsidP="00087129">
            <w:pPr>
              <w:spacing w:before="240" w:after="240"/>
              <w:jc w:val="center"/>
              <w:rPr>
                <w:szCs w:val="22"/>
                <w:highlight w:val="yellow"/>
              </w:rPr>
            </w:pPr>
            <w:r w:rsidRPr="00CF2E90">
              <w:rPr>
                <w:b/>
                <w:bCs/>
                <w:szCs w:val="22"/>
                <w:lang w:val="es-ES"/>
              </w:rPr>
              <w:t>Universidad Externado de Colombia</w:t>
            </w:r>
            <w:r w:rsidRPr="00CF2E90">
              <w:rPr>
                <w:szCs w:val="22"/>
                <w:lang w:val="es-ES"/>
              </w:rPr>
              <w:t>,</w:t>
            </w:r>
            <w:r w:rsidRPr="00CF2E90">
              <w:rPr>
                <w:rStyle w:val="Refdenotaalpie"/>
                <w:b/>
                <w:bCs/>
                <w:szCs w:val="22"/>
                <w:lang w:val="es-ES"/>
              </w:rPr>
              <w:footnoteReference w:id="89"/>
            </w:r>
          </w:p>
        </w:tc>
        <w:tc>
          <w:tcPr>
            <w:tcW w:w="7228" w:type="dxa"/>
          </w:tcPr>
          <w:p w14:paraId="03E47E59" w14:textId="006891DD" w:rsidR="00F36AB2" w:rsidRPr="00CF2E90" w:rsidRDefault="00CF2E90" w:rsidP="00087129">
            <w:pPr>
              <w:pStyle w:val="font-claude-response-body"/>
              <w:spacing w:before="0" w:beforeAutospacing="0" w:after="0" w:afterAutospacing="0"/>
              <w:jc w:val="both"/>
              <w:rPr>
                <w:sz w:val="28"/>
                <w:szCs w:val="22"/>
              </w:rPr>
            </w:pPr>
            <w:r w:rsidRPr="00CF2E90">
              <w:rPr>
                <w:rStyle w:val="Textoennegrita"/>
                <w:b w:val="0"/>
                <w:bCs w:val="0"/>
                <w:sz w:val="28"/>
                <w:szCs w:val="22"/>
              </w:rPr>
              <w:t>Solicit</w:t>
            </w:r>
            <w:r w:rsidRPr="00CF2E90">
              <w:rPr>
                <w:rStyle w:val="Textoennegrita"/>
                <w:b w:val="0"/>
                <w:bCs w:val="0"/>
                <w:sz w:val="28"/>
                <w:szCs w:val="22"/>
              </w:rPr>
              <w:t xml:space="preserve">ó </w:t>
            </w:r>
            <w:r w:rsidRPr="00CF2E90">
              <w:rPr>
                <w:rStyle w:val="Textoennegrita"/>
                <w:b w:val="0"/>
                <w:bCs w:val="0"/>
                <w:sz w:val="28"/>
                <w:szCs w:val="22"/>
              </w:rPr>
              <w:t>la inhibición</w:t>
            </w:r>
            <w:r w:rsidRPr="00CF2E90">
              <w:rPr>
                <w:sz w:val="28"/>
                <w:szCs w:val="22"/>
              </w:rPr>
              <w:t>, en subsidio, la declaratori</w:t>
            </w:r>
            <w:r w:rsidRPr="00CF2E90">
              <w:rPr>
                <w:sz w:val="28"/>
                <w:szCs w:val="22"/>
              </w:rPr>
              <w:t>a</w:t>
            </w:r>
            <w:r w:rsidRPr="00CF2E90">
              <w:rPr>
                <w:sz w:val="28"/>
                <w:szCs w:val="22"/>
              </w:rPr>
              <w:t xml:space="preserve"> de la exequibilidad simple de las normas demandadas. Consideró que la demanda </w:t>
            </w:r>
            <w:r w:rsidRPr="00CF2E90">
              <w:rPr>
                <w:sz w:val="28"/>
                <w:szCs w:val="22"/>
              </w:rPr>
              <w:t xml:space="preserve">carece de </w:t>
            </w:r>
            <w:r w:rsidRPr="00CF2E90">
              <w:rPr>
                <w:sz w:val="28"/>
                <w:szCs w:val="22"/>
              </w:rPr>
              <w:t>claridad</w:t>
            </w:r>
            <w:r w:rsidRPr="00CF2E90">
              <w:rPr>
                <w:sz w:val="28"/>
                <w:szCs w:val="22"/>
              </w:rPr>
              <w:t xml:space="preserve"> y certeza.</w:t>
            </w:r>
          </w:p>
          <w:p w14:paraId="6FCFC444" w14:textId="0F48D454" w:rsidR="00F36AB2" w:rsidRPr="00CF2E90" w:rsidRDefault="00CF2E90" w:rsidP="00087129">
            <w:pPr>
              <w:pStyle w:val="font-claude-response-body"/>
              <w:spacing w:before="0" w:beforeAutospacing="0" w:after="0" w:afterAutospacing="0"/>
              <w:jc w:val="both"/>
              <w:rPr>
                <w:sz w:val="28"/>
                <w:szCs w:val="22"/>
              </w:rPr>
            </w:pPr>
            <w:r w:rsidRPr="00CF2E90">
              <w:rPr>
                <w:sz w:val="28"/>
              </w:rPr>
              <w:t>Lo primero -</w:t>
            </w:r>
            <w:r w:rsidRPr="00CF2E90">
              <w:rPr>
                <w:rStyle w:val="Textoennegrita"/>
                <w:b w:val="0"/>
                <w:bCs w:val="0"/>
                <w:i/>
                <w:iCs/>
                <w:sz w:val="28"/>
                <w:szCs w:val="22"/>
              </w:rPr>
              <w:t>certeza</w:t>
            </w:r>
            <w:r w:rsidRPr="00CF2E90">
              <w:rPr>
                <w:rStyle w:val="Textoennegrita"/>
                <w:b w:val="0"/>
                <w:bCs w:val="0"/>
                <w:i/>
                <w:iCs/>
                <w:sz w:val="28"/>
                <w:szCs w:val="22"/>
              </w:rPr>
              <w:t>-</w:t>
            </w:r>
            <w:r w:rsidRPr="00CF2E90">
              <w:rPr>
                <w:sz w:val="28"/>
                <w:szCs w:val="22"/>
              </w:rPr>
              <w:t xml:space="preserve">, </w:t>
            </w:r>
            <w:r w:rsidRPr="00CF2E90">
              <w:rPr>
                <w:sz w:val="28"/>
                <w:szCs w:val="22"/>
              </w:rPr>
              <w:t>p</w:t>
            </w:r>
            <w:r w:rsidRPr="00CF2E90">
              <w:rPr>
                <w:sz w:val="28"/>
              </w:rPr>
              <w:t>orque</w:t>
            </w:r>
            <w:r w:rsidRPr="00CF2E90">
              <w:rPr>
                <w:sz w:val="28"/>
                <w:szCs w:val="22"/>
              </w:rPr>
              <w:t xml:space="preserve"> incurre en “múltiples peticiones de principio en tanto se postulan conclusiones o proposiciones jurídicas basadas en premisas falsas o incorrectas”</w:t>
            </w:r>
            <w:r w:rsidRPr="00CF2E90">
              <w:rPr>
                <w:rStyle w:val="Refdenotaalpie"/>
                <w:sz w:val="28"/>
                <w:szCs w:val="22"/>
              </w:rPr>
              <w:footnoteReference w:id="90"/>
            </w:r>
            <w:r w:rsidRPr="00CF2E90">
              <w:rPr>
                <w:sz w:val="28"/>
                <w:szCs w:val="22"/>
              </w:rPr>
              <w:t xml:space="preserve">. </w:t>
            </w:r>
            <w:r w:rsidRPr="00CF2E90">
              <w:rPr>
                <w:sz w:val="28"/>
                <w:szCs w:val="22"/>
              </w:rPr>
              <w:t>A</w:t>
            </w:r>
            <w:r w:rsidRPr="00CF2E90">
              <w:rPr>
                <w:sz w:val="28"/>
              </w:rPr>
              <w:t>demás, señaló que</w:t>
            </w:r>
            <w:r w:rsidRPr="00CF2E90">
              <w:rPr>
                <w:sz w:val="28"/>
                <w:szCs w:val="22"/>
              </w:rPr>
              <w:t xml:space="preserve"> la premisa central de la acusación, según la cual</w:t>
            </w:r>
            <w:r w:rsidRPr="00CF2E90">
              <w:rPr>
                <w:sz w:val="28"/>
                <w:szCs w:val="22"/>
              </w:rPr>
              <w:t xml:space="preserve"> </w:t>
            </w:r>
            <w:r w:rsidRPr="00CF2E90">
              <w:rPr>
                <w:sz w:val="28"/>
                <w:szCs w:val="22"/>
              </w:rPr>
              <w:t>el IRI carece de un término de presc</w:t>
            </w:r>
            <w:r w:rsidRPr="00CF2E90">
              <w:rPr>
                <w:sz w:val="28"/>
                <w:szCs w:val="22"/>
              </w:rPr>
              <w:t>ripción, constituye “un yerro o imprecisión jurídica”. Esto, porque lo que “susceptible de prescribir” es la acción judicial. En tal sentido, consideró que la conclusión de la demanda según la cual existe un “limbo jurídico que la Constitución prohíbe” enc</w:t>
            </w:r>
            <w:r w:rsidRPr="00CF2E90">
              <w:rPr>
                <w:sz w:val="28"/>
                <w:szCs w:val="22"/>
              </w:rPr>
              <w:t>ierra “una falacia lógica, pues al decir que existe una ‘omisión legislativa’ que determina la violación de derechos fundamentales, está partiendo de una premisa falsa”</w:t>
            </w:r>
            <w:r w:rsidRPr="00CF2E90">
              <w:rPr>
                <w:rStyle w:val="Refdenotaalpie"/>
                <w:sz w:val="28"/>
                <w:szCs w:val="22"/>
              </w:rPr>
              <w:footnoteReference w:id="91"/>
            </w:r>
            <w:r w:rsidRPr="00CF2E90">
              <w:rPr>
                <w:sz w:val="28"/>
                <w:szCs w:val="22"/>
              </w:rPr>
              <w:t>.</w:t>
            </w:r>
            <w:r w:rsidRPr="00CF2E90">
              <w:rPr>
                <w:sz w:val="28"/>
                <w:szCs w:val="22"/>
              </w:rPr>
              <w:t xml:space="preserve"> Lo segundo -claridad- porque no e posible comprender si se denuncia la falta de un té</w:t>
            </w:r>
            <w:r w:rsidRPr="00CF2E90">
              <w:rPr>
                <w:sz w:val="28"/>
                <w:szCs w:val="22"/>
              </w:rPr>
              <w:t xml:space="preserve">rmino de prescripción o de duración del proceso, las cuales son cosas distintas. </w:t>
            </w:r>
          </w:p>
          <w:p w14:paraId="10A95DCA" w14:textId="77777777" w:rsidR="00F36AB2" w:rsidRPr="00CF2E90" w:rsidRDefault="00CF2E90" w:rsidP="00087129">
            <w:pPr>
              <w:pStyle w:val="font-claude-response-body"/>
              <w:spacing w:before="0" w:beforeAutospacing="0" w:after="0" w:afterAutospacing="0"/>
              <w:jc w:val="both"/>
              <w:rPr>
                <w:sz w:val="28"/>
                <w:szCs w:val="22"/>
              </w:rPr>
            </w:pPr>
          </w:p>
          <w:p w14:paraId="4C7FD63D" w14:textId="21B70375"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 xml:space="preserve">En cualquier caso, aseguró que </w:t>
            </w:r>
            <w:r w:rsidRPr="00CF2E90">
              <w:rPr>
                <w:sz w:val="28"/>
                <w:szCs w:val="22"/>
              </w:rPr>
              <w:t>omisión alegada</w:t>
            </w:r>
            <w:r w:rsidRPr="00CF2E90">
              <w:rPr>
                <w:sz w:val="28"/>
                <w:szCs w:val="22"/>
              </w:rPr>
              <w:t xml:space="preserve"> no existe. En su criterio,</w:t>
            </w:r>
            <w:r w:rsidRPr="00CF2E90">
              <w:rPr>
                <w:sz w:val="28"/>
                <w:szCs w:val="22"/>
              </w:rPr>
              <w:t xml:space="preserve"> el ordenamiento jurídico sí regula con suficiencia los términos de prescripción de la acción civil </w:t>
            </w:r>
            <w:r w:rsidRPr="00CF2E90">
              <w:rPr>
                <w:sz w:val="28"/>
                <w:szCs w:val="22"/>
              </w:rPr>
              <w:t>ejercitada en el IRI a través del artículo 2536 del Código Civil establece diez (10) años para la acción ordinaria; del artículo 2358 inciso segundo, tres (3) años para la responsabilidad extracontractual indirecta; y el artículo 1081 del Código de Comerci</w:t>
            </w:r>
            <w:r w:rsidRPr="00CF2E90">
              <w:rPr>
                <w:sz w:val="28"/>
                <w:szCs w:val="22"/>
              </w:rPr>
              <w:t>o, dos (2) y cinco (5) años para las acciones derivadas del contrato de seguro. Agregó que el artículo 98 del Código Penal remite expresamente a la legislación civil para las acciones ejercitadas por fuera del proceso penal -como ocurre con el IRI- y que e</w:t>
            </w:r>
            <w:r w:rsidRPr="00CF2E90">
              <w:rPr>
                <w:sz w:val="28"/>
                <w:szCs w:val="22"/>
              </w:rPr>
              <w:t>l artículo 121 del CGP, aplicable por remisión del artículo 25 de la Ley 906, fija el término máximo de un año para dictar sentencia</w:t>
            </w:r>
            <w:r w:rsidRPr="00CF2E90">
              <w:rPr>
                <w:rStyle w:val="Refdenotaalpie"/>
                <w:sz w:val="28"/>
                <w:szCs w:val="22"/>
              </w:rPr>
              <w:footnoteReference w:id="92"/>
            </w:r>
            <w:r w:rsidRPr="00CF2E90">
              <w:rPr>
                <w:sz w:val="28"/>
                <w:szCs w:val="22"/>
              </w:rPr>
              <w:t>.</w:t>
            </w:r>
          </w:p>
          <w:p w14:paraId="3D891C0D" w14:textId="77777777" w:rsidR="00F36AB2" w:rsidRPr="00CF2E90" w:rsidRDefault="00CF2E90" w:rsidP="00087129">
            <w:pPr>
              <w:pStyle w:val="font-claude-response-body"/>
              <w:spacing w:before="0" w:beforeAutospacing="0" w:after="0" w:afterAutospacing="0"/>
              <w:jc w:val="both"/>
              <w:rPr>
                <w:sz w:val="28"/>
                <w:szCs w:val="22"/>
              </w:rPr>
            </w:pPr>
          </w:p>
          <w:p w14:paraId="5005EBAC"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 xml:space="preserve">Concluyó que “ni la demanda ni sus pretensiones están llamadas a prosperar, no solo por las fallas de forma advertidas </w:t>
            </w:r>
            <w:r w:rsidRPr="00CF2E90">
              <w:rPr>
                <w:i/>
                <w:iCs/>
                <w:sz w:val="28"/>
                <w:szCs w:val="22"/>
              </w:rPr>
              <w:t>a</w:t>
            </w:r>
            <w:r w:rsidRPr="00CF2E90">
              <w:rPr>
                <w:i/>
                <w:iCs/>
                <w:sz w:val="28"/>
                <w:szCs w:val="22"/>
              </w:rPr>
              <w:t>b initio</w:t>
            </w:r>
            <w:r w:rsidRPr="00CF2E90">
              <w:rPr>
                <w:sz w:val="28"/>
                <w:szCs w:val="22"/>
              </w:rPr>
              <w:t>, sino fundamentalmente por no existir la omisión legislativa relativa a que reiteradamente se alude en aquella, pues, por el contrario, la legislación colombiana estudiada en su totalidad en forma sistemática y respetuosa de la norma rectora de in</w:t>
            </w:r>
            <w:r w:rsidRPr="00CF2E90">
              <w:rPr>
                <w:sz w:val="28"/>
                <w:szCs w:val="22"/>
              </w:rPr>
              <w:t>tegración, regula suficientemente los términos de prescripción de la acción civil que puede nacer con la conducta delictiva”</w:t>
            </w:r>
            <w:r w:rsidRPr="00CF2E90">
              <w:rPr>
                <w:rStyle w:val="Refdenotaalpie"/>
                <w:sz w:val="28"/>
                <w:szCs w:val="22"/>
              </w:rPr>
              <w:footnoteReference w:id="93"/>
            </w:r>
            <w:r w:rsidRPr="00CF2E90">
              <w:rPr>
                <w:sz w:val="28"/>
                <w:szCs w:val="22"/>
              </w:rPr>
              <w:t>.</w:t>
            </w:r>
          </w:p>
        </w:tc>
      </w:tr>
      <w:tr w:rsidR="00F36AB2" w:rsidRPr="00CF2E90" w14:paraId="516D63C0" w14:textId="77777777" w:rsidTr="00087129">
        <w:tc>
          <w:tcPr>
            <w:tcW w:w="2122" w:type="dxa"/>
          </w:tcPr>
          <w:p w14:paraId="72E78A39" w14:textId="77777777" w:rsidR="00F36AB2" w:rsidRPr="00CF2E90" w:rsidRDefault="00CF2E90" w:rsidP="00087129">
            <w:pPr>
              <w:spacing w:before="240" w:after="240"/>
              <w:jc w:val="center"/>
              <w:rPr>
                <w:b/>
                <w:bCs/>
                <w:szCs w:val="22"/>
                <w:lang w:val="es-ES"/>
              </w:rPr>
            </w:pPr>
          </w:p>
          <w:p w14:paraId="40D0938D" w14:textId="77777777" w:rsidR="00F36AB2" w:rsidRPr="00CF2E90" w:rsidRDefault="00CF2E90" w:rsidP="00087129">
            <w:pPr>
              <w:spacing w:before="240" w:after="240"/>
              <w:jc w:val="center"/>
              <w:rPr>
                <w:b/>
                <w:bCs/>
                <w:szCs w:val="22"/>
                <w:lang w:val="es-ES"/>
              </w:rPr>
            </w:pPr>
          </w:p>
          <w:p w14:paraId="465CAA3D" w14:textId="77777777" w:rsidR="002048CD" w:rsidRPr="00CF2E90" w:rsidRDefault="00CF2E90" w:rsidP="00087129">
            <w:pPr>
              <w:spacing w:before="240" w:after="240"/>
              <w:jc w:val="center"/>
              <w:rPr>
                <w:b/>
                <w:bCs/>
                <w:szCs w:val="22"/>
                <w:lang w:val="es-ES"/>
              </w:rPr>
            </w:pPr>
          </w:p>
          <w:p w14:paraId="32E7DE59" w14:textId="77777777" w:rsidR="002048CD" w:rsidRPr="00CF2E90" w:rsidRDefault="00CF2E90" w:rsidP="00087129">
            <w:pPr>
              <w:spacing w:before="240" w:after="240"/>
              <w:jc w:val="center"/>
              <w:rPr>
                <w:b/>
                <w:bCs/>
                <w:szCs w:val="22"/>
                <w:lang w:val="es-ES"/>
              </w:rPr>
            </w:pPr>
          </w:p>
          <w:p w14:paraId="3F27E0BE" w14:textId="6BFBB8A7" w:rsidR="00F36AB2" w:rsidRPr="00CF2E90" w:rsidRDefault="00CF2E90" w:rsidP="00087129">
            <w:pPr>
              <w:spacing w:before="240" w:after="240"/>
              <w:jc w:val="center"/>
              <w:rPr>
                <w:szCs w:val="22"/>
                <w:highlight w:val="yellow"/>
              </w:rPr>
            </w:pPr>
            <w:r w:rsidRPr="00CF2E90">
              <w:rPr>
                <w:b/>
                <w:bCs/>
                <w:szCs w:val="22"/>
                <w:lang w:val="es-ES"/>
              </w:rPr>
              <w:t>Academia Colombiana de Jurisprudencia</w:t>
            </w:r>
            <w:r w:rsidRPr="00CF2E90">
              <w:rPr>
                <w:rStyle w:val="Refdenotaalpie"/>
                <w:b/>
                <w:bCs/>
                <w:szCs w:val="22"/>
                <w:lang w:val="es-ES"/>
              </w:rPr>
              <w:footnoteReference w:id="94"/>
            </w:r>
          </w:p>
        </w:tc>
        <w:tc>
          <w:tcPr>
            <w:tcW w:w="7228" w:type="dxa"/>
          </w:tcPr>
          <w:p w14:paraId="77E5B389" w14:textId="33495323"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Solicitó a la Corte declarar</w:t>
            </w:r>
            <w:r w:rsidRPr="00CF2E90">
              <w:rPr>
                <w:sz w:val="28"/>
                <w:szCs w:val="22"/>
              </w:rPr>
              <w:t xml:space="preserve"> </w:t>
            </w:r>
            <w:r w:rsidRPr="00CF2E90">
              <w:rPr>
                <w:sz w:val="28"/>
                <w:szCs w:val="22"/>
              </w:rPr>
              <w:t>que no existe omisión legislativa relativa en materia de</w:t>
            </w:r>
            <w:r w:rsidRPr="00CF2E90">
              <w:rPr>
                <w:sz w:val="28"/>
                <w:szCs w:val="22"/>
              </w:rPr>
              <w:t xml:space="preserve"> prescripción del IRI y que su regulación, “por remisión e integración, se encuentra conforme a la Constitución Política”</w:t>
            </w:r>
            <w:r w:rsidRPr="00CF2E90">
              <w:rPr>
                <w:rStyle w:val="Refdenotaalpie"/>
                <w:sz w:val="28"/>
                <w:szCs w:val="22"/>
              </w:rPr>
              <w:footnoteReference w:id="95"/>
            </w:r>
            <w:r w:rsidRPr="00CF2E90">
              <w:rPr>
                <w:sz w:val="28"/>
                <w:szCs w:val="22"/>
              </w:rPr>
              <w:t>.</w:t>
            </w:r>
          </w:p>
          <w:p w14:paraId="422578CB" w14:textId="77777777" w:rsidR="00F36AB2" w:rsidRPr="00CF2E90" w:rsidRDefault="00CF2E90" w:rsidP="00087129">
            <w:pPr>
              <w:pStyle w:val="font-claude-response-body"/>
              <w:spacing w:before="0" w:beforeAutospacing="0" w:after="0" w:afterAutospacing="0"/>
              <w:rPr>
                <w:sz w:val="28"/>
                <w:szCs w:val="22"/>
              </w:rPr>
            </w:pPr>
          </w:p>
          <w:p w14:paraId="3297DE7C"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Reconoció que “dentro de la normativa acusada no se percibe alguna norma que expresamente establezca el término de prescripción del</w:t>
            </w:r>
            <w:r w:rsidRPr="00CF2E90">
              <w:rPr>
                <w:sz w:val="28"/>
                <w:szCs w:val="22"/>
              </w:rPr>
              <w:t xml:space="preserve"> Incidente de Reparación Integral” y que, “literalmente mirado el asunto, hasta se podría afirmar que el legislador habría incurrido en omisión relativa”</w:t>
            </w:r>
            <w:r w:rsidRPr="00CF2E90">
              <w:rPr>
                <w:rStyle w:val="Refdenotaalpie"/>
                <w:sz w:val="28"/>
                <w:szCs w:val="22"/>
              </w:rPr>
              <w:footnoteReference w:id="96"/>
            </w:r>
            <w:r w:rsidRPr="00CF2E90">
              <w:rPr>
                <w:sz w:val="28"/>
                <w:szCs w:val="22"/>
              </w:rPr>
              <w:t>. Sin embargo, consideró que el principio de analogía, consagrado en el artículo 230 de la Constitució</w:t>
            </w:r>
            <w:r w:rsidRPr="00CF2E90">
              <w:rPr>
                <w:sz w:val="28"/>
                <w:szCs w:val="22"/>
              </w:rPr>
              <w:t xml:space="preserve">n y en el artículo 8 de la Ley 153 de 1887, permite concluir que sí existe término de prescripción aplicable. Señaló que dicho principio ordena que “en los casos omitidos hay que inferir la razón de la ley de los semejantes”, de modo que son aplicables al </w:t>
            </w:r>
            <w:r w:rsidRPr="00CF2E90">
              <w:rPr>
                <w:sz w:val="28"/>
                <w:szCs w:val="22"/>
              </w:rPr>
              <w:t>IRI “las normas que regulan la prescripción en el Código Civil y en el Código General del Proceso”</w:t>
            </w:r>
            <w:r w:rsidRPr="00CF2E90">
              <w:rPr>
                <w:rStyle w:val="Refdenotaalpie"/>
                <w:sz w:val="28"/>
                <w:szCs w:val="22"/>
              </w:rPr>
              <w:footnoteReference w:id="97"/>
            </w:r>
            <w:r w:rsidRPr="00CF2E90">
              <w:rPr>
                <w:sz w:val="28"/>
                <w:szCs w:val="22"/>
              </w:rPr>
              <w:t>.</w:t>
            </w:r>
          </w:p>
          <w:p w14:paraId="073F139E" w14:textId="77777777" w:rsidR="00F36AB2" w:rsidRPr="00CF2E90" w:rsidRDefault="00CF2E90" w:rsidP="00087129">
            <w:pPr>
              <w:pStyle w:val="font-claude-response-body"/>
              <w:spacing w:before="0" w:beforeAutospacing="0" w:after="0" w:afterAutospacing="0"/>
              <w:rPr>
                <w:sz w:val="28"/>
                <w:szCs w:val="22"/>
              </w:rPr>
            </w:pPr>
          </w:p>
          <w:p w14:paraId="19E03C56"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Advirtió que la Sala de Casación Penal de la Corte Suprema de Justicia, en la sentencia SP1356-2025, precisó que el IRI es un mecanismo procesal independi</w:t>
            </w:r>
            <w:r w:rsidRPr="00CF2E90">
              <w:rPr>
                <w:sz w:val="28"/>
                <w:szCs w:val="22"/>
              </w:rPr>
              <w:t>ente y posterior al trámite penal, cuyo objetivo es el resarcimiento del daño, y que por ello su trámite no se rige por las normas de la Ley 906 de 2004 sino por la legislación civil, en concreto el CGP. Concluyó que “por dos vías diferentes (…) todo lo in</w:t>
            </w:r>
            <w:r w:rsidRPr="00CF2E90">
              <w:rPr>
                <w:sz w:val="28"/>
                <w:szCs w:val="22"/>
              </w:rPr>
              <w:t>herente al trámite del Incidente de Reparación Integral (…) se guía por la legislación civil”. En ese orden, señaló que el intérprete puede auxiliarse de los artículos 2341, 2513 y 2536 del Código Civil para determinar el término de prescripción aplicable</w:t>
            </w:r>
            <w:r w:rsidRPr="00CF2E90">
              <w:rPr>
                <w:rStyle w:val="Refdenotaalpie"/>
                <w:sz w:val="28"/>
                <w:szCs w:val="22"/>
              </w:rPr>
              <w:footnoteReference w:id="98"/>
            </w:r>
            <w:r w:rsidRPr="00CF2E90">
              <w:rPr>
                <w:sz w:val="28"/>
                <w:szCs w:val="22"/>
              </w:rPr>
              <w:t>.</w:t>
            </w:r>
          </w:p>
          <w:p w14:paraId="4A7781F6" w14:textId="77777777" w:rsidR="00F36AB2" w:rsidRPr="00CF2E90" w:rsidRDefault="00CF2E90" w:rsidP="00087129">
            <w:pPr>
              <w:pStyle w:val="font-claude-response-body"/>
              <w:spacing w:before="0" w:beforeAutospacing="0" w:after="0" w:afterAutospacing="0"/>
              <w:rPr>
                <w:sz w:val="28"/>
                <w:szCs w:val="22"/>
              </w:rPr>
            </w:pPr>
          </w:p>
          <w:p w14:paraId="65C1A896"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Añadió que el artículo 98 del Código Penal -Ley 599 de 2000- resulta suficiente para responder al cargo. Esto, porque si el IRI se ejercita dentro del proceso penal, la acción prescribe en el mismo tiempo que la acción penal. Si, por el contrario, el tr</w:t>
            </w:r>
            <w:r w:rsidRPr="00CF2E90">
              <w:rPr>
                <w:sz w:val="28"/>
                <w:szCs w:val="22"/>
              </w:rPr>
              <w:t>ámite se desarrolla por fuera del ámbito penal, “sencillamente la mirada se dirigiría a la legislación civil”</w:t>
            </w:r>
            <w:r w:rsidRPr="00CF2E90">
              <w:rPr>
                <w:rStyle w:val="Refdenotaalpie"/>
                <w:sz w:val="28"/>
                <w:szCs w:val="22"/>
              </w:rPr>
              <w:footnoteReference w:id="99"/>
            </w:r>
            <w:r w:rsidRPr="00CF2E90">
              <w:rPr>
                <w:sz w:val="28"/>
                <w:szCs w:val="22"/>
              </w:rPr>
              <w:t>.</w:t>
            </w:r>
          </w:p>
        </w:tc>
      </w:tr>
      <w:tr w:rsidR="00F36AB2" w:rsidRPr="00CF2E90" w14:paraId="61BDF53E" w14:textId="77777777" w:rsidTr="00087129">
        <w:tc>
          <w:tcPr>
            <w:tcW w:w="2122" w:type="dxa"/>
          </w:tcPr>
          <w:p w14:paraId="7B6B92BF" w14:textId="77777777" w:rsidR="00FF2052" w:rsidRPr="00CF2E90" w:rsidRDefault="00CF2E90" w:rsidP="00087129">
            <w:pPr>
              <w:spacing w:before="240" w:after="240"/>
              <w:jc w:val="center"/>
              <w:rPr>
                <w:b/>
                <w:bCs/>
                <w:szCs w:val="22"/>
                <w:lang w:val="es-ES"/>
              </w:rPr>
            </w:pPr>
          </w:p>
          <w:p w14:paraId="686C2865" w14:textId="77777777" w:rsidR="00FF2052" w:rsidRPr="00CF2E90" w:rsidRDefault="00CF2E90" w:rsidP="00087129">
            <w:pPr>
              <w:spacing w:before="240" w:after="240"/>
              <w:jc w:val="center"/>
              <w:rPr>
                <w:b/>
                <w:bCs/>
                <w:szCs w:val="22"/>
                <w:lang w:val="es-ES"/>
              </w:rPr>
            </w:pPr>
          </w:p>
          <w:p w14:paraId="4C912B46" w14:textId="77777777" w:rsidR="00FF2052" w:rsidRPr="00CF2E90" w:rsidRDefault="00CF2E90" w:rsidP="00087129">
            <w:pPr>
              <w:spacing w:before="240" w:after="240"/>
              <w:jc w:val="center"/>
              <w:rPr>
                <w:b/>
                <w:bCs/>
                <w:szCs w:val="22"/>
                <w:lang w:val="es-ES"/>
              </w:rPr>
            </w:pPr>
          </w:p>
          <w:p w14:paraId="48976DDA" w14:textId="77777777" w:rsidR="00FF2052" w:rsidRPr="00CF2E90" w:rsidRDefault="00CF2E90" w:rsidP="00087129">
            <w:pPr>
              <w:spacing w:before="240" w:after="240"/>
              <w:jc w:val="center"/>
              <w:rPr>
                <w:b/>
                <w:bCs/>
                <w:szCs w:val="22"/>
                <w:lang w:val="es-ES"/>
              </w:rPr>
            </w:pPr>
          </w:p>
          <w:p w14:paraId="591D97AA" w14:textId="77777777" w:rsidR="00FF2052" w:rsidRPr="00CF2E90" w:rsidRDefault="00CF2E90" w:rsidP="00087129">
            <w:pPr>
              <w:spacing w:before="240" w:after="240"/>
              <w:jc w:val="center"/>
              <w:rPr>
                <w:b/>
                <w:bCs/>
                <w:szCs w:val="22"/>
                <w:lang w:val="es-ES"/>
              </w:rPr>
            </w:pPr>
          </w:p>
          <w:p w14:paraId="256B4EFA" w14:textId="77777777" w:rsidR="00FF2052" w:rsidRPr="00CF2E90" w:rsidRDefault="00CF2E90" w:rsidP="00087129">
            <w:pPr>
              <w:spacing w:before="240" w:after="240"/>
              <w:jc w:val="center"/>
              <w:rPr>
                <w:b/>
                <w:bCs/>
                <w:szCs w:val="22"/>
                <w:lang w:val="es-ES"/>
              </w:rPr>
            </w:pPr>
          </w:p>
          <w:p w14:paraId="6C988DBF" w14:textId="5F5044C6" w:rsidR="00F36AB2" w:rsidRPr="00CF2E90" w:rsidRDefault="00CF2E90" w:rsidP="00087129">
            <w:pPr>
              <w:spacing w:before="240" w:after="240"/>
              <w:jc w:val="center"/>
              <w:rPr>
                <w:szCs w:val="22"/>
                <w:highlight w:val="yellow"/>
              </w:rPr>
            </w:pPr>
            <w:r w:rsidRPr="00CF2E90">
              <w:rPr>
                <w:b/>
                <w:bCs/>
                <w:szCs w:val="22"/>
                <w:lang w:val="es-ES"/>
              </w:rPr>
              <w:t>Universidad de los Andes</w:t>
            </w:r>
            <w:r w:rsidRPr="00CF2E90">
              <w:rPr>
                <w:rStyle w:val="Refdenotaalpie"/>
                <w:b/>
                <w:bCs/>
                <w:szCs w:val="22"/>
                <w:lang w:val="es-ES"/>
              </w:rPr>
              <w:footnoteReference w:id="100"/>
            </w:r>
          </w:p>
        </w:tc>
        <w:tc>
          <w:tcPr>
            <w:tcW w:w="7228" w:type="dxa"/>
          </w:tcPr>
          <w:p w14:paraId="3382BFCA" w14:textId="5C9E73CC"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Solicitó la declaratoria de exequibilidad condicionada de los artículos 102 a 106 de la Ley 906 de 2004</w:t>
            </w:r>
            <w:r w:rsidRPr="00CF2E90">
              <w:rPr>
                <w:sz w:val="28"/>
                <w:szCs w:val="22"/>
              </w:rPr>
              <w:t>. Asimis</w:t>
            </w:r>
            <w:r w:rsidRPr="00CF2E90">
              <w:rPr>
                <w:sz w:val="28"/>
                <w:szCs w:val="22"/>
              </w:rPr>
              <w:t>mo, pidió</w:t>
            </w:r>
            <w:r w:rsidRPr="00CF2E90">
              <w:rPr>
                <w:sz w:val="28"/>
                <w:szCs w:val="22"/>
              </w:rPr>
              <w:t xml:space="preserve"> </w:t>
            </w:r>
            <w:r w:rsidRPr="00CF2E90">
              <w:rPr>
                <w:sz w:val="28"/>
                <w:szCs w:val="22"/>
              </w:rPr>
              <w:t>exhortar</w:t>
            </w:r>
            <w:r w:rsidRPr="00CF2E90">
              <w:rPr>
                <w:sz w:val="28"/>
                <w:szCs w:val="22"/>
              </w:rPr>
              <w:t xml:space="preserve"> al Congreso de la República para que expida una ley que regule de manera integral el término de prescripción del IRI.</w:t>
            </w:r>
          </w:p>
          <w:p w14:paraId="3A047556" w14:textId="77777777" w:rsidR="00F36AB2" w:rsidRPr="00CF2E90" w:rsidRDefault="00CF2E90" w:rsidP="00087129">
            <w:pPr>
              <w:pStyle w:val="font-claude-response-body"/>
              <w:spacing w:before="0" w:beforeAutospacing="0" w:after="0" w:afterAutospacing="0"/>
              <w:jc w:val="both"/>
              <w:rPr>
                <w:sz w:val="28"/>
                <w:szCs w:val="22"/>
              </w:rPr>
            </w:pPr>
          </w:p>
          <w:p w14:paraId="58162C9F"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En cuanto a la omisión legislativa relativa, consideró que le asiste razón a los accionantes al afirmar que los artícu</w:t>
            </w:r>
            <w:r w:rsidRPr="00CF2E90">
              <w:rPr>
                <w:sz w:val="28"/>
                <w:szCs w:val="22"/>
              </w:rPr>
              <w:t>los demandados configuran dicha omisión. Señaló que existe un acto positivo del legislador que regula el IRI “en tanto define su procedencia, trámite, oportunidad, etapas probatorias y decisión”</w:t>
            </w:r>
            <w:r w:rsidRPr="00CF2E90">
              <w:rPr>
                <w:rStyle w:val="Refdenotaalpie"/>
                <w:sz w:val="28"/>
                <w:szCs w:val="22"/>
              </w:rPr>
              <w:footnoteReference w:id="101"/>
            </w:r>
            <w:r w:rsidRPr="00CF2E90">
              <w:rPr>
                <w:sz w:val="28"/>
                <w:szCs w:val="22"/>
              </w:rPr>
              <w:t>, pero que dicha regulación “no es integral, pues se prescind</w:t>
            </w:r>
            <w:r w:rsidRPr="00CF2E90">
              <w:rPr>
                <w:sz w:val="28"/>
                <w:szCs w:val="22"/>
              </w:rPr>
              <w:t xml:space="preserve">ió de incluir un elemento estructural esencial: el término de prescripción del trámite”, sin el cual la institución no armoniza con los mandatos constitucionales del debido proceso sin dilaciones injustificadas, el acceso efectivo a la justicia, ni con el </w:t>
            </w:r>
            <w:r w:rsidRPr="00CF2E90">
              <w:rPr>
                <w:sz w:val="28"/>
                <w:szCs w:val="22"/>
              </w:rPr>
              <w:t xml:space="preserve">estándar convencional del plazo razonable. Consideró este vacío como jurídicamente relevante porque el legislador “sí estaba sujeto a un deber específico: diseñar procedimientos judiciales eficaces y razonablemente temporales, de acuerdo con los artículos </w:t>
            </w:r>
            <w:r w:rsidRPr="00CF2E90">
              <w:rPr>
                <w:sz w:val="28"/>
                <w:szCs w:val="22"/>
              </w:rPr>
              <w:t>29, 229 y 89 de la Constitución Política”</w:t>
            </w:r>
            <w:r w:rsidRPr="00CF2E90">
              <w:rPr>
                <w:rStyle w:val="Refdenotaalpie"/>
                <w:sz w:val="28"/>
                <w:szCs w:val="22"/>
              </w:rPr>
              <w:footnoteReference w:id="102"/>
            </w:r>
            <w:r w:rsidRPr="00CF2E90">
              <w:rPr>
                <w:sz w:val="28"/>
                <w:szCs w:val="22"/>
              </w:rPr>
              <w:t>.</w:t>
            </w:r>
          </w:p>
          <w:p w14:paraId="65BABB6F" w14:textId="77777777" w:rsidR="00F36AB2" w:rsidRPr="00CF2E90" w:rsidRDefault="00CF2E90" w:rsidP="00087129">
            <w:pPr>
              <w:pStyle w:val="font-claude-response-body"/>
              <w:spacing w:before="0" w:beforeAutospacing="0" w:after="0" w:afterAutospacing="0"/>
              <w:jc w:val="both"/>
              <w:rPr>
                <w:sz w:val="28"/>
                <w:szCs w:val="22"/>
              </w:rPr>
            </w:pPr>
          </w:p>
          <w:p w14:paraId="47B56BD6"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 xml:space="preserve">Sobre la ausencia de razón suficiente, advirtió que “el Congreso no discutió ni justificó la supresión de un régimen temporal que sí existía en los sistemas procesales anteriores”, de modo que no se evidencia </w:t>
            </w:r>
            <w:r w:rsidRPr="00CF2E90">
              <w:rPr>
                <w:sz w:val="28"/>
                <w:szCs w:val="22"/>
              </w:rPr>
              <w:t>una decisión deliberada de imprescriptibilidad, sino “un vacío no intencionado que rompe la coherencia interna del ordenamiento”</w:t>
            </w:r>
            <w:r w:rsidRPr="00CF2E90">
              <w:rPr>
                <w:rStyle w:val="Refdenotaalpie"/>
                <w:sz w:val="28"/>
                <w:szCs w:val="22"/>
              </w:rPr>
              <w:footnoteReference w:id="103"/>
            </w:r>
            <w:r w:rsidRPr="00CF2E90">
              <w:rPr>
                <w:sz w:val="28"/>
                <w:szCs w:val="22"/>
              </w:rPr>
              <w:t>. En ese sentido, resaltó las implicaciones de admitir que el silencio del legislador constituya una consagración tácita de imp</w:t>
            </w:r>
            <w:r w:rsidRPr="00CF2E90">
              <w:rPr>
                <w:sz w:val="28"/>
                <w:szCs w:val="22"/>
              </w:rPr>
              <w:t>rescriptibilidad, pues “aceptar (…) que el silencio del legislador en materia del IRI constituye una decisión deliberada de imprescriptibilidad implicaría atribuir efectos normativos a una ausencia de regulación (…) en abierta contradicción con el principi</w:t>
            </w:r>
            <w:r w:rsidRPr="00CF2E90">
              <w:rPr>
                <w:sz w:val="28"/>
                <w:szCs w:val="22"/>
              </w:rPr>
              <w:t>o de legalidad, según el cual toda actuación estatal debe fundarse en una norma previa, cierta y de alcance determinado”</w:t>
            </w:r>
            <w:r w:rsidRPr="00CF2E90">
              <w:rPr>
                <w:rStyle w:val="Refdenotaalpie"/>
                <w:sz w:val="28"/>
                <w:szCs w:val="22"/>
              </w:rPr>
              <w:footnoteReference w:id="104"/>
            </w:r>
            <w:r w:rsidRPr="00CF2E90">
              <w:rPr>
                <w:sz w:val="28"/>
                <w:szCs w:val="22"/>
              </w:rPr>
              <w:t>. Por el contrario, “reconocer que la ausencia de un término de prescripción constituye una omisión legislativa relativa preserva la co</w:t>
            </w:r>
            <w:r w:rsidRPr="00CF2E90">
              <w:rPr>
                <w:sz w:val="28"/>
                <w:szCs w:val="22"/>
              </w:rPr>
              <w:t>herencia del sistema, respeta la reserva de ley y garantiza que la corrección del déficit normativo se realice por la vía constitucional adecuada”</w:t>
            </w:r>
            <w:r w:rsidRPr="00CF2E90">
              <w:rPr>
                <w:rStyle w:val="Refdenotaalpie"/>
                <w:sz w:val="28"/>
                <w:szCs w:val="22"/>
              </w:rPr>
              <w:footnoteReference w:id="105"/>
            </w:r>
            <w:r w:rsidRPr="00CF2E90">
              <w:rPr>
                <w:sz w:val="28"/>
                <w:szCs w:val="22"/>
              </w:rPr>
              <w:t>.</w:t>
            </w:r>
          </w:p>
          <w:p w14:paraId="15F6DAC5" w14:textId="77777777" w:rsidR="00F36AB2" w:rsidRPr="00CF2E90" w:rsidRDefault="00CF2E90" w:rsidP="00087129">
            <w:pPr>
              <w:pStyle w:val="font-claude-response-body"/>
              <w:spacing w:before="0" w:beforeAutospacing="0" w:after="0" w:afterAutospacing="0"/>
              <w:jc w:val="both"/>
              <w:rPr>
                <w:sz w:val="28"/>
                <w:szCs w:val="22"/>
              </w:rPr>
            </w:pPr>
          </w:p>
          <w:p w14:paraId="3A336BDE"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Asimismo, sostuvo que la ausencia de límite temporal convierte el procedimiento “en una actuación potencia</w:t>
            </w:r>
            <w:r w:rsidRPr="00CF2E90">
              <w:rPr>
                <w:sz w:val="28"/>
                <w:szCs w:val="22"/>
              </w:rPr>
              <w:t>lmente indefinida, incompatible con el principio de seguridad jurídica y el debido proceso”</w:t>
            </w:r>
            <w:r w:rsidRPr="00CF2E90">
              <w:rPr>
                <w:rStyle w:val="Refdenotaalpie"/>
                <w:sz w:val="28"/>
                <w:szCs w:val="22"/>
              </w:rPr>
              <w:footnoteReference w:id="106"/>
            </w:r>
            <w:r w:rsidRPr="00CF2E90">
              <w:rPr>
                <w:sz w:val="28"/>
                <w:szCs w:val="22"/>
              </w:rPr>
              <w:t>, afectando tanto a las víctimas -privadas de una reparación pronta- como al condenado, quien “permanece sometido por tiempo indeterminado a una obligación patrimon</w:t>
            </w:r>
            <w:r w:rsidRPr="00CF2E90">
              <w:rPr>
                <w:sz w:val="28"/>
                <w:szCs w:val="22"/>
              </w:rPr>
              <w:t>ial incierta”. Concluyó que “la omisión legislativa en la fijación de un término de prescripción o duración máxima vulnera simultáneamente el debido proceso, el acceso efectivo a la justicia y la seguridad jurídica, al desnaturalizar la finalidad del incid</w:t>
            </w:r>
            <w:r w:rsidRPr="00CF2E90">
              <w:rPr>
                <w:sz w:val="28"/>
                <w:szCs w:val="22"/>
              </w:rPr>
              <w:t>ente como mecanismo ágil, reparador y equilibrado dentro del sistema penal acusatorio”</w:t>
            </w:r>
            <w:r w:rsidRPr="00CF2E90">
              <w:rPr>
                <w:rStyle w:val="Refdenotaalpie"/>
                <w:sz w:val="28"/>
                <w:szCs w:val="22"/>
              </w:rPr>
              <w:footnoteReference w:id="107"/>
            </w:r>
            <w:r w:rsidRPr="00CF2E90">
              <w:rPr>
                <w:sz w:val="28"/>
                <w:szCs w:val="22"/>
              </w:rPr>
              <w:t>.</w:t>
            </w:r>
          </w:p>
        </w:tc>
      </w:tr>
      <w:tr w:rsidR="00F36AB2" w:rsidRPr="00CF2E90" w14:paraId="25346DEA" w14:textId="77777777" w:rsidTr="00087129">
        <w:tc>
          <w:tcPr>
            <w:tcW w:w="2122" w:type="dxa"/>
          </w:tcPr>
          <w:p w14:paraId="3B7D689C" w14:textId="77777777" w:rsidR="00FF2052" w:rsidRPr="00CF2E90" w:rsidRDefault="00CF2E90" w:rsidP="00087129">
            <w:pPr>
              <w:spacing w:before="240" w:after="240"/>
              <w:jc w:val="center"/>
              <w:rPr>
                <w:b/>
                <w:bCs/>
                <w:szCs w:val="22"/>
              </w:rPr>
            </w:pPr>
          </w:p>
          <w:p w14:paraId="380AD0F5" w14:textId="77777777" w:rsidR="00FF2052" w:rsidRPr="00CF2E90" w:rsidRDefault="00CF2E90" w:rsidP="00087129">
            <w:pPr>
              <w:spacing w:before="240" w:after="240"/>
              <w:jc w:val="center"/>
              <w:rPr>
                <w:b/>
                <w:bCs/>
                <w:szCs w:val="22"/>
              </w:rPr>
            </w:pPr>
          </w:p>
          <w:p w14:paraId="01852833" w14:textId="77777777" w:rsidR="00FF2052" w:rsidRPr="00CF2E90" w:rsidRDefault="00CF2E90" w:rsidP="00087129">
            <w:pPr>
              <w:spacing w:before="240" w:after="240"/>
              <w:jc w:val="center"/>
              <w:rPr>
                <w:b/>
                <w:bCs/>
                <w:szCs w:val="22"/>
              </w:rPr>
            </w:pPr>
          </w:p>
          <w:p w14:paraId="4E675A1B" w14:textId="77777777" w:rsidR="00FF2052" w:rsidRPr="00CF2E90" w:rsidRDefault="00CF2E90" w:rsidP="00087129">
            <w:pPr>
              <w:spacing w:before="240" w:after="240"/>
              <w:jc w:val="center"/>
              <w:rPr>
                <w:b/>
                <w:bCs/>
                <w:szCs w:val="22"/>
              </w:rPr>
            </w:pPr>
          </w:p>
          <w:p w14:paraId="4F76444F" w14:textId="6C63DECD" w:rsidR="00F36AB2" w:rsidRPr="00CF2E90" w:rsidRDefault="00CF2E90" w:rsidP="00087129">
            <w:pPr>
              <w:spacing w:before="240" w:after="240"/>
              <w:jc w:val="center"/>
              <w:rPr>
                <w:b/>
                <w:bCs/>
                <w:szCs w:val="22"/>
                <w:highlight w:val="yellow"/>
                <w:lang w:val="es-ES"/>
              </w:rPr>
            </w:pPr>
            <w:r w:rsidRPr="00CF2E90">
              <w:rPr>
                <w:b/>
                <w:bCs/>
                <w:szCs w:val="22"/>
              </w:rPr>
              <w:t>Ministerio de Justicia y del Derecho</w:t>
            </w:r>
            <w:r w:rsidRPr="00CF2E90">
              <w:rPr>
                <w:b/>
                <w:bCs/>
                <w:szCs w:val="22"/>
                <w:vertAlign w:val="superscript"/>
              </w:rPr>
              <w:footnoteReference w:id="108"/>
            </w:r>
          </w:p>
        </w:tc>
        <w:tc>
          <w:tcPr>
            <w:tcW w:w="7228" w:type="dxa"/>
          </w:tcPr>
          <w:p w14:paraId="07275D0D" w14:textId="45CD44C8"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 xml:space="preserve">Solicitó la inhibición de la Corte o, en subsidio, la declaratoria de exequibilidad simple de las normas demandadas. </w:t>
            </w:r>
          </w:p>
          <w:p w14:paraId="0C2960BE" w14:textId="77777777" w:rsidR="00F36AB2" w:rsidRPr="00CF2E90" w:rsidRDefault="00CF2E90" w:rsidP="00087129">
            <w:pPr>
              <w:pStyle w:val="font-claude-response-body"/>
              <w:spacing w:before="0" w:beforeAutospacing="0" w:after="0" w:afterAutospacing="0"/>
              <w:jc w:val="both"/>
              <w:rPr>
                <w:sz w:val="28"/>
                <w:szCs w:val="22"/>
              </w:rPr>
            </w:pPr>
          </w:p>
          <w:p w14:paraId="2A710229" w14:textId="458F2B4A"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Argum</w:t>
            </w:r>
            <w:r w:rsidRPr="00CF2E90">
              <w:rPr>
                <w:sz w:val="28"/>
                <w:szCs w:val="22"/>
              </w:rPr>
              <w:t xml:space="preserve">entó que la demanda carece de </w:t>
            </w:r>
            <w:r w:rsidRPr="00CF2E90">
              <w:rPr>
                <w:rStyle w:val="Textoennegrita"/>
                <w:b w:val="0"/>
                <w:bCs w:val="0"/>
                <w:i/>
                <w:iCs/>
                <w:sz w:val="28"/>
                <w:szCs w:val="22"/>
              </w:rPr>
              <w:t>claridad</w:t>
            </w:r>
            <w:r w:rsidRPr="00CF2E90">
              <w:rPr>
                <w:rStyle w:val="Textoennegrita"/>
                <w:b w:val="0"/>
                <w:bCs w:val="0"/>
                <w:sz w:val="28"/>
                <w:szCs w:val="22"/>
              </w:rPr>
              <w:t xml:space="preserve"> y </w:t>
            </w:r>
            <w:r w:rsidRPr="00CF2E90">
              <w:rPr>
                <w:rStyle w:val="Textoennegrita"/>
                <w:b w:val="0"/>
                <w:bCs w:val="0"/>
                <w:i/>
                <w:iCs/>
                <w:sz w:val="28"/>
                <w:szCs w:val="22"/>
              </w:rPr>
              <w:t>certeza</w:t>
            </w:r>
            <w:r w:rsidRPr="00CF2E90">
              <w:rPr>
                <w:sz w:val="28"/>
                <w:szCs w:val="22"/>
              </w:rPr>
              <w:t xml:space="preserve"> porque los actores hacen referencia “de manera indistinta, e incluso contradictoria” a dos figuras jurídicas distintas: en un pasaje afirman que el legislador “omitió por completo la fijación de un término máximo para su trámite o, en otras palabras, su p</w:t>
            </w:r>
            <w:r w:rsidRPr="00CF2E90">
              <w:rPr>
                <w:sz w:val="28"/>
                <w:szCs w:val="22"/>
              </w:rPr>
              <w:t>rescripción” y en otro reconocen que “es imperativo no confundir la figura de la prescripción con lo dispuesto en el artículo 121 del CGP que regula la duración máxima de los procesos”</w:t>
            </w:r>
            <w:r w:rsidRPr="00CF2E90">
              <w:rPr>
                <w:rStyle w:val="Refdenotaalpie"/>
                <w:sz w:val="28"/>
                <w:szCs w:val="22"/>
              </w:rPr>
              <w:footnoteReference w:id="109"/>
            </w:r>
            <w:r w:rsidRPr="00CF2E90">
              <w:rPr>
                <w:sz w:val="28"/>
                <w:szCs w:val="22"/>
              </w:rPr>
              <w:t xml:space="preserve">. Señaló que “la ambigüedad de la argumentación no permite concluir de </w:t>
            </w:r>
            <w:r w:rsidRPr="00CF2E90">
              <w:rPr>
                <w:sz w:val="28"/>
                <w:szCs w:val="22"/>
              </w:rPr>
              <w:t>manera lógica y coherente el error legislativo al regular el trámite del incidente de reparación integral”</w:t>
            </w:r>
            <w:r w:rsidRPr="00CF2E90">
              <w:rPr>
                <w:rStyle w:val="Refdenotaalpie"/>
                <w:sz w:val="28"/>
                <w:szCs w:val="22"/>
              </w:rPr>
              <w:footnoteReference w:id="110"/>
            </w:r>
            <w:r w:rsidRPr="00CF2E90">
              <w:rPr>
                <w:sz w:val="28"/>
                <w:szCs w:val="22"/>
              </w:rPr>
              <w:t xml:space="preserve">. </w:t>
            </w:r>
            <w:r w:rsidRPr="00CF2E90">
              <w:rPr>
                <w:sz w:val="28"/>
                <w:szCs w:val="22"/>
              </w:rPr>
              <w:t>En este sentido, c</w:t>
            </w:r>
            <w:r w:rsidRPr="00CF2E90">
              <w:rPr>
                <w:sz w:val="28"/>
                <w:szCs w:val="22"/>
              </w:rPr>
              <w:t>oncluyó que los cargos son “i) incongruentes y contradictorios porque no identifican de forma clara la omisión legislativa relati</w:t>
            </w:r>
            <w:r w:rsidRPr="00CF2E90">
              <w:rPr>
                <w:sz w:val="28"/>
                <w:szCs w:val="22"/>
              </w:rPr>
              <w:t>va en la que fundan el cargo, ii) fruto de la apreciación subjetiva y confusa de los actores, y iii) no presentan una censura de forma clara y completa”</w:t>
            </w:r>
            <w:r w:rsidRPr="00CF2E90">
              <w:rPr>
                <w:rStyle w:val="Refdenotaalpie"/>
                <w:sz w:val="28"/>
                <w:szCs w:val="22"/>
              </w:rPr>
              <w:footnoteReference w:id="111"/>
            </w:r>
            <w:r w:rsidRPr="00CF2E90">
              <w:rPr>
                <w:sz w:val="28"/>
                <w:szCs w:val="22"/>
              </w:rPr>
              <w:t>.</w:t>
            </w:r>
          </w:p>
          <w:p w14:paraId="4C6CAE05" w14:textId="77777777" w:rsidR="00F36AB2" w:rsidRPr="00CF2E90" w:rsidRDefault="00CF2E90" w:rsidP="00087129">
            <w:pPr>
              <w:pStyle w:val="font-claude-response-body"/>
              <w:spacing w:before="0" w:beforeAutospacing="0" w:after="0" w:afterAutospacing="0"/>
              <w:jc w:val="both"/>
              <w:rPr>
                <w:sz w:val="28"/>
                <w:szCs w:val="22"/>
              </w:rPr>
            </w:pPr>
          </w:p>
          <w:p w14:paraId="005CC877" w14:textId="396EB9D8" w:rsidR="00F36AB2" w:rsidRPr="00CF2E90" w:rsidRDefault="00CF2E90" w:rsidP="00087129">
            <w:pPr>
              <w:pStyle w:val="font-claude-response-body"/>
              <w:tabs>
                <w:tab w:val="left" w:pos="5423"/>
              </w:tabs>
              <w:spacing w:before="0" w:beforeAutospacing="0" w:after="0" w:afterAutospacing="0"/>
              <w:jc w:val="both"/>
              <w:rPr>
                <w:sz w:val="28"/>
                <w:szCs w:val="22"/>
              </w:rPr>
            </w:pPr>
            <w:r w:rsidRPr="00CF2E90">
              <w:rPr>
                <w:sz w:val="28"/>
                <w:szCs w:val="22"/>
              </w:rPr>
              <w:t>En cuanto a</w:t>
            </w:r>
            <w:r w:rsidRPr="00CF2E90">
              <w:rPr>
                <w:sz w:val="28"/>
                <w:szCs w:val="22"/>
              </w:rPr>
              <w:t>l a</w:t>
            </w:r>
            <w:r w:rsidRPr="00CF2E90">
              <w:rPr>
                <w:sz w:val="28"/>
                <w:szCs w:val="22"/>
              </w:rPr>
              <w:t xml:space="preserve">nálisis de </w:t>
            </w:r>
            <w:r w:rsidRPr="00CF2E90">
              <w:rPr>
                <w:rStyle w:val="Textoennegrita"/>
                <w:b w:val="0"/>
                <w:bCs w:val="0"/>
                <w:sz w:val="28"/>
                <w:szCs w:val="22"/>
              </w:rPr>
              <w:t>fondo de la demanda</w:t>
            </w:r>
            <w:r w:rsidRPr="00CF2E90">
              <w:rPr>
                <w:sz w:val="28"/>
                <w:szCs w:val="22"/>
              </w:rPr>
              <w:t>, consideró que la omisión legislativa alegada no existe</w:t>
            </w:r>
            <w:r w:rsidRPr="00CF2E90">
              <w:rPr>
                <w:sz w:val="28"/>
                <w:szCs w:val="22"/>
              </w:rPr>
              <w:t>. Señaló que, en virtud del artículo 25 de la Ley 906 de 2004, en el trámite del IRI “puede aplicarse el término previsto en el artículo 121 del Código General del Proceso, el cual dispone que no podrá transcurrir un lapso superior a un (1) año para dictar</w:t>
            </w:r>
            <w:r w:rsidRPr="00CF2E90">
              <w:rPr>
                <w:sz w:val="28"/>
                <w:szCs w:val="22"/>
              </w:rPr>
              <w:t xml:space="preserve"> sentencia”</w:t>
            </w:r>
            <w:r w:rsidRPr="00CF2E90">
              <w:rPr>
                <w:rStyle w:val="Refdenotaalpie"/>
                <w:sz w:val="28"/>
                <w:szCs w:val="22"/>
              </w:rPr>
              <w:footnoteReference w:id="112"/>
            </w:r>
            <w:r w:rsidRPr="00CF2E90">
              <w:rPr>
                <w:sz w:val="28"/>
                <w:szCs w:val="22"/>
              </w:rPr>
              <w:t>. Destacó además que el IRI “no constituye un proceso autónomo, sino una fase accesoria del proceso penal”, por lo que “la razonabilidad del tiempo de su trámite no puede analizarse de manera aislada, sino en el contexto del proceso principal”</w:t>
            </w:r>
            <w:r w:rsidRPr="00CF2E90">
              <w:rPr>
                <w:rStyle w:val="Refdenotaalpie"/>
                <w:sz w:val="28"/>
                <w:szCs w:val="22"/>
              </w:rPr>
              <w:footnoteReference w:id="113"/>
            </w:r>
            <w:r w:rsidRPr="00CF2E90">
              <w:rPr>
                <w:sz w:val="28"/>
                <w:szCs w:val="22"/>
              </w:rPr>
              <w:t>.</w:t>
            </w:r>
          </w:p>
          <w:p w14:paraId="02833E1F" w14:textId="77777777" w:rsidR="00F36AB2" w:rsidRPr="00CF2E90" w:rsidRDefault="00CF2E90" w:rsidP="00087129">
            <w:pPr>
              <w:pStyle w:val="font-claude-response-body"/>
              <w:spacing w:before="0" w:beforeAutospacing="0" w:after="0" w:afterAutospacing="0"/>
              <w:jc w:val="both"/>
              <w:rPr>
                <w:sz w:val="28"/>
                <w:szCs w:val="22"/>
              </w:rPr>
            </w:pPr>
          </w:p>
          <w:p w14:paraId="7FF2EA46"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 xml:space="preserve">Sobre la pretensión de fijar un término preclusivo para el trámite del IRI, advirtió que “tal solicitud carece de sustento constitucional, pues esa situación sí podría restringir, de forma injustificada, el derecho de las víctimas a obtener una </w:t>
            </w:r>
            <w:r w:rsidRPr="00CF2E90">
              <w:rPr>
                <w:sz w:val="28"/>
                <w:szCs w:val="22"/>
              </w:rPr>
              <w:t>reparación integral”</w:t>
            </w:r>
            <w:r w:rsidRPr="00CF2E90">
              <w:rPr>
                <w:rStyle w:val="Refdenotaalpie"/>
                <w:sz w:val="28"/>
                <w:szCs w:val="22"/>
              </w:rPr>
              <w:footnoteReference w:id="114"/>
            </w:r>
            <w:r w:rsidRPr="00CF2E90">
              <w:rPr>
                <w:sz w:val="28"/>
                <w:szCs w:val="22"/>
              </w:rPr>
              <w:t>. Esto, porque la Corte Interamericana de Derechos Humanos ha establecido que “no es posible establecer un plazo razonable único” y la razonabilidad del plazo debe evaluarse caso a caso atendiendo: la complejidad del asunto, la activid</w:t>
            </w:r>
            <w:r w:rsidRPr="00CF2E90">
              <w:rPr>
                <w:sz w:val="28"/>
                <w:szCs w:val="22"/>
              </w:rPr>
              <w:t>ad procesal del interesado y la conducta de las autoridades judiciales. Por lo tanto, consideró que la exigencia de “un término uniforme y absoluto” resulta “contraria al estándar internacional de razonabilidad del plazo”</w:t>
            </w:r>
            <w:r w:rsidRPr="00CF2E90">
              <w:rPr>
                <w:rStyle w:val="Refdenotaalpie"/>
                <w:sz w:val="28"/>
                <w:szCs w:val="22"/>
              </w:rPr>
              <w:footnoteReference w:id="115"/>
            </w:r>
            <w:r w:rsidRPr="00CF2E90">
              <w:rPr>
                <w:sz w:val="28"/>
                <w:szCs w:val="22"/>
              </w:rPr>
              <w:t>.</w:t>
            </w:r>
          </w:p>
          <w:p w14:paraId="251284CB" w14:textId="77777777" w:rsidR="00F36AB2" w:rsidRPr="00CF2E90" w:rsidRDefault="00CF2E90" w:rsidP="00087129">
            <w:pPr>
              <w:pStyle w:val="font-claude-response-body"/>
              <w:spacing w:before="0" w:beforeAutospacing="0" w:after="0" w:afterAutospacing="0"/>
              <w:jc w:val="both"/>
              <w:rPr>
                <w:sz w:val="28"/>
                <w:szCs w:val="22"/>
              </w:rPr>
            </w:pPr>
          </w:p>
          <w:p w14:paraId="527D1FA9"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Concluyó que “el diseño normati</w:t>
            </w:r>
            <w:r w:rsidRPr="00CF2E90">
              <w:rPr>
                <w:sz w:val="28"/>
                <w:szCs w:val="22"/>
              </w:rPr>
              <w:t>vo actual del incidente de reparación integral no presenta vacío alguno que comprometa la constitucionalidad del ordenamiento” porque “la combinación de los principios procesales, la remisión supletoria al Código General del Proceso y los mecanismos de con</w:t>
            </w:r>
            <w:r w:rsidRPr="00CF2E90">
              <w:rPr>
                <w:sz w:val="28"/>
                <w:szCs w:val="22"/>
              </w:rPr>
              <w:t>trol judicial garantizan plenamente el respeto a los derechos de las partes y la efectividad del derecho a un proceso sin dilaciones injustificadas”</w:t>
            </w:r>
            <w:r w:rsidRPr="00CF2E90">
              <w:rPr>
                <w:rStyle w:val="Refdenotaalpie"/>
                <w:sz w:val="28"/>
                <w:szCs w:val="22"/>
              </w:rPr>
              <w:footnoteReference w:id="116"/>
            </w:r>
            <w:r w:rsidRPr="00CF2E90">
              <w:rPr>
                <w:sz w:val="28"/>
                <w:szCs w:val="22"/>
              </w:rPr>
              <w:t>.</w:t>
            </w:r>
          </w:p>
        </w:tc>
      </w:tr>
      <w:tr w:rsidR="00F36AB2" w:rsidRPr="00CF2E90" w14:paraId="38F9F5B6" w14:textId="77777777" w:rsidTr="00087129">
        <w:tc>
          <w:tcPr>
            <w:tcW w:w="2122" w:type="dxa"/>
          </w:tcPr>
          <w:p w14:paraId="1CE147BB" w14:textId="77777777" w:rsidR="002048CD" w:rsidRPr="00CF2E90" w:rsidRDefault="00CF2E90" w:rsidP="00087129">
            <w:pPr>
              <w:spacing w:before="240" w:after="240"/>
              <w:jc w:val="center"/>
              <w:rPr>
                <w:b/>
                <w:bCs/>
                <w:szCs w:val="22"/>
                <w:lang w:val="es-ES"/>
              </w:rPr>
            </w:pPr>
          </w:p>
          <w:p w14:paraId="7F47182B" w14:textId="77777777" w:rsidR="002048CD" w:rsidRPr="00CF2E90" w:rsidRDefault="00CF2E90" w:rsidP="00087129">
            <w:pPr>
              <w:spacing w:before="240" w:after="240"/>
              <w:jc w:val="center"/>
              <w:rPr>
                <w:b/>
                <w:bCs/>
                <w:szCs w:val="22"/>
                <w:lang w:val="es-ES"/>
              </w:rPr>
            </w:pPr>
          </w:p>
          <w:p w14:paraId="29D6BB05" w14:textId="77777777" w:rsidR="002048CD" w:rsidRPr="00CF2E90" w:rsidRDefault="00CF2E90" w:rsidP="00087129">
            <w:pPr>
              <w:spacing w:before="240" w:after="240"/>
              <w:jc w:val="center"/>
              <w:rPr>
                <w:b/>
                <w:bCs/>
                <w:szCs w:val="22"/>
                <w:lang w:val="es-ES"/>
              </w:rPr>
            </w:pPr>
          </w:p>
          <w:p w14:paraId="562D37FA" w14:textId="77777777" w:rsidR="002048CD" w:rsidRPr="00CF2E90" w:rsidRDefault="00CF2E90" w:rsidP="00087129">
            <w:pPr>
              <w:spacing w:before="240" w:after="240"/>
              <w:jc w:val="center"/>
              <w:rPr>
                <w:b/>
                <w:bCs/>
                <w:szCs w:val="22"/>
                <w:lang w:val="es-ES"/>
              </w:rPr>
            </w:pPr>
          </w:p>
          <w:p w14:paraId="6769637A" w14:textId="2DD16C1C" w:rsidR="00F36AB2" w:rsidRPr="00CF2E90" w:rsidRDefault="00CF2E90" w:rsidP="00087129">
            <w:pPr>
              <w:spacing w:before="240" w:after="240"/>
              <w:jc w:val="center"/>
              <w:rPr>
                <w:b/>
                <w:bCs/>
                <w:szCs w:val="22"/>
                <w:highlight w:val="yellow"/>
                <w:lang w:val="es-ES"/>
              </w:rPr>
            </w:pPr>
            <w:r w:rsidRPr="00CF2E90">
              <w:rPr>
                <w:b/>
                <w:bCs/>
                <w:szCs w:val="22"/>
                <w:lang w:val="es-ES"/>
              </w:rPr>
              <w:t>Universidad Pontificia Bolivariana</w:t>
            </w:r>
            <w:r w:rsidRPr="00CF2E90">
              <w:rPr>
                <w:b/>
                <w:bCs/>
                <w:szCs w:val="22"/>
                <w:vertAlign w:val="superscript"/>
                <w:lang w:val="es-ES"/>
              </w:rPr>
              <w:footnoteReference w:id="117"/>
            </w:r>
          </w:p>
        </w:tc>
        <w:tc>
          <w:tcPr>
            <w:tcW w:w="7228" w:type="dxa"/>
          </w:tcPr>
          <w:p w14:paraId="511A255F"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Solicitó la inhibición de la Corte. Consideró que la demanda “no</w:t>
            </w:r>
            <w:r w:rsidRPr="00CF2E90">
              <w:rPr>
                <w:sz w:val="28"/>
                <w:szCs w:val="22"/>
              </w:rPr>
              <w:t xml:space="preserve"> cumple los requisitos de certeza, pertinencia y suficiencia, por lo que no se satisfacen las exigencias de aptitud para adoptar una decisión de fondo</w:t>
            </w:r>
            <w:r w:rsidRPr="00CF2E90">
              <w:rPr>
                <w:rStyle w:val="Refdenotaalpie"/>
                <w:sz w:val="28"/>
                <w:szCs w:val="22"/>
              </w:rPr>
              <w:footnoteReference w:id="118"/>
            </w:r>
            <w:r w:rsidRPr="00CF2E90">
              <w:rPr>
                <w:sz w:val="28"/>
                <w:szCs w:val="22"/>
              </w:rPr>
              <w:t xml:space="preserve">. </w:t>
            </w:r>
          </w:p>
          <w:p w14:paraId="7318967C" w14:textId="77777777" w:rsidR="00F36AB2" w:rsidRPr="00CF2E90" w:rsidRDefault="00CF2E90" w:rsidP="00087129">
            <w:pPr>
              <w:pStyle w:val="font-claude-response-body"/>
              <w:spacing w:before="0" w:beforeAutospacing="0" w:after="0" w:afterAutospacing="0"/>
              <w:jc w:val="both"/>
              <w:rPr>
                <w:sz w:val="28"/>
                <w:szCs w:val="22"/>
              </w:rPr>
            </w:pPr>
          </w:p>
          <w:p w14:paraId="1151FF3F"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 xml:space="preserve">En cuanto a la </w:t>
            </w:r>
            <w:r w:rsidRPr="00CF2E90">
              <w:rPr>
                <w:rStyle w:val="Textoennegrita"/>
                <w:b w:val="0"/>
                <w:bCs w:val="0"/>
                <w:sz w:val="28"/>
                <w:szCs w:val="22"/>
              </w:rPr>
              <w:t xml:space="preserve">falta de </w:t>
            </w:r>
            <w:r w:rsidRPr="00CF2E90">
              <w:rPr>
                <w:rStyle w:val="Textoennegrita"/>
                <w:b w:val="0"/>
                <w:bCs w:val="0"/>
                <w:i/>
                <w:iCs/>
                <w:sz w:val="28"/>
                <w:szCs w:val="22"/>
              </w:rPr>
              <w:t>certeza</w:t>
            </w:r>
            <w:r w:rsidRPr="00CF2E90">
              <w:rPr>
                <w:sz w:val="28"/>
                <w:szCs w:val="22"/>
              </w:rPr>
              <w:t>, señaló que la demanda “parte de una lectura incompleta de los enunci</w:t>
            </w:r>
            <w:r w:rsidRPr="00CF2E90">
              <w:rPr>
                <w:sz w:val="28"/>
                <w:szCs w:val="22"/>
              </w:rPr>
              <w:t>ados normativos objeto de censura”. Advirtió que “la ausencia de regulación expresa del término de prescripción en los artículos 102 a 106 de la Ley 906 de 2004 no permite inferir que el IRI pueda ser promovido en cualquier tiempo”, pues los artículos 2358</w:t>
            </w:r>
            <w:r w:rsidRPr="00CF2E90">
              <w:rPr>
                <w:sz w:val="28"/>
                <w:szCs w:val="22"/>
              </w:rPr>
              <w:t xml:space="preserve"> y 2536 del Código Civil, leídos armónicamente con el artículo 98 del Código Penal, regulan con precisión los términos de prescripción de la acción civil ejercitada en el IRI</w:t>
            </w:r>
            <w:r w:rsidRPr="00CF2E90">
              <w:rPr>
                <w:rStyle w:val="Refdenotaalpie"/>
                <w:sz w:val="28"/>
                <w:szCs w:val="22"/>
              </w:rPr>
              <w:footnoteReference w:id="119"/>
            </w:r>
            <w:r w:rsidRPr="00CF2E90">
              <w:rPr>
                <w:sz w:val="28"/>
                <w:szCs w:val="22"/>
              </w:rPr>
              <w:t>. Añadió que la Corte Suprema de Justicia -en las decisiones AP573-2021 y SP1604-</w:t>
            </w:r>
            <w:r w:rsidRPr="00CF2E90">
              <w:rPr>
                <w:sz w:val="28"/>
                <w:szCs w:val="22"/>
              </w:rPr>
              <w:t xml:space="preserve">2024- ha reconocido que el término de prescripción se interrumpe con “el inicio del trámite incidental” y se computa desde la ejecutoria de la sentencia condenatoria. Concluyó que, lejos de existir un vacío normativo, en esta materia “nos enfrentamos a un </w:t>
            </w:r>
            <w:r w:rsidRPr="00CF2E90">
              <w:rPr>
                <w:sz w:val="28"/>
                <w:szCs w:val="22"/>
              </w:rPr>
              <w:t>panorama de abundancia regulatoria”</w:t>
            </w:r>
            <w:r w:rsidRPr="00CF2E90">
              <w:rPr>
                <w:rStyle w:val="Refdenotaalpie"/>
                <w:sz w:val="28"/>
                <w:szCs w:val="22"/>
              </w:rPr>
              <w:footnoteReference w:id="120"/>
            </w:r>
            <w:r w:rsidRPr="00CF2E90">
              <w:rPr>
                <w:sz w:val="28"/>
                <w:szCs w:val="22"/>
              </w:rPr>
              <w:t>.</w:t>
            </w:r>
          </w:p>
          <w:p w14:paraId="11B9D274" w14:textId="77777777" w:rsidR="00F36AB2" w:rsidRPr="00CF2E90" w:rsidRDefault="00CF2E90" w:rsidP="00087129">
            <w:pPr>
              <w:pStyle w:val="Prrafodelista"/>
              <w:rPr>
                <w:szCs w:val="22"/>
              </w:rPr>
            </w:pPr>
          </w:p>
          <w:p w14:paraId="20CB7952" w14:textId="77777777" w:rsidR="00F36AB2" w:rsidRPr="00CF2E90" w:rsidRDefault="00CF2E90" w:rsidP="00087129">
            <w:pPr>
              <w:pStyle w:val="Prrafodelista"/>
              <w:rPr>
                <w:szCs w:val="22"/>
              </w:rPr>
            </w:pPr>
            <w:r w:rsidRPr="00CF2E90">
              <w:rPr>
                <w:szCs w:val="22"/>
              </w:rPr>
              <w:t>Considera que la demanda carece de pertinencia y suficiencia porque, a su juicio, al solicitarse en la demanda como pretensión subsidiaria un exhorte al Congreso para que regule íntegramente el término de prescripción</w:t>
            </w:r>
            <w:r w:rsidRPr="00CF2E90">
              <w:rPr>
                <w:szCs w:val="22"/>
              </w:rPr>
              <w:t xml:space="preserve"> del IRI, los demandantes “implícitamente estarían reconociendo</w:t>
            </w:r>
            <w:r w:rsidRPr="00CF2E90">
              <w:rPr>
                <w:rFonts w:eastAsiaTheme="minorHAnsi"/>
                <w:color w:val="000000"/>
                <w:szCs w:val="22"/>
                <w:lang w:eastAsia="en-US"/>
              </w:rPr>
              <w:t xml:space="preserve"> </w:t>
            </w:r>
            <w:r w:rsidRPr="00CF2E90">
              <w:rPr>
                <w:szCs w:val="22"/>
              </w:rPr>
              <w:t>una supuesta omisión legislativa absoluta”</w:t>
            </w:r>
            <w:r w:rsidRPr="00CF2E90">
              <w:rPr>
                <w:rStyle w:val="Refdenotaalpie"/>
                <w:szCs w:val="22"/>
              </w:rPr>
              <w:footnoteReference w:id="121"/>
            </w:r>
            <w:r w:rsidRPr="00CF2E90">
              <w:rPr>
                <w:szCs w:val="22"/>
              </w:rPr>
              <w:t xml:space="preserve">. Argumentó que esta solicitud de los demandantes es relevante porque la Corte “ha señalado de manera invariable que no es competente para conocer </w:t>
            </w:r>
            <w:r w:rsidRPr="00CF2E90">
              <w:rPr>
                <w:szCs w:val="22"/>
              </w:rPr>
              <w:t>omisiones legislativas absolutas”</w:t>
            </w:r>
            <w:r w:rsidRPr="00CF2E90">
              <w:rPr>
                <w:rStyle w:val="Refdenotaalpie"/>
                <w:szCs w:val="22"/>
              </w:rPr>
              <w:footnoteReference w:id="122"/>
            </w:r>
            <w:r w:rsidRPr="00CF2E90">
              <w:rPr>
                <w:szCs w:val="22"/>
              </w:rPr>
              <w:t xml:space="preserve">. </w:t>
            </w:r>
          </w:p>
        </w:tc>
      </w:tr>
      <w:tr w:rsidR="00F36AB2" w:rsidRPr="00CF2E90" w14:paraId="1EDE5445" w14:textId="77777777" w:rsidTr="00087129">
        <w:tc>
          <w:tcPr>
            <w:tcW w:w="2122" w:type="dxa"/>
          </w:tcPr>
          <w:p w14:paraId="0CAB14C6" w14:textId="77777777" w:rsidR="00FF2052" w:rsidRPr="00CF2E90" w:rsidRDefault="00CF2E90" w:rsidP="00087129">
            <w:pPr>
              <w:spacing w:before="240" w:after="240"/>
              <w:jc w:val="center"/>
              <w:rPr>
                <w:b/>
                <w:bCs/>
                <w:szCs w:val="22"/>
                <w:lang w:val="es-ES"/>
              </w:rPr>
            </w:pPr>
          </w:p>
          <w:p w14:paraId="704717BA" w14:textId="77777777" w:rsidR="00FF2052" w:rsidRPr="00CF2E90" w:rsidRDefault="00CF2E90" w:rsidP="00087129">
            <w:pPr>
              <w:spacing w:before="240" w:after="240"/>
              <w:jc w:val="center"/>
              <w:rPr>
                <w:b/>
                <w:bCs/>
                <w:szCs w:val="22"/>
                <w:lang w:val="es-ES"/>
              </w:rPr>
            </w:pPr>
          </w:p>
          <w:p w14:paraId="5379F740" w14:textId="77777777" w:rsidR="00FF2052" w:rsidRPr="00CF2E90" w:rsidRDefault="00CF2E90" w:rsidP="00087129">
            <w:pPr>
              <w:spacing w:before="240" w:after="240"/>
              <w:jc w:val="center"/>
              <w:rPr>
                <w:b/>
                <w:bCs/>
                <w:szCs w:val="22"/>
                <w:lang w:val="es-ES"/>
              </w:rPr>
            </w:pPr>
          </w:p>
          <w:p w14:paraId="07ECC9A2" w14:textId="77777777" w:rsidR="002048CD" w:rsidRPr="00CF2E90" w:rsidRDefault="00CF2E90" w:rsidP="00087129">
            <w:pPr>
              <w:spacing w:before="240" w:after="240"/>
              <w:jc w:val="center"/>
              <w:rPr>
                <w:b/>
                <w:bCs/>
                <w:szCs w:val="22"/>
                <w:lang w:val="es-ES"/>
              </w:rPr>
            </w:pPr>
          </w:p>
          <w:p w14:paraId="72B1452E" w14:textId="77777777" w:rsidR="002048CD" w:rsidRPr="00CF2E90" w:rsidRDefault="00CF2E90" w:rsidP="00087129">
            <w:pPr>
              <w:spacing w:before="240" w:after="240"/>
              <w:jc w:val="center"/>
              <w:rPr>
                <w:b/>
                <w:bCs/>
                <w:szCs w:val="22"/>
                <w:lang w:val="es-ES"/>
              </w:rPr>
            </w:pPr>
          </w:p>
          <w:p w14:paraId="4AF7DF7C" w14:textId="77777777" w:rsidR="002048CD" w:rsidRPr="00CF2E90" w:rsidRDefault="00CF2E90" w:rsidP="00087129">
            <w:pPr>
              <w:spacing w:before="240" w:after="240"/>
              <w:jc w:val="center"/>
              <w:rPr>
                <w:b/>
                <w:bCs/>
                <w:szCs w:val="22"/>
                <w:lang w:val="es-ES"/>
              </w:rPr>
            </w:pPr>
          </w:p>
          <w:p w14:paraId="5DAA7D93" w14:textId="77777777" w:rsidR="002048CD" w:rsidRPr="00CF2E90" w:rsidRDefault="00CF2E90" w:rsidP="00087129">
            <w:pPr>
              <w:spacing w:before="240" w:after="240"/>
              <w:jc w:val="center"/>
              <w:rPr>
                <w:b/>
                <w:bCs/>
                <w:szCs w:val="22"/>
                <w:lang w:val="es-ES"/>
              </w:rPr>
            </w:pPr>
          </w:p>
          <w:p w14:paraId="526C45C0" w14:textId="77777777" w:rsidR="002048CD" w:rsidRPr="00CF2E90" w:rsidRDefault="00CF2E90" w:rsidP="00087129">
            <w:pPr>
              <w:spacing w:before="240" w:after="240"/>
              <w:jc w:val="center"/>
              <w:rPr>
                <w:b/>
                <w:bCs/>
                <w:szCs w:val="22"/>
                <w:lang w:val="es-ES"/>
              </w:rPr>
            </w:pPr>
          </w:p>
          <w:p w14:paraId="4BC33501" w14:textId="77777777" w:rsidR="002048CD" w:rsidRPr="00CF2E90" w:rsidRDefault="00CF2E90" w:rsidP="00087129">
            <w:pPr>
              <w:spacing w:before="240" w:after="240"/>
              <w:jc w:val="center"/>
              <w:rPr>
                <w:b/>
                <w:bCs/>
                <w:szCs w:val="22"/>
                <w:lang w:val="es-ES"/>
              </w:rPr>
            </w:pPr>
          </w:p>
          <w:p w14:paraId="6854266D" w14:textId="1EBCCAF7" w:rsidR="00F36AB2" w:rsidRPr="00CF2E90" w:rsidRDefault="00CF2E90" w:rsidP="00087129">
            <w:pPr>
              <w:spacing w:before="240" w:after="240"/>
              <w:jc w:val="center"/>
              <w:rPr>
                <w:b/>
                <w:bCs/>
                <w:szCs w:val="22"/>
                <w:highlight w:val="yellow"/>
                <w:lang w:val="es-ES"/>
              </w:rPr>
            </w:pPr>
            <w:r w:rsidRPr="00CF2E90">
              <w:rPr>
                <w:b/>
                <w:bCs/>
                <w:szCs w:val="22"/>
                <w:lang w:val="es-ES"/>
              </w:rPr>
              <w:t>Instituto Colombiano de Derecho Procesal</w:t>
            </w:r>
            <w:r w:rsidRPr="00CF2E90">
              <w:rPr>
                <w:b/>
                <w:bCs/>
                <w:szCs w:val="22"/>
                <w:vertAlign w:val="superscript"/>
                <w:lang w:val="es-ES"/>
              </w:rPr>
              <w:footnoteReference w:id="123"/>
            </w:r>
          </w:p>
        </w:tc>
        <w:tc>
          <w:tcPr>
            <w:tcW w:w="7228" w:type="dxa"/>
          </w:tcPr>
          <w:p w14:paraId="7F52FF3B" w14:textId="77777777" w:rsidR="00F36AB2" w:rsidRPr="00CF2E90" w:rsidRDefault="00CF2E90" w:rsidP="00087129">
            <w:pPr>
              <w:rPr>
                <w:szCs w:val="22"/>
                <w:lang w:val="es-ES"/>
              </w:rPr>
            </w:pPr>
            <w:r w:rsidRPr="00CF2E90">
              <w:rPr>
                <w:szCs w:val="22"/>
                <w:lang w:val="es-ES"/>
              </w:rPr>
              <w:t>Solicitó declarar la exequibilidad condicionada de los artículos demandados</w:t>
            </w:r>
            <w:r w:rsidRPr="00CF2E90">
              <w:rPr>
                <w:szCs w:val="22"/>
              </w:rPr>
              <w:t xml:space="preserve">. A su juicio, el legislador reguló el </w:t>
            </w:r>
            <w:r w:rsidRPr="00CF2E90">
              <w:rPr>
                <w:szCs w:val="22"/>
                <w:lang w:val="es-ES_tradnl"/>
              </w:rPr>
              <w:t>incidente de reparación integral</w:t>
            </w:r>
            <w:r w:rsidRPr="00CF2E90">
              <w:rPr>
                <w:szCs w:val="22"/>
              </w:rPr>
              <w:t xml:space="preserve"> omitiendo un elemento esencial del procedimiento -el límite temporal-, incumpliendo mandatos constitucionales y convencionales, sin justificación razonable y generando un déficit de garantía incompatible con los principios superiores del orden constitucio</w:t>
            </w:r>
            <w:r w:rsidRPr="00CF2E90">
              <w:rPr>
                <w:szCs w:val="22"/>
              </w:rPr>
              <w:t>nal.</w:t>
            </w:r>
          </w:p>
          <w:p w14:paraId="2E168042" w14:textId="77777777" w:rsidR="00F36AB2" w:rsidRPr="00CF2E90" w:rsidRDefault="00CF2E90" w:rsidP="00087129">
            <w:pPr>
              <w:pStyle w:val="Prrafodelista"/>
              <w:ind w:right="49"/>
              <w:rPr>
                <w:szCs w:val="22"/>
                <w:highlight w:val="yellow"/>
                <w:lang w:val="es-ES"/>
              </w:rPr>
            </w:pPr>
          </w:p>
          <w:p w14:paraId="30432757" w14:textId="77777777" w:rsidR="00F36AB2" w:rsidRPr="00CF2E90" w:rsidRDefault="00CF2E90" w:rsidP="00087129">
            <w:pPr>
              <w:rPr>
                <w:szCs w:val="22"/>
                <w:lang w:val="es-ES"/>
              </w:rPr>
            </w:pPr>
            <w:r w:rsidRPr="00CF2E90">
              <w:rPr>
                <w:szCs w:val="22"/>
                <w:lang w:val="es-ES"/>
              </w:rPr>
              <w:t xml:space="preserve">Sin embargo, considera que los demandantes incurrieron en un error conceptual al equiparar la prescripción de la acción con una supuesta “prescripción del proceso”. La legislación colombiana no contempla una “prescripción del proceso”, sino términos </w:t>
            </w:r>
            <w:r w:rsidRPr="00CF2E90">
              <w:rPr>
                <w:szCs w:val="22"/>
                <w:lang w:val="es-ES"/>
              </w:rPr>
              <w:t>de duración orientados a garantizar la eficiencia y la celeridad procesal, institutos de naturaleza adjetiva distintos al fenómeno prescriptivo.</w:t>
            </w:r>
          </w:p>
          <w:p w14:paraId="1B48F366" w14:textId="77777777" w:rsidR="00F36AB2" w:rsidRPr="00CF2E90" w:rsidRDefault="00CF2E90" w:rsidP="00087129">
            <w:pPr>
              <w:pStyle w:val="Prrafodelista"/>
              <w:ind w:right="49"/>
              <w:rPr>
                <w:szCs w:val="22"/>
                <w:highlight w:val="yellow"/>
                <w:lang w:val="es-ES"/>
              </w:rPr>
            </w:pPr>
          </w:p>
          <w:p w14:paraId="58AE4BC5" w14:textId="6A6492FB" w:rsidR="00F36AB2" w:rsidRPr="00CF2E90" w:rsidRDefault="00CF2E90" w:rsidP="00087129">
            <w:pPr>
              <w:rPr>
                <w:szCs w:val="22"/>
              </w:rPr>
            </w:pPr>
            <w:r w:rsidRPr="00CF2E90">
              <w:rPr>
                <w:szCs w:val="22"/>
              </w:rPr>
              <w:t xml:space="preserve">Desde esta perspectiva, </w:t>
            </w:r>
            <w:r w:rsidRPr="00CF2E90">
              <w:rPr>
                <w:szCs w:val="22"/>
              </w:rPr>
              <w:t xml:space="preserve">el interviniente consideró que </w:t>
            </w:r>
            <w:r w:rsidRPr="00CF2E90">
              <w:rPr>
                <w:szCs w:val="22"/>
              </w:rPr>
              <w:t xml:space="preserve">el problema jurídico planteado por los demandantes no </w:t>
            </w:r>
            <w:r w:rsidRPr="00CF2E90">
              <w:rPr>
                <w:szCs w:val="22"/>
              </w:rPr>
              <w:t>puede resolverse mediante la creación de un supuesto término de “prescripción del IRI”, figura que sería jurídicamente inexistente. La regulación necesaria en caso de constatarse la omisión legislativa, debe referirse a la prescripción de la acción resarci</w:t>
            </w:r>
            <w:r w:rsidRPr="00CF2E90">
              <w:rPr>
                <w:szCs w:val="22"/>
              </w:rPr>
              <w:t>toria ejercida dentro del incidente de reparación integral, y no a un pretendido término de prescripción del proceso mismo. En consecuencia, el elemento que el legislador habría debido desarrollar no es el “plazo de duración del proceso”, sino el término d</w:t>
            </w:r>
            <w:r w:rsidRPr="00CF2E90">
              <w:rPr>
                <w:szCs w:val="22"/>
              </w:rPr>
              <w:t>e prescripción de la acción civil derivada del delito cuando se ejercita a través del incidente de reparación integral</w:t>
            </w:r>
            <w:r w:rsidRPr="00CF2E90">
              <w:rPr>
                <w:rStyle w:val="Refdenotaalpie"/>
                <w:szCs w:val="22"/>
              </w:rPr>
              <w:footnoteReference w:id="124"/>
            </w:r>
            <w:r w:rsidRPr="00CF2E90">
              <w:rPr>
                <w:szCs w:val="22"/>
              </w:rPr>
              <w:t>.</w:t>
            </w:r>
          </w:p>
          <w:p w14:paraId="319DBBDA" w14:textId="77777777" w:rsidR="00F36AB2" w:rsidRPr="00CF2E90" w:rsidRDefault="00CF2E90" w:rsidP="00087129">
            <w:pPr>
              <w:rPr>
                <w:szCs w:val="22"/>
              </w:rPr>
            </w:pPr>
          </w:p>
          <w:p w14:paraId="0B3C7AA2" w14:textId="46564DDB"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 xml:space="preserve">Sobre la </w:t>
            </w:r>
            <w:r w:rsidRPr="00CF2E90">
              <w:rPr>
                <w:rStyle w:val="Textoennegrita"/>
                <w:b w:val="0"/>
                <w:bCs w:val="0"/>
                <w:sz w:val="28"/>
                <w:szCs w:val="22"/>
              </w:rPr>
              <w:t>desigualdad negativa</w:t>
            </w:r>
            <w:r w:rsidRPr="00CF2E90">
              <w:rPr>
                <w:sz w:val="28"/>
                <w:szCs w:val="22"/>
              </w:rPr>
              <w:t xml:space="preserve"> como cuarto requisito del </w:t>
            </w:r>
            <w:r w:rsidRPr="00CF2E90">
              <w:rPr>
                <w:rStyle w:val="nfasis"/>
                <w:sz w:val="28"/>
                <w:szCs w:val="22"/>
              </w:rPr>
              <w:t>test</w:t>
            </w:r>
            <w:r w:rsidRPr="00CF2E90">
              <w:rPr>
                <w:sz w:val="28"/>
                <w:szCs w:val="22"/>
              </w:rPr>
              <w:t xml:space="preserve">, se apartó de la postura de los demandantes, quienes sostienen que no se </w:t>
            </w:r>
            <w:r w:rsidRPr="00CF2E90">
              <w:rPr>
                <w:sz w:val="28"/>
                <w:szCs w:val="22"/>
              </w:rPr>
              <w:t>presenta tal desigualdad</w:t>
            </w:r>
            <w:r w:rsidRPr="00CF2E90">
              <w:rPr>
                <w:sz w:val="28"/>
                <w:szCs w:val="22"/>
              </w:rPr>
              <w:t xml:space="preserve">. A su juicio, </w:t>
            </w:r>
            <w:r w:rsidRPr="00CF2E90">
              <w:rPr>
                <w:sz w:val="28"/>
                <w:szCs w:val="22"/>
              </w:rPr>
              <w:t>“sí existe una desigualdad material derivada de la omisión legislativa, pues la ausencia de regulación sobre el término de prescripción aplicable a la acción ejercida dentro del incidente de reparación integral coloca</w:t>
            </w:r>
            <w:r w:rsidRPr="00CF2E90">
              <w:rPr>
                <w:sz w:val="28"/>
                <w:szCs w:val="22"/>
              </w:rPr>
              <w:t xml:space="preserve"> a las víctimas en una situación de desprotección y vulnerabilidad procesal frente a otros escenarios jurídicos equivalentes que sí cuentan con normas claras en la materia”</w:t>
            </w:r>
            <w:r w:rsidRPr="00CF2E90">
              <w:rPr>
                <w:rStyle w:val="Refdenotaalpie"/>
                <w:sz w:val="28"/>
                <w:szCs w:val="22"/>
              </w:rPr>
              <w:footnoteReference w:id="125"/>
            </w:r>
            <w:r w:rsidRPr="00CF2E90">
              <w:rPr>
                <w:sz w:val="28"/>
                <w:szCs w:val="22"/>
              </w:rPr>
              <w:t>.</w:t>
            </w:r>
          </w:p>
          <w:p w14:paraId="2A394390" w14:textId="77777777" w:rsidR="00F36AB2" w:rsidRPr="00CF2E90" w:rsidRDefault="00CF2E90" w:rsidP="00087129">
            <w:pPr>
              <w:pStyle w:val="font-claude-response-body"/>
              <w:spacing w:before="0" w:beforeAutospacing="0" w:after="0" w:afterAutospacing="0"/>
              <w:rPr>
                <w:sz w:val="28"/>
                <w:szCs w:val="22"/>
              </w:rPr>
            </w:pPr>
          </w:p>
          <w:p w14:paraId="71E1B351" w14:textId="77777777"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Señaló que el ordenamiento prevé expresamente la prescripción de la acción civil</w:t>
            </w:r>
            <w:r w:rsidRPr="00CF2E90">
              <w:rPr>
                <w:sz w:val="28"/>
                <w:szCs w:val="22"/>
              </w:rPr>
              <w:t xml:space="preserve"> derivada del delito en varios contextos: (i) bajo el artículo 98 del Código Penal, cuando se ejerce dentro del proceso penal, la acción prescribe en el mismo término que la acción penal; (ii) bajo la Ley 600 de 2000, la regulación es completa y suficiente</w:t>
            </w:r>
            <w:r w:rsidRPr="00CF2E90">
              <w:rPr>
                <w:sz w:val="28"/>
                <w:szCs w:val="22"/>
              </w:rPr>
              <w:t>; y (iii) en los procesos de responsabilidad civil o comercial, el legislador ha fijado términos concretos -10 años para las acciones ordinarias (art. 2536 C.C.), 3 años para la responsabilidad extracontractual indirecta (art. 2358 C.C.) y entre 2 y 5 años</w:t>
            </w:r>
            <w:r w:rsidRPr="00CF2E90">
              <w:rPr>
                <w:sz w:val="28"/>
                <w:szCs w:val="22"/>
              </w:rPr>
              <w:t xml:space="preserve"> para las acciones derivadas del contrato de seguro (art. 1081 C. de Co.).</w:t>
            </w:r>
          </w:p>
          <w:p w14:paraId="7AA9199E" w14:textId="77777777" w:rsidR="00F36AB2" w:rsidRPr="00CF2E90" w:rsidRDefault="00CF2E90" w:rsidP="00087129">
            <w:pPr>
              <w:pStyle w:val="font-claude-response-body"/>
              <w:spacing w:before="0" w:beforeAutospacing="0" w:after="0" w:afterAutospacing="0"/>
              <w:jc w:val="both"/>
              <w:rPr>
                <w:sz w:val="28"/>
                <w:szCs w:val="22"/>
              </w:rPr>
            </w:pPr>
          </w:p>
          <w:p w14:paraId="4448B184" w14:textId="7AFFA606"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En contraste, quienes acuden al IRI “carecen de una norma expresa que determine el término de prescripción aplicable a su acción</w:t>
            </w:r>
            <w:r w:rsidRPr="00CF2E90">
              <w:rPr>
                <w:sz w:val="28"/>
                <w:szCs w:val="22"/>
              </w:rPr>
              <w:t>”</w:t>
            </w:r>
            <w:r w:rsidRPr="00CF2E90">
              <w:rPr>
                <w:sz w:val="28"/>
                <w:szCs w:val="22"/>
              </w:rPr>
              <w:t xml:space="preserve">, lo que </w:t>
            </w:r>
            <w:r w:rsidRPr="00CF2E90">
              <w:rPr>
                <w:sz w:val="28"/>
                <w:szCs w:val="22"/>
              </w:rPr>
              <w:t>“</w:t>
            </w:r>
            <w:r w:rsidRPr="00CF2E90">
              <w:rPr>
                <w:sz w:val="28"/>
                <w:szCs w:val="22"/>
              </w:rPr>
              <w:t xml:space="preserve">coloca a las víctimas en una posición de </w:t>
            </w:r>
            <w:r w:rsidRPr="00CF2E90">
              <w:rPr>
                <w:sz w:val="28"/>
                <w:szCs w:val="22"/>
              </w:rPr>
              <w:t>inferioridad frente a otros titulares de acciones civiles</w:t>
            </w:r>
            <w:r w:rsidRPr="00CF2E90">
              <w:rPr>
                <w:sz w:val="28"/>
                <w:szCs w:val="22"/>
              </w:rPr>
              <w:t>”</w:t>
            </w:r>
            <w:r w:rsidRPr="00CF2E90">
              <w:rPr>
                <w:sz w:val="28"/>
                <w:szCs w:val="22"/>
              </w:rPr>
              <w:t xml:space="preserve">, sometiéndolas </w:t>
            </w:r>
            <w:r w:rsidRPr="00CF2E90">
              <w:rPr>
                <w:sz w:val="28"/>
                <w:szCs w:val="22"/>
              </w:rPr>
              <w:t>“</w:t>
            </w:r>
            <w:r w:rsidRPr="00CF2E90">
              <w:rPr>
                <w:sz w:val="28"/>
                <w:szCs w:val="22"/>
              </w:rPr>
              <w:t>a la discrecionalidad interpretativa de los operadores judiciales, con criterios que varían de un despacho a otro, generando decisiones contradictorias”</w:t>
            </w:r>
            <w:r w:rsidRPr="00CF2E90">
              <w:rPr>
                <w:rStyle w:val="Refdenotaalpie"/>
                <w:sz w:val="28"/>
                <w:szCs w:val="22"/>
              </w:rPr>
              <w:footnoteReference w:id="126"/>
            </w:r>
            <w:r w:rsidRPr="00CF2E90">
              <w:rPr>
                <w:sz w:val="28"/>
                <w:szCs w:val="22"/>
              </w:rPr>
              <w:t xml:space="preserve">. </w:t>
            </w:r>
            <w:r w:rsidRPr="00CF2E90">
              <w:rPr>
                <w:sz w:val="28"/>
                <w:szCs w:val="22"/>
              </w:rPr>
              <w:t>Sostuvo</w:t>
            </w:r>
            <w:r w:rsidRPr="00CF2E90">
              <w:rPr>
                <w:sz w:val="28"/>
                <w:szCs w:val="22"/>
              </w:rPr>
              <w:t xml:space="preserve"> que esta desiguald</w:t>
            </w:r>
            <w:r w:rsidRPr="00CF2E90">
              <w:rPr>
                <w:sz w:val="28"/>
                <w:szCs w:val="22"/>
              </w:rPr>
              <w:t>ad es “materialmente negativa, pues no solo introduce un trato diferenciado sin justificación objetiva y razonable, sino que lo hace en perjuicio de un grupo particularmente vulnerable en el proceso penal: las víctimas del delito</w:t>
            </w:r>
            <w:r w:rsidRPr="00CF2E90">
              <w:rPr>
                <w:sz w:val="28"/>
                <w:szCs w:val="22"/>
              </w:rPr>
              <w:t xml:space="preserve">. </w:t>
            </w:r>
          </w:p>
          <w:p w14:paraId="33CEFD2E" w14:textId="77777777" w:rsidR="00F36AB2" w:rsidRPr="00CF2E90" w:rsidRDefault="00CF2E90" w:rsidP="00087129">
            <w:pPr>
              <w:pStyle w:val="font-claude-response-body"/>
              <w:spacing w:before="0" w:beforeAutospacing="0" w:after="0" w:afterAutospacing="0"/>
              <w:jc w:val="both"/>
              <w:rPr>
                <w:sz w:val="28"/>
                <w:szCs w:val="22"/>
              </w:rPr>
            </w:pPr>
          </w:p>
          <w:p w14:paraId="26D39A97" w14:textId="5E8224EA" w:rsidR="00F36AB2" w:rsidRPr="00CF2E90" w:rsidRDefault="00CF2E90" w:rsidP="00087129">
            <w:pPr>
              <w:pStyle w:val="font-claude-response-body"/>
              <w:spacing w:before="0" w:beforeAutospacing="0" w:after="0" w:afterAutospacing="0"/>
              <w:jc w:val="both"/>
              <w:rPr>
                <w:sz w:val="28"/>
                <w:szCs w:val="22"/>
              </w:rPr>
            </w:pPr>
            <w:r w:rsidRPr="00CF2E90">
              <w:rPr>
                <w:sz w:val="28"/>
                <w:szCs w:val="22"/>
              </w:rPr>
              <w:t>En este sentido</w:t>
            </w:r>
            <w:r w:rsidRPr="00CF2E90">
              <w:rPr>
                <w:sz w:val="28"/>
                <w:szCs w:val="22"/>
              </w:rPr>
              <w:t xml:space="preserve">, solicitó a la Corte (i) declarar la exequibilidad condicionada de los artículos demandados, bajo el entendido de que su aplicación debe armonizarse con los derechos de las víctimas y con los principios de igualdad, seguridad jurídica y acceso efectivo a </w:t>
            </w:r>
            <w:r w:rsidRPr="00CF2E90">
              <w:rPr>
                <w:sz w:val="28"/>
                <w:szCs w:val="22"/>
              </w:rPr>
              <w:t>la justicia; y (ii) exhortar al Congreso para que “dentro de un término razonable que no exceda las dos (2) legislaturas siguientes, expida una ley que regule de manera integral el término de prescripción del Incidente de Reparación Integral, observando lo</w:t>
            </w:r>
            <w:r w:rsidRPr="00CF2E90">
              <w:rPr>
                <w:sz w:val="28"/>
                <w:szCs w:val="22"/>
              </w:rPr>
              <w:t>s principios de plazo razonable, celeridad y proporcionalidad”</w:t>
            </w:r>
            <w:r w:rsidRPr="00CF2E90">
              <w:rPr>
                <w:rStyle w:val="Refdenotaalpie"/>
                <w:sz w:val="28"/>
                <w:szCs w:val="22"/>
              </w:rPr>
              <w:footnoteReference w:id="127"/>
            </w:r>
            <w:r w:rsidRPr="00CF2E90">
              <w:rPr>
                <w:sz w:val="28"/>
                <w:szCs w:val="22"/>
              </w:rPr>
              <w:t>. Además, precisó que “la definición del término de prescripción debe realizarse de forma autónoma y expresa por el legislador, pues ni el artículo 98 del Código Penal ni las normas civiles o c</w:t>
            </w:r>
            <w:r w:rsidRPr="00CF2E90">
              <w:rPr>
                <w:sz w:val="28"/>
                <w:szCs w:val="22"/>
              </w:rPr>
              <w:t>omerciales resultan aplicables por remisión” y el término base debe corresponder al del delito que originó la condena, salvo en los casos de imprescriptibilidad o extensión superior a 20 años, escenarios en el que “resultaría necesario mantener un límite r</w:t>
            </w:r>
            <w:r w:rsidRPr="00CF2E90">
              <w:rPr>
                <w:sz w:val="28"/>
                <w:szCs w:val="22"/>
              </w:rPr>
              <w:t>azonable que armonice la protección de las víctimas con el principio de seguridad jurídica”</w:t>
            </w:r>
            <w:r w:rsidRPr="00CF2E90">
              <w:rPr>
                <w:rStyle w:val="Refdenotaalpie"/>
                <w:sz w:val="28"/>
                <w:szCs w:val="22"/>
              </w:rPr>
              <w:footnoteReference w:id="128"/>
            </w:r>
            <w:r w:rsidRPr="00CF2E90">
              <w:rPr>
                <w:sz w:val="28"/>
                <w:szCs w:val="22"/>
              </w:rPr>
              <w:t>.</w:t>
            </w:r>
          </w:p>
        </w:tc>
      </w:tr>
    </w:tbl>
    <w:p w14:paraId="42FA5163" w14:textId="77777777" w:rsidR="00F36AB2" w:rsidRPr="00CF2E90" w:rsidRDefault="00CF2E90"/>
    <w:p w14:paraId="5B025A85" w14:textId="77777777" w:rsidR="00C12EF9" w:rsidRPr="00CF2E90" w:rsidRDefault="00CF2E90"/>
    <w:sectPr w:rsidR="00C12EF9" w:rsidRPr="00CF2E90" w:rsidSect="000727F2">
      <w:headerReference w:type="default" r:id="rId8"/>
      <w:footerReference w:type="default" r:id="rId9"/>
      <w:pgSz w:w="12242" w:h="18722" w:code="5"/>
      <w:pgMar w:top="851" w:right="1701" w:bottom="170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BBC90" w14:textId="77777777" w:rsidR="004E163B" w:rsidRDefault="004E163B" w:rsidP="00362571">
      <w:r>
        <w:separator/>
      </w:r>
    </w:p>
  </w:endnote>
  <w:endnote w:type="continuationSeparator" w:id="0">
    <w:p w14:paraId="67A0494A" w14:textId="77777777" w:rsidR="004E163B" w:rsidRDefault="004E163B" w:rsidP="00362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8214521"/>
      <w:docPartObj>
        <w:docPartGallery w:val="Page Numbers (Bottom of Page)"/>
        <w:docPartUnique/>
      </w:docPartObj>
    </w:sdtPr>
    <w:sdtEndPr/>
    <w:sdtContent>
      <w:p w14:paraId="30D15088" w14:textId="3AEE3DBD" w:rsidR="00EB386F" w:rsidRDefault="00EB386F">
        <w:pPr>
          <w:pStyle w:val="Piedepgina"/>
          <w:jc w:val="right"/>
        </w:pPr>
        <w:r>
          <w:fldChar w:fldCharType="begin"/>
        </w:r>
        <w:r>
          <w:instrText>PAGE   \* MERGEFORMAT</w:instrText>
        </w:r>
        <w:r>
          <w:fldChar w:fldCharType="separate"/>
        </w:r>
        <w:r>
          <w:rPr>
            <w:lang w:val="es-ES"/>
          </w:rPr>
          <w:t>2</w:t>
        </w:r>
        <w:r>
          <w:fldChar w:fldCharType="end"/>
        </w:r>
      </w:p>
    </w:sdtContent>
  </w:sdt>
  <w:p w14:paraId="5B21620D" w14:textId="77777777" w:rsidR="00EB386F" w:rsidRDefault="00EB38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EFAA6" w14:textId="77777777" w:rsidR="004E163B" w:rsidRDefault="004E163B" w:rsidP="00362571">
      <w:r>
        <w:separator/>
      </w:r>
    </w:p>
  </w:footnote>
  <w:footnote w:type="continuationSeparator" w:id="0">
    <w:p w14:paraId="60A0F8BD" w14:textId="77777777" w:rsidR="004E163B" w:rsidRDefault="004E163B" w:rsidP="00362571">
      <w:r>
        <w:continuationSeparator/>
      </w:r>
    </w:p>
  </w:footnote>
  <w:footnote w:id="1">
    <w:p w14:paraId="4D6807F5" w14:textId="18A9A537" w:rsidR="00773DF0" w:rsidRPr="000B1825" w:rsidRDefault="00773DF0" w:rsidP="000B1825">
      <w:pPr>
        <w:pStyle w:val="Textonotapie"/>
        <w:ind w:left="0" w:firstLine="0"/>
        <w:rPr>
          <w:rFonts w:cs="Times New Roman"/>
        </w:rPr>
      </w:pPr>
      <w:r w:rsidRPr="000B1825">
        <w:rPr>
          <w:rStyle w:val="Refdenotaalpie"/>
          <w:rFonts w:cs="Times New Roman"/>
        </w:rPr>
        <w:footnoteRef/>
      </w:r>
      <w:r w:rsidRPr="000B1825">
        <w:rPr>
          <w:rFonts w:cs="Times New Roman"/>
        </w:rPr>
        <w:t xml:space="preserve"> Expediente digital</w:t>
      </w:r>
      <w:r w:rsidR="00F32C39" w:rsidRPr="000B1825">
        <w:rPr>
          <w:rFonts w:cs="Times New Roman"/>
        </w:rPr>
        <w:t xml:space="preserve"> D-16867</w:t>
      </w:r>
      <w:r w:rsidRPr="000B1825">
        <w:rPr>
          <w:rFonts w:cs="Times New Roman"/>
        </w:rPr>
        <w:t xml:space="preserve">, </w:t>
      </w:r>
      <w:r w:rsidRPr="00326454">
        <w:rPr>
          <w:rFonts w:cs="Times New Roman"/>
          <w:color w:val="auto"/>
        </w:rPr>
        <w:t xml:space="preserve">archivo </w:t>
      </w:r>
      <w:r w:rsidR="00F32C39" w:rsidRPr="00326454">
        <w:rPr>
          <w:rFonts w:cs="Times New Roman"/>
          <w:color w:val="auto"/>
        </w:rPr>
        <w:t>“</w:t>
      </w:r>
      <w:hyperlink r:id="rId1" w:tgtFrame="_blank" w:history="1">
        <w:r w:rsidR="00F32C39" w:rsidRPr="00326454">
          <w:rPr>
            <w:rStyle w:val="Hipervnculo"/>
            <w:rFonts w:cs="Times New Roman"/>
            <w:color w:val="auto"/>
            <w:u w:val="none"/>
          </w:rPr>
          <w:t>Auto que Admite la demanda</w:t>
        </w:r>
      </w:hyperlink>
      <w:r w:rsidR="00F32C39" w:rsidRPr="00326454">
        <w:rPr>
          <w:rFonts w:cs="Times New Roman"/>
          <w:color w:val="auto"/>
        </w:rPr>
        <w:t xml:space="preserve">”. </w:t>
      </w:r>
    </w:p>
  </w:footnote>
  <w:footnote w:id="2">
    <w:p w14:paraId="5F1D816A" w14:textId="107A9B35" w:rsidR="00F32C39" w:rsidRPr="000B1825" w:rsidRDefault="00F32C39" w:rsidP="000B1825">
      <w:pPr>
        <w:pStyle w:val="Textonotapie"/>
        <w:ind w:left="0" w:firstLine="0"/>
        <w:rPr>
          <w:rFonts w:cs="Times New Roman"/>
        </w:rPr>
      </w:pPr>
      <w:r w:rsidRPr="000B1825">
        <w:rPr>
          <w:rStyle w:val="Refdenotaalpie"/>
          <w:rFonts w:cs="Times New Roman"/>
        </w:rPr>
        <w:footnoteRef/>
      </w:r>
      <w:r w:rsidRPr="000B1825">
        <w:rPr>
          <w:rFonts w:cs="Times New Roman"/>
        </w:rPr>
        <w:t xml:space="preserve"> El magistrado sustanciador solicitó concepto técnico especializado a la Sala de Casación Penal de la Corte Suprema de Justicia, a la Defensoría del Pueblo, a la Academia Colombiana de Jurisprudencia, al Instituto Colombiano de Derecho Procesal, al Colegio de Abogados Penalistas de Colombia y a las facultades de derecho de las universidades de Los Andes, Antioquia, Cartagena, Externado de Colombia, Javeriana, Nacional, del Norte, del Rosario, del Cauca, Libre, Pontificia Bolivariana y Sergio Arboleda.</w:t>
      </w:r>
    </w:p>
  </w:footnote>
  <w:footnote w:id="3">
    <w:p w14:paraId="1E21E749" w14:textId="1B903CD9" w:rsidR="00954309" w:rsidRPr="000B1825" w:rsidRDefault="00954309" w:rsidP="000B1825">
      <w:pPr>
        <w:pStyle w:val="Textonotapie"/>
        <w:rPr>
          <w:rFonts w:cs="Times New Roman"/>
        </w:rPr>
      </w:pPr>
      <w:r w:rsidRPr="000B1825">
        <w:rPr>
          <w:rStyle w:val="Refdenotaalpie"/>
          <w:rFonts w:cs="Times New Roman"/>
        </w:rPr>
        <w:footnoteRef/>
      </w:r>
      <w:r w:rsidRPr="000B1825">
        <w:rPr>
          <w:rFonts w:cs="Times New Roman"/>
        </w:rPr>
        <w:t xml:space="preserve"> Expediente digital D-16867, archivo “D0016867. Demanda ciudadana”, p. 2.</w:t>
      </w:r>
    </w:p>
  </w:footnote>
  <w:footnote w:id="4">
    <w:p w14:paraId="39E08F11" w14:textId="0B309344" w:rsidR="008858E3" w:rsidRPr="000B1825" w:rsidRDefault="008858E3" w:rsidP="000B1825">
      <w:pPr>
        <w:pStyle w:val="Textonotapie"/>
        <w:rPr>
          <w:rFonts w:cs="Times New Roman"/>
        </w:rPr>
      </w:pPr>
      <w:r w:rsidRPr="000B1825">
        <w:rPr>
          <w:rStyle w:val="Refdenotaalpie"/>
          <w:rFonts w:cs="Times New Roman"/>
        </w:rPr>
        <w:footnoteRef/>
      </w:r>
      <w:r w:rsidRPr="000B1825">
        <w:rPr>
          <w:rFonts w:cs="Times New Roman"/>
        </w:rPr>
        <w:t xml:space="preserve"> Ib. </w:t>
      </w:r>
    </w:p>
  </w:footnote>
  <w:footnote w:id="5">
    <w:p w14:paraId="2B48B0FD" w14:textId="4C97B1AF" w:rsidR="008858E3" w:rsidRPr="000B1825" w:rsidRDefault="008858E3" w:rsidP="000B1825">
      <w:pPr>
        <w:pStyle w:val="Textonotapie"/>
        <w:rPr>
          <w:rFonts w:cs="Times New Roman"/>
        </w:rPr>
      </w:pPr>
      <w:r w:rsidRPr="000B1825">
        <w:rPr>
          <w:rStyle w:val="Refdenotaalpie"/>
          <w:rFonts w:cs="Times New Roman"/>
        </w:rPr>
        <w:footnoteRef/>
      </w:r>
      <w:r w:rsidRPr="000B1825">
        <w:rPr>
          <w:rFonts w:cs="Times New Roman"/>
        </w:rPr>
        <w:t xml:space="preserve"> Ib.</w:t>
      </w:r>
    </w:p>
  </w:footnote>
  <w:footnote w:id="6">
    <w:p w14:paraId="03D73D92" w14:textId="643B342E" w:rsidR="0010704B" w:rsidRDefault="0010704B">
      <w:pPr>
        <w:pStyle w:val="Textonotapie"/>
      </w:pPr>
      <w:r>
        <w:rPr>
          <w:rStyle w:val="Refdenotaalpie"/>
        </w:rPr>
        <w:footnoteRef/>
      </w:r>
      <w:r>
        <w:t xml:space="preserve"> </w:t>
      </w:r>
      <w:r w:rsidRPr="000B1825">
        <w:rPr>
          <w:rFonts w:cs="Times New Roman"/>
        </w:rPr>
        <w:t>Ib.</w:t>
      </w:r>
      <w:r>
        <w:rPr>
          <w:rFonts w:cs="Times New Roman"/>
        </w:rPr>
        <w:t xml:space="preserve">, pp. 5 y 6. </w:t>
      </w:r>
    </w:p>
  </w:footnote>
  <w:footnote w:id="7">
    <w:p w14:paraId="1A0A6E32" w14:textId="1215AA93" w:rsidR="005A727E" w:rsidRDefault="005A727E">
      <w:pPr>
        <w:pStyle w:val="Textonotapie"/>
      </w:pPr>
      <w:r>
        <w:rPr>
          <w:rStyle w:val="Refdenotaalpie"/>
        </w:rPr>
        <w:footnoteRef/>
      </w:r>
      <w:r>
        <w:t xml:space="preserve"> </w:t>
      </w:r>
      <w:r w:rsidRPr="000B1825">
        <w:rPr>
          <w:rFonts w:cs="Times New Roman"/>
        </w:rPr>
        <w:t>Ib., p. 6.</w:t>
      </w:r>
    </w:p>
  </w:footnote>
  <w:footnote w:id="8">
    <w:p w14:paraId="091A36D3" w14:textId="718B48FF" w:rsidR="000B1825" w:rsidRPr="000B1825" w:rsidRDefault="000B1825" w:rsidP="000B1825">
      <w:pPr>
        <w:pStyle w:val="Textonotapie"/>
        <w:rPr>
          <w:rFonts w:cs="Times New Roman"/>
        </w:rPr>
      </w:pPr>
      <w:r w:rsidRPr="000B1825">
        <w:rPr>
          <w:rStyle w:val="Refdenotaalpie"/>
          <w:rFonts w:cs="Times New Roman"/>
        </w:rPr>
        <w:footnoteRef/>
      </w:r>
      <w:r w:rsidRPr="000B1825">
        <w:rPr>
          <w:rFonts w:cs="Times New Roman"/>
        </w:rPr>
        <w:t xml:space="preserve"> Ib., p. 7.</w:t>
      </w:r>
    </w:p>
  </w:footnote>
  <w:footnote w:id="9">
    <w:p w14:paraId="44C0245C" w14:textId="23377F71" w:rsidR="000B1825" w:rsidRPr="000B1825" w:rsidRDefault="000B1825" w:rsidP="000B1825">
      <w:pPr>
        <w:pStyle w:val="Textonotapie"/>
        <w:rPr>
          <w:rFonts w:cs="Times New Roman"/>
        </w:rPr>
      </w:pPr>
      <w:r w:rsidRPr="000B1825">
        <w:rPr>
          <w:rStyle w:val="Refdenotaalpie"/>
          <w:rFonts w:cs="Times New Roman"/>
        </w:rPr>
        <w:footnoteRef/>
      </w:r>
      <w:r w:rsidRPr="000B1825">
        <w:rPr>
          <w:rFonts w:cs="Times New Roman"/>
        </w:rPr>
        <w:t xml:space="preserve"> Ib., p. 8.</w:t>
      </w:r>
    </w:p>
  </w:footnote>
  <w:footnote w:id="10">
    <w:p w14:paraId="087E7586" w14:textId="59ADFCFA" w:rsidR="00C24656" w:rsidRDefault="00C24656">
      <w:pPr>
        <w:pStyle w:val="Textonotapie"/>
      </w:pPr>
      <w:r>
        <w:rPr>
          <w:rStyle w:val="Refdenotaalpie"/>
        </w:rPr>
        <w:footnoteRef/>
      </w:r>
      <w:r>
        <w:t xml:space="preserve"> </w:t>
      </w:r>
      <w:r w:rsidR="00AC237F">
        <w:t xml:space="preserve">Ib. </w:t>
      </w:r>
    </w:p>
  </w:footnote>
  <w:footnote w:id="11">
    <w:p w14:paraId="0D1AB75E" w14:textId="2B50B038" w:rsidR="00AD085B" w:rsidRDefault="00AD085B">
      <w:pPr>
        <w:pStyle w:val="Textonotapie"/>
      </w:pPr>
      <w:r>
        <w:rPr>
          <w:rStyle w:val="Refdenotaalpie"/>
        </w:rPr>
        <w:footnoteRef/>
      </w:r>
      <w:r>
        <w:t xml:space="preserve"> </w:t>
      </w:r>
      <w:r w:rsidRPr="000B1825">
        <w:rPr>
          <w:rFonts w:cs="Times New Roman"/>
        </w:rPr>
        <w:t xml:space="preserve">Ib., p. </w:t>
      </w:r>
      <w:r>
        <w:rPr>
          <w:rFonts w:cs="Times New Roman"/>
        </w:rPr>
        <w:t>9</w:t>
      </w:r>
      <w:r w:rsidRPr="000B1825">
        <w:rPr>
          <w:rFonts w:cs="Times New Roman"/>
        </w:rPr>
        <w:t>.</w:t>
      </w:r>
    </w:p>
  </w:footnote>
  <w:footnote w:id="12">
    <w:p w14:paraId="3DA79AAE" w14:textId="18840717" w:rsidR="00691E87" w:rsidRDefault="00691E87">
      <w:pPr>
        <w:pStyle w:val="Textonotapie"/>
      </w:pPr>
      <w:r>
        <w:rPr>
          <w:rStyle w:val="Refdenotaalpie"/>
        </w:rPr>
        <w:footnoteRef/>
      </w:r>
      <w:r>
        <w:t xml:space="preserve"> </w:t>
      </w:r>
      <w:r w:rsidRPr="000B1825">
        <w:rPr>
          <w:rFonts w:cs="Times New Roman"/>
        </w:rPr>
        <w:t xml:space="preserve">Ib., p. </w:t>
      </w:r>
      <w:r>
        <w:rPr>
          <w:rFonts w:cs="Times New Roman"/>
        </w:rPr>
        <w:t>11</w:t>
      </w:r>
      <w:r w:rsidRPr="000B1825">
        <w:rPr>
          <w:rFonts w:cs="Times New Roman"/>
        </w:rPr>
        <w:t>.</w:t>
      </w:r>
    </w:p>
  </w:footnote>
  <w:footnote w:id="13">
    <w:p w14:paraId="2EBB0E61" w14:textId="19C8DCA5" w:rsidR="000E737E" w:rsidRDefault="000E737E">
      <w:pPr>
        <w:pStyle w:val="Textonotapie"/>
      </w:pPr>
      <w:r>
        <w:rPr>
          <w:rStyle w:val="Refdenotaalpie"/>
        </w:rPr>
        <w:footnoteRef/>
      </w:r>
      <w:r>
        <w:t xml:space="preserve"> </w:t>
      </w:r>
      <w:r w:rsidRPr="000E737E">
        <w:t>Gacetas 339/03, 564/03, 104/04, 167/04, 200/04, 248/04, 273/04 y 286/04</w:t>
      </w:r>
      <w:r>
        <w:t>.</w:t>
      </w:r>
    </w:p>
  </w:footnote>
  <w:footnote w:id="14">
    <w:p w14:paraId="35DB33FE" w14:textId="75A2B40E" w:rsidR="000E737E" w:rsidRDefault="000E737E">
      <w:pPr>
        <w:pStyle w:val="Textonotapie"/>
      </w:pPr>
      <w:r>
        <w:rPr>
          <w:rStyle w:val="Refdenotaalpie"/>
        </w:rPr>
        <w:footnoteRef/>
      </w:r>
      <w:r>
        <w:t xml:space="preserve"> </w:t>
      </w:r>
      <w:r w:rsidR="001117F4" w:rsidRPr="000B1825">
        <w:rPr>
          <w:rFonts w:cs="Times New Roman"/>
        </w:rPr>
        <w:t>Expediente digital D-16867, archivo “D0016867. Demanda ciudadana”, p.</w:t>
      </w:r>
      <w:r w:rsidRPr="000B1825">
        <w:rPr>
          <w:rFonts w:cs="Times New Roman"/>
        </w:rPr>
        <w:t xml:space="preserve"> </w:t>
      </w:r>
      <w:r>
        <w:rPr>
          <w:rFonts w:cs="Times New Roman"/>
        </w:rPr>
        <w:t>11</w:t>
      </w:r>
      <w:r w:rsidRPr="000B1825">
        <w:rPr>
          <w:rFonts w:cs="Times New Roman"/>
        </w:rPr>
        <w:t>.</w:t>
      </w:r>
    </w:p>
  </w:footnote>
  <w:footnote w:id="15">
    <w:p w14:paraId="5BBBE591" w14:textId="5303622B" w:rsidR="000E737E" w:rsidRDefault="000E737E">
      <w:pPr>
        <w:pStyle w:val="Textonotapie"/>
      </w:pPr>
      <w:r>
        <w:rPr>
          <w:rStyle w:val="Refdenotaalpie"/>
        </w:rPr>
        <w:footnoteRef/>
      </w:r>
      <w:r>
        <w:t xml:space="preserve"> Ib. </w:t>
      </w:r>
    </w:p>
  </w:footnote>
  <w:footnote w:id="16">
    <w:p w14:paraId="38DF2922" w14:textId="7E23A405" w:rsidR="00E518A5" w:rsidRDefault="00E518A5">
      <w:pPr>
        <w:pStyle w:val="Textonotapie"/>
      </w:pPr>
      <w:r>
        <w:rPr>
          <w:rStyle w:val="Refdenotaalpie"/>
        </w:rPr>
        <w:footnoteRef/>
      </w:r>
      <w:r>
        <w:t xml:space="preserve"> Ib. </w:t>
      </w:r>
    </w:p>
  </w:footnote>
  <w:footnote w:id="17">
    <w:p w14:paraId="357730BE" w14:textId="645BA64A" w:rsidR="001117F4" w:rsidRDefault="001117F4">
      <w:pPr>
        <w:pStyle w:val="Textonotapie"/>
      </w:pPr>
      <w:r>
        <w:rPr>
          <w:rStyle w:val="Refdenotaalpie"/>
        </w:rPr>
        <w:footnoteRef/>
      </w:r>
      <w:r>
        <w:t xml:space="preserve"> </w:t>
      </w:r>
      <w:r w:rsidRPr="000B1825">
        <w:rPr>
          <w:rFonts w:cs="Times New Roman"/>
        </w:rPr>
        <w:t xml:space="preserve">Ib., p. </w:t>
      </w:r>
      <w:r>
        <w:rPr>
          <w:rFonts w:cs="Times New Roman"/>
        </w:rPr>
        <w:t>12</w:t>
      </w:r>
      <w:r w:rsidRPr="000B1825">
        <w:rPr>
          <w:rFonts w:cs="Times New Roman"/>
        </w:rPr>
        <w:t>.</w:t>
      </w:r>
    </w:p>
  </w:footnote>
  <w:footnote w:id="18">
    <w:p w14:paraId="1229EC03" w14:textId="3E1E87DB" w:rsidR="001117F4" w:rsidRDefault="001117F4">
      <w:pPr>
        <w:pStyle w:val="Textonotapie"/>
      </w:pPr>
      <w:r>
        <w:rPr>
          <w:rStyle w:val="Refdenotaalpie"/>
        </w:rPr>
        <w:footnoteRef/>
      </w:r>
      <w:r>
        <w:t xml:space="preserve"> Ib. </w:t>
      </w:r>
    </w:p>
  </w:footnote>
  <w:footnote w:id="19">
    <w:p w14:paraId="276DEF8D" w14:textId="5D1CE686" w:rsidR="001117F4" w:rsidRDefault="001117F4">
      <w:pPr>
        <w:pStyle w:val="Textonotapie"/>
      </w:pPr>
      <w:r>
        <w:rPr>
          <w:rStyle w:val="Refdenotaalpie"/>
        </w:rPr>
        <w:footnoteRef/>
      </w:r>
      <w:r>
        <w:t xml:space="preserve"> </w:t>
      </w:r>
      <w:r w:rsidRPr="000B1825">
        <w:rPr>
          <w:rFonts w:cs="Times New Roman"/>
        </w:rPr>
        <w:t xml:space="preserve">Ib., p. </w:t>
      </w:r>
      <w:r>
        <w:rPr>
          <w:rFonts w:cs="Times New Roman"/>
        </w:rPr>
        <w:t>13</w:t>
      </w:r>
      <w:r w:rsidRPr="000B1825">
        <w:rPr>
          <w:rFonts w:cs="Times New Roman"/>
        </w:rPr>
        <w:t>.</w:t>
      </w:r>
    </w:p>
  </w:footnote>
  <w:footnote w:id="20">
    <w:p w14:paraId="69EA3873" w14:textId="0C9C7731" w:rsidR="001117F4" w:rsidRDefault="001117F4">
      <w:pPr>
        <w:pStyle w:val="Textonotapie"/>
      </w:pPr>
      <w:r>
        <w:rPr>
          <w:rStyle w:val="Refdenotaalpie"/>
        </w:rPr>
        <w:footnoteRef/>
      </w:r>
      <w:r>
        <w:t xml:space="preserve"> Ib. </w:t>
      </w:r>
    </w:p>
  </w:footnote>
  <w:footnote w:id="21">
    <w:p w14:paraId="513BD4F8" w14:textId="43C69E81" w:rsidR="00015FCF" w:rsidRDefault="00015FCF">
      <w:pPr>
        <w:pStyle w:val="Textonotapie"/>
      </w:pPr>
      <w:r>
        <w:rPr>
          <w:rStyle w:val="Refdenotaalpie"/>
        </w:rPr>
        <w:footnoteRef/>
      </w:r>
      <w:r>
        <w:t xml:space="preserve"> Ib. </w:t>
      </w:r>
    </w:p>
  </w:footnote>
  <w:footnote w:id="22">
    <w:p w14:paraId="0B88D095" w14:textId="0919AC46" w:rsidR="00015FCF" w:rsidRDefault="00015FCF">
      <w:pPr>
        <w:pStyle w:val="Textonotapie"/>
      </w:pPr>
      <w:r>
        <w:rPr>
          <w:rStyle w:val="Refdenotaalpie"/>
        </w:rPr>
        <w:footnoteRef/>
      </w:r>
      <w:r>
        <w:t xml:space="preserve"> </w:t>
      </w:r>
      <w:r w:rsidRPr="000B1825">
        <w:rPr>
          <w:rFonts w:cs="Times New Roman"/>
        </w:rPr>
        <w:t xml:space="preserve">Ib., p. </w:t>
      </w:r>
      <w:r>
        <w:rPr>
          <w:rFonts w:cs="Times New Roman"/>
        </w:rPr>
        <w:t>21</w:t>
      </w:r>
      <w:r w:rsidRPr="000B1825">
        <w:rPr>
          <w:rFonts w:cs="Times New Roman"/>
        </w:rPr>
        <w:t>.</w:t>
      </w:r>
    </w:p>
  </w:footnote>
  <w:footnote w:id="23">
    <w:p w14:paraId="76EDC0C3" w14:textId="27B8BBA0" w:rsidR="001449D1" w:rsidRDefault="001449D1">
      <w:pPr>
        <w:pStyle w:val="Textonotapie"/>
      </w:pPr>
      <w:r>
        <w:rPr>
          <w:rStyle w:val="Refdenotaalpie"/>
        </w:rPr>
        <w:footnoteRef/>
      </w:r>
      <w:r>
        <w:t xml:space="preserve"> </w:t>
      </w:r>
      <w:r w:rsidRPr="001449D1">
        <w:t>Universidad Pontificia Bolivariana</w:t>
      </w:r>
      <w:r>
        <w:t>.</w:t>
      </w:r>
    </w:p>
  </w:footnote>
  <w:footnote w:id="24">
    <w:p w14:paraId="506EDF93" w14:textId="15159C05" w:rsidR="001449D1" w:rsidRDefault="001449D1">
      <w:pPr>
        <w:pStyle w:val="Textonotapie"/>
      </w:pPr>
      <w:r>
        <w:rPr>
          <w:rStyle w:val="Refdenotaalpie"/>
        </w:rPr>
        <w:footnoteRef/>
      </w:r>
      <w:r>
        <w:t xml:space="preserve"> </w:t>
      </w:r>
      <w:r w:rsidRPr="001449D1">
        <w:t>Universidad Externado de Colombia y Ministerio de Justicia y del Derecho</w:t>
      </w:r>
      <w:r>
        <w:t>.</w:t>
      </w:r>
    </w:p>
  </w:footnote>
  <w:footnote w:id="25">
    <w:p w14:paraId="6BBF1D69" w14:textId="02EF4B6C" w:rsidR="001449D1" w:rsidRDefault="001449D1">
      <w:pPr>
        <w:pStyle w:val="Textonotapie"/>
      </w:pPr>
      <w:r>
        <w:rPr>
          <w:rStyle w:val="Refdenotaalpie"/>
        </w:rPr>
        <w:footnoteRef/>
      </w:r>
      <w:r>
        <w:t xml:space="preserve"> </w:t>
      </w:r>
      <w:r w:rsidRPr="001449D1">
        <w:t>Academia Colombiana de Jurisprudencia</w:t>
      </w:r>
      <w:r>
        <w:t>.</w:t>
      </w:r>
    </w:p>
  </w:footnote>
  <w:footnote w:id="26">
    <w:p w14:paraId="369997BE" w14:textId="576056C8" w:rsidR="001449D1" w:rsidRDefault="001449D1" w:rsidP="001449D1">
      <w:pPr>
        <w:pStyle w:val="Textonotapie"/>
        <w:ind w:left="0" w:firstLine="0"/>
      </w:pPr>
      <w:r>
        <w:rPr>
          <w:rStyle w:val="Refdenotaalpie"/>
        </w:rPr>
        <w:footnoteRef/>
      </w:r>
      <w:r>
        <w:t xml:space="preserve"> </w:t>
      </w:r>
      <w:r w:rsidRPr="001449D1">
        <w:t>Fundación Jurídica Proyecto Inocencia, Colegio de Abogados Penalistas de Colombia, Universidad de los</w:t>
      </w:r>
      <w:r>
        <w:t xml:space="preserve"> </w:t>
      </w:r>
      <w:r w:rsidRPr="001449D1">
        <w:t>Andes e Instituto Colombiano de Derecho Procesal</w:t>
      </w:r>
      <w:r>
        <w:t>.</w:t>
      </w:r>
    </w:p>
  </w:footnote>
  <w:footnote w:id="27">
    <w:p w14:paraId="26ABCB53" w14:textId="0F4BE71C" w:rsidR="00F0454D" w:rsidRDefault="00F0454D">
      <w:pPr>
        <w:pStyle w:val="Textonotapie"/>
      </w:pPr>
      <w:r>
        <w:rPr>
          <w:rStyle w:val="Refdenotaalpie"/>
        </w:rPr>
        <w:footnoteRef/>
      </w:r>
      <w:r>
        <w:t xml:space="preserve"> Intervención de la </w:t>
      </w:r>
      <w:r w:rsidR="00517610">
        <w:t>U</w:t>
      </w:r>
      <w:r w:rsidRPr="004B03ED">
        <w:t>niversidad Externado de Colombia</w:t>
      </w:r>
      <w:r>
        <w:t>, p. 4.</w:t>
      </w:r>
    </w:p>
  </w:footnote>
  <w:footnote w:id="28">
    <w:p w14:paraId="37F28009" w14:textId="79B0791B" w:rsidR="004B03ED" w:rsidRDefault="004B03ED">
      <w:pPr>
        <w:pStyle w:val="Textonotapie"/>
      </w:pPr>
      <w:r>
        <w:rPr>
          <w:rStyle w:val="Refdenotaalpie"/>
        </w:rPr>
        <w:footnoteRef/>
      </w:r>
      <w:r>
        <w:t xml:space="preserve"> </w:t>
      </w:r>
      <w:r w:rsidR="00F0454D">
        <w:t>Ib.</w:t>
      </w:r>
      <w:r>
        <w:t>, p. 6</w:t>
      </w:r>
      <w:r w:rsidRPr="004B03ED">
        <w:t>.</w:t>
      </w:r>
    </w:p>
  </w:footnote>
  <w:footnote w:id="29">
    <w:p w14:paraId="74F1F5F8" w14:textId="112788CD" w:rsidR="00BB34C4" w:rsidRDefault="00BB34C4">
      <w:pPr>
        <w:pStyle w:val="Textonotapie"/>
      </w:pPr>
      <w:r>
        <w:rPr>
          <w:rStyle w:val="Refdenotaalpie"/>
        </w:rPr>
        <w:footnoteRef/>
      </w:r>
      <w:r>
        <w:t xml:space="preserve"> Intervención del </w:t>
      </w:r>
      <w:r w:rsidRPr="00F0454D">
        <w:t>Ministerio de Justicia y del Derecho</w:t>
      </w:r>
      <w:r>
        <w:t>, p. 9</w:t>
      </w:r>
      <w:r w:rsidRPr="00F0454D">
        <w:t>.</w:t>
      </w:r>
    </w:p>
  </w:footnote>
  <w:footnote w:id="30">
    <w:p w14:paraId="5374B916" w14:textId="34621A46" w:rsidR="00927C59" w:rsidRDefault="00927C59">
      <w:pPr>
        <w:pStyle w:val="Textonotapie"/>
      </w:pPr>
      <w:r>
        <w:rPr>
          <w:rStyle w:val="Refdenotaalpie"/>
        </w:rPr>
        <w:footnoteRef/>
      </w:r>
      <w:r>
        <w:t xml:space="preserve"> Intervención de la U</w:t>
      </w:r>
      <w:r w:rsidRPr="004B03ED">
        <w:t xml:space="preserve">niversidad </w:t>
      </w:r>
      <w:r w:rsidRPr="00517610">
        <w:t>Pontificia Bolivariana</w:t>
      </w:r>
      <w:r>
        <w:t>, p. 7.</w:t>
      </w:r>
    </w:p>
  </w:footnote>
  <w:footnote w:id="31">
    <w:p w14:paraId="5E5DC61B" w14:textId="0CA3FC08" w:rsidR="00927C59" w:rsidRDefault="00927C59">
      <w:pPr>
        <w:pStyle w:val="Textonotapie"/>
      </w:pPr>
      <w:r>
        <w:rPr>
          <w:rStyle w:val="Refdenotaalpie"/>
        </w:rPr>
        <w:footnoteRef/>
      </w:r>
      <w:r>
        <w:t xml:space="preserve"> Ib. </w:t>
      </w:r>
    </w:p>
  </w:footnote>
  <w:footnote w:id="32">
    <w:p w14:paraId="46608390" w14:textId="192A8551" w:rsidR="00533287" w:rsidRDefault="00533287">
      <w:pPr>
        <w:pStyle w:val="Textonotapie"/>
      </w:pPr>
      <w:r>
        <w:rPr>
          <w:rStyle w:val="Refdenotaalpie"/>
        </w:rPr>
        <w:footnoteRef/>
      </w:r>
      <w:r>
        <w:t xml:space="preserve"> Intervención de la </w:t>
      </w:r>
      <w:r w:rsidRPr="00533287">
        <w:t>Academia Colombiana de Jurisprudencia</w:t>
      </w:r>
      <w:r>
        <w:t>, p. 7.</w:t>
      </w:r>
    </w:p>
  </w:footnote>
  <w:footnote w:id="33">
    <w:p w14:paraId="754092E4" w14:textId="08694138" w:rsidR="00533287" w:rsidRDefault="00533287">
      <w:pPr>
        <w:pStyle w:val="Textonotapie"/>
      </w:pPr>
      <w:r>
        <w:rPr>
          <w:rStyle w:val="Refdenotaalpie"/>
        </w:rPr>
        <w:footnoteRef/>
      </w:r>
      <w:r>
        <w:t xml:space="preserve"> Ib., p. 9</w:t>
      </w:r>
      <w:r w:rsidRPr="004B03ED">
        <w:t>.</w:t>
      </w:r>
    </w:p>
  </w:footnote>
  <w:footnote w:id="34">
    <w:p w14:paraId="0A73E996" w14:textId="77777777" w:rsidR="004C79C0" w:rsidRDefault="004C79C0" w:rsidP="004C79C0">
      <w:pPr>
        <w:pStyle w:val="Textonotapie"/>
      </w:pPr>
      <w:r>
        <w:rPr>
          <w:rStyle w:val="Refdenotaalpie"/>
        </w:rPr>
        <w:footnoteRef/>
      </w:r>
      <w:r>
        <w:t xml:space="preserve"> </w:t>
      </w:r>
      <w:r w:rsidRPr="003C11AF">
        <w:t xml:space="preserve">Intervención de la Universidad Externado de Colombia, p. </w:t>
      </w:r>
      <w:r>
        <w:t>23</w:t>
      </w:r>
      <w:r w:rsidRPr="003C11AF">
        <w:t>.</w:t>
      </w:r>
    </w:p>
  </w:footnote>
  <w:footnote w:id="35">
    <w:p w14:paraId="55DD6662" w14:textId="0457AE6A" w:rsidR="003C11AF" w:rsidRDefault="003C11AF">
      <w:pPr>
        <w:pStyle w:val="Textonotapie"/>
      </w:pPr>
      <w:r>
        <w:rPr>
          <w:rStyle w:val="Refdenotaalpie"/>
        </w:rPr>
        <w:footnoteRef/>
      </w:r>
      <w:r>
        <w:t xml:space="preserve"> </w:t>
      </w:r>
      <w:r w:rsidRPr="003C11AF">
        <w:t xml:space="preserve">Intervención del Ministerio de Justicia y del Derecho, p. </w:t>
      </w:r>
      <w:r>
        <w:t>16</w:t>
      </w:r>
      <w:r w:rsidRPr="003C11AF">
        <w:t>.</w:t>
      </w:r>
    </w:p>
  </w:footnote>
  <w:footnote w:id="36">
    <w:p w14:paraId="5C3F8B5F" w14:textId="77777777" w:rsidR="004C79C0" w:rsidRDefault="004C79C0" w:rsidP="004C79C0">
      <w:pPr>
        <w:pStyle w:val="Textonotapie"/>
      </w:pPr>
      <w:r>
        <w:rPr>
          <w:rStyle w:val="Refdenotaalpie"/>
        </w:rPr>
        <w:footnoteRef/>
      </w:r>
      <w:r>
        <w:t xml:space="preserve"> </w:t>
      </w:r>
      <w:r w:rsidRPr="003C11AF">
        <w:t xml:space="preserve">Intervención del </w:t>
      </w:r>
      <w:r w:rsidRPr="000C1B66">
        <w:t>Instituto Colombiano de Derecho Procesal</w:t>
      </w:r>
      <w:r>
        <w:t xml:space="preserve">, p. 10. </w:t>
      </w:r>
    </w:p>
  </w:footnote>
  <w:footnote w:id="37">
    <w:p w14:paraId="35F2FE78" w14:textId="5605CE73" w:rsidR="00523886" w:rsidRDefault="00523886">
      <w:pPr>
        <w:pStyle w:val="Textonotapie"/>
      </w:pPr>
      <w:r>
        <w:rPr>
          <w:rStyle w:val="Refdenotaalpie"/>
        </w:rPr>
        <w:footnoteRef/>
      </w:r>
      <w:r>
        <w:t xml:space="preserve"> </w:t>
      </w:r>
      <w:r w:rsidRPr="003C11AF">
        <w:t xml:space="preserve">Intervención de la </w:t>
      </w:r>
      <w:r w:rsidRPr="00523886">
        <w:t>Fundación Jurídica Proyecto Inocencia</w:t>
      </w:r>
      <w:r>
        <w:t xml:space="preserve">, p. 3. </w:t>
      </w:r>
    </w:p>
  </w:footnote>
  <w:footnote w:id="38">
    <w:p w14:paraId="0AE71045" w14:textId="1E5CBAEB" w:rsidR="00523886" w:rsidRDefault="00523886">
      <w:pPr>
        <w:pStyle w:val="Textonotapie"/>
      </w:pPr>
      <w:r>
        <w:rPr>
          <w:rStyle w:val="Refdenotaalpie"/>
        </w:rPr>
        <w:footnoteRef/>
      </w:r>
      <w:r>
        <w:t xml:space="preserve"> </w:t>
      </w:r>
      <w:r w:rsidRPr="003C11AF">
        <w:t xml:space="preserve">Intervención del </w:t>
      </w:r>
      <w:r w:rsidRPr="000C1B66">
        <w:t>Instituto Colombiano de Derecho Procesal</w:t>
      </w:r>
      <w:r>
        <w:t>, p. 13.</w:t>
      </w:r>
    </w:p>
  </w:footnote>
  <w:footnote w:id="39">
    <w:p w14:paraId="6D828618" w14:textId="6260C963" w:rsidR="00493BCC" w:rsidRPr="00493BCC" w:rsidRDefault="00493BCC" w:rsidP="00493BCC">
      <w:pPr>
        <w:pStyle w:val="Textonotapie"/>
        <w:ind w:left="0" w:right="-119" w:firstLine="0"/>
      </w:pPr>
      <w:r>
        <w:rPr>
          <w:rStyle w:val="Refdenotaalpie"/>
        </w:rPr>
        <w:footnoteRef/>
      </w:r>
      <w:r>
        <w:rPr>
          <w:lang w:val="es-MX"/>
        </w:rPr>
        <w:t xml:space="preserve"> </w:t>
      </w:r>
      <w:r w:rsidRPr="00493BCC">
        <w:rPr>
          <w:lang w:val="es-MX"/>
        </w:rPr>
        <w:t>Como cuestión previa, el Ministerio Público descartó la configuración del fenómeno de cosa juzgada constitucional. Señaló que, aunque existen pronunciamientos previos sobre las normas acusadas -en concreto, las sentencias C-423 de 2006, C-717 de 2006, C-516 de 2007 y C-250 de 2011-, en ninguna de esas ocasiones se evaluó una posible omisión legislativa relativa por inexistencia de términos de prescripción en el trámite del Incidente de Reparación Integral. En consecuencia, “las razones antes alegadas no se corresponden con los cargos formulados en la presente demanda”. Por lo tanto, concluyó que no concurren los tres elementos exigidos por la jurisprudencia para que opere la cosa juzgada: identidad de objeto, identidad de causa petendi e identidad en el parámetro de control</w:t>
      </w:r>
    </w:p>
  </w:footnote>
  <w:footnote w:id="40">
    <w:p w14:paraId="581B0756" w14:textId="58347D76" w:rsidR="00EF2DAB" w:rsidRDefault="00EF2DAB" w:rsidP="00493BCC">
      <w:pPr>
        <w:pStyle w:val="Textonotapie"/>
      </w:pPr>
      <w:r>
        <w:rPr>
          <w:rStyle w:val="Refdenotaalpie"/>
        </w:rPr>
        <w:footnoteRef/>
      </w:r>
      <w:r>
        <w:t xml:space="preserve"> Ib., </w:t>
      </w:r>
      <w:r w:rsidR="00885E06">
        <w:t xml:space="preserve">p. </w:t>
      </w:r>
      <w:r>
        <w:t>9.</w:t>
      </w:r>
    </w:p>
  </w:footnote>
  <w:footnote w:id="41">
    <w:p w14:paraId="03765FDD" w14:textId="7286C01D" w:rsidR="00EF2DAB" w:rsidRDefault="00EF2DAB" w:rsidP="00493BCC">
      <w:pPr>
        <w:pStyle w:val="Textonotapie"/>
      </w:pPr>
      <w:r>
        <w:rPr>
          <w:rStyle w:val="Refdenotaalpie"/>
        </w:rPr>
        <w:footnoteRef/>
      </w:r>
      <w:r>
        <w:t xml:space="preserve"> Ib., </w:t>
      </w:r>
      <w:r w:rsidR="00885E06">
        <w:t xml:space="preserve">p. </w:t>
      </w:r>
      <w:r>
        <w:t>1</w:t>
      </w:r>
      <w:r w:rsidR="00A07172">
        <w:t>9</w:t>
      </w:r>
      <w:r>
        <w:t>.</w:t>
      </w:r>
    </w:p>
  </w:footnote>
  <w:footnote w:id="42">
    <w:p w14:paraId="21F0C4B0" w14:textId="36851631" w:rsidR="00A07172" w:rsidRDefault="00A07172" w:rsidP="00493BCC">
      <w:pPr>
        <w:pStyle w:val="Textonotapie"/>
      </w:pPr>
      <w:r>
        <w:rPr>
          <w:rStyle w:val="Refdenotaalpie"/>
        </w:rPr>
        <w:footnoteRef/>
      </w:r>
      <w:r>
        <w:t xml:space="preserve"> Ib., </w:t>
      </w:r>
      <w:r w:rsidR="00885E06">
        <w:t xml:space="preserve">p. </w:t>
      </w:r>
      <w:r>
        <w:t>20.</w:t>
      </w:r>
    </w:p>
  </w:footnote>
  <w:footnote w:id="43">
    <w:p w14:paraId="3D68B2E0" w14:textId="77777777" w:rsidR="00493BCC" w:rsidRDefault="00493BCC" w:rsidP="00493BCC">
      <w:pPr>
        <w:pStyle w:val="Textonotapie"/>
      </w:pPr>
      <w:r>
        <w:rPr>
          <w:rStyle w:val="Refdenotaalpie"/>
        </w:rPr>
        <w:footnoteRef/>
      </w:r>
      <w:r>
        <w:t xml:space="preserve"> Ib. </w:t>
      </w:r>
    </w:p>
  </w:footnote>
  <w:footnote w:id="44">
    <w:p w14:paraId="6FFA7005" w14:textId="4AE96BE2" w:rsidR="00A07172" w:rsidRDefault="00A07172" w:rsidP="00493BCC">
      <w:pPr>
        <w:pStyle w:val="Textonotapie"/>
      </w:pPr>
      <w:r>
        <w:rPr>
          <w:rStyle w:val="Refdenotaalpie"/>
        </w:rPr>
        <w:footnoteRef/>
      </w:r>
      <w:r>
        <w:t xml:space="preserve"> Ib. </w:t>
      </w:r>
    </w:p>
  </w:footnote>
  <w:footnote w:id="45">
    <w:p w14:paraId="49FEB611" w14:textId="2AB120CE" w:rsidR="00A07172" w:rsidRDefault="00A07172" w:rsidP="00493BCC">
      <w:pPr>
        <w:pStyle w:val="Textonotapie"/>
      </w:pPr>
      <w:r>
        <w:rPr>
          <w:rStyle w:val="Refdenotaalpie"/>
        </w:rPr>
        <w:footnoteRef/>
      </w:r>
      <w:r>
        <w:t xml:space="preserve"> Ib., </w:t>
      </w:r>
      <w:r w:rsidR="00885E06">
        <w:t xml:space="preserve">p. </w:t>
      </w:r>
      <w:r>
        <w:t>21.</w:t>
      </w:r>
    </w:p>
  </w:footnote>
  <w:footnote w:id="46">
    <w:p w14:paraId="7158A715" w14:textId="684451DB" w:rsidR="00ED5900" w:rsidRDefault="00ED5900" w:rsidP="00493BCC">
      <w:pPr>
        <w:pStyle w:val="Textonotapie"/>
      </w:pPr>
      <w:r>
        <w:rPr>
          <w:rStyle w:val="Refdenotaalpie"/>
        </w:rPr>
        <w:footnoteRef/>
      </w:r>
      <w:r>
        <w:t xml:space="preserve"> Ib., </w:t>
      </w:r>
      <w:r w:rsidR="00885E06">
        <w:t xml:space="preserve">p. </w:t>
      </w:r>
      <w:r>
        <w:t>22.</w:t>
      </w:r>
    </w:p>
  </w:footnote>
  <w:footnote w:id="47">
    <w:p w14:paraId="1EACA487" w14:textId="2005224A" w:rsidR="00ED5900" w:rsidRDefault="00ED5900" w:rsidP="00493BCC">
      <w:pPr>
        <w:pStyle w:val="Textonotapie"/>
      </w:pPr>
      <w:r>
        <w:rPr>
          <w:rStyle w:val="Refdenotaalpie"/>
        </w:rPr>
        <w:footnoteRef/>
      </w:r>
      <w:r>
        <w:t xml:space="preserve"> Ib., </w:t>
      </w:r>
      <w:r w:rsidR="00885E06">
        <w:t xml:space="preserve">p. </w:t>
      </w:r>
      <w:r>
        <w:t>23.</w:t>
      </w:r>
    </w:p>
  </w:footnote>
  <w:footnote w:id="48">
    <w:p w14:paraId="005DCB03" w14:textId="24DD513A" w:rsidR="00ED5900" w:rsidRDefault="00ED5900" w:rsidP="00493BCC">
      <w:pPr>
        <w:pStyle w:val="Textonotapie"/>
      </w:pPr>
      <w:r>
        <w:rPr>
          <w:rStyle w:val="Refdenotaalpie"/>
        </w:rPr>
        <w:footnoteRef/>
      </w:r>
      <w:r>
        <w:t xml:space="preserve"> Ib. </w:t>
      </w:r>
    </w:p>
  </w:footnote>
  <w:footnote w:id="49">
    <w:p w14:paraId="3B96F84A" w14:textId="736227A5" w:rsidR="00ED5900" w:rsidRDefault="00ED5900" w:rsidP="00493BCC">
      <w:pPr>
        <w:pStyle w:val="Textonotapie"/>
      </w:pPr>
      <w:r>
        <w:rPr>
          <w:rStyle w:val="Refdenotaalpie"/>
        </w:rPr>
        <w:footnoteRef/>
      </w:r>
      <w:r>
        <w:t xml:space="preserve"> Ib. </w:t>
      </w:r>
    </w:p>
  </w:footnote>
  <w:footnote w:id="50">
    <w:p w14:paraId="0C7F6838" w14:textId="3D16B409" w:rsidR="00ED5900" w:rsidRDefault="00ED5900" w:rsidP="00493BCC">
      <w:pPr>
        <w:pStyle w:val="Textonotapie"/>
      </w:pPr>
      <w:r>
        <w:rPr>
          <w:rStyle w:val="Refdenotaalpie"/>
        </w:rPr>
        <w:footnoteRef/>
      </w:r>
      <w:r>
        <w:t xml:space="preserve"> Ib. </w:t>
      </w:r>
    </w:p>
  </w:footnote>
  <w:footnote w:id="51">
    <w:p w14:paraId="618AD87B" w14:textId="08C1C05D" w:rsidR="009754D8" w:rsidRPr="009754D8" w:rsidRDefault="009754D8" w:rsidP="009754D8">
      <w:pPr>
        <w:pStyle w:val="Textonotapie"/>
        <w:ind w:left="0" w:right="-119" w:firstLine="0"/>
        <w:rPr>
          <w:lang w:val="es-MX"/>
        </w:rPr>
      </w:pPr>
      <w:r>
        <w:rPr>
          <w:rStyle w:val="Refdenotaalpie"/>
        </w:rPr>
        <w:footnoteRef/>
      </w:r>
      <w:r>
        <w:t xml:space="preserve"> </w:t>
      </w:r>
      <w:r>
        <w:rPr>
          <w:lang w:val="es-MX"/>
        </w:rPr>
        <w:t xml:space="preserve">Corte Constitucional, sentencias </w:t>
      </w:r>
      <w:r w:rsidRPr="009754D8">
        <w:rPr>
          <w:lang w:val="es-MX"/>
        </w:rPr>
        <w:t>C-623 de 2008, C-894 de 2009, C-841 de 2010, C-055 de 2013, C-281 de 2013, C-307 de 2019, C-059 de 2023, C-015 de 2023</w:t>
      </w:r>
      <w:r w:rsidR="00885E06">
        <w:rPr>
          <w:lang w:val="es-MX"/>
        </w:rPr>
        <w:t>,</w:t>
      </w:r>
      <w:r w:rsidRPr="009754D8">
        <w:rPr>
          <w:lang w:val="es-MX"/>
        </w:rPr>
        <w:t xml:space="preserve"> C-490 de 2023 </w:t>
      </w:r>
      <w:r>
        <w:rPr>
          <w:lang w:val="es-MX"/>
        </w:rPr>
        <w:t>C-055 de 2025, C-101 de 2025</w:t>
      </w:r>
      <w:r w:rsidR="00E563F1">
        <w:rPr>
          <w:lang w:val="es-MX"/>
        </w:rPr>
        <w:t>, C-255 de 2025</w:t>
      </w:r>
      <w:r>
        <w:rPr>
          <w:lang w:val="es-MX"/>
        </w:rPr>
        <w:t xml:space="preserve"> y C-375 de 2025. </w:t>
      </w:r>
    </w:p>
  </w:footnote>
  <w:footnote w:id="52">
    <w:p w14:paraId="62DC3677" w14:textId="1918F12D" w:rsidR="00E563F1" w:rsidRPr="00E563F1" w:rsidRDefault="00E563F1" w:rsidP="00E563F1">
      <w:pPr>
        <w:pStyle w:val="Textonotapie"/>
        <w:ind w:left="0" w:right="-119" w:firstLine="0"/>
        <w:rPr>
          <w:lang w:val="es-MX"/>
        </w:rPr>
      </w:pPr>
      <w:r>
        <w:rPr>
          <w:rStyle w:val="Refdenotaalpie"/>
        </w:rPr>
        <w:footnoteRef/>
      </w:r>
      <w:r>
        <w:t xml:space="preserve"> </w:t>
      </w:r>
      <w:r>
        <w:rPr>
          <w:lang w:val="es-MX"/>
        </w:rPr>
        <w:t xml:space="preserve">Corte constitucional, sentencias C-100 de 2022, </w:t>
      </w:r>
      <w:r w:rsidRPr="00E563F1">
        <w:t>C-212 de 2022</w:t>
      </w:r>
      <w:r>
        <w:t>,</w:t>
      </w:r>
      <w:r w:rsidRPr="00E563F1">
        <w:t xml:space="preserve"> C-387 de 2023</w:t>
      </w:r>
      <w:r>
        <w:t xml:space="preserve">, C-037 de 2025 y C-097 de 2025. </w:t>
      </w:r>
    </w:p>
  </w:footnote>
  <w:footnote w:id="53">
    <w:p w14:paraId="070A64C1" w14:textId="72326665" w:rsidR="00E563F1" w:rsidRPr="00E563F1" w:rsidRDefault="00E563F1">
      <w:pPr>
        <w:pStyle w:val="Textonotapie"/>
        <w:rPr>
          <w:lang w:val="es-MX"/>
        </w:rPr>
      </w:pPr>
      <w:r>
        <w:rPr>
          <w:rStyle w:val="Refdenotaalpie"/>
        </w:rPr>
        <w:footnoteRef/>
      </w:r>
      <w:r>
        <w:t xml:space="preserve"> </w:t>
      </w:r>
      <w:r>
        <w:rPr>
          <w:lang w:val="es-MX"/>
        </w:rPr>
        <w:t xml:space="preserve">Ib. </w:t>
      </w:r>
    </w:p>
  </w:footnote>
  <w:footnote w:id="54">
    <w:p w14:paraId="7C68AE95" w14:textId="77777777" w:rsidR="00630EDF" w:rsidRPr="00951917" w:rsidRDefault="00630EDF" w:rsidP="00630EDF">
      <w:pPr>
        <w:pStyle w:val="Textonotapie"/>
        <w:ind w:left="0" w:right="0" w:firstLine="0"/>
        <w:rPr>
          <w:rFonts w:cs="Times New Roman"/>
          <w:color w:val="auto"/>
          <w:lang w:val="es-MX"/>
        </w:rPr>
      </w:pPr>
      <w:r>
        <w:rPr>
          <w:rFonts w:cs="Times New Roman"/>
          <w:vertAlign w:val="superscript"/>
        </w:rPr>
        <w:footnoteRef/>
      </w:r>
      <w:r w:rsidRPr="00951917">
        <w:rPr>
          <w:rFonts w:cs="Times New Roman"/>
          <w:lang w:val="es-MX"/>
        </w:rPr>
        <w:t xml:space="preserve"> </w:t>
      </w:r>
      <w:r w:rsidRPr="00951917">
        <w:rPr>
          <w:rFonts w:cs="Times New Roman"/>
          <w:i/>
          <w:lang w:val="es-MX"/>
        </w:rPr>
        <w:t>Cfr</w:t>
      </w:r>
      <w:r w:rsidRPr="00951917">
        <w:rPr>
          <w:rFonts w:cs="Times New Roman"/>
          <w:lang w:val="es-MX"/>
        </w:rPr>
        <w:t>., Corte Constitucional, auto 300 de 2008 y sentencia C-089 de 2020.</w:t>
      </w:r>
    </w:p>
  </w:footnote>
  <w:footnote w:id="55">
    <w:p w14:paraId="56FE73A0" w14:textId="77777777" w:rsidR="00630EDF" w:rsidRPr="00951917" w:rsidRDefault="00630EDF" w:rsidP="00630EDF">
      <w:pPr>
        <w:pStyle w:val="Textonotapie"/>
        <w:ind w:left="0" w:right="0" w:firstLine="0"/>
        <w:rPr>
          <w:rFonts w:cs="Times New Roman"/>
          <w:color w:val="auto"/>
        </w:rPr>
      </w:pPr>
      <w:r>
        <w:rPr>
          <w:rFonts w:cs="Times New Roman"/>
          <w:vertAlign w:val="superscript"/>
        </w:rPr>
        <w:footnoteRef/>
      </w:r>
      <w:r w:rsidRPr="00951917">
        <w:rPr>
          <w:rFonts w:cs="Times New Roman"/>
        </w:rPr>
        <w:t xml:space="preserve"> Corte Constitucional, sentencia C-1052 de 2001, reiterada en las sentencias C-247 de 2017, C-002 de 2018, C-087 de 2018 y C-221 de 2019.</w:t>
      </w:r>
    </w:p>
  </w:footnote>
  <w:footnote w:id="56">
    <w:p w14:paraId="7AA6B7BC" w14:textId="77777777" w:rsidR="00630EDF" w:rsidRPr="00951917" w:rsidRDefault="00630EDF" w:rsidP="00630EDF">
      <w:pPr>
        <w:pStyle w:val="Textonotapie"/>
        <w:ind w:left="0" w:right="0" w:firstLine="0"/>
        <w:rPr>
          <w:rFonts w:cs="Times New Roman"/>
          <w:color w:val="auto"/>
        </w:rPr>
      </w:pPr>
      <w:r>
        <w:rPr>
          <w:rFonts w:cs="Times New Roman"/>
          <w:vertAlign w:val="superscript"/>
        </w:rPr>
        <w:footnoteRef/>
      </w:r>
      <w:r w:rsidRPr="00951917">
        <w:rPr>
          <w:rFonts w:cs="Times New Roman"/>
        </w:rPr>
        <w:t xml:space="preserve"> Ib. </w:t>
      </w:r>
    </w:p>
  </w:footnote>
  <w:footnote w:id="57">
    <w:p w14:paraId="68E395BD" w14:textId="77777777" w:rsidR="00630EDF" w:rsidRPr="00951917" w:rsidRDefault="00630EDF" w:rsidP="00630EDF">
      <w:pPr>
        <w:pStyle w:val="Textonotapie"/>
        <w:ind w:left="0" w:right="0" w:firstLine="0"/>
        <w:rPr>
          <w:rFonts w:cs="Times New Roman"/>
          <w:color w:val="auto"/>
        </w:rPr>
      </w:pPr>
      <w:r>
        <w:rPr>
          <w:rFonts w:cs="Times New Roman"/>
          <w:vertAlign w:val="superscript"/>
        </w:rPr>
        <w:footnoteRef/>
      </w:r>
      <w:r w:rsidRPr="00951917">
        <w:rPr>
          <w:rFonts w:cs="Times New Roman"/>
        </w:rPr>
        <w:t xml:space="preserve"> Ib.</w:t>
      </w:r>
    </w:p>
  </w:footnote>
  <w:footnote w:id="58">
    <w:p w14:paraId="7DF469F8" w14:textId="77777777" w:rsidR="00630EDF" w:rsidRPr="00135B0D" w:rsidRDefault="00630EDF" w:rsidP="00630EDF">
      <w:pPr>
        <w:pStyle w:val="Textonotapie"/>
        <w:ind w:left="0" w:right="0" w:firstLine="0"/>
        <w:rPr>
          <w:rFonts w:cs="Times New Roman"/>
          <w:color w:val="auto"/>
        </w:rPr>
      </w:pPr>
      <w:r>
        <w:rPr>
          <w:rFonts w:cs="Times New Roman"/>
          <w:vertAlign w:val="superscript"/>
        </w:rPr>
        <w:footnoteRef/>
      </w:r>
      <w:r w:rsidRPr="00135B0D">
        <w:rPr>
          <w:rFonts w:cs="Times New Roman"/>
        </w:rPr>
        <w:t xml:space="preserve"> Corte Constitucional, sentencia C-551 de 2019. </w:t>
      </w:r>
    </w:p>
  </w:footnote>
  <w:footnote w:id="59">
    <w:p w14:paraId="24924808" w14:textId="77777777" w:rsidR="00630EDF" w:rsidRPr="00951917" w:rsidRDefault="00630EDF" w:rsidP="00630EDF">
      <w:pPr>
        <w:pStyle w:val="Textonotapie"/>
        <w:ind w:left="0" w:right="0" w:firstLine="0"/>
        <w:rPr>
          <w:rFonts w:cs="Times New Roman"/>
          <w:color w:val="auto"/>
        </w:rPr>
      </w:pPr>
      <w:r>
        <w:rPr>
          <w:rFonts w:cs="Times New Roman"/>
          <w:vertAlign w:val="superscript"/>
        </w:rPr>
        <w:footnoteRef/>
      </w:r>
      <w:r w:rsidRPr="00951917">
        <w:rPr>
          <w:rFonts w:cs="Times New Roman"/>
        </w:rPr>
        <w:t xml:space="preserve"> Corte Constitucional, sentencia C-1052 de 2001.</w:t>
      </w:r>
    </w:p>
  </w:footnote>
  <w:footnote w:id="60">
    <w:p w14:paraId="1AE214FA" w14:textId="77777777" w:rsidR="00630EDF" w:rsidRPr="00951917" w:rsidRDefault="00630EDF" w:rsidP="00630EDF">
      <w:pPr>
        <w:pStyle w:val="Textonotapie"/>
        <w:ind w:left="0" w:right="0" w:firstLine="0"/>
        <w:rPr>
          <w:rFonts w:cs="Times New Roman"/>
          <w:color w:val="auto"/>
        </w:rPr>
      </w:pPr>
      <w:r>
        <w:rPr>
          <w:rFonts w:cs="Times New Roman"/>
          <w:vertAlign w:val="superscript"/>
        </w:rPr>
        <w:footnoteRef/>
      </w:r>
      <w:r w:rsidRPr="00951917">
        <w:rPr>
          <w:rFonts w:cs="Times New Roman"/>
        </w:rPr>
        <w:t xml:space="preserve"> Corte Constitucional, sentencia C-1052 de 2001, reiterada en las sentencias C-247 de 2017, C-002 de 2018, C-087 de 2018 y C-221 de 2019.</w:t>
      </w:r>
    </w:p>
  </w:footnote>
  <w:footnote w:id="61">
    <w:p w14:paraId="6E4B8BE4" w14:textId="77777777" w:rsidR="00630EDF" w:rsidRDefault="00630EDF" w:rsidP="00630EDF">
      <w:pPr>
        <w:pStyle w:val="Textonotapie"/>
        <w:ind w:left="0" w:right="0" w:firstLine="0"/>
        <w:rPr>
          <w:rFonts w:cs="Times New Roman"/>
          <w:color w:val="auto"/>
        </w:rPr>
      </w:pPr>
      <w:r>
        <w:rPr>
          <w:rFonts w:cs="Times New Roman"/>
          <w:vertAlign w:val="superscript"/>
        </w:rPr>
        <w:footnoteRef/>
      </w:r>
      <w:r>
        <w:rPr>
          <w:rFonts w:cs="Times New Roman"/>
        </w:rPr>
        <w:t xml:space="preserve"> Ib.</w:t>
      </w:r>
    </w:p>
  </w:footnote>
  <w:footnote w:id="62">
    <w:p w14:paraId="63429832" w14:textId="77777777" w:rsidR="00630EDF" w:rsidRDefault="00630EDF" w:rsidP="00630EDF">
      <w:pPr>
        <w:pStyle w:val="Textonotapie"/>
        <w:ind w:left="0" w:right="0" w:firstLine="0"/>
        <w:rPr>
          <w:rFonts w:cs="Times New Roman"/>
          <w:color w:val="auto"/>
        </w:rPr>
      </w:pPr>
      <w:r>
        <w:rPr>
          <w:rFonts w:cs="Times New Roman"/>
          <w:vertAlign w:val="superscript"/>
        </w:rPr>
        <w:footnoteRef/>
      </w:r>
      <w:r>
        <w:rPr>
          <w:rFonts w:cs="Times New Roman"/>
        </w:rPr>
        <w:t xml:space="preserve"> Ib. </w:t>
      </w:r>
    </w:p>
  </w:footnote>
  <w:footnote w:id="63">
    <w:p w14:paraId="0CD5A570" w14:textId="0BFD5E8B" w:rsidR="00630EDF" w:rsidRDefault="00630EDF" w:rsidP="00630EDF">
      <w:pPr>
        <w:pStyle w:val="Textonotapie"/>
        <w:ind w:left="0" w:right="0" w:firstLine="0"/>
        <w:rPr>
          <w:rFonts w:cs="Times New Roman"/>
          <w:color w:val="auto"/>
        </w:rPr>
      </w:pPr>
      <w:r>
        <w:rPr>
          <w:rFonts w:cs="Times New Roman"/>
          <w:vertAlign w:val="superscript"/>
        </w:rPr>
        <w:footnoteRef/>
      </w:r>
      <w:r>
        <w:rPr>
          <w:rFonts w:cs="Times New Roman"/>
        </w:rPr>
        <w:t xml:space="preserve"> Corte Constitucional, sentencia C-1052 de 2001, reiterada en las sentencias C-247 de 2017, C-002 de 2018, C-087 de 2018 y C-221 de 2019.</w:t>
      </w:r>
    </w:p>
  </w:footnote>
  <w:footnote w:id="64">
    <w:p w14:paraId="7B38630B" w14:textId="77777777" w:rsidR="00630EDF" w:rsidRDefault="00630EDF" w:rsidP="00630EDF">
      <w:pPr>
        <w:pStyle w:val="Textonotapie"/>
        <w:ind w:left="0" w:right="0" w:firstLine="0"/>
        <w:rPr>
          <w:rFonts w:cs="Times New Roman"/>
          <w:color w:val="auto"/>
        </w:rPr>
      </w:pPr>
      <w:r>
        <w:rPr>
          <w:rFonts w:cs="Times New Roman"/>
          <w:vertAlign w:val="superscript"/>
        </w:rPr>
        <w:footnoteRef/>
      </w:r>
      <w:r>
        <w:rPr>
          <w:rFonts w:cs="Times New Roman"/>
        </w:rPr>
        <w:t xml:space="preserve"> Ibid.</w:t>
      </w:r>
    </w:p>
  </w:footnote>
  <w:footnote w:id="65">
    <w:p w14:paraId="3D3CA764" w14:textId="77777777" w:rsidR="00630EDF" w:rsidRDefault="00630EDF" w:rsidP="00630EDF">
      <w:pPr>
        <w:pStyle w:val="Textonotapie"/>
        <w:ind w:left="0" w:right="0" w:firstLine="0"/>
        <w:rPr>
          <w:rFonts w:cs="Times New Roman"/>
          <w:color w:val="auto"/>
        </w:rPr>
      </w:pPr>
      <w:r>
        <w:rPr>
          <w:rFonts w:cs="Times New Roman"/>
          <w:vertAlign w:val="superscript"/>
        </w:rPr>
        <w:footnoteRef/>
      </w:r>
      <w:r>
        <w:rPr>
          <w:rFonts w:cs="Times New Roman"/>
        </w:rPr>
        <w:t xml:space="preserve"> Corte Constitucional, sentencia C-551 de 2019. </w:t>
      </w:r>
    </w:p>
  </w:footnote>
  <w:footnote w:id="66">
    <w:p w14:paraId="5AEE6DAF" w14:textId="023E6596" w:rsidR="00630EDF" w:rsidRDefault="00630EDF" w:rsidP="00630EDF">
      <w:pPr>
        <w:pStyle w:val="Textonotapie"/>
        <w:rPr>
          <w:rFonts w:cs="Times New Roman"/>
          <w:lang w:val="es-ES_tradnl"/>
        </w:rPr>
      </w:pPr>
      <w:r>
        <w:rPr>
          <w:rStyle w:val="Refdenotaalpie"/>
          <w:rFonts w:cs="Times New Roman"/>
          <w:lang w:val="es-ES_tradnl"/>
        </w:rPr>
        <w:footnoteRef/>
      </w:r>
      <w:r w:rsidRPr="00135B0D">
        <w:rPr>
          <w:rFonts w:cs="Times New Roman"/>
        </w:rPr>
        <w:t xml:space="preserve"> Corte Constitucional, sentencia C-102 de 2025. </w:t>
      </w:r>
      <w:r>
        <w:rPr>
          <w:rFonts w:cs="Times New Roman"/>
          <w:lang w:val="es-ES_tradnl"/>
        </w:rPr>
        <w:t xml:space="preserve">Ver también, </w:t>
      </w:r>
      <w:r w:rsidR="00B209ED">
        <w:rPr>
          <w:rFonts w:cs="Times New Roman"/>
          <w:lang w:val="es-ES_tradnl"/>
        </w:rPr>
        <w:t>s</w:t>
      </w:r>
      <w:r>
        <w:rPr>
          <w:rFonts w:cs="Times New Roman"/>
          <w:lang w:val="es-ES_tradnl"/>
        </w:rPr>
        <w:t>entencias C-121 de 2018 y C-188 de 2019.</w:t>
      </w:r>
    </w:p>
  </w:footnote>
  <w:footnote w:id="67">
    <w:p w14:paraId="07F2C1EC" w14:textId="77777777" w:rsidR="00630EDF" w:rsidRDefault="00630EDF" w:rsidP="00630EDF">
      <w:pPr>
        <w:pStyle w:val="Textonotapie"/>
        <w:rPr>
          <w:lang w:val="es-MX"/>
        </w:rPr>
      </w:pPr>
      <w:r>
        <w:rPr>
          <w:rStyle w:val="Refdenotaalpie"/>
        </w:rPr>
        <w:footnoteRef/>
      </w:r>
      <w:r>
        <w:t xml:space="preserve"> </w:t>
      </w:r>
      <w:r>
        <w:rPr>
          <w:lang w:val="es-ES_tradnl"/>
        </w:rPr>
        <w:t xml:space="preserve">Corte Constitucional, sentencia C-102 de 2025. </w:t>
      </w:r>
    </w:p>
  </w:footnote>
  <w:footnote w:id="68">
    <w:p w14:paraId="07062B11" w14:textId="77777777" w:rsidR="00630EDF" w:rsidRDefault="00630EDF" w:rsidP="00AA2324">
      <w:pPr>
        <w:pStyle w:val="Textonotapie"/>
        <w:ind w:left="0" w:firstLine="0"/>
        <w:rPr>
          <w:lang w:val="es-MX"/>
        </w:rPr>
      </w:pPr>
      <w:r>
        <w:rPr>
          <w:rStyle w:val="Refdenotaalpie"/>
        </w:rPr>
        <w:footnoteRef/>
      </w:r>
      <w:r>
        <w:t xml:space="preserve"> </w:t>
      </w:r>
      <w:r>
        <w:rPr>
          <w:lang w:val="es-MX"/>
        </w:rPr>
        <w:t xml:space="preserve">Corte Constitucional, sentencias C-102 de 2025, C-137 de 2024, C-114 de 2024 y C-166 de 2023, entre muchas otras.   </w:t>
      </w:r>
    </w:p>
  </w:footnote>
  <w:footnote w:id="69">
    <w:p w14:paraId="17A9E865" w14:textId="77777777" w:rsidR="004432B4" w:rsidRDefault="004432B4" w:rsidP="004432B4">
      <w:pPr>
        <w:pStyle w:val="Textonotapie"/>
        <w:rPr>
          <w:lang w:val="pt-PT"/>
        </w:rPr>
      </w:pPr>
      <w:r>
        <w:rPr>
          <w:rStyle w:val="Refdenotaalpie"/>
        </w:rPr>
        <w:footnoteRef/>
      </w:r>
      <w:r>
        <w:rPr>
          <w:lang w:val="pt-PT"/>
        </w:rPr>
        <w:t xml:space="preserve"> Corte Constitucional, sentencia C-122 de 2020. </w:t>
      </w:r>
    </w:p>
  </w:footnote>
  <w:footnote w:id="70">
    <w:p w14:paraId="5A8953DD" w14:textId="77777777" w:rsidR="00630EDF" w:rsidRDefault="00630EDF" w:rsidP="00630EDF">
      <w:pPr>
        <w:pStyle w:val="Textonotapie"/>
        <w:rPr>
          <w:lang w:val="es-MX"/>
        </w:rPr>
      </w:pPr>
      <w:r>
        <w:rPr>
          <w:rStyle w:val="Refdenotaalpie"/>
        </w:rPr>
        <w:footnoteRef/>
      </w:r>
      <w:r>
        <w:rPr>
          <w:lang w:val="pt-PT"/>
        </w:rPr>
        <w:t xml:space="preserve"> Corte Constitucional, sentencia C-191 de 2019. </w:t>
      </w:r>
      <w:r>
        <w:rPr>
          <w:lang w:val="es-MX"/>
        </w:rPr>
        <w:t xml:space="preserve">Ver también, sentencia C-166 de 2023. </w:t>
      </w:r>
    </w:p>
  </w:footnote>
  <w:footnote w:id="71">
    <w:p w14:paraId="43FD391C" w14:textId="77777777" w:rsidR="00C67ABD" w:rsidRDefault="00C67ABD" w:rsidP="00C67ABD">
      <w:pPr>
        <w:pStyle w:val="Textonotapie"/>
      </w:pPr>
      <w:r>
        <w:rPr>
          <w:rStyle w:val="Refdenotaalpie"/>
        </w:rPr>
        <w:footnoteRef/>
      </w:r>
      <w:r>
        <w:t xml:space="preserve"> Expediente D-16867, demanda, p. 5.</w:t>
      </w:r>
    </w:p>
  </w:footnote>
  <w:footnote w:id="72">
    <w:p w14:paraId="3B85D02C" w14:textId="77777777" w:rsidR="004E5375" w:rsidRPr="00951917" w:rsidRDefault="004E5375" w:rsidP="004E5375">
      <w:pPr>
        <w:pStyle w:val="Textonotapie"/>
        <w:rPr>
          <w:lang w:val="es-MX"/>
        </w:rPr>
      </w:pPr>
      <w:r>
        <w:rPr>
          <w:rStyle w:val="Refdenotaalpie"/>
        </w:rPr>
        <w:footnoteRef/>
      </w:r>
      <w:r w:rsidRPr="00951917">
        <w:rPr>
          <w:lang w:val="es-MX"/>
        </w:rPr>
        <w:t xml:space="preserve"> Ib., demanda, p. 22.</w:t>
      </w:r>
    </w:p>
  </w:footnote>
  <w:footnote w:id="73">
    <w:p w14:paraId="29F6E679" w14:textId="709EF86E" w:rsidR="00970954" w:rsidRPr="00970954" w:rsidRDefault="00970954">
      <w:pPr>
        <w:pStyle w:val="Textonotapie"/>
        <w:rPr>
          <w:lang w:val="es-MX"/>
        </w:rPr>
      </w:pPr>
      <w:r>
        <w:rPr>
          <w:rStyle w:val="Refdenotaalpie"/>
        </w:rPr>
        <w:footnoteRef/>
      </w:r>
      <w:r>
        <w:t xml:space="preserve"> </w:t>
      </w:r>
      <w:r>
        <w:rPr>
          <w:lang w:val="es-MX"/>
        </w:rPr>
        <w:t xml:space="preserve">Ib., pág. 8. </w:t>
      </w:r>
    </w:p>
  </w:footnote>
  <w:footnote w:id="74">
    <w:p w14:paraId="40AE7C73" w14:textId="0111DA13" w:rsidR="00631A64" w:rsidRPr="00951917" w:rsidRDefault="00631A64">
      <w:pPr>
        <w:pStyle w:val="Textonotapie"/>
        <w:rPr>
          <w:lang w:val="es-MX"/>
        </w:rPr>
      </w:pPr>
      <w:r>
        <w:rPr>
          <w:rStyle w:val="Refdenotaalpie"/>
        </w:rPr>
        <w:footnoteRef/>
      </w:r>
      <w:r w:rsidRPr="00951917">
        <w:rPr>
          <w:lang w:val="es-MX"/>
        </w:rPr>
        <w:t xml:space="preserve"> Corte Constitucional, Sentencia C-189 de 2017.</w:t>
      </w:r>
    </w:p>
  </w:footnote>
  <w:footnote w:id="75">
    <w:p w14:paraId="710D0D3E" w14:textId="77777777" w:rsidR="00A61B4A" w:rsidRPr="00951917" w:rsidRDefault="00A61B4A" w:rsidP="00A61B4A">
      <w:pPr>
        <w:pStyle w:val="Textonotapie"/>
        <w:rPr>
          <w:lang w:val="es-MX"/>
        </w:rPr>
      </w:pPr>
      <w:r>
        <w:rPr>
          <w:rStyle w:val="Refdenotaalpie"/>
        </w:rPr>
        <w:footnoteRef/>
      </w:r>
      <w:r w:rsidRPr="00951917">
        <w:rPr>
          <w:lang w:val="es-MX"/>
        </w:rPr>
        <w:t xml:space="preserve"> Corte Constitucional, sentencia C-122 de 2020. </w:t>
      </w:r>
    </w:p>
  </w:footnote>
  <w:footnote w:id="76">
    <w:p w14:paraId="7B02FF9F" w14:textId="4A157153" w:rsidR="00645384" w:rsidRDefault="00645384" w:rsidP="00F948DC">
      <w:pPr>
        <w:pStyle w:val="Textonotapie"/>
        <w:ind w:left="142" w:hanging="142"/>
      </w:pPr>
      <w:r>
        <w:rPr>
          <w:rStyle w:val="Refdenotaalpie"/>
        </w:rPr>
        <w:footnoteRef/>
      </w:r>
      <w:r>
        <w:t xml:space="preserve"> Sala de Casación Penal de la Corte Suprema de Justicia, providencias SP</w:t>
      </w:r>
      <w:r w:rsidRPr="00B26D02">
        <w:t>13300</w:t>
      </w:r>
      <w:r>
        <w:t xml:space="preserve"> de </w:t>
      </w:r>
      <w:r w:rsidRPr="00B26D02">
        <w:t>2017</w:t>
      </w:r>
      <w:r>
        <w:t xml:space="preserve"> y </w:t>
      </w:r>
      <w:r w:rsidRPr="00B26D02">
        <w:t>AP4461</w:t>
      </w:r>
      <w:r>
        <w:t xml:space="preserve"> de </w:t>
      </w:r>
      <w:r w:rsidRPr="00B26D02">
        <w:t>2019</w:t>
      </w:r>
      <w:r>
        <w:t xml:space="preserve">. </w:t>
      </w:r>
      <w:r w:rsidR="00F948DC" w:rsidRPr="00F948DC">
        <w:t>En concreto, en el auto AP4461 de 2019, la Sala de Casación Penal de la Corte Suprema de Justicia precisó que “el incidente de reparación integral se tramita según las formalidades de que tratan los artículos 102 a 108 de la Ley 906 de 2004 y, en lo no previsto en ellos, en virtud del principio de integración consagrado en su artículo 25, se debe acudir al Código General del Proceso”.</w:t>
      </w:r>
    </w:p>
  </w:footnote>
  <w:footnote w:id="77">
    <w:p w14:paraId="3E19B337" w14:textId="43D82C30" w:rsidR="00B26D02" w:rsidRDefault="00B26D02">
      <w:pPr>
        <w:pStyle w:val="Textonotapie"/>
      </w:pPr>
      <w:r>
        <w:rPr>
          <w:rStyle w:val="Refdenotaalpie"/>
        </w:rPr>
        <w:footnoteRef/>
      </w:r>
      <w:r>
        <w:t xml:space="preserve"> Expediente D-16867, demanda, p. 8.</w:t>
      </w:r>
    </w:p>
  </w:footnote>
  <w:footnote w:id="78">
    <w:p w14:paraId="40BBDB1B" w14:textId="2A639395" w:rsidR="00F83C35" w:rsidRDefault="00F83C35">
      <w:pPr>
        <w:pStyle w:val="Textonotapie"/>
      </w:pPr>
      <w:r w:rsidRPr="00F83C35">
        <w:rPr>
          <w:rStyle w:val="Refdenotaalpie"/>
        </w:rPr>
        <w:footnoteRef/>
      </w:r>
      <w:r w:rsidRPr="00F83C35">
        <w:t xml:space="preserve"> Concepto del Procurador General de la Nación, pp. 20-21 y 24.</w:t>
      </w:r>
    </w:p>
  </w:footnote>
  <w:footnote w:id="79">
    <w:p w14:paraId="2A958053" w14:textId="3310B7BD" w:rsidR="008E05F2" w:rsidRDefault="008E05F2">
      <w:pPr>
        <w:pStyle w:val="Textonotapie"/>
      </w:pPr>
      <w:r>
        <w:rPr>
          <w:rStyle w:val="Refdenotaalpie"/>
        </w:rPr>
        <w:footnoteRef/>
      </w:r>
      <w:r>
        <w:t xml:space="preserve"> </w:t>
      </w:r>
      <w:r w:rsidRPr="008E05F2">
        <w:t>Intervención Ministerio de Justicia, pp. 7 y 11</w:t>
      </w:r>
      <w:r>
        <w:t>.</w:t>
      </w:r>
    </w:p>
  </w:footnote>
  <w:footnote w:id="80">
    <w:p w14:paraId="0A28D598" w14:textId="609CAA0F" w:rsidR="008E05F2" w:rsidRDefault="008E05F2">
      <w:pPr>
        <w:pStyle w:val="Textonotapie"/>
      </w:pPr>
      <w:r>
        <w:rPr>
          <w:rStyle w:val="Refdenotaalpie"/>
        </w:rPr>
        <w:footnoteRef/>
      </w:r>
      <w:r>
        <w:t xml:space="preserve"> </w:t>
      </w:r>
      <w:r w:rsidRPr="008E05F2">
        <w:t>Intervención UPB, pp. 1-2</w:t>
      </w:r>
      <w:r>
        <w:t>.</w:t>
      </w:r>
    </w:p>
  </w:footnote>
  <w:footnote w:id="81">
    <w:p w14:paraId="5CA85E94" w14:textId="20E14D0E" w:rsidR="00F83C35" w:rsidRDefault="00F83C35">
      <w:pPr>
        <w:pStyle w:val="Textonotapie"/>
      </w:pPr>
      <w:r>
        <w:rPr>
          <w:rStyle w:val="Refdenotaalpie"/>
        </w:rPr>
        <w:footnoteRef/>
      </w:r>
      <w:r>
        <w:t xml:space="preserve"> I</w:t>
      </w:r>
      <w:r w:rsidRPr="00F83C35">
        <w:t>ntervención</w:t>
      </w:r>
      <w:r>
        <w:t xml:space="preserve"> Universidad</w:t>
      </w:r>
      <w:r w:rsidRPr="00F83C35">
        <w:t xml:space="preserve"> Externado</w:t>
      </w:r>
      <w:r>
        <w:t xml:space="preserve"> de Colombia</w:t>
      </w:r>
      <w:r w:rsidRPr="00F83C35">
        <w:t>, pp. 1-2</w:t>
      </w:r>
    </w:p>
  </w:footnote>
  <w:footnote w:id="82">
    <w:p w14:paraId="5253A47F" w14:textId="77777777" w:rsidR="00F36AB2" w:rsidRPr="009914E9" w:rsidRDefault="00CF2E90" w:rsidP="00F36AB2">
      <w:pPr>
        <w:pStyle w:val="Textonotapie"/>
      </w:pPr>
      <w:r>
        <w:rPr>
          <w:rStyle w:val="Refdenotaalpie"/>
        </w:rPr>
        <w:footnoteRef/>
      </w:r>
      <w:r>
        <w:t xml:space="preserve"> Expediente digital 16</w:t>
      </w:r>
      <w:r>
        <w:t xml:space="preserve">867, Intervención Fundación Jurídica Proyecto Inocencia, Disponible: </w:t>
      </w:r>
      <w:hyperlink r:id="rId2" w:history="1">
        <w:r w:rsidRPr="00A540E7">
          <w:rPr>
            <w:rStyle w:val="Hipervnculo"/>
          </w:rPr>
          <w:t>https://www.corteconstitucional.gov.co/secretaria/archivo.php?id=124855</w:t>
        </w:r>
      </w:hyperlink>
      <w:r>
        <w:t xml:space="preserve"> </w:t>
      </w:r>
    </w:p>
  </w:footnote>
  <w:footnote w:id="83">
    <w:p w14:paraId="6DDA7646" w14:textId="77777777" w:rsidR="00F36AB2" w:rsidRDefault="00CF2E90" w:rsidP="00F36AB2">
      <w:pPr>
        <w:pStyle w:val="Textonotapie"/>
      </w:pPr>
      <w:r>
        <w:rPr>
          <w:rStyle w:val="Refdenotaalpie"/>
        </w:rPr>
        <w:footnoteRef/>
      </w:r>
      <w:r>
        <w:t xml:space="preserve"> Ib., p. 2. </w:t>
      </w:r>
    </w:p>
  </w:footnote>
  <w:footnote w:id="84">
    <w:p w14:paraId="70F848F9" w14:textId="77777777" w:rsidR="00F36AB2" w:rsidRDefault="00CF2E90" w:rsidP="00F36AB2">
      <w:pPr>
        <w:pStyle w:val="Textonotapie"/>
      </w:pPr>
      <w:r>
        <w:rPr>
          <w:rStyle w:val="Refdenotaalpie"/>
        </w:rPr>
        <w:footnoteRef/>
      </w:r>
      <w:r>
        <w:t xml:space="preserve"> Ib. </w:t>
      </w:r>
    </w:p>
  </w:footnote>
  <w:footnote w:id="85">
    <w:p w14:paraId="001467E1" w14:textId="77777777" w:rsidR="00F36AB2" w:rsidRDefault="00CF2E90" w:rsidP="00F36AB2">
      <w:pPr>
        <w:pStyle w:val="Textonotapie"/>
      </w:pPr>
      <w:r>
        <w:rPr>
          <w:rStyle w:val="Refdenotaalpie"/>
        </w:rPr>
        <w:footnoteRef/>
      </w:r>
      <w:r>
        <w:t xml:space="preserve"> Ib.</w:t>
      </w:r>
      <w:r>
        <w:t xml:space="preserve"> </w:t>
      </w:r>
    </w:p>
  </w:footnote>
  <w:footnote w:id="86">
    <w:p w14:paraId="29E1DA1D" w14:textId="77777777" w:rsidR="00F36AB2" w:rsidRDefault="00CF2E90" w:rsidP="00F36AB2">
      <w:pPr>
        <w:pStyle w:val="Textonotapie"/>
      </w:pPr>
      <w:r>
        <w:rPr>
          <w:rStyle w:val="Refdenotaalpie"/>
        </w:rPr>
        <w:footnoteRef/>
      </w:r>
      <w:r>
        <w:t xml:space="preserve"> Ib. </w:t>
      </w:r>
    </w:p>
  </w:footnote>
  <w:footnote w:id="87">
    <w:p w14:paraId="587946ED" w14:textId="77777777" w:rsidR="00F36AB2" w:rsidRDefault="00CF2E90" w:rsidP="00F36AB2">
      <w:pPr>
        <w:pStyle w:val="Textonotapie"/>
      </w:pPr>
      <w:r>
        <w:rPr>
          <w:rStyle w:val="Refdenotaalpie"/>
        </w:rPr>
        <w:footnoteRef/>
      </w:r>
      <w:r>
        <w:t xml:space="preserve"> Ib., p. 3.</w:t>
      </w:r>
    </w:p>
  </w:footnote>
  <w:footnote w:id="88">
    <w:p w14:paraId="3FA2E902" w14:textId="77777777" w:rsidR="00F36AB2" w:rsidRPr="00A51B3D" w:rsidRDefault="00CF2E90" w:rsidP="00F36AB2">
      <w:pPr>
        <w:pStyle w:val="Textonotapie"/>
      </w:pPr>
      <w:r w:rsidRPr="00A51B3D">
        <w:rPr>
          <w:rStyle w:val="Refdenotaalpie"/>
        </w:rPr>
        <w:footnoteRef/>
      </w:r>
      <w:r w:rsidRPr="00A51B3D">
        <w:t xml:space="preserve"> </w:t>
      </w:r>
      <w:r>
        <w:t xml:space="preserve">Expediente digital 16867, Intervención Colegio de Abogados Penalistas, Disponible en: </w:t>
      </w:r>
      <w:hyperlink r:id="rId3" w:history="1">
        <w:r w:rsidRPr="00A540E7">
          <w:rPr>
            <w:rStyle w:val="Hipervnculo"/>
          </w:rPr>
          <w:t>https://www.corteconstitucional.gov.co/secretaria/archivo.php?id=124692</w:t>
        </w:r>
      </w:hyperlink>
      <w:r>
        <w:t xml:space="preserve"> </w:t>
      </w:r>
    </w:p>
  </w:footnote>
  <w:footnote w:id="89">
    <w:p w14:paraId="67D1D5AE" w14:textId="77777777" w:rsidR="00F36AB2" w:rsidRPr="00316048" w:rsidRDefault="00CF2E90" w:rsidP="00F36AB2">
      <w:pPr>
        <w:pStyle w:val="Textonotapie"/>
      </w:pPr>
      <w:r>
        <w:rPr>
          <w:rStyle w:val="Refdenotaalpie"/>
        </w:rPr>
        <w:footnoteRef/>
      </w:r>
      <w:r>
        <w:t xml:space="preserve"> Expediente digital 16867, Intervención Universidad Externado de Colombia, Disponible en: </w:t>
      </w:r>
      <w:hyperlink r:id="rId4" w:history="1">
        <w:r w:rsidRPr="00A540E7">
          <w:rPr>
            <w:rStyle w:val="Hipervnculo"/>
          </w:rPr>
          <w:t>http</w:t>
        </w:r>
        <w:r w:rsidRPr="00A540E7">
          <w:rPr>
            <w:rStyle w:val="Hipervnculo"/>
          </w:rPr>
          <w:t>s://www.corteconstitucional.gov.co/secretaria/archivo.php?id=125280</w:t>
        </w:r>
      </w:hyperlink>
      <w:r>
        <w:t xml:space="preserve"> </w:t>
      </w:r>
    </w:p>
  </w:footnote>
  <w:footnote w:id="90">
    <w:p w14:paraId="1CF469E5" w14:textId="77777777" w:rsidR="00F36AB2" w:rsidRDefault="00CF2E90" w:rsidP="00F36AB2">
      <w:pPr>
        <w:pStyle w:val="Textonotapie"/>
      </w:pPr>
      <w:r>
        <w:rPr>
          <w:rStyle w:val="Refdenotaalpie"/>
        </w:rPr>
        <w:footnoteRef/>
      </w:r>
      <w:r>
        <w:t xml:space="preserve"> Ib. </w:t>
      </w:r>
    </w:p>
  </w:footnote>
  <w:footnote w:id="91">
    <w:p w14:paraId="678F2E9C" w14:textId="77777777" w:rsidR="00F36AB2" w:rsidRDefault="00CF2E90" w:rsidP="00F36AB2">
      <w:pPr>
        <w:pStyle w:val="Textonotapie"/>
      </w:pPr>
      <w:r>
        <w:rPr>
          <w:rStyle w:val="Refdenotaalpie"/>
        </w:rPr>
        <w:footnoteRef/>
      </w:r>
      <w:r>
        <w:t xml:space="preserve"> Ib., p. 5.</w:t>
      </w:r>
    </w:p>
  </w:footnote>
  <w:footnote w:id="92">
    <w:p w14:paraId="7AFC0E41" w14:textId="77777777" w:rsidR="00F36AB2" w:rsidRDefault="00CF2E90" w:rsidP="00F36AB2">
      <w:pPr>
        <w:pStyle w:val="Textonotapie"/>
      </w:pPr>
      <w:r>
        <w:rPr>
          <w:rStyle w:val="Refdenotaalpie"/>
        </w:rPr>
        <w:footnoteRef/>
      </w:r>
      <w:r>
        <w:t xml:space="preserve"> Ib., </w:t>
      </w:r>
      <w:r w:rsidRPr="00900D6F">
        <w:t>pp. 7</w:t>
      </w:r>
      <w:r>
        <w:t>-</w:t>
      </w:r>
      <w:r w:rsidRPr="00900D6F">
        <w:t>8 y 18-19</w:t>
      </w:r>
      <w:r>
        <w:t>.</w:t>
      </w:r>
    </w:p>
  </w:footnote>
  <w:footnote w:id="93">
    <w:p w14:paraId="0E538688" w14:textId="77777777" w:rsidR="00F36AB2" w:rsidRDefault="00CF2E90" w:rsidP="00F36AB2">
      <w:pPr>
        <w:pStyle w:val="Textonotapie"/>
      </w:pPr>
      <w:r>
        <w:rPr>
          <w:rStyle w:val="Refdenotaalpie"/>
        </w:rPr>
        <w:footnoteRef/>
      </w:r>
      <w:r>
        <w:t xml:space="preserve"> Ib., </w:t>
      </w:r>
      <w:r w:rsidRPr="00900D6F">
        <w:t>p.</w:t>
      </w:r>
      <w:r>
        <w:t xml:space="preserve"> 22.</w:t>
      </w:r>
    </w:p>
  </w:footnote>
  <w:footnote w:id="94">
    <w:p w14:paraId="355CC608" w14:textId="77777777" w:rsidR="00F36AB2" w:rsidRPr="00F26FE1" w:rsidRDefault="00CF2E90" w:rsidP="00F36AB2">
      <w:pPr>
        <w:pStyle w:val="Textonotapie"/>
      </w:pPr>
      <w:r>
        <w:rPr>
          <w:rStyle w:val="Refdenotaalpie"/>
        </w:rPr>
        <w:footnoteRef/>
      </w:r>
      <w:r>
        <w:t xml:space="preserve"> Expediente digital 16867, Intervención de la Academia Colombiana de Jurisprudencia, </w:t>
      </w:r>
      <w:r w:rsidRPr="00F26FE1">
        <w:t xml:space="preserve">Disponible en </w:t>
      </w:r>
      <w:hyperlink r:id="rId5" w:history="1">
        <w:r w:rsidRPr="00A540E7">
          <w:rPr>
            <w:rStyle w:val="Hipervnculo"/>
          </w:rPr>
          <w:t>https://www.corteconstitucional.gov.co/secretaria/archivo.php?id=125601</w:t>
        </w:r>
      </w:hyperlink>
      <w:r>
        <w:t xml:space="preserve"> </w:t>
      </w:r>
    </w:p>
  </w:footnote>
  <w:footnote w:id="95">
    <w:p w14:paraId="4325E458" w14:textId="77777777" w:rsidR="00F36AB2" w:rsidRDefault="00CF2E90" w:rsidP="00F36AB2">
      <w:pPr>
        <w:pStyle w:val="Textonotapie"/>
      </w:pPr>
      <w:r>
        <w:rPr>
          <w:rStyle w:val="Refdenotaalpie"/>
        </w:rPr>
        <w:footnoteRef/>
      </w:r>
      <w:r>
        <w:t xml:space="preserve"> Ib., </w:t>
      </w:r>
      <w:r w:rsidRPr="00900D6F">
        <w:t>p.</w:t>
      </w:r>
      <w:r>
        <w:t xml:space="preserve"> </w:t>
      </w:r>
      <w:r w:rsidRPr="00900D6F">
        <w:t>1</w:t>
      </w:r>
      <w:r>
        <w:t>1.</w:t>
      </w:r>
    </w:p>
  </w:footnote>
  <w:footnote w:id="96">
    <w:p w14:paraId="1FB5C9BB" w14:textId="77777777" w:rsidR="00F36AB2" w:rsidRDefault="00CF2E90" w:rsidP="00F36AB2">
      <w:pPr>
        <w:pStyle w:val="Textonotapie"/>
      </w:pPr>
      <w:r>
        <w:rPr>
          <w:rStyle w:val="Refdenotaalpie"/>
        </w:rPr>
        <w:footnoteRef/>
      </w:r>
      <w:r>
        <w:t xml:space="preserve"> Ib., </w:t>
      </w:r>
      <w:r w:rsidRPr="00900D6F">
        <w:t>p.</w:t>
      </w:r>
      <w:r>
        <w:t xml:space="preserve"> 7.</w:t>
      </w:r>
    </w:p>
  </w:footnote>
  <w:footnote w:id="97">
    <w:p w14:paraId="1C08C288" w14:textId="77777777" w:rsidR="00F36AB2" w:rsidRDefault="00CF2E90" w:rsidP="00F36AB2">
      <w:pPr>
        <w:pStyle w:val="Textonotapie"/>
      </w:pPr>
      <w:r>
        <w:rPr>
          <w:rStyle w:val="Refdenotaalpie"/>
        </w:rPr>
        <w:footnoteRef/>
      </w:r>
      <w:r>
        <w:t xml:space="preserve"> Ib.</w:t>
      </w:r>
    </w:p>
  </w:footnote>
  <w:footnote w:id="98">
    <w:p w14:paraId="171BACB5" w14:textId="77777777" w:rsidR="00F36AB2" w:rsidRDefault="00CF2E90" w:rsidP="00F36AB2">
      <w:pPr>
        <w:pStyle w:val="Textonotapie"/>
      </w:pPr>
      <w:r>
        <w:rPr>
          <w:rStyle w:val="Refdenotaalpie"/>
        </w:rPr>
        <w:footnoteRef/>
      </w:r>
      <w:r>
        <w:t xml:space="preserve"> Ib., </w:t>
      </w:r>
      <w:r w:rsidRPr="00900D6F">
        <w:t>p.</w:t>
      </w:r>
      <w:r>
        <w:t xml:space="preserve"> 9.</w:t>
      </w:r>
    </w:p>
  </w:footnote>
  <w:footnote w:id="99">
    <w:p w14:paraId="1BBD524E" w14:textId="77777777" w:rsidR="00F36AB2" w:rsidRDefault="00CF2E90" w:rsidP="00F36AB2">
      <w:pPr>
        <w:pStyle w:val="Textonotapie"/>
      </w:pPr>
      <w:r>
        <w:rPr>
          <w:rStyle w:val="Refdenotaalpie"/>
        </w:rPr>
        <w:footnoteRef/>
      </w:r>
      <w:r>
        <w:t xml:space="preserve"> Ib. </w:t>
      </w:r>
    </w:p>
  </w:footnote>
  <w:footnote w:id="100">
    <w:p w14:paraId="490B36CE" w14:textId="77777777" w:rsidR="00F36AB2" w:rsidRPr="00F1073E" w:rsidRDefault="00CF2E90" w:rsidP="00F36AB2">
      <w:pPr>
        <w:pStyle w:val="Textonotapie"/>
      </w:pPr>
      <w:r>
        <w:rPr>
          <w:rStyle w:val="Refdenotaalpie"/>
        </w:rPr>
        <w:footnoteRef/>
      </w:r>
      <w:r>
        <w:t xml:space="preserve"> Expediente digital 16867, Intervención de </w:t>
      </w:r>
      <w:r>
        <w:t xml:space="preserve">la Universidad de los Andes, Disponible en </w:t>
      </w:r>
      <w:hyperlink r:id="rId6" w:history="1">
        <w:r w:rsidRPr="00A540E7">
          <w:rPr>
            <w:rStyle w:val="Hipervnculo"/>
          </w:rPr>
          <w:t>https://www.corteconstitucional.gov.co/secretaria/archivo.php?id=125829</w:t>
        </w:r>
      </w:hyperlink>
      <w:r>
        <w:t xml:space="preserve"> </w:t>
      </w:r>
    </w:p>
  </w:footnote>
  <w:footnote w:id="101">
    <w:p w14:paraId="4E4246B7" w14:textId="77777777" w:rsidR="00F36AB2" w:rsidRDefault="00CF2E90" w:rsidP="00F36AB2">
      <w:pPr>
        <w:pStyle w:val="Textonotapie"/>
      </w:pPr>
      <w:r>
        <w:rPr>
          <w:rStyle w:val="Refdenotaalpie"/>
        </w:rPr>
        <w:footnoteRef/>
      </w:r>
      <w:r>
        <w:t xml:space="preserve"> Ib., </w:t>
      </w:r>
      <w:r w:rsidRPr="00900D6F">
        <w:t>p.</w:t>
      </w:r>
      <w:r>
        <w:t xml:space="preserve"> 4.</w:t>
      </w:r>
    </w:p>
  </w:footnote>
  <w:footnote w:id="102">
    <w:p w14:paraId="5F9FB810" w14:textId="77777777" w:rsidR="00F36AB2" w:rsidRDefault="00CF2E90" w:rsidP="00F36AB2">
      <w:pPr>
        <w:pStyle w:val="Textonotapie"/>
      </w:pPr>
      <w:r>
        <w:rPr>
          <w:rStyle w:val="Refdenotaalpie"/>
        </w:rPr>
        <w:footnoteRef/>
      </w:r>
      <w:r>
        <w:t xml:space="preserve"> Ib. </w:t>
      </w:r>
    </w:p>
  </w:footnote>
  <w:footnote w:id="103">
    <w:p w14:paraId="0D6538FF" w14:textId="77777777" w:rsidR="00F36AB2" w:rsidRDefault="00CF2E90" w:rsidP="00F36AB2">
      <w:pPr>
        <w:pStyle w:val="Textonotapie"/>
      </w:pPr>
      <w:r>
        <w:rPr>
          <w:rStyle w:val="Refdenotaalpie"/>
        </w:rPr>
        <w:footnoteRef/>
      </w:r>
      <w:r>
        <w:t xml:space="preserve"> Ib. </w:t>
      </w:r>
    </w:p>
  </w:footnote>
  <w:footnote w:id="104">
    <w:p w14:paraId="7F4859C9" w14:textId="77777777" w:rsidR="00F36AB2" w:rsidRDefault="00CF2E90" w:rsidP="00F36AB2">
      <w:pPr>
        <w:pStyle w:val="Textonotapie"/>
      </w:pPr>
      <w:r>
        <w:rPr>
          <w:rStyle w:val="Refdenotaalpie"/>
        </w:rPr>
        <w:footnoteRef/>
      </w:r>
      <w:r>
        <w:t xml:space="preserve"> Ib., p. 5.</w:t>
      </w:r>
    </w:p>
  </w:footnote>
  <w:footnote w:id="105">
    <w:p w14:paraId="15A97B58" w14:textId="77777777" w:rsidR="00F36AB2" w:rsidRDefault="00CF2E90" w:rsidP="00F36AB2">
      <w:pPr>
        <w:pStyle w:val="Textonotapie"/>
      </w:pPr>
      <w:r>
        <w:rPr>
          <w:rStyle w:val="Refdenotaalpie"/>
        </w:rPr>
        <w:footnoteRef/>
      </w:r>
      <w:r>
        <w:t xml:space="preserve"> Ib., p. 6.</w:t>
      </w:r>
    </w:p>
  </w:footnote>
  <w:footnote w:id="106">
    <w:p w14:paraId="21ED943F" w14:textId="77777777" w:rsidR="00F36AB2" w:rsidRDefault="00CF2E90" w:rsidP="00F36AB2">
      <w:pPr>
        <w:pStyle w:val="Textonotapie"/>
      </w:pPr>
      <w:r>
        <w:rPr>
          <w:rStyle w:val="Refdenotaalpie"/>
        </w:rPr>
        <w:footnoteRef/>
      </w:r>
      <w:r>
        <w:t xml:space="preserve"> Ib., p. 7.</w:t>
      </w:r>
    </w:p>
  </w:footnote>
  <w:footnote w:id="107">
    <w:p w14:paraId="325CEDFC" w14:textId="77777777" w:rsidR="00F36AB2" w:rsidRDefault="00CF2E90" w:rsidP="00F36AB2">
      <w:pPr>
        <w:pStyle w:val="Textonotapie"/>
      </w:pPr>
      <w:r>
        <w:rPr>
          <w:rStyle w:val="Refdenotaalpie"/>
        </w:rPr>
        <w:footnoteRef/>
      </w:r>
      <w:r>
        <w:t xml:space="preserve"> Ib., p. 8.</w:t>
      </w:r>
    </w:p>
  </w:footnote>
  <w:footnote w:id="108">
    <w:p w14:paraId="32229FC2" w14:textId="77777777" w:rsidR="00F36AB2" w:rsidRPr="00816A72" w:rsidRDefault="00CF2E90" w:rsidP="00F36AB2">
      <w:pPr>
        <w:pStyle w:val="Textonotapie"/>
      </w:pPr>
      <w:r>
        <w:rPr>
          <w:rStyle w:val="Refdenotaalpie"/>
        </w:rPr>
        <w:footnoteRef/>
      </w:r>
      <w:r>
        <w:t xml:space="preserve"> Expediente digital 16867, intervención del Ministerio de Justicia y del Derecho, Disponible en:  </w:t>
      </w:r>
      <w:hyperlink r:id="rId7" w:history="1">
        <w:r w:rsidRPr="00A540E7">
          <w:rPr>
            <w:rStyle w:val="Hipervnculo"/>
          </w:rPr>
          <w:t>https://www.corteconstitucional.gov.co/sec</w:t>
        </w:r>
        <w:r w:rsidRPr="00A540E7">
          <w:rPr>
            <w:rStyle w:val="Hipervnculo"/>
          </w:rPr>
          <w:t>retaria/archivo.php?id=125842</w:t>
        </w:r>
      </w:hyperlink>
      <w:r>
        <w:t xml:space="preserve">.  </w:t>
      </w:r>
    </w:p>
  </w:footnote>
  <w:footnote w:id="109">
    <w:p w14:paraId="7557ACB1" w14:textId="77777777" w:rsidR="00F36AB2" w:rsidRDefault="00CF2E90" w:rsidP="00F36AB2">
      <w:pPr>
        <w:pStyle w:val="Textonotapie"/>
      </w:pPr>
      <w:r>
        <w:rPr>
          <w:rStyle w:val="Refdenotaalpie"/>
        </w:rPr>
        <w:footnoteRef/>
      </w:r>
      <w:r>
        <w:t xml:space="preserve"> Ib., p. 7. </w:t>
      </w:r>
    </w:p>
  </w:footnote>
  <w:footnote w:id="110">
    <w:p w14:paraId="3F88ECA0" w14:textId="77777777" w:rsidR="00F36AB2" w:rsidRDefault="00CF2E90" w:rsidP="00F36AB2">
      <w:pPr>
        <w:pStyle w:val="Textonotapie"/>
      </w:pPr>
      <w:r>
        <w:rPr>
          <w:rStyle w:val="Refdenotaalpie"/>
        </w:rPr>
        <w:footnoteRef/>
      </w:r>
      <w:r>
        <w:t xml:space="preserve"> Ib. </w:t>
      </w:r>
    </w:p>
  </w:footnote>
  <w:footnote w:id="111">
    <w:p w14:paraId="02EA8661" w14:textId="77777777" w:rsidR="00F36AB2" w:rsidRDefault="00CF2E90" w:rsidP="00F36AB2">
      <w:pPr>
        <w:pStyle w:val="Textonotapie"/>
      </w:pPr>
      <w:r>
        <w:rPr>
          <w:rStyle w:val="Refdenotaalpie"/>
        </w:rPr>
        <w:footnoteRef/>
      </w:r>
      <w:r>
        <w:t xml:space="preserve"> Ib., p. 8.</w:t>
      </w:r>
    </w:p>
  </w:footnote>
  <w:footnote w:id="112">
    <w:p w14:paraId="7A31D8F4" w14:textId="77777777" w:rsidR="00F36AB2" w:rsidRPr="006E3430" w:rsidRDefault="00CF2E90" w:rsidP="00F36AB2">
      <w:pPr>
        <w:pStyle w:val="Textonotapie"/>
      </w:pPr>
      <w:r w:rsidRPr="006E3430">
        <w:rPr>
          <w:rStyle w:val="Refdenotaalpie"/>
        </w:rPr>
        <w:footnoteRef/>
      </w:r>
      <w:r w:rsidRPr="006E3430">
        <w:t xml:space="preserve"> Ib., p. 11.</w:t>
      </w:r>
    </w:p>
  </w:footnote>
  <w:footnote w:id="113">
    <w:p w14:paraId="655CFECE" w14:textId="77777777" w:rsidR="00F36AB2" w:rsidRDefault="00CF2E90" w:rsidP="00F36AB2">
      <w:pPr>
        <w:pStyle w:val="Textonotapie"/>
      </w:pPr>
      <w:r>
        <w:rPr>
          <w:rStyle w:val="Refdenotaalpie"/>
        </w:rPr>
        <w:footnoteRef/>
      </w:r>
      <w:r>
        <w:t xml:space="preserve"> </w:t>
      </w:r>
      <w:r w:rsidRPr="006E3430">
        <w:t>Ib., p. 12</w:t>
      </w:r>
      <w:r>
        <w:t xml:space="preserve">. </w:t>
      </w:r>
    </w:p>
  </w:footnote>
  <w:footnote w:id="114">
    <w:p w14:paraId="3BA80079" w14:textId="77777777" w:rsidR="00F36AB2" w:rsidRDefault="00CF2E90" w:rsidP="00F36AB2">
      <w:pPr>
        <w:pStyle w:val="Textonotapie"/>
      </w:pPr>
      <w:r>
        <w:rPr>
          <w:rStyle w:val="Refdenotaalpie"/>
        </w:rPr>
        <w:footnoteRef/>
      </w:r>
      <w:r>
        <w:t xml:space="preserve"> </w:t>
      </w:r>
      <w:r w:rsidRPr="006E3430">
        <w:t>Ib., p. 1</w:t>
      </w:r>
      <w:r>
        <w:t>3.</w:t>
      </w:r>
    </w:p>
  </w:footnote>
  <w:footnote w:id="115">
    <w:p w14:paraId="3727016B" w14:textId="77777777" w:rsidR="00F36AB2" w:rsidRDefault="00CF2E90" w:rsidP="00F36AB2">
      <w:pPr>
        <w:pStyle w:val="Textonotapie"/>
      </w:pPr>
      <w:r>
        <w:rPr>
          <w:rStyle w:val="Refdenotaalpie"/>
        </w:rPr>
        <w:footnoteRef/>
      </w:r>
      <w:r>
        <w:t xml:space="preserve"> Ib. </w:t>
      </w:r>
    </w:p>
  </w:footnote>
  <w:footnote w:id="116">
    <w:p w14:paraId="6E6E2914" w14:textId="77777777" w:rsidR="00F36AB2" w:rsidRDefault="00CF2E90" w:rsidP="00F36AB2">
      <w:pPr>
        <w:pStyle w:val="Textonotapie"/>
      </w:pPr>
      <w:r>
        <w:rPr>
          <w:rStyle w:val="Refdenotaalpie"/>
        </w:rPr>
        <w:footnoteRef/>
      </w:r>
      <w:r>
        <w:t xml:space="preserve"> </w:t>
      </w:r>
      <w:r w:rsidRPr="006E3430">
        <w:t>Ib., p. 1</w:t>
      </w:r>
      <w:r>
        <w:t>5.</w:t>
      </w:r>
    </w:p>
  </w:footnote>
  <w:footnote w:id="117">
    <w:p w14:paraId="132AE1D9" w14:textId="77777777" w:rsidR="00F36AB2" w:rsidRPr="00816A72" w:rsidRDefault="00CF2E90" w:rsidP="00F36AB2">
      <w:pPr>
        <w:pStyle w:val="Textonotapie"/>
      </w:pPr>
      <w:r>
        <w:rPr>
          <w:rStyle w:val="Refdenotaalpie"/>
        </w:rPr>
        <w:footnoteRef/>
      </w:r>
      <w:r>
        <w:t xml:space="preserve"> Expediente digital 16867, Intervención de la Universidad Pontifica Bolivariana, Disponible en </w:t>
      </w:r>
      <w:hyperlink r:id="rId8" w:history="1">
        <w:r w:rsidRPr="00A540E7">
          <w:rPr>
            <w:rStyle w:val="Hipervnculo"/>
          </w:rPr>
          <w:t>https://www.corteconstitucional.gov.co/secretaria/archivo.php?id=125867</w:t>
        </w:r>
      </w:hyperlink>
      <w:r>
        <w:t xml:space="preserve"> </w:t>
      </w:r>
    </w:p>
  </w:footnote>
  <w:footnote w:id="118">
    <w:p w14:paraId="6F2705CA" w14:textId="77777777" w:rsidR="00F36AB2" w:rsidRDefault="00CF2E90" w:rsidP="00F36AB2">
      <w:pPr>
        <w:pStyle w:val="Textonotapie"/>
      </w:pPr>
      <w:r>
        <w:rPr>
          <w:rStyle w:val="Refdenotaalpie"/>
        </w:rPr>
        <w:footnoteRef/>
      </w:r>
      <w:r>
        <w:t xml:space="preserve"> </w:t>
      </w:r>
      <w:r w:rsidRPr="006E3430">
        <w:t>Ib., p. 1</w:t>
      </w:r>
      <w:r>
        <w:t>.</w:t>
      </w:r>
    </w:p>
  </w:footnote>
  <w:footnote w:id="119">
    <w:p w14:paraId="47160CEB" w14:textId="77777777" w:rsidR="00F36AB2" w:rsidRDefault="00CF2E90" w:rsidP="00F36AB2">
      <w:pPr>
        <w:pStyle w:val="Textonotapie"/>
      </w:pPr>
      <w:r>
        <w:rPr>
          <w:rStyle w:val="Refdenotaalpie"/>
        </w:rPr>
        <w:footnoteRef/>
      </w:r>
      <w:r>
        <w:t xml:space="preserve"> </w:t>
      </w:r>
      <w:r w:rsidRPr="006E3430">
        <w:t xml:space="preserve">Ib., p. </w:t>
      </w:r>
      <w:r>
        <w:t>2.</w:t>
      </w:r>
    </w:p>
  </w:footnote>
  <w:footnote w:id="120">
    <w:p w14:paraId="33FA7AFF" w14:textId="77777777" w:rsidR="00F36AB2" w:rsidRDefault="00CF2E90" w:rsidP="00F36AB2">
      <w:pPr>
        <w:pStyle w:val="Textonotapie"/>
      </w:pPr>
      <w:r>
        <w:rPr>
          <w:rStyle w:val="Refdenotaalpie"/>
        </w:rPr>
        <w:footnoteRef/>
      </w:r>
      <w:r>
        <w:t xml:space="preserve"> </w:t>
      </w:r>
      <w:r w:rsidRPr="006E3430">
        <w:t xml:space="preserve">Ib., p. </w:t>
      </w:r>
      <w:r>
        <w:t>4.</w:t>
      </w:r>
    </w:p>
  </w:footnote>
  <w:footnote w:id="121">
    <w:p w14:paraId="2B4D6A7F" w14:textId="77777777" w:rsidR="00F36AB2" w:rsidRDefault="00CF2E90" w:rsidP="00F36AB2">
      <w:pPr>
        <w:pStyle w:val="Textonotapie"/>
      </w:pPr>
      <w:r>
        <w:rPr>
          <w:rStyle w:val="Refdenotaalpie"/>
        </w:rPr>
        <w:footnoteRef/>
      </w:r>
      <w:r>
        <w:t xml:space="preserve"> Intervención de la U</w:t>
      </w:r>
      <w:r w:rsidRPr="004B03ED">
        <w:t xml:space="preserve">niversidad </w:t>
      </w:r>
      <w:r w:rsidRPr="00517610">
        <w:t>Pontificia Bolivariana</w:t>
      </w:r>
      <w:r>
        <w:t>, p. 7.</w:t>
      </w:r>
    </w:p>
  </w:footnote>
  <w:footnote w:id="122">
    <w:p w14:paraId="53FB4627" w14:textId="77777777" w:rsidR="00F36AB2" w:rsidRDefault="00CF2E90" w:rsidP="00F36AB2">
      <w:pPr>
        <w:pStyle w:val="Textonotapie"/>
      </w:pPr>
      <w:r>
        <w:rPr>
          <w:rStyle w:val="Refdenotaalpie"/>
        </w:rPr>
        <w:footnoteRef/>
      </w:r>
      <w:r>
        <w:t xml:space="preserve"> Ib. </w:t>
      </w:r>
    </w:p>
  </w:footnote>
  <w:footnote w:id="123">
    <w:p w14:paraId="69BF32F6" w14:textId="77777777" w:rsidR="00F36AB2" w:rsidRPr="00816A72" w:rsidRDefault="00CF2E90" w:rsidP="00F36AB2">
      <w:pPr>
        <w:pStyle w:val="Textonotapie"/>
      </w:pPr>
      <w:r>
        <w:rPr>
          <w:rStyle w:val="Refdenotaalpie"/>
        </w:rPr>
        <w:footnoteRef/>
      </w:r>
      <w:r>
        <w:t xml:space="preserve"> Expediente digital 16867, Intervención del Instituto Colombiano de Derecho Procesal, Disponible en: </w:t>
      </w:r>
      <w:hyperlink r:id="rId9" w:history="1">
        <w:r w:rsidRPr="00A540E7">
          <w:rPr>
            <w:rStyle w:val="Hipervnculo"/>
          </w:rPr>
          <w:t>https://www.corteconstitucional.gov.co/secretaria/archivo.php?id=12</w:t>
        </w:r>
        <w:r w:rsidRPr="00A540E7">
          <w:rPr>
            <w:rStyle w:val="Hipervnculo"/>
          </w:rPr>
          <w:t>5868</w:t>
        </w:r>
      </w:hyperlink>
      <w:r>
        <w:t xml:space="preserve"> </w:t>
      </w:r>
    </w:p>
  </w:footnote>
  <w:footnote w:id="124">
    <w:p w14:paraId="6712FDAD" w14:textId="77777777" w:rsidR="00F36AB2" w:rsidRDefault="00CF2E90" w:rsidP="00F36AB2">
      <w:pPr>
        <w:pStyle w:val="Textonotapie"/>
      </w:pPr>
      <w:r>
        <w:rPr>
          <w:rStyle w:val="Refdenotaalpie"/>
        </w:rPr>
        <w:footnoteRef/>
      </w:r>
      <w:r>
        <w:t xml:space="preserve"> </w:t>
      </w:r>
      <w:r w:rsidRPr="006E3430">
        <w:t xml:space="preserve">Ib., p. </w:t>
      </w:r>
      <w:r>
        <w:t>9.</w:t>
      </w:r>
    </w:p>
  </w:footnote>
  <w:footnote w:id="125">
    <w:p w14:paraId="5E9ACEC8" w14:textId="77777777" w:rsidR="00F36AB2" w:rsidRDefault="00CF2E90" w:rsidP="00F36AB2">
      <w:pPr>
        <w:pStyle w:val="Textonotapie"/>
      </w:pPr>
      <w:r>
        <w:rPr>
          <w:rStyle w:val="Refdenotaalpie"/>
        </w:rPr>
        <w:footnoteRef/>
      </w:r>
      <w:r>
        <w:t xml:space="preserve"> </w:t>
      </w:r>
      <w:r w:rsidRPr="006E3430">
        <w:t xml:space="preserve">Ib., p. </w:t>
      </w:r>
      <w:r>
        <w:t>11.</w:t>
      </w:r>
    </w:p>
  </w:footnote>
  <w:footnote w:id="126">
    <w:p w14:paraId="73FBAEF0" w14:textId="77777777" w:rsidR="00F36AB2" w:rsidRDefault="00CF2E90" w:rsidP="00F36AB2">
      <w:pPr>
        <w:pStyle w:val="Textonotapie"/>
      </w:pPr>
      <w:r>
        <w:rPr>
          <w:rStyle w:val="Refdenotaalpie"/>
        </w:rPr>
        <w:footnoteRef/>
      </w:r>
      <w:r>
        <w:t xml:space="preserve"> </w:t>
      </w:r>
      <w:r w:rsidRPr="006E3430">
        <w:t xml:space="preserve">Ib., p. </w:t>
      </w:r>
      <w:r>
        <w:t>12.</w:t>
      </w:r>
    </w:p>
  </w:footnote>
  <w:footnote w:id="127">
    <w:p w14:paraId="6F3A2E2F" w14:textId="77777777" w:rsidR="00F36AB2" w:rsidRDefault="00CF2E90" w:rsidP="00F36AB2">
      <w:pPr>
        <w:pStyle w:val="Textonotapie"/>
      </w:pPr>
      <w:r>
        <w:rPr>
          <w:rStyle w:val="Refdenotaalpie"/>
        </w:rPr>
        <w:footnoteRef/>
      </w:r>
      <w:r>
        <w:t xml:space="preserve"> </w:t>
      </w:r>
      <w:r w:rsidRPr="006E3430">
        <w:t xml:space="preserve">Ib., p. </w:t>
      </w:r>
      <w:r>
        <w:t>13.</w:t>
      </w:r>
    </w:p>
  </w:footnote>
  <w:footnote w:id="128">
    <w:p w14:paraId="260AAF85" w14:textId="77777777" w:rsidR="00F36AB2" w:rsidRDefault="00CF2E90" w:rsidP="00F36AB2">
      <w:pPr>
        <w:pStyle w:val="Textonotapie"/>
      </w:pPr>
      <w:r>
        <w:rPr>
          <w:rStyle w:val="Refdenotaalpie"/>
        </w:rPr>
        <w:footnoteRef/>
      </w:r>
      <w:r>
        <w:t xml:space="preserve"> </w:t>
      </w:r>
      <w:r w:rsidRPr="007E26E8">
        <w:t>Ib., p. 1</w:t>
      </w:r>
      <w:r>
        <w:t>4</w:t>
      </w:r>
      <w:r w:rsidRPr="007E26E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58B1D" w14:textId="7396FAD4" w:rsidR="00EB386F" w:rsidRPr="000E34EB" w:rsidRDefault="00EB386F" w:rsidP="00362571">
    <w:pPr>
      <w:ind w:left="0" w:firstLine="0"/>
      <w:jc w:val="right"/>
      <w:rPr>
        <w:i/>
        <w:sz w:val="20"/>
        <w:szCs w:val="20"/>
      </w:rPr>
    </w:pPr>
    <w:r w:rsidRPr="000E34EB">
      <w:rPr>
        <w:i/>
        <w:sz w:val="20"/>
        <w:szCs w:val="20"/>
      </w:rPr>
      <w:t>Expediente D-</w:t>
    </w:r>
    <w:r w:rsidR="00BC6E09" w:rsidRPr="000E34EB">
      <w:rPr>
        <w:i/>
        <w:sz w:val="20"/>
        <w:szCs w:val="20"/>
      </w:rPr>
      <w:t>16867</w:t>
    </w:r>
  </w:p>
  <w:p w14:paraId="0221858A" w14:textId="2AFC89E2" w:rsidR="00816C37" w:rsidRPr="000E34EB" w:rsidRDefault="00816C37" w:rsidP="00362571">
    <w:pPr>
      <w:ind w:left="0" w:firstLine="0"/>
      <w:jc w:val="right"/>
      <w:rPr>
        <w:i/>
        <w:sz w:val="20"/>
        <w:szCs w:val="20"/>
      </w:rPr>
    </w:pPr>
    <w:r w:rsidRPr="000E34EB">
      <w:rPr>
        <w:i/>
        <w:sz w:val="20"/>
        <w:szCs w:val="20"/>
      </w:rPr>
      <w:t>M.P. Paola Andrea Meneses Mosquera</w:t>
    </w:r>
  </w:p>
  <w:p w14:paraId="33C19645" w14:textId="6D89BC94" w:rsidR="00EB386F" w:rsidRPr="00A3298F" w:rsidRDefault="00EB386F" w:rsidP="00362571">
    <w:pPr>
      <w:ind w:left="0" w:firstLine="0"/>
      <w:jc w:val="right"/>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E4E10"/>
    <w:multiLevelType w:val="multilevel"/>
    <w:tmpl w:val="9FFAC6DE"/>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16B56D1"/>
    <w:multiLevelType w:val="hybridMultilevel"/>
    <w:tmpl w:val="2BA47B4A"/>
    <w:lvl w:ilvl="0" w:tplc="F698B7EA">
      <w:start w:val="1"/>
      <w:numFmt w:val="upperRoman"/>
      <w:pStyle w:val="Ttulo2"/>
      <w:lvlText w:val="%1.  "/>
      <w:lvlJc w:val="right"/>
      <w:pPr>
        <w:ind w:left="927" w:hanging="360"/>
      </w:pPr>
      <w:rPr>
        <w:rFonts w:cs="Times New Roman" w:hint="default"/>
      </w:rPr>
    </w:lvl>
    <w:lvl w:ilvl="1" w:tplc="240A0019" w:tentative="1">
      <w:start w:val="1"/>
      <w:numFmt w:val="lowerLetter"/>
      <w:lvlText w:val="%2."/>
      <w:lvlJc w:val="left"/>
      <w:pPr>
        <w:ind w:left="5928" w:hanging="360"/>
      </w:pPr>
      <w:rPr>
        <w:rFonts w:cs="Times New Roman"/>
      </w:rPr>
    </w:lvl>
    <w:lvl w:ilvl="2" w:tplc="240A001B" w:tentative="1">
      <w:start w:val="1"/>
      <w:numFmt w:val="lowerRoman"/>
      <w:lvlText w:val="%3."/>
      <w:lvlJc w:val="right"/>
      <w:pPr>
        <w:ind w:left="6648" w:hanging="180"/>
      </w:pPr>
      <w:rPr>
        <w:rFonts w:cs="Times New Roman"/>
      </w:rPr>
    </w:lvl>
    <w:lvl w:ilvl="3" w:tplc="240A000F" w:tentative="1">
      <w:start w:val="1"/>
      <w:numFmt w:val="decimal"/>
      <w:lvlText w:val="%4."/>
      <w:lvlJc w:val="left"/>
      <w:pPr>
        <w:ind w:left="7368" w:hanging="360"/>
      </w:pPr>
      <w:rPr>
        <w:rFonts w:cs="Times New Roman"/>
      </w:rPr>
    </w:lvl>
    <w:lvl w:ilvl="4" w:tplc="240A0019" w:tentative="1">
      <w:start w:val="1"/>
      <w:numFmt w:val="lowerLetter"/>
      <w:lvlText w:val="%5."/>
      <w:lvlJc w:val="left"/>
      <w:pPr>
        <w:ind w:left="8088" w:hanging="360"/>
      </w:pPr>
      <w:rPr>
        <w:rFonts w:cs="Times New Roman"/>
      </w:rPr>
    </w:lvl>
    <w:lvl w:ilvl="5" w:tplc="240A001B" w:tentative="1">
      <w:start w:val="1"/>
      <w:numFmt w:val="lowerRoman"/>
      <w:lvlText w:val="%6."/>
      <w:lvlJc w:val="right"/>
      <w:pPr>
        <w:ind w:left="8808" w:hanging="180"/>
      </w:pPr>
      <w:rPr>
        <w:rFonts w:cs="Times New Roman"/>
      </w:rPr>
    </w:lvl>
    <w:lvl w:ilvl="6" w:tplc="240A000F" w:tentative="1">
      <w:start w:val="1"/>
      <w:numFmt w:val="decimal"/>
      <w:lvlText w:val="%7."/>
      <w:lvlJc w:val="left"/>
      <w:pPr>
        <w:ind w:left="9528" w:hanging="360"/>
      </w:pPr>
      <w:rPr>
        <w:rFonts w:cs="Times New Roman"/>
      </w:rPr>
    </w:lvl>
    <w:lvl w:ilvl="7" w:tplc="240A0019" w:tentative="1">
      <w:start w:val="1"/>
      <w:numFmt w:val="lowerLetter"/>
      <w:lvlText w:val="%8."/>
      <w:lvlJc w:val="left"/>
      <w:pPr>
        <w:ind w:left="10248" w:hanging="360"/>
      </w:pPr>
      <w:rPr>
        <w:rFonts w:cs="Times New Roman"/>
      </w:rPr>
    </w:lvl>
    <w:lvl w:ilvl="8" w:tplc="240A001B" w:tentative="1">
      <w:start w:val="1"/>
      <w:numFmt w:val="lowerRoman"/>
      <w:lvlText w:val="%9."/>
      <w:lvlJc w:val="right"/>
      <w:pPr>
        <w:ind w:left="10968" w:hanging="180"/>
      </w:pPr>
      <w:rPr>
        <w:rFonts w:cs="Times New Roman"/>
      </w:rPr>
    </w:lvl>
  </w:abstractNum>
  <w:abstractNum w:abstractNumId="2" w15:restartNumberingAfterBreak="0">
    <w:nsid w:val="16E801DE"/>
    <w:multiLevelType w:val="hybridMultilevel"/>
    <w:tmpl w:val="A8068B42"/>
    <w:lvl w:ilvl="0" w:tplc="FDB262D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BC6315"/>
    <w:multiLevelType w:val="hybridMultilevel"/>
    <w:tmpl w:val="85CEA0B6"/>
    <w:lvl w:ilvl="0" w:tplc="DDD0FF02">
      <w:start w:val="1"/>
      <w:numFmt w:val="decimal"/>
      <w:pStyle w:val="Normal1"/>
      <w:lvlText w:val="%1."/>
      <w:lvlJc w:val="left"/>
      <w:pPr>
        <w:ind w:left="1920" w:hanging="360"/>
      </w:pPr>
      <w:rPr>
        <w:rFonts w:ascii="Times New Roman" w:hAnsi="Times New Roman" w:cs="Times New Roman" w:hint="default"/>
        <w:b w:val="0"/>
        <w:i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3E03794"/>
    <w:multiLevelType w:val="hybridMultilevel"/>
    <w:tmpl w:val="7A28F694"/>
    <w:lvl w:ilvl="0" w:tplc="8230D8F4">
      <w:start w:val="1"/>
      <w:numFmt w:val="decimal"/>
      <w:lvlText w:val="%1."/>
      <w:lvlJc w:val="left"/>
      <w:pPr>
        <w:ind w:left="720" w:hanging="360"/>
      </w:pPr>
      <w:rPr>
        <w:rFonts w:hint="default"/>
        <w:b w:val="0"/>
        <w:bCs/>
        <w:sz w:val="28"/>
        <w:szCs w:val="28"/>
      </w:rPr>
    </w:lvl>
    <w:lvl w:ilvl="1" w:tplc="5DD88954">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6F65F5"/>
    <w:multiLevelType w:val="hybridMultilevel"/>
    <w:tmpl w:val="C6D8DA34"/>
    <w:lvl w:ilvl="0" w:tplc="36B40602">
      <w:start w:val="3"/>
      <w:numFmt w:val="bullet"/>
      <w:lvlText w:val="-"/>
      <w:lvlJc w:val="left"/>
      <w:pPr>
        <w:ind w:left="960" w:hanging="360"/>
      </w:pPr>
      <w:rPr>
        <w:rFonts w:ascii="Times New Roman" w:eastAsia="Times New Roman" w:hAnsi="Times New Roman" w:cs="Times New Roman" w:hint="default"/>
        <w:i/>
      </w:rPr>
    </w:lvl>
    <w:lvl w:ilvl="1" w:tplc="240A0003" w:tentative="1">
      <w:start w:val="1"/>
      <w:numFmt w:val="bullet"/>
      <w:lvlText w:val="o"/>
      <w:lvlJc w:val="left"/>
      <w:pPr>
        <w:ind w:left="1680" w:hanging="360"/>
      </w:pPr>
      <w:rPr>
        <w:rFonts w:ascii="Courier New" w:hAnsi="Courier New" w:cs="Courier New" w:hint="default"/>
      </w:rPr>
    </w:lvl>
    <w:lvl w:ilvl="2" w:tplc="240A0005" w:tentative="1">
      <w:start w:val="1"/>
      <w:numFmt w:val="bullet"/>
      <w:lvlText w:val=""/>
      <w:lvlJc w:val="left"/>
      <w:pPr>
        <w:ind w:left="2400" w:hanging="360"/>
      </w:pPr>
      <w:rPr>
        <w:rFonts w:ascii="Wingdings" w:hAnsi="Wingdings" w:hint="default"/>
      </w:rPr>
    </w:lvl>
    <w:lvl w:ilvl="3" w:tplc="240A0001" w:tentative="1">
      <w:start w:val="1"/>
      <w:numFmt w:val="bullet"/>
      <w:lvlText w:val=""/>
      <w:lvlJc w:val="left"/>
      <w:pPr>
        <w:ind w:left="3120" w:hanging="360"/>
      </w:pPr>
      <w:rPr>
        <w:rFonts w:ascii="Symbol" w:hAnsi="Symbol" w:hint="default"/>
      </w:rPr>
    </w:lvl>
    <w:lvl w:ilvl="4" w:tplc="240A0003" w:tentative="1">
      <w:start w:val="1"/>
      <w:numFmt w:val="bullet"/>
      <w:lvlText w:val="o"/>
      <w:lvlJc w:val="left"/>
      <w:pPr>
        <w:ind w:left="3840" w:hanging="360"/>
      </w:pPr>
      <w:rPr>
        <w:rFonts w:ascii="Courier New" w:hAnsi="Courier New" w:cs="Courier New" w:hint="default"/>
      </w:rPr>
    </w:lvl>
    <w:lvl w:ilvl="5" w:tplc="240A0005" w:tentative="1">
      <w:start w:val="1"/>
      <w:numFmt w:val="bullet"/>
      <w:lvlText w:val=""/>
      <w:lvlJc w:val="left"/>
      <w:pPr>
        <w:ind w:left="4560" w:hanging="360"/>
      </w:pPr>
      <w:rPr>
        <w:rFonts w:ascii="Wingdings" w:hAnsi="Wingdings" w:hint="default"/>
      </w:rPr>
    </w:lvl>
    <w:lvl w:ilvl="6" w:tplc="240A0001" w:tentative="1">
      <w:start w:val="1"/>
      <w:numFmt w:val="bullet"/>
      <w:lvlText w:val=""/>
      <w:lvlJc w:val="left"/>
      <w:pPr>
        <w:ind w:left="5280" w:hanging="360"/>
      </w:pPr>
      <w:rPr>
        <w:rFonts w:ascii="Symbol" w:hAnsi="Symbol" w:hint="default"/>
      </w:rPr>
    </w:lvl>
    <w:lvl w:ilvl="7" w:tplc="240A0003" w:tentative="1">
      <w:start w:val="1"/>
      <w:numFmt w:val="bullet"/>
      <w:lvlText w:val="o"/>
      <w:lvlJc w:val="left"/>
      <w:pPr>
        <w:ind w:left="6000" w:hanging="360"/>
      </w:pPr>
      <w:rPr>
        <w:rFonts w:ascii="Courier New" w:hAnsi="Courier New" w:cs="Courier New" w:hint="default"/>
      </w:rPr>
    </w:lvl>
    <w:lvl w:ilvl="8" w:tplc="240A0005" w:tentative="1">
      <w:start w:val="1"/>
      <w:numFmt w:val="bullet"/>
      <w:lvlText w:val=""/>
      <w:lvlJc w:val="left"/>
      <w:pPr>
        <w:ind w:left="6720" w:hanging="360"/>
      </w:pPr>
      <w:rPr>
        <w:rFonts w:ascii="Wingdings" w:hAnsi="Wingdings" w:hint="default"/>
      </w:rPr>
    </w:lvl>
  </w:abstractNum>
  <w:abstractNum w:abstractNumId="6" w15:restartNumberingAfterBreak="0">
    <w:nsid w:val="5D2814ED"/>
    <w:multiLevelType w:val="multilevel"/>
    <w:tmpl w:val="002874E4"/>
    <w:lvl w:ilvl="0">
      <w:start w:val="1"/>
      <w:numFmt w:val="decimal"/>
      <w:lvlText w:val="%1."/>
      <w:lvlJc w:val="left"/>
      <w:pPr>
        <w:ind w:left="360" w:hanging="360"/>
      </w:pPr>
      <w:rPr>
        <w:b/>
        <w:bCs w:val="0"/>
      </w:rPr>
    </w:lvl>
    <w:lvl w:ilvl="1">
      <w:start w:val="1"/>
      <w:numFmt w:val="decimal"/>
      <w:lvlText w:val="%1.%2."/>
      <w:lvlJc w:val="left"/>
      <w:pPr>
        <w:ind w:left="792" w:hanging="432"/>
      </w:pPr>
      <w:rPr>
        <w:b/>
        <w:bCs w:val="0"/>
        <w:lang w:val="es-CO"/>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6E35742"/>
    <w:multiLevelType w:val="hybridMultilevel"/>
    <w:tmpl w:val="EA5EBAF2"/>
    <w:lvl w:ilvl="0" w:tplc="DE586FAE">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D9670E7"/>
    <w:multiLevelType w:val="hybridMultilevel"/>
    <w:tmpl w:val="44142AD2"/>
    <w:lvl w:ilvl="0" w:tplc="79508C6A">
      <w:numFmt w:val="bullet"/>
      <w:lvlText w:val="-"/>
      <w:lvlJc w:val="left"/>
      <w:pPr>
        <w:ind w:left="720" w:hanging="360"/>
      </w:pPr>
      <w:rPr>
        <w:rFonts w:ascii="Times New Roman" w:eastAsia="Times New Roman" w:hAnsi="Times New Roman" w:cs="Times New Roman" w:hint="default"/>
        <w:i/>
        <w:sz w:val="2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1E23319"/>
    <w:multiLevelType w:val="hybridMultilevel"/>
    <w:tmpl w:val="0D9C58A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9"/>
  </w:num>
  <w:num w:numId="5">
    <w:abstractNumId w:val="0"/>
  </w:num>
  <w:num w:numId="6">
    <w:abstractNumId w:val="4"/>
  </w:num>
  <w:num w:numId="7">
    <w:abstractNumId w:val="8"/>
  </w:num>
  <w:num w:numId="8">
    <w:abstractNumId w:val="2"/>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571"/>
    <w:rsid w:val="00000274"/>
    <w:rsid w:val="00000511"/>
    <w:rsid w:val="0000252D"/>
    <w:rsid w:val="00002C10"/>
    <w:rsid w:val="00002D92"/>
    <w:rsid w:val="00002EA0"/>
    <w:rsid w:val="0000314A"/>
    <w:rsid w:val="0000316B"/>
    <w:rsid w:val="000032A2"/>
    <w:rsid w:val="00003C6B"/>
    <w:rsid w:val="00003E7C"/>
    <w:rsid w:val="000047C3"/>
    <w:rsid w:val="00004B73"/>
    <w:rsid w:val="00005093"/>
    <w:rsid w:val="0000509D"/>
    <w:rsid w:val="000050FD"/>
    <w:rsid w:val="00005804"/>
    <w:rsid w:val="0000593F"/>
    <w:rsid w:val="00005E16"/>
    <w:rsid w:val="000072EF"/>
    <w:rsid w:val="0000735C"/>
    <w:rsid w:val="00007A1B"/>
    <w:rsid w:val="000108D1"/>
    <w:rsid w:val="00010A11"/>
    <w:rsid w:val="00010D1F"/>
    <w:rsid w:val="0001130F"/>
    <w:rsid w:val="00011333"/>
    <w:rsid w:val="00011B5D"/>
    <w:rsid w:val="00011D34"/>
    <w:rsid w:val="00012361"/>
    <w:rsid w:val="00012715"/>
    <w:rsid w:val="00012766"/>
    <w:rsid w:val="00012E63"/>
    <w:rsid w:val="00013AAE"/>
    <w:rsid w:val="00013C8B"/>
    <w:rsid w:val="0001411B"/>
    <w:rsid w:val="00014610"/>
    <w:rsid w:val="00014E1F"/>
    <w:rsid w:val="00014E3B"/>
    <w:rsid w:val="00015382"/>
    <w:rsid w:val="000153DC"/>
    <w:rsid w:val="00015FCF"/>
    <w:rsid w:val="0001704A"/>
    <w:rsid w:val="0001716C"/>
    <w:rsid w:val="000173CE"/>
    <w:rsid w:val="00017535"/>
    <w:rsid w:val="000177AD"/>
    <w:rsid w:val="00017AFE"/>
    <w:rsid w:val="00017B79"/>
    <w:rsid w:val="00017CA4"/>
    <w:rsid w:val="00017CBC"/>
    <w:rsid w:val="00020418"/>
    <w:rsid w:val="000206FC"/>
    <w:rsid w:val="00020706"/>
    <w:rsid w:val="00020718"/>
    <w:rsid w:val="00021790"/>
    <w:rsid w:val="00022A6C"/>
    <w:rsid w:val="0002330C"/>
    <w:rsid w:val="00023809"/>
    <w:rsid w:val="00023FAF"/>
    <w:rsid w:val="00025152"/>
    <w:rsid w:val="000251C2"/>
    <w:rsid w:val="00025EF2"/>
    <w:rsid w:val="00026192"/>
    <w:rsid w:val="0002652A"/>
    <w:rsid w:val="00026DD4"/>
    <w:rsid w:val="00030132"/>
    <w:rsid w:val="000303B1"/>
    <w:rsid w:val="00030D62"/>
    <w:rsid w:val="00031D4B"/>
    <w:rsid w:val="00032853"/>
    <w:rsid w:val="00032F57"/>
    <w:rsid w:val="00033EEC"/>
    <w:rsid w:val="0003432F"/>
    <w:rsid w:val="000346DA"/>
    <w:rsid w:val="00034CCE"/>
    <w:rsid w:val="00035B08"/>
    <w:rsid w:val="0003610E"/>
    <w:rsid w:val="00036C9A"/>
    <w:rsid w:val="00040234"/>
    <w:rsid w:val="000404C1"/>
    <w:rsid w:val="0004074B"/>
    <w:rsid w:val="00040C8A"/>
    <w:rsid w:val="00041413"/>
    <w:rsid w:val="00043010"/>
    <w:rsid w:val="000431C3"/>
    <w:rsid w:val="00043481"/>
    <w:rsid w:val="000438E1"/>
    <w:rsid w:val="00043A08"/>
    <w:rsid w:val="00043EE7"/>
    <w:rsid w:val="00044933"/>
    <w:rsid w:val="00044A9A"/>
    <w:rsid w:val="00045AAB"/>
    <w:rsid w:val="0004662E"/>
    <w:rsid w:val="00046CBA"/>
    <w:rsid w:val="00046CC0"/>
    <w:rsid w:val="00050429"/>
    <w:rsid w:val="000505CA"/>
    <w:rsid w:val="00051247"/>
    <w:rsid w:val="000515DF"/>
    <w:rsid w:val="00051AF9"/>
    <w:rsid w:val="00051F35"/>
    <w:rsid w:val="00052754"/>
    <w:rsid w:val="00052817"/>
    <w:rsid w:val="00052E62"/>
    <w:rsid w:val="000539DE"/>
    <w:rsid w:val="00053EBD"/>
    <w:rsid w:val="0005416D"/>
    <w:rsid w:val="000542B1"/>
    <w:rsid w:val="0005449A"/>
    <w:rsid w:val="00054BB5"/>
    <w:rsid w:val="0005525E"/>
    <w:rsid w:val="000552EE"/>
    <w:rsid w:val="0005545D"/>
    <w:rsid w:val="0005572D"/>
    <w:rsid w:val="000557C8"/>
    <w:rsid w:val="00055CE6"/>
    <w:rsid w:val="000561ED"/>
    <w:rsid w:val="0005671D"/>
    <w:rsid w:val="00056767"/>
    <w:rsid w:val="00057133"/>
    <w:rsid w:val="000602B6"/>
    <w:rsid w:val="000603E3"/>
    <w:rsid w:val="000607B4"/>
    <w:rsid w:val="00060828"/>
    <w:rsid w:val="00060F4C"/>
    <w:rsid w:val="00061000"/>
    <w:rsid w:val="00061230"/>
    <w:rsid w:val="0006171F"/>
    <w:rsid w:val="00062037"/>
    <w:rsid w:val="00062177"/>
    <w:rsid w:val="00062BF7"/>
    <w:rsid w:val="00062D47"/>
    <w:rsid w:val="00062F2A"/>
    <w:rsid w:val="00063EF2"/>
    <w:rsid w:val="0006490E"/>
    <w:rsid w:val="00065218"/>
    <w:rsid w:val="0006538E"/>
    <w:rsid w:val="000659EF"/>
    <w:rsid w:val="00065DD8"/>
    <w:rsid w:val="00065F86"/>
    <w:rsid w:val="000661B6"/>
    <w:rsid w:val="00066B33"/>
    <w:rsid w:val="00066E45"/>
    <w:rsid w:val="00067575"/>
    <w:rsid w:val="0007018A"/>
    <w:rsid w:val="00070269"/>
    <w:rsid w:val="00070497"/>
    <w:rsid w:val="00070534"/>
    <w:rsid w:val="00070894"/>
    <w:rsid w:val="0007103B"/>
    <w:rsid w:val="000716BC"/>
    <w:rsid w:val="00071966"/>
    <w:rsid w:val="00071AE5"/>
    <w:rsid w:val="00071AEB"/>
    <w:rsid w:val="000721AE"/>
    <w:rsid w:val="00072362"/>
    <w:rsid w:val="00072417"/>
    <w:rsid w:val="00072466"/>
    <w:rsid w:val="000727F2"/>
    <w:rsid w:val="00072FA7"/>
    <w:rsid w:val="00073427"/>
    <w:rsid w:val="000735A8"/>
    <w:rsid w:val="00073AFE"/>
    <w:rsid w:val="00073DE9"/>
    <w:rsid w:val="00074088"/>
    <w:rsid w:val="00074605"/>
    <w:rsid w:val="00074A86"/>
    <w:rsid w:val="00074AE0"/>
    <w:rsid w:val="000757EC"/>
    <w:rsid w:val="00075FCE"/>
    <w:rsid w:val="0007623A"/>
    <w:rsid w:val="000762CA"/>
    <w:rsid w:val="00076561"/>
    <w:rsid w:val="00076662"/>
    <w:rsid w:val="0007677D"/>
    <w:rsid w:val="00076DEE"/>
    <w:rsid w:val="00077AC3"/>
    <w:rsid w:val="00077CC7"/>
    <w:rsid w:val="00080292"/>
    <w:rsid w:val="000808FE"/>
    <w:rsid w:val="00080F58"/>
    <w:rsid w:val="00083165"/>
    <w:rsid w:val="000837F7"/>
    <w:rsid w:val="00083929"/>
    <w:rsid w:val="00084431"/>
    <w:rsid w:val="0008484C"/>
    <w:rsid w:val="00084C90"/>
    <w:rsid w:val="00084C9D"/>
    <w:rsid w:val="00085AAF"/>
    <w:rsid w:val="000868DD"/>
    <w:rsid w:val="00087395"/>
    <w:rsid w:val="00087DE2"/>
    <w:rsid w:val="00090237"/>
    <w:rsid w:val="000905FF"/>
    <w:rsid w:val="000908C0"/>
    <w:rsid w:val="0009094F"/>
    <w:rsid w:val="00090C20"/>
    <w:rsid w:val="0009105F"/>
    <w:rsid w:val="00091E60"/>
    <w:rsid w:val="000920F8"/>
    <w:rsid w:val="0009379C"/>
    <w:rsid w:val="00093C0C"/>
    <w:rsid w:val="00093F39"/>
    <w:rsid w:val="00093F89"/>
    <w:rsid w:val="000956CC"/>
    <w:rsid w:val="0009582E"/>
    <w:rsid w:val="00095B52"/>
    <w:rsid w:val="0009651D"/>
    <w:rsid w:val="00096789"/>
    <w:rsid w:val="0009732F"/>
    <w:rsid w:val="0009747F"/>
    <w:rsid w:val="0009759A"/>
    <w:rsid w:val="00097DEB"/>
    <w:rsid w:val="000A06F0"/>
    <w:rsid w:val="000A1C36"/>
    <w:rsid w:val="000A1FFD"/>
    <w:rsid w:val="000A2BCC"/>
    <w:rsid w:val="000A3346"/>
    <w:rsid w:val="000A3C4A"/>
    <w:rsid w:val="000A40C1"/>
    <w:rsid w:val="000A4129"/>
    <w:rsid w:val="000A419E"/>
    <w:rsid w:val="000A445D"/>
    <w:rsid w:val="000A4477"/>
    <w:rsid w:val="000A47AA"/>
    <w:rsid w:val="000A47B0"/>
    <w:rsid w:val="000A51D1"/>
    <w:rsid w:val="000A5CFA"/>
    <w:rsid w:val="000A5EA9"/>
    <w:rsid w:val="000A6130"/>
    <w:rsid w:val="000A6173"/>
    <w:rsid w:val="000A6CAC"/>
    <w:rsid w:val="000A743F"/>
    <w:rsid w:val="000A750D"/>
    <w:rsid w:val="000A7838"/>
    <w:rsid w:val="000A789C"/>
    <w:rsid w:val="000A78BC"/>
    <w:rsid w:val="000A79BC"/>
    <w:rsid w:val="000A7ED5"/>
    <w:rsid w:val="000B05C8"/>
    <w:rsid w:val="000B0BFF"/>
    <w:rsid w:val="000B0C9F"/>
    <w:rsid w:val="000B0FDB"/>
    <w:rsid w:val="000B127A"/>
    <w:rsid w:val="000B1657"/>
    <w:rsid w:val="000B1825"/>
    <w:rsid w:val="000B1DDD"/>
    <w:rsid w:val="000B1E22"/>
    <w:rsid w:val="000B217A"/>
    <w:rsid w:val="000B2493"/>
    <w:rsid w:val="000B2FC1"/>
    <w:rsid w:val="000B30C2"/>
    <w:rsid w:val="000B32E5"/>
    <w:rsid w:val="000B343C"/>
    <w:rsid w:val="000B3553"/>
    <w:rsid w:val="000B431E"/>
    <w:rsid w:val="000B4C35"/>
    <w:rsid w:val="000B55D0"/>
    <w:rsid w:val="000B58E0"/>
    <w:rsid w:val="000B6017"/>
    <w:rsid w:val="000B6E74"/>
    <w:rsid w:val="000B7C07"/>
    <w:rsid w:val="000C0309"/>
    <w:rsid w:val="000C03FD"/>
    <w:rsid w:val="000C0860"/>
    <w:rsid w:val="000C0BFE"/>
    <w:rsid w:val="000C0C35"/>
    <w:rsid w:val="000C186F"/>
    <w:rsid w:val="000C1B66"/>
    <w:rsid w:val="000C1BE8"/>
    <w:rsid w:val="000C1C57"/>
    <w:rsid w:val="000C1D6A"/>
    <w:rsid w:val="000C20B3"/>
    <w:rsid w:val="000C21BE"/>
    <w:rsid w:val="000C227D"/>
    <w:rsid w:val="000C260B"/>
    <w:rsid w:val="000C2F93"/>
    <w:rsid w:val="000C3A92"/>
    <w:rsid w:val="000C3CE9"/>
    <w:rsid w:val="000C455F"/>
    <w:rsid w:val="000C50D2"/>
    <w:rsid w:val="000C544D"/>
    <w:rsid w:val="000C59E1"/>
    <w:rsid w:val="000C5B05"/>
    <w:rsid w:val="000C5B9B"/>
    <w:rsid w:val="000C625F"/>
    <w:rsid w:val="000C629B"/>
    <w:rsid w:val="000C6D53"/>
    <w:rsid w:val="000C7036"/>
    <w:rsid w:val="000C7107"/>
    <w:rsid w:val="000C7127"/>
    <w:rsid w:val="000C7608"/>
    <w:rsid w:val="000C765B"/>
    <w:rsid w:val="000C7DB8"/>
    <w:rsid w:val="000D16CB"/>
    <w:rsid w:val="000D1D47"/>
    <w:rsid w:val="000D255F"/>
    <w:rsid w:val="000D2705"/>
    <w:rsid w:val="000D271C"/>
    <w:rsid w:val="000D2766"/>
    <w:rsid w:val="000D2C59"/>
    <w:rsid w:val="000D3669"/>
    <w:rsid w:val="000D38A2"/>
    <w:rsid w:val="000D3F3D"/>
    <w:rsid w:val="000D45FD"/>
    <w:rsid w:val="000D4BAE"/>
    <w:rsid w:val="000D4CF3"/>
    <w:rsid w:val="000D4FF6"/>
    <w:rsid w:val="000D5785"/>
    <w:rsid w:val="000D584F"/>
    <w:rsid w:val="000D5852"/>
    <w:rsid w:val="000D6C17"/>
    <w:rsid w:val="000D718F"/>
    <w:rsid w:val="000D7B52"/>
    <w:rsid w:val="000E0265"/>
    <w:rsid w:val="000E05D0"/>
    <w:rsid w:val="000E14BB"/>
    <w:rsid w:val="000E15B2"/>
    <w:rsid w:val="000E1B88"/>
    <w:rsid w:val="000E2298"/>
    <w:rsid w:val="000E3329"/>
    <w:rsid w:val="000E34BB"/>
    <w:rsid w:val="000E34EB"/>
    <w:rsid w:val="000E3739"/>
    <w:rsid w:val="000E37D5"/>
    <w:rsid w:val="000E37E0"/>
    <w:rsid w:val="000E4500"/>
    <w:rsid w:val="000E5094"/>
    <w:rsid w:val="000E52EC"/>
    <w:rsid w:val="000E56C8"/>
    <w:rsid w:val="000E6C5D"/>
    <w:rsid w:val="000E70FF"/>
    <w:rsid w:val="000E737E"/>
    <w:rsid w:val="000E75E5"/>
    <w:rsid w:val="000E77CF"/>
    <w:rsid w:val="000F035F"/>
    <w:rsid w:val="000F0A23"/>
    <w:rsid w:val="000F0B08"/>
    <w:rsid w:val="000F0EE1"/>
    <w:rsid w:val="000F16AF"/>
    <w:rsid w:val="000F18FA"/>
    <w:rsid w:val="000F19AA"/>
    <w:rsid w:val="000F2992"/>
    <w:rsid w:val="000F2A1F"/>
    <w:rsid w:val="000F2B8D"/>
    <w:rsid w:val="000F2BF5"/>
    <w:rsid w:val="000F2DEA"/>
    <w:rsid w:val="000F35B2"/>
    <w:rsid w:val="000F398F"/>
    <w:rsid w:val="000F3AC2"/>
    <w:rsid w:val="000F4252"/>
    <w:rsid w:val="000F4543"/>
    <w:rsid w:val="000F481F"/>
    <w:rsid w:val="000F535D"/>
    <w:rsid w:val="000F54E0"/>
    <w:rsid w:val="000F5E6F"/>
    <w:rsid w:val="000F63A3"/>
    <w:rsid w:val="000F6C95"/>
    <w:rsid w:val="000F6F3D"/>
    <w:rsid w:val="000F75EF"/>
    <w:rsid w:val="000F7CA0"/>
    <w:rsid w:val="0010042E"/>
    <w:rsid w:val="0010088E"/>
    <w:rsid w:val="00100982"/>
    <w:rsid w:val="001010A5"/>
    <w:rsid w:val="001024D2"/>
    <w:rsid w:val="0010345C"/>
    <w:rsid w:val="00103704"/>
    <w:rsid w:val="00103DCF"/>
    <w:rsid w:val="00105097"/>
    <w:rsid w:val="00105D9F"/>
    <w:rsid w:val="001064C2"/>
    <w:rsid w:val="0010684D"/>
    <w:rsid w:val="00106A25"/>
    <w:rsid w:val="00106C42"/>
    <w:rsid w:val="00106C6D"/>
    <w:rsid w:val="00106F7F"/>
    <w:rsid w:val="0010704B"/>
    <w:rsid w:val="001075CC"/>
    <w:rsid w:val="00110AA5"/>
    <w:rsid w:val="00110F06"/>
    <w:rsid w:val="00111500"/>
    <w:rsid w:val="001117F4"/>
    <w:rsid w:val="00111CF4"/>
    <w:rsid w:val="00112226"/>
    <w:rsid w:val="00112306"/>
    <w:rsid w:val="00112E62"/>
    <w:rsid w:val="001137A2"/>
    <w:rsid w:val="00113F5A"/>
    <w:rsid w:val="00114022"/>
    <w:rsid w:val="001143DD"/>
    <w:rsid w:val="00114681"/>
    <w:rsid w:val="00115002"/>
    <w:rsid w:val="00115755"/>
    <w:rsid w:val="00115B5C"/>
    <w:rsid w:val="00115F5A"/>
    <w:rsid w:val="00117493"/>
    <w:rsid w:val="00117BD8"/>
    <w:rsid w:val="00120EDD"/>
    <w:rsid w:val="001212CE"/>
    <w:rsid w:val="00121556"/>
    <w:rsid w:val="001216FC"/>
    <w:rsid w:val="00121794"/>
    <w:rsid w:val="00121B5B"/>
    <w:rsid w:val="001221CD"/>
    <w:rsid w:val="001224E3"/>
    <w:rsid w:val="00122696"/>
    <w:rsid w:val="00122D71"/>
    <w:rsid w:val="00123AA5"/>
    <w:rsid w:val="00123C2E"/>
    <w:rsid w:val="001242BB"/>
    <w:rsid w:val="00124E7B"/>
    <w:rsid w:val="00125F89"/>
    <w:rsid w:val="001260F4"/>
    <w:rsid w:val="00126341"/>
    <w:rsid w:val="001267C4"/>
    <w:rsid w:val="00127913"/>
    <w:rsid w:val="00130092"/>
    <w:rsid w:val="001303D6"/>
    <w:rsid w:val="0013040D"/>
    <w:rsid w:val="00130ED5"/>
    <w:rsid w:val="001310C0"/>
    <w:rsid w:val="00131317"/>
    <w:rsid w:val="00131491"/>
    <w:rsid w:val="00131A28"/>
    <w:rsid w:val="00131CC4"/>
    <w:rsid w:val="00131F99"/>
    <w:rsid w:val="00132921"/>
    <w:rsid w:val="0013312A"/>
    <w:rsid w:val="00133528"/>
    <w:rsid w:val="001336CC"/>
    <w:rsid w:val="00134644"/>
    <w:rsid w:val="001349CD"/>
    <w:rsid w:val="00134A49"/>
    <w:rsid w:val="00134B4B"/>
    <w:rsid w:val="00134CEA"/>
    <w:rsid w:val="001353C2"/>
    <w:rsid w:val="00135B0D"/>
    <w:rsid w:val="0013652F"/>
    <w:rsid w:val="001367B5"/>
    <w:rsid w:val="001369A6"/>
    <w:rsid w:val="00136FC0"/>
    <w:rsid w:val="00137CCA"/>
    <w:rsid w:val="00140271"/>
    <w:rsid w:val="00140384"/>
    <w:rsid w:val="0014043F"/>
    <w:rsid w:val="00141475"/>
    <w:rsid w:val="001416ED"/>
    <w:rsid w:val="00142DE6"/>
    <w:rsid w:val="0014468D"/>
    <w:rsid w:val="0014479E"/>
    <w:rsid w:val="001449D1"/>
    <w:rsid w:val="001449FC"/>
    <w:rsid w:val="00144EDC"/>
    <w:rsid w:val="00144F4E"/>
    <w:rsid w:val="001453E0"/>
    <w:rsid w:val="001455FC"/>
    <w:rsid w:val="00145608"/>
    <w:rsid w:val="001458A8"/>
    <w:rsid w:val="00145BCA"/>
    <w:rsid w:val="00145CFB"/>
    <w:rsid w:val="00145F62"/>
    <w:rsid w:val="0014636E"/>
    <w:rsid w:val="001466A6"/>
    <w:rsid w:val="00147062"/>
    <w:rsid w:val="0014713A"/>
    <w:rsid w:val="0014749A"/>
    <w:rsid w:val="00147576"/>
    <w:rsid w:val="0014759B"/>
    <w:rsid w:val="00147927"/>
    <w:rsid w:val="00147B27"/>
    <w:rsid w:val="00147B33"/>
    <w:rsid w:val="00147B79"/>
    <w:rsid w:val="00150620"/>
    <w:rsid w:val="00150E76"/>
    <w:rsid w:val="00151608"/>
    <w:rsid w:val="00152083"/>
    <w:rsid w:val="00152F6E"/>
    <w:rsid w:val="00153425"/>
    <w:rsid w:val="00153823"/>
    <w:rsid w:val="00153C76"/>
    <w:rsid w:val="001546F9"/>
    <w:rsid w:val="001548B0"/>
    <w:rsid w:val="00154B41"/>
    <w:rsid w:val="0015546C"/>
    <w:rsid w:val="00155693"/>
    <w:rsid w:val="001561BE"/>
    <w:rsid w:val="001566FE"/>
    <w:rsid w:val="001572DC"/>
    <w:rsid w:val="00157909"/>
    <w:rsid w:val="00161129"/>
    <w:rsid w:val="00161311"/>
    <w:rsid w:val="00161391"/>
    <w:rsid w:val="001613EA"/>
    <w:rsid w:val="00161C40"/>
    <w:rsid w:val="001626DA"/>
    <w:rsid w:val="0016272D"/>
    <w:rsid w:val="001630A6"/>
    <w:rsid w:val="001633A6"/>
    <w:rsid w:val="00163E86"/>
    <w:rsid w:val="001640E7"/>
    <w:rsid w:val="001646AE"/>
    <w:rsid w:val="00164B09"/>
    <w:rsid w:val="00164C91"/>
    <w:rsid w:val="00164E8D"/>
    <w:rsid w:val="00165074"/>
    <w:rsid w:val="00165E44"/>
    <w:rsid w:val="001661FD"/>
    <w:rsid w:val="0016670F"/>
    <w:rsid w:val="00166A71"/>
    <w:rsid w:val="00166DF7"/>
    <w:rsid w:val="00167365"/>
    <w:rsid w:val="00167627"/>
    <w:rsid w:val="00167F5E"/>
    <w:rsid w:val="00170276"/>
    <w:rsid w:val="00170365"/>
    <w:rsid w:val="00170558"/>
    <w:rsid w:val="0017077D"/>
    <w:rsid w:val="001707A7"/>
    <w:rsid w:val="0017152F"/>
    <w:rsid w:val="00171599"/>
    <w:rsid w:val="001716AD"/>
    <w:rsid w:val="00172082"/>
    <w:rsid w:val="001728B0"/>
    <w:rsid w:val="00173789"/>
    <w:rsid w:val="001738CF"/>
    <w:rsid w:val="001761DE"/>
    <w:rsid w:val="001761EC"/>
    <w:rsid w:val="00177F8C"/>
    <w:rsid w:val="00180B0B"/>
    <w:rsid w:val="00180B92"/>
    <w:rsid w:val="00180EDB"/>
    <w:rsid w:val="001812C5"/>
    <w:rsid w:val="001816DC"/>
    <w:rsid w:val="00181732"/>
    <w:rsid w:val="00182313"/>
    <w:rsid w:val="0018243D"/>
    <w:rsid w:val="00182A77"/>
    <w:rsid w:val="00184654"/>
    <w:rsid w:val="0018483F"/>
    <w:rsid w:val="00184863"/>
    <w:rsid w:val="0018531A"/>
    <w:rsid w:val="001858A2"/>
    <w:rsid w:val="001861CC"/>
    <w:rsid w:val="00186716"/>
    <w:rsid w:val="00186C31"/>
    <w:rsid w:val="001870FC"/>
    <w:rsid w:val="00187E3B"/>
    <w:rsid w:val="0019001C"/>
    <w:rsid w:val="00190164"/>
    <w:rsid w:val="00190983"/>
    <w:rsid w:val="0019131E"/>
    <w:rsid w:val="00191C8A"/>
    <w:rsid w:val="00191FDF"/>
    <w:rsid w:val="001922A0"/>
    <w:rsid w:val="00193518"/>
    <w:rsid w:val="0019368A"/>
    <w:rsid w:val="00194687"/>
    <w:rsid w:val="001953EC"/>
    <w:rsid w:val="00195588"/>
    <w:rsid w:val="0019585C"/>
    <w:rsid w:val="00196101"/>
    <w:rsid w:val="00196883"/>
    <w:rsid w:val="001968F1"/>
    <w:rsid w:val="00196FBE"/>
    <w:rsid w:val="0019718C"/>
    <w:rsid w:val="001A003D"/>
    <w:rsid w:val="001A004D"/>
    <w:rsid w:val="001A0DD5"/>
    <w:rsid w:val="001A1201"/>
    <w:rsid w:val="001A1BDA"/>
    <w:rsid w:val="001A2435"/>
    <w:rsid w:val="001A3825"/>
    <w:rsid w:val="001A3C0F"/>
    <w:rsid w:val="001A6249"/>
    <w:rsid w:val="001A78BD"/>
    <w:rsid w:val="001A7A7A"/>
    <w:rsid w:val="001B0344"/>
    <w:rsid w:val="001B06D2"/>
    <w:rsid w:val="001B0797"/>
    <w:rsid w:val="001B0CC4"/>
    <w:rsid w:val="001B1960"/>
    <w:rsid w:val="001B1A70"/>
    <w:rsid w:val="001B1F38"/>
    <w:rsid w:val="001B202D"/>
    <w:rsid w:val="001B2563"/>
    <w:rsid w:val="001B2B84"/>
    <w:rsid w:val="001B2FFA"/>
    <w:rsid w:val="001B3400"/>
    <w:rsid w:val="001B4167"/>
    <w:rsid w:val="001B4E8E"/>
    <w:rsid w:val="001B4FD4"/>
    <w:rsid w:val="001B5138"/>
    <w:rsid w:val="001B51F0"/>
    <w:rsid w:val="001B5502"/>
    <w:rsid w:val="001B5792"/>
    <w:rsid w:val="001B57C6"/>
    <w:rsid w:val="001B5D79"/>
    <w:rsid w:val="001B6184"/>
    <w:rsid w:val="001C0A28"/>
    <w:rsid w:val="001C0BA2"/>
    <w:rsid w:val="001C139F"/>
    <w:rsid w:val="001C1EF1"/>
    <w:rsid w:val="001C2043"/>
    <w:rsid w:val="001C2AFB"/>
    <w:rsid w:val="001C30D6"/>
    <w:rsid w:val="001C34CC"/>
    <w:rsid w:val="001C54FC"/>
    <w:rsid w:val="001C5522"/>
    <w:rsid w:val="001C58D3"/>
    <w:rsid w:val="001C5D25"/>
    <w:rsid w:val="001C6646"/>
    <w:rsid w:val="001C6D27"/>
    <w:rsid w:val="001C6D48"/>
    <w:rsid w:val="001C72F3"/>
    <w:rsid w:val="001D05E5"/>
    <w:rsid w:val="001D0ABA"/>
    <w:rsid w:val="001D1198"/>
    <w:rsid w:val="001D1E51"/>
    <w:rsid w:val="001D2640"/>
    <w:rsid w:val="001D35F3"/>
    <w:rsid w:val="001D3B9A"/>
    <w:rsid w:val="001D45B6"/>
    <w:rsid w:val="001D4F97"/>
    <w:rsid w:val="001D525D"/>
    <w:rsid w:val="001D54AB"/>
    <w:rsid w:val="001D5714"/>
    <w:rsid w:val="001D60D3"/>
    <w:rsid w:val="001D6438"/>
    <w:rsid w:val="001D7981"/>
    <w:rsid w:val="001E167F"/>
    <w:rsid w:val="001E1899"/>
    <w:rsid w:val="001E2EBF"/>
    <w:rsid w:val="001E3BBD"/>
    <w:rsid w:val="001E3FE7"/>
    <w:rsid w:val="001E415C"/>
    <w:rsid w:val="001E46F2"/>
    <w:rsid w:val="001E4954"/>
    <w:rsid w:val="001E4EB3"/>
    <w:rsid w:val="001E4FD8"/>
    <w:rsid w:val="001E5007"/>
    <w:rsid w:val="001E581B"/>
    <w:rsid w:val="001E5916"/>
    <w:rsid w:val="001E5E8D"/>
    <w:rsid w:val="001E61E0"/>
    <w:rsid w:val="001E6A4F"/>
    <w:rsid w:val="001E7BC8"/>
    <w:rsid w:val="001E7F03"/>
    <w:rsid w:val="001F14B7"/>
    <w:rsid w:val="001F159D"/>
    <w:rsid w:val="001F1795"/>
    <w:rsid w:val="001F1DCE"/>
    <w:rsid w:val="001F2503"/>
    <w:rsid w:val="001F26F6"/>
    <w:rsid w:val="001F2725"/>
    <w:rsid w:val="001F290A"/>
    <w:rsid w:val="001F2CBE"/>
    <w:rsid w:val="001F2D18"/>
    <w:rsid w:val="001F3B5E"/>
    <w:rsid w:val="001F3E88"/>
    <w:rsid w:val="001F454E"/>
    <w:rsid w:val="001F5378"/>
    <w:rsid w:val="001F5459"/>
    <w:rsid w:val="001F57CB"/>
    <w:rsid w:val="001F78A1"/>
    <w:rsid w:val="00200006"/>
    <w:rsid w:val="00200320"/>
    <w:rsid w:val="0020052C"/>
    <w:rsid w:val="00201273"/>
    <w:rsid w:val="00201A85"/>
    <w:rsid w:val="002028BE"/>
    <w:rsid w:val="00202E62"/>
    <w:rsid w:val="00202ED2"/>
    <w:rsid w:val="00202FD7"/>
    <w:rsid w:val="00203611"/>
    <w:rsid w:val="0020392B"/>
    <w:rsid w:val="00203B7B"/>
    <w:rsid w:val="002043CB"/>
    <w:rsid w:val="00204656"/>
    <w:rsid w:val="00204B53"/>
    <w:rsid w:val="00204ECB"/>
    <w:rsid w:val="002054A3"/>
    <w:rsid w:val="00205A46"/>
    <w:rsid w:val="00206641"/>
    <w:rsid w:val="0020718E"/>
    <w:rsid w:val="0020725C"/>
    <w:rsid w:val="00207349"/>
    <w:rsid w:val="002076DF"/>
    <w:rsid w:val="002078B6"/>
    <w:rsid w:val="00207C59"/>
    <w:rsid w:val="00207F61"/>
    <w:rsid w:val="002102E4"/>
    <w:rsid w:val="0021039C"/>
    <w:rsid w:val="00210523"/>
    <w:rsid w:val="00210D57"/>
    <w:rsid w:val="00211272"/>
    <w:rsid w:val="00212CC1"/>
    <w:rsid w:val="0021406B"/>
    <w:rsid w:val="00214150"/>
    <w:rsid w:val="00214211"/>
    <w:rsid w:val="002144CA"/>
    <w:rsid w:val="00215400"/>
    <w:rsid w:val="002159E9"/>
    <w:rsid w:val="00216B12"/>
    <w:rsid w:val="00216DD4"/>
    <w:rsid w:val="00216E6E"/>
    <w:rsid w:val="002172B4"/>
    <w:rsid w:val="002176B1"/>
    <w:rsid w:val="00217AEF"/>
    <w:rsid w:val="00221278"/>
    <w:rsid w:val="0022146A"/>
    <w:rsid w:val="00221D42"/>
    <w:rsid w:val="00221E35"/>
    <w:rsid w:val="00221E7E"/>
    <w:rsid w:val="00222186"/>
    <w:rsid w:val="0022360A"/>
    <w:rsid w:val="00223F37"/>
    <w:rsid w:val="00224040"/>
    <w:rsid w:val="00224735"/>
    <w:rsid w:val="00224EF3"/>
    <w:rsid w:val="0022550A"/>
    <w:rsid w:val="002256BE"/>
    <w:rsid w:val="00225714"/>
    <w:rsid w:val="002267B9"/>
    <w:rsid w:val="002269C2"/>
    <w:rsid w:val="00227110"/>
    <w:rsid w:val="002272F2"/>
    <w:rsid w:val="002275FF"/>
    <w:rsid w:val="0023067F"/>
    <w:rsid w:val="0023146B"/>
    <w:rsid w:val="00231A5A"/>
    <w:rsid w:val="00231EB2"/>
    <w:rsid w:val="00232EE0"/>
    <w:rsid w:val="00232F25"/>
    <w:rsid w:val="00233B0D"/>
    <w:rsid w:val="00233BEA"/>
    <w:rsid w:val="00234228"/>
    <w:rsid w:val="002346C7"/>
    <w:rsid w:val="00234707"/>
    <w:rsid w:val="00235A27"/>
    <w:rsid w:val="00236CA5"/>
    <w:rsid w:val="00236F8F"/>
    <w:rsid w:val="002400E0"/>
    <w:rsid w:val="00240FD6"/>
    <w:rsid w:val="00241430"/>
    <w:rsid w:val="002416B7"/>
    <w:rsid w:val="002416E9"/>
    <w:rsid w:val="002417C7"/>
    <w:rsid w:val="0024296A"/>
    <w:rsid w:val="00242AA0"/>
    <w:rsid w:val="0024366B"/>
    <w:rsid w:val="00244C93"/>
    <w:rsid w:val="00244CB6"/>
    <w:rsid w:val="002458BD"/>
    <w:rsid w:val="00245BC0"/>
    <w:rsid w:val="0024622C"/>
    <w:rsid w:val="00246C82"/>
    <w:rsid w:val="00247ABE"/>
    <w:rsid w:val="0025054A"/>
    <w:rsid w:val="00250A81"/>
    <w:rsid w:val="00250BD8"/>
    <w:rsid w:val="00250CDA"/>
    <w:rsid w:val="00251130"/>
    <w:rsid w:val="00251318"/>
    <w:rsid w:val="0025167C"/>
    <w:rsid w:val="00251A03"/>
    <w:rsid w:val="00251BBC"/>
    <w:rsid w:val="00252F2D"/>
    <w:rsid w:val="0025338C"/>
    <w:rsid w:val="00253FC4"/>
    <w:rsid w:val="002542E9"/>
    <w:rsid w:val="0025479F"/>
    <w:rsid w:val="0025499C"/>
    <w:rsid w:val="00255652"/>
    <w:rsid w:val="00255A4B"/>
    <w:rsid w:val="00255FC7"/>
    <w:rsid w:val="002562B7"/>
    <w:rsid w:val="00256A64"/>
    <w:rsid w:val="00256DBA"/>
    <w:rsid w:val="0025757D"/>
    <w:rsid w:val="002576F6"/>
    <w:rsid w:val="002578DF"/>
    <w:rsid w:val="00257EF6"/>
    <w:rsid w:val="00260BEA"/>
    <w:rsid w:val="002612C3"/>
    <w:rsid w:val="0026261E"/>
    <w:rsid w:val="0026313E"/>
    <w:rsid w:val="00263244"/>
    <w:rsid w:val="00263A32"/>
    <w:rsid w:val="00263E6F"/>
    <w:rsid w:val="00264BA1"/>
    <w:rsid w:val="00264E86"/>
    <w:rsid w:val="0026521B"/>
    <w:rsid w:val="002658BB"/>
    <w:rsid w:val="002663E8"/>
    <w:rsid w:val="002669AE"/>
    <w:rsid w:val="00270E9D"/>
    <w:rsid w:val="00270FBE"/>
    <w:rsid w:val="00271828"/>
    <w:rsid w:val="00271AA3"/>
    <w:rsid w:val="00271C2A"/>
    <w:rsid w:val="002724CF"/>
    <w:rsid w:val="00272716"/>
    <w:rsid w:val="00272B7C"/>
    <w:rsid w:val="00273246"/>
    <w:rsid w:val="00273456"/>
    <w:rsid w:val="002739C6"/>
    <w:rsid w:val="00273FC8"/>
    <w:rsid w:val="0027438B"/>
    <w:rsid w:val="00274E99"/>
    <w:rsid w:val="00275457"/>
    <w:rsid w:val="00275BC5"/>
    <w:rsid w:val="00275CB9"/>
    <w:rsid w:val="00275D56"/>
    <w:rsid w:val="00275DAA"/>
    <w:rsid w:val="00276147"/>
    <w:rsid w:val="0027618E"/>
    <w:rsid w:val="00276544"/>
    <w:rsid w:val="00276D5F"/>
    <w:rsid w:val="00276E8E"/>
    <w:rsid w:val="00277113"/>
    <w:rsid w:val="0027732E"/>
    <w:rsid w:val="002775AF"/>
    <w:rsid w:val="002775CD"/>
    <w:rsid w:val="002805D0"/>
    <w:rsid w:val="0028065B"/>
    <w:rsid w:val="002809AB"/>
    <w:rsid w:val="00280AE1"/>
    <w:rsid w:val="00280CFF"/>
    <w:rsid w:val="00281199"/>
    <w:rsid w:val="00281F27"/>
    <w:rsid w:val="0028278D"/>
    <w:rsid w:val="0028285E"/>
    <w:rsid w:val="002828D4"/>
    <w:rsid w:val="00282A6F"/>
    <w:rsid w:val="00282B34"/>
    <w:rsid w:val="00282CB9"/>
    <w:rsid w:val="00282FB3"/>
    <w:rsid w:val="002832DD"/>
    <w:rsid w:val="00283FEA"/>
    <w:rsid w:val="00284DF8"/>
    <w:rsid w:val="002851AA"/>
    <w:rsid w:val="00285756"/>
    <w:rsid w:val="00285B5E"/>
    <w:rsid w:val="00286079"/>
    <w:rsid w:val="0028640D"/>
    <w:rsid w:val="00286A1A"/>
    <w:rsid w:val="00286AC9"/>
    <w:rsid w:val="0028720B"/>
    <w:rsid w:val="00287612"/>
    <w:rsid w:val="00287D9D"/>
    <w:rsid w:val="00287F39"/>
    <w:rsid w:val="00291C18"/>
    <w:rsid w:val="00291CBC"/>
    <w:rsid w:val="0029381A"/>
    <w:rsid w:val="00293EC0"/>
    <w:rsid w:val="002941AF"/>
    <w:rsid w:val="0029434F"/>
    <w:rsid w:val="00294E97"/>
    <w:rsid w:val="00294F01"/>
    <w:rsid w:val="00295341"/>
    <w:rsid w:val="0029545A"/>
    <w:rsid w:val="00295B91"/>
    <w:rsid w:val="00295DE1"/>
    <w:rsid w:val="0029663D"/>
    <w:rsid w:val="002970C4"/>
    <w:rsid w:val="00297121"/>
    <w:rsid w:val="002972C2"/>
    <w:rsid w:val="00297994"/>
    <w:rsid w:val="002979D5"/>
    <w:rsid w:val="00297D31"/>
    <w:rsid w:val="00297D63"/>
    <w:rsid w:val="00297DDC"/>
    <w:rsid w:val="002A007D"/>
    <w:rsid w:val="002A06D4"/>
    <w:rsid w:val="002A1126"/>
    <w:rsid w:val="002A17FC"/>
    <w:rsid w:val="002A229B"/>
    <w:rsid w:val="002A27B4"/>
    <w:rsid w:val="002A2EA5"/>
    <w:rsid w:val="002A36B7"/>
    <w:rsid w:val="002A4159"/>
    <w:rsid w:val="002A417A"/>
    <w:rsid w:val="002A4370"/>
    <w:rsid w:val="002A4486"/>
    <w:rsid w:val="002A48E6"/>
    <w:rsid w:val="002A4C6C"/>
    <w:rsid w:val="002A4FFE"/>
    <w:rsid w:val="002A69A5"/>
    <w:rsid w:val="002A715E"/>
    <w:rsid w:val="002A753F"/>
    <w:rsid w:val="002A76A3"/>
    <w:rsid w:val="002A7A17"/>
    <w:rsid w:val="002B016E"/>
    <w:rsid w:val="002B02E1"/>
    <w:rsid w:val="002B1964"/>
    <w:rsid w:val="002B1B18"/>
    <w:rsid w:val="002B1C69"/>
    <w:rsid w:val="002B20DD"/>
    <w:rsid w:val="002B2185"/>
    <w:rsid w:val="002B229B"/>
    <w:rsid w:val="002B241F"/>
    <w:rsid w:val="002B2A64"/>
    <w:rsid w:val="002B3078"/>
    <w:rsid w:val="002B31A0"/>
    <w:rsid w:val="002B34A4"/>
    <w:rsid w:val="002B35D7"/>
    <w:rsid w:val="002B36F0"/>
    <w:rsid w:val="002B37F7"/>
    <w:rsid w:val="002B39A0"/>
    <w:rsid w:val="002B40E6"/>
    <w:rsid w:val="002B4291"/>
    <w:rsid w:val="002B4330"/>
    <w:rsid w:val="002B471C"/>
    <w:rsid w:val="002B5708"/>
    <w:rsid w:val="002B5A4A"/>
    <w:rsid w:val="002B5DAB"/>
    <w:rsid w:val="002B5F43"/>
    <w:rsid w:val="002B6541"/>
    <w:rsid w:val="002B6ACB"/>
    <w:rsid w:val="002B71DE"/>
    <w:rsid w:val="002B77F6"/>
    <w:rsid w:val="002B7F04"/>
    <w:rsid w:val="002C09F0"/>
    <w:rsid w:val="002C1150"/>
    <w:rsid w:val="002C1B85"/>
    <w:rsid w:val="002C2211"/>
    <w:rsid w:val="002C2D0F"/>
    <w:rsid w:val="002C2FA4"/>
    <w:rsid w:val="002C3242"/>
    <w:rsid w:val="002C324B"/>
    <w:rsid w:val="002C359D"/>
    <w:rsid w:val="002C476D"/>
    <w:rsid w:val="002C4FDE"/>
    <w:rsid w:val="002C5F55"/>
    <w:rsid w:val="002C637C"/>
    <w:rsid w:val="002C69CB"/>
    <w:rsid w:val="002C74B6"/>
    <w:rsid w:val="002D01B2"/>
    <w:rsid w:val="002D0400"/>
    <w:rsid w:val="002D0401"/>
    <w:rsid w:val="002D1DBE"/>
    <w:rsid w:val="002D2115"/>
    <w:rsid w:val="002D2242"/>
    <w:rsid w:val="002D24E6"/>
    <w:rsid w:val="002D336D"/>
    <w:rsid w:val="002D368E"/>
    <w:rsid w:val="002D39CA"/>
    <w:rsid w:val="002D6153"/>
    <w:rsid w:val="002D6F9F"/>
    <w:rsid w:val="002D74E9"/>
    <w:rsid w:val="002D7D76"/>
    <w:rsid w:val="002D7FED"/>
    <w:rsid w:val="002E018A"/>
    <w:rsid w:val="002E05F0"/>
    <w:rsid w:val="002E092E"/>
    <w:rsid w:val="002E0AA2"/>
    <w:rsid w:val="002E0B55"/>
    <w:rsid w:val="002E0BD1"/>
    <w:rsid w:val="002E1064"/>
    <w:rsid w:val="002E176F"/>
    <w:rsid w:val="002E2109"/>
    <w:rsid w:val="002E278B"/>
    <w:rsid w:val="002E284D"/>
    <w:rsid w:val="002E3990"/>
    <w:rsid w:val="002E4145"/>
    <w:rsid w:val="002E42C9"/>
    <w:rsid w:val="002E4896"/>
    <w:rsid w:val="002E520D"/>
    <w:rsid w:val="002E548C"/>
    <w:rsid w:val="002E54AE"/>
    <w:rsid w:val="002E5EC5"/>
    <w:rsid w:val="002E60A0"/>
    <w:rsid w:val="002E60D2"/>
    <w:rsid w:val="002E60FA"/>
    <w:rsid w:val="002E6583"/>
    <w:rsid w:val="002E6742"/>
    <w:rsid w:val="002E6DD9"/>
    <w:rsid w:val="002E6E3E"/>
    <w:rsid w:val="002E7426"/>
    <w:rsid w:val="002F04AC"/>
    <w:rsid w:val="002F04AE"/>
    <w:rsid w:val="002F1EF2"/>
    <w:rsid w:val="002F230A"/>
    <w:rsid w:val="002F297A"/>
    <w:rsid w:val="002F2C35"/>
    <w:rsid w:val="002F3604"/>
    <w:rsid w:val="002F42DD"/>
    <w:rsid w:val="002F43F3"/>
    <w:rsid w:val="002F4588"/>
    <w:rsid w:val="002F4976"/>
    <w:rsid w:val="002F49AE"/>
    <w:rsid w:val="002F5B71"/>
    <w:rsid w:val="002F65A6"/>
    <w:rsid w:val="002F781E"/>
    <w:rsid w:val="003003B2"/>
    <w:rsid w:val="003006DB"/>
    <w:rsid w:val="00300CA8"/>
    <w:rsid w:val="00300D05"/>
    <w:rsid w:val="00300DBC"/>
    <w:rsid w:val="003012BE"/>
    <w:rsid w:val="00301577"/>
    <w:rsid w:val="0030236B"/>
    <w:rsid w:val="00303447"/>
    <w:rsid w:val="00303747"/>
    <w:rsid w:val="00303880"/>
    <w:rsid w:val="00303A74"/>
    <w:rsid w:val="00303B65"/>
    <w:rsid w:val="00303E57"/>
    <w:rsid w:val="00304014"/>
    <w:rsid w:val="003044B3"/>
    <w:rsid w:val="003059A9"/>
    <w:rsid w:val="0030657E"/>
    <w:rsid w:val="0030697B"/>
    <w:rsid w:val="00306DD9"/>
    <w:rsid w:val="003071DA"/>
    <w:rsid w:val="00307541"/>
    <w:rsid w:val="0030766E"/>
    <w:rsid w:val="003077C4"/>
    <w:rsid w:val="00307C65"/>
    <w:rsid w:val="00307F62"/>
    <w:rsid w:val="00310777"/>
    <w:rsid w:val="00310E5B"/>
    <w:rsid w:val="00310E6A"/>
    <w:rsid w:val="0031168E"/>
    <w:rsid w:val="003126BD"/>
    <w:rsid w:val="0031282D"/>
    <w:rsid w:val="00312D1A"/>
    <w:rsid w:val="00312EC2"/>
    <w:rsid w:val="003133ED"/>
    <w:rsid w:val="003137D5"/>
    <w:rsid w:val="00313B08"/>
    <w:rsid w:val="00313D00"/>
    <w:rsid w:val="00314043"/>
    <w:rsid w:val="0031449D"/>
    <w:rsid w:val="003149CD"/>
    <w:rsid w:val="003150E4"/>
    <w:rsid w:val="003152EE"/>
    <w:rsid w:val="00316635"/>
    <w:rsid w:val="003168F7"/>
    <w:rsid w:val="00316ED0"/>
    <w:rsid w:val="003173BD"/>
    <w:rsid w:val="00317656"/>
    <w:rsid w:val="003177DE"/>
    <w:rsid w:val="00317B1E"/>
    <w:rsid w:val="003201B5"/>
    <w:rsid w:val="00320490"/>
    <w:rsid w:val="00320ADB"/>
    <w:rsid w:val="003216AB"/>
    <w:rsid w:val="00322947"/>
    <w:rsid w:val="003229BF"/>
    <w:rsid w:val="00322A05"/>
    <w:rsid w:val="00322AFA"/>
    <w:rsid w:val="003239D9"/>
    <w:rsid w:val="00323E3F"/>
    <w:rsid w:val="00324799"/>
    <w:rsid w:val="00324A10"/>
    <w:rsid w:val="00324BAE"/>
    <w:rsid w:val="00324F26"/>
    <w:rsid w:val="00324F81"/>
    <w:rsid w:val="00325902"/>
    <w:rsid w:val="00325CE1"/>
    <w:rsid w:val="00325D8E"/>
    <w:rsid w:val="00326374"/>
    <w:rsid w:val="00326454"/>
    <w:rsid w:val="0032661C"/>
    <w:rsid w:val="00326B47"/>
    <w:rsid w:val="00326EEC"/>
    <w:rsid w:val="00327C6B"/>
    <w:rsid w:val="003308AB"/>
    <w:rsid w:val="00330D3B"/>
    <w:rsid w:val="0033114E"/>
    <w:rsid w:val="00331381"/>
    <w:rsid w:val="00331389"/>
    <w:rsid w:val="00331394"/>
    <w:rsid w:val="00331C57"/>
    <w:rsid w:val="00331CF3"/>
    <w:rsid w:val="00332FCB"/>
    <w:rsid w:val="003337D4"/>
    <w:rsid w:val="00333C3B"/>
    <w:rsid w:val="0033465B"/>
    <w:rsid w:val="00334A4F"/>
    <w:rsid w:val="00335266"/>
    <w:rsid w:val="00335E72"/>
    <w:rsid w:val="0033677B"/>
    <w:rsid w:val="003368F3"/>
    <w:rsid w:val="00337378"/>
    <w:rsid w:val="003376A6"/>
    <w:rsid w:val="00340C3A"/>
    <w:rsid w:val="00341197"/>
    <w:rsid w:val="0034134E"/>
    <w:rsid w:val="00341B3D"/>
    <w:rsid w:val="00342AC1"/>
    <w:rsid w:val="00342F88"/>
    <w:rsid w:val="00343026"/>
    <w:rsid w:val="003433FC"/>
    <w:rsid w:val="00343B61"/>
    <w:rsid w:val="00344255"/>
    <w:rsid w:val="00344292"/>
    <w:rsid w:val="00344AD7"/>
    <w:rsid w:val="00344F33"/>
    <w:rsid w:val="0034502A"/>
    <w:rsid w:val="00345091"/>
    <w:rsid w:val="00345A37"/>
    <w:rsid w:val="00345BB9"/>
    <w:rsid w:val="00345DE0"/>
    <w:rsid w:val="00345E33"/>
    <w:rsid w:val="00346F6B"/>
    <w:rsid w:val="003474EC"/>
    <w:rsid w:val="00347E0D"/>
    <w:rsid w:val="00347E80"/>
    <w:rsid w:val="0035069C"/>
    <w:rsid w:val="00350A28"/>
    <w:rsid w:val="00350F18"/>
    <w:rsid w:val="00351E75"/>
    <w:rsid w:val="003524DF"/>
    <w:rsid w:val="00352AA1"/>
    <w:rsid w:val="00353752"/>
    <w:rsid w:val="00353AD2"/>
    <w:rsid w:val="00353DEF"/>
    <w:rsid w:val="00354274"/>
    <w:rsid w:val="003543F3"/>
    <w:rsid w:val="00355550"/>
    <w:rsid w:val="003556CC"/>
    <w:rsid w:val="003559FB"/>
    <w:rsid w:val="00355ECF"/>
    <w:rsid w:val="0035622B"/>
    <w:rsid w:val="0035660B"/>
    <w:rsid w:val="00356F38"/>
    <w:rsid w:val="0036078B"/>
    <w:rsid w:val="003608B1"/>
    <w:rsid w:val="00360A4D"/>
    <w:rsid w:val="00360B54"/>
    <w:rsid w:val="00360F54"/>
    <w:rsid w:val="0036116B"/>
    <w:rsid w:val="00361B19"/>
    <w:rsid w:val="00362571"/>
    <w:rsid w:val="00362BC0"/>
    <w:rsid w:val="00362E30"/>
    <w:rsid w:val="00362EC6"/>
    <w:rsid w:val="0036313E"/>
    <w:rsid w:val="00363563"/>
    <w:rsid w:val="00363669"/>
    <w:rsid w:val="003639E0"/>
    <w:rsid w:val="00363A26"/>
    <w:rsid w:val="00363D15"/>
    <w:rsid w:val="0036430C"/>
    <w:rsid w:val="003651B2"/>
    <w:rsid w:val="00365631"/>
    <w:rsid w:val="003657BD"/>
    <w:rsid w:val="00370030"/>
    <w:rsid w:val="00370B9F"/>
    <w:rsid w:val="003710A1"/>
    <w:rsid w:val="003711C4"/>
    <w:rsid w:val="00371C66"/>
    <w:rsid w:val="00371CD7"/>
    <w:rsid w:val="00373396"/>
    <w:rsid w:val="003733FB"/>
    <w:rsid w:val="00373747"/>
    <w:rsid w:val="00374045"/>
    <w:rsid w:val="00374C0D"/>
    <w:rsid w:val="003750E8"/>
    <w:rsid w:val="0037569E"/>
    <w:rsid w:val="00375B39"/>
    <w:rsid w:val="0037641E"/>
    <w:rsid w:val="003770B6"/>
    <w:rsid w:val="00377117"/>
    <w:rsid w:val="00377258"/>
    <w:rsid w:val="00377405"/>
    <w:rsid w:val="00377E66"/>
    <w:rsid w:val="0038038F"/>
    <w:rsid w:val="003807A1"/>
    <w:rsid w:val="00380E74"/>
    <w:rsid w:val="0038209D"/>
    <w:rsid w:val="00382315"/>
    <w:rsid w:val="0038242A"/>
    <w:rsid w:val="00382598"/>
    <w:rsid w:val="003828EB"/>
    <w:rsid w:val="00382D02"/>
    <w:rsid w:val="003840A1"/>
    <w:rsid w:val="0038411A"/>
    <w:rsid w:val="00385A16"/>
    <w:rsid w:val="00385D6B"/>
    <w:rsid w:val="003860BA"/>
    <w:rsid w:val="003865D6"/>
    <w:rsid w:val="00386A83"/>
    <w:rsid w:val="00386D0E"/>
    <w:rsid w:val="00386FBF"/>
    <w:rsid w:val="00387E5A"/>
    <w:rsid w:val="0039012D"/>
    <w:rsid w:val="00390409"/>
    <w:rsid w:val="00390782"/>
    <w:rsid w:val="0039133F"/>
    <w:rsid w:val="0039147B"/>
    <w:rsid w:val="00391A62"/>
    <w:rsid w:val="00391F1F"/>
    <w:rsid w:val="0039223A"/>
    <w:rsid w:val="00392C6F"/>
    <w:rsid w:val="0039333F"/>
    <w:rsid w:val="00393650"/>
    <w:rsid w:val="00393C58"/>
    <w:rsid w:val="003943F7"/>
    <w:rsid w:val="00394540"/>
    <w:rsid w:val="003952FF"/>
    <w:rsid w:val="00396A3A"/>
    <w:rsid w:val="00396D98"/>
    <w:rsid w:val="00396FC4"/>
    <w:rsid w:val="00397C91"/>
    <w:rsid w:val="00397EC0"/>
    <w:rsid w:val="003A040A"/>
    <w:rsid w:val="003A09F9"/>
    <w:rsid w:val="003A0C18"/>
    <w:rsid w:val="003A1632"/>
    <w:rsid w:val="003A201E"/>
    <w:rsid w:val="003A2171"/>
    <w:rsid w:val="003A2358"/>
    <w:rsid w:val="003A243C"/>
    <w:rsid w:val="003A27F4"/>
    <w:rsid w:val="003A2B53"/>
    <w:rsid w:val="003A2DED"/>
    <w:rsid w:val="003A30B2"/>
    <w:rsid w:val="003A3E8D"/>
    <w:rsid w:val="003A4C61"/>
    <w:rsid w:val="003A4E29"/>
    <w:rsid w:val="003A508A"/>
    <w:rsid w:val="003A5163"/>
    <w:rsid w:val="003A5610"/>
    <w:rsid w:val="003A5B0A"/>
    <w:rsid w:val="003A6307"/>
    <w:rsid w:val="003A6313"/>
    <w:rsid w:val="003A7144"/>
    <w:rsid w:val="003A7F2C"/>
    <w:rsid w:val="003B0227"/>
    <w:rsid w:val="003B0558"/>
    <w:rsid w:val="003B0EC0"/>
    <w:rsid w:val="003B0F51"/>
    <w:rsid w:val="003B1D32"/>
    <w:rsid w:val="003B2671"/>
    <w:rsid w:val="003B2DED"/>
    <w:rsid w:val="003B3254"/>
    <w:rsid w:val="003B36E9"/>
    <w:rsid w:val="003B3DF1"/>
    <w:rsid w:val="003B462E"/>
    <w:rsid w:val="003B5161"/>
    <w:rsid w:val="003B59CA"/>
    <w:rsid w:val="003B5DEA"/>
    <w:rsid w:val="003B6065"/>
    <w:rsid w:val="003B6528"/>
    <w:rsid w:val="003B6555"/>
    <w:rsid w:val="003B66A4"/>
    <w:rsid w:val="003B70FC"/>
    <w:rsid w:val="003B7668"/>
    <w:rsid w:val="003B7875"/>
    <w:rsid w:val="003B7FAB"/>
    <w:rsid w:val="003C0747"/>
    <w:rsid w:val="003C0B8B"/>
    <w:rsid w:val="003C0E10"/>
    <w:rsid w:val="003C1134"/>
    <w:rsid w:val="003C11AF"/>
    <w:rsid w:val="003C14EF"/>
    <w:rsid w:val="003C1680"/>
    <w:rsid w:val="003C1BA7"/>
    <w:rsid w:val="003C20F6"/>
    <w:rsid w:val="003C2107"/>
    <w:rsid w:val="003C238F"/>
    <w:rsid w:val="003C2F77"/>
    <w:rsid w:val="003C3336"/>
    <w:rsid w:val="003C430D"/>
    <w:rsid w:val="003C57A9"/>
    <w:rsid w:val="003C5EAE"/>
    <w:rsid w:val="003C5FCA"/>
    <w:rsid w:val="003C610A"/>
    <w:rsid w:val="003C6557"/>
    <w:rsid w:val="003C65C8"/>
    <w:rsid w:val="003C663D"/>
    <w:rsid w:val="003C778A"/>
    <w:rsid w:val="003D05F9"/>
    <w:rsid w:val="003D0605"/>
    <w:rsid w:val="003D081B"/>
    <w:rsid w:val="003D08AE"/>
    <w:rsid w:val="003D19F2"/>
    <w:rsid w:val="003D41C6"/>
    <w:rsid w:val="003D4C50"/>
    <w:rsid w:val="003D4E57"/>
    <w:rsid w:val="003D58F9"/>
    <w:rsid w:val="003D5DAB"/>
    <w:rsid w:val="003D5F76"/>
    <w:rsid w:val="003D5FB3"/>
    <w:rsid w:val="003D63A2"/>
    <w:rsid w:val="003D65E0"/>
    <w:rsid w:val="003D6788"/>
    <w:rsid w:val="003D6A99"/>
    <w:rsid w:val="003D732C"/>
    <w:rsid w:val="003D7CB7"/>
    <w:rsid w:val="003E04D4"/>
    <w:rsid w:val="003E09D3"/>
    <w:rsid w:val="003E1396"/>
    <w:rsid w:val="003E13FD"/>
    <w:rsid w:val="003E17B8"/>
    <w:rsid w:val="003E17DD"/>
    <w:rsid w:val="003E1DC7"/>
    <w:rsid w:val="003E2245"/>
    <w:rsid w:val="003E2FC9"/>
    <w:rsid w:val="003E395D"/>
    <w:rsid w:val="003E3D14"/>
    <w:rsid w:val="003E42FE"/>
    <w:rsid w:val="003E5147"/>
    <w:rsid w:val="003E5529"/>
    <w:rsid w:val="003E5AD2"/>
    <w:rsid w:val="003E626F"/>
    <w:rsid w:val="003E63F2"/>
    <w:rsid w:val="003E65E8"/>
    <w:rsid w:val="003E666A"/>
    <w:rsid w:val="003E71EF"/>
    <w:rsid w:val="003E7544"/>
    <w:rsid w:val="003E7D76"/>
    <w:rsid w:val="003F009B"/>
    <w:rsid w:val="003F0731"/>
    <w:rsid w:val="003F0B1D"/>
    <w:rsid w:val="003F0FB4"/>
    <w:rsid w:val="003F1200"/>
    <w:rsid w:val="003F136F"/>
    <w:rsid w:val="003F1703"/>
    <w:rsid w:val="003F1729"/>
    <w:rsid w:val="003F1833"/>
    <w:rsid w:val="003F1BBB"/>
    <w:rsid w:val="003F2148"/>
    <w:rsid w:val="003F246A"/>
    <w:rsid w:val="003F3BF3"/>
    <w:rsid w:val="003F3E45"/>
    <w:rsid w:val="003F3F4F"/>
    <w:rsid w:val="003F4579"/>
    <w:rsid w:val="003F5056"/>
    <w:rsid w:val="003F56FD"/>
    <w:rsid w:val="003F5FF6"/>
    <w:rsid w:val="003F65BD"/>
    <w:rsid w:val="003F6AA6"/>
    <w:rsid w:val="003F76C0"/>
    <w:rsid w:val="003F7768"/>
    <w:rsid w:val="003F782E"/>
    <w:rsid w:val="003F7D3B"/>
    <w:rsid w:val="0040052D"/>
    <w:rsid w:val="004013F4"/>
    <w:rsid w:val="00401E71"/>
    <w:rsid w:val="0040203F"/>
    <w:rsid w:val="00402056"/>
    <w:rsid w:val="00402590"/>
    <w:rsid w:val="00402656"/>
    <w:rsid w:val="0040291C"/>
    <w:rsid w:val="00402FFB"/>
    <w:rsid w:val="0040311D"/>
    <w:rsid w:val="00403FA1"/>
    <w:rsid w:val="004040A3"/>
    <w:rsid w:val="00405156"/>
    <w:rsid w:val="0040572E"/>
    <w:rsid w:val="004061BA"/>
    <w:rsid w:val="0040700B"/>
    <w:rsid w:val="00407F0D"/>
    <w:rsid w:val="00410177"/>
    <w:rsid w:val="004102E7"/>
    <w:rsid w:val="00410EED"/>
    <w:rsid w:val="0041212A"/>
    <w:rsid w:val="004121F5"/>
    <w:rsid w:val="0041243E"/>
    <w:rsid w:val="004126AF"/>
    <w:rsid w:val="0041326C"/>
    <w:rsid w:val="004132FC"/>
    <w:rsid w:val="00413308"/>
    <w:rsid w:val="00413A02"/>
    <w:rsid w:val="00413ED3"/>
    <w:rsid w:val="0041406B"/>
    <w:rsid w:val="00414089"/>
    <w:rsid w:val="0041498B"/>
    <w:rsid w:val="00414AFD"/>
    <w:rsid w:val="00415651"/>
    <w:rsid w:val="00415B18"/>
    <w:rsid w:val="00417473"/>
    <w:rsid w:val="004175BD"/>
    <w:rsid w:val="00417BBB"/>
    <w:rsid w:val="00417D8A"/>
    <w:rsid w:val="00420585"/>
    <w:rsid w:val="004210AA"/>
    <w:rsid w:val="00422B2C"/>
    <w:rsid w:val="004230AB"/>
    <w:rsid w:val="0042322E"/>
    <w:rsid w:val="004233C7"/>
    <w:rsid w:val="004233DD"/>
    <w:rsid w:val="00423DD3"/>
    <w:rsid w:val="00423ECB"/>
    <w:rsid w:val="0042498C"/>
    <w:rsid w:val="00425173"/>
    <w:rsid w:val="004253C7"/>
    <w:rsid w:val="00425B90"/>
    <w:rsid w:val="004268D5"/>
    <w:rsid w:val="00426B5D"/>
    <w:rsid w:val="00426C4B"/>
    <w:rsid w:val="00426D56"/>
    <w:rsid w:val="00427069"/>
    <w:rsid w:val="00427654"/>
    <w:rsid w:val="00427911"/>
    <w:rsid w:val="0042792C"/>
    <w:rsid w:val="0043141D"/>
    <w:rsid w:val="00432178"/>
    <w:rsid w:val="004321DC"/>
    <w:rsid w:val="00432CA9"/>
    <w:rsid w:val="00432E0A"/>
    <w:rsid w:val="0043391F"/>
    <w:rsid w:val="00433D93"/>
    <w:rsid w:val="00434FF8"/>
    <w:rsid w:val="0043512D"/>
    <w:rsid w:val="00435170"/>
    <w:rsid w:val="00435A57"/>
    <w:rsid w:val="00435B01"/>
    <w:rsid w:val="00435D46"/>
    <w:rsid w:val="00435E9C"/>
    <w:rsid w:val="0043634E"/>
    <w:rsid w:val="00436532"/>
    <w:rsid w:val="00436BED"/>
    <w:rsid w:val="004374B8"/>
    <w:rsid w:val="00440770"/>
    <w:rsid w:val="00441EF8"/>
    <w:rsid w:val="004432B4"/>
    <w:rsid w:val="00443584"/>
    <w:rsid w:val="00443E07"/>
    <w:rsid w:val="00444986"/>
    <w:rsid w:val="00444D1D"/>
    <w:rsid w:val="00444FBB"/>
    <w:rsid w:val="004451C8"/>
    <w:rsid w:val="00445855"/>
    <w:rsid w:val="00445C50"/>
    <w:rsid w:val="00445DDC"/>
    <w:rsid w:val="00446143"/>
    <w:rsid w:val="00446ACD"/>
    <w:rsid w:val="00446FF1"/>
    <w:rsid w:val="00447BF1"/>
    <w:rsid w:val="00447F17"/>
    <w:rsid w:val="00450BF9"/>
    <w:rsid w:val="00450CA2"/>
    <w:rsid w:val="00450F05"/>
    <w:rsid w:val="00451526"/>
    <w:rsid w:val="00451A40"/>
    <w:rsid w:val="00451B49"/>
    <w:rsid w:val="00452DC0"/>
    <w:rsid w:val="00453083"/>
    <w:rsid w:val="00453594"/>
    <w:rsid w:val="0045467C"/>
    <w:rsid w:val="00454D9E"/>
    <w:rsid w:val="00454E50"/>
    <w:rsid w:val="00455E02"/>
    <w:rsid w:val="004561BA"/>
    <w:rsid w:val="00456B89"/>
    <w:rsid w:val="00456F23"/>
    <w:rsid w:val="004575CC"/>
    <w:rsid w:val="00457D79"/>
    <w:rsid w:val="00460659"/>
    <w:rsid w:val="0046141C"/>
    <w:rsid w:val="00461545"/>
    <w:rsid w:val="00461914"/>
    <w:rsid w:val="00462522"/>
    <w:rsid w:val="00462808"/>
    <w:rsid w:val="00462882"/>
    <w:rsid w:val="004629BB"/>
    <w:rsid w:val="00462C06"/>
    <w:rsid w:val="00463643"/>
    <w:rsid w:val="004639F4"/>
    <w:rsid w:val="00463A26"/>
    <w:rsid w:val="00463AF8"/>
    <w:rsid w:val="00464205"/>
    <w:rsid w:val="0046430D"/>
    <w:rsid w:val="00464334"/>
    <w:rsid w:val="00465290"/>
    <w:rsid w:val="0046534E"/>
    <w:rsid w:val="004653A8"/>
    <w:rsid w:val="00465703"/>
    <w:rsid w:val="0046644F"/>
    <w:rsid w:val="00466950"/>
    <w:rsid w:val="00466E6E"/>
    <w:rsid w:val="00466F0C"/>
    <w:rsid w:val="004671D7"/>
    <w:rsid w:val="00467562"/>
    <w:rsid w:val="004675FE"/>
    <w:rsid w:val="0046764F"/>
    <w:rsid w:val="0046772A"/>
    <w:rsid w:val="004677C0"/>
    <w:rsid w:val="00467B8F"/>
    <w:rsid w:val="0047048D"/>
    <w:rsid w:val="00470741"/>
    <w:rsid w:val="00470DD5"/>
    <w:rsid w:val="0047279F"/>
    <w:rsid w:val="00472BE6"/>
    <w:rsid w:val="0047314A"/>
    <w:rsid w:val="0047394A"/>
    <w:rsid w:val="00474424"/>
    <w:rsid w:val="00474511"/>
    <w:rsid w:val="00474589"/>
    <w:rsid w:val="00474669"/>
    <w:rsid w:val="00474BBD"/>
    <w:rsid w:val="00474DA2"/>
    <w:rsid w:val="0047634D"/>
    <w:rsid w:val="00476406"/>
    <w:rsid w:val="004766EF"/>
    <w:rsid w:val="004768C6"/>
    <w:rsid w:val="004770C8"/>
    <w:rsid w:val="00477603"/>
    <w:rsid w:val="004777FC"/>
    <w:rsid w:val="00477B90"/>
    <w:rsid w:val="00477EAB"/>
    <w:rsid w:val="00480786"/>
    <w:rsid w:val="00480AFD"/>
    <w:rsid w:val="00480BAC"/>
    <w:rsid w:val="00480C6C"/>
    <w:rsid w:val="00480CE0"/>
    <w:rsid w:val="004819BC"/>
    <w:rsid w:val="004823E7"/>
    <w:rsid w:val="004828BB"/>
    <w:rsid w:val="004832D6"/>
    <w:rsid w:val="004832ED"/>
    <w:rsid w:val="00483640"/>
    <w:rsid w:val="00483F21"/>
    <w:rsid w:val="00485337"/>
    <w:rsid w:val="0048544A"/>
    <w:rsid w:val="004854DB"/>
    <w:rsid w:val="00485985"/>
    <w:rsid w:val="00485A79"/>
    <w:rsid w:val="00485D31"/>
    <w:rsid w:val="00486018"/>
    <w:rsid w:val="0048602F"/>
    <w:rsid w:val="00486483"/>
    <w:rsid w:val="0048677E"/>
    <w:rsid w:val="00486F16"/>
    <w:rsid w:val="00487652"/>
    <w:rsid w:val="004877EA"/>
    <w:rsid w:val="004903EE"/>
    <w:rsid w:val="0049088E"/>
    <w:rsid w:val="00490A4E"/>
    <w:rsid w:val="00491AF0"/>
    <w:rsid w:val="004924DD"/>
    <w:rsid w:val="00492BDF"/>
    <w:rsid w:val="00492CE5"/>
    <w:rsid w:val="004931DD"/>
    <w:rsid w:val="00493732"/>
    <w:rsid w:val="004939B6"/>
    <w:rsid w:val="00493BC0"/>
    <w:rsid w:val="00493BCC"/>
    <w:rsid w:val="00493EE0"/>
    <w:rsid w:val="00494CE2"/>
    <w:rsid w:val="00495653"/>
    <w:rsid w:val="0049579A"/>
    <w:rsid w:val="00495855"/>
    <w:rsid w:val="00495FBB"/>
    <w:rsid w:val="0049755F"/>
    <w:rsid w:val="004975EB"/>
    <w:rsid w:val="004975F6"/>
    <w:rsid w:val="00497973"/>
    <w:rsid w:val="00497B29"/>
    <w:rsid w:val="004A086E"/>
    <w:rsid w:val="004A1242"/>
    <w:rsid w:val="004A1683"/>
    <w:rsid w:val="004A1EF3"/>
    <w:rsid w:val="004A2490"/>
    <w:rsid w:val="004A2DC2"/>
    <w:rsid w:val="004A2F62"/>
    <w:rsid w:val="004A3088"/>
    <w:rsid w:val="004A330C"/>
    <w:rsid w:val="004A33D3"/>
    <w:rsid w:val="004A412F"/>
    <w:rsid w:val="004A42C4"/>
    <w:rsid w:val="004A4334"/>
    <w:rsid w:val="004A48C0"/>
    <w:rsid w:val="004A48F3"/>
    <w:rsid w:val="004A4E91"/>
    <w:rsid w:val="004A504A"/>
    <w:rsid w:val="004A5144"/>
    <w:rsid w:val="004A53B2"/>
    <w:rsid w:val="004A6A41"/>
    <w:rsid w:val="004A6ED1"/>
    <w:rsid w:val="004A785E"/>
    <w:rsid w:val="004B03ED"/>
    <w:rsid w:val="004B067F"/>
    <w:rsid w:val="004B0DAB"/>
    <w:rsid w:val="004B1ACD"/>
    <w:rsid w:val="004B22A0"/>
    <w:rsid w:val="004B23EC"/>
    <w:rsid w:val="004B24F1"/>
    <w:rsid w:val="004B2CBF"/>
    <w:rsid w:val="004B2F6B"/>
    <w:rsid w:val="004B3042"/>
    <w:rsid w:val="004B3070"/>
    <w:rsid w:val="004B3140"/>
    <w:rsid w:val="004B382A"/>
    <w:rsid w:val="004B39A8"/>
    <w:rsid w:val="004B4830"/>
    <w:rsid w:val="004B4F0E"/>
    <w:rsid w:val="004B4F2A"/>
    <w:rsid w:val="004B513E"/>
    <w:rsid w:val="004B5259"/>
    <w:rsid w:val="004B5565"/>
    <w:rsid w:val="004B5B0E"/>
    <w:rsid w:val="004B6055"/>
    <w:rsid w:val="004B6261"/>
    <w:rsid w:val="004B66C1"/>
    <w:rsid w:val="004B767A"/>
    <w:rsid w:val="004C010F"/>
    <w:rsid w:val="004C04B5"/>
    <w:rsid w:val="004C098B"/>
    <w:rsid w:val="004C0BA0"/>
    <w:rsid w:val="004C0C6D"/>
    <w:rsid w:val="004C1443"/>
    <w:rsid w:val="004C1B5B"/>
    <w:rsid w:val="004C1C2D"/>
    <w:rsid w:val="004C1EA1"/>
    <w:rsid w:val="004C2AA7"/>
    <w:rsid w:val="004C30EA"/>
    <w:rsid w:val="004C38B4"/>
    <w:rsid w:val="004C3E6B"/>
    <w:rsid w:val="004C41C8"/>
    <w:rsid w:val="004C48DE"/>
    <w:rsid w:val="004C57E4"/>
    <w:rsid w:val="004C5A22"/>
    <w:rsid w:val="004C6640"/>
    <w:rsid w:val="004C6C32"/>
    <w:rsid w:val="004C79C0"/>
    <w:rsid w:val="004C7E28"/>
    <w:rsid w:val="004D0212"/>
    <w:rsid w:val="004D04FA"/>
    <w:rsid w:val="004D1095"/>
    <w:rsid w:val="004D1228"/>
    <w:rsid w:val="004D12FD"/>
    <w:rsid w:val="004D182B"/>
    <w:rsid w:val="004D1CF7"/>
    <w:rsid w:val="004D1EAA"/>
    <w:rsid w:val="004D20AD"/>
    <w:rsid w:val="004D29CE"/>
    <w:rsid w:val="004D2EC6"/>
    <w:rsid w:val="004D317F"/>
    <w:rsid w:val="004D47EC"/>
    <w:rsid w:val="004D4858"/>
    <w:rsid w:val="004D4882"/>
    <w:rsid w:val="004D5231"/>
    <w:rsid w:val="004D5437"/>
    <w:rsid w:val="004D578C"/>
    <w:rsid w:val="004D5D27"/>
    <w:rsid w:val="004D676F"/>
    <w:rsid w:val="004D6C40"/>
    <w:rsid w:val="004D6D80"/>
    <w:rsid w:val="004E07E2"/>
    <w:rsid w:val="004E0DF4"/>
    <w:rsid w:val="004E149B"/>
    <w:rsid w:val="004E163B"/>
    <w:rsid w:val="004E2DF0"/>
    <w:rsid w:val="004E3909"/>
    <w:rsid w:val="004E4172"/>
    <w:rsid w:val="004E4282"/>
    <w:rsid w:val="004E444D"/>
    <w:rsid w:val="004E4E6C"/>
    <w:rsid w:val="004E5375"/>
    <w:rsid w:val="004E548F"/>
    <w:rsid w:val="004E5759"/>
    <w:rsid w:val="004E581E"/>
    <w:rsid w:val="004E593E"/>
    <w:rsid w:val="004E6048"/>
    <w:rsid w:val="004E6BBB"/>
    <w:rsid w:val="004E7730"/>
    <w:rsid w:val="004E78E1"/>
    <w:rsid w:val="004E79F8"/>
    <w:rsid w:val="004E7BD9"/>
    <w:rsid w:val="004E7E37"/>
    <w:rsid w:val="004F0911"/>
    <w:rsid w:val="004F0CAE"/>
    <w:rsid w:val="004F0F5E"/>
    <w:rsid w:val="004F0FA6"/>
    <w:rsid w:val="004F1229"/>
    <w:rsid w:val="004F2953"/>
    <w:rsid w:val="004F29BA"/>
    <w:rsid w:val="004F2FE0"/>
    <w:rsid w:val="004F5AC3"/>
    <w:rsid w:val="004F5D82"/>
    <w:rsid w:val="004F5F4A"/>
    <w:rsid w:val="004F610C"/>
    <w:rsid w:val="004F6638"/>
    <w:rsid w:val="004F798E"/>
    <w:rsid w:val="00500785"/>
    <w:rsid w:val="0050086D"/>
    <w:rsid w:val="00501417"/>
    <w:rsid w:val="005015D9"/>
    <w:rsid w:val="00501D46"/>
    <w:rsid w:val="005023CE"/>
    <w:rsid w:val="0050254B"/>
    <w:rsid w:val="0050335F"/>
    <w:rsid w:val="00503AB0"/>
    <w:rsid w:val="00503DF8"/>
    <w:rsid w:val="0050416C"/>
    <w:rsid w:val="005041F0"/>
    <w:rsid w:val="00504B26"/>
    <w:rsid w:val="00504D1C"/>
    <w:rsid w:val="00504E9E"/>
    <w:rsid w:val="00505136"/>
    <w:rsid w:val="0050625D"/>
    <w:rsid w:val="00506B64"/>
    <w:rsid w:val="00506D9A"/>
    <w:rsid w:val="00506DCA"/>
    <w:rsid w:val="00507714"/>
    <w:rsid w:val="00511093"/>
    <w:rsid w:val="00511764"/>
    <w:rsid w:val="00511927"/>
    <w:rsid w:val="00511A70"/>
    <w:rsid w:val="00511EBB"/>
    <w:rsid w:val="0051213C"/>
    <w:rsid w:val="00512686"/>
    <w:rsid w:val="00513069"/>
    <w:rsid w:val="00513502"/>
    <w:rsid w:val="005138EC"/>
    <w:rsid w:val="00513BFE"/>
    <w:rsid w:val="0051426F"/>
    <w:rsid w:val="0051460F"/>
    <w:rsid w:val="00514ADF"/>
    <w:rsid w:val="005150F6"/>
    <w:rsid w:val="005156B9"/>
    <w:rsid w:val="00515828"/>
    <w:rsid w:val="00516331"/>
    <w:rsid w:val="00516401"/>
    <w:rsid w:val="005164CF"/>
    <w:rsid w:val="00516777"/>
    <w:rsid w:val="0051682D"/>
    <w:rsid w:val="00516FC4"/>
    <w:rsid w:val="00517610"/>
    <w:rsid w:val="005178D3"/>
    <w:rsid w:val="00517C2B"/>
    <w:rsid w:val="005205F2"/>
    <w:rsid w:val="00520B43"/>
    <w:rsid w:val="005214DB"/>
    <w:rsid w:val="00521663"/>
    <w:rsid w:val="0052175E"/>
    <w:rsid w:val="0052175F"/>
    <w:rsid w:val="00521FD7"/>
    <w:rsid w:val="005220B1"/>
    <w:rsid w:val="00522325"/>
    <w:rsid w:val="005230D9"/>
    <w:rsid w:val="00523123"/>
    <w:rsid w:val="005234D3"/>
    <w:rsid w:val="00523886"/>
    <w:rsid w:val="005238A3"/>
    <w:rsid w:val="00523C73"/>
    <w:rsid w:val="00523F1F"/>
    <w:rsid w:val="005243B6"/>
    <w:rsid w:val="00524434"/>
    <w:rsid w:val="005245C0"/>
    <w:rsid w:val="0052463B"/>
    <w:rsid w:val="005247E6"/>
    <w:rsid w:val="00524824"/>
    <w:rsid w:val="005249F6"/>
    <w:rsid w:val="0052585D"/>
    <w:rsid w:val="00525A72"/>
    <w:rsid w:val="00525A88"/>
    <w:rsid w:val="00525E3A"/>
    <w:rsid w:val="0052641E"/>
    <w:rsid w:val="00526567"/>
    <w:rsid w:val="005266DE"/>
    <w:rsid w:val="005272E5"/>
    <w:rsid w:val="0052782E"/>
    <w:rsid w:val="00530E8D"/>
    <w:rsid w:val="00531497"/>
    <w:rsid w:val="00532844"/>
    <w:rsid w:val="00533287"/>
    <w:rsid w:val="005334A4"/>
    <w:rsid w:val="00533F31"/>
    <w:rsid w:val="005347CE"/>
    <w:rsid w:val="005348A5"/>
    <w:rsid w:val="00534B7C"/>
    <w:rsid w:val="00535353"/>
    <w:rsid w:val="0053630E"/>
    <w:rsid w:val="00537024"/>
    <w:rsid w:val="005372CE"/>
    <w:rsid w:val="00537AE8"/>
    <w:rsid w:val="00537B9E"/>
    <w:rsid w:val="00537E7D"/>
    <w:rsid w:val="00540510"/>
    <w:rsid w:val="00540AEE"/>
    <w:rsid w:val="00540F4A"/>
    <w:rsid w:val="005418AC"/>
    <w:rsid w:val="005419D4"/>
    <w:rsid w:val="00541B73"/>
    <w:rsid w:val="0054235C"/>
    <w:rsid w:val="0054269B"/>
    <w:rsid w:val="00542C0A"/>
    <w:rsid w:val="00543068"/>
    <w:rsid w:val="005438CB"/>
    <w:rsid w:val="00543A13"/>
    <w:rsid w:val="0054417B"/>
    <w:rsid w:val="00545647"/>
    <w:rsid w:val="005457B5"/>
    <w:rsid w:val="00545B68"/>
    <w:rsid w:val="00545FD4"/>
    <w:rsid w:val="00546DA1"/>
    <w:rsid w:val="0054785F"/>
    <w:rsid w:val="00547D0E"/>
    <w:rsid w:val="00547FFD"/>
    <w:rsid w:val="00550026"/>
    <w:rsid w:val="0055017D"/>
    <w:rsid w:val="00550276"/>
    <w:rsid w:val="00550912"/>
    <w:rsid w:val="00551876"/>
    <w:rsid w:val="00551C14"/>
    <w:rsid w:val="0055217A"/>
    <w:rsid w:val="005522D7"/>
    <w:rsid w:val="0055233C"/>
    <w:rsid w:val="005527B0"/>
    <w:rsid w:val="005528A3"/>
    <w:rsid w:val="0055330F"/>
    <w:rsid w:val="0055346E"/>
    <w:rsid w:val="005534EB"/>
    <w:rsid w:val="00554712"/>
    <w:rsid w:val="00554E52"/>
    <w:rsid w:val="00555100"/>
    <w:rsid w:val="005552C9"/>
    <w:rsid w:val="00555C1F"/>
    <w:rsid w:val="0055601C"/>
    <w:rsid w:val="005565F5"/>
    <w:rsid w:val="005569CB"/>
    <w:rsid w:val="00557BB0"/>
    <w:rsid w:val="00557BFD"/>
    <w:rsid w:val="00557E21"/>
    <w:rsid w:val="00560609"/>
    <w:rsid w:val="00560652"/>
    <w:rsid w:val="00560C2E"/>
    <w:rsid w:val="00560CCE"/>
    <w:rsid w:val="00561A35"/>
    <w:rsid w:val="00561A4F"/>
    <w:rsid w:val="00561A57"/>
    <w:rsid w:val="00561B54"/>
    <w:rsid w:val="005620A7"/>
    <w:rsid w:val="0056237B"/>
    <w:rsid w:val="00563148"/>
    <w:rsid w:val="00563624"/>
    <w:rsid w:val="00564534"/>
    <w:rsid w:val="00565176"/>
    <w:rsid w:val="005651B2"/>
    <w:rsid w:val="00565658"/>
    <w:rsid w:val="005659FE"/>
    <w:rsid w:val="00565A6D"/>
    <w:rsid w:val="00566249"/>
    <w:rsid w:val="0056686E"/>
    <w:rsid w:val="00566B9F"/>
    <w:rsid w:val="00570400"/>
    <w:rsid w:val="005710B4"/>
    <w:rsid w:val="005716F2"/>
    <w:rsid w:val="005716F7"/>
    <w:rsid w:val="005717D4"/>
    <w:rsid w:val="00571B7C"/>
    <w:rsid w:val="00571C2C"/>
    <w:rsid w:val="00573239"/>
    <w:rsid w:val="0057414C"/>
    <w:rsid w:val="00574A39"/>
    <w:rsid w:val="00574BEA"/>
    <w:rsid w:val="00574F61"/>
    <w:rsid w:val="00575498"/>
    <w:rsid w:val="00575696"/>
    <w:rsid w:val="00575FE6"/>
    <w:rsid w:val="00576877"/>
    <w:rsid w:val="00576E5A"/>
    <w:rsid w:val="0057739F"/>
    <w:rsid w:val="00577BC8"/>
    <w:rsid w:val="00580671"/>
    <w:rsid w:val="005806E5"/>
    <w:rsid w:val="00580F22"/>
    <w:rsid w:val="00581559"/>
    <w:rsid w:val="00581869"/>
    <w:rsid w:val="00581CE5"/>
    <w:rsid w:val="00582233"/>
    <w:rsid w:val="00582275"/>
    <w:rsid w:val="00582B36"/>
    <w:rsid w:val="00583527"/>
    <w:rsid w:val="00583FBF"/>
    <w:rsid w:val="00584A90"/>
    <w:rsid w:val="00585A98"/>
    <w:rsid w:val="00585BA2"/>
    <w:rsid w:val="005863B4"/>
    <w:rsid w:val="00586438"/>
    <w:rsid w:val="005864FA"/>
    <w:rsid w:val="005865D7"/>
    <w:rsid w:val="00586A3A"/>
    <w:rsid w:val="00586FA5"/>
    <w:rsid w:val="005870DF"/>
    <w:rsid w:val="005872A2"/>
    <w:rsid w:val="00590410"/>
    <w:rsid w:val="00590672"/>
    <w:rsid w:val="00590727"/>
    <w:rsid w:val="00590B33"/>
    <w:rsid w:val="005911D8"/>
    <w:rsid w:val="00591FA6"/>
    <w:rsid w:val="0059232B"/>
    <w:rsid w:val="00592538"/>
    <w:rsid w:val="00592917"/>
    <w:rsid w:val="0059335C"/>
    <w:rsid w:val="0059369C"/>
    <w:rsid w:val="005942AD"/>
    <w:rsid w:val="005947DF"/>
    <w:rsid w:val="005949BF"/>
    <w:rsid w:val="00594D34"/>
    <w:rsid w:val="00594F33"/>
    <w:rsid w:val="00595327"/>
    <w:rsid w:val="00595544"/>
    <w:rsid w:val="005956EE"/>
    <w:rsid w:val="005957CE"/>
    <w:rsid w:val="0059598E"/>
    <w:rsid w:val="00595E31"/>
    <w:rsid w:val="0059634F"/>
    <w:rsid w:val="00596541"/>
    <w:rsid w:val="00596547"/>
    <w:rsid w:val="005968F2"/>
    <w:rsid w:val="00596DAA"/>
    <w:rsid w:val="005971DD"/>
    <w:rsid w:val="005971FC"/>
    <w:rsid w:val="005977B2"/>
    <w:rsid w:val="00597C4F"/>
    <w:rsid w:val="005A0530"/>
    <w:rsid w:val="005A0D23"/>
    <w:rsid w:val="005A0F24"/>
    <w:rsid w:val="005A227A"/>
    <w:rsid w:val="005A2612"/>
    <w:rsid w:val="005A2731"/>
    <w:rsid w:val="005A29DE"/>
    <w:rsid w:val="005A2B46"/>
    <w:rsid w:val="005A30BC"/>
    <w:rsid w:val="005A331F"/>
    <w:rsid w:val="005A341A"/>
    <w:rsid w:val="005A34D5"/>
    <w:rsid w:val="005A4371"/>
    <w:rsid w:val="005A4506"/>
    <w:rsid w:val="005A459B"/>
    <w:rsid w:val="005A508F"/>
    <w:rsid w:val="005A6867"/>
    <w:rsid w:val="005A692D"/>
    <w:rsid w:val="005A6A3F"/>
    <w:rsid w:val="005A6E87"/>
    <w:rsid w:val="005A727E"/>
    <w:rsid w:val="005A77CE"/>
    <w:rsid w:val="005B04D1"/>
    <w:rsid w:val="005B0AB7"/>
    <w:rsid w:val="005B1C66"/>
    <w:rsid w:val="005B2F9B"/>
    <w:rsid w:val="005B3E43"/>
    <w:rsid w:val="005B4372"/>
    <w:rsid w:val="005B48EF"/>
    <w:rsid w:val="005B4B28"/>
    <w:rsid w:val="005B5F7D"/>
    <w:rsid w:val="005B6299"/>
    <w:rsid w:val="005B66E0"/>
    <w:rsid w:val="005B69DC"/>
    <w:rsid w:val="005B7004"/>
    <w:rsid w:val="005B7368"/>
    <w:rsid w:val="005B757B"/>
    <w:rsid w:val="005B7AE5"/>
    <w:rsid w:val="005B7CAF"/>
    <w:rsid w:val="005C01BA"/>
    <w:rsid w:val="005C2224"/>
    <w:rsid w:val="005C295C"/>
    <w:rsid w:val="005C410F"/>
    <w:rsid w:val="005C4BFF"/>
    <w:rsid w:val="005C53F5"/>
    <w:rsid w:val="005C5B2A"/>
    <w:rsid w:val="005C5F51"/>
    <w:rsid w:val="005C60BE"/>
    <w:rsid w:val="005C64B2"/>
    <w:rsid w:val="005C6627"/>
    <w:rsid w:val="005C725F"/>
    <w:rsid w:val="005C7E63"/>
    <w:rsid w:val="005D0C75"/>
    <w:rsid w:val="005D1106"/>
    <w:rsid w:val="005D1E1C"/>
    <w:rsid w:val="005D1E3B"/>
    <w:rsid w:val="005D268F"/>
    <w:rsid w:val="005D2E40"/>
    <w:rsid w:val="005D3142"/>
    <w:rsid w:val="005D359F"/>
    <w:rsid w:val="005D37B6"/>
    <w:rsid w:val="005D37D6"/>
    <w:rsid w:val="005D3B68"/>
    <w:rsid w:val="005D3C2C"/>
    <w:rsid w:val="005D41F7"/>
    <w:rsid w:val="005D428A"/>
    <w:rsid w:val="005D42C0"/>
    <w:rsid w:val="005D4FA8"/>
    <w:rsid w:val="005D50DC"/>
    <w:rsid w:val="005D5B82"/>
    <w:rsid w:val="005D60F7"/>
    <w:rsid w:val="005D6382"/>
    <w:rsid w:val="005D6757"/>
    <w:rsid w:val="005D6CDA"/>
    <w:rsid w:val="005D7D68"/>
    <w:rsid w:val="005D7E8D"/>
    <w:rsid w:val="005E0115"/>
    <w:rsid w:val="005E031F"/>
    <w:rsid w:val="005E35E1"/>
    <w:rsid w:val="005E3F92"/>
    <w:rsid w:val="005E451C"/>
    <w:rsid w:val="005E50ED"/>
    <w:rsid w:val="005E5E69"/>
    <w:rsid w:val="005E6263"/>
    <w:rsid w:val="005E6307"/>
    <w:rsid w:val="005E6496"/>
    <w:rsid w:val="005E6E4D"/>
    <w:rsid w:val="005E6FDC"/>
    <w:rsid w:val="005E7B75"/>
    <w:rsid w:val="005F0005"/>
    <w:rsid w:val="005F028E"/>
    <w:rsid w:val="005F0532"/>
    <w:rsid w:val="005F0568"/>
    <w:rsid w:val="005F065B"/>
    <w:rsid w:val="005F1101"/>
    <w:rsid w:val="005F2310"/>
    <w:rsid w:val="005F264A"/>
    <w:rsid w:val="005F2C3C"/>
    <w:rsid w:val="005F2CC9"/>
    <w:rsid w:val="005F326A"/>
    <w:rsid w:val="005F37BA"/>
    <w:rsid w:val="005F3A1F"/>
    <w:rsid w:val="005F3F87"/>
    <w:rsid w:val="005F4544"/>
    <w:rsid w:val="005F4771"/>
    <w:rsid w:val="005F5238"/>
    <w:rsid w:val="005F5760"/>
    <w:rsid w:val="005F5CA5"/>
    <w:rsid w:val="005F60B6"/>
    <w:rsid w:val="005F6355"/>
    <w:rsid w:val="005F678C"/>
    <w:rsid w:val="005F6A57"/>
    <w:rsid w:val="005F798E"/>
    <w:rsid w:val="005F79CE"/>
    <w:rsid w:val="005F7BCB"/>
    <w:rsid w:val="005F7E06"/>
    <w:rsid w:val="005F7E30"/>
    <w:rsid w:val="00600337"/>
    <w:rsid w:val="00600899"/>
    <w:rsid w:val="006010CC"/>
    <w:rsid w:val="006015BA"/>
    <w:rsid w:val="00601F6C"/>
    <w:rsid w:val="006026D6"/>
    <w:rsid w:val="006032D9"/>
    <w:rsid w:val="00603F5B"/>
    <w:rsid w:val="006040FA"/>
    <w:rsid w:val="00605A78"/>
    <w:rsid w:val="00606445"/>
    <w:rsid w:val="00606B79"/>
    <w:rsid w:val="0060742A"/>
    <w:rsid w:val="0060748C"/>
    <w:rsid w:val="00610668"/>
    <w:rsid w:val="00610D60"/>
    <w:rsid w:val="00611BD3"/>
    <w:rsid w:val="00612179"/>
    <w:rsid w:val="006124D9"/>
    <w:rsid w:val="006128B2"/>
    <w:rsid w:val="006128C3"/>
    <w:rsid w:val="00612940"/>
    <w:rsid w:val="00612A8A"/>
    <w:rsid w:val="00612C11"/>
    <w:rsid w:val="00612C96"/>
    <w:rsid w:val="006142EF"/>
    <w:rsid w:val="006143E7"/>
    <w:rsid w:val="00614C2C"/>
    <w:rsid w:val="0061590C"/>
    <w:rsid w:val="00615F2F"/>
    <w:rsid w:val="00616139"/>
    <w:rsid w:val="0061637F"/>
    <w:rsid w:val="00616A0C"/>
    <w:rsid w:val="00616C0F"/>
    <w:rsid w:val="00616FDF"/>
    <w:rsid w:val="00617259"/>
    <w:rsid w:val="00617445"/>
    <w:rsid w:val="00617714"/>
    <w:rsid w:val="00620196"/>
    <w:rsid w:val="006203B6"/>
    <w:rsid w:val="0062111D"/>
    <w:rsid w:val="006228EB"/>
    <w:rsid w:val="0062328B"/>
    <w:rsid w:val="00623A7B"/>
    <w:rsid w:val="00623B70"/>
    <w:rsid w:val="00623C93"/>
    <w:rsid w:val="00624237"/>
    <w:rsid w:val="00625432"/>
    <w:rsid w:val="006255AC"/>
    <w:rsid w:val="00625AE1"/>
    <w:rsid w:val="00625B98"/>
    <w:rsid w:val="00625E31"/>
    <w:rsid w:val="00626102"/>
    <w:rsid w:val="00626429"/>
    <w:rsid w:val="006264D2"/>
    <w:rsid w:val="006268AA"/>
    <w:rsid w:val="0062702A"/>
    <w:rsid w:val="00627446"/>
    <w:rsid w:val="00627C60"/>
    <w:rsid w:val="00627FA6"/>
    <w:rsid w:val="006307DA"/>
    <w:rsid w:val="00630EDF"/>
    <w:rsid w:val="00631A64"/>
    <w:rsid w:val="00631C38"/>
    <w:rsid w:val="0063237A"/>
    <w:rsid w:val="006327DC"/>
    <w:rsid w:val="006337EE"/>
    <w:rsid w:val="00633C44"/>
    <w:rsid w:val="006340A8"/>
    <w:rsid w:val="006340F8"/>
    <w:rsid w:val="00635BEE"/>
    <w:rsid w:val="00635D0C"/>
    <w:rsid w:val="0063723F"/>
    <w:rsid w:val="0063733E"/>
    <w:rsid w:val="0063751D"/>
    <w:rsid w:val="00640168"/>
    <w:rsid w:val="00640B49"/>
    <w:rsid w:val="00640FDA"/>
    <w:rsid w:val="00641082"/>
    <w:rsid w:val="00641DA7"/>
    <w:rsid w:val="00642351"/>
    <w:rsid w:val="00642489"/>
    <w:rsid w:val="006428CA"/>
    <w:rsid w:val="00642CBC"/>
    <w:rsid w:val="006437F1"/>
    <w:rsid w:val="006442F2"/>
    <w:rsid w:val="00644678"/>
    <w:rsid w:val="0064474C"/>
    <w:rsid w:val="006447A6"/>
    <w:rsid w:val="00644F16"/>
    <w:rsid w:val="00645384"/>
    <w:rsid w:val="006458BC"/>
    <w:rsid w:val="00645D01"/>
    <w:rsid w:val="006465AE"/>
    <w:rsid w:val="00646ABA"/>
    <w:rsid w:val="00646ABB"/>
    <w:rsid w:val="006472DC"/>
    <w:rsid w:val="00647626"/>
    <w:rsid w:val="00647C13"/>
    <w:rsid w:val="0065118A"/>
    <w:rsid w:val="00651750"/>
    <w:rsid w:val="00651F1A"/>
    <w:rsid w:val="0065273D"/>
    <w:rsid w:val="00652CE1"/>
    <w:rsid w:val="00652E18"/>
    <w:rsid w:val="006532DE"/>
    <w:rsid w:val="00653540"/>
    <w:rsid w:val="0065358B"/>
    <w:rsid w:val="006536A7"/>
    <w:rsid w:val="006548E6"/>
    <w:rsid w:val="00655166"/>
    <w:rsid w:val="00655820"/>
    <w:rsid w:val="00655EB5"/>
    <w:rsid w:val="006561D4"/>
    <w:rsid w:val="006566BD"/>
    <w:rsid w:val="00656D93"/>
    <w:rsid w:val="00656E44"/>
    <w:rsid w:val="00657775"/>
    <w:rsid w:val="00660331"/>
    <w:rsid w:val="00660D79"/>
    <w:rsid w:val="00661023"/>
    <w:rsid w:val="00661267"/>
    <w:rsid w:val="00661272"/>
    <w:rsid w:val="0066187D"/>
    <w:rsid w:val="00661F88"/>
    <w:rsid w:val="006626DD"/>
    <w:rsid w:val="00662E95"/>
    <w:rsid w:val="00663383"/>
    <w:rsid w:val="00663485"/>
    <w:rsid w:val="00664007"/>
    <w:rsid w:val="0066419C"/>
    <w:rsid w:val="00664590"/>
    <w:rsid w:val="006649B0"/>
    <w:rsid w:val="00664D22"/>
    <w:rsid w:val="006655A5"/>
    <w:rsid w:val="00665F3E"/>
    <w:rsid w:val="00666542"/>
    <w:rsid w:val="0066705B"/>
    <w:rsid w:val="00667488"/>
    <w:rsid w:val="0066793F"/>
    <w:rsid w:val="006679A7"/>
    <w:rsid w:val="00670118"/>
    <w:rsid w:val="00670281"/>
    <w:rsid w:val="0067085D"/>
    <w:rsid w:val="00670B63"/>
    <w:rsid w:val="00670C9A"/>
    <w:rsid w:val="00670F50"/>
    <w:rsid w:val="0067172E"/>
    <w:rsid w:val="00671BEB"/>
    <w:rsid w:val="00671CC4"/>
    <w:rsid w:val="00671F76"/>
    <w:rsid w:val="00672576"/>
    <w:rsid w:val="006728BA"/>
    <w:rsid w:val="0067317E"/>
    <w:rsid w:val="006732E7"/>
    <w:rsid w:val="006733DE"/>
    <w:rsid w:val="00673D80"/>
    <w:rsid w:val="006746D0"/>
    <w:rsid w:val="006750AB"/>
    <w:rsid w:val="00675BD0"/>
    <w:rsid w:val="00675C07"/>
    <w:rsid w:val="00675FEE"/>
    <w:rsid w:val="0067634F"/>
    <w:rsid w:val="00677257"/>
    <w:rsid w:val="00677E74"/>
    <w:rsid w:val="00677F5C"/>
    <w:rsid w:val="006808B5"/>
    <w:rsid w:val="006811A7"/>
    <w:rsid w:val="00681601"/>
    <w:rsid w:val="0068252C"/>
    <w:rsid w:val="0068255C"/>
    <w:rsid w:val="0068281E"/>
    <w:rsid w:val="006828D8"/>
    <w:rsid w:val="0068296C"/>
    <w:rsid w:val="00682E07"/>
    <w:rsid w:val="006835A6"/>
    <w:rsid w:val="00684028"/>
    <w:rsid w:val="0068467F"/>
    <w:rsid w:val="00684916"/>
    <w:rsid w:val="00684DD3"/>
    <w:rsid w:val="00685143"/>
    <w:rsid w:val="006851AE"/>
    <w:rsid w:val="0068530F"/>
    <w:rsid w:val="006858F7"/>
    <w:rsid w:val="00685957"/>
    <w:rsid w:val="00685AFE"/>
    <w:rsid w:val="0068613E"/>
    <w:rsid w:val="0068617D"/>
    <w:rsid w:val="00686730"/>
    <w:rsid w:val="00686B90"/>
    <w:rsid w:val="00687651"/>
    <w:rsid w:val="00690342"/>
    <w:rsid w:val="006907CF"/>
    <w:rsid w:val="00690D0B"/>
    <w:rsid w:val="00691028"/>
    <w:rsid w:val="00691304"/>
    <w:rsid w:val="00691808"/>
    <w:rsid w:val="00691E87"/>
    <w:rsid w:val="0069221A"/>
    <w:rsid w:val="00692A17"/>
    <w:rsid w:val="00692DEE"/>
    <w:rsid w:val="00693743"/>
    <w:rsid w:val="00693815"/>
    <w:rsid w:val="00693DBA"/>
    <w:rsid w:val="00693FFB"/>
    <w:rsid w:val="006944F3"/>
    <w:rsid w:val="006949ED"/>
    <w:rsid w:val="006949F3"/>
    <w:rsid w:val="00694BF6"/>
    <w:rsid w:val="006962DD"/>
    <w:rsid w:val="00697303"/>
    <w:rsid w:val="0069742B"/>
    <w:rsid w:val="006976E6"/>
    <w:rsid w:val="0069771E"/>
    <w:rsid w:val="00697BCF"/>
    <w:rsid w:val="00697DA7"/>
    <w:rsid w:val="006A0728"/>
    <w:rsid w:val="006A09A0"/>
    <w:rsid w:val="006A14B3"/>
    <w:rsid w:val="006A14DE"/>
    <w:rsid w:val="006A1731"/>
    <w:rsid w:val="006A1D06"/>
    <w:rsid w:val="006A311E"/>
    <w:rsid w:val="006A31E3"/>
    <w:rsid w:val="006A3955"/>
    <w:rsid w:val="006A5E5C"/>
    <w:rsid w:val="006A5F84"/>
    <w:rsid w:val="006A628A"/>
    <w:rsid w:val="006A637F"/>
    <w:rsid w:val="006A6B83"/>
    <w:rsid w:val="006A73F9"/>
    <w:rsid w:val="006A784A"/>
    <w:rsid w:val="006A7F77"/>
    <w:rsid w:val="006B1189"/>
    <w:rsid w:val="006B1D31"/>
    <w:rsid w:val="006B24BB"/>
    <w:rsid w:val="006B2533"/>
    <w:rsid w:val="006B296B"/>
    <w:rsid w:val="006B29AE"/>
    <w:rsid w:val="006B2A16"/>
    <w:rsid w:val="006B2D40"/>
    <w:rsid w:val="006B2F89"/>
    <w:rsid w:val="006B3423"/>
    <w:rsid w:val="006B3C76"/>
    <w:rsid w:val="006B428F"/>
    <w:rsid w:val="006B46A7"/>
    <w:rsid w:val="006B5467"/>
    <w:rsid w:val="006B56EF"/>
    <w:rsid w:val="006B5CE5"/>
    <w:rsid w:val="006B5DA2"/>
    <w:rsid w:val="006B6047"/>
    <w:rsid w:val="006B6BA0"/>
    <w:rsid w:val="006B7561"/>
    <w:rsid w:val="006B756D"/>
    <w:rsid w:val="006C0211"/>
    <w:rsid w:val="006C042E"/>
    <w:rsid w:val="006C06CF"/>
    <w:rsid w:val="006C0D66"/>
    <w:rsid w:val="006C11B4"/>
    <w:rsid w:val="006C13D6"/>
    <w:rsid w:val="006C1C09"/>
    <w:rsid w:val="006C1D5C"/>
    <w:rsid w:val="006C1E12"/>
    <w:rsid w:val="006C2F3D"/>
    <w:rsid w:val="006C30BD"/>
    <w:rsid w:val="006C3397"/>
    <w:rsid w:val="006C3422"/>
    <w:rsid w:val="006C406E"/>
    <w:rsid w:val="006C433A"/>
    <w:rsid w:val="006C460E"/>
    <w:rsid w:val="006C4BF2"/>
    <w:rsid w:val="006C4E24"/>
    <w:rsid w:val="006C53FE"/>
    <w:rsid w:val="006C5529"/>
    <w:rsid w:val="006C552D"/>
    <w:rsid w:val="006C5C60"/>
    <w:rsid w:val="006C6301"/>
    <w:rsid w:val="006C6F3E"/>
    <w:rsid w:val="006C7D25"/>
    <w:rsid w:val="006D06B4"/>
    <w:rsid w:val="006D10EA"/>
    <w:rsid w:val="006D1918"/>
    <w:rsid w:val="006D2A3A"/>
    <w:rsid w:val="006D36C1"/>
    <w:rsid w:val="006D410B"/>
    <w:rsid w:val="006D42C7"/>
    <w:rsid w:val="006D4906"/>
    <w:rsid w:val="006D4EF6"/>
    <w:rsid w:val="006D4F41"/>
    <w:rsid w:val="006D5319"/>
    <w:rsid w:val="006D5F51"/>
    <w:rsid w:val="006D6F8E"/>
    <w:rsid w:val="006D7318"/>
    <w:rsid w:val="006D7376"/>
    <w:rsid w:val="006D7485"/>
    <w:rsid w:val="006E013E"/>
    <w:rsid w:val="006E086C"/>
    <w:rsid w:val="006E0EB6"/>
    <w:rsid w:val="006E1102"/>
    <w:rsid w:val="006E1C65"/>
    <w:rsid w:val="006E1E83"/>
    <w:rsid w:val="006E21AE"/>
    <w:rsid w:val="006E2482"/>
    <w:rsid w:val="006E2CD2"/>
    <w:rsid w:val="006E31DF"/>
    <w:rsid w:val="006E575B"/>
    <w:rsid w:val="006E57AF"/>
    <w:rsid w:val="006E7246"/>
    <w:rsid w:val="006E76CF"/>
    <w:rsid w:val="006E7A1B"/>
    <w:rsid w:val="006E7B1B"/>
    <w:rsid w:val="006F060D"/>
    <w:rsid w:val="006F16B4"/>
    <w:rsid w:val="006F1754"/>
    <w:rsid w:val="006F179B"/>
    <w:rsid w:val="006F194D"/>
    <w:rsid w:val="006F1A1A"/>
    <w:rsid w:val="006F1F5E"/>
    <w:rsid w:val="006F2601"/>
    <w:rsid w:val="006F2F56"/>
    <w:rsid w:val="006F331A"/>
    <w:rsid w:val="006F34CB"/>
    <w:rsid w:val="006F36A6"/>
    <w:rsid w:val="006F37A0"/>
    <w:rsid w:val="006F3829"/>
    <w:rsid w:val="006F387D"/>
    <w:rsid w:val="006F3AD7"/>
    <w:rsid w:val="006F3B6D"/>
    <w:rsid w:val="006F3EB1"/>
    <w:rsid w:val="006F3FA7"/>
    <w:rsid w:val="006F45E9"/>
    <w:rsid w:val="006F53EC"/>
    <w:rsid w:val="006F5656"/>
    <w:rsid w:val="006F6953"/>
    <w:rsid w:val="006F6B70"/>
    <w:rsid w:val="006F7000"/>
    <w:rsid w:val="006F729E"/>
    <w:rsid w:val="006F7973"/>
    <w:rsid w:val="006F7CE9"/>
    <w:rsid w:val="006F7F28"/>
    <w:rsid w:val="007013D1"/>
    <w:rsid w:val="00701890"/>
    <w:rsid w:val="00701B62"/>
    <w:rsid w:val="00701DAA"/>
    <w:rsid w:val="00701E5D"/>
    <w:rsid w:val="0070260A"/>
    <w:rsid w:val="00703685"/>
    <w:rsid w:val="00703709"/>
    <w:rsid w:val="00703C3A"/>
    <w:rsid w:val="007042DF"/>
    <w:rsid w:val="007047F4"/>
    <w:rsid w:val="0070485F"/>
    <w:rsid w:val="007058CF"/>
    <w:rsid w:val="00705B38"/>
    <w:rsid w:val="00705B7C"/>
    <w:rsid w:val="007060D7"/>
    <w:rsid w:val="007061E3"/>
    <w:rsid w:val="007065B9"/>
    <w:rsid w:val="0070675E"/>
    <w:rsid w:val="00706FEA"/>
    <w:rsid w:val="0070759B"/>
    <w:rsid w:val="00707EC0"/>
    <w:rsid w:val="00710130"/>
    <w:rsid w:val="00710719"/>
    <w:rsid w:val="00710C84"/>
    <w:rsid w:val="00710D04"/>
    <w:rsid w:val="00710DEB"/>
    <w:rsid w:val="00711220"/>
    <w:rsid w:val="00711E4C"/>
    <w:rsid w:val="00712B09"/>
    <w:rsid w:val="00712FF9"/>
    <w:rsid w:val="007132C8"/>
    <w:rsid w:val="00713F10"/>
    <w:rsid w:val="00713F1D"/>
    <w:rsid w:val="00713F52"/>
    <w:rsid w:val="00715A08"/>
    <w:rsid w:val="00715E94"/>
    <w:rsid w:val="0071627F"/>
    <w:rsid w:val="00716637"/>
    <w:rsid w:val="00716AE9"/>
    <w:rsid w:val="00716DA0"/>
    <w:rsid w:val="007173A9"/>
    <w:rsid w:val="00717544"/>
    <w:rsid w:val="00717B65"/>
    <w:rsid w:val="00717CF6"/>
    <w:rsid w:val="007203D5"/>
    <w:rsid w:val="00720FA0"/>
    <w:rsid w:val="007210E8"/>
    <w:rsid w:val="007216B7"/>
    <w:rsid w:val="0072174C"/>
    <w:rsid w:val="007218BF"/>
    <w:rsid w:val="00721A61"/>
    <w:rsid w:val="00722691"/>
    <w:rsid w:val="00722F53"/>
    <w:rsid w:val="00723012"/>
    <w:rsid w:val="00723743"/>
    <w:rsid w:val="0072375C"/>
    <w:rsid w:val="00723C4C"/>
    <w:rsid w:val="0072446F"/>
    <w:rsid w:val="007245C9"/>
    <w:rsid w:val="00724919"/>
    <w:rsid w:val="00724CDC"/>
    <w:rsid w:val="00724DE7"/>
    <w:rsid w:val="0072526A"/>
    <w:rsid w:val="00725636"/>
    <w:rsid w:val="00725B2F"/>
    <w:rsid w:val="0072617A"/>
    <w:rsid w:val="0072617E"/>
    <w:rsid w:val="007267F6"/>
    <w:rsid w:val="00726BAF"/>
    <w:rsid w:val="00726D31"/>
    <w:rsid w:val="00726D86"/>
    <w:rsid w:val="007272BD"/>
    <w:rsid w:val="007272D8"/>
    <w:rsid w:val="007278C5"/>
    <w:rsid w:val="0073048D"/>
    <w:rsid w:val="00730739"/>
    <w:rsid w:val="00730D15"/>
    <w:rsid w:val="00731E80"/>
    <w:rsid w:val="00732309"/>
    <w:rsid w:val="00732B25"/>
    <w:rsid w:val="0073331B"/>
    <w:rsid w:val="00733A98"/>
    <w:rsid w:val="00734911"/>
    <w:rsid w:val="00734A74"/>
    <w:rsid w:val="007352BD"/>
    <w:rsid w:val="00735513"/>
    <w:rsid w:val="00735F71"/>
    <w:rsid w:val="007360E1"/>
    <w:rsid w:val="007363B4"/>
    <w:rsid w:val="00736937"/>
    <w:rsid w:val="00736C02"/>
    <w:rsid w:val="007375B9"/>
    <w:rsid w:val="007375F6"/>
    <w:rsid w:val="00740726"/>
    <w:rsid w:val="00740871"/>
    <w:rsid w:val="00740991"/>
    <w:rsid w:val="00740BB1"/>
    <w:rsid w:val="00740D0E"/>
    <w:rsid w:val="00741F2A"/>
    <w:rsid w:val="0074246B"/>
    <w:rsid w:val="007430A6"/>
    <w:rsid w:val="00743366"/>
    <w:rsid w:val="00743BB7"/>
    <w:rsid w:val="00743E9B"/>
    <w:rsid w:val="0074401F"/>
    <w:rsid w:val="00746509"/>
    <w:rsid w:val="00746878"/>
    <w:rsid w:val="00747963"/>
    <w:rsid w:val="007504C2"/>
    <w:rsid w:val="00750507"/>
    <w:rsid w:val="00750B56"/>
    <w:rsid w:val="00750D2F"/>
    <w:rsid w:val="00750EB6"/>
    <w:rsid w:val="0075106C"/>
    <w:rsid w:val="00751117"/>
    <w:rsid w:val="00751365"/>
    <w:rsid w:val="0075214F"/>
    <w:rsid w:val="00752172"/>
    <w:rsid w:val="007524E3"/>
    <w:rsid w:val="00753709"/>
    <w:rsid w:val="00753FBD"/>
    <w:rsid w:val="0075478E"/>
    <w:rsid w:val="00754F1C"/>
    <w:rsid w:val="007550DA"/>
    <w:rsid w:val="007554D5"/>
    <w:rsid w:val="00755804"/>
    <w:rsid w:val="00756500"/>
    <w:rsid w:val="007568FC"/>
    <w:rsid w:val="0075762F"/>
    <w:rsid w:val="00757F76"/>
    <w:rsid w:val="007614AA"/>
    <w:rsid w:val="0076162A"/>
    <w:rsid w:val="0076187B"/>
    <w:rsid w:val="00761EB1"/>
    <w:rsid w:val="007623EC"/>
    <w:rsid w:val="00762CCA"/>
    <w:rsid w:val="00763783"/>
    <w:rsid w:val="007637C0"/>
    <w:rsid w:val="00764342"/>
    <w:rsid w:val="00764977"/>
    <w:rsid w:val="00764CA9"/>
    <w:rsid w:val="00764D5D"/>
    <w:rsid w:val="007650F1"/>
    <w:rsid w:val="00765443"/>
    <w:rsid w:val="007654A3"/>
    <w:rsid w:val="0076575F"/>
    <w:rsid w:val="00765AA1"/>
    <w:rsid w:val="00765C79"/>
    <w:rsid w:val="00766322"/>
    <w:rsid w:val="00766386"/>
    <w:rsid w:val="0076652D"/>
    <w:rsid w:val="00766DBC"/>
    <w:rsid w:val="00766DC6"/>
    <w:rsid w:val="00767CBC"/>
    <w:rsid w:val="00767E49"/>
    <w:rsid w:val="00770512"/>
    <w:rsid w:val="00770ECE"/>
    <w:rsid w:val="0077146D"/>
    <w:rsid w:val="00771D4F"/>
    <w:rsid w:val="00772003"/>
    <w:rsid w:val="007729D5"/>
    <w:rsid w:val="00773751"/>
    <w:rsid w:val="00773DF0"/>
    <w:rsid w:val="00773E3E"/>
    <w:rsid w:val="00773FDB"/>
    <w:rsid w:val="00773FFE"/>
    <w:rsid w:val="007744D6"/>
    <w:rsid w:val="00774F6A"/>
    <w:rsid w:val="00775033"/>
    <w:rsid w:val="00775350"/>
    <w:rsid w:val="00775FF7"/>
    <w:rsid w:val="007763C1"/>
    <w:rsid w:val="00776411"/>
    <w:rsid w:val="0077643F"/>
    <w:rsid w:val="00776756"/>
    <w:rsid w:val="0077729F"/>
    <w:rsid w:val="0077799F"/>
    <w:rsid w:val="00777E19"/>
    <w:rsid w:val="00780CB6"/>
    <w:rsid w:val="00780F0A"/>
    <w:rsid w:val="007814EF"/>
    <w:rsid w:val="007818CC"/>
    <w:rsid w:val="007824B1"/>
    <w:rsid w:val="007827EE"/>
    <w:rsid w:val="00782C7B"/>
    <w:rsid w:val="00782EAB"/>
    <w:rsid w:val="00783A43"/>
    <w:rsid w:val="00783A76"/>
    <w:rsid w:val="00783D30"/>
    <w:rsid w:val="00784517"/>
    <w:rsid w:val="00785949"/>
    <w:rsid w:val="00785F45"/>
    <w:rsid w:val="00786E0D"/>
    <w:rsid w:val="00786E38"/>
    <w:rsid w:val="00787115"/>
    <w:rsid w:val="007872FC"/>
    <w:rsid w:val="00787A87"/>
    <w:rsid w:val="00787D7C"/>
    <w:rsid w:val="00790452"/>
    <w:rsid w:val="00790AC2"/>
    <w:rsid w:val="00790CEA"/>
    <w:rsid w:val="00790D07"/>
    <w:rsid w:val="00791112"/>
    <w:rsid w:val="007916D5"/>
    <w:rsid w:val="00791984"/>
    <w:rsid w:val="00793243"/>
    <w:rsid w:val="0079535F"/>
    <w:rsid w:val="0079536C"/>
    <w:rsid w:val="00795547"/>
    <w:rsid w:val="00795F64"/>
    <w:rsid w:val="00796151"/>
    <w:rsid w:val="00796246"/>
    <w:rsid w:val="00796A20"/>
    <w:rsid w:val="00796ACE"/>
    <w:rsid w:val="007975C4"/>
    <w:rsid w:val="00797763"/>
    <w:rsid w:val="00797941"/>
    <w:rsid w:val="00797A63"/>
    <w:rsid w:val="007A07FC"/>
    <w:rsid w:val="007A0A44"/>
    <w:rsid w:val="007A1052"/>
    <w:rsid w:val="007A1F0F"/>
    <w:rsid w:val="007A2DC5"/>
    <w:rsid w:val="007A3380"/>
    <w:rsid w:val="007A355E"/>
    <w:rsid w:val="007A47A0"/>
    <w:rsid w:val="007A4D28"/>
    <w:rsid w:val="007A4EAB"/>
    <w:rsid w:val="007A552B"/>
    <w:rsid w:val="007A5AA1"/>
    <w:rsid w:val="007A5B97"/>
    <w:rsid w:val="007A5C07"/>
    <w:rsid w:val="007A6109"/>
    <w:rsid w:val="007A6BC6"/>
    <w:rsid w:val="007A775F"/>
    <w:rsid w:val="007A776A"/>
    <w:rsid w:val="007A77CD"/>
    <w:rsid w:val="007A77D2"/>
    <w:rsid w:val="007A7A89"/>
    <w:rsid w:val="007B0450"/>
    <w:rsid w:val="007B07F0"/>
    <w:rsid w:val="007B0D05"/>
    <w:rsid w:val="007B1496"/>
    <w:rsid w:val="007B170D"/>
    <w:rsid w:val="007B29EE"/>
    <w:rsid w:val="007B3461"/>
    <w:rsid w:val="007B460D"/>
    <w:rsid w:val="007B4AF7"/>
    <w:rsid w:val="007B5229"/>
    <w:rsid w:val="007B5A3B"/>
    <w:rsid w:val="007B5CB7"/>
    <w:rsid w:val="007B5D4C"/>
    <w:rsid w:val="007B5DC4"/>
    <w:rsid w:val="007B6587"/>
    <w:rsid w:val="007B65C9"/>
    <w:rsid w:val="007B6CE9"/>
    <w:rsid w:val="007B744B"/>
    <w:rsid w:val="007B78E2"/>
    <w:rsid w:val="007B7B61"/>
    <w:rsid w:val="007B7F96"/>
    <w:rsid w:val="007C0A8F"/>
    <w:rsid w:val="007C1179"/>
    <w:rsid w:val="007C1B5A"/>
    <w:rsid w:val="007C1BBE"/>
    <w:rsid w:val="007C235E"/>
    <w:rsid w:val="007C2C39"/>
    <w:rsid w:val="007C2E43"/>
    <w:rsid w:val="007C2E50"/>
    <w:rsid w:val="007C3A7B"/>
    <w:rsid w:val="007C4A54"/>
    <w:rsid w:val="007C4CB2"/>
    <w:rsid w:val="007C4EB7"/>
    <w:rsid w:val="007C4ED0"/>
    <w:rsid w:val="007C5D0C"/>
    <w:rsid w:val="007C5FC0"/>
    <w:rsid w:val="007C6781"/>
    <w:rsid w:val="007D1369"/>
    <w:rsid w:val="007D1399"/>
    <w:rsid w:val="007D1E9E"/>
    <w:rsid w:val="007D337C"/>
    <w:rsid w:val="007D39F7"/>
    <w:rsid w:val="007D3C90"/>
    <w:rsid w:val="007D440C"/>
    <w:rsid w:val="007D456C"/>
    <w:rsid w:val="007D46A0"/>
    <w:rsid w:val="007D497C"/>
    <w:rsid w:val="007D4AB8"/>
    <w:rsid w:val="007D4E8D"/>
    <w:rsid w:val="007D521D"/>
    <w:rsid w:val="007D5775"/>
    <w:rsid w:val="007D5D92"/>
    <w:rsid w:val="007D61C0"/>
    <w:rsid w:val="007D6A8A"/>
    <w:rsid w:val="007D6C12"/>
    <w:rsid w:val="007D71F5"/>
    <w:rsid w:val="007D73F1"/>
    <w:rsid w:val="007D76EF"/>
    <w:rsid w:val="007D7D94"/>
    <w:rsid w:val="007D7F56"/>
    <w:rsid w:val="007E05A5"/>
    <w:rsid w:val="007E08D9"/>
    <w:rsid w:val="007E0CF1"/>
    <w:rsid w:val="007E18D3"/>
    <w:rsid w:val="007E1BAC"/>
    <w:rsid w:val="007E2034"/>
    <w:rsid w:val="007E2AB5"/>
    <w:rsid w:val="007E2E90"/>
    <w:rsid w:val="007E329A"/>
    <w:rsid w:val="007E39C1"/>
    <w:rsid w:val="007E3D0D"/>
    <w:rsid w:val="007E41C0"/>
    <w:rsid w:val="007E521C"/>
    <w:rsid w:val="007E531A"/>
    <w:rsid w:val="007E5464"/>
    <w:rsid w:val="007E57EE"/>
    <w:rsid w:val="007E585D"/>
    <w:rsid w:val="007E6597"/>
    <w:rsid w:val="007E69A2"/>
    <w:rsid w:val="007F0670"/>
    <w:rsid w:val="007F115C"/>
    <w:rsid w:val="007F1D80"/>
    <w:rsid w:val="007F2035"/>
    <w:rsid w:val="007F2058"/>
    <w:rsid w:val="007F2950"/>
    <w:rsid w:val="007F2A0F"/>
    <w:rsid w:val="007F4107"/>
    <w:rsid w:val="007F47E6"/>
    <w:rsid w:val="007F5126"/>
    <w:rsid w:val="007F54C1"/>
    <w:rsid w:val="007F58EF"/>
    <w:rsid w:val="007F5923"/>
    <w:rsid w:val="007F5AEE"/>
    <w:rsid w:val="007F60F2"/>
    <w:rsid w:val="007F6205"/>
    <w:rsid w:val="007F6F13"/>
    <w:rsid w:val="007F7371"/>
    <w:rsid w:val="007F7594"/>
    <w:rsid w:val="007F76A6"/>
    <w:rsid w:val="008002AE"/>
    <w:rsid w:val="0080057C"/>
    <w:rsid w:val="00800CD0"/>
    <w:rsid w:val="0080145F"/>
    <w:rsid w:val="00802947"/>
    <w:rsid w:val="008029D8"/>
    <w:rsid w:val="00802DE3"/>
    <w:rsid w:val="00803CE2"/>
    <w:rsid w:val="00803D2B"/>
    <w:rsid w:val="00804682"/>
    <w:rsid w:val="00804822"/>
    <w:rsid w:val="00804CB1"/>
    <w:rsid w:val="00804E2E"/>
    <w:rsid w:val="00805E99"/>
    <w:rsid w:val="008064BD"/>
    <w:rsid w:val="0080674C"/>
    <w:rsid w:val="00807138"/>
    <w:rsid w:val="00807E78"/>
    <w:rsid w:val="00807FAC"/>
    <w:rsid w:val="00810B3B"/>
    <w:rsid w:val="00810DAE"/>
    <w:rsid w:val="0081140C"/>
    <w:rsid w:val="008120BA"/>
    <w:rsid w:val="00812569"/>
    <w:rsid w:val="0081297A"/>
    <w:rsid w:val="00813081"/>
    <w:rsid w:val="00813EE2"/>
    <w:rsid w:val="00814540"/>
    <w:rsid w:val="0081471F"/>
    <w:rsid w:val="0081482A"/>
    <w:rsid w:val="0081492C"/>
    <w:rsid w:val="008154DF"/>
    <w:rsid w:val="00816341"/>
    <w:rsid w:val="008167BE"/>
    <w:rsid w:val="00816C37"/>
    <w:rsid w:val="00816C59"/>
    <w:rsid w:val="00816E03"/>
    <w:rsid w:val="00820270"/>
    <w:rsid w:val="00820651"/>
    <w:rsid w:val="0082079C"/>
    <w:rsid w:val="00820ABE"/>
    <w:rsid w:val="00820BA4"/>
    <w:rsid w:val="00820C0B"/>
    <w:rsid w:val="008216A7"/>
    <w:rsid w:val="0082179B"/>
    <w:rsid w:val="00821AFF"/>
    <w:rsid w:val="008222C5"/>
    <w:rsid w:val="00822AFA"/>
    <w:rsid w:val="008234A6"/>
    <w:rsid w:val="00824423"/>
    <w:rsid w:val="008255BE"/>
    <w:rsid w:val="00825EFC"/>
    <w:rsid w:val="00825F50"/>
    <w:rsid w:val="0082609F"/>
    <w:rsid w:val="00826111"/>
    <w:rsid w:val="00826208"/>
    <w:rsid w:val="00826457"/>
    <w:rsid w:val="00826F92"/>
    <w:rsid w:val="00827060"/>
    <w:rsid w:val="008272D4"/>
    <w:rsid w:val="00830345"/>
    <w:rsid w:val="0083065B"/>
    <w:rsid w:val="00831E78"/>
    <w:rsid w:val="00832066"/>
    <w:rsid w:val="008320D9"/>
    <w:rsid w:val="008325A1"/>
    <w:rsid w:val="00832855"/>
    <w:rsid w:val="0083338E"/>
    <w:rsid w:val="00833C71"/>
    <w:rsid w:val="008344F0"/>
    <w:rsid w:val="00834849"/>
    <w:rsid w:val="00834A85"/>
    <w:rsid w:val="00834D6A"/>
    <w:rsid w:val="00835210"/>
    <w:rsid w:val="00835C1A"/>
    <w:rsid w:val="00835C8E"/>
    <w:rsid w:val="00835DE3"/>
    <w:rsid w:val="0083622D"/>
    <w:rsid w:val="0083640B"/>
    <w:rsid w:val="0083644C"/>
    <w:rsid w:val="008366A0"/>
    <w:rsid w:val="00836749"/>
    <w:rsid w:val="008378D8"/>
    <w:rsid w:val="00837B7C"/>
    <w:rsid w:val="008407A2"/>
    <w:rsid w:val="008415A1"/>
    <w:rsid w:val="00841869"/>
    <w:rsid w:val="00842095"/>
    <w:rsid w:val="008420B4"/>
    <w:rsid w:val="00842671"/>
    <w:rsid w:val="00842A5D"/>
    <w:rsid w:val="00842D0C"/>
    <w:rsid w:val="00842D8B"/>
    <w:rsid w:val="00842EDC"/>
    <w:rsid w:val="00843143"/>
    <w:rsid w:val="0084328F"/>
    <w:rsid w:val="00843B89"/>
    <w:rsid w:val="00843D52"/>
    <w:rsid w:val="00845340"/>
    <w:rsid w:val="00845D49"/>
    <w:rsid w:val="008463CD"/>
    <w:rsid w:val="008465D1"/>
    <w:rsid w:val="0085027B"/>
    <w:rsid w:val="00850812"/>
    <w:rsid w:val="00850C91"/>
    <w:rsid w:val="00851306"/>
    <w:rsid w:val="0085131C"/>
    <w:rsid w:val="0085165F"/>
    <w:rsid w:val="00851CC6"/>
    <w:rsid w:val="0085228C"/>
    <w:rsid w:val="00852873"/>
    <w:rsid w:val="00852A8F"/>
    <w:rsid w:val="00852CCD"/>
    <w:rsid w:val="00852E0C"/>
    <w:rsid w:val="00852E86"/>
    <w:rsid w:val="0085317A"/>
    <w:rsid w:val="0085396B"/>
    <w:rsid w:val="00853DCD"/>
    <w:rsid w:val="00854300"/>
    <w:rsid w:val="0085488D"/>
    <w:rsid w:val="008548B4"/>
    <w:rsid w:val="00854B6D"/>
    <w:rsid w:val="008551AF"/>
    <w:rsid w:val="00855468"/>
    <w:rsid w:val="00855AFD"/>
    <w:rsid w:val="008561E8"/>
    <w:rsid w:val="008562FC"/>
    <w:rsid w:val="00856D27"/>
    <w:rsid w:val="00856F5B"/>
    <w:rsid w:val="00857561"/>
    <w:rsid w:val="00857CA5"/>
    <w:rsid w:val="00857CAB"/>
    <w:rsid w:val="00860491"/>
    <w:rsid w:val="008605BB"/>
    <w:rsid w:val="00860EF0"/>
    <w:rsid w:val="008626FC"/>
    <w:rsid w:val="00863BFC"/>
    <w:rsid w:val="00863C05"/>
    <w:rsid w:val="00863E45"/>
    <w:rsid w:val="00863F0C"/>
    <w:rsid w:val="00864066"/>
    <w:rsid w:val="00864302"/>
    <w:rsid w:val="0086435F"/>
    <w:rsid w:val="008647DD"/>
    <w:rsid w:val="0086507D"/>
    <w:rsid w:val="00865653"/>
    <w:rsid w:val="00865B24"/>
    <w:rsid w:val="00865EE3"/>
    <w:rsid w:val="008665D6"/>
    <w:rsid w:val="00866A09"/>
    <w:rsid w:val="00866AA6"/>
    <w:rsid w:val="00866B11"/>
    <w:rsid w:val="00866F51"/>
    <w:rsid w:val="00867673"/>
    <w:rsid w:val="0087036A"/>
    <w:rsid w:val="00870828"/>
    <w:rsid w:val="0087143D"/>
    <w:rsid w:val="00871AF0"/>
    <w:rsid w:val="00871FC9"/>
    <w:rsid w:val="008720D2"/>
    <w:rsid w:val="00872378"/>
    <w:rsid w:val="008728FF"/>
    <w:rsid w:val="00872A92"/>
    <w:rsid w:val="008737D8"/>
    <w:rsid w:val="00873A33"/>
    <w:rsid w:val="00873BEA"/>
    <w:rsid w:val="008762EE"/>
    <w:rsid w:val="00876BB7"/>
    <w:rsid w:val="0087709A"/>
    <w:rsid w:val="00880084"/>
    <w:rsid w:val="008801BA"/>
    <w:rsid w:val="00880A83"/>
    <w:rsid w:val="00880D00"/>
    <w:rsid w:val="008811D0"/>
    <w:rsid w:val="0088201B"/>
    <w:rsid w:val="0088214B"/>
    <w:rsid w:val="0088237E"/>
    <w:rsid w:val="00883F4D"/>
    <w:rsid w:val="0088402E"/>
    <w:rsid w:val="00884DD3"/>
    <w:rsid w:val="00885314"/>
    <w:rsid w:val="008858E3"/>
    <w:rsid w:val="00885E06"/>
    <w:rsid w:val="008869C0"/>
    <w:rsid w:val="00886DDC"/>
    <w:rsid w:val="00886EAC"/>
    <w:rsid w:val="008901DE"/>
    <w:rsid w:val="00890B84"/>
    <w:rsid w:val="008913C3"/>
    <w:rsid w:val="00891961"/>
    <w:rsid w:val="00891F2F"/>
    <w:rsid w:val="0089296D"/>
    <w:rsid w:val="00892B94"/>
    <w:rsid w:val="00892FF0"/>
    <w:rsid w:val="0089333A"/>
    <w:rsid w:val="00893992"/>
    <w:rsid w:val="00893F8B"/>
    <w:rsid w:val="00894027"/>
    <w:rsid w:val="00894930"/>
    <w:rsid w:val="00894B2F"/>
    <w:rsid w:val="00894F1E"/>
    <w:rsid w:val="00895719"/>
    <w:rsid w:val="0089595A"/>
    <w:rsid w:val="00895CCA"/>
    <w:rsid w:val="00895F18"/>
    <w:rsid w:val="008961AC"/>
    <w:rsid w:val="00896B4E"/>
    <w:rsid w:val="00896D53"/>
    <w:rsid w:val="00896FFD"/>
    <w:rsid w:val="0089738B"/>
    <w:rsid w:val="00897722"/>
    <w:rsid w:val="008A00B4"/>
    <w:rsid w:val="008A024B"/>
    <w:rsid w:val="008A03B5"/>
    <w:rsid w:val="008A12FE"/>
    <w:rsid w:val="008A1885"/>
    <w:rsid w:val="008A1BC7"/>
    <w:rsid w:val="008A1C98"/>
    <w:rsid w:val="008A2A8F"/>
    <w:rsid w:val="008A3143"/>
    <w:rsid w:val="008A330D"/>
    <w:rsid w:val="008A35DC"/>
    <w:rsid w:val="008A3DCC"/>
    <w:rsid w:val="008A4819"/>
    <w:rsid w:val="008A4BD9"/>
    <w:rsid w:val="008A50A2"/>
    <w:rsid w:val="008A51E2"/>
    <w:rsid w:val="008A520A"/>
    <w:rsid w:val="008A54C5"/>
    <w:rsid w:val="008A5E4B"/>
    <w:rsid w:val="008A66B6"/>
    <w:rsid w:val="008A6703"/>
    <w:rsid w:val="008A693F"/>
    <w:rsid w:val="008A6E43"/>
    <w:rsid w:val="008A7225"/>
    <w:rsid w:val="008A730E"/>
    <w:rsid w:val="008A7C91"/>
    <w:rsid w:val="008A7E0D"/>
    <w:rsid w:val="008A7EE0"/>
    <w:rsid w:val="008A7F2A"/>
    <w:rsid w:val="008B077E"/>
    <w:rsid w:val="008B0C56"/>
    <w:rsid w:val="008B1859"/>
    <w:rsid w:val="008B199A"/>
    <w:rsid w:val="008B1F99"/>
    <w:rsid w:val="008B385F"/>
    <w:rsid w:val="008B3AA5"/>
    <w:rsid w:val="008B552D"/>
    <w:rsid w:val="008B5539"/>
    <w:rsid w:val="008B5A3D"/>
    <w:rsid w:val="008B5D86"/>
    <w:rsid w:val="008B7060"/>
    <w:rsid w:val="008B7222"/>
    <w:rsid w:val="008B745E"/>
    <w:rsid w:val="008B767F"/>
    <w:rsid w:val="008B7691"/>
    <w:rsid w:val="008B7C07"/>
    <w:rsid w:val="008C02D2"/>
    <w:rsid w:val="008C031B"/>
    <w:rsid w:val="008C0609"/>
    <w:rsid w:val="008C0904"/>
    <w:rsid w:val="008C23C6"/>
    <w:rsid w:val="008C2866"/>
    <w:rsid w:val="008C30BF"/>
    <w:rsid w:val="008C366E"/>
    <w:rsid w:val="008C435F"/>
    <w:rsid w:val="008C443B"/>
    <w:rsid w:val="008C47F2"/>
    <w:rsid w:val="008C4BA9"/>
    <w:rsid w:val="008C508C"/>
    <w:rsid w:val="008C540B"/>
    <w:rsid w:val="008C5DBA"/>
    <w:rsid w:val="008C648E"/>
    <w:rsid w:val="008C72F4"/>
    <w:rsid w:val="008C76A7"/>
    <w:rsid w:val="008C7E8A"/>
    <w:rsid w:val="008C7F9F"/>
    <w:rsid w:val="008D0592"/>
    <w:rsid w:val="008D05C4"/>
    <w:rsid w:val="008D08DD"/>
    <w:rsid w:val="008D0DC7"/>
    <w:rsid w:val="008D119B"/>
    <w:rsid w:val="008D15D3"/>
    <w:rsid w:val="008D19B7"/>
    <w:rsid w:val="008D2228"/>
    <w:rsid w:val="008D3064"/>
    <w:rsid w:val="008D33B6"/>
    <w:rsid w:val="008D34A8"/>
    <w:rsid w:val="008D3FE0"/>
    <w:rsid w:val="008D454B"/>
    <w:rsid w:val="008D4803"/>
    <w:rsid w:val="008D488A"/>
    <w:rsid w:val="008D50BF"/>
    <w:rsid w:val="008D5691"/>
    <w:rsid w:val="008D56C7"/>
    <w:rsid w:val="008D56F3"/>
    <w:rsid w:val="008D5DBB"/>
    <w:rsid w:val="008D682F"/>
    <w:rsid w:val="008D68A0"/>
    <w:rsid w:val="008D68CA"/>
    <w:rsid w:val="008D6CF2"/>
    <w:rsid w:val="008D7434"/>
    <w:rsid w:val="008D75B3"/>
    <w:rsid w:val="008D7889"/>
    <w:rsid w:val="008E04D4"/>
    <w:rsid w:val="008E05F2"/>
    <w:rsid w:val="008E066E"/>
    <w:rsid w:val="008E181E"/>
    <w:rsid w:val="008E19A2"/>
    <w:rsid w:val="008E19BB"/>
    <w:rsid w:val="008E224C"/>
    <w:rsid w:val="008E24CE"/>
    <w:rsid w:val="008E2773"/>
    <w:rsid w:val="008E30D0"/>
    <w:rsid w:val="008E31B0"/>
    <w:rsid w:val="008E3640"/>
    <w:rsid w:val="008E4209"/>
    <w:rsid w:val="008E4412"/>
    <w:rsid w:val="008E4700"/>
    <w:rsid w:val="008E5A12"/>
    <w:rsid w:val="008E6068"/>
    <w:rsid w:val="008E6A13"/>
    <w:rsid w:val="008E729C"/>
    <w:rsid w:val="008E72CB"/>
    <w:rsid w:val="008E7854"/>
    <w:rsid w:val="008F0C60"/>
    <w:rsid w:val="008F1281"/>
    <w:rsid w:val="008F1607"/>
    <w:rsid w:val="008F181E"/>
    <w:rsid w:val="008F1ABF"/>
    <w:rsid w:val="008F1C78"/>
    <w:rsid w:val="008F207D"/>
    <w:rsid w:val="008F20F1"/>
    <w:rsid w:val="008F293D"/>
    <w:rsid w:val="008F3411"/>
    <w:rsid w:val="008F3419"/>
    <w:rsid w:val="008F3591"/>
    <w:rsid w:val="008F3C89"/>
    <w:rsid w:val="008F3E84"/>
    <w:rsid w:val="008F4A43"/>
    <w:rsid w:val="008F4BC9"/>
    <w:rsid w:val="008F4D5A"/>
    <w:rsid w:val="008F58AB"/>
    <w:rsid w:val="008F5BEC"/>
    <w:rsid w:val="008F5FB3"/>
    <w:rsid w:val="008F6793"/>
    <w:rsid w:val="008F68A2"/>
    <w:rsid w:val="008F6A34"/>
    <w:rsid w:val="008F6DF2"/>
    <w:rsid w:val="008F6E7C"/>
    <w:rsid w:val="008F7842"/>
    <w:rsid w:val="008F785A"/>
    <w:rsid w:val="009001AE"/>
    <w:rsid w:val="00900479"/>
    <w:rsid w:val="00900596"/>
    <w:rsid w:val="00900900"/>
    <w:rsid w:val="00900FDD"/>
    <w:rsid w:val="00901667"/>
    <w:rsid w:val="00901885"/>
    <w:rsid w:val="00901B97"/>
    <w:rsid w:val="00902A62"/>
    <w:rsid w:val="00903631"/>
    <w:rsid w:val="009036BC"/>
    <w:rsid w:val="00903FFC"/>
    <w:rsid w:val="0090414F"/>
    <w:rsid w:val="00904A39"/>
    <w:rsid w:val="00904B90"/>
    <w:rsid w:val="009056C5"/>
    <w:rsid w:val="00905C15"/>
    <w:rsid w:val="00905C61"/>
    <w:rsid w:val="00905F92"/>
    <w:rsid w:val="009063D6"/>
    <w:rsid w:val="009068CC"/>
    <w:rsid w:val="0090721F"/>
    <w:rsid w:val="00907CD1"/>
    <w:rsid w:val="00910537"/>
    <w:rsid w:val="00911710"/>
    <w:rsid w:val="00911DCE"/>
    <w:rsid w:val="00912343"/>
    <w:rsid w:val="0091261B"/>
    <w:rsid w:val="009126A0"/>
    <w:rsid w:val="00912D83"/>
    <w:rsid w:val="00913796"/>
    <w:rsid w:val="00914BDD"/>
    <w:rsid w:val="00915204"/>
    <w:rsid w:val="00915642"/>
    <w:rsid w:val="0091651C"/>
    <w:rsid w:val="00916756"/>
    <w:rsid w:val="009176A9"/>
    <w:rsid w:val="00917706"/>
    <w:rsid w:val="00917B93"/>
    <w:rsid w:val="00920035"/>
    <w:rsid w:val="009205F9"/>
    <w:rsid w:val="0092061B"/>
    <w:rsid w:val="009212F5"/>
    <w:rsid w:val="0092130D"/>
    <w:rsid w:val="00921445"/>
    <w:rsid w:val="00921E6A"/>
    <w:rsid w:val="00921EC4"/>
    <w:rsid w:val="00921ED2"/>
    <w:rsid w:val="009222FB"/>
    <w:rsid w:val="00923443"/>
    <w:rsid w:val="0092382F"/>
    <w:rsid w:val="00924F3C"/>
    <w:rsid w:val="009255CD"/>
    <w:rsid w:val="00925E7D"/>
    <w:rsid w:val="00926720"/>
    <w:rsid w:val="00926BDE"/>
    <w:rsid w:val="009270F7"/>
    <w:rsid w:val="00927254"/>
    <w:rsid w:val="009273D8"/>
    <w:rsid w:val="0092799C"/>
    <w:rsid w:val="00927C59"/>
    <w:rsid w:val="00930C8A"/>
    <w:rsid w:val="00930F3F"/>
    <w:rsid w:val="00931DB0"/>
    <w:rsid w:val="0093203A"/>
    <w:rsid w:val="0093241D"/>
    <w:rsid w:val="009326B8"/>
    <w:rsid w:val="0093299D"/>
    <w:rsid w:val="009329DF"/>
    <w:rsid w:val="00932D5F"/>
    <w:rsid w:val="00932E89"/>
    <w:rsid w:val="0093308D"/>
    <w:rsid w:val="00933B47"/>
    <w:rsid w:val="0093406B"/>
    <w:rsid w:val="009340EF"/>
    <w:rsid w:val="00934121"/>
    <w:rsid w:val="00934942"/>
    <w:rsid w:val="009349A5"/>
    <w:rsid w:val="00934A59"/>
    <w:rsid w:val="00935764"/>
    <w:rsid w:val="009359CE"/>
    <w:rsid w:val="00935B42"/>
    <w:rsid w:val="00935EA4"/>
    <w:rsid w:val="00937024"/>
    <w:rsid w:val="009378AF"/>
    <w:rsid w:val="00937A35"/>
    <w:rsid w:val="009400E3"/>
    <w:rsid w:val="0094020A"/>
    <w:rsid w:val="00940A5F"/>
    <w:rsid w:val="00940D8B"/>
    <w:rsid w:val="00940FC9"/>
    <w:rsid w:val="009418C2"/>
    <w:rsid w:val="00941FCD"/>
    <w:rsid w:val="00942418"/>
    <w:rsid w:val="0094265C"/>
    <w:rsid w:val="0094318B"/>
    <w:rsid w:val="00943EFB"/>
    <w:rsid w:val="009449B0"/>
    <w:rsid w:val="00944E72"/>
    <w:rsid w:val="00945F1D"/>
    <w:rsid w:val="00946649"/>
    <w:rsid w:val="00946F92"/>
    <w:rsid w:val="00950934"/>
    <w:rsid w:val="00950A7E"/>
    <w:rsid w:val="00950BB8"/>
    <w:rsid w:val="00951021"/>
    <w:rsid w:val="00951036"/>
    <w:rsid w:val="00951917"/>
    <w:rsid w:val="00951F9C"/>
    <w:rsid w:val="00952C9E"/>
    <w:rsid w:val="00953A8A"/>
    <w:rsid w:val="00953D5A"/>
    <w:rsid w:val="00954309"/>
    <w:rsid w:val="00954786"/>
    <w:rsid w:val="00956727"/>
    <w:rsid w:val="00957CEA"/>
    <w:rsid w:val="00957ECC"/>
    <w:rsid w:val="00960D2C"/>
    <w:rsid w:val="00961212"/>
    <w:rsid w:val="00961EF3"/>
    <w:rsid w:val="00962168"/>
    <w:rsid w:val="00962208"/>
    <w:rsid w:val="0096366F"/>
    <w:rsid w:val="00963EDB"/>
    <w:rsid w:val="0096416B"/>
    <w:rsid w:val="00964615"/>
    <w:rsid w:val="00964F37"/>
    <w:rsid w:val="00965666"/>
    <w:rsid w:val="00965757"/>
    <w:rsid w:val="0096583B"/>
    <w:rsid w:val="009663D3"/>
    <w:rsid w:val="009665DC"/>
    <w:rsid w:val="009667D9"/>
    <w:rsid w:val="009669A0"/>
    <w:rsid w:val="0096712C"/>
    <w:rsid w:val="009679C4"/>
    <w:rsid w:val="00967F74"/>
    <w:rsid w:val="009702FD"/>
    <w:rsid w:val="00970954"/>
    <w:rsid w:val="00970C50"/>
    <w:rsid w:val="009710BB"/>
    <w:rsid w:val="009717D2"/>
    <w:rsid w:val="0097180B"/>
    <w:rsid w:val="0097234B"/>
    <w:rsid w:val="00972781"/>
    <w:rsid w:val="0097288D"/>
    <w:rsid w:val="00972C34"/>
    <w:rsid w:val="00972D6D"/>
    <w:rsid w:val="00972E21"/>
    <w:rsid w:val="00972F41"/>
    <w:rsid w:val="00972F99"/>
    <w:rsid w:val="00973497"/>
    <w:rsid w:val="009740F6"/>
    <w:rsid w:val="00974451"/>
    <w:rsid w:val="00974A00"/>
    <w:rsid w:val="009754D8"/>
    <w:rsid w:val="0097618A"/>
    <w:rsid w:val="009761A6"/>
    <w:rsid w:val="00976BE8"/>
    <w:rsid w:val="00976D59"/>
    <w:rsid w:val="00977127"/>
    <w:rsid w:val="00977A9C"/>
    <w:rsid w:val="00977FA8"/>
    <w:rsid w:val="00980A19"/>
    <w:rsid w:val="00980CED"/>
    <w:rsid w:val="0098112E"/>
    <w:rsid w:val="009811FA"/>
    <w:rsid w:val="00981355"/>
    <w:rsid w:val="009819C9"/>
    <w:rsid w:val="00981CAF"/>
    <w:rsid w:val="00981FE7"/>
    <w:rsid w:val="0098200E"/>
    <w:rsid w:val="00982327"/>
    <w:rsid w:val="009823A4"/>
    <w:rsid w:val="00982DA8"/>
    <w:rsid w:val="00983183"/>
    <w:rsid w:val="009840C6"/>
    <w:rsid w:val="00986376"/>
    <w:rsid w:val="00986AFE"/>
    <w:rsid w:val="009876B4"/>
    <w:rsid w:val="009877FA"/>
    <w:rsid w:val="0099064C"/>
    <w:rsid w:val="00992420"/>
    <w:rsid w:val="009928BD"/>
    <w:rsid w:val="009928E5"/>
    <w:rsid w:val="00993386"/>
    <w:rsid w:val="0099363B"/>
    <w:rsid w:val="00993CC8"/>
    <w:rsid w:val="009940E6"/>
    <w:rsid w:val="009947DB"/>
    <w:rsid w:val="00994B62"/>
    <w:rsid w:val="00994E0B"/>
    <w:rsid w:val="009950AE"/>
    <w:rsid w:val="00995DC9"/>
    <w:rsid w:val="00995EEB"/>
    <w:rsid w:val="00996433"/>
    <w:rsid w:val="0099790F"/>
    <w:rsid w:val="00997D99"/>
    <w:rsid w:val="009A001E"/>
    <w:rsid w:val="009A02C5"/>
    <w:rsid w:val="009A0BA8"/>
    <w:rsid w:val="009A0EE9"/>
    <w:rsid w:val="009A11E6"/>
    <w:rsid w:val="009A1DE8"/>
    <w:rsid w:val="009A226B"/>
    <w:rsid w:val="009A2E9D"/>
    <w:rsid w:val="009A2EFB"/>
    <w:rsid w:val="009A2F04"/>
    <w:rsid w:val="009A3266"/>
    <w:rsid w:val="009A367C"/>
    <w:rsid w:val="009A3BDC"/>
    <w:rsid w:val="009A3CF0"/>
    <w:rsid w:val="009A407A"/>
    <w:rsid w:val="009A41F2"/>
    <w:rsid w:val="009A480E"/>
    <w:rsid w:val="009A5050"/>
    <w:rsid w:val="009A5726"/>
    <w:rsid w:val="009A6284"/>
    <w:rsid w:val="009A7079"/>
    <w:rsid w:val="009A710D"/>
    <w:rsid w:val="009B06DB"/>
    <w:rsid w:val="009B0774"/>
    <w:rsid w:val="009B0941"/>
    <w:rsid w:val="009B0A00"/>
    <w:rsid w:val="009B1224"/>
    <w:rsid w:val="009B17FA"/>
    <w:rsid w:val="009B19F5"/>
    <w:rsid w:val="009B26D0"/>
    <w:rsid w:val="009B2787"/>
    <w:rsid w:val="009B293B"/>
    <w:rsid w:val="009B297B"/>
    <w:rsid w:val="009B2A6A"/>
    <w:rsid w:val="009B38D2"/>
    <w:rsid w:val="009B3ED3"/>
    <w:rsid w:val="009B451F"/>
    <w:rsid w:val="009B4AA3"/>
    <w:rsid w:val="009B54A4"/>
    <w:rsid w:val="009B5A59"/>
    <w:rsid w:val="009B5EF3"/>
    <w:rsid w:val="009B6539"/>
    <w:rsid w:val="009B691E"/>
    <w:rsid w:val="009B6A6A"/>
    <w:rsid w:val="009B75F8"/>
    <w:rsid w:val="009B7BD6"/>
    <w:rsid w:val="009C05C9"/>
    <w:rsid w:val="009C0AD7"/>
    <w:rsid w:val="009C114C"/>
    <w:rsid w:val="009C13AD"/>
    <w:rsid w:val="009C180F"/>
    <w:rsid w:val="009C2126"/>
    <w:rsid w:val="009C28D3"/>
    <w:rsid w:val="009C2A34"/>
    <w:rsid w:val="009C30AD"/>
    <w:rsid w:val="009C3350"/>
    <w:rsid w:val="009C3631"/>
    <w:rsid w:val="009C377C"/>
    <w:rsid w:val="009C3FDA"/>
    <w:rsid w:val="009C47AD"/>
    <w:rsid w:val="009C4BC9"/>
    <w:rsid w:val="009C5AE9"/>
    <w:rsid w:val="009C5C6A"/>
    <w:rsid w:val="009C6345"/>
    <w:rsid w:val="009C6F96"/>
    <w:rsid w:val="009C725D"/>
    <w:rsid w:val="009C7812"/>
    <w:rsid w:val="009D03EC"/>
    <w:rsid w:val="009D0550"/>
    <w:rsid w:val="009D0D45"/>
    <w:rsid w:val="009D0F04"/>
    <w:rsid w:val="009D1392"/>
    <w:rsid w:val="009D1B99"/>
    <w:rsid w:val="009D2162"/>
    <w:rsid w:val="009D28DC"/>
    <w:rsid w:val="009D3646"/>
    <w:rsid w:val="009D3E0E"/>
    <w:rsid w:val="009D3EEE"/>
    <w:rsid w:val="009D414D"/>
    <w:rsid w:val="009D46A7"/>
    <w:rsid w:val="009D4F27"/>
    <w:rsid w:val="009D5D4E"/>
    <w:rsid w:val="009D6656"/>
    <w:rsid w:val="009D690F"/>
    <w:rsid w:val="009D784C"/>
    <w:rsid w:val="009D79C9"/>
    <w:rsid w:val="009E0413"/>
    <w:rsid w:val="009E0551"/>
    <w:rsid w:val="009E0CC5"/>
    <w:rsid w:val="009E0D0A"/>
    <w:rsid w:val="009E16FE"/>
    <w:rsid w:val="009E18F4"/>
    <w:rsid w:val="009E2140"/>
    <w:rsid w:val="009E2A7D"/>
    <w:rsid w:val="009E2F60"/>
    <w:rsid w:val="009E3492"/>
    <w:rsid w:val="009E3CCB"/>
    <w:rsid w:val="009E3D9D"/>
    <w:rsid w:val="009E4C20"/>
    <w:rsid w:val="009E4E3F"/>
    <w:rsid w:val="009E51B7"/>
    <w:rsid w:val="009E5D52"/>
    <w:rsid w:val="009E5E71"/>
    <w:rsid w:val="009E5F37"/>
    <w:rsid w:val="009E6A68"/>
    <w:rsid w:val="009E6DA4"/>
    <w:rsid w:val="009E73FC"/>
    <w:rsid w:val="009F1CFB"/>
    <w:rsid w:val="009F1D3D"/>
    <w:rsid w:val="009F1E06"/>
    <w:rsid w:val="009F1F24"/>
    <w:rsid w:val="009F207B"/>
    <w:rsid w:val="009F223F"/>
    <w:rsid w:val="009F2C6D"/>
    <w:rsid w:val="009F413B"/>
    <w:rsid w:val="009F4B15"/>
    <w:rsid w:val="009F52D4"/>
    <w:rsid w:val="009F53FB"/>
    <w:rsid w:val="009F6248"/>
    <w:rsid w:val="009F6391"/>
    <w:rsid w:val="009F7AF2"/>
    <w:rsid w:val="009F7FF7"/>
    <w:rsid w:val="00A000D7"/>
    <w:rsid w:val="00A00211"/>
    <w:rsid w:val="00A0028D"/>
    <w:rsid w:val="00A012CA"/>
    <w:rsid w:val="00A0189B"/>
    <w:rsid w:val="00A01F41"/>
    <w:rsid w:val="00A02639"/>
    <w:rsid w:val="00A02978"/>
    <w:rsid w:val="00A036E1"/>
    <w:rsid w:val="00A03872"/>
    <w:rsid w:val="00A03B20"/>
    <w:rsid w:val="00A03F29"/>
    <w:rsid w:val="00A0450C"/>
    <w:rsid w:val="00A04684"/>
    <w:rsid w:val="00A04E73"/>
    <w:rsid w:val="00A04EA0"/>
    <w:rsid w:val="00A04F71"/>
    <w:rsid w:val="00A06BD2"/>
    <w:rsid w:val="00A06BE2"/>
    <w:rsid w:val="00A07172"/>
    <w:rsid w:val="00A0754C"/>
    <w:rsid w:val="00A07574"/>
    <w:rsid w:val="00A10344"/>
    <w:rsid w:val="00A1065C"/>
    <w:rsid w:val="00A10E8D"/>
    <w:rsid w:val="00A10EBC"/>
    <w:rsid w:val="00A1112F"/>
    <w:rsid w:val="00A111DD"/>
    <w:rsid w:val="00A11491"/>
    <w:rsid w:val="00A11BE6"/>
    <w:rsid w:val="00A11CDD"/>
    <w:rsid w:val="00A11EAF"/>
    <w:rsid w:val="00A11FF6"/>
    <w:rsid w:val="00A125D7"/>
    <w:rsid w:val="00A12673"/>
    <w:rsid w:val="00A12813"/>
    <w:rsid w:val="00A12EAC"/>
    <w:rsid w:val="00A132CF"/>
    <w:rsid w:val="00A134E2"/>
    <w:rsid w:val="00A13AC5"/>
    <w:rsid w:val="00A13D64"/>
    <w:rsid w:val="00A13FE5"/>
    <w:rsid w:val="00A14B50"/>
    <w:rsid w:val="00A1599B"/>
    <w:rsid w:val="00A16F59"/>
    <w:rsid w:val="00A16FFF"/>
    <w:rsid w:val="00A1734B"/>
    <w:rsid w:val="00A1763D"/>
    <w:rsid w:val="00A17CA0"/>
    <w:rsid w:val="00A20444"/>
    <w:rsid w:val="00A209A6"/>
    <w:rsid w:val="00A20AA3"/>
    <w:rsid w:val="00A20D41"/>
    <w:rsid w:val="00A21026"/>
    <w:rsid w:val="00A21996"/>
    <w:rsid w:val="00A2270D"/>
    <w:rsid w:val="00A22AAE"/>
    <w:rsid w:val="00A22E07"/>
    <w:rsid w:val="00A23177"/>
    <w:rsid w:val="00A23404"/>
    <w:rsid w:val="00A23FFF"/>
    <w:rsid w:val="00A2404B"/>
    <w:rsid w:val="00A24349"/>
    <w:rsid w:val="00A247AF"/>
    <w:rsid w:val="00A25745"/>
    <w:rsid w:val="00A2594F"/>
    <w:rsid w:val="00A25CF3"/>
    <w:rsid w:val="00A26204"/>
    <w:rsid w:val="00A2648B"/>
    <w:rsid w:val="00A26727"/>
    <w:rsid w:val="00A26B21"/>
    <w:rsid w:val="00A26CE8"/>
    <w:rsid w:val="00A30874"/>
    <w:rsid w:val="00A30E1D"/>
    <w:rsid w:val="00A312A2"/>
    <w:rsid w:val="00A317C2"/>
    <w:rsid w:val="00A32540"/>
    <w:rsid w:val="00A3298F"/>
    <w:rsid w:val="00A32DC4"/>
    <w:rsid w:val="00A32EE8"/>
    <w:rsid w:val="00A32FAE"/>
    <w:rsid w:val="00A3402B"/>
    <w:rsid w:val="00A34080"/>
    <w:rsid w:val="00A347B5"/>
    <w:rsid w:val="00A34C44"/>
    <w:rsid w:val="00A34DB7"/>
    <w:rsid w:val="00A34F29"/>
    <w:rsid w:val="00A354E0"/>
    <w:rsid w:val="00A35A75"/>
    <w:rsid w:val="00A368EB"/>
    <w:rsid w:val="00A372B2"/>
    <w:rsid w:val="00A372BF"/>
    <w:rsid w:val="00A3795D"/>
    <w:rsid w:val="00A37C84"/>
    <w:rsid w:val="00A37CA1"/>
    <w:rsid w:val="00A37D1A"/>
    <w:rsid w:val="00A37DB0"/>
    <w:rsid w:val="00A4053A"/>
    <w:rsid w:val="00A4067C"/>
    <w:rsid w:val="00A408B1"/>
    <w:rsid w:val="00A411E3"/>
    <w:rsid w:val="00A415D5"/>
    <w:rsid w:val="00A42E40"/>
    <w:rsid w:val="00A42E78"/>
    <w:rsid w:val="00A43AAB"/>
    <w:rsid w:val="00A44877"/>
    <w:rsid w:val="00A4491D"/>
    <w:rsid w:val="00A44A30"/>
    <w:rsid w:val="00A45B27"/>
    <w:rsid w:val="00A45F4E"/>
    <w:rsid w:val="00A46205"/>
    <w:rsid w:val="00A464A5"/>
    <w:rsid w:val="00A46672"/>
    <w:rsid w:val="00A46744"/>
    <w:rsid w:val="00A46C99"/>
    <w:rsid w:val="00A47395"/>
    <w:rsid w:val="00A47844"/>
    <w:rsid w:val="00A479CB"/>
    <w:rsid w:val="00A47C69"/>
    <w:rsid w:val="00A47E3E"/>
    <w:rsid w:val="00A5047C"/>
    <w:rsid w:val="00A51346"/>
    <w:rsid w:val="00A52949"/>
    <w:rsid w:val="00A52C27"/>
    <w:rsid w:val="00A536AA"/>
    <w:rsid w:val="00A538B7"/>
    <w:rsid w:val="00A53D43"/>
    <w:rsid w:val="00A540F4"/>
    <w:rsid w:val="00A54523"/>
    <w:rsid w:val="00A54DAF"/>
    <w:rsid w:val="00A5521A"/>
    <w:rsid w:val="00A553A4"/>
    <w:rsid w:val="00A55530"/>
    <w:rsid w:val="00A55ED6"/>
    <w:rsid w:val="00A56119"/>
    <w:rsid w:val="00A56164"/>
    <w:rsid w:val="00A561B6"/>
    <w:rsid w:val="00A56A96"/>
    <w:rsid w:val="00A57A7B"/>
    <w:rsid w:val="00A57DB5"/>
    <w:rsid w:val="00A57EC1"/>
    <w:rsid w:val="00A60045"/>
    <w:rsid w:val="00A602A0"/>
    <w:rsid w:val="00A604C9"/>
    <w:rsid w:val="00A60802"/>
    <w:rsid w:val="00A60919"/>
    <w:rsid w:val="00A609F8"/>
    <w:rsid w:val="00A60B9B"/>
    <w:rsid w:val="00A617DC"/>
    <w:rsid w:val="00A61B10"/>
    <w:rsid w:val="00A61B4A"/>
    <w:rsid w:val="00A61E5C"/>
    <w:rsid w:val="00A62925"/>
    <w:rsid w:val="00A63483"/>
    <w:rsid w:val="00A6386E"/>
    <w:rsid w:val="00A64106"/>
    <w:rsid w:val="00A641AA"/>
    <w:rsid w:val="00A64F1F"/>
    <w:rsid w:val="00A6539D"/>
    <w:rsid w:val="00A6618A"/>
    <w:rsid w:val="00A664AF"/>
    <w:rsid w:val="00A670C3"/>
    <w:rsid w:val="00A67627"/>
    <w:rsid w:val="00A67F72"/>
    <w:rsid w:val="00A703E3"/>
    <w:rsid w:val="00A704ED"/>
    <w:rsid w:val="00A70DF3"/>
    <w:rsid w:val="00A70F83"/>
    <w:rsid w:val="00A717A6"/>
    <w:rsid w:val="00A71ACC"/>
    <w:rsid w:val="00A736B8"/>
    <w:rsid w:val="00A7423B"/>
    <w:rsid w:val="00A742A8"/>
    <w:rsid w:val="00A745BD"/>
    <w:rsid w:val="00A74866"/>
    <w:rsid w:val="00A7643E"/>
    <w:rsid w:val="00A76CD3"/>
    <w:rsid w:val="00A77DDC"/>
    <w:rsid w:val="00A8000D"/>
    <w:rsid w:val="00A8091E"/>
    <w:rsid w:val="00A80B73"/>
    <w:rsid w:val="00A81905"/>
    <w:rsid w:val="00A81A29"/>
    <w:rsid w:val="00A82322"/>
    <w:rsid w:val="00A8246B"/>
    <w:rsid w:val="00A825E4"/>
    <w:rsid w:val="00A829FD"/>
    <w:rsid w:val="00A82B5C"/>
    <w:rsid w:val="00A83CC9"/>
    <w:rsid w:val="00A83FF3"/>
    <w:rsid w:val="00A840D3"/>
    <w:rsid w:val="00A8410E"/>
    <w:rsid w:val="00A84386"/>
    <w:rsid w:val="00A845A7"/>
    <w:rsid w:val="00A8489F"/>
    <w:rsid w:val="00A84DB0"/>
    <w:rsid w:val="00A84EB3"/>
    <w:rsid w:val="00A850AC"/>
    <w:rsid w:val="00A85FCB"/>
    <w:rsid w:val="00A8656F"/>
    <w:rsid w:val="00A86B26"/>
    <w:rsid w:val="00A87194"/>
    <w:rsid w:val="00A878C2"/>
    <w:rsid w:val="00A87E7B"/>
    <w:rsid w:val="00A902C9"/>
    <w:rsid w:val="00A90E39"/>
    <w:rsid w:val="00A91408"/>
    <w:rsid w:val="00A91576"/>
    <w:rsid w:val="00A92587"/>
    <w:rsid w:val="00A932C9"/>
    <w:rsid w:val="00A93372"/>
    <w:rsid w:val="00A93716"/>
    <w:rsid w:val="00A93C20"/>
    <w:rsid w:val="00A944C7"/>
    <w:rsid w:val="00A94D60"/>
    <w:rsid w:val="00A95224"/>
    <w:rsid w:val="00A95259"/>
    <w:rsid w:val="00A95BB3"/>
    <w:rsid w:val="00A961AC"/>
    <w:rsid w:val="00A96A8A"/>
    <w:rsid w:val="00A96DF5"/>
    <w:rsid w:val="00A97250"/>
    <w:rsid w:val="00A973DB"/>
    <w:rsid w:val="00A978A8"/>
    <w:rsid w:val="00A97D98"/>
    <w:rsid w:val="00AA0143"/>
    <w:rsid w:val="00AA0F2A"/>
    <w:rsid w:val="00AA142F"/>
    <w:rsid w:val="00AA17EE"/>
    <w:rsid w:val="00AA1AC6"/>
    <w:rsid w:val="00AA2324"/>
    <w:rsid w:val="00AA2636"/>
    <w:rsid w:val="00AA276D"/>
    <w:rsid w:val="00AA2EA7"/>
    <w:rsid w:val="00AA401C"/>
    <w:rsid w:val="00AA451A"/>
    <w:rsid w:val="00AA57DC"/>
    <w:rsid w:val="00AA5B88"/>
    <w:rsid w:val="00AA6426"/>
    <w:rsid w:val="00AA68DF"/>
    <w:rsid w:val="00AA7E33"/>
    <w:rsid w:val="00AB0107"/>
    <w:rsid w:val="00AB0650"/>
    <w:rsid w:val="00AB09CC"/>
    <w:rsid w:val="00AB09F0"/>
    <w:rsid w:val="00AB0ED0"/>
    <w:rsid w:val="00AB135A"/>
    <w:rsid w:val="00AB1485"/>
    <w:rsid w:val="00AB1E8C"/>
    <w:rsid w:val="00AB20A6"/>
    <w:rsid w:val="00AB2B17"/>
    <w:rsid w:val="00AB2E2D"/>
    <w:rsid w:val="00AB35AB"/>
    <w:rsid w:val="00AB3755"/>
    <w:rsid w:val="00AB45EA"/>
    <w:rsid w:val="00AB5045"/>
    <w:rsid w:val="00AB5C2F"/>
    <w:rsid w:val="00AB5DE1"/>
    <w:rsid w:val="00AB6990"/>
    <w:rsid w:val="00AB78C0"/>
    <w:rsid w:val="00AB7B3A"/>
    <w:rsid w:val="00AC11AE"/>
    <w:rsid w:val="00AC17C6"/>
    <w:rsid w:val="00AC237F"/>
    <w:rsid w:val="00AC2A9A"/>
    <w:rsid w:val="00AC3282"/>
    <w:rsid w:val="00AC4034"/>
    <w:rsid w:val="00AC49EA"/>
    <w:rsid w:val="00AC5EB1"/>
    <w:rsid w:val="00AC61E5"/>
    <w:rsid w:val="00AC656F"/>
    <w:rsid w:val="00AC6745"/>
    <w:rsid w:val="00AC7742"/>
    <w:rsid w:val="00AC797C"/>
    <w:rsid w:val="00AD056B"/>
    <w:rsid w:val="00AD07DC"/>
    <w:rsid w:val="00AD085B"/>
    <w:rsid w:val="00AD1058"/>
    <w:rsid w:val="00AD14D0"/>
    <w:rsid w:val="00AD15EC"/>
    <w:rsid w:val="00AD1933"/>
    <w:rsid w:val="00AD25BF"/>
    <w:rsid w:val="00AD2783"/>
    <w:rsid w:val="00AD2EEC"/>
    <w:rsid w:val="00AD2EF9"/>
    <w:rsid w:val="00AD31D2"/>
    <w:rsid w:val="00AD378B"/>
    <w:rsid w:val="00AD3BEB"/>
    <w:rsid w:val="00AD3E6A"/>
    <w:rsid w:val="00AD43D4"/>
    <w:rsid w:val="00AD44F9"/>
    <w:rsid w:val="00AD4BFB"/>
    <w:rsid w:val="00AD5450"/>
    <w:rsid w:val="00AD5543"/>
    <w:rsid w:val="00AD5DE1"/>
    <w:rsid w:val="00AD5E40"/>
    <w:rsid w:val="00AD63F3"/>
    <w:rsid w:val="00AD75B0"/>
    <w:rsid w:val="00AD7A2F"/>
    <w:rsid w:val="00AD7E1C"/>
    <w:rsid w:val="00AE09CA"/>
    <w:rsid w:val="00AE12F0"/>
    <w:rsid w:val="00AE137C"/>
    <w:rsid w:val="00AE258A"/>
    <w:rsid w:val="00AE2981"/>
    <w:rsid w:val="00AE2DFD"/>
    <w:rsid w:val="00AE44D0"/>
    <w:rsid w:val="00AE4BAC"/>
    <w:rsid w:val="00AE5341"/>
    <w:rsid w:val="00AE5674"/>
    <w:rsid w:val="00AE68B8"/>
    <w:rsid w:val="00AE69D0"/>
    <w:rsid w:val="00AE6A6F"/>
    <w:rsid w:val="00AE75D5"/>
    <w:rsid w:val="00AE7BA4"/>
    <w:rsid w:val="00AE7FB3"/>
    <w:rsid w:val="00AF00EA"/>
    <w:rsid w:val="00AF07EC"/>
    <w:rsid w:val="00AF0AE8"/>
    <w:rsid w:val="00AF146C"/>
    <w:rsid w:val="00AF19D2"/>
    <w:rsid w:val="00AF1FBB"/>
    <w:rsid w:val="00AF3072"/>
    <w:rsid w:val="00AF351D"/>
    <w:rsid w:val="00AF35B5"/>
    <w:rsid w:val="00AF3738"/>
    <w:rsid w:val="00AF3D6E"/>
    <w:rsid w:val="00AF45C5"/>
    <w:rsid w:val="00AF49B9"/>
    <w:rsid w:val="00AF4E47"/>
    <w:rsid w:val="00AF5048"/>
    <w:rsid w:val="00AF52A1"/>
    <w:rsid w:val="00AF56A6"/>
    <w:rsid w:val="00AF5950"/>
    <w:rsid w:val="00AF6100"/>
    <w:rsid w:val="00AF671E"/>
    <w:rsid w:val="00AF72F3"/>
    <w:rsid w:val="00AF734F"/>
    <w:rsid w:val="00AF73FA"/>
    <w:rsid w:val="00AF74BA"/>
    <w:rsid w:val="00AF7729"/>
    <w:rsid w:val="00AF7FC2"/>
    <w:rsid w:val="00B0086B"/>
    <w:rsid w:val="00B013DD"/>
    <w:rsid w:val="00B014FB"/>
    <w:rsid w:val="00B0172F"/>
    <w:rsid w:val="00B018C6"/>
    <w:rsid w:val="00B01A05"/>
    <w:rsid w:val="00B02298"/>
    <w:rsid w:val="00B02B6A"/>
    <w:rsid w:val="00B0328B"/>
    <w:rsid w:val="00B032B8"/>
    <w:rsid w:val="00B03858"/>
    <w:rsid w:val="00B04ABC"/>
    <w:rsid w:val="00B0506E"/>
    <w:rsid w:val="00B05687"/>
    <w:rsid w:val="00B062EA"/>
    <w:rsid w:val="00B06700"/>
    <w:rsid w:val="00B06B06"/>
    <w:rsid w:val="00B1176C"/>
    <w:rsid w:val="00B1259E"/>
    <w:rsid w:val="00B12649"/>
    <w:rsid w:val="00B12872"/>
    <w:rsid w:val="00B12AE1"/>
    <w:rsid w:val="00B141E4"/>
    <w:rsid w:val="00B145D8"/>
    <w:rsid w:val="00B1555B"/>
    <w:rsid w:val="00B15593"/>
    <w:rsid w:val="00B15971"/>
    <w:rsid w:val="00B15D30"/>
    <w:rsid w:val="00B15EF6"/>
    <w:rsid w:val="00B166BE"/>
    <w:rsid w:val="00B16C7E"/>
    <w:rsid w:val="00B17208"/>
    <w:rsid w:val="00B203CF"/>
    <w:rsid w:val="00B209D0"/>
    <w:rsid w:val="00B209ED"/>
    <w:rsid w:val="00B209FC"/>
    <w:rsid w:val="00B21087"/>
    <w:rsid w:val="00B21137"/>
    <w:rsid w:val="00B2119E"/>
    <w:rsid w:val="00B217DB"/>
    <w:rsid w:val="00B21977"/>
    <w:rsid w:val="00B21A3F"/>
    <w:rsid w:val="00B226AB"/>
    <w:rsid w:val="00B227F7"/>
    <w:rsid w:val="00B22DEA"/>
    <w:rsid w:val="00B231DB"/>
    <w:rsid w:val="00B2392C"/>
    <w:rsid w:val="00B244DD"/>
    <w:rsid w:val="00B245CD"/>
    <w:rsid w:val="00B24695"/>
    <w:rsid w:val="00B2525B"/>
    <w:rsid w:val="00B2571C"/>
    <w:rsid w:val="00B25B95"/>
    <w:rsid w:val="00B25EBF"/>
    <w:rsid w:val="00B2603F"/>
    <w:rsid w:val="00B260E7"/>
    <w:rsid w:val="00B266A3"/>
    <w:rsid w:val="00B26D02"/>
    <w:rsid w:val="00B27A74"/>
    <w:rsid w:val="00B27D08"/>
    <w:rsid w:val="00B3017D"/>
    <w:rsid w:val="00B3065B"/>
    <w:rsid w:val="00B3081A"/>
    <w:rsid w:val="00B30DEF"/>
    <w:rsid w:val="00B3140D"/>
    <w:rsid w:val="00B31BD5"/>
    <w:rsid w:val="00B31D5A"/>
    <w:rsid w:val="00B32CF3"/>
    <w:rsid w:val="00B330C7"/>
    <w:rsid w:val="00B335A3"/>
    <w:rsid w:val="00B335BC"/>
    <w:rsid w:val="00B33BEA"/>
    <w:rsid w:val="00B3409D"/>
    <w:rsid w:val="00B34293"/>
    <w:rsid w:val="00B346B9"/>
    <w:rsid w:val="00B3487D"/>
    <w:rsid w:val="00B34954"/>
    <w:rsid w:val="00B34E27"/>
    <w:rsid w:val="00B3679A"/>
    <w:rsid w:val="00B36A0D"/>
    <w:rsid w:val="00B36D8A"/>
    <w:rsid w:val="00B370BE"/>
    <w:rsid w:val="00B3799B"/>
    <w:rsid w:val="00B409A5"/>
    <w:rsid w:val="00B4150C"/>
    <w:rsid w:val="00B4166C"/>
    <w:rsid w:val="00B420BC"/>
    <w:rsid w:val="00B42807"/>
    <w:rsid w:val="00B43141"/>
    <w:rsid w:val="00B43292"/>
    <w:rsid w:val="00B43390"/>
    <w:rsid w:val="00B43A54"/>
    <w:rsid w:val="00B443AC"/>
    <w:rsid w:val="00B444E5"/>
    <w:rsid w:val="00B4452E"/>
    <w:rsid w:val="00B4535A"/>
    <w:rsid w:val="00B45387"/>
    <w:rsid w:val="00B45648"/>
    <w:rsid w:val="00B456C9"/>
    <w:rsid w:val="00B457EA"/>
    <w:rsid w:val="00B46502"/>
    <w:rsid w:val="00B46621"/>
    <w:rsid w:val="00B46722"/>
    <w:rsid w:val="00B46CF8"/>
    <w:rsid w:val="00B4762C"/>
    <w:rsid w:val="00B47FC0"/>
    <w:rsid w:val="00B50230"/>
    <w:rsid w:val="00B509CF"/>
    <w:rsid w:val="00B512F2"/>
    <w:rsid w:val="00B514F1"/>
    <w:rsid w:val="00B5245E"/>
    <w:rsid w:val="00B52DD3"/>
    <w:rsid w:val="00B53564"/>
    <w:rsid w:val="00B53CD6"/>
    <w:rsid w:val="00B549A1"/>
    <w:rsid w:val="00B54CD5"/>
    <w:rsid w:val="00B54D47"/>
    <w:rsid w:val="00B54E8F"/>
    <w:rsid w:val="00B5505C"/>
    <w:rsid w:val="00B55DA2"/>
    <w:rsid w:val="00B56A3B"/>
    <w:rsid w:val="00B56E09"/>
    <w:rsid w:val="00B57740"/>
    <w:rsid w:val="00B57C69"/>
    <w:rsid w:val="00B60041"/>
    <w:rsid w:val="00B60BE6"/>
    <w:rsid w:val="00B60E77"/>
    <w:rsid w:val="00B615BD"/>
    <w:rsid w:val="00B62030"/>
    <w:rsid w:val="00B62A23"/>
    <w:rsid w:val="00B6317D"/>
    <w:rsid w:val="00B63842"/>
    <w:rsid w:val="00B63849"/>
    <w:rsid w:val="00B63ACC"/>
    <w:rsid w:val="00B646AA"/>
    <w:rsid w:val="00B64B11"/>
    <w:rsid w:val="00B64EC1"/>
    <w:rsid w:val="00B652D4"/>
    <w:rsid w:val="00B657EA"/>
    <w:rsid w:val="00B65F01"/>
    <w:rsid w:val="00B65FDE"/>
    <w:rsid w:val="00B66179"/>
    <w:rsid w:val="00B66434"/>
    <w:rsid w:val="00B67323"/>
    <w:rsid w:val="00B70457"/>
    <w:rsid w:val="00B70940"/>
    <w:rsid w:val="00B71163"/>
    <w:rsid w:val="00B72184"/>
    <w:rsid w:val="00B72495"/>
    <w:rsid w:val="00B72E86"/>
    <w:rsid w:val="00B72F18"/>
    <w:rsid w:val="00B73E37"/>
    <w:rsid w:val="00B74406"/>
    <w:rsid w:val="00B76315"/>
    <w:rsid w:val="00B76529"/>
    <w:rsid w:val="00B76FB5"/>
    <w:rsid w:val="00B76FE1"/>
    <w:rsid w:val="00B77E7C"/>
    <w:rsid w:val="00B77F5F"/>
    <w:rsid w:val="00B8044A"/>
    <w:rsid w:val="00B8136A"/>
    <w:rsid w:val="00B8175A"/>
    <w:rsid w:val="00B819D5"/>
    <w:rsid w:val="00B82073"/>
    <w:rsid w:val="00B82AB8"/>
    <w:rsid w:val="00B830AE"/>
    <w:rsid w:val="00B83586"/>
    <w:rsid w:val="00B84550"/>
    <w:rsid w:val="00B846B0"/>
    <w:rsid w:val="00B84730"/>
    <w:rsid w:val="00B84D7D"/>
    <w:rsid w:val="00B84DC5"/>
    <w:rsid w:val="00B8527F"/>
    <w:rsid w:val="00B85410"/>
    <w:rsid w:val="00B85769"/>
    <w:rsid w:val="00B857B6"/>
    <w:rsid w:val="00B8616F"/>
    <w:rsid w:val="00B861BE"/>
    <w:rsid w:val="00B866AB"/>
    <w:rsid w:val="00B86ABF"/>
    <w:rsid w:val="00B8750F"/>
    <w:rsid w:val="00B8758C"/>
    <w:rsid w:val="00B9044B"/>
    <w:rsid w:val="00B9045E"/>
    <w:rsid w:val="00B9049C"/>
    <w:rsid w:val="00B9052E"/>
    <w:rsid w:val="00B90A84"/>
    <w:rsid w:val="00B91195"/>
    <w:rsid w:val="00B9173A"/>
    <w:rsid w:val="00B923B2"/>
    <w:rsid w:val="00B92446"/>
    <w:rsid w:val="00B9249C"/>
    <w:rsid w:val="00B9270F"/>
    <w:rsid w:val="00B92A83"/>
    <w:rsid w:val="00B931F9"/>
    <w:rsid w:val="00B93265"/>
    <w:rsid w:val="00B93E29"/>
    <w:rsid w:val="00B93EAA"/>
    <w:rsid w:val="00B94561"/>
    <w:rsid w:val="00B94B1A"/>
    <w:rsid w:val="00B94D4A"/>
    <w:rsid w:val="00B957B8"/>
    <w:rsid w:val="00B96128"/>
    <w:rsid w:val="00B961FB"/>
    <w:rsid w:val="00B96467"/>
    <w:rsid w:val="00B96B5A"/>
    <w:rsid w:val="00B96D73"/>
    <w:rsid w:val="00B97D06"/>
    <w:rsid w:val="00B97F61"/>
    <w:rsid w:val="00BA06D2"/>
    <w:rsid w:val="00BA0AC7"/>
    <w:rsid w:val="00BA129E"/>
    <w:rsid w:val="00BA13AD"/>
    <w:rsid w:val="00BA1597"/>
    <w:rsid w:val="00BA1A34"/>
    <w:rsid w:val="00BA1BEA"/>
    <w:rsid w:val="00BA1D7B"/>
    <w:rsid w:val="00BA28FF"/>
    <w:rsid w:val="00BA2C3E"/>
    <w:rsid w:val="00BA3CA9"/>
    <w:rsid w:val="00BA3E2A"/>
    <w:rsid w:val="00BA444F"/>
    <w:rsid w:val="00BA4B95"/>
    <w:rsid w:val="00BA4C0D"/>
    <w:rsid w:val="00BA4FEF"/>
    <w:rsid w:val="00BA591C"/>
    <w:rsid w:val="00BA69C7"/>
    <w:rsid w:val="00BA701B"/>
    <w:rsid w:val="00BA7591"/>
    <w:rsid w:val="00BA7ADB"/>
    <w:rsid w:val="00BA7F88"/>
    <w:rsid w:val="00BB0362"/>
    <w:rsid w:val="00BB0BCF"/>
    <w:rsid w:val="00BB0C51"/>
    <w:rsid w:val="00BB0DD3"/>
    <w:rsid w:val="00BB1901"/>
    <w:rsid w:val="00BB21AC"/>
    <w:rsid w:val="00BB228A"/>
    <w:rsid w:val="00BB3085"/>
    <w:rsid w:val="00BB34C4"/>
    <w:rsid w:val="00BB34DC"/>
    <w:rsid w:val="00BB39E4"/>
    <w:rsid w:val="00BB3BD3"/>
    <w:rsid w:val="00BB3C76"/>
    <w:rsid w:val="00BB4476"/>
    <w:rsid w:val="00BB49E0"/>
    <w:rsid w:val="00BB5712"/>
    <w:rsid w:val="00BB5B89"/>
    <w:rsid w:val="00BB62B2"/>
    <w:rsid w:val="00BB6A99"/>
    <w:rsid w:val="00BB7182"/>
    <w:rsid w:val="00BC093C"/>
    <w:rsid w:val="00BC0BC2"/>
    <w:rsid w:val="00BC18BD"/>
    <w:rsid w:val="00BC204B"/>
    <w:rsid w:val="00BC21E3"/>
    <w:rsid w:val="00BC2435"/>
    <w:rsid w:val="00BC25FD"/>
    <w:rsid w:val="00BC2987"/>
    <w:rsid w:val="00BC2C3D"/>
    <w:rsid w:val="00BC3010"/>
    <w:rsid w:val="00BC310B"/>
    <w:rsid w:val="00BC323C"/>
    <w:rsid w:val="00BC3778"/>
    <w:rsid w:val="00BC3A14"/>
    <w:rsid w:val="00BC585C"/>
    <w:rsid w:val="00BC6E09"/>
    <w:rsid w:val="00BC7580"/>
    <w:rsid w:val="00BC78FF"/>
    <w:rsid w:val="00BC7E9A"/>
    <w:rsid w:val="00BD16AB"/>
    <w:rsid w:val="00BD1755"/>
    <w:rsid w:val="00BD1B77"/>
    <w:rsid w:val="00BD1CBB"/>
    <w:rsid w:val="00BD1D46"/>
    <w:rsid w:val="00BD24D4"/>
    <w:rsid w:val="00BD263F"/>
    <w:rsid w:val="00BD28B5"/>
    <w:rsid w:val="00BD34DE"/>
    <w:rsid w:val="00BD3CCA"/>
    <w:rsid w:val="00BD3EDF"/>
    <w:rsid w:val="00BD4025"/>
    <w:rsid w:val="00BD432A"/>
    <w:rsid w:val="00BD476B"/>
    <w:rsid w:val="00BD54F3"/>
    <w:rsid w:val="00BD571C"/>
    <w:rsid w:val="00BD5DD7"/>
    <w:rsid w:val="00BD5F0F"/>
    <w:rsid w:val="00BD6793"/>
    <w:rsid w:val="00BD6C15"/>
    <w:rsid w:val="00BD6DFB"/>
    <w:rsid w:val="00BE012A"/>
    <w:rsid w:val="00BE05C2"/>
    <w:rsid w:val="00BE09D2"/>
    <w:rsid w:val="00BE19F6"/>
    <w:rsid w:val="00BE238D"/>
    <w:rsid w:val="00BE27A0"/>
    <w:rsid w:val="00BE28F2"/>
    <w:rsid w:val="00BE2DC5"/>
    <w:rsid w:val="00BE32C2"/>
    <w:rsid w:val="00BE34DD"/>
    <w:rsid w:val="00BE391A"/>
    <w:rsid w:val="00BE4988"/>
    <w:rsid w:val="00BE4BB6"/>
    <w:rsid w:val="00BE4F4A"/>
    <w:rsid w:val="00BE5628"/>
    <w:rsid w:val="00BE5947"/>
    <w:rsid w:val="00BE5BD4"/>
    <w:rsid w:val="00BE6435"/>
    <w:rsid w:val="00BE65F2"/>
    <w:rsid w:val="00BE7016"/>
    <w:rsid w:val="00BE7072"/>
    <w:rsid w:val="00BE70C3"/>
    <w:rsid w:val="00BE780E"/>
    <w:rsid w:val="00BE7A5F"/>
    <w:rsid w:val="00BF04A3"/>
    <w:rsid w:val="00BF10A5"/>
    <w:rsid w:val="00BF10C4"/>
    <w:rsid w:val="00BF12DA"/>
    <w:rsid w:val="00BF1A83"/>
    <w:rsid w:val="00BF224A"/>
    <w:rsid w:val="00BF24E1"/>
    <w:rsid w:val="00BF2509"/>
    <w:rsid w:val="00BF2B47"/>
    <w:rsid w:val="00BF3537"/>
    <w:rsid w:val="00BF416B"/>
    <w:rsid w:val="00BF501E"/>
    <w:rsid w:val="00BF50F7"/>
    <w:rsid w:val="00BF55A6"/>
    <w:rsid w:val="00BF5918"/>
    <w:rsid w:val="00BF6448"/>
    <w:rsid w:val="00BF6855"/>
    <w:rsid w:val="00C000CE"/>
    <w:rsid w:val="00C003FB"/>
    <w:rsid w:val="00C00DDB"/>
    <w:rsid w:val="00C02408"/>
    <w:rsid w:val="00C02F34"/>
    <w:rsid w:val="00C02F62"/>
    <w:rsid w:val="00C04166"/>
    <w:rsid w:val="00C0443F"/>
    <w:rsid w:val="00C046F4"/>
    <w:rsid w:val="00C048C0"/>
    <w:rsid w:val="00C051C4"/>
    <w:rsid w:val="00C05934"/>
    <w:rsid w:val="00C06187"/>
    <w:rsid w:val="00C074CB"/>
    <w:rsid w:val="00C07CA3"/>
    <w:rsid w:val="00C10646"/>
    <w:rsid w:val="00C109AF"/>
    <w:rsid w:val="00C114AB"/>
    <w:rsid w:val="00C126D1"/>
    <w:rsid w:val="00C129C2"/>
    <w:rsid w:val="00C12F73"/>
    <w:rsid w:val="00C1330C"/>
    <w:rsid w:val="00C1347F"/>
    <w:rsid w:val="00C14031"/>
    <w:rsid w:val="00C141C0"/>
    <w:rsid w:val="00C1495A"/>
    <w:rsid w:val="00C14971"/>
    <w:rsid w:val="00C16746"/>
    <w:rsid w:val="00C16EAF"/>
    <w:rsid w:val="00C17368"/>
    <w:rsid w:val="00C1763A"/>
    <w:rsid w:val="00C178D4"/>
    <w:rsid w:val="00C17BF5"/>
    <w:rsid w:val="00C17F1D"/>
    <w:rsid w:val="00C20416"/>
    <w:rsid w:val="00C20851"/>
    <w:rsid w:val="00C20B0C"/>
    <w:rsid w:val="00C20D7E"/>
    <w:rsid w:val="00C21723"/>
    <w:rsid w:val="00C21809"/>
    <w:rsid w:val="00C21AEC"/>
    <w:rsid w:val="00C21B1D"/>
    <w:rsid w:val="00C21B73"/>
    <w:rsid w:val="00C21BDB"/>
    <w:rsid w:val="00C223B4"/>
    <w:rsid w:val="00C2272E"/>
    <w:rsid w:val="00C22BEF"/>
    <w:rsid w:val="00C22ED6"/>
    <w:rsid w:val="00C230C0"/>
    <w:rsid w:val="00C23EFD"/>
    <w:rsid w:val="00C24012"/>
    <w:rsid w:val="00C24153"/>
    <w:rsid w:val="00C24656"/>
    <w:rsid w:val="00C24978"/>
    <w:rsid w:val="00C24D30"/>
    <w:rsid w:val="00C24E78"/>
    <w:rsid w:val="00C25003"/>
    <w:rsid w:val="00C2577D"/>
    <w:rsid w:val="00C26A45"/>
    <w:rsid w:val="00C26DD6"/>
    <w:rsid w:val="00C26F2C"/>
    <w:rsid w:val="00C2714E"/>
    <w:rsid w:val="00C27948"/>
    <w:rsid w:val="00C27CC7"/>
    <w:rsid w:val="00C30B29"/>
    <w:rsid w:val="00C31048"/>
    <w:rsid w:val="00C31820"/>
    <w:rsid w:val="00C323DA"/>
    <w:rsid w:val="00C338A4"/>
    <w:rsid w:val="00C33C29"/>
    <w:rsid w:val="00C3453E"/>
    <w:rsid w:val="00C346C0"/>
    <w:rsid w:val="00C348CC"/>
    <w:rsid w:val="00C34A33"/>
    <w:rsid w:val="00C357E8"/>
    <w:rsid w:val="00C36779"/>
    <w:rsid w:val="00C37826"/>
    <w:rsid w:val="00C3797D"/>
    <w:rsid w:val="00C37E84"/>
    <w:rsid w:val="00C4181A"/>
    <w:rsid w:val="00C41898"/>
    <w:rsid w:val="00C420A2"/>
    <w:rsid w:val="00C42313"/>
    <w:rsid w:val="00C42EF4"/>
    <w:rsid w:val="00C432CE"/>
    <w:rsid w:val="00C44602"/>
    <w:rsid w:val="00C44B29"/>
    <w:rsid w:val="00C44E78"/>
    <w:rsid w:val="00C45290"/>
    <w:rsid w:val="00C457D8"/>
    <w:rsid w:val="00C45F9F"/>
    <w:rsid w:val="00C460B3"/>
    <w:rsid w:val="00C468F5"/>
    <w:rsid w:val="00C475AF"/>
    <w:rsid w:val="00C4772A"/>
    <w:rsid w:val="00C47A61"/>
    <w:rsid w:val="00C47CD2"/>
    <w:rsid w:val="00C47D87"/>
    <w:rsid w:val="00C47D99"/>
    <w:rsid w:val="00C50AD6"/>
    <w:rsid w:val="00C51EFF"/>
    <w:rsid w:val="00C52152"/>
    <w:rsid w:val="00C524B9"/>
    <w:rsid w:val="00C525E4"/>
    <w:rsid w:val="00C52B73"/>
    <w:rsid w:val="00C533FA"/>
    <w:rsid w:val="00C537E0"/>
    <w:rsid w:val="00C54990"/>
    <w:rsid w:val="00C54ABF"/>
    <w:rsid w:val="00C55EFF"/>
    <w:rsid w:val="00C56425"/>
    <w:rsid w:val="00C56784"/>
    <w:rsid w:val="00C57887"/>
    <w:rsid w:val="00C57FF0"/>
    <w:rsid w:val="00C609AE"/>
    <w:rsid w:val="00C60C32"/>
    <w:rsid w:val="00C60F98"/>
    <w:rsid w:val="00C6106C"/>
    <w:rsid w:val="00C61680"/>
    <w:rsid w:val="00C61A3D"/>
    <w:rsid w:val="00C61D51"/>
    <w:rsid w:val="00C62B79"/>
    <w:rsid w:val="00C62D21"/>
    <w:rsid w:val="00C6309C"/>
    <w:rsid w:val="00C6341F"/>
    <w:rsid w:val="00C63D1F"/>
    <w:rsid w:val="00C642B5"/>
    <w:rsid w:val="00C649BA"/>
    <w:rsid w:val="00C64F80"/>
    <w:rsid w:val="00C6568F"/>
    <w:rsid w:val="00C65948"/>
    <w:rsid w:val="00C65E9F"/>
    <w:rsid w:val="00C66846"/>
    <w:rsid w:val="00C678BD"/>
    <w:rsid w:val="00C67ABD"/>
    <w:rsid w:val="00C70597"/>
    <w:rsid w:val="00C713FD"/>
    <w:rsid w:val="00C71405"/>
    <w:rsid w:val="00C71854"/>
    <w:rsid w:val="00C7191F"/>
    <w:rsid w:val="00C71EFE"/>
    <w:rsid w:val="00C720E4"/>
    <w:rsid w:val="00C7292D"/>
    <w:rsid w:val="00C735C9"/>
    <w:rsid w:val="00C736C5"/>
    <w:rsid w:val="00C7389B"/>
    <w:rsid w:val="00C7481E"/>
    <w:rsid w:val="00C749DF"/>
    <w:rsid w:val="00C74A29"/>
    <w:rsid w:val="00C75AE4"/>
    <w:rsid w:val="00C76639"/>
    <w:rsid w:val="00C7695E"/>
    <w:rsid w:val="00C76E6D"/>
    <w:rsid w:val="00C7796F"/>
    <w:rsid w:val="00C77F98"/>
    <w:rsid w:val="00C8042D"/>
    <w:rsid w:val="00C80645"/>
    <w:rsid w:val="00C80790"/>
    <w:rsid w:val="00C80BF7"/>
    <w:rsid w:val="00C80CD2"/>
    <w:rsid w:val="00C80E50"/>
    <w:rsid w:val="00C80EBC"/>
    <w:rsid w:val="00C82645"/>
    <w:rsid w:val="00C83C58"/>
    <w:rsid w:val="00C843D1"/>
    <w:rsid w:val="00C845F1"/>
    <w:rsid w:val="00C84632"/>
    <w:rsid w:val="00C8479F"/>
    <w:rsid w:val="00C84C14"/>
    <w:rsid w:val="00C85A41"/>
    <w:rsid w:val="00C8607C"/>
    <w:rsid w:val="00C86B3C"/>
    <w:rsid w:val="00C86BD1"/>
    <w:rsid w:val="00C871B9"/>
    <w:rsid w:val="00C8745E"/>
    <w:rsid w:val="00C875C1"/>
    <w:rsid w:val="00C8774B"/>
    <w:rsid w:val="00C87AB8"/>
    <w:rsid w:val="00C87F34"/>
    <w:rsid w:val="00C90631"/>
    <w:rsid w:val="00C90D54"/>
    <w:rsid w:val="00C90F9A"/>
    <w:rsid w:val="00C90FBD"/>
    <w:rsid w:val="00C9156B"/>
    <w:rsid w:val="00C91A8C"/>
    <w:rsid w:val="00C9313B"/>
    <w:rsid w:val="00C938DA"/>
    <w:rsid w:val="00C939FF"/>
    <w:rsid w:val="00C94093"/>
    <w:rsid w:val="00C94715"/>
    <w:rsid w:val="00C95630"/>
    <w:rsid w:val="00C95EFE"/>
    <w:rsid w:val="00C9658A"/>
    <w:rsid w:val="00C96BC8"/>
    <w:rsid w:val="00C96F86"/>
    <w:rsid w:val="00CA0199"/>
    <w:rsid w:val="00CA0259"/>
    <w:rsid w:val="00CA09F9"/>
    <w:rsid w:val="00CA0ED9"/>
    <w:rsid w:val="00CA184C"/>
    <w:rsid w:val="00CA1927"/>
    <w:rsid w:val="00CA1BF1"/>
    <w:rsid w:val="00CA49D0"/>
    <w:rsid w:val="00CA4C02"/>
    <w:rsid w:val="00CA55BE"/>
    <w:rsid w:val="00CA56A6"/>
    <w:rsid w:val="00CA5CA6"/>
    <w:rsid w:val="00CA5E57"/>
    <w:rsid w:val="00CA5EB3"/>
    <w:rsid w:val="00CA6426"/>
    <w:rsid w:val="00CA693F"/>
    <w:rsid w:val="00CA6C75"/>
    <w:rsid w:val="00CA71FC"/>
    <w:rsid w:val="00CA733D"/>
    <w:rsid w:val="00CA78FC"/>
    <w:rsid w:val="00CA7BB2"/>
    <w:rsid w:val="00CB1277"/>
    <w:rsid w:val="00CB1427"/>
    <w:rsid w:val="00CB16D9"/>
    <w:rsid w:val="00CB1A35"/>
    <w:rsid w:val="00CB1AD7"/>
    <w:rsid w:val="00CB2087"/>
    <w:rsid w:val="00CB2442"/>
    <w:rsid w:val="00CB2997"/>
    <w:rsid w:val="00CB33B7"/>
    <w:rsid w:val="00CB34B2"/>
    <w:rsid w:val="00CB3839"/>
    <w:rsid w:val="00CB3A93"/>
    <w:rsid w:val="00CB45AC"/>
    <w:rsid w:val="00CB4FA0"/>
    <w:rsid w:val="00CB597E"/>
    <w:rsid w:val="00CB68B9"/>
    <w:rsid w:val="00CB6B55"/>
    <w:rsid w:val="00CB6D65"/>
    <w:rsid w:val="00CB6FA4"/>
    <w:rsid w:val="00CB7282"/>
    <w:rsid w:val="00CB77A7"/>
    <w:rsid w:val="00CC004C"/>
    <w:rsid w:val="00CC0058"/>
    <w:rsid w:val="00CC1074"/>
    <w:rsid w:val="00CC13E3"/>
    <w:rsid w:val="00CC141C"/>
    <w:rsid w:val="00CC154C"/>
    <w:rsid w:val="00CC2998"/>
    <w:rsid w:val="00CC2F34"/>
    <w:rsid w:val="00CC3112"/>
    <w:rsid w:val="00CC3F48"/>
    <w:rsid w:val="00CC4B48"/>
    <w:rsid w:val="00CC4C68"/>
    <w:rsid w:val="00CC53E3"/>
    <w:rsid w:val="00CC5A29"/>
    <w:rsid w:val="00CC62E4"/>
    <w:rsid w:val="00CC6335"/>
    <w:rsid w:val="00CC66EE"/>
    <w:rsid w:val="00CC6F60"/>
    <w:rsid w:val="00CC7D4C"/>
    <w:rsid w:val="00CC7D5B"/>
    <w:rsid w:val="00CC7E6B"/>
    <w:rsid w:val="00CD030E"/>
    <w:rsid w:val="00CD0706"/>
    <w:rsid w:val="00CD07FA"/>
    <w:rsid w:val="00CD1A54"/>
    <w:rsid w:val="00CD1AF5"/>
    <w:rsid w:val="00CD2467"/>
    <w:rsid w:val="00CD256D"/>
    <w:rsid w:val="00CD2B78"/>
    <w:rsid w:val="00CD2CB5"/>
    <w:rsid w:val="00CD334A"/>
    <w:rsid w:val="00CD3B1B"/>
    <w:rsid w:val="00CD40DB"/>
    <w:rsid w:val="00CD425E"/>
    <w:rsid w:val="00CD4D02"/>
    <w:rsid w:val="00CD5224"/>
    <w:rsid w:val="00CD535B"/>
    <w:rsid w:val="00CD5415"/>
    <w:rsid w:val="00CD5506"/>
    <w:rsid w:val="00CD5D55"/>
    <w:rsid w:val="00CD64BE"/>
    <w:rsid w:val="00CD6601"/>
    <w:rsid w:val="00CD741D"/>
    <w:rsid w:val="00CD79D9"/>
    <w:rsid w:val="00CE0EFA"/>
    <w:rsid w:val="00CE226B"/>
    <w:rsid w:val="00CE2696"/>
    <w:rsid w:val="00CE289B"/>
    <w:rsid w:val="00CE2AC0"/>
    <w:rsid w:val="00CE32FF"/>
    <w:rsid w:val="00CE36C8"/>
    <w:rsid w:val="00CE4796"/>
    <w:rsid w:val="00CE49E1"/>
    <w:rsid w:val="00CE4D02"/>
    <w:rsid w:val="00CE5A17"/>
    <w:rsid w:val="00CE5A4C"/>
    <w:rsid w:val="00CE6002"/>
    <w:rsid w:val="00CE648B"/>
    <w:rsid w:val="00CF001B"/>
    <w:rsid w:val="00CF04E7"/>
    <w:rsid w:val="00CF0FE8"/>
    <w:rsid w:val="00CF10D7"/>
    <w:rsid w:val="00CF20CC"/>
    <w:rsid w:val="00CF296D"/>
    <w:rsid w:val="00CF2E90"/>
    <w:rsid w:val="00CF3401"/>
    <w:rsid w:val="00CF348F"/>
    <w:rsid w:val="00CF350E"/>
    <w:rsid w:val="00CF39ED"/>
    <w:rsid w:val="00CF3AF7"/>
    <w:rsid w:val="00CF3B3A"/>
    <w:rsid w:val="00CF3C70"/>
    <w:rsid w:val="00CF426C"/>
    <w:rsid w:val="00CF4930"/>
    <w:rsid w:val="00CF4A12"/>
    <w:rsid w:val="00CF4EB7"/>
    <w:rsid w:val="00CF5397"/>
    <w:rsid w:val="00CF7330"/>
    <w:rsid w:val="00CF7B68"/>
    <w:rsid w:val="00D00031"/>
    <w:rsid w:val="00D0016A"/>
    <w:rsid w:val="00D00527"/>
    <w:rsid w:val="00D00789"/>
    <w:rsid w:val="00D01BC7"/>
    <w:rsid w:val="00D025BF"/>
    <w:rsid w:val="00D033BB"/>
    <w:rsid w:val="00D039BF"/>
    <w:rsid w:val="00D0455C"/>
    <w:rsid w:val="00D051C4"/>
    <w:rsid w:val="00D07528"/>
    <w:rsid w:val="00D103FC"/>
    <w:rsid w:val="00D105A4"/>
    <w:rsid w:val="00D10885"/>
    <w:rsid w:val="00D10E21"/>
    <w:rsid w:val="00D11E1B"/>
    <w:rsid w:val="00D12266"/>
    <w:rsid w:val="00D124A6"/>
    <w:rsid w:val="00D138FB"/>
    <w:rsid w:val="00D13964"/>
    <w:rsid w:val="00D13BBB"/>
    <w:rsid w:val="00D13E32"/>
    <w:rsid w:val="00D149AC"/>
    <w:rsid w:val="00D14C04"/>
    <w:rsid w:val="00D14E39"/>
    <w:rsid w:val="00D150CB"/>
    <w:rsid w:val="00D15A54"/>
    <w:rsid w:val="00D15E89"/>
    <w:rsid w:val="00D16196"/>
    <w:rsid w:val="00D162C5"/>
    <w:rsid w:val="00D163A4"/>
    <w:rsid w:val="00D17561"/>
    <w:rsid w:val="00D17768"/>
    <w:rsid w:val="00D17C1A"/>
    <w:rsid w:val="00D20951"/>
    <w:rsid w:val="00D20ED3"/>
    <w:rsid w:val="00D2125A"/>
    <w:rsid w:val="00D2129F"/>
    <w:rsid w:val="00D21C24"/>
    <w:rsid w:val="00D21C87"/>
    <w:rsid w:val="00D22E2D"/>
    <w:rsid w:val="00D235A5"/>
    <w:rsid w:val="00D23DC7"/>
    <w:rsid w:val="00D2415B"/>
    <w:rsid w:val="00D24DF8"/>
    <w:rsid w:val="00D25584"/>
    <w:rsid w:val="00D25932"/>
    <w:rsid w:val="00D25D94"/>
    <w:rsid w:val="00D25ED1"/>
    <w:rsid w:val="00D262B2"/>
    <w:rsid w:val="00D26829"/>
    <w:rsid w:val="00D26BAA"/>
    <w:rsid w:val="00D31338"/>
    <w:rsid w:val="00D317A8"/>
    <w:rsid w:val="00D32908"/>
    <w:rsid w:val="00D33B2C"/>
    <w:rsid w:val="00D33BAF"/>
    <w:rsid w:val="00D342F6"/>
    <w:rsid w:val="00D345C5"/>
    <w:rsid w:val="00D3488B"/>
    <w:rsid w:val="00D34D1A"/>
    <w:rsid w:val="00D3525B"/>
    <w:rsid w:val="00D358D6"/>
    <w:rsid w:val="00D35DAF"/>
    <w:rsid w:val="00D37139"/>
    <w:rsid w:val="00D372F2"/>
    <w:rsid w:val="00D40276"/>
    <w:rsid w:val="00D40816"/>
    <w:rsid w:val="00D41CC3"/>
    <w:rsid w:val="00D42118"/>
    <w:rsid w:val="00D427AC"/>
    <w:rsid w:val="00D4291C"/>
    <w:rsid w:val="00D42BED"/>
    <w:rsid w:val="00D42D55"/>
    <w:rsid w:val="00D42D95"/>
    <w:rsid w:val="00D43356"/>
    <w:rsid w:val="00D434D9"/>
    <w:rsid w:val="00D43EB4"/>
    <w:rsid w:val="00D44578"/>
    <w:rsid w:val="00D445F2"/>
    <w:rsid w:val="00D44ADD"/>
    <w:rsid w:val="00D44B7E"/>
    <w:rsid w:val="00D44F23"/>
    <w:rsid w:val="00D457DE"/>
    <w:rsid w:val="00D45A5B"/>
    <w:rsid w:val="00D46450"/>
    <w:rsid w:val="00D46DBF"/>
    <w:rsid w:val="00D47029"/>
    <w:rsid w:val="00D47A62"/>
    <w:rsid w:val="00D501D4"/>
    <w:rsid w:val="00D50C71"/>
    <w:rsid w:val="00D51C09"/>
    <w:rsid w:val="00D51F3E"/>
    <w:rsid w:val="00D526B6"/>
    <w:rsid w:val="00D52F46"/>
    <w:rsid w:val="00D53342"/>
    <w:rsid w:val="00D5338B"/>
    <w:rsid w:val="00D533D9"/>
    <w:rsid w:val="00D53435"/>
    <w:rsid w:val="00D5389F"/>
    <w:rsid w:val="00D5469A"/>
    <w:rsid w:val="00D546D8"/>
    <w:rsid w:val="00D54BE7"/>
    <w:rsid w:val="00D5520A"/>
    <w:rsid w:val="00D55A63"/>
    <w:rsid w:val="00D56694"/>
    <w:rsid w:val="00D56A8A"/>
    <w:rsid w:val="00D56B7C"/>
    <w:rsid w:val="00D57755"/>
    <w:rsid w:val="00D57ADD"/>
    <w:rsid w:val="00D57DAA"/>
    <w:rsid w:val="00D603B0"/>
    <w:rsid w:val="00D60878"/>
    <w:rsid w:val="00D612B2"/>
    <w:rsid w:val="00D61A0B"/>
    <w:rsid w:val="00D61B32"/>
    <w:rsid w:val="00D62654"/>
    <w:rsid w:val="00D62757"/>
    <w:rsid w:val="00D62C01"/>
    <w:rsid w:val="00D62E8F"/>
    <w:rsid w:val="00D63113"/>
    <w:rsid w:val="00D63429"/>
    <w:rsid w:val="00D6391D"/>
    <w:rsid w:val="00D63C05"/>
    <w:rsid w:val="00D64174"/>
    <w:rsid w:val="00D64A32"/>
    <w:rsid w:val="00D64F98"/>
    <w:rsid w:val="00D6504F"/>
    <w:rsid w:val="00D65FB0"/>
    <w:rsid w:val="00D66E63"/>
    <w:rsid w:val="00D67753"/>
    <w:rsid w:val="00D67C3B"/>
    <w:rsid w:val="00D70136"/>
    <w:rsid w:val="00D70EC0"/>
    <w:rsid w:val="00D711DD"/>
    <w:rsid w:val="00D71A91"/>
    <w:rsid w:val="00D71A94"/>
    <w:rsid w:val="00D72627"/>
    <w:rsid w:val="00D72662"/>
    <w:rsid w:val="00D72CD1"/>
    <w:rsid w:val="00D733E7"/>
    <w:rsid w:val="00D73BB1"/>
    <w:rsid w:val="00D742AD"/>
    <w:rsid w:val="00D74326"/>
    <w:rsid w:val="00D7433D"/>
    <w:rsid w:val="00D74E94"/>
    <w:rsid w:val="00D751C3"/>
    <w:rsid w:val="00D7575F"/>
    <w:rsid w:val="00D75D5C"/>
    <w:rsid w:val="00D75F1A"/>
    <w:rsid w:val="00D771B3"/>
    <w:rsid w:val="00D7739E"/>
    <w:rsid w:val="00D777B4"/>
    <w:rsid w:val="00D80054"/>
    <w:rsid w:val="00D802A3"/>
    <w:rsid w:val="00D80BD3"/>
    <w:rsid w:val="00D8127E"/>
    <w:rsid w:val="00D81641"/>
    <w:rsid w:val="00D81DAC"/>
    <w:rsid w:val="00D823BA"/>
    <w:rsid w:val="00D829DF"/>
    <w:rsid w:val="00D82AAF"/>
    <w:rsid w:val="00D83211"/>
    <w:rsid w:val="00D837C2"/>
    <w:rsid w:val="00D83DF6"/>
    <w:rsid w:val="00D83EE6"/>
    <w:rsid w:val="00D84051"/>
    <w:rsid w:val="00D84B09"/>
    <w:rsid w:val="00D84BA9"/>
    <w:rsid w:val="00D85E17"/>
    <w:rsid w:val="00D868A0"/>
    <w:rsid w:val="00D87A88"/>
    <w:rsid w:val="00D902EB"/>
    <w:rsid w:val="00D90467"/>
    <w:rsid w:val="00D904FE"/>
    <w:rsid w:val="00D906B1"/>
    <w:rsid w:val="00D90B3F"/>
    <w:rsid w:val="00D90CD6"/>
    <w:rsid w:val="00D90D78"/>
    <w:rsid w:val="00D90E8A"/>
    <w:rsid w:val="00D91507"/>
    <w:rsid w:val="00D91E0A"/>
    <w:rsid w:val="00D922C4"/>
    <w:rsid w:val="00D9267B"/>
    <w:rsid w:val="00D93358"/>
    <w:rsid w:val="00D94355"/>
    <w:rsid w:val="00D948D0"/>
    <w:rsid w:val="00D94B40"/>
    <w:rsid w:val="00D94F8B"/>
    <w:rsid w:val="00D95169"/>
    <w:rsid w:val="00D951DE"/>
    <w:rsid w:val="00D9555E"/>
    <w:rsid w:val="00D95753"/>
    <w:rsid w:val="00D957EB"/>
    <w:rsid w:val="00D95979"/>
    <w:rsid w:val="00D95B49"/>
    <w:rsid w:val="00D95BB9"/>
    <w:rsid w:val="00D96100"/>
    <w:rsid w:val="00D96B66"/>
    <w:rsid w:val="00D96CA6"/>
    <w:rsid w:val="00D96DB3"/>
    <w:rsid w:val="00D97058"/>
    <w:rsid w:val="00D973B3"/>
    <w:rsid w:val="00D9773B"/>
    <w:rsid w:val="00D97AB0"/>
    <w:rsid w:val="00DA0D80"/>
    <w:rsid w:val="00DA17A0"/>
    <w:rsid w:val="00DA2BA2"/>
    <w:rsid w:val="00DA330D"/>
    <w:rsid w:val="00DA3EA7"/>
    <w:rsid w:val="00DA4352"/>
    <w:rsid w:val="00DA4E2D"/>
    <w:rsid w:val="00DA5040"/>
    <w:rsid w:val="00DA578F"/>
    <w:rsid w:val="00DA60F4"/>
    <w:rsid w:val="00DA6417"/>
    <w:rsid w:val="00DA6FFB"/>
    <w:rsid w:val="00DA7338"/>
    <w:rsid w:val="00DA769A"/>
    <w:rsid w:val="00DA7AEB"/>
    <w:rsid w:val="00DB0209"/>
    <w:rsid w:val="00DB0245"/>
    <w:rsid w:val="00DB0DB0"/>
    <w:rsid w:val="00DB128A"/>
    <w:rsid w:val="00DB14BD"/>
    <w:rsid w:val="00DB16B1"/>
    <w:rsid w:val="00DB1ED5"/>
    <w:rsid w:val="00DB1FF9"/>
    <w:rsid w:val="00DB2C97"/>
    <w:rsid w:val="00DB3075"/>
    <w:rsid w:val="00DB37DC"/>
    <w:rsid w:val="00DB390E"/>
    <w:rsid w:val="00DB4203"/>
    <w:rsid w:val="00DB548B"/>
    <w:rsid w:val="00DB582D"/>
    <w:rsid w:val="00DB5B2E"/>
    <w:rsid w:val="00DB61AB"/>
    <w:rsid w:val="00DB726B"/>
    <w:rsid w:val="00DB7690"/>
    <w:rsid w:val="00DB7D2A"/>
    <w:rsid w:val="00DB7F38"/>
    <w:rsid w:val="00DC0A3B"/>
    <w:rsid w:val="00DC112E"/>
    <w:rsid w:val="00DC1381"/>
    <w:rsid w:val="00DC1C0A"/>
    <w:rsid w:val="00DC1C7E"/>
    <w:rsid w:val="00DC2132"/>
    <w:rsid w:val="00DC24EE"/>
    <w:rsid w:val="00DC2550"/>
    <w:rsid w:val="00DC338B"/>
    <w:rsid w:val="00DC35CA"/>
    <w:rsid w:val="00DC3D88"/>
    <w:rsid w:val="00DC4EEC"/>
    <w:rsid w:val="00DC4FA0"/>
    <w:rsid w:val="00DC5035"/>
    <w:rsid w:val="00DC5E46"/>
    <w:rsid w:val="00DC5F95"/>
    <w:rsid w:val="00DC6442"/>
    <w:rsid w:val="00DC72A4"/>
    <w:rsid w:val="00DC740B"/>
    <w:rsid w:val="00DC7566"/>
    <w:rsid w:val="00DC759F"/>
    <w:rsid w:val="00DC76C0"/>
    <w:rsid w:val="00DC78E8"/>
    <w:rsid w:val="00DC7B6F"/>
    <w:rsid w:val="00DC7C57"/>
    <w:rsid w:val="00DD01E4"/>
    <w:rsid w:val="00DD0265"/>
    <w:rsid w:val="00DD038F"/>
    <w:rsid w:val="00DD0803"/>
    <w:rsid w:val="00DD0B1F"/>
    <w:rsid w:val="00DD0D94"/>
    <w:rsid w:val="00DD1781"/>
    <w:rsid w:val="00DD1FA9"/>
    <w:rsid w:val="00DD2595"/>
    <w:rsid w:val="00DD2805"/>
    <w:rsid w:val="00DD2DD0"/>
    <w:rsid w:val="00DD2EF1"/>
    <w:rsid w:val="00DD32C3"/>
    <w:rsid w:val="00DD3AAE"/>
    <w:rsid w:val="00DD4DD0"/>
    <w:rsid w:val="00DD53A3"/>
    <w:rsid w:val="00DD570C"/>
    <w:rsid w:val="00DD5C0F"/>
    <w:rsid w:val="00DD5ED6"/>
    <w:rsid w:val="00DD6B28"/>
    <w:rsid w:val="00DD7871"/>
    <w:rsid w:val="00DD7A4C"/>
    <w:rsid w:val="00DD7BF2"/>
    <w:rsid w:val="00DD7D2F"/>
    <w:rsid w:val="00DD7F81"/>
    <w:rsid w:val="00DE17CA"/>
    <w:rsid w:val="00DE24E0"/>
    <w:rsid w:val="00DE283D"/>
    <w:rsid w:val="00DE283F"/>
    <w:rsid w:val="00DE2C3E"/>
    <w:rsid w:val="00DE2C72"/>
    <w:rsid w:val="00DE352D"/>
    <w:rsid w:val="00DE41D3"/>
    <w:rsid w:val="00DE4A9F"/>
    <w:rsid w:val="00DE4B40"/>
    <w:rsid w:val="00DE51D7"/>
    <w:rsid w:val="00DE5238"/>
    <w:rsid w:val="00DE5386"/>
    <w:rsid w:val="00DE5661"/>
    <w:rsid w:val="00DE58CD"/>
    <w:rsid w:val="00DE5B46"/>
    <w:rsid w:val="00DE655A"/>
    <w:rsid w:val="00DE6B6A"/>
    <w:rsid w:val="00DE6EE7"/>
    <w:rsid w:val="00DE7E84"/>
    <w:rsid w:val="00DF0173"/>
    <w:rsid w:val="00DF01D4"/>
    <w:rsid w:val="00DF04B8"/>
    <w:rsid w:val="00DF04CE"/>
    <w:rsid w:val="00DF14F5"/>
    <w:rsid w:val="00DF166A"/>
    <w:rsid w:val="00DF1A53"/>
    <w:rsid w:val="00DF1C23"/>
    <w:rsid w:val="00DF1FE9"/>
    <w:rsid w:val="00DF4ABA"/>
    <w:rsid w:val="00DF4CAA"/>
    <w:rsid w:val="00DF5799"/>
    <w:rsid w:val="00DF5C46"/>
    <w:rsid w:val="00DF632B"/>
    <w:rsid w:val="00DF63E6"/>
    <w:rsid w:val="00DF668B"/>
    <w:rsid w:val="00DF6ABF"/>
    <w:rsid w:val="00DF7474"/>
    <w:rsid w:val="00E00022"/>
    <w:rsid w:val="00E00983"/>
    <w:rsid w:val="00E00BA0"/>
    <w:rsid w:val="00E00C78"/>
    <w:rsid w:val="00E01133"/>
    <w:rsid w:val="00E018B3"/>
    <w:rsid w:val="00E03766"/>
    <w:rsid w:val="00E03C2B"/>
    <w:rsid w:val="00E04D45"/>
    <w:rsid w:val="00E05302"/>
    <w:rsid w:val="00E05391"/>
    <w:rsid w:val="00E05943"/>
    <w:rsid w:val="00E059DE"/>
    <w:rsid w:val="00E05A44"/>
    <w:rsid w:val="00E05BF8"/>
    <w:rsid w:val="00E068BF"/>
    <w:rsid w:val="00E06D2C"/>
    <w:rsid w:val="00E06D6B"/>
    <w:rsid w:val="00E07069"/>
    <w:rsid w:val="00E07384"/>
    <w:rsid w:val="00E07484"/>
    <w:rsid w:val="00E07B3E"/>
    <w:rsid w:val="00E07BE3"/>
    <w:rsid w:val="00E07C73"/>
    <w:rsid w:val="00E07FF7"/>
    <w:rsid w:val="00E10F81"/>
    <w:rsid w:val="00E11F6F"/>
    <w:rsid w:val="00E125B1"/>
    <w:rsid w:val="00E12F62"/>
    <w:rsid w:val="00E1340F"/>
    <w:rsid w:val="00E134FE"/>
    <w:rsid w:val="00E13706"/>
    <w:rsid w:val="00E13E26"/>
    <w:rsid w:val="00E14256"/>
    <w:rsid w:val="00E14392"/>
    <w:rsid w:val="00E14F43"/>
    <w:rsid w:val="00E15070"/>
    <w:rsid w:val="00E15127"/>
    <w:rsid w:val="00E15B70"/>
    <w:rsid w:val="00E161A2"/>
    <w:rsid w:val="00E16510"/>
    <w:rsid w:val="00E16BD3"/>
    <w:rsid w:val="00E16CCC"/>
    <w:rsid w:val="00E16DD8"/>
    <w:rsid w:val="00E17654"/>
    <w:rsid w:val="00E17A47"/>
    <w:rsid w:val="00E2007D"/>
    <w:rsid w:val="00E2099D"/>
    <w:rsid w:val="00E20C2B"/>
    <w:rsid w:val="00E20C70"/>
    <w:rsid w:val="00E20E91"/>
    <w:rsid w:val="00E20FEC"/>
    <w:rsid w:val="00E21381"/>
    <w:rsid w:val="00E21FA9"/>
    <w:rsid w:val="00E221F0"/>
    <w:rsid w:val="00E22792"/>
    <w:rsid w:val="00E22E95"/>
    <w:rsid w:val="00E23CAD"/>
    <w:rsid w:val="00E24047"/>
    <w:rsid w:val="00E25137"/>
    <w:rsid w:val="00E25622"/>
    <w:rsid w:val="00E25A21"/>
    <w:rsid w:val="00E25C6C"/>
    <w:rsid w:val="00E25EE5"/>
    <w:rsid w:val="00E27040"/>
    <w:rsid w:val="00E270F2"/>
    <w:rsid w:val="00E27163"/>
    <w:rsid w:val="00E27661"/>
    <w:rsid w:val="00E27B8B"/>
    <w:rsid w:val="00E27BCB"/>
    <w:rsid w:val="00E27C8E"/>
    <w:rsid w:val="00E300B9"/>
    <w:rsid w:val="00E30E81"/>
    <w:rsid w:val="00E312DA"/>
    <w:rsid w:val="00E313B6"/>
    <w:rsid w:val="00E316DD"/>
    <w:rsid w:val="00E32A11"/>
    <w:rsid w:val="00E3315F"/>
    <w:rsid w:val="00E335B4"/>
    <w:rsid w:val="00E347AE"/>
    <w:rsid w:val="00E36129"/>
    <w:rsid w:val="00E369C6"/>
    <w:rsid w:val="00E37481"/>
    <w:rsid w:val="00E37550"/>
    <w:rsid w:val="00E37E19"/>
    <w:rsid w:val="00E40A51"/>
    <w:rsid w:val="00E40EEE"/>
    <w:rsid w:val="00E415F1"/>
    <w:rsid w:val="00E41692"/>
    <w:rsid w:val="00E41756"/>
    <w:rsid w:val="00E41D78"/>
    <w:rsid w:val="00E42594"/>
    <w:rsid w:val="00E42881"/>
    <w:rsid w:val="00E42B57"/>
    <w:rsid w:val="00E42F16"/>
    <w:rsid w:val="00E4303E"/>
    <w:rsid w:val="00E43182"/>
    <w:rsid w:val="00E43471"/>
    <w:rsid w:val="00E43986"/>
    <w:rsid w:val="00E43D69"/>
    <w:rsid w:val="00E44269"/>
    <w:rsid w:val="00E448EA"/>
    <w:rsid w:val="00E449DD"/>
    <w:rsid w:val="00E45523"/>
    <w:rsid w:val="00E45525"/>
    <w:rsid w:val="00E47316"/>
    <w:rsid w:val="00E47D24"/>
    <w:rsid w:val="00E50450"/>
    <w:rsid w:val="00E5087C"/>
    <w:rsid w:val="00E518A5"/>
    <w:rsid w:val="00E52256"/>
    <w:rsid w:val="00E52855"/>
    <w:rsid w:val="00E533CC"/>
    <w:rsid w:val="00E537E8"/>
    <w:rsid w:val="00E540AE"/>
    <w:rsid w:val="00E54664"/>
    <w:rsid w:val="00E548D2"/>
    <w:rsid w:val="00E54A0C"/>
    <w:rsid w:val="00E54F3E"/>
    <w:rsid w:val="00E55027"/>
    <w:rsid w:val="00E563F1"/>
    <w:rsid w:val="00E566E3"/>
    <w:rsid w:val="00E56CB8"/>
    <w:rsid w:val="00E57857"/>
    <w:rsid w:val="00E605CD"/>
    <w:rsid w:val="00E608F4"/>
    <w:rsid w:val="00E61025"/>
    <w:rsid w:val="00E61432"/>
    <w:rsid w:val="00E6199E"/>
    <w:rsid w:val="00E61AA2"/>
    <w:rsid w:val="00E61FCB"/>
    <w:rsid w:val="00E64559"/>
    <w:rsid w:val="00E64658"/>
    <w:rsid w:val="00E64DEE"/>
    <w:rsid w:val="00E65863"/>
    <w:rsid w:val="00E65F87"/>
    <w:rsid w:val="00E66BED"/>
    <w:rsid w:val="00E66EBB"/>
    <w:rsid w:val="00E674D7"/>
    <w:rsid w:val="00E67ED6"/>
    <w:rsid w:val="00E7093B"/>
    <w:rsid w:val="00E714D1"/>
    <w:rsid w:val="00E71A7B"/>
    <w:rsid w:val="00E71E48"/>
    <w:rsid w:val="00E725AC"/>
    <w:rsid w:val="00E73071"/>
    <w:rsid w:val="00E7348A"/>
    <w:rsid w:val="00E74A3A"/>
    <w:rsid w:val="00E74C92"/>
    <w:rsid w:val="00E74DE5"/>
    <w:rsid w:val="00E75590"/>
    <w:rsid w:val="00E758C4"/>
    <w:rsid w:val="00E75A0B"/>
    <w:rsid w:val="00E75D0C"/>
    <w:rsid w:val="00E76A1D"/>
    <w:rsid w:val="00E76E68"/>
    <w:rsid w:val="00E772E2"/>
    <w:rsid w:val="00E7780C"/>
    <w:rsid w:val="00E778AF"/>
    <w:rsid w:val="00E77BE7"/>
    <w:rsid w:val="00E77EA1"/>
    <w:rsid w:val="00E80D46"/>
    <w:rsid w:val="00E80DED"/>
    <w:rsid w:val="00E80EE2"/>
    <w:rsid w:val="00E817E8"/>
    <w:rsid w:val="00E81933"/>
    <w:rsid w:val="00E81965"/>
    <w:rsid w:val="00E81BA3"/>
    <w:rsid w:val="00E81DA1"/>
    <w:rsid w:val="00E81ED5"/>
    <w:rsid w:val="00E81F66"/>
    <w:rsid w:val="00E8200B"/>
    <w:rsid w:val="00E82093"/>
    <w:rsid w:val="00E820CF"/>
    <w:rsid w:val="00E82AE4"/>
    <w:rsid w:val="00E83206"/>
    <w:rsid w:val="00E83839"/>
    <w:rsid w:val="00E83AE0"/>
    <w:rsid w:val="00E83BE8"/>
    <w:rsid w:val="00E841B8"/>
    <w:rsid w:val="00E84E3A"/>
    <w:rsid w:val="00E84F8A"/>
    <w:rsid w:val="00E85883"/>
    <w:rsid w:val="00E85C4C"/>
    <w:rsid w:val="00E85D25"/>
    <w:rsid w:val="00E86318"/>
    <w:rsid w:val="00E868F3"/>
    <w:rsid w:val="00E86BEA"/>
    <w:rsid w:val="00E86C46"/>
    <w:rsid w:val="00E876F5"/>
    <w:rsid w:val="00E901A4"/>
    <w:rsid w:val="00E90264"/>
    <w:rsid w:val="00E902AA"/>
    <w:rsid w:val="00E90825"/>
    <w:rsid w:val="00E90B6A"/>
    <w:rsid w:val="00E90C2D"/>
    <w:rsid w:val="00E90EC6"/>
    <w:rsid w:val="00E9110B"/>
    <w:rsid w:val="00E9165B"/>
    <w:rsid w:val="00E9182E"/>
    <w:rsid w:val="00E91DF7"/>
    <w:rsid w:val="00E92466"/>
    <w:rsid w:val="00E926DD"/>
    <w:rsid w:val="00E92BC6"/>
    <w:rsid w:val="00E92BD4"/>
    <w:rsid w:val="00E92CDF"/>
    <w:rsid w:val="00E92DCB"/>
    <w:rsid w:val="00E932E4"/>
    <w:rsid w:val="00E9337D"/>
    <w:rsid w:val="00E93E1A"/>
    <w:rsid w:val="00E942E0"/>
    <w:rsid w:val="00E9476E"/>
    <w:rsid w:val="00E94BBE"/>
    <w:rsid w:val="00E94EC7"/>
    <w:rsid w:val="00E95177"/>
    <w:rsid w:val="00E96118"/>
    <w:rsid w:val="00E96AAB"/>
    <w:rsid w:val="00E96C7A"/>
    <w:rsid w:val="00E96F0F"/>
    <w:rsid w:val="00E970B1"/>
    <w:rsid w:val="00E972C9"/>
    <w:rsid w:val="00E97B48"/>
    <w:rsid w:val="00EA0231"/>
    <w:rsid w:val="00EA07BC"/>
    <w:rsid w:val="00EA0B7C"/>
    <w:rsid w:val="00EA118D"/>
    <w:rsid w:val="00EA17A3"/>
    <w:rsid w:val="00EA1F92"/>
    <w:rsid w:val="00EA2F28"/>
    <w:rsid w:val="00EA308A"/>
    <w:rsid w:val="00EA4873"/>
    <w:rsid w:val="00EA546D"/>
    <w:rsid w:val="00EA56DA"/>
    <w:rsid w:val="00EA5B86"/>
    <w:rsid w:val="00EA5CD7"/>
    <w:rsid w:val="00EA621A"/>
    <w:rsid w:val="00EA6DDD"/>
    <w:rsid w:val="00EA6E57"/>
    <w:rsid w:val="00EA7629"/>
    <w:rsid w:val="00EA7724"/>
    <w:rsid w:val="00EA7A74"/>
    <w:rsid w:val="00EA7EB6"/>
    <w:rsid w:val="00EB11F0"/>
    <w:rsid w:val="00EB139C"/>
    <w:rsid w:val="00EB15D4"/>
    <w:rsid w:val="00EB2074"/>
    <w:rsid w:val="00EB21EC"/>
    <w:rsid w:val="00EB2482"/>
    <w:rsid w:val="00EB253E"/>
    <w:rsid w:val="00EB2A6D"/>
    <w:rsid w:val="00EB2B13"/>
    <w:rsid w:val="00EB386F"/>
    <w:rsid w:val="00EB407C"/>
    <w:rsid w:val="00EB40AD"/>
    <w:rsid w:val="00EB58B3"/>
    <w:rsid w:val="00EB59FA"/>
    <w:rsid w:val="00EB6DA9"/>
    <w:rsid w:val="00EB74BD"/>
    <w:rsid w:val="00EB76F2"/>
    <w:rsid w:val="00EB7DFA"/>
    <w:rsid w:val="00EC0EF1"/>
    <w:rsid w:val="00EC0F92"/>
    <w:rsid w:val="00EC1013"/>
    <w:rsid w:val="00EC11DC"/>
    <w:rsid w:val="00EC11F4"/>
    <w:rsid w:val="00EC1236"/>
    <w:rsid w:val="00EC1FAC"/>
    <w:rsid w:val="00EC2817"/>
    <w:rsid w:val="00EC2832"/>
    <w:rsid w:val="00EC4045"/>
    <w:rsid w:val="00EC4F72"/>
    <w:rsid w:val="00EC529F"/>
    <w:rsid w:val="00EC58FC"/>
    <w:rsid w:val="00EC6143"/>
    <w:rsid w:val="00EC6F2F"/>
    <w:rsid w:val="00EC74C2"/>
    <w:rsid w:val="00EC7972"/>
    <w:rsid w:val="00ED0B57"/>
    <w:rsid w:val="00ED0D8B"/>
    <w:rsid w:val="00ED1058"/>
    <w:rsid w:val="00ED2D31"/>
    <w:rsid w:val="00ED2E7F"/>
    <w:rsid w:val="00ED3181"/>
    <w:rsid w:val="00ED36D8"/>
    <w:rsid w:val="00ED3804"/>
    <w:rsid w:val="00ED3AE6"/>
    <w:rsid w:val="00ED4663"/>
    <w:rsid w:val="00ED47E5"/>
    <w:rsid w:val="00ED4A22"/>
    <w:rsid w:val="00ED4B7C"/>
    <w:rsid w:val="00ED56BF"/>
    <w:rsid w:val="00ED5900"/>
    <w:rsid w:val="00ED5E9F"/>
    <w:rsid w:val="00ED5FFF"/>
    <w:rsid w:val="00ED6520"/>
    <w:rsid w:val="00ED68E9"/>
    <w:rsid w:val="00ED6ECB"/>
    <w:rsid w:val="00ED75CD"/>
    <w:rsid w:val="00ED7B29"/>
    <w:rsid w:val="00ED7E17"/>
    <w:rsid w:val="00EE1395"/>
    <w:rsid w:val="00EE1D2A"/>
    <w:rsid w:val="00EE2543"/>
    <w:rsid w:val="00EE4144"/>
    <w:rsid w:val="00EE4334"/>
    <w:rsid w:val="00EE4E51"/>
    <w:rsid w:val="00EE4E9A"/>
    <w:rsid w:val="00EE54AC"/>
    <w:rsid w:val="00EE5919"/>
    <w:rsid w:val="00EE5FBB"/>
    <w:rsid w:val="00EE7C68"/>
    <w:rsid w:val="00EE7F00"/>
    <w:rsid w:val="00EF0219"/>
    <w:rsid w:val="00EF05F6"/>
    <w:rsid w:val="00EF1408"/>
    <w:rsid w:val="00EF1B15"/>
    <w:rsid w:val="00EF1EA0"/>
    <w:rsid w:val="00EF23D2"/>
    <w:rsid w:val="00EF2DAB"/>
    <w:rsid w:val="00EF2E20"/>
    <w:rsid w:val="00EF2E28"/>
    <w:rsid w:val="00EF2EBF"/>
    <w:rsid w:val="00EF3670"/>
    <w:rsid w:val="00EF386D"/>
    <w:rsid w:val="00EF39E5"/>
    <w:rsid w:val="00EF3DB8"/>
    <w:rsid w:val="00EF41DE"/>
    <w:rsid w:val="00EF4244"/>
    <w:rsid w:val="00EF4643"/>
    <w:rsid w:val="00EF47B2"/>
    <w:rsid w:val="00EF4A7C"/>
    <w:rsid w:val="00EF54AD"/>
    <w:rsid w:val="00EF6180"/>
    <w:rsid w:val="00EF6325"/>
    <w:rsid w:val="00EF664D"/>
    <w:rsid w:val="00EF6654"/>
    <w:rsid w:val="00EF666F"/>
    <w:rsid w:val="00EF6F32"/>
    <w:rsid w:val="00EF75FD"/>
    <w:rsid w:val="00EF7977"/>
    <w:rsid w:val="00EF7A4E"/>
    <w:rsid w:val="00EF7B38"/>
    <w:rsid w:val="00EF7F43"/>
    <w:rsid w:val="00EF7F98"/>
    <w:rsid w:val="00F00C10"/>
    <w:rsid w:val="00F00C7A"/>
    <w:rsid w:val="00F00FAE"/>
    <w:rsid w:val="00F01845"/>
    <w:rsid w:val="00F01A18"/>
    <w:rsid w:val="00F02529"/>
    <w:rsid w:val="00F02747"/>
    <w:rsid w:val="00F027D1"/>
    <w:rsid w:val="00F0296C"/>
    <w:rsid w:val="00F02AB8"/>
    <w:rsid w:val="00F02B71"/>
    <w:rsid w:val="00F0323A"/>
    <w:rsid w:val="00F03539"/>
    <w:rsid w:val="00F03CFE"/>
    <w:rsid w:val="00F03D62"/>
    <w:rsid w:val="00F0416A"/>
    <w:rsid w:val="00F044E8"/>
    <w:rsid w:val="00F0454D"/>
    <w:rsid w:val="00F04697"/>
    <w:rsid w:val="00F04BA1"/>
    <w:rsid w:val="00F04BBC"/>
    <w:rsid w:val="00F05CA1"/>
    <w:rsid w:val="00F05E23"/>
    <w:rsid w:val="00F05E4A"/>
    <w:rsid w:val="00F0609E"/>
    <w:rsid w:val="00F06725"/>
    <w:rsid w:val="00F0676D"/>
    <w:rsid w:val="00F06882"/>
    <w:rsid w:val="00F068A9"/>
    <w:rsid w:val="00F0767B"/>
    <w:rsid w:val="00F10D8B"/>
    <w:rsid w:val="00F11006"/>
    <w:rsid w:val="00F110D7"/>
    <w:rsid w:val="00F11FD0"/>
    <w:rsid w:val="00F1265B"/>
    <w:rsid w:val="00F126E4"/>
    <w:rsid w:val="00F129A9"/>
    <w:rsid w:val="00F13203"/>
    <w:rsid w:val="00F136C9"/>
    <w:rsid w:val="00F137CA"/>
    <w:rsid w:val="00F137FE"/>
    <w:rsid w:val="00F13ADA"/>
    <w:rsid w:val="00F14412"/>
    <w:rsid w:val="00F1463B"/>
    <w:rsid w:val="00F14738"/>
    <w:rsid w:val="00F15F38"/>
    <w:rsid w:val="00F16138"/>
    <w:rsid w:val="00F163AA"/>
    <w:rsid w:val="00F17B1F"/>
    <w:rsid w:val="00F17ED5"/>
    <w:rsid w:val="00F205EE"/>
    <w:rsid w:val="00F20949"/>
    <w:rsid w:val="00F20DFA"/>
    <w:rsid w:val="00F21AB8"/>
    <w:rsid w:val="00F22BA3"/>
    <w:rsid w:val="00F22CF2"/>
    <w:rsid w:val="00F22F08"/>
    <w:rsid w:val="00F23152"/>
    <w:rsid w:val="00F2344C"/>
    <w:rsid w:val="00F23874"/>
    <w:rsid w:val="00F238CC"/>
    <w:rsid w:val="00F238D3"/>
    <w:rsid w:val="00F23E44"/>
    <w:rsid w:val="00F24B26"/>
    <w:rsid w:val="00F24B75"/>
    <w:rsid w:val="00F2516F"/>
    <w:rsid w:val="00F256E6"/>
    <w:rsid w:val="00F25874"/>
    <w:rsid w:val="00F30442"/>
    <w:rsid w:val="00F30FAE"/>
    <w:rsid w:val="00F3120D"/>
    <w:rsid w:val="00F31EF0"/>
    <w:rsid w:val="00F3230B"/>
    <w:rsid w:val="00F3239B"/>
    <w:rsid w:val="00F3270F"/>
    <w:rsid w:val="00F32C39"/>
    <w:rsid w:val="00F32F53"/>
    <w:rsid w:val="00F33D3A"/>
    <w:rsid w:val="00F3429E"/>
    <w:rsid w:val="00F342E1"/>
    <w:rsid w:val="00F34862"/>
    <w:rsid w:val="00F34D54"/>
    <w:rsid w:val="00F34F7F"/>
    <w:rsid w:val="00F353C2"/>
    <w:rsid w:val="00F35F5B"/>
    <w:rsid w:val="00F36E07"/>
    <w:rsid w:val="00F37063"/>
    <w:rsid w:val="00F37995"/>
    <w:rsid w:val="00F37A09"/>
    <w:rsid w:val="00F37D0A"/>
    <w:rsid w:val="00F37EFF"/>
    <w:rsid w:val="00F40DD5"/>
    <w:rsid w:val="00F42610"/>
    <w:rsid w:val="00F428A8"/>
    <w:rsid w:val="00F42D03"/>
    <w:rsid w:val="00F42D36"/>
    <w:rsid w:val="00F43043"/>
    <w:rsid w:val="00F4368F"/>
    <w:rsid w:val="00F437F4"/>
    <w:rsid w:val="00F43845"/>
    <w:rsid w:val="00F43D31"/>
    <w:rsid w:val="00F4454D"/>
    <w:rsid w:val="00F44F9F"/>
    <w:rsid w:val="00F453F3"/>
    <w:rsid w:val="00F45FDA"/>
    <w:rsid w:val="00F46616"/>
    <w:rsid w:val="00F468B9"/>
    <w:rsid w:val="00F46A2A"/>
    <w:rsid w:val="00F46FEE"/>
    <w:rsid w:val="00F4789F"/>
    <w:rsid w:val="00F47F5E"/>
    <w:rsid w:val="00F50ABB"/>
    <w:rsid w:val="00F5214C"/>
    <w:rsid w:val="00F52C4B"/>
    <w:rsid w:val="00F52FCA"/>
    <w:rsid w:val="00F530E1"/>
    <w:rsid w:val="00F54138"/>
    <w:rsid w:val="00F55392"/>
    <w:rsid w:val="00F55562"/>
    <w:rsid w:val="00F55869"/>
    <w:rsid w:val="00F558AC"/>
    <w:rsid w:val="00F55B88"/>
    <w:rsid w:val="00F56958"/>
    <w:rsid w:val="00F56F68"/>
    <w:rsid w:val="00F5736A"/>
    <w:rsid w:val="00F57F59"/>
    <w:rsid w:val="00F57FBD"/>
    <w:rsid w:val="00F604BB"/>
    <w:rsid w:val="00F604EB"/>
    <w:rsid w:val="00F60574"/>
    <w:rsid w:val="00F608F7"/>
    <w:rsid w:val="00F60C34"/>
    <w:rsid w:val="00F60F71"/>
    <w:rsid w:val="00F610B9"/>
    <w:rsid w:val="00F62500"/>
    <w:rsid w:val="00F63703"/>
    <w:rsid w:val="00F63C6B"/>
    <w:rsid w:val="00F64187"/>
    <w:rsid w:val="00F64A83"/>
    <w:rsid w:val="00F64A9B"/>
    <w:rsid w:val="00F64AC9"/>
    <w:rsid w:val="00F64CDE"/>
    <w:rsid w:val="00F6583A"/>
    <w:rsid w:val="00F658A6"/>
    <w:rsid w:val="00F65A6E"/>
    <w:rsid w:val="00F6611A"/>
    <w:rsid w:val="00F66363"/>
    <w:rsid w:val="00F67C19"/>
    <w:rsid w:val="00F67CF9"/>
    <w:rsid w:val="00F67D25"/>
    <w:rsid w:val="00F67FC2"/>
    <w:rsid w:val="00F7004C"/>
    <w:rsid w:val="00F70423"/>
    <w:rsid w:val="00F70E59"/>
    <w:rsid w:val="00F71751"/>
    <w:rsid w:val="00F7195C"/>
    <w:rsid w:val="00F71E91"/>
    <w:rsid w:val="00F72A08"/>
    <w:rsid w:val="00F72C81"/>
    <w:rsid w:val="00F735D6"/>
    <w:rsid w:val="00F74717"/>
    <w:rsid w:val="00F74955"/>
    <w:rsid w:val="00F749A9"/>
    <w:rsid w:val="00F75113"/>
    <w:rsid w:val="00F754A4"/>
    <w:rsid w:val="00F762F4"/>
    <w:rsid w:val="00F7731C"/>
    <w:rsid w:val="00F77B10"/>
    <w:rsid w:val="00F77D5B"/>
    <w:rsid w:val="00F800EA"/>
    <w:rsid w:val="00F80BD1"/>
    <w:rsid w:val="00F80E55"/>
    <w:rsid w:val="00F810F4"/>
    <w:rsid w:val="00F8121B"/>
    <w:rsid w:val="00F814C4"/>
    <w:rsid w:val="00F81959"/>
    <w:rsid w:val="00F82A4D"/>
    <w:rsid w:val="00F82DF7"/>
    <w:rsid w:val="00F8325D"/>
    <w:rsid w:val="00F8360D"/>
    <w:rsid w:val="00F83C35"/>
    <w:rsid w:val="00F84D75"/>
    <w:rsid w:val="00F8505A"/>
    <w:rsid w:val="00F85074"/>
    <w:rsid w:val="00F852D8"/>
    <w:rsid w:val="00F853C7"/>
    <w:rsid w:val="00F853F1"/>
    <w:rsid w:val="00F85C06"/>
    <w:rsid w:val="00F85CA2"/>
    <w:rsid w:val="00F871C8"/>
    <w:rsid w:val="00F872DE"/>
    <w:rsid w:val="00F874DA"/>
    <w:rsid w:val="00F87A4E"/>
    <w:rsid w:val="00F87D23"/>
    <w:rsid w:val="00F907DC"/>
    <w:rsid w:val="00F910BA"/>
    <w:rsid w:val="00F910D4"/>
    <w:rsid w:val="00F920C0"/>
    <w:rsid w:val="00F92645"/>
    <w:rsid w:val="00F928A5"/>
    <w:rsid w:val="00F93142"/>
    <w:rsid w:val="00F9326D"/>
    <w:rsid w:val="00F932AC"/>
    <w:rsid w:val="00F937B4"/>
    <w:rsid w:val="00F948DC"/>
    <w:rsid w:val="00F951FE"/>
    <w:rsid w:val="00F953F3"/>
    <w:rsid w:val="00F95608"/>
    <w:rsid w:val="00F95A5A"/>
    <w:rsid w:val="00F96687"/>
    <w:rsid w:val="00F96779"/>
    <w:rsid w:val="00F979FE"/>
    <w:rsid w:val="00F97C1E"/>
    <w:rsid w:val="00F97E83"/>
    <w:rsid w:val="00FA0713"/>
    <w:rsid w:val="00FA0ED7"/>
    <w:rsid w:val="00FA138F"/>
    <w:rsid w:val="00FA14DF"/>
    <w:rsid w:val="00FA1836"/>
    <w:rsid w:val="00FA1A0A"/>
    <w:rsid w:val="00FA23EC"/>
    <w:rsid w:val="00FA2463"/>
    <w:rsid w:val="00FA24E5"/>
    <w:rsid w:val="00FA25D4"/>
    <w:rsid w:val="00FA2A8B"/>
    <w:rsid w:val="00FA2DF3"/>
    <w:rsid w:val="00FA321D"/>
    <w:rsid w:val="00FA372B"/>
    <w:rsid w:val="00FA53B1"/>
    <w:rsid w:val="00FA5766"/>
    <w:rsid w:val="00FA654E"/>
    <w:rsid w:val="00FA6E04"/>
    <w:rsid w:val="00FA6FD1"/>
    <w:rsid w:val="00FA70B3"/>
    <w:rsid w:val="00FA75F7"/>
    <w:rsid w:val="00FA7C92"/>
    <w:rsid w:val="00FA7D70"/>
    <w:rsid w:val="00FB04DB"/>
    <w:rsid w:val="00FB0713"/>
    <w:rsid w:val="00FB0B05"/>
    <w:rsid w:val="00FB0C09"/>
    <w:rsid w:val="00FB0E95"/>
    <w:rsid w:val="00FB11AE"/>
    <w:rsid w:val="00FB1A0F"/>
    <w:rsid w:val="00FB2387"/>
    <w:rsid w:val="00FB26BB"/>
    <w:rsid w:val="00FB2A1A"/>
    <w:rsid w:val="00FB3B37"/>
    <w:rsid w:val="00FB3C86"/>
    <w:rsid w:val="00FB4068"/>
    <w:rsid w:val="00FB4278"/>
    <w:rsid w:val="00FB4526"/>
    <w:rsid w:val="00FB4B68"/>
    <w:rsid w:val="00FB57E0"/>
    <w:rsid w:val="00FB5A13"/>
    <w:rsid w:val="00FB5C46"/>
    <w:rsid w:val="00FB5D47"/>
    <w:rsid w:val="00FB5D69"/>
    <w:rsid w:val="00FB5FAA"/>
    <w:rsid w:val="00FB630C"/>
    <w:rsid w:val="00FB646F"/>
    <w:rsid w:val="00FB6656"/>
    <w:rsid w:val="00FB6F89"/>
    <w:rsid w:val="00FC06EA"/>
    <w:rsid w:val="00FC0C5B"/>
    <w:rsid w:val="00FC0DA1"/>
    <w:rsid w:val="00FC14D5"/>
    <w:rsid w:val="00FC18B5"/>
    <w:rsid w:val="00FC2114"/>
    <w:rsid w:val="00FC2951"/>
    <w:rsid w:val="00FC2E41"/>
    <w:rsid w:val="00FC33C3"/>
    <w:rsid w:val="00FC3590"/>
    <w:rsid w:val="00FC36F9"/>
    <w:rsid w:val="00FC3D13"/>
    <w:rsid w:val="00FC402D"/>
    <w:rsid w:val="00FC4131"/>
    <w:rsid w:val="00FC4ABB"/>
    <w:rsid w:val="00FC4BBC"/>
    <w:rsid w:val="00FC4C4A"/>
    <w:rsid w:val="00FC4C9A"/>
    <w:rsid w:val="00FC4D5A"/>
    <w:rsid w:val="00FC559D"/>
    <w:rsid w:val="00FC6703"/>
    <w:rsid w:val="00FC71CA"/>
    <w:rsid w:val="00FC7441"/>
    <w:rsid w:val="00FC7830"/>
    <w:rsid w:val="00FC7B3E"/>
    <w:rsid w:val="00FC7BE7"/>
    <w:rsid w:val="00FD063A"/>
    <w:rsid w:val="00FD0675"/>
    <w:rsid w:val="00FD0DB6"/>
    <w:rsid w:val="00FD107C"/>
    <w:rsid w:val="00FD158D"/>
    <w:rsid w:val="00FD28FD"/>
    <w:rsid w:val="00FD29B0"/>
    <w:rsid w:val="00FD34CD"/>
    <w:rsid w:val="00FD35A3"/>
    <w:rsid w:val="00FD39BE"/>
    <w:rsid w:val="00FD4A65"/>
    <w:rsid w:val="00FD5891"/>
    <w:rsid w:val="00FD5E54"/>
    <w:rsid w:val="00FD689A"/>
    <w:rsid w:val="00FD6ACE"/>
    <w:rsid w:val="00FD6EA2"/>
    <w:rsid w:val="00FD7232"/>
    <w:rsid w:val="00FD79F8"/>
    <w:rsid w:val="00FE0307"/>
    <w:rsid w:val="00FE0454"/>
    <w:rsid w:val="00FE0A78"/>
    <w:rsid w:val="00FE0AC8"/>
    <w:rsid w:val="00FE0B4B"/>
    <w:rsid w:val="00FE0CAE"/>
    <w:rsid w:val="00FE0D5D"/>
    <w:rsid w:val="00FE1AF7"/>
    <w:rsid w:val="00FE1DA3"/>
    <w:rsid w:val="00FE201F"/>
    <w:rsid w:val="00FE2148"/>
    <w:rsid w:val="00FE256E"/>
    <w:rsid w:val="00FE2785"/>
    <w:rsid w:val="00FE2EBC"/>
    <w:rsid w:val="00FE34DA"/>
    <w:rsid w:val="00FE3A82"/>
    <w:rsid w:val="00FE3E6C"/>
    <w:rsid w:val="00FE446B"/>
    <w:rsid w:val="00FE4D07"/>
    <w:rsid w:val="00FE580A"/>
    <w:rsid w:val="00FE664E"/>
    <w:rsid w:val="00FE6AD3"/>
    <w:rsid w:val="00FE6C81"/>
    <w:rsid w:val="00FE6DB9"/>
    <w:rsid w:val="00FE79B1"/>
    <w:rsid w:val="00FF1864"/>
    <w:rsid w:val="00FF1FBE"/>
    <w:rsid w:val="00FF2E4B"/>
    <w:rsid w:val="00FF3949"/>
    <w:rsid w:val="00FF4087"/>
    <w:rsid w:val="00FF49B6"/>
    <w:rsid w:val="00FF4CDE"/>
    <w:rsid w:val="00FF5B37"/>
    <w:rsid w:val="00FF5E53"/>
    <w:rsid w:val="00FF5FD4"/>
    <w:rsid w:val="00FF6404"/>
    <w:rsid w:val="00FF64D9"/>
    <w:rsid w:val="00FF6926"/>
    <w:rsid w:val="00FF7C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6A92C"/>
  <w15:chartTrackingRefBased/>
  <w15:docId w15:val="{F7A1EACC-2CAD-44C1-B5AB-C48721E5C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5A63"/>
    <w:pPr>
      <w:spacing w:after="0" w:line="240" w:lineRule="auto"/>
      <w:ind w:left="360" w:right="-118" w:hanging="360"/>
      <w:jc w:val="both"/>
    </w:pPr>
    <w:rPr>
      <w:rFonts w:ascii="Times New Roman" w:eastAsia="Times New Roman" w:hAnsi="Times New Roman" w:cs="Times New Roman"/>
      <w:kern w:val="0"/>
      <w:sz w:val="28"/>
      <w:szCs w:val="28"/>
      <w:lang w:eastAsia="es-ES_tradnl"/>
    </w:rPr>
  </w:style>
  <w:style w:type="paragraph" w:styleId="Ttulo1">
    <w:name w:val="heading 1"/>
    <w:uiPriority w:val="9"/>
    <w:qFormat/>
    <w:pPr>
      <w:outlineLvl w:val="0"/>
    </w:pPr>
    <w:rPr>
      <w:color w:val="2E74B5"/>
      <w:sz w:val="32"/>
      <w:szCs w:val="32"/>
    </w:rPr>
  </w:style>
  <w:style w:type="paragraph" w:styleId="Ttulo2">
    <w:name w:val="heading 2"/>
    <w:aliases w:val="FNCER 1"/>
    <w:basedOn w:val="Normal"/>
    <w:next w:val="Normal"/>
    <w:link w:val="Ttulo2Car"/>
    <w:uiPriority w:val="9"/>
    <w:unhideWhenUsed/>
    <w:qFormat/>
    <w:rsid w:val="00362571"/>
    <w:pPr>
      <w:keepNext/>
      <w:numPr>
        <w:numId w:val="1"/>
      </w:numPr>
      <w:outlineLvl w:val="1"/>
    </w:pPr>
    <w:rPr>
      <w:b/>
      <w:bCs/>
      <w:lang w:eastAsia="es-ES"/>
    </w:rPr>
  </w:style>
  <w:style w:type="paragraph" w:styleId="Ttulo3">
    <w:name w:val="heading 3"/>
    <w:basedOn w:val="Normal"/>
    <w:next w:val="Normal"/>
    <w:link w:val="Ttulo3Car"/>
    <w:uiPriority w:val="9"/>
    <w:semiHidden/>
    <w:unhideWhenUsed/>
    <w:qFormat/>
    <w:rsid w:val="00EF41D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D26BA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19585C"/>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Ref,FA Fu Ca,R"/>
    <w:basedOn w:val="Normal"/>
    <w:link w:val="TextonotapieCar"/>
    <w:uiPriority w:val="99"/>
    <w:unhideWhenUsed/>
    <w:qFormat/>
    <w:rsid w:val="00360A4D"/>
    <w:pPr>
      <w:pBdr>
        <w:top w:val="nil"/>
        <w:left w:val="nil"/>
        <w:bottom w:val="nil"/>
        <w:right w:val="nil"/>
        <w:between w:val="nil"/>
      </w:pBdr>
      <w:shd w:val="clear" w:color="auto" w:fill="FFFFFF"/>
      <w:textAlignment w:val="baseline"/>
    </w:pPr>
    <w:rPr>
      <w:rFonts w:cs="Calibri"/>
      <w:iCs/>
      <w:color w:val="000000"/>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360A4D"/>
    <w:rPr>
      <w:rFonts w:ascii="Times New Roman" w:eastAsia="Times New Roman" w:hAnsi="Times New Roman" w:cs="Calibri"/>
      <w:iCs/>
      <w:color w:val="000000"/>
      <w:sz w:val="20"/>
      <w:szCs w:val="20"/>
      <w:shd w:val="clear" w:color="auto" w:fill="FFFFFF"/>
      <w:lang w:eastAsia="es-ES"/>
    </w:rPr>
  </w:style>
  <w:style w:type="character" w:customStyle="1" w:styleId="Ttulo2Car">
    <w:name w:val="Título 2 Car"/>
    <w:aliases w:val="FNCER 1 Car"/>
    <w:basedOn w:val="Fuentedeprrafopredeter"/>
    <w:link w:val="Ttulo2"/>
    <w:uiPriority w:val="9"/>
    <w:rsid w:val="00362571"/>
    <w:rPr>
      <w:rFonts w:ascii="Times New Roman" w:eastAsia="Times New Roman" w:hAnsi="Times New Roman" w:cs="Times New Roman"/>
      <w:b/>
      <w:bCs/>
      <w:kern w:val="0"/>
      <w:sz w:val="28"/>
      <w:szCs w:val="28"/>
      <w:lang w:eastAsia="es-ES"/>
    </w:rPr>
  </w:style>
  <w:style w:type="character" w:styleId="Refdenotaalpie">
    <w:name w:val="footnote reference"/>
    <w:aliases w:val="Fago Fußnotenzeichen,Footnote Reference Char3,Texto de nota al pi,Ref. de nota al,f1,Texto de nota al pie,Appel note de bas de page,referencia nota al pie,Footnotes refss,Ref. de nota al pie 2,Footnote number,BVI fnr,f,FC,Pie de Pági"/>
    <w:basedOn w:val="Fuentedeprrafopredeter"/>
    <w:link w:val="Piedepagina"/>
    <w:uiPriority w:val="99"/>
    <w:unhideWhenUsed/>
    <w:qFormat/>
    <w:rsid w:val="00362571"/>
    <w:rPr>
      <w:vertAlign w:val="superscript"/>
    </w:rPr>
  </w:style>
  <w:style w:type="paragraph" w:customStyle="1" w:styleId="Piedepagina">
    <w:name w:val="Pie de pagina"/>
    <w:aliases w:val="Ref. de nota al pie2,Nota de pie"/>
    <w:basedOn w:val="Normal"/>
    <w:link w:val="Refdenotaalpie"/>
    <w:uiPriority w:val="99"/>
    <w:qFormat/>
    <w:rsid w:val="00362571"/>
    <w:pPr>
      <w:spacing w:after="160" w:line="240" w:lineRule="exact"/>
    </w:pPr>
    <w:rPr>
      <w:rFonts w:asciiTheme="minorHAnsi" w:eastAsiaTheme="minorHAnsi" w:hAnsiTheme="minorHAnsi" w:cstheme="minorBidi"/>
      <w:kern w:val="2"/>
      <w:sz w:val="22"/>
      <w:szCs w:val="22"/>
      <w:vertAlign w:val="superscript"/>
      <w:lang w:eastAsia="en-US"/>
    </w:rPr>
  </w:style>
  <w:style w:type="paragraph" w:styleId="Prrafodelista">
    <w:name w:val="List Paragraph"/>
    <w:aliases w:val="Colorful List - Accent 11,Ha,List Paragraph1,lp1,List Paragraph2,Párrafo,Numbered Paragraph,Bullets,titulo 3,BOLADEF,BOLA,Párrafo de lista21,Guión,Titulo 8,HOJA,Chulito,Párrafo de lista3,MIBEX B,TITULO1REQ,Párrafo de lista31,ViÃ±eta 2"/>
    <w:basedOn w:val="Normal"/>
    <w:link w:val="PrrafodelistaCar"/>
    <w:uiPriority w:val="34"/>
    <w:qFormat/>
    <w:rsid w:val="00362571"/>
    <w:pPr>
      <w:ind w:left="720"/>
      <w:contextualSpacing/>
    </w:pPr>
  </w:style>
  <w:style w:type="paragraph" w:styleId="Encabezado">
    <w:name w:val="header"/>
    <w:basedOn w:val="Normal"/>
    <w:link w:val="EncabezadoCar"/>
    <w:uiPriority w:val="99"/>
    <w:unhideWhenUsed/>
    <w:rsid w:val="00362571"/>
    <w:pPr>
      <w:tabs>
        <w:tab w:val="center" w:pos="4419"/>
        <w:tab w:val="right" w:pos="8838"/>
      </w:tabs>
    </w:pPr>
  </w:style>
  <w:style w:type="character" w:customStyle="1" w:styleId="EncabezadoCar">
    <w:name w:val="Encabezado Car"/>
    <w:basedOn w:val="Fuentedeprrafopredeter"/>
    <w:link w:val="Encabezado"/>
    <w:uiPriority w:val="99"/>
    <w:rsid w:val="00362571"/>
    <w:rPr>
      <w:rFonts w:ascii="Times New Roman" w:eastAsia="Times New Roman" w:hAnsi="Times New Roman" w:cs="Times New Roman"/>
      <w:kern w:val="0"/>
      <w:sz w:val="28"/>
      <w:szCs w:val="28"/>
      <w:lang w:eastAsia="es-ES_tradnl"/>
    </w:rPr>
  </w:style>
  <w:style w:type="paragraph" w:styleId="Piedepgina">
    <w:name w:val="footer"/>
    <w:basedOn w:val="Normal"/>
    <w:link w:val="PiedepginaCar"/>
    <w:uiPriority w:val="99"/>
    <w:unhideWhenUsed/>
    <w:rsid w:val="00362571"/>
    <w:pPr>
      <w:tabs>
        <w:tab w:val="center" w:pos="4419"/>
        <w:tab w:val="right" w:pos="8838"/>
      </w:tabs>
    </w:pPr>
  </w:style>
  <w:style w:type="character" w:customStyle="1" w:styleId="PiedepginaCar">
    <w:name w:val="Pie de página Car"/>
    <w:basedOn w:val="Fuentedeprrafopredeter"/>
    <w:link w:val="Piedepgina"/>
    <w:uiPriority w:val="99"/>
    <w:rsid w:val="00362571"/>
    <w:rPr>
      <w:rFonts w:ascii="Times New Roman" w:eastAsia="Times New Roman" w:hAnsi="Times New Roman" w:cs="Times New Roman"/>
      <w:kern w:val="0"/>
      <w:sz w:val="28"/>
      <w:szCs w:val="28"/>
      <w:lang w:eastAsia="es-ES_tradnl"/>
    </w:rPr>
  </w:style>
  <w:style w:type="character" w:customStyle="1" w:styleId="Ttulo3Car">
    <w:name w:val="Título 3 Car"/>
    <w:basedOn w:val="Fuentedeprrafopredeter"/>
    <w:link w:val="Ttulo3"/>
    <w:uiPriority w:val="9"/>
    <w:rsid w:val="00EF41DE"/>
    <w:rPr>
      <w:rFonts w:asciiTheme="majorHAnsi" w:eastAsiaTheme="majorEastAsia" w:hAnsiTheme="majorHAnsi" w:cstheme="majorBidi"/>
      <w:color w:val="1F3763" w:themeColor="accent1" w:themeShade="7F"/>
      <w:kern w:val="0"/>
      <w:sz w:val="24"/>
      <w:szCs w:val="24"/>
      <w:lang w:eastAsia="es-ES_tradnl"/>
    </w:rPr>
  </w:style>
  <w:style w:type="table" w:styleId="Tablaconcuadrcula">
    <w:name w:val="Table Grid"/>
    <w:basedOn w:val="Tablanormal"/>
    <w:uiPriority w:val="39"/>
    <w:rsid w:val="00EF41DE"/>
    <w:pPr>
      <w:spacing w:after="0" w:line="240" w:lineRule="auto"/>
    </w:pPr>
    <w:rPr>
      <w:rFonts w:ascii="Times New Roman" w:eastAsia="Times New Roman" w:hAnsi="Times New Roman" w:cs="Times New Roman"/>
      <w:kern w:val="0"/>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D6504F"/>
    <w:pPr>
      <w:pBdr>
        <w:top w:val="nil"/>
        <w:left w:val="nil"/>
        <w:bottom w:val="nil"/>
        <w:right w:val="nil"/>
        <w:between w:val="nil"/>
      </w:pBdr>
      <w:ind w:left="0" w:right="0" w:firstLine="0"/>
      <w:contextualSpacing/>
    </w:pPr>
    <w:rPr>
      <w:rFonts w:asciiTheme="minorHAnsi" w:eastAsiaTheme="minorHAnsi" w:hAnsiTheme="minorHAnsi" w:cstheme="minorBidi"/>
      <w:sz w:val="22"/>
      <w:szCs w:val="22"/>
      <w:vertAlign w:val="superscript"/>
      <w:lang w:eastAsia="en-US"/>
    </w:rPr>
  </w:style>
  <w:style w:type="character" w:styleId="Refdecomentario">
    <w:name w:val="annotation reference"/>
    <w:basedOn w:val="Fuentedeprrafopredeter"/>
    <w:uiPriority w:val="99"/>
    <w:semiHidden/>
    <w:unhideWhenUsed/>
    <w:rsid w:val="000C625F"/>
    <w:rPr>
      <w:sz w:val="16"/>
      <w:szCs w:val="16"/>
    </w:rPr>
  </w:style>
  <w:style w:type="paragraph" w:styleId="Textocomentario">
    <w:name w:val="annotation text"/>
    <w:basedOn w:val="Normal"/>
    <w:link w:val="TextocomentarioCar"/>
    <w:uiPriority w:val="99"/>
    <w:unhideWhenUsed/>
    <w:rsid w:val="000C625F"/>
    <w:rPr>
      <w:sz w:val="20"/>
      <w:szCs w:val="20"/>
    </w:rPr>
  </w:style>
  <w:style w:type="character" w:customStyle="1" w:styleId="TextocomentarioCar">
    <w:name w:val="Texto comentario Car"/>
    <w:basedOn w:val="Fuentedeprrafopredeter"/>
    <w:link w:val="Textocomentario"/>
    <w:uiPriority w:val="99"/>
    <w:rsid w:val="000C625F"/>
    <w:rPr>
      <w:rFonts w:ascii="Times New Roman" w:eastAsia="Times New Roman" w:hAnsi="Times New Roman" w:cs="Times New Roman"/>
      <w:kern w:val="0"/>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0C625F"/>
    <w:rPr>
      <w:b/>
      <w:bCs/>
    </w:rPr>
  </w:style>
  <w:style w:type="character" w:customStyle="1" w:styleId="AsuntodelcomentarioCar">
    <w:name w:val="Asunto del comentario Car"/>
    <w:basedOn w:val="TextocomentarioCar"/>
    <w:link w:val="Asuntodelcomentario"/>
    <w:uiPriority w:val="99"/>
    <w:semiHidden/>
    <w:rsid w:val="000C625F"/>
    <w:rPr>
      <w:rFonts w:ascii="Times New Roman" w:eastAsia="Times New Roman" w:hAnsi="Times New Roman" w:cs="Times New Roman"/>
      <w:b/>
      <w:bCs/>
      <w:kern w:val="0"/>
      <w:sz w:val="20"/>
      <w:szCs w:val="20"/>
      <w:lang w:eastAsia="es-ES_tradnl"/>
    </w:rPr>
  </w:style>
  <w:style w:type="character" w:customStyle="1" w:styleId="PrrafodelistaCar">
    <w:name w:val="Párrafo de lista Car"/>
    <w:aliases w:val="Colorful List - Accent 11 Car,Ha Car,List Paragraph1 Car,lp1 Car,List Paragraph2 Car,Párrafo Car,Numbered Paragraph Car,Bullets Car,titulo 3 Car,BOLADEF Car,BOLA Car,Párrafo de lista21 Car,Guión Car,Titulo 8 Car,HOJA Car,Chulito Car"/>
    <w:link w:val="Prrafodelista"/>
    <w:uiPriority w:val="34"/>
    <w:qFormat/>
    <w:locked/>
    <w:rsid w:val="00CD425E"/>
    <w:rPr>
      <w:rFonts w:ascii="Times New Roman" w:eastAsia="Times New Roman" w:hAnsi="Times New Roman" w:cs="Times New Roman"/>
      <w:kern w:val="0"/>
      <w:sz w:val="28"/>
      <w:szCs w:val="28"/>
      <w:lang w:eastAsia="es-ES_tradnl"/>
    </w:rPr>
  </w:style>
  <w:style w:type="table" w:customStyle="1" w:styleId="Tablaconcuadrcula1">
    <w:name w:val="Tabla con cuadrícula1"/>
    <w:basedOn w:val="Tablanormal"/>
    <w:next w:val="Tablaconcuadrcula"/>
    <w:uiPriority w:val="59"/>
    <w:rsid w:val="00CD425E"/>
    <w:pPr>
      <w:spacing w:after="0" w:line="240" w:lineRule="auto"/>
    </w:pPr>
    <w:rPr>
      <w:rFonts w:ascii="Calibri" w:eastAsia="Times New Roman"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 1"/>
    <w:basedOn w:val="Lista"/>
    <w:link w:val="Normal1Car"/>
    <w:qFormat/>
    <w:rsid w:val="007B5A3B"/>
    <w:pPr>
      <w:numPr>
        <w:numId w:val="2"/>
      </w:numPr>
      <w:tabs>
        <w:tab w:val="left" w:pos="0"/>
        <w:tab w:val="left" w:pos="567"/>
      </w:tabs>
      <w:ind w:right="0"/>
    </w:pPr>
    <w:rPr>
      <w:rFonts w:eastAsia="Calibri"/>
      <w:lang w:val="es-ES_tradnl" w:eastAsia="en-US"/>
    </w:rPr>
  </w:style>
  <w:style w:type="character" w:customStyle="1" w:styleId="Normal1Car">
    <w:name w:val="Normal 1 Car"/>
    <w:basedOn w:val="Fuentedeprrafopredeter"/>
    <w:link w:val="Normal1"/>
    <w:rsid w:val="007B5A3B"/>
    <w:rPr>
      <w:rFonts w:ascii="Times New Roman" w:eastAsia="Calibri" w:hAnsi="Times New Roman" w:cs="Times New Roman"/>
      <w:kern w:val="0"/>
      <w:sz w:val="28"/>
      <w:szCs w:val="28"/>
      <w:lang w:val="es-ES_tradnl"/>
    </w:rPr>
  </w:style>
  <w:style w:type="paragraph" w:styleId="Lista">
    <w:name w:val="List"/>
    <w:basedOn w:val="Normal"/>
    <w:uiPriority w:val="99"/>
    <w:unhideWhenUsed/>
    <w:rsid w:val="007B5A3B"/>
    <w:pPr>
      <w:ind w:left="283" w:hanging="283"/>
      <w:contextualSpacing/>
    </w:pPr>
  </w:style>
  <w:style w:type="paragraph" w:styleId="Sinespaciado">
    <w:name w:val="No Spacing"/>
    <w:aliases w:val="Párrafos Comunes"/>
    <w:uiPriority w:val="1"/>
    <w:qFormat/>
    <w:rsid w:val="00F02AB8"/>
    <w:pPr>
      <w:spacing w:after="0" w:line="240" w:lineRule="auto"/>
    </w:pPr>
    <w:rPr>
      <w:kern w:val="0"/>
      <w:sz w:val="24"/>
      <w:szCs w:val="24"/>
    </w:rPr>
  </w:style>
  <w:style w:type="character" w:styleId="Hipervnculo">
    <w:name w:val="Hyperlink"/>
    <w:uiPriority w:val="99"/>
    <w:unhideWhenUsed/>
    <w:rsid w:val="0001411B"/>
    <w:rPr>
      <w:color w:val="0563C1"/>
      <w:u w:val="single"/>
    </w:rPr>
  </w:style>
  <w:style w:type="character" w:styleId="Mencinsinresolver">
    <w:name w:val="Unresolved Mention"/>
    <w:basedOn w:val="Fuentedeprrafopredeter"/>
    <w:uiPriority w:val="99"/>
    <w:semiHidden/>
    <w:unhideWhenUsed/>
    <w:rsid w:val="00D94B40"/>
    <w:rPr>
      <w:color w:val="605E5C"/>
      <w:shd w:val="clear" w:color="auto" w:fill="E1DFDD"/>
    </w:rPr>
  </w:style>
  <w:style w:type="table" w:customStyle="1" w:styleId="Tablaconcuadrcula2">
    <w:name w:val="Tabla con cuadrícula2"/>
    <w:basedOn w:val="Tablanormal"/>
    <w:next w:val="Tablaconcuadrcula"/>
    <w:uiPriority w:val="39"/>
    <w:rsid w:val="008B552D"/>
    <w:pPr>
      <w:spacing w:after="0" w:line="240" w:lineRule="auto"/>
    </w:pPr>
    <w:rPr>
      <w:rFonts w:ascii="Times New Roman" w:eastAsia="Times New Roman" w:hAnsi="Times New Roman" w:cs="Times New Roman"/>
      <w:kern w:val="0"/>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39"/>
    <w:rsid w:val="00EB407C"/>
    <w:pPr>
      <w:spacing w:after="0" w:line="240" w:lineRule="auto"/>
    </w:pPr>
    <w:rPr>
      <w:rFonts w:ascii="Times New Roman" w:eastAsia="Times New Roman" w:hAnsi="Times New Roman" w:cs="Times New Roman"/>
      <w:kern w:val="0"/>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39"/>
    <w:rsid w:val="00147062"/>
    <w:pPr>
      <w:spacing w:after="0" w:line="240" w:lineRule="auto"/>
    </w:pPr>
    <w:rPr>
      <w:rFonts w:ascii="Times New Roman" w:eastAsia="Times New Roman" w:hAnsi="Times New Roman" w:cs="Times New Roman"/>
      <w:kern w:val="0"/>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184654"/>
    <w:pPr>
      <w:spacing w:after="0" w:line="240" w:lineRule="auto"/>
    </w:pPr>
    <w:rPr>
      <w:rFonts w:ascii="Times New Roman" w:eastAsia="Times New Roman" w:hAnsi="Times New Roman" w:cs="Times New Roman"/>
      <w:kern w:val="0"/>
      <w:sz w:val="28"/>
      <w:szCs w:val="28"/>
      <w:lang w:eastAsia="es-ES_tradnl"/>
    </w:rPr>
  </w:style>
  <w:style w:type="paragraph" w:styleId="Textodeglobo">
    <w:name w:val="Balloon Text"/>
    <w:basedOn w:val="Normal"/>
    <w:link w:val="TextodegloboCar"/>
    <w:uiPriority w:val="99"/>
    <w:semiHidden/>
    <w:unhideWhenUsed/>
    <w:rsid w:val="00707EC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7EC0"/>
    <w:rPr>
      <w:rFonts w:ascii="Segoe UI" w:eastAsia="Times New Roman" w:hAnsi="Segoe UI" w:cs="Segoe UI"/>
      <w:kern w:val="0"/>
      <w:sz w:val="18"/>
      <w:szCs w:val="18"/>
      <w:lang w:eastAsia="es-ES_tradnl"/>
    </w:rPr>
  </w:style>
  <w:style w:type="character" w:styleId="Textoennegrita">
    <w:name w:val="Strong"/>
    <w:basedOn w:val="Fuentedeprrafopredeter"/>
    <w:uiPriority w:val="22"/>
    <w:qFormat/>
    <w:rsid w:val="000A7838"/>
    <w:rPr>
      <w:b/>
      <w:bCs/>
    </w:rPr>
  </w:style>
  <w:style w:type="character" w:customStyle="1" w:styleId="Ttulo5Car">
    <w:name w:val="Título 5 Car"/>
    <w:basedOn w:val="Fuentedeprrafopredeter"/>
    <w:link w:val="Ttulo5"/>
    <w:uiPriority w:val="9"/>
    <w:semiHidden/>
    <w:rsid w:val="0019585C"/>
    <w:rPr>
      <w:rFonts w:asciiTheme="majorHAnsi" w:eastAsiaTheme="majorEastAsia" w:hAnsiTheme="majorHAnsi" w:cstheme="majorBidi"/>
      <w:color w:val="2F5496" w:themeColor="accent1" w:themeShade="BF"/>
      <w:kern w:val="0"/>
      <w:sz w:val="28"/>
      <w:szCs w:val="28"/>
      <w:lang w:eastAsia="es-ES_tradnl"/>
    </w:rPr>
  </w:style>
  <w:style w:type="character" w:customStyle="1" w:styleId="Ttulo4Car">
    <w:name w:val="Título 4 Car"/>
    <w:basedOn w:val="Fuentedeprrafopredeter"/>
    <w:link w:val="Ttulo4"/>
    <w:uiPriority w:val="9"/>
    <w:semiHidden/>
    <w:rsid w:val="00D26BAA"/>
    <w:rPr>
      <w:rFonts w:asciiTheme="majorHAnsi" w:eastAsiaTheme="majorEastAsia" w:hAnsiTheme="majorHAnsi" w:cstheme="majorBidi"/>
      <w:i/>
      <w:iCs/>
      <w:color w:val="2F5496" w:themeColor="accent1" w:themeShade="BF"/>
      <w:kern w:val="0"/>
      <w:sz w:val="28"/>
      <w:szCs w:val="28"/>
      <w:lang w:eastAsia="es-ES_tradnl"/>
    </w:rPr>
  </w:style>
  <w:style w:type="character" w:customStyle="1" w:styleId="normaltextrun">
    <w:name w:val="normaltextrun"/>
    <w:basedOn w:val="Fuentedeprrafopredeter"/>
    <w:rsid w:val="00974451"/>
  </w:style>
  <w:style w:type="character" w:customStyle="1" w:styleId="apple-converted-space">
    <w:name w:val="apple-converted-space"/>
    <w:basedOn w:val="Fuentedeprrafopredeter"/>
    <w:rsid w:val="006811A7"/>
  </w:style>
  <w:style w:type="paragraph" w:styleId="NormalWeb">
    <w:name w:val="Normal (Web)"/>
    <w:basedOn w:val="Normal"/>
    <w:uiPriority w:val="99"/>
    <w:semiHidden/>
    <w:unhideWhenUsed/>
    <w:rsid w:val="006811A7"/>
    <w:rPr>
      <w:sz w:val="24"/>
      <w:szCs w:val="24"/>
    </w:rPr>
  </w:style>
  <w:style w:type="character" w:styleId="Hipervnculovisitado">
    <w:name w:val="FollowedHyperlink"/>
    <w:basedOn w:val="Fuentedeprrafopredeter"/>
    <w:uiPriority w:val="99"/>
    <w:semiHidden/>
    <w:unhideWhenUsed/>
    <w:rsid w:val="006811A7"/>
    <w:rPr>
      <w:color w:val="954F72" w:themeColor="followedHyperlink"/>
      <w:u w:val="single"/>
    </w:rPr>
  </w:style>
  <w:style w:type="paragraph" w:customStyle="1" w:styleId="font-claude-response-body">
    <w:name w:val="font-claude-response-body"/>
    <w:basedOn w:val="Normal"/>
    <w:rsid w:val="008858E3"/>
    <w:pPr>
      <w:spacing w:before="100" w:beforeAutospacing="1" w:after="100" w:afterAutospacing="1"/>
      <w:ind w:left="0" w:right="0" w:firstLine="0"/>
      <w:jc w:val="left"/>
    </w:pPr>
    <w:rPr>
      <w:sz w:val="24"/>
      <w:szCs w:val="24"/>
      <w:lang w:eastAsia="es-CO"/>
    </w:rPr>
  </w:style>
  <w:style w:type="character" w:styleId="nfasis">
    <w:name w:val="Emphasis"/>
    <w:basedOn w:val="Fuentedeprrafopredeter"/>
    <w:uiPriority w:val="20"/>
    <w:qFormat/>
    <w:rsid w:val="00630EDF"/>
    <w:rPr>
      <w:i/>
      <w:iCs/>
    </w:rPr>
  </w:style>
  <w:style w:type="paragraph" w:styleId="Ttulo">
    <w:name w:val="Title"/>
    <w:uiPriority w:val="10"/>
    <w:qFormat/>
    <w:rPr>
      <w:sz w:val="56"/>
      <w:szCs w:val="56"/>
    </w:rPr>
  </w:style>
  <w:style w:type="paragraph" w:customStyle="1" w:styleId="Fuerte1">
    <w:name w:val="Fuerte1"/>
    <w:qFormat/>
    <w:rPr>
      <w:b/>
      <w:bCs/>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 w:type="paragraph" w:customStyle="1" w:styleId="Refdenotaalpie2">
    <w:name w:val="Ref. de nota al pie2"/>
    <w:aliases w:val="Pie de pagina,Nota de pie"/>
    <w:basedOn w:val="Normal"/>
    <w:uiPriority w:val="99"/>
    <w:qFormat/>
    <w:rsid w:val="006353D1"/>
    <w:pPr>
      <w:spacing w:after="16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367662">
      <w:bodyDiv w:val="1"/>
      <w:marLeft w:val="0"/>
      <w:marRight w:val="0"/>
      <w:marTop w:val="0"/>
      <w:marBottom w:val="0"/>
      <w:divBdr>
        <w:top w:val="none" w:sz="0" w:space="0" w:color="auto"/>
        <w:left w:val="none" w:sz="0" w:space="0" w:color="auto"/>
        <w:bottom w:val="none" w:sz="0" w:space="0" w:color="auto"/>
        <w:right w:val="none" w:sz="0" w:space="0" w:color="auto"/>
      </w:divBdr>
    </w:div>
    <w:div w:id="257450386">
      <w:bodyDiv w:val="1"/>
      <w:marLeft w:val="0"/>
      <w:marRight w:val="0"/>
      <w:marTop w:val="0"/>
      <w:marBottom w:val="0"/>
      <w:divBdr>
        <w:top w:val="none" w:sz="0" w:space="0" w:color="auto"/>
        <w:left w:val="none" w:sz="0" w:space="0" w:color="auto"/>
        <w:bottom w:val="none" w:sz="0" w:space="0" w:color="auto"/>
        <w:right w:val="none" w:sz="0" w:space="0" w:color="auto"/>
      </w:divBdr>
    </w:div>
    <w:div w:id="339311436">
      <w:bodyDiv w:val="1"/>
      <w:marLeft w:val="0"/>
      <w:marRight w:val="0"/>
      <w:marTop w:val="0"/>
      <w:marBottom w:val="0"/>
      <w:divBdr>
        <w:top w:val="none" w:sz="0" w:space="0" w:color="auto"/>
        <w:left w:val="none" w:sz="0" w:space="0" w:color="auto"/>
        <w:bottom w:val="none" w:sz="0" w:space="0" w:color="auto"/>
        <w:right w:val="none" w:sz="0" w:space="0" w:color="auto"/>
      </w:divBdr>
    </w:div>
    <w:div w:id="354966041">
      <w:bodyDiv w:val="1"/>
      <w:marLeft w:val="0"/>
      <w:marRight w:val="0"/>
      <w:marTop w:val="0"/>
      <w:marBottom w:val="0"/>
      <w:divBdr>
        <w:top w:val="none" w:sz="0" w:space="0" w:color="auto"/>
        <w:left w:val="none" w:sz="0" w:space="0" w:color="auto"/>
        <w:bottom w:val="none" w:sz="0" w:space="0" w:color="auto"/>
        <w:right w:val="none" w:sz="0" w:space="0" w:color="auto"/>
      </w:divBdr>
    </w:div>
    <w:div w:id="543441346">
      <w:bodyDiv w:val="1"/>
      <w:marLeft w:val="0"/>
      <w:marRight w:val="0"/>
      <w:marTop w:val="0"/>
      <w:marBottom w:val="0"/>
      <w:divBdr>
        <w:top w:val="none" w:sz="0" w:space="0" w:color="auto"/>
        <w:left w:val="none" w:sz="0" w:space="0" w:color="auto"/>
        <w:bottom w:val="none" w:sz="0" w:space="0" w:color="auto"/>
        <w:right w:val="none" w:sz="0" w:space="0" w:color="auto"/>
      </w:divBdr>
    </w:div>
    <w:div w:id="691764463">
      <w:bodyDiv w:val="1"/>
      <w:marLeft w:val="0"/>
      <w:marRight w:val="0"/>
      <w:marTop w:val="0"/>
      <w:marBottom w:val="0"/>
      <w:divBdr>
        <w:top w:val="none" w:sz="0" w:space="0" w:color="auto"/>
        <w:left w:val="none" w:sz="0" w:space="0" w:color="auto"/>
        <w:bottom w:val="none" w:sz="0" w:space="0" w:color="auto"/>
        <w:right w:val="none" w:sz="0" w:space="0" w:color="auto"/>
      </w:divBdr>
    </w:div>
    <w:div w:id="735515843">
      <w:bodyDiv w:val="1"/>
      <w:marLeft w:val="0"/>
      <w:marRight w:val="0"/>
      <w:marTop w:val="0"/>
      <w:marBottom w:val="0"/>
      <w:divBdr>
        <w:top w:val="none" w:sz="0" w:space="0" w:color="auto"/>
        <w:left w:val="none" w:sz="0" w:space="0" w:color="auto"/>
        <w:bottom w:val="none" w:sz="0" w:space="0" w:color="auto"/>
        <w:right w:val="none" w:sz="0" w:space="0" w:color="auto"/>
      </w:divBdr>
    </w:div>
    <w:div w:id="996573021">
      <w:bodyDiv w:val="1"/>
      <w:marLeft w:val="0"/>
      <w:marRight w:val="0"/>
      <w:marTop w:val="0"/>
      <w:marBottom w:val="0"/>
      <w:divBdr>
        <w:top w:val="none" w:sz="0" w:space="0" w:color="auto"/>
        <w:left w:val="none" w:sz="0" w:space="0" w:color="auto"/>
        <w:bottom w:val="none" w:sz="0" w:space="0" w:color="auto"/>
        <w:right w:val="none" w:sz="0" w:space="0" w:color="auto"/>
      </w:divBdr>
    </w:div>
    <w:div w:id="1063066479">
      <w:bodyDiv w:val="1"/>
      <w:marLeft w:val="0"/>
      <w:marRight w:val="0"/>
      <w:marTop w:val="0"/>
      <w:marBottom w:val="0"/>
      <w:divBdr>
        <w:top w:val="none" w:sz="0" w:space="0" w:color="auto"/>
        <w:left w:val="none" w:sz="0" w:space="0" w:color="auto"/>
        <w:bottom w:val="none" w:sz="0" w:space="0" w:color="auto"/>
        <w:right w:val="none" w:sz="0" w:space="0" w:color="auto"/>
      </w:divBdr>
    </w:div>
    <w:div w:id="1112357846">
      <w:bodyDiv w:val="1"/>
      <w:marLeft w:val="0"/>
      <w:marRight w:val="0"/>
      <w:marTop w:val="0"/>
      <w:marBottom w:val="0"/>
      <w:divBdr>
        <w:top w:val="none" w:sz="0" w:space="0" w:color="auto"/>
        <w:left w:val="none" w:sz="0" w:space="0" w:color="auto"/>
        <w:bottom w:val="none" w:sz="0" w:space="0" w:color="auto"/>
        <w:right w:val="none" w:sz="0" w:space="0" w:color="auto"/>
      </w:divBdr>
    </w:div>
    <w:div w:id="1225145647">
      <w:bodyDiv w:val="1"/>
      <w:marLeft w:val="0"/>
      <w:marRight w:val="0"/>
      <w:marTop w:val="0"/>
      <w:marBottom w:val="0"/>
      <w:divBdr>
        <w:top w:val="none" w:sz="0" w:space="0" w:color="auto"/>
        <w:left w:val="none" w:sz="0" w:space="0" w:color="auto"/>
        <w:bottom w:val="none" w:sz="0" w:space="0" w:color="auto"/>
        <w:right w:val="none" w:sz="0" w:space="0" w:color="auto"/>
      </w:divBdr>
    </w:div>
    <w:div w:id="1259482235">
      <w:bodyDiv w:val="1"/>
      <w:marLeft w:val="0"/>
      <w:marRight w:val="0"/>
      <w:marTop w:val="0"/>
      <w:marBottom w:val="0"/>
      <w:divBdr>
        <w:top w:val="none" w:sz="0" w:space="0" w:color="auto"/>
        <w:left w:val="none" w:sz="0" w:space="0" w:color="auto"/>
        <w:bottom w:val="none" w:sz="0" w:space="0" w:color="auto"/>
        <w:right w:val="none" w:sz="0" w:space="0" w:color="auto"/>
      </w:divBdr>
    </w:div>
    <w:div w:id="1269240842">
      <w:bodyDiv w:val="1"/>
      <w:marLeft w:val="0"/>
      <w:marRight w:val="0"/>
      <w:marTop w:val="0"/>
      <w:marBottom w:val="0"/>
      <w:divBdr>
        <w:top w:val="none" w:sz="0" w:space="0" w:color="auto"/>
        <w:left w:val="none" w:sz="0" w:space="0" w:color="auto"/>
        <w:bottom w:val="none" w:sz="0" w:space="0" w:color="auto"/>
        <w:right w:val="none" w:sz="0" w:space="0" w:color="auto"/>
      </w:divBdr>
    </w:div>
    <w:div w:id="205646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125867" TargetMode="External"/><Relationship Id="rId3" Type="http://schemas.openxmlformats.org/officeDocument/2006/relationships/hyperlink" Target="https://www.corteconstitucional.gov.co/secretaria/archivo.php?id=124692" TargetMode="External"/><Relationship Id="rId7" Type="http://schemas.openxmlformats.org/officeDocument/2006/relationships/hyperlink" Target="https://www.corteconstitucional.gov.co/secretaria/archivo.php?id=125842" TargetMode="External"/><Relationship Id="rId2" Type="http://schemas.openxmlformats.org/officeDocument/2006/relationships/hyperlink" Target="https://www.corteconstitucional.gov.co/secretaria/archivo.php?id=124855" TargetMode="External"/><Relationship Id="rId1" Type="http://schemas.openxmlformats.org/officeDocument/2006/relationships/hyperlink" Target="https://www.corteconstitucional.gov.co/secretaria/archivo.php?id=123628" TargetMode="External"/><Relationship Id="rId6" Type="http://schemas.openxmlformats.org/officeDocument/2006/relationships/hyperlink" Target="https://www.corteconstitucional.gov.co/secretaria/archivo.php?id=125829" TargetMode="External"/><Relationship Id="rId5" Type="http://schemas.openxmlformats.org/officeDocument/2006/relationships/hyperlink" Target="https://www.corteconstitucional.gov.co/secretaria/archivo.php?id=125601" TargetMode="External"/><Relationship Id="rId4" Type="http://schemas.openxmlformats.org/officeDocument/2006/relationships/hyperlink" Target="https://www.corteconstitucional.gov.co/secretaria/archivo.php?id=125280" TargetMode="External"/><Relationship Id="rId9" Type="http://schemas.openxmlformats.org/officeDocument/2006/relationships/hyperlink" Target="https://www.corteconstitucional.gov.co/secretaria/archivo.php?id=12586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11198</Words>
  <Characters>61593</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Nicholl Serrato Pedraza</dc:creator>
  <cp:keywords/>
  <dc:description/>
  <cp:lastModifiedBy>wilmancc</cp:lastModifiedBy>
  <cp:revision>2</cp:revision>
  <dcterms:created xsi:type="dcterms:W3CDTF">2026-07-03T14:38:00Z</dcterms:created>
  <dcterms:modified xsi:type="dcterms:W3CDTF">2026-07-03T14:38:00Z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1cdd5c39-c9e1-4c17-b756-c8297490c895</vt:lpwstr>
  </property>
  <property fmtid="{D5CDD505-2E9C-101B-9397-08002B2CF9AE}" pid="3" name="ContentTypeId">
    <vt:lpwstr>0x010100D02C57C87F72F9419B14933B0B027C6B</vt:lpwstr>
  </property>
</Properties>
</file>