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4C26" w:rsidRPr="00D61E7E" w:rsidRDefault="00393DFF">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D61E7E">
        <w:rPr>
          <w:rFonts w:ascii="Times New Roman" w:hAnsi="Times New Roman" w:cs="Times New Roman"/>
          <w:sz w:val="28"/>
          <w:szCs w:val="24"/>
        </w:rPr>
        <w:t xml:space="preserve"> </w:t>
      </w:r>
    </w:p>
    <w:p w:rsidR="00AC4C26" w:rsidRPr="00D61E7E" w:rsidRDefault="00AC4C26">
      <w:pPr>
        <w:widowControl w:val="0"/>
        <w:autoSpaceDE w:val="0"/>
        <w:autoSpaceDN w:val="0"/>
        <w:adjustRightInd w:val="0"/>
        <w:spacing w:after="0" w:line="240" w:lineRule="auto"/>
        <w:rPr>
          <w:rFonts w:ascii="Times New Roman" w:hAnsi="Times New Roman" w:cs="Times New Roman"/>
          <w:sz w:val="28"/>
          <w:szCs w:val="28"/>
        </w:rPr>
      </w:pPr>
    </w:p>
    <w:p w:rsidR="00AC4C26" w:rsidRPr="00D61E7E" w:rsidRDefault="00393DFF">
      <w:pPr>
        <w:widowControl w:val="0"/>
        <w:autoSpaceDE w:val="0"/>
        <w:autoSpaceDN w:val="0"/>
        <w:adjustRightInd w:val="0"/>
        <w:spacing w:after="0" w:line="240" w:lineRule="auto"/>
        <w:jc w:val="center"/>
        <w:rPr>
          <w:rFonts w:ascii="Times New Roman" w:hAnsi="Times New Roman" w:cs="Times New Roman"/>
          <w:b/>
          <w:bCs/>
          <w:sz w:val="28"/>
          <w:szCs w:val="28"/>
        </w:rPr>
      </w:pPr>
      <w:r w:rsidRPr="00D61E7E">
        <w:rPr>
          <w:rFonts w:ascii="Times New Roman" w:hAnsi="Times New Roman" w:cs="Times New Roman"/>
          <w:b/>
          <w:bCs/>
          <w:sz w:val="28"/>
          <w:szCs w:val="28"/>
        </w:rPr>
        <w:t xml:space="preserve">TEMAS-SUBTEMAS </w:t>
      </w:r>
    </w:p>
    <w:p w:rsidR="00AC4C26" w:rsidRPr="00D61E7E" w:rsidRDefault="00AC4C26">
      <w:pPr>
        <w:widowControl w:val="0"/>
        <w:autoSpaceDE w:val="0"/>
        <w:autoSpaceDN w:val="0"/>
        <w:adjustRightInd w:val="0"/>
        <w:spacing w:after="0" w:line="240" w:lineRule="auto"/>
        <w:jc w:val="center"/>
        <w:rPr>
          <w:rFonts w:ascii="Times New Roman" w:hAnsi="Times New Roman" w:cs="Times New Roman"/>
          <w:b/>
          <w:bCs/>
          <w:sz w:val="28"/>
          <w:szCs w:val="28"/>
        </w:rPr>
      </w:pPr>
    </w:p>
    <w:p w:rsidR="00AC4C26" w:rsidRPr="00D61E7E" w:rsidRDefault="00393DFF">
      <w:pPr>
        <w:widowControl w:val="0"/>
        <w:autoSpaceDE w:val="0"/>
        <w:autoSpaceDN w:val="0"/>
        <w:adjustRightInd w:val="0"/>
        <w:spacing w:after="0" w:line="240" w:lineRule="auto"/>
        <w:jc w:val="center"/>
        <w:rPr>
          <w:rFonts w:ascii="Times New Roman" w:hAnsi="Times New Roman" w:cs="Times New Roman"/>
          <w:sz w:val="28"/>
          <w:szCs w:val="28"/>
        </w:rPr>
      </w:pPr>
      <w:r w:rsidRPr="00D61E7E">
        <w:rPr>
          <w:rFonts w:ascii="Times New Roman" w:hAnsi="Times New Roman" w:cs="Times New Roman"/>
          <w:b/>
          <w:bCs/>
          <w:sz w:val="28"/>
          <w:szCs w:val="28"/>
        </w:rPr>
        <w:t xml:space="preserve">Sentencia C-113/24 </w:t>
      </w:r>
    </w:p>
    <w:p w:rsidR="00AC4C26" w:rsidRPr="00D61E7E" w:rsidRDefault="00AC4C26">
      <w:pPr>
        <w:widowControl w:val="0"/>
        <w:autoSpaceDE w:val="0"/>
        <w:autoSpaceDN w:val="0"/>
        <w:adjustRightInd w:val="0"/>
        <w:spacing w:after="0" w:line="240" w:lineRule="auto"/>
        <w:jc w:val="both"/>
        <w:rPr>
          <w:rFonts w:ascii="Times New Roman" w:hAnsi="Times New Roman" w:cs="Times New Roman"/>
          <w:sz w:val="28"/>
          <w:szCs w:val="28"/>
        </w:rPr>
      </w:pPr>
    </w:p>
    <w:p w:rsidR="00AC4C26" w:rsidRPr="00D61E7E" w:rsidRDefault="00393DFF">
      <w:pPr>
        <w:widowControl w:val="0"/>
        <w:autoSpaceDE w:val="0"/>
        <w:autoSpaceDN w:val="0"/>
        <w:adjustRightInd w:val="0"/>
        <w:spacing w:after="0" w:line="240" w:lineRule="auto"/>
        <w:jc w:val="both"/>
        <w:rPr>
          <w:rFonts w:ascii="Times New Roman" w:hAnsi="Times New Roman" w:cs="Times New Roman"/>
          <w:sz w:val="28"/>
          <w:szCs w:val="28"/>
        </w:rPr>
      </w:pPr>
      <w:r w:rsidRPr="00D61E7E">
        <w:rPr>
          <w:rFonts w:ascii="Times New Roman" w:hAnsi="Times New Roman" w:cs="Times New Roman"/>
          <w:b/>
          <w:bCs/>
          <w:sz w:val="28"/>
          <w:szCs w:val="28"/>
        </w:rPr>
        <w:t>PRINCIPIO DE UNIDAD DE MATERIA</w:t>
      </w:r>
      <w:r w:rsidRPr="00D61E7E">
        <w:rPr>
          <w:rFonts w:ascii="Times New Roman" w:hAnsi="Times New Roman" w:cs="Times New Roman"/>
          <w:sz w:val="28"/>
          <w:szCs w:val="28"/>
        </w:rPr>
        <w:t>-No se vulnera en normas para fomentar el emprendimiento y desarrollo empresarial</w:t>
      </w:r>
      <w:r w:rsidRPr="00D61E7E">
        <w:rPr>
          <w:rFonts w:ascii="Times New Roman" w:hAnsi="Times New Roman" w:cs="Times New Roman"/>
          <w:b/>
          <w:bCs/>
          <w:sz w:val="28"/>
          <w:szCs w:val="28"/>
        </w:rPr>
        <w:t>/PRINCIPIO DE UNIDAD DE MATERIA</w:t>
      </w:r>
      <w:r w:rsidRPr="00D61E7E">
        <w:rPr>
          <w:rFonts w:ascii="Times New Roman" w:hAnsi="Times New Roman" w:cs="Times New Roman"/>
          <w:sz w:val="28"/>
          <w:szCs w:val="28"/>
        </w:rPr>
        <w:t>-No vulneración por existencia de conexidad causal, teleológica, temática y sistémica con la materia dominante</w:t>
      </w:r>
    </w:p>
    <w:p w:rsidR="00AC4C26" w:rsidRPr="00D61E7E" w:rsidRDefault="00AC4C26">
      <w:pPr>
        <w:widowControl w:val="0"/>
        <w:autoSpaceDE w:val="0"/>
        <w:autoSpaceDN w:val="0"/>
        <w:adjustRightInd w:val="0"/>
        <w:spacing w:after="0" w:line="240" w:lineRule="auto"/>
        <w:jc w:val="both"/>
        <w:rPr>
          <w:rFonts w:ascii="Times New Roman" w:hAnsi="Times New Roman" w:cs="Times New Roman"/>
          <w:sz w:val="28"/>
          <w:szCs w:val="28"/>
        </w:rPr>
      </w:pPr>
    </w:p>
    <w:p w:rsidR="00AC4C26" w:rsidRPr="00D61E7E" w:rsidRDefault="00393DFF">
      <w:pPr>
        <w:widowControl w:val="0"/>
        <w:autoSpaceDE w:val="0"/>
        <w:autoSpaceDN w:val="0"/>
        <w:adjustRightInd w:val="0"/>
        <w:spacing w:after="0" w:line="240" w:lineRule="auto"/>
        <w:jc w:val="both"/>
        <w:rPr>
          <w:rFonts w:ascii="Times New Roman" w:hAnsi="Times New Roman" w:cs="Times New Roman"/>
          <w:sz w:val="28"/>
          <w:szCs w:val="28"/>
        </w:rPr>
      </w:pPr>
      <w:r w:rsidRPr="00D61E7E">
        <w:rPr>
          <w:rFonts w:ascii="Times New Roman" w:hAnsi="Times New Roman" w:cs="Times New Roman"/>
          <w:i/>
          <w:iCs/>
          <w:sz w:val="28"/>
          <w:szCs w:val="28"/>
        </w:rPr>
        <w:t>El artículo 70 de la Ley 2069 de 2020 tiene una conexidad temática, causal, teleológica y sistemática con los objetivos generales de la ley. Esta disposición, al reasignar funciones regulatorias a la Superintendencia de Sociedades, se alinea temáticamente con el propósito de la ley de optimizar la estructura de supervisión empresarial, facilitando un entorno más ágil para las pequeñas y medianas empresas. (...) el artículo 73 guarda una relación temática con la referida ley en razón a que promueve la eficiencia y la modernización de los procedimientos administrativos tributarios mediante la implementación de la virtualidad en los procesos de inspección contables. Esta medida alinea el artículo con el espíritu de la Ley 2069 de 2020, que busca fomentar un ambiente empresarial competitivo y adaptado a las exigencias tecnológicas actuales.</w:t>
      </w:r>
    </w:p>
    <w:p w:rsidR="00AC4C26" w:rsidRPr="00D61E7E" w:rsidRDefault="00AC4C26">
      <w:pPr>
        <w:widowControl w:val="0"/>
        <w:autoSpaceDE w:val="0"/>
        <w:autoSpaceDN w:val="0"/>
        <w:adjustRightInd w:val="0"/>
        <w:spacing w:after="0" w:line="240" w:lineRule="auto"/>
        <w:jc w:val="both"/>
        <w:rPr>
          <w:rFonts w:ascii="Times New Roman" w:hAnsi="Times New Roman" w:cs="Times New Roman"/>
          <w:sz w:val="28"/>
          <w:szCs w:val="28"/>
        </w:rPr>
      </w:pPr>
    </w:p>
    <w:p w:rsidR="00AC4C26" w:rsidRPr="00D61E7E" w:rsidRDefault="00393DFF">
      <w:pPr>
        <w:widowControl w:val="0"/>
        <w:autoSpaceDE w:val="0"/>
        <w:autoSpaceDN w:val="0"/>
        <w:adjustRightInd w:val="0"/>
        <w:spacing w:after="0" w:line="240" w:lineRule="auto"/>
        <w:jc w:val="both"/>
        <w:rPr>
          <w:rFonts w:ascii="Times New Roman" w:hAnsi="Times New Roman" w:cs="Times New Roman"/>
          <w:sz w:val="28"/>
          <w:szCs w:val="28"/>
        </w:rPr>
      </w:pPr>
      <w:r w:rsidRPr="00D61E7E">
        <w:rPr>
          <w:rFonts w:ascii="Times New Roman" w:hAnsi="Times New Roman" w:cs="Times New Roman"/>
          <w:b/>
          <w:bCs/>
          <w:sz w:val="28"/>
          <w:szCs w:val="28"/>
        </w:rPr>
        <w:t>PRINCIPIO DE UNIDAD DE MATERIA</w:t>
      </w:r>
      <w:r w:rsidRPr="00D61E7E">
        <w:rPr>
          <w:rFonts w:ascii="Times New Roman" w:hAnsi="Times New Roman" w:cs="Times New Roman"/>
          <w:sz w:val="28"/>
          <w:szCs w:val="28"/>
        </w:rPr>
        <w:t xml:space="preserve">-Reiteración de jurisprudencia </w:t>
      </w:r>
    </w:p>
    <w:p w:rsidR="00AC4C26" w:rsidRPr="00D61E7E" w:rsidRDefault="00AC4C26">
      <w:pPr>
        <w:widowControl w:val="0"/>
        <w:autoSpaceDE w:val="0"/>
        <w:autoSpaceDN w:val="0"/>
        <w:adjustRightInd w:val="0"/>
        <w:spacing w:after="0" w:line="240" w:lineRule="auto"/>
        <w:jc w:val="both"/>
        <w:rPr>
          <w:rFonts w:ascii="Times New Roman" w:hAnsi="Times New Roman" w:cs="Times New Roman"/>
          <w:sz w:val="28"/>
          <w:szCs w:val="28"/>
        </w:rPr>
      </w:pPr>
    </w:p>
    <w:p w:rsidR="00AC4C26" w:rsidRPr="00D61E7E" w:rsidRDefault="00393DFF">
      <w:pPr>
        <w:widowControl w:val="0"/>
        <w:autoSpaceDE w:val="0"/>
        <w:autoSpaceDN w:val="0"/>
        <w:adjustRightInd w:val="0"/>
        <w:spacing w:after="0" w:line="240" w:lineRule="auto"/>
        <w:jc w:val="both"/>
        <w:rPr>
          <w:rFonts w:ascii="Times New Roman" w:hAnsi="Times New Roman" w:cs="Times New Roman"/>
          <w:sz w:val="28"/>
          <w:szCs w:val="28"/>
        </w:rPr>
      </w:pPr>
      <w:r w:rsidRPr="00D61E7E">
        <w:rPr>
          <w:rFonts w:ascii="Times New Roman" w:hAnsi="Times New Roman" w:cs="Times New Roman"/>
          <w:b/>
          <w:bCs/>
          <w:sz w:val="28"/>
          <w:szCs w:val="28"/>
        </w:rPr>
        <w:t>PRINCIPIO DE UNIDAD DE MATERIA</w:t>
      </w:r>
      <w:r w:rsidRPr="00D61E7E">
        <w:rPr>
          <w:rFonts w:ascii="Times New Roman" w:hAnsi="Times New Roman" w:cs="Times New Roman"/>
          <w:sz w:val="28"/>
          <w:szCs w:val="28"/>
        </w:rPr>
        <w:t xml:space="preserve">-Reglas aplicables </w:t>
      </w:r>
    </w:p>
    <w:p w:rsidR="00AC4C26" w:rsidRPr="00D61E7E" w:rsidRDefault="00AC4C26">
      <w:pPr>
        <w:widowControl w:val="0"/>
        <w:autoSpaceDE w:val="0"/>
        <w:autoSpaceDN w:val="0"/>
        <w:adjustRightInd w:val="0"/>
        <w:spacing w:after="0" w:line="240" w:lineRule="auto"/>
        <w:jc w:val="both"/>
        <w:rPr>
          <w:rFonts w:ascii="Times New Roman" w:hAnsi="Times New Roman" w:cs="Times New Roman"/>
          <w:sz w:val="28"/>
          <w:szCs w:val="28"/>
        </w:rPr>
      </w:pPr>
    </w:p>
    <w:p w:rsidR="00AC4C26" w:rsidRPr="00D61E7E" w:rsidRDefault="00393DFF">
      <w:pPr>
        <w:widowControl w:val="0"/>
        <w:autoSpaceDE w:val="0"/>
        <w:autoSpaceDN w:val="0"/>
        <w:adjustRightInd w:val="0"/>
        <w:spacing w:after="0" w:line="240" w:lineRule="auto"/>
        <w:jc w:val="both"/>
        <w:rPr>
          <w:rFonts w:ascii="Times New Roman" w:hAnsi="Times New Roman" w:cs="Times New Roman"/>
          <w:sz w:val="28"/>
          <w:szCs w:val="28"/>
        </w:rPr>
      </w:pPr>
      <w:r w:rsidRPr="00D61E7E">
        <w:rPr>
          <w:rFonts w:ascii="Times New Roman" w:hAnsi="Times New Roman" w:cs="Times New Roman"/>
          <w:b/>
          <w:bCs/>
          <w:sz w:val="28"/>
          <w:szCs w:val="28"/>
        </w:rPr>
        <w:t>PRINCIPIO DE UNIDAD DE MATERIA</w:t>
      </w:r>
      <w:r w:rsidRPr="00D61E7E">
        <w:rPr>
          <w:rFonts w:ascii="Times New Roman" w:hAnsi="Times New Roman" w:cs="Times New Roman"/>
          <w:sz w:val="28"/>
          <w:szCs w:val="28"/>
        </w:rPr>
        <w:t>-Criterios de conexidad</w:t>
      </w:r>
      <w:r w:rsidRPr="00D61E7E">
        <w:rPr>
          <w:rFonts w:ascii="Times New Roman" w:hAnsi="Times New Roman" w:cs="Times New Roman"/>
          <w:b/>
          <w:bCs/>
          <w:sz w:val="28"/>
          <w:szCs w:val="28"/>
        </w:rPr>
        <w:t>/PRINCIPIO DE UNIDAD DE MATERIA</w:t>
      </w:r>
      <w:r w:rsidRPr="00D61E7E">
        <w:rPr>
          <w:rFonts w:ascii="Times New Roman" w:hAnsi="Times New Roman" w:cs="Times New Roman"/>
          <w:sz w:val="28"/>
          <w:szCs w:val="28"/>
        </w:rPr>
        <w:t xml:space="preserve">-Conexidad causal, teleológica, temática o sistemática </w:t>
      </w:r>
    </w:p>
    <w:p w:rsidR="00AC4C26" w:rsidRPr="00D61E7E" w:rsidRDefault="00AC4C26">
      <w:pPr>
        <w:widowControl w:val="0"/>
        <w:autoSpaceDE w:val="0"/>
        <w:autoSpaceDN w:val="0"/>
        <w:adjustRightInd w:val="0"/>
        <w:spacing w:after="0" w:line="240" w:lineRule="auto"/>
        <w:jc w:val="both"/>
        <w:rPr>
          <w:rFonts w:ascii="Times New Roman" w:hAnsi="Times New Roman" w:cs="Times New Roman"/>
          <w:sz w:val="28"/>
          <w:szCs w:val="28"/>
        </w:rPr>
      </w:pPr>
    </w:p>
    <w:p w:rsidR="00AC4C26" w:rsidRPr="00D61E7E" w:rsidRDefault="00393DFF">
      <w:pPr>
        <w:widowControl w:val="0"/>
        <w:autoSpaceDE w:val="0"/>
        <w:autoSpaceDN w:val="0"/>
        <w:adjustRightInd w:val="0"/>
        <w:spacing w:after="0" w:line="240" w:lineRule="auto"/>
        <w:jc w:val="both"/>
        <w:rPr>
          <w:rFonts w:ascii="Times New Roman" w:hAnsi="Times New Roman" w:cs="Times New Roman"/>
          <w:sz w:val="28"/>
          <w:szCs w:val="28"/>
        </w:rPr>
      </w:pPr>
      <w:r w:rsidRPr="00D61E7E">
        <w:rPr>
          <w:rFonts w:ascii="Times New Roman" w:hAnsi="Times New Roman" w:cs="Times New Roman"/>
          <w:b/>
          <w:bCs/>
          <w:sz w:val="28"/>
          <w:szCs w:val="28"/>
        </w:rPr>
        <w:t>PRINCIPIO DE UNIDAD DE MATERIA</w:t>
      </w:r>
      <w:r w:rsidRPr="00D61E7E">
        <w:rPr>
          <w:rFonts w:ascii="Times New Roman" w:hAnsi="Times New Roman" w:cs="Times New Roman"/>
          <w:sz w:val="28"/>
          <w:szCs w:val="28"/>
        </w:rPr>
        <w:t>-Alcance</w:t>
      </w:r>
    </w:p>
    <w:p w:rsidR="00AC4C26" w:rsidRPr="00D61E7E" w:rsidRDefault="00AC4C26">
      <w:pPr>
        <w:widowControl w:val="0"/>
        <w:autoSpaceDE w:val="0"/>
        <w:autoSpaceDN w:val="0"/>
        <w:adjustRightInd w:val="0"/>
        <w:spacing w:after="0" w:line="240" w:lineRule="auto"/>
        <w:jc w:val="both"/>
        <w:rPr>
          <w:rFonts w:ascii="Times New Roman" w:hAnsi="Times New Roman" w:cs="Times New Roman"/>
          <w:sz w:val="28"/>
          <w:szCs w:val="28"/>
        </w:rPr>
      </w:pPr>
    </w:p>
    <w:p w:rsidR="00AC4C26" w:rsidRPr="00D61E7E" w:rsidRDefault="00393DFF">
      <w:pPr>
        <w:widowControl w:val="0"/>
        <w:autoSpaceDE w:val="0"/>
        <w:autoSpaceDN w:val="0"/>
        <w:adjustRightInd w:val="0"/>
        <w:spacing w:after="0" w:line="240" w:lineRule="auto"/>
        <w:jc w:val="both"/>
        <w:rPr>
          <w:rFonts w:ascii="Times New Roman" w:hAnsi="Times New Roman" w:cs="Times New Roman"/>
          <w:sz w:val="28"/>
          <w:szCs w:val="28"/>
        </w:rPr>
      </w:pPr>
      <w:r w:rsidRPr="00D61E7E">
        <w:rPr>
          <w:rFonts w:ascii="Times New Roman" w:hAnsi="Times New Roman" w:cs="Times New Roman"/>
          <w:i/>
          <w:iCs/>
          <w:sz w:val="28"/>
          <w:szCs w:val="28"/>
        </w:rPr>
        <w:t xml:space="preserve">(...) la Sala Plena ha señalado que el requerimiento de unidad de materia puede ser menos exigente siempre y cuando una disposición “fue objeto de discusión y votación a lo largo de todo el trámite legislativo y, en esa medida, alrededor de la misma se desarrolló un óptimo y evidente proceso de deliberación”. Así, indica la Corte, hay una especie de control de los riesgos que pretenden garantizarse con el reconocimiento constitucional del principio de unidad de materia. Esto no quiere decir que solo basta con que una determinada disposición haya sido sometida a una deliberación, sino que la discusión debe ser amplia, suficiente e informada y que el texto se enmarque en el objeto general del proyecto de ley sometido a consideración de los congresistas. </w:t>
      </w:r>
    </w:p>
    <w:p w:rsidR="00AC4C26" w:rsidRPr="00D61E7E" w:rsidRDefault="00AC4C26">
      <w:pPr>
        <w:widowControl w:val="0"/>
        <w:autoSpaceDE w:val="0"/>
        <w:autoSpaceDN w:val="0"/>
        <w:adjustRightInd w:val="0"/>
        <w:spacing w:after="0" w:line="240" w:lineRule="auto"/>
        <w:jc w:val="both"/>
        <w:rPr>
          <w:rFonts w:ascii="Times New Roman" w:hAnsi="Times New Roman" w:cs="Times New Roman"/>
          <w:sz w:val="28"/>
          <w:szCs w:val="28"/>
        </w:rPr>
      </w:pPr>
    </w:p>
    <w:p w:rsidR="00AC4C26" w:rsidRPr="00D61E7E" w:rsidRDefault="00393DFF">
      <w:pPr>
        <w:widowControl w:val="0"/>
        <w:autoSpaceDE w:val="0"/>
        <w:autoSpaceDN w:val="0"/>
        <w:adjustRightInd w:val="0"/>
        <w:spacing w:after="0" w:line="240" w:lineRule="auto"/>
        <w:jc w:val="both"/>
        <w:rPr>
          <w:rFonts w:ascii="Times New Roman" w:hAnsi="Times New Roman" w:cs="Times New Roman"/>
          <w:sz w:val="28"/>
          <w:szCs w:val="28"/>
        </w:rPr>
      </w:pPr>
      <w:r w:rsidRPr="00D61E7E">
        <w:rPr>
          <w:rFonts w:ascii="Times New Roman" w:hAnsi="Times New Roman" w:cs="Times New Roman"/>
          <w:b/>
          <w:bCs/>
          <w:sz w:val="28"/>
          <w:szCs w:val="28"/>
        </w:rPr>
        <w:t>CONTROL DE CONSTITUCIONALIDAD POR VULNERACION DEL PRINCIPIO DE UNIDAD DE MATERIA</w:t>
      </w:r>
      <w:r w:rsidRPr="00D61E7E">
        <w:rPr>
          <w:rFonts w:ascii="Times New Roman" w:hAnsi="Times New Roman" w:cs="Times New Roman"/>
          <w:sz w:val="28"/>
          <w:szCs w:val="28"/>
        </w:rPr>
        <w:t xml:space="preserve">-Metodología </w:t>
      </w:r>
    </w:p>
    <w:p w:rsidR="00AC4C26" w:rsidRPr="00D61E7E" w:rsidRDefault="00AC4C26">
      <w:pPr>
        <w:widowControl w:val="0"/>
        <w:autoSpaceDE w:val="0"/>
        <w:autoSpaceDN w:val="0"/>
        <w:adjustRightInd w:val="0"/>
        <w:spacing w:after="0" w:line="240" w:lineRule="auto"/>
        <w:jc w:val="both"/>
        <w:rPr>
          <w:rFonts w:ascii="Times New Roman" w:hAnsi="Times New Roman" w:cs="Times New Roman"/>
          <w:sz w:val="28"/>
          <w:szCs w:val="28"/>
        </w:rPr>
      </w:pPr>
    </w:p>
    <w:p w:rsidR="00AC4C26" w:rsidRPr="00D61E7E" w:rsidRDefault="00393DFF">
      <w:pPr>
        <w:widowControl w:val="0"/>
        <w:autoSpaceDE w:val="0"/>
        <w:autoSpaceDN w:val="0"/>
        <w:adjustRightInd w:val="0"/>
        <w:spacing w:after="0" w:line="240" w:lineRule="auto"/>
        <w:jc w:val="both"/>
        <w:rPr>
          <w:rFonts w:ascii="Times New Roman" w:hAnsi="Times New Roman" w:cs="Times New Roman"/>
          <w:sz w:val="28"/>
          <w:szCs w:val="28"/>
        </w:rPr>
      </w:pPr>
      <w:r w:rsidRPr="00D61E7E">
        <w:rPr>
          <w:rFonts w:ascii="Times New Roman" w:hAnsi="Times New Roman" w:cs="Times New Roman"/>
          <w:b/>
          <w:bCs/>
          <w:sz w:val="28"/>
          <w:szCs w:val="28"/>
        </w:rPr>
        <w:t>SUPERINTENDENCIA DE SOCIEDADES</w:t>
      </w:r>
      <w:r w:rsidRPr="00D61E7E">
        <w:rPr>
          <w:rFonts w:ascii="Times New Roman" w:hAnsi="Times New Roman" w:cs="Times New Roman"/>
          <w:sz w:val="28"/>
          <w:szCs w:val="28"/>
        </w:rPr>
        <w:t>-Inspección, vigilancia y control</w:t>
      </w:r>
    </w:p>
    <w:p w:rsidR="00AC4C26" w:rsidRPr="00D61E7E" w:rsidRDefault="00AC4C26">
      <w:pPr>
        <w:widowControl w:val="0"/>
        <w:autoSpaceDE w:val="0"/>
        <w:autoSpaceDN w:val="0"/>
        <w:adjustRightInd w:val="0"/>
        <w:spacing w:after="0" w:line="240" w:lineRule="auto"/>
        <w:jc w:val="both"/>
        <w:rPr>
          <w:rFonts w:ascii="Times New Roman" w:hAnsi="Times New Roman" w:cs="Times New Roman"/>
          <w:sz w:val="28"/>
          <w:szCs w:val="28"/>
        </w:rPr>
      </w:pPr>
    </w:p>
    <w:p w:rsidR="00AC4C26" w:rsidRPr="00D61E7E" w:rsidRDefault="00393DFF">
      <w:pPr>
        <w:widowControl w:val="0"/>
        <w:autoSpaceDE w:val="0"/>
        <w:autoSpaceDN w:val="0"/>
        <w:adjustRightInd w:val="0"/>
        <w:spacing w:after="0" w:line="240" w:lineRule="auto"/>
        <w:jc w:val="both"/>
        <w:rPr>
          <w:rFonts w:ascii="Times New Roman" w:hAnsi="Times New Roman" w:cs="Times New Roman"/>
          <w:sz w:val="28"/>
          <w:szCs w:val="28"/>
        </w:rPr>
      </w:pPr>
      <w:r w:rsidRPr="00D61E7E">
        <w:rPr>
          <w:rFonts w:ascii="Times New Roman" w:hAnsi="Times New Roman" w:cs="Times New Roman"/>
          <w:i/>
          <w:iCs/>
          <w:sz w:val="28"/>
          <w:szCs w:val="28"/>
        </w:rPr>
        <w:t>(...) el carácter especializado de la Superintendencia de Sociedad se manifiesta en las funciones críticas que desempeña, conforme a lo establecido en los artículos 115, 116, 150 y 211 de la Constitución. Esta entidad está profundamente involucrada en la inspección, vigilancia y control en materia de derecho societario, contabilidad y buenas prácticas de gobierno corporativo. Estas competencias garantizan que la Superintendencia no solo regula, sino que también proporciona un marco de apoyo integral que comprende las realidades y desafíos del ecosistema emprendedor en Colombia.</w:t>
      </w:r>
    </w:p>
    <w:p w:rsidR="00AC4C26" w:rsidRPr="00D61E7E" w:rsidRDefault="00AC4C26">
      <w:pPr>
        <w:widowControl w:val="0"/>
        <w:autoSpaceDE w:val="0"/>
        <w:autoSpaceDN w:val="0"/>
        <w:adjustRightInd w:val="0"/>
        <w:spacing w:after="0" w:line="240" w:lineRule="auto"/>
        <w:jc w:val="both"/>
        <w:rPr>
          <w:rFonts w:ascii="Times New Roman" w:hAnsi="Times New Roman" w:cs="Times New Roman"/>
          <w:sz w:val="28"/>
          <w:szCs w:val="28"/>
        </w:rPr>
      </w:pPr>
    </w:p>
    <w:p w:rsidR="00AC4C26" w:rsidRPr="00D61E7E" w:rsidRDefault="00393DFF">
      <w:pPr>
        <w:widowControl w:val="0"/>
        <w:autoSpaceDE w:val="0"/>
        <w:autoSpaceDN w:val="0"/>
        <w:adjustRightInd w:val="0"/>
        <w:spacing w:after="0" w:line="240" w:lineRule="auto"/>
        <w:jc w:val="both"/>
        <w:rPr>
          <w:rFonts w:ascii="Times New Roman" w:hAnsi="Times New Roman" w:cs="Times New Roman"/>
          <w:sz w:val="28"/>
          <w:szCs w:val="28"/>
        </w:rPr>
      </w:pPr>
      <w:r w:rsidRPr="00D61E7E">
        <w:rPr>
          <w:rFonts w:ascii="Times New Roman" w:hAnsi="Times New Roman" w:cs="Times New Roman"/>
          <w:b/>
          <w:bCs/>
          <w:sz w:val="28"/>
          <w:szCs w:val="28"/>
        </w:rPr>
        <w:t>PROCEDIMIENTOS ADMINISTRATIVOS TRIBUTARIOS</w:t>
      </w:r>
      <w:r w:rsidRPr="00D61E7E">
        <w:rPr>
          <w:rFonts w:ascii="Times New Roman" w:hAnsi="Times New Roman" w:cs="Times New Roman"/>
          <w:sz w:val="28"/>
          <w:szCs w:val="28"/>
        </w:rPr>
        <w:t>-Implementación de la virtualidad</w:t>
      </w:r>
    </w:p>
    <w:p w:rsidR="00AC4C26" w:rsidRPr="00D61E7E" w:rsidRDefault="00AC4C26">
      <w:pPr>
        <w:widowControl w:val="0"/>
        <w:autoSpaceDE w:val="0"/>
        <w:autoSpaceDN w:val="0"/>
        <w:adjustRightInd w:val="0"/>
        <w:spacing w:after="0" w:line="240" w:lineRule="auto"/>
        <w:jc w:val="both"/>
        <w:rPr>
          <w:rFonts w:ascii="Times New Roman" w:hAnsi="Times New Roman" w:cs="Times New Roman"/>
          <w:sz w:val="28"/>
          <w:szCs w:val="28"/>
        </w:rPr>
      </w:pPr>
    </w:p>
    <w:p w:rsidR="00AC4C26" w:rsidRPr="00D61E7E" w:rsidRDefault="00393DFF">
      <w:pPr>
        <w:widowControl w:val="0"/>
        <w:autoSpaceDE w:val="0"/>
        <w:autoSpaceDN w:val="0"/>
        <w:adjustRightInd w:val="0"/>
        <w:spacing w:after="0" w:line="240" w:lineRule="auto"/>
        <w:jc w:val="both"/>
        <w:rPr>
          <w:rFonts w:ascii="Times New Roman" w:hAnsi="Times New Roman" w:cs="Times New Roman"/>
          <w:sz w:val="28"/>
          <w:szCs w:val="28"/>
        </w:rPr>
      </w:pPr>
      <w:r w:rsidRPr="00D61E7E">
        <w:rPr>
          <w:rFonts w:ascii="Times New Roman" w:hAnsi="Times New Roman" w:cs="Times New Roman"/>
          <w:i/>
          <w:iCs/>
          <w:sz w:val="28"/>
          <w:szCs w:val="28"/>
        </w:rPr>
        <w:t xml:space="preserve">(...) el artículo 73 de la Ley 2069 de 2020 al introducir la virtualización permanente en los procesos de inspección fiscal, no solo promueve la modernización y eficiencia necesarias dentro de los procedimientos administrativos tributarios, sino que también apunta a simplificar significativamente las interacciones de las empresas con la DIAN. Esta simplificación facilita un entorno empresarial más competitivo y menos burocrático, lo que a su vez fomenta el emprendimiento. </w:t>
      </w:r>
    </w:p>
    <w:p w:rsidR="00AC4C26" w:rsidRPr="00D61E7E" w:rsidRDefault="00AC4C26">
      <w:pPr>
        <w:widowControl w:val="0"/>
        <w:autoSpaceDE w:val="0"/>
        <w:autoSpaceDN w:val="0"/>
        <w:adjustRightInd w:val="0"/>
        <w:spacing w:after="0" w:line="240" w:lineRule="auto"/>
        <w:jc w:val="both"/>
        <w:rPr>
          <w:rFonts w:ascii="Times New Roman" w:hAnsi="Times New Roman" w:cs="Times New Roman"/>
          <w:sz w:val="28"/>
          <w:szCs w:val="28"/>
        </w:rPr>
      </w:pPr>
    </w:p>
    <w:p w:rsidR="00AC4C26" w:rsidRPr="00D61E7E" w:rsidRDefault="00D61E7E">
      <w:pPr>
        <w:widowControl w:val="0"/>
        <w:autoSpaceDE w:val="0"/>
        <w:autoSpaceDN w:val="0"/>
        <w:adjustRightInd w:val="0"/>
        <w:spacing w:after="0" w:line="240" w:lineRule="auto"/>
        <w:jc w:val="both"/>
        <w:rPr>
          <w:rFonts w:ascii="Times New Roman" w:hAnsi="Times New Roman" w:cs="Times New Roman"/>
          <w:sz w:val="28"/>
        </w:rPr>
      </w:pPr>
      <w:r w:rsidRPr="00D61E7E">
        <w:rPr>
          <w:rFonts w:ascii="Times New Roman" w:hAnsi="Times New Roman" w:cs="Times New Roman"/>
          <w:sz w:val="28"/>
          <w:szCs w:val="28"/>
        </w:rPr>
        <w:pict>
          <v:rect id="_x0000_i1025" style="width:0;height:1.5pt" o:hralign="center" o:hrstd="t" o:hr="t" fillcolor="#a0a0a0" stroked="f"/>
        </w:pict>
      </w:r>
    </w:p>
    <w:p w:rsidR="004918DF" w:rsidRPr="00D61E7E" w:rsidRDefault="00D61E7E" w:rsidP="00486E13">
      <w:pPr>
        <w:pStyle w:val="Encabezado"/>
        <w:jc w:val="center"/>
        <w:rPr>
          <w:rFonts w:ascii="Times New Roman" w:hAnsi="Times New Roman" w:cs="Times New Roman"/>
          <w:b/>
          <w:bCs/>
          <w:color w:val="000000" w:themeColor="text1"/>
          <w:sz w:val="28"/>
          <w:szCs w:val="28"/>
          <w:lang w:val="es-ES"/>
        </w:rPr>
      </w:pPr>
      <w:r w:rsidRPr="00D61E7E">
        <w:rPr>
          <w:rFonts w:ascii="Times New Roman" w:hAnsi="Times New Roman" w:cs="Times New Roman"/>
          <w:b/>
          <w:bCs/>
          <w:color w:val="000000" w:themeColor="text1"/>
          <w:sz w:val="28"/>
          <w:szCs w:val="28"/>
          <w:lang w:val="es-ES"/>
        </w:rPr>
        <w:t>REPÚBLICA DE COLOMBIA</w:t>
      </w:r>
    </w:p>
    <w:p w:rsidR="004918DF" w:rsidRPr="00D61E7E" w:rsidRDefault="00D61E7E" w:rsidP="00486E13">
      <w:pPr>
        <w:pStyle w:val="Encabezado"/>
        <w:jc w:val="center"/>
        <w:rPr>
          <w:rFonts w:ascii="Times New Roman" w:hAnsi="Times New Roman" w:cs="Times New Roman"/>
          <w:b/>
          <w:bCs/>
          <w:color w:val="000000" w:themeColor="text1"/>
          <w:sz w:val="28"/>
          <w:szCs w:val="28"/>
          <w:lang w:val="es-ES"/>
        </w:rPr>
      </w:pPr>
      <w:r w:rsidRPr="00D61E7E">
        <w:rPr>
          <w:rFonts w:ascii="Times New Roman" w:hAnsi="Times New Roman" w:cs="Times New Roman"/>
          <w:b/>
          <w:bCs/>
          <w:noProof/>
          <w:color w:val="000000" w:themeColor="text1"/>
          <w:sz w:val="28"/>
          <w:szCs w:val="28"/>
        </w:rPr>
        <w:drawing>
          <wp:inline distT="0" distB="0" distL="0" distR="0" wp14:anchorId="3315EFC7" wp14:editId="3D19BCB4">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4918DF" w:rsidRPr="00D61E7E" w:rsidRDefault="00D61E7E" w:rsidP="00486E13">
      <w:pPr>
        <w:pStyle w:val="Encabezado"/>
        <w:jc w:val="center"/>
        <w:rPr>
          <w:rFonts w:ascii="Times New Roman" w:hAnsi="Times New Roman" w:cs="Times New Roman"/>
          <w:b/>
          <w:bCs/>
          <w:color w:val="000000" w:themeColor="text1"/>
          <w:sz w:val="28"/>
          <w:szCs w:val="28"/>
          <w:lang w:val="es-ES"/>
        </w:rPr>
      </w:pPr>
      <w:r w:rsidRPr="00D61E7E">
        <w:rPr>
          <w:rFonts w:ascii="Times New Roman" w:hAnsi="Times New Roman" w:cs="Times New Roman"/>
          <w:b/>
          <w:bCs/>
          <w:color w:val="000000" w:themeColor="text1"/>
          <w:sz w:val="28"/>
          <w:szCs w:val="28"/>
          <w:lang w:val="es-ES"/>
        </w:rPr>
        <w:t>CORTE CONSTITUCIONAL</w:t>
      </w:r>
    </w:p>
    <w:p w:rsidR="004918DF" w:rsidRPr="00D61E7E" w:rsidRDefault="00D61E7E" w:rsidP="00486E13">
      <w:pPr>
        <w:pStyle w:val="Encabezado"/>
        <w:jc w:val="center"/>
        <w:rPr>
          <w:rFonts w:ascii="Times New Roman" w:hAnsi="Times New Roman" w:cs="Times New Roman"/>
          <w:b/>
          <w:bCs/>
          <w:color w:val="000000" w:themeColor="text1"/>
          <w:sz w:val="28"/>
          <w:szCs w:val="28"/>
          <w:lang w:val="es-ES"/>
        </w:rPr>
      </w:pPr>
      <w:r w:rsidRPr="00D61E7E">
        <w:rPr>
          <w:rFonts w:ascii="Times New Roman" w:hAnsi="Times New Roman" w:cs="Times New Roman"/>
          <w:b/>
          <w:bCs/>
          <w:color w:val="000000" w:themeColor="text1"/>
          <w:sz w:val="28"/>
          <w:szCs w:val="28"/>
          <w:lang w:val="es-ES"/>
        </w:rPr>
        <w:t>Sala Plena</w:t>
      </w:r>
    </w:p>
    <w:p w:rsidR="004918DF" w:rsidRPr="00D61E7E" w:rsidRDefault="00D61E7E" w:rsidP="00486E13">
      <w:pPr>
        <w:autoSpaceDE w:val="0"/>
        <w:autoSpaceDN w:val="0"/>
        <w:adjustRightInd w:val="0"/>
        <w:ind w:right="49"/>
        <w:contextualSpacing/>
        <w:jc w:val="both"/>
        <w:rPr>
          <w:rFonts w:ascii="Times New Roman" w:hAnsi="Times New Roman" w:cs="Times New Roman"/>
          <w:b/>
          <w:bCs/>
          <w:color w:val="000000" w:themeColor="text1"/>
          <w:sz w:val="28"/>
          <w:szCs w:val="28"/>
          <w:lang w:val="es-ES" w:eastAsia="es-ES"/>
        </w:rPr>
      </w:pPr>
    </w:p>
    <w:p w:rsidR="007749E7" w:rsidRPr="00D61E7E" w:rsidRDefault="00D61E7E" w:rsidP="00486E13">
      <w:pPr>
        <w:autoSpaceDE w:val="0"/>
        <w:autoSpaceDN w:val="0"/>
        <w:adjustRightInd w:val="0"/>
        <w:ind w:right="49"/>
        <w:contextualSpacing/>
        <w:jc w:val="center"/>
        <w:rPr>
          <w:rFonts w:ascii="Times New Roman" w:hAnsi="Times New Roman" w:cs="Times New Roman"/>
          <w:b/>
          <w:bCs/>
          <w:color w:val="000000" w:themeColor="text1"/>
          <w:sz w:val="28"/>
          <w:szCs w:val="28"/>
          <w:lang w:val="es-ES_tradnl" w:eastAsia="es-ES"/>
        </w:rPr>
      </w:pPr>
      <w:r w:rsidRPr="00D61E7E">
        <w:rPr>
          <w:rFonts w:ascii="Times New Roman" w:hAnsi="Times New Roman" w:cs="Times New Roman"/>
          <w:b/>
          <w:bCs/>
          <w:color w:val="000000" w:themeColor="text1"/>
          <w:sz w:val="28"/>
          <w:szCs w:val="28"/>
          <w:lang w:val="es-ES_tradnl" w:eastAsia="es-ES"/>
        </w:rPr>
        <w:t xml:space="preserve">Sentencia </w:t>
      </w:r>
      <w:r w:rsidRPr="00D61E7E">
        <w:rPr>
          <w:rFonts w:ascii="Times New Roman" w:hAnsi="Times New Roman" w:cs="Times New Roman"/>
          <w:b/>
          <w:bCs/>
          <w:color w:val="000000" w:themeColor="text1"/>
          <w:sz w:val="28"/>
          <w:szCs w:val="28"/>
          <w:lang w:val="es-ES_tradnl" w:eastAsia="es-ES"/>
        </w:rPr>
        <w:t>C</w:t>
      </w:r>
      <w:r w:rsidRPr="00D61E7E">
        <w:rPr>
          <w:rFonts w:ascii="Times New Roman" w:hAnsi="Times New Roman" w:cs="Times New Roman"/>
          <w:b/>
          <w:bCs/>
          <w:color w:val="000000" w:themeColor="text1"/>
          <w:sz w:val="28"/>
          <w:szCs w:val="28"/>
          <w:lang w:val="es-ES_tradnl" w:eastAsia="es-ES"/>
        </w:rPr>
        <w:t>-</w:t>
      </w:r>
      <w:r w:rsidRPr="00D61E7E">
        <w:rPr>
          <w:rFonts w:ascii="Times New Roman" w:hAnsi="Times New Roman" w:cs="Times New Roman"/>
          <w:b/>
          <w:bCs/>
          <w:color w:val="000000" w:themeColor="text1"/>
          <w:sz w:val="28"/>
          <w:szCs w:val="28"/>
          <w:lang w:val="es-ES_tradnl" w:eastAsia="es-ES"/>
        </w:rPr>
        <w:t>113</w:t>
      </w:r>
      <w:r w:rsidRPr="00D61E7E">
        <w:rPr>
          <w:rFonts w:ascii="Times New Roman" w:hAnsi="Times New Roman" w:cs="Times New Roman"/>
          <w:b/>
          <w:bCs/>
          <w:color w:val="000000" w:themeColor="text1"/>
          <w:sz w:val="28"/>
          <w:szCs w:val="28"/>
          <w:lang w:val="es-ES_tradnl" w:eastAsia="es-ES"/>
        </w:rPr>
        <w:t xml:space="preserve"> de 202</w:t>
      </w:r>
      <w:r w:rsidRPr="00D61E7E">
        <w:rPr>
          <w:rFonts w:ascii="Times New Roman" w:hAnsi="Times New Roman" w:cs="Times New Roman"/>
          <w:b/>
          <w:bCs/>
          <w:color w:val="000000" w:themeColor="text1"/>
          <w:sz w:val="28"/>
          <w:szCs w:val="28"/>
          <w:lang w:val="es-ES_tradnl" w:eastAsia="es-ES"/>
        </w:rPr>
        <w:t>4</w:t>
      </w:r>
    </w:p>
    <w:p w:rsidR="005E293A" w:rsidRPr="00D61E7E" w:rsidRDefault="00D61E7E" w:rsidP="00B70FA2">
      <w:pPr>
        <w:widowControl w:val="0"/>
        <w:autoSpaceDE w:val="0"/>
        <w:autoSpaceDN w:val="0"/>
        <w:adjustRightInd w:val="0"/>
        <w:ind w:right="49"/>
        <w:contextualSpacing/>
        <w:outlineLvl w:val="0"/>
        <w:rPr>
          <w:rFonts w:ascii="Times New Roman" w:hAnsi="Times New Roman" w:cs="Times New Roman"/>
          <w:color w:val="000000" w:themeColor="text1"/>
          <w:sz w:val="28"/>
          <w:szCs w:val="28"/>
          <w:lang w:val="es-ES_tradnl" w:eastAsia="es-ES"/>
        </w:rPr>
      </w:pPr>
    </w:p>
    <w:p w:rsidR="00AC0E36" w:rsidRPr="00D61E7E" w:rsidRDefault="00D61E7E" w:rsidP="007749E7">
      <w:pPr>
        <w:widowControl w:val="0"/>
        <w:tabs>
          <w:tab w:val="left" w:pos="3544"/>
          <w:tab w:val="left" w:pos="4678"/>
        </w:tabs>
        <w:autoSpaceDE w:val="0"/>
        <w:autoSpaceDN w:val="0"/>
        <w:adjustRightInd w:val="0"/>
        <w:ind w:left="3969" w:right="49"/>
        <w:contextualSpacing/>
        <w:outlineLvl w:val="0"/>
        <w:rPr>
          <w:rFonts w:ascii="Times New Roman" w:hAnsi="Times New Roman" w:cs="Times New Roman"/>
          <w:color w:val="000000" w:themeColor="text1"/>
          <w:sz w:val="28"/>
          <w:szCs w:val="28"/>
          <w:lang w:val="es-ES" w:eastAsia="es-ES"/>
        </w:rPr>
      </w:pPr>
      <w:r w:rsidRPr="00D61E7E">
        <w:rPr>
          <w:rFonts w:ascii="Times New Roman" w:hAnsi="Times New Roman" w:cs="Times New Roman"/>
          <w:b/>
          <w:bCs/>
          <w:color w:val="000000" w:themeColor="text1"/>
          <w:sz w:val="28"/>
          <w:szCs w:val="28"/>
          <w:lang w:val="es-ES" w:eastAsia="es-ES"/>
        </w:rPr>
        <w:t>Expediente</w:t>
      </w:r>
      <w:r w:rsidRPr="00D61E7E">
        <w:rPr>
          <w:rFonts w:ascii="Times New Roman" w:hAnsi="Times New Roman" w:cs="Times New Roman"/>
          <w:b/>
          <w:bCs/>
          <w:color w:val="000000" w:themeColor="text1"/>
          <w:sz w:val="28"/>
          <w:szCs w:val="28"/>
          <w:lang w:val="es-ES" w:eastAsia="es-ES"/>
        </w:rPr>
        <w:t>:</w:t>
      </w:r>
      <w:r w:rsidRPr="00D61E7E">
        <w:rPr>
          <w:rFonts w:ascii="Times New Roman" w:hAnsi="Times New Roman" w:cs="Times New Roman"/>
          <w:color w:val="000000" w:themeColor="text1"/>
          <w:sz w:val="28"/>
          <w:szCs w:val="28"/>
          <w:lang w:val="es-ES" w:eastAsia="es-ES"/>
        </w:rPr>
        <w:t xml:space="preserve"> </w:t>
      </w:r>
      <w:r w:rsidRPr="00D61E7E">
        <w:rPr>
          <w:rFonts w:ascii="Times New Roman" w:hAnsi="Times New Roman" w:cs="Times New Roman"/>
          <w:color w:val="000000" w:themeColor="text1"/>
          <w:sz w:val="28"/>
          <w:szCs w:val="28"/>
          <w:lang w:val="es-ES" w:eastAsia="es-ES"/>
        </w:rPr>
        <w:t>D-1</w:t>
      </w:r>
      <w:r w:rsidRPr="00D61E7E">
        <w:rPr>
          <w:rFonts w:ascii="Times New Roman" w:hAnsi="Times New Roman" w:cs="Times New Roman"/>
          <w:color w:val="000000" w:themeColor="text1"/>
          <w:sz w:val="28"/>
          <w:szCs w:val="28"/>
          <w:lang w:val="es-ES" w:eastAsia="es-ES"/>
        </w:rPr>
        <w:t>5125</w:t>
      </w:r>
    </w:p>
    <w:p w:rsidR="00DF1359" w:rsidRPr="00D61E7E" w:rsidRDefault="00D61E7E" w:rsidP="00DF1359">
      <w:pPr>
        <w:tabs>
          <w:tab w:val="left" w:pos="3544"/>
          <w:tab w:val="left" w:pos="4678"/>
        </w:tabs>
        <w:ind w:left="3969" w:right="51"/>
        <w:contextualSpacing/>
        <w:rPr>
          <w:rFonts w:ascii="Times New Roman" w:hAnsi="Times New Roman" w:cs="Times New Roman"/>
          <w:bCs/>
          <w:iCs/>
          <w:color w:val="000000" w:themeColor="text1"/>
          <w:sz w:val="28"/>
          <w:szCs w:val="28"/>
          <w:lang w:val="es-ES_tradnl" w:eastAsia="es-ES"/>
        </w:rPr>
      </w:pPr>
      <w:bookmarkStart w:id="1" w:name="_Hlk78544795"/>
      <w:r w:rsidRPr="00D61E7E">
        <w:rPr>
          <w:rFonts w:ascii="Times New Roman" w:hAnsi="Times New Roman" w:cs="Times New Roman"/>
          <w:color w:val="000000" w:themeColor="text1"/>
          <w:sz w:val="28"/>
          <w:szCs w:val="28"/>
          <w:shd w:val="clear" w:color="auto" w:fill="FFFFFF"/>
          <w:lang w:val="es-ES"/>
        </w:rPr>
        <w:br/>
      </w:r>
      <w:r w:rsidRPr="00D61E7E">
        <w:rPr>
          <w:rStyle w:val="normaltextrun"/>
          <w:rFonts w:ascii="Times New Roman" w:hAnsi="Times New Roman" w:cs="Times New Roman"/>
          <w:b/>
          <w:bCs/>
          <w:color w:val="000000" w:themeColor="text1"/>
          <w:sz w:val="28"/>
          <w:szCs w:val="28"/>
          <w:shd w:val="clear" w:color="auto" w:fill="FFFFFF"/>
          <w:lang w:val="es-ES"/>
        </w:rPr>
        <w:t>Asunto:</w:t>
      </w:r>
      <w:r w:rsidRPr="00D61E7E">
        <w:rPr>
          <w:rStyle w:val="normaltextrun"/>
          <w:rFonts w:ascii="Times New Roman" w:hAnsi="Times New Roman" w:cs="Times New Roman"/>
          <w:color w:val="000000" w:themeColor="text1"/>
          <w:sz w:val="28"/>
          <w:szCs w:val="28"/>
          <w:shd w:val="clear" w:color="auto" w:fill="FFFFFF"/>
          <w:lang w:val="es-ES"/>
        </w:rPr>
        <w:t xml:space="preserve"> Demanda de inconstitucionalidad contra </w:t>
      </w:r>
      <w:r w:rsidRPr="00D61E7E">
        <w:rPr>
          <w:rStyle w:val="normaltextrun"/>
          <w:rFonts w:ascii="Times New Roman" w:hAnsi="Times New Roman" w:cs="Times New Roman"/>
          <w:color w:val="000000" w:themeColor="text1"/>
          <w:sz w:val="28"/>
          <w:szCs w:val="28"/>
          <w:shd w:val="clear" w:color="auto" w:fill="FFFFFF"/>
          <w:lang w:val="es-ES"/>
        </w:rPr>
        <w:t>los</w:t>
      </w:r>
      <w:r w:rsidRPr="00D61E7E">
        <w:rPr>
          <w:rFonts w:ascii="Times New Roman" w:eastAsia="Calibri" w:hAnsi="Times New Roman" w:cs="Times New Roman"/>
          <w:bCs/>
          <w:color w:val="000000" w:themeColor="text1"/>
          <w:sz w:val="28"/>
          <w:szCs w:val="28"/>
          <w:u w:color="000000"/>
          <w:lang w:val="es-ES"/>
        </w:rPr>
        <w:t xml:space="preserve"> artículos 70 y 73 de la </w:t>
      </w:r>
      <w:r w:rsidRPr="00D61E7E">
        <w:rPr>
          <w:rFonts w:ascii="Times New Roman" w:eastAsia="Calibri" w:hAnsi="Times New Roman" w:cs="Times New Roman"/>
          <w:bCs/>
          <w:color w:val="000000" w:themeColor="text1"/>
          <w:sz w:val="28"/>
          <w:szCs w:val="28"/>
          <w:u w:color="000000"/>
          <w:lang w:val="es-ES"/>
        </w:rPr>
        <w:t>Ley 2069 de 2020</w:t>
      </w:r>
      <w:r w:rsidRPr="00D61E7E">
        <w:rPr>
          <w:rFonts w:ascii="Times New Roman" w:hAnsi="Times New Roman" w:cs="Times New Roman"/>
          <w:bCs/>
          <w:iCs/>
          <w:color w:val="000000" w:themeColor="text1"/>
          <w:sz w:val="28"/>
          <w:szCs w:val="28"/>
          <w:vertAlign w:val="superscript"/>
          <w:lang w:val="es-ES_tradnl" w:eastAsia="es-ES"/>
        </w:rPr>
        <w:footnoteReference w:id="1"/>
      </w:r>
    </w:p>
    <w:bookmarkEnd w:id="1"/>
    <w:p w:rsidR="00AC0E36" w:rsidRPr="00D61E7E" w:rsidRDefault="00D61E7E" w:rsidP="006C0C8E">
      <w:pPr>
        <w:pStyle w:val="Sinespaciado"/>
        <w:rPr>
          <w:rFonts w:ascii="Times New Roman" w:hAnsi="Times New Roman"/>
          <w:color w:val="000000" w:themeColor="text1"/>
          <w:sz w:val="28"/>
          <w:szCs w:val="28"/>
        </w:rPr>
      </w:pPr>
    </w:p>
    <w:p w:rsidR="007B5EE7" w:rsidRPr="00D61E7E" w:rsidRDefault="00D61E7E" w:rsidP="00B5326E">
      <w:pPr>
        <w:widowControl w:val="0"/>
        <w:tabs>
          <w:tab w:val="left" w:pos="3544"/>
          <w:tab w:val="left" w:pos="4678"/>
          <w:tab w:val="left" w:pos="8100"/>
        </w:tabs>
        <w:autoSpaceDE w:val="0"/>
        <w:autoSpaceDN w:val="0"/>
        <w:adjustRightInd w:val="0"/>
        <w:ind w:left="3969" w:right="49"/>
        <w:contextualSpacing/>
        <w:rPr>
          <w:rFonts w:ascii="Times New Roman" w:hAnsi="Times New Roman" w:cs="Times New Roman"/>
          <w:b/>
          <w:color w:val="000000" w:themeColor="text1"/>
          <w:sz w:val="28"/>
          <w:szCs w:val="28"/>
          <w:lang w:val="es-ES_tradnl" w:eastAsia="es-ES"/>
        </w:rPr>
      </w:pPr>
      <w:r w:rsidRPr="00D61E7E">
        <w:rPr>
          <w:rFonts w:ascii="Times New Roman" w:hAnsi="Times New Roman" w:cs="Times New Roman"/>
          <w:b/>
          <w:color w:val="000000" w:themeColor="text1"/>
          <w:sz w:val="28"/>
          <w:szCs w:val="28"/>
          <w:lang w:val="es-ES_tradnl" w:eastAsia="es-ES"/>
        </w:rPr>
        <w:t>Demandante:</w:t>
      </w:r>
    </w:p>
    <w:p w:rsidR="00AC0E36" w:rsidRPr="00D61E7E" w:rsidRDefault="00D61E7E" w:rsidP="004918DF">
      <w:pPr>
        <w:pStyle w:val="Sinespaciado"/>
        <w:ind w:left="3969"/>
        <w:rPr>
          <w:rFonts w:ascii="Times New Roman" w:eastAsia="Times New Roman" w:hAnsi="Times New Roman"/>
          <w:bCs/>
          <w:color w:val="000000" w:themeColor="text1"/>
          <w:sz w:val="28"/>
          <w:szCs w:val="28"/>
          <w:lang w:val="es-CO" w:eastAsia="es-ES"/>
        </w:rPr>
      </w:pPr>
      <w:r w:rsidRPr="00D61E7E">
        <w:rPr>
          <w:rFonts w:ascii="Times New Roman" w:eastAsia="Times New Roman" w:hAnsi="Times New Roman"/>
          <w:bCs/>
          <w:color w:val="000000" w:themeColor="text1"/>
          <w:sz w:val="28"/>
          <w:szCs w:val="28"/>
          <w:lang w:val="es-CO" w:eastAsia="es-ES"/>
        </w:rPr>
        <w:t xml:space="preserve">Juan </w:t>
      </w:r>
      <w:r w:rsidRPr="00D61E7E">
        <w:rPr>
          <w:rFonts w:ascii="Times New Roman" w:eastAsia="Times New Roman" w:hAnsi="Times New Roman"/>
          <w:bCs/>
          <w:color w:val="000000" w:themeColor="text1"/>
          <w:sz w:val="28"/>
          <w:szCs w:val="28"/>
          <w:lang w:val="es-CO" w:eastAsia="es-ES"/>
        </w:rPr>
        <w:t>Manuel López Molina</w:t>
      </w:r>
    </w:p>
    <w:p w:rsidR="004918DF" w:rsidRPr="00D61E7E" w:rsidRDefault="00D61E7E" w:rsidP="004918DF">
      <w:pPr>
        <w:pStyle w:val="Sinespaciado"/>
        <w:ind w:left="3969"/>
        <w:rPr>
          <w:rFonts w:ascii="Times New Roman" w:hAnsi="Times New Roman"/>
          <w:color w:val="000000" w:themeColor="text1"/>
          <w:sz w:val="28"/>
          <w:szCs w:val="28"/>
        </w:rPr>
      </w:pPr>
    </w:p>
    <w:p w:rsidR="00AC0E36" w:rsidRPr="00D61E7E" w:rsidRDefault="00D61E7E" w:rsidP="00B5326E">
      <w:pPr>
        <w:widowControl w:val="0"/>
        <w:tabs>
          <w:tab w:val="left" w:pos="3544"/>
          <w:tab w:val="left" w:pos="4678"/>
        </w:tabs>
        <w:autoSpaceDE w:val="0"/>
        <w:autoSpaceDN w:val="0"/>
        <w:adjustRightInd w:val="0"/>
        <w:ind w:left="3969" w:right="49"/>
        <w:contextualSpacing/>
        <w:outlineLvl w:val="0"/>
        <w:rPr>
          <w:rFonts w:ascii="Times New Roman" w:hAnsi="Times New Roman" w:cs="Times New Roman"/>
          <w:color w:val="000000" w:themeColor="text1"/>
          <w:sz w:val="28"/>
          <w:szCs w:val="28"/>
          <w:lang w:val="es-ES_tradnl" w:eastAsia="es-ES"/>
        </w:rPr>
      </w:pPr>
      <w:r w:rsidRPr="00D61E7E">
        <w:rPr>
          <w:rFonts w:ascii="Times New Roman" w:hAnsi="Times New Roman" w:cs="Times New Roman"/>
          <w:b/>
          <w:color w:val="000000" w:themeColor="text1"/>
          <w:sz w:val="28"/>
          <w:szCs w:val="28"/>
          <w:lang w:val="es-ES_tradnl" w:eastAsia="es-ES"/>
        </w:rPr>
        <w:t xml:space="preserve">Magistrada </w:t>
      </w:r>
      <w:r w:rsidRPr="00D61E7E">
        <w:rPr>
          <w:rFonts w:ascii="Times New Roman" w:hAnsi="Times New Roman" w:cs="Times New Roman"/>
          <w:b/>
          <w:color w:val="000000" w:themeColor="text1"/>
          <w:sz w:val="28"/>
          <w:szCs w:val="28"/>
          <w:lang w:val="es-ES_tradnl" w:eastAsia="es-ES"/>
        </w:rPr>
        <w:t>Ponente</w:t>
      </w:r>
      <w:r w:rsidRPr="00D61E7E">
        <w:rPr>
          <w:rFonts w:ascii="Times New Roman" w:hAnsi="Times New Roman" w:cs="Times New Roman"/>
          <w:b/>
          <w:color w:val="000000" w:themeColor="text1"/>
          <w:sz w:val="28"/>
          <w:szCs w:val="28"/>
          <w:lang w:val="es-ES_tradnl" w:eastAsia="es-ES"/>
        </w:rPr>
        <w:t>:</w:t>
      </w:r>
    </w:p>
    <w:p w:rsidR="00471473" w:rsidRPr="00D61E7E" w:rsidRDefault="00D61E7E" w:rsidP="00E301DF">
      <w:pPr>
        <w:widowControl w:val="0"/>
        <w:tabs>
          <w:tab w:val="left" w:pos="3544"/>
          <w:tab w:val="left" w:pos="4678"/>
        </w:tabs>
        <w:autoSpaceDE w:val="0"/>
        <w:autoSpaceDN w:val="0"/>
        <w:adjustRightInd w:val="0"/>
        <w:ind w:left="3969" w:right="49"/>
        <w:contextualSpacing/>
        <w:outlineLvl w:val="0"/>
        <w:rPr>
          <w:rFonts w:ascii="Times New Roman" w:hAnsi="Times New Roman" w:cs="Times New Roman"/>
          <w:bCs/>
          <w:color w:val="000000" w:themeColor="text1"/>
          <w:sz w:val="28"/>
          <w:szCs w:val="28"/>
          <w:lang w:val="es-ES_tradnl" w:eastAsia="es-ES"/>
        </w:rPr>
      </w:pPr>
      <w:r w:rsidRPr="00D61E7E">
        <w:rPr>
          <w:rFonts w:ascii="Times New Roman" w:hAnsi="Times New Roman" w:cs="Times New Roman"/>
          <w:bCs/>
          <w:color w:val="000000" w:themeColor="text1"/>
          <w:sz w:val="28"/>
          <w:szCs w:val="28"/>
          <w:lang w:val="es-ES_tradnl" w:eastAsia="es-ES"/>
        </w:rPr>
        <w:t>Natalia Ángel Cabo</w:t>
      </w:r>
    </w:p>
    <w:p w:rsidR="007E7D59" w:rsidRPr="00D61E7E" w:rsidRDefault="00D61E7E" w:rsidP="00B5326E">
      <w:pPr>
        <w:tabs>
          <w:tab w:val="left" w:pos="3544"/>
          <w:tab w:val="left" w:pos="4678"/>
        </w:tabs>
        <w:ind w:left="3969" w:right="49"/>
        <w:contextualSpacing/>
        <w:rPr>
          <w:rFonts w:ascii="Times New Roman" w:hAnsi="Times New Roman" w:cs="Times New Roman"/>
          <w:color w:val="000000" w:themeColor="text1"/>
          <w:sz w:val="28"/>
          <w:szCs w:val="28"/>
          <w:lang w:val="es-ES_tradnl" w:eastAsia="es-ES"/>
        </w:rPr>
      </w:pPr>
    </w:p>
    <w:p w:rsidR="00AC0E36" w:rsidRPr="00D61E7E" w:rsidRDefault="00D61E7E" w:rsidP="00B70AC3">
      <w:pPr>
        <w:tabs>
          <w:tab w:val="left" w:pos="3544"/>
          <w:tab w:val="left" w:pos="4678"/>
        </w:tabs>
        <w:ind w:right="49"/>
        <w:contextualSpacing/>
        <w:rPr>
          <w:rFonts w:ascii="Times New Roman" w:hAnsi="Times New Roman" w:cs="Times New Roman"/>
          <w:color w:val="000000" w:themeColor="text1"/>
          <w:sz w:val="28"/>
          <w:szCs w:val="28"/>
          <w:lang w:val="es-ES_tradnl" w:eastAsia="es-ES"/>
        </w:rPr>
      </w:pPr>
      <w:r w:rsidRPr="00D61E7E">
        <w:rPr>
          <w:rFonts w:ascii="Times New Roman" w:hAnsi="Times New Roman" w:cs="Times New Roman"/>
          <w:color w:val="000000" w:themeColor="text1"/>
          <w:sz w:val="28"/>
          <w:szCs w:val="28"/>
          <w:lang w:val="es-ES_tradnl" w:eastAsia="es-ES"/>
        </w:rPr>
        <w:t>Bogotá, D. C.</w:t>
      </w:r>
      <w:r w:rsidRPr="00D61E7E">
        <w:rPr>
          <w:rFonts w:ascii="Times New Roman" w:hAnsi="Times New Roman" w:cs="Times New Roman"/>
          <w:color w:val="000000" w:themeColor="text1"/>
          <w:sz w:val="28"/>
          <w:szCs w:val="28"/>
          <w:lang w:val="es-ES_tradnl" w:eastAsia="es-ES"/>
        </w:rPr>
        <w:t xml:space="preserve"> </w:t>
      </w:r>
      <w:r w:rsidRPr="00D61E7E">
        <w:rPr>
          <w:rFonts w:ascii="Times New Roman" w:hAnsi="Times New Roman" w:cs="Times New Roman"/>
          <w:color w:val="000000" w:themeColor="text1"/>
          <w:sz w:val="28"/>
          <w:szCs w:val="28"/>
          <w:lang w:val="es-ES_tradnl" w:eastAsia="es-ES"/>
        </w:rPr>
        <w:t>11</w:t>
      </w:r>
      <w:r w:rsidRPr="00D61E7E">
        <w:rPr>
          <w:rFonts w:ascii="Times New Roman" w:hAnsi="Times New Roman" w:cs="Times New Roman"/>
          <w:color w:val="000000" w:themeColor="text1"/>
          <w:sz w:val="28"/>
          <w:szCs w:val="28"/>
          <w:lang w:val="es-ES_tradnl" w:eastAsia="es-ES"/>
        </w:rPr>
        <w:t xml:space="preserve"> de </w:t>
      </w:r>
      <w:r w:rsidRPr="00D61E7E">
        <w:rPr>
          <w:rFonts w:ascii="Times New Roman" w:hAnsi="Times New Roman" w:cs="Times New Roman"/>
          <w:color w:val="000000" w:themeColor="text1"/>
          <w:sz w:val="28"/>
          <w:szCs w:val="28"/>
          <w:lang w:val="es-ES_tradnl" w:eastAsia="es-ES"/>
        </w:rPr>
        <w:t>abril</w:t>
      </w:r>
      <w:r w:rsidRPr="00D61E7E">
        <w:rPr>
          <w:rFonts w:ascii="Times New Roman" w:hAnsi="Times New Roman" w:cs="Times New Roman"/>
          <w:color w:val="000000" w:themeColor="text1"/>
          <w:sz w:val="28"/>
          <w:szCs w:val="28"/>
          <w:lang w:val="es-ES_tradnl" w:eastAsia="es-ES"/>
        </w:rPr>
        <w:t xml:space="preserve"> de 2024</w:t>
      </w:r>
    </w:p>
    <w:p w:rsidR="00471473" w:rsidRPr="00D61E7E" w:rsidRDefault="00D61E7E" w:rsidP="00EF789C">
      <w:pPr>
        <w:tabs>
          <w:tab w:val="left" w:pos="2608"/>
        </w:tabs>
        <w:contextualSpacing/>
        <w:jc w:val="both"/>
        <w:rPr>
          <w:rFonts w:ascii="Times New Roman" w:hAnsi="Times New Roman" w:cs="Times New Roman"/>
          <w:color w:val="000000" w:themeColor="text1"/>
          <w:sz w:val="28"/>
          <w:szCs w:val="28"/>
          <w:lang w:val="es-ES"/>
        </w:rPr>
      </w:pPr>
    </w:p>
    <w:p w:rsidR="000053E6" w:rsidRPr="00D61E7E" w:rsidRDefault="00D61E7E" w:rsidP="00EF789C">
      <w:pPr>
        <w:tabs>
          <w:tab w:val="left" w:pos="2608"/>
        </w:tabs>
        <w:contextualSpacing/>
        <w:jc w:val="both"/>
        <w:rPr>
          <w:rFonts w:ascii="Times New Roman" w:hAnsi="Times New Roman" w:cs="Times New Roman"/>
          <w:color w:val="000000" w:themeColor="text1"/>
          <w:sz w:val="28"/>
          <w:szCs w:val="28"/>
          <w:lang w:val="es-ES"/>
        </w:rPr>
      </w:pPr>
      <w:r w:rsidRPr="00D61E7E">
        <w:rPr>
          <w:rFonts w:ascii="Times New Roman" w:hAnsi="Times New Roman" w:cs="Times New Roman"/>
          <w:color w:val="000000" w:themeColor="text1"/>
          <w:sz w:val="28"/>
          <w:szCs w:val="28"/>
          <w:lang w:val="es-ES"/>
        </w:rPr>
        <w:t xml:space="preserve">La Sala Plena de la Corte Constitucional, </w:t>
      </w:r>
      <w:r w:rsidRPr="00D61E7E">
        <w:rPr>
          <w:rFonts w:ascii="Times New Roman" w:hAnsi="Times New Roman" w:cs="Times New Roman"/>
          <w:color w:val="000000" w:themeColor="text1"/>
          <w:sz w:val="28"/>
          <w:szCs w:val="28"/>
          <w:lang w:val="es-ES"/>
        </w:rPr>
        <w:t xml:space="preserve">conformada por las magistradas y los magistrados </w:t>
      </w:r>
      <w:r w:rsidRPr="00D61E7E">
        <w:rPr>
          <w:rFonts w:ascii="Times New Roman" w:hAnsi="Times New Roman" w:cs="Times New Roman"/>
          <w:color w:val="000000" w:themeColor="text1"/>
          <w:sz w:val="28"/>
          <w:szCs w:val="28"/>
          <w:lang w:val="es-ES"/>
        </w:rPr>
        <w:t xml:space="preserve">José Fernando Reyes, </w:t>
      </w:r>
      <w:r w:rsidRPr="00D61E7E">
        <w:rPr>
          <w:rFonts w:ascii="Times New Roman" w:hAnsi="Times New Roman" w:cs="Times New Roman"/>
          <w:color w:val="000000" w:themeColor="text1"/>
          <w:sz w:val="28"/>
          <w:szCs w:val="28"/>
          <w:lang w:val="es-ES"/>
        </w:rPr>
        <w:t xml:space="preserve">quien la preside, Natalia Ángel Cabo, </w:t>
      </w:r>
      <w:r w:rsidRPr="00D61E7E">
        <w:rPr>
          <w:rFonts w:ascii="Times New Roman" w:hAnsi="Times New Roman" w:cs="Times New Roman"/>
          <w:color w:val="000000" w:themeColor="text1"/>
          <w:sz w:val="28"/>
          <w:szCs w:val="28"/>
          <w:lang w:val="es-ES"/>
        </w:rPr>
        <w:t>Juan Carlos Cortés González,</w:t>
      </w:r>
      <w:r w:rsidRPr="00D61E7E">
        <w:rPr>
          <w:rFonts w:ascii="Times New Roman" w:hAnsi="Times New Roman" w:cs="Times New Roman"/>
          <w:color w:val="000000" w:themeColor="text1"/>
          <w:sz w:val="28"/>
          <w:szCs w:val="28"/>
          <w:lang w:val="es-ES"/>
        </w:rPr>
        <w:t xml:space="preserve"> Diana Fajardo Rivera,</w:t>
      </w:r>
      <w:r w:rsidRPr="00D61E7E">
        <w:rPr>
          <w:rFonts w:ascii="Times New Roman" w:hAnsi="Times New Roman" w:cs="Times New Roman"/>
          <w:color w:val="000000" w:themeColor="text1"/>
          <w:sz w:val="28"/>
          <w:szCs w:val="28"/>
          <w:lang w:val="es-ES"/>
        </w:rPr>
        <w:t xml:space="preserve"> </w:t>
      </w:r>
      <w:r w:rsidRPr="00D61E7E">
        <w:rPr>
          <w:rFonts w:ascii="Times New Roman" w:hAnsi="Times New Roman" w:cs="Times New Roman"/>
          <w:color w:val="000000" w:themeColor="text1"/>
          <w:sz w:val="28"/>
          <w:szCs w:val="28"/>
          <w:lang w:val="es-ES"/>
        </w:rPr>
        <w:t xml:space="preserve">Jorge Enrique Ibáñez Najar, </w:t>
      </w:r>
      <w:r w:rsidRPr="00D61E7E">
        <w:rPr>
          <w:rFonts w:ascii="Times New Roman" w:hAnsi="Times New Roman" w:cs="Times New Roman"/>
          <w:color w:val="000000" w:themeColor="text1"/>
          <w:sz w:val="28"/>
          <w:szCs w:val="28"/>
          <w:lang w:val="es-ES"/>
        </w:rPr>
        <w:t>Vladimir Fernández Andra</w:t>
      </w:r>
      <w:r w:rsidRPr="00D61E7E">
        <w:rPr>
          <w:rFonts w:ascii="Times New Roman" w:hAnsi="Times New Roman" w:cs="Times New Roman"/>
          <w:color w:val="000000" w:themeColor="text1"/>
          <w:sz w:val="28"/>
          <w:szCs w:val="28"/>
          <w:lang w:val="es-ES"/>
        </w:rPr>
        <w:t>d</w:t>
      </w:r>
      <w:r w:rsidRPr="00D61E7E">
        <w:rPr>
          <w:rFonts w:ascii="Times New Roman" w:hAnsi="Times New Roman" w:cs="Times New Roman"/>
          <w:color w:val="000000" w:themeColor="text1"/>
          <w:sz w:val="28"/>
          <w:szCs w:val="28"/>
          <w:lang w:val="es-ES"/>
        </w:rPr>
        <w:t>e</w:t>
      </w:r>
      <w:r w:rsidRPr="00D61E7E">
        <w:rPr>
          <w:rFonts w:ascii="Times New Roman" w:hAnsi="Times New Roman" w:cs="Times New Roman"/>
          <w:color w:val="000000" w:themeColor="text1"/>
          <w:sz w:val="28"/>
          <w:szCs w:val="28"/>
          <w:lang w:val="es-ES"/>
        </w:rPr>
        <w:t>,</w:t>
      </w:r>
      <w:r w:rsidRPr="00D61E7E">
        <w:rPr>
          <w:rFonts w:ascii="Times New Roman" w:hAnsi="Times New Roman" w:cs="Times New Roman"/>
          <w:color w:val="000000" w:themeColor="text1"/>
          <w:sz w:val="28"/>
          <w:szCs w:val="28"/>
          <w:lang w:val="es-ES"/>
        </w:rPr>
        <w:t xml:space="preserve"> Antonio José Lizarazo Ocampo</w:t>
      </w:r>
      <w:r w:rsidRPr="00D61E7E">
        <w:rPr>
          <w:rFonts w:ascii="Times New Roman" w:hAnsi="Times New Roman" w:cs="Times New Roman"/>
          <w:color w:val="000000" w:themeColor="text1"/>
          <w:sz w:val="28"/>
          <w:szCs w:val="28"/>
          <w:lang w:val="es-ES"/>
        </w:rPr>
        <w:t>,</w:t>
      </w:r>
      <w:r w:rsidRPr="00D61E7E">
        <w:rPr>
          <w:rFonts w:ascii="Times New Roman" w:hAnsi="Times New Roman" w:cs="Times New Roman"/>
          <w:color w:val="000000" w:themeColor="text1"/>
          <w:sz w:val="28"/>
          <w:szCs w:val="28"/>
          <w:lang w:val="es-ES"/>
        </w:rPr>
        <w:t xml:space="preserve"> Paola Andrea Meneses Mosquera</w:t>
      </w:r>
      <w:r w:rsidRPr="00D61E7E">
        <w:rPr>
          <w:rFonts w:ascii="Times New Roman" w:hAnsi="Times New Roman" w:cs="Times New Roman"/>
          <w:color w:val="000000" w:themeColor="text1"/>
          <w:sz w:val="28"/>
          <w:szCs w:val="28"/>
          <w:lang w:val="es-ES"/>
        </w:rPr>
        <w:t xml:space="preserve"> y</w:t>
      </w:r>
      <w:r w:rsidRPr="00D61E7E">
        <w:rPr>
          <w:rFonts w:ascii="Times New Roman" w:hAnsi="Times New Roman" w:cs="Times New Roman"/>
          <w:color w:val="000000" w:themeColor="text1"/>
          <w:sz w:val="28"/>
          <w:szCs w:val="28"/>
          <w:lang w:val="es-ES"/>
        </w:rPr>
        <w:t xml:space="preserve"> Cristina Pardo Schlesinger</w:t>
      </w:r>
      <w:r w:rsidRPr="00D61E7E">
        <w:rPr>
          <w:rFonts w:ascii="Times New Roman" w:hAnsi="Times New Roman" w:cs="Times New Roman"/>
          <w:color w:val="000000" w:themeColor="text1"/>
          <w:sz w:val="28"/>
          <w:szCs w:val="28"/>
          <w:lang w:val="es-ES"/>
        </w:rPr>
        <w:t xml:space="preserve"> </w:t>
      </w:r>
      <w:r w:rsidRPr="00D61E7E">
        <w:rPr>
          <w:rFonts w:ascii="Times New Roman" w:hAnsi="Times New Roman" w:cs="Times New Roman"/>
          <w:color w:val="000000" w:themeColor="text1"/>
          <w:sz w:val="28"/>
          <w:szCs w:val="28"/>
          <w:lang w:val="es-ES"/>
        </w:rPr>
        <w:t xml:space="preserve">en ejercicio de sus </w:t>
      </w:r>
      <w:r w:rsidRPr="00D61E7E">
        <w:rPr>
          <w:rFonts w:ascii="Times New Roman" w:hAnsi="Times New Roman" w:cs="Times New Roman"/>
          <w:color w:val="000000" w:themeColor="text1"/>
          <w:sz w:val="28"/>
          <w:szCs w:val="28"/>
          <w:lang w:val="es-ES"/>
        </w:rPr>
        <w:t xml:space="preserve">atribuciones constitucionales y </w:t>
      </w:r>
      <w:r w:rsidRPr="00D61E7E">
        <w:rPr>
          <w:rFonts w:ascii="Times New Roman" w:hAnsi="Times New Roman" w:cs="Times New Roman"/>
          <w:color w:val="000000" w:themeColor="text1"/>
          <w:sz w:val="28"/>
          <w:szCs w:val="28"/>
          <w:lang w:val="es-ES"/>
        </w:rPr>
        <w:t xml:space="preserve">legales, en especial de las previstas en el numeral 4º del artículo 241 de la Constitución Política, </w:t>
      </w:r>
      <w:r w:rsidRPr="00D61E7E">
        <w:rPr>
          <w:rFonts w:ascii="Times New Roman" w:hAnsi="Times New Roman" w:cs="Times New Roman"/>
          <w:color w:val="000000" w:themeColor="text1"/>
          <w:sz w:val="28"/>
          <w:szCs w:val="28"/>
          <w:lang w:val="es-ES"/>
        </w:rPr>
        <w:t xml:space="preserve">y </w:t>
      </w:r>
      <w:r w:rsidRPr="00D61E7E">
        <w:rPr>
          <w:rFonts w:ascii="Times New Roman" w:hAnsi="Times New Roman" w:cs="Times New Roman"/>
          <w:color w:val="000000" w:themeColor="text1"/>
          <w:sz w:val="28"/>
          <w:szCs w:val="28"/>
          <w:lang w:val="es-ES"/>
        </w:rPr>
        <w:t>cumplidos t</w:t>
      </w:r>
      <w:r w:rsidRPr="00D61E7E">
        <w:rPr>
          <w:rFonts w:ascii="Times New Roman" w:hAnsi="Times New Roman" w:cs="Times New Roman"/>
          <w:color w:val="000000" w:themeColor="text1"/>
          <w:sz w:val="28"/>
          <w:szCs w:val="28"/>
          <w:lang w:val="es-ES"/>
        </w:rPr>
        <w:t xml:space="preserve">odos los trámites y requisitos contemplados en el Decreto 2067 de 1991, </w:t>
      </w:r>
      <w:r w:rsidRPr="00D61E7E">
        <w:rPr>
          <w:rFonts w:ascii="Times New Roman" w:hAnsi="Times New Roman" w:cs="Times New Roman"/>
          <w:color w:val="000000" w:themeColor="text1"/>
          <w:sz w:val="28"/>
          <w:szCs w:val="28"/>
          <w:lang w:val="es-ES"/>
        </w:rPr>
        <w:t>profiere</w:t>
      </w:r>
      <w:r w:rsidRPr="00D61E7E">
        <w:rPr>
          <w:rFonts w:ascii="Times New Roman" w:hAnsi="Times New Roman" w:cs="Times New Roman"/>
          <w:color w:val="000000" w:themeColor="text1"/>
          <w:sz w:val="28"/>
          <w:szCs w:val="28"/>
          <w:lang w:val="es-ES"/>
        </w:rPr>
        <w:t xml:space="preserve"> la siguiente:</w:t>
      </w:r>
    </w:p>
    <w:p w:rsidR="000053E6" w:rsidRPr="00D61E7E" w:rsidRDefault="00D61E7E" w:rsidP="00B70FA2">
      <w:pPr>
        <w:tabs>
          <w:tab w:val="left" w:pos="2608"/>
        </w:tabs>
        <w:contextualSpacing/>
        <w:rPr>
          <w:rFonts w:ascii="Times New Roman" w:hAnsi="Times New Roman" w:cs="Times New Roman"/>
          <w:color w:val="000000" w:themeColor="text1"/>
          <w:sz w:val="28"/>
          <w:szCs w:val="28"/>
          <w:lang w:val="es-ES"/>
        </w:rPr>
      </w:pPr>
    </w:p>
    <w:p w:rsidR="000B26FC" w:rsidRPr="00D61E7E" w:rsidRDefault="00D61E7E" w:rsidP="000B26FC">
      <w:pPr>
        <w:tabs>
          <w:tab w:val="left" w:pos="2608"/>
        </w:tabs>
        <w:contextualSpacing/>
        <w:jc w:val="center"/>
        <w:rPr>
          <w:rFonts w:ascii="Times New Roman" w:hAnsi="Times New Roman" w:cs="Times New Roman"/>
          <w:b/>
          <w:color w:val="000000" w:themeColor="text1"/>
          <w:sz w:val="28"/>
          <w:szCs w:val="28"/>
          <w:lang w:val="es-ES"/>
        </w:rPr>
      </w:pPr>
      <w:r w:rsidRPr="00D61E7E">
        <w:rPr>
          <w:rFonts w:ascii="Times New Roman" w:hAnsi="Times New Roman" w:cs="Times New Roman"/>
          <w:b/>
          <w:color w:val="000000" w:themeColor="text1"/>
          <w:sz w:val="28"/>
          <w:szCs w:val="28"/>
          <w:lang w:val="es-ES"/>
        </w:rPr>
        <w:t>SENTENCIA</w:t>
      </w:r>
      <w:r w:rsidRPr="00D61E7E">
        <w:rPr>
          <w:rFonts w:ascii="Times New Roman" w:hAnsi="Times New Roman" w:cs="Times New Roman"/>
          <w:b/>
          <w:color w:val="000000" w:themeColor="text1"/>
          <w:sz w:val="28"/>
          <w:szCs w:val="28"/>
          <w:lang w:val="es-ES"/>
        </w:rPr>
        <w:t>S</w:t>
      </w:r>
    </w:p>
    <w:p w:rsidR="000B26FC" w:rsidRPr="00D61E7E" w:rsidRDefault="00D61E7E" w:rsidP="000B26FC">
      <w:pPr>
        <w:tabs>
          <w:tab w:val="left" w:pos="2608"/>
        </w:tabs>
        <w:contextualSpacing/>
        <w:rPr>
          <w:rFonts w:ascii="Times New Roman" w:hAnsi="Times New Roman" w:cs="Times New Roman"/>
          <w:b/>
          <w:color w:val="000000" w:themeColor="text1"/>
          <w:sz w:val="28"/>
          <w:szCs w:val="28"/>
          <w:lang w:val="es-ES"/>
        </w:rPr>
      </w:pPr>
    </w:p>
    <w:p w:rsidR="005D18A8" w:rsidRPr="00D61E7E" w:rsidRDefault="00D61E7E" w:rsidP="005D18A8">
      <w:pPr>
        <w:tabs>
          <w:tab w:val="left" w:pos="2608"/>
        </w:tabs>
        <w:contextualSpacing/>
        <w:rPr>
          <w:rFonts w:ascii="Times New Roman" w:hAnsi="Times New Roman" w:cs="Times New Roman"/>
          <w:b/>
          <w:color w:val="000000" w:themeColor="text1"/>
          <w:sz w:val="28"/>
          <w:szCs w:val="28"/>
          <w:lang w:val="es-ES"/>
        </w:rPr>
      </w:pPr>
      <w:r w:rsidRPr="00D61E7E">
        <w:rPr>
          <w:rFonts w:ascii="Times New Roman" w:hAnsi="Times New Roman" w:cs="Times New Roman"/>
          <w:b/>
          <w:color w:val="000000" w:themeColor="text1"/>
          <w:sz w:val="28"/>
          <w:szCs w:val="28"/>
          <w:lang w:val="es-ES"/>
        </w:rPr>
        <w:t>Síntesis de la decisión</w:t>
      </w:r>
    </w:p>
    <w:p w:rsidR="005D18A8" w:rsidRPr="00D61E7E" w:rsidRDefault="00D61E7E" w:rsidP="005D18A8">
      <w:pPr>
        <w:tabs>
          <w:tab w:val="left" w:pos="2608"/>
        </w:tabs>
        <w:contextualSpacing/>
        <w:rPr>
          <w:rFonts w:ascii="Times New Roman" w:hAnsi="Times New Roman" w:cs="Times New Roman"/>
          <w:b/>
          <w:color w:val="000000" w:themeColor="text1"/>
          <w:sz w:val="28"/>
          <w:szCs w:val="28"/>
          <w:lang w:val="es-ES"/>
        </w:rPr>
      </w:pPr>
    </w:p>
    <w:p w:rsidR="005217C7" w:rsidRPr="00D61E7E" w:rsidRDefault="00D61E7E" w:rsidP="000F3C01">
      <w:pPr>
        <w:pStyle w:val="Prrafodelista"/>
        <w:ind w:left="0"/>
        <w:rPr>
          <w:rFonts w:ascii="Times New Roman" w:hAnsi="Times New Roman" w:cs="Times New Roman"/>
          <w:color w:val="000000" w:themeColor="text1"/>
          <w:sz w:val="28"/>
          <w:szCs w:val="28"/>
          <w:lang w:val="es-ES"/>
        </w:rPr>
      </w:pPr>
      <w:r w:rsidRPr="00D61E7E">
        <w:rPr>
          <w:rFonts w:ascii="Times New Roman" w:hAnsi="Times New Roman" w:cs="Times New Roman"/>
          <w:color w:val="000000" w:themeColor="text1"/>
          <w:sz w:val="28"/>
          <w:szCs w:val="28"/>
          <w:lang w:val="es-ES"/>
        </w:rPr>
        <w:t xml:space="preserve">La Sala Plena de la Corte Constitucional se pronunció sobre la demanda presentada por Juan Manuel López Molina contra los artículos 70 y 73 de la </w:t>
      </w:r>
      <w:r w:rsidRPr="00D61E7E">
        <w:rPr>
          <w:rFonts w:ascii="Times New Roman" w:hAnsi="Times New Roman" w:cs="Times New Roman"/>
          <w:color w:val="000000" w:themeColor="text1"/>
          <w:sz w:val="28"/>
          <w:szCs w:val="28"/>
          <w:lang w:val="es-ES"/>
        </w:rPr>
        <w:t>Ley 2069 de 2020</w:t>
      </w:r>
      <w:r w:rsidRPr="00D61E7E">
        <w:rPr>
          <w:rFonts w:ascii="Times New Roman" w:hAnsi="Times New Roman" w:cs="Times New Roman"/>
          <w:color w:val="000000" w:themeColor="text1"/>
          <w:sz w:val="28"/>
          <w:szCs w:val="28"/>
          <w:lang w:val="es-ES"/>
        </w:rPr>
        <w:t xml:space="preserve">, relacionada con el principio de unidad de materia. Después </w:t>
      </w:r>
      <w:r w:rsidRPr="00D61E7E">
        <w:rPr>
          <w:rFonts w:ascii="Times New Roman" w:hAnsi="Times New Roman" w:cs="Times New Roman"/>
          <w:color w:val="000000" w:themeColor="text1"/>
          <w:sz w:val="28"/>
          <w:szCs w:val="28"/>
          <w:lang w:val="es-ES"/>
        </w:rPr>
        <w:t>de</w:t>
      </w:r>
      <w:r w:rsidRPr="00D61E7E">
        <w:rPr>
          <w:rFonts w:ascii="Times New Roman" w:hAnsi="Times New Roman" w:cs="Times New Roman"/>
          <w:color w:val="000000" w:themeColor="text1"/>
          <w:sz w:val="28"/>
          <w:szCs w:val="28"/>
          <w:lang w:val="es-ES"/>
        </w:rPr>
        <w:t xml:space="preserve"> reiterar la jurisprudencia cor</w:t>
      </w:r>
      <w:r w:rsidRPr="00D61E7E">
        <w:rPr>
          <w:rFonts w:ascii="Times New Roman" w:hAnsi="Times New Roman" w:cs="Times New Roman"/>
          <w:color w:val="000000" w:themeColor="text1"/>
          <w:sz w:val="28"/>
          <w:szCs w:val="28"/>
          <w:lang w:val="es-ES"/>
        </w:rPr>
        <w:t xml:space="preserve">respondiente a este principio, la Corte </w:t>
      </w:r>
      <w:r w:rsidRPr="00D61E7E">
        <w:rPr>
          <w:rFonts w:ascii="Times New Roman" w:hAnsi="Times New Roman" w:cs="Times New Roman"/>
          <w:color w:val="000000" w:themeColor="text1"/>
          <w:sz w:val="28"/>
          <w:szCs w:val="28"/>
          <w:lang w:val="es-ES"/>
        </w:rPr>
        <w:t xml:space="preserve">concluyó que las normas cuestionadas no vulneraron el artículo 158 y 169 de la Constitución. </w:t>
      </w:r>
    </w:p>
    <w:p w:rsidR="005217C7" w:rsidRPr="00D61E7E" w:rsidRDefault="00D61E7E" w:rsidP="005217C7">
      <w:pPr>
        <w:pStyle w:val="Prrafodelista"/>
        <w:ind w:left="0"/>
        <w:rPr>
          <w:rFonts w:ascii="Times New Roman" w:hAnsi="Times New Roman" w:cs="Times New Roman"/>
          <w:color w:val="000000" w:themeColor="text1"/>
          <w:sz w:val="28"/>
          <w:szCs w:val="28"/>
          <w:lang w:val="es-ES"/>
        </w:rPr>
      </w:pPr>
    </w:p>
    <w:p w:rsidR="00AD6EB1" w:rsidRPr="00D61E7E" w:rsidRDefault="00D61E7E" w:rsidP="000F3C01">
      <w:pPr>
        <w:pStyle w:val="Prrafodelista"/>
        <w:ind w:left="0"/>
        <w:rPr>
          <w:rFonts w:ascii="Times New Roman" w:hAnsi="Times New Roman" w:cs="Times New Roman"/>
          <w:color w:val="000000" w:themeColor="text1"/>
          <w:sz w:val="28"/>
          <w:szCs w:val="28"/>
          <w:lang w:val="es-ES"/>
        </w:rPr>
      </w:pPr>
      <w:r w:rsidRPr="00D61E7E">
        <w:rPr>
          <w:rFonts w:ascii="Times New Roman" w:hAnsi="Times New Roman" w:cs="Times New Roman"/>
          <w:color w:val="000000" w:themeColor="text1"/>
          <w:sz w:val="28"/>
          <w:szCs w:val="28"/>
          <w:lang w:val="es-ES"/>
        </w:rPr>
        <w:t>En relación con el artículo 70, la Sala verificó que el artículo 70 de la Ley 2</w:t>
      </w:r>
      <w:r w:rsidRPr="00D61E7E">
        <w:rPr>
          <w:rFonts w:ascii="Times New Roman" w:hAnsi="Times New Roman" w:cs="Times New Roman"/>
          <w:color w:val="000000" w:themeColor="text1"/>
          <w:sz w:val="28"/>
          <w:szCs w:val="28"/>
          <w:lang w:val="es-ES"/>
        </w:rPr>
        <w:t>0</w:t>
      </w:r>
      <w:r w:rsidRPr="00D61E7E">
        <w:rPr>
          <w:rFonts w:ascii="Times New Roman" w:hAnsi="Times New Roman" w:cs="Times New Roman"/>
          <w:color w:val="000000" w:themeColor="text1"/>
          <w:sz w:val="28"/>
          <w:szCs w:val="28"/>
          <w:lang w:val="es-ES"/>
        </w:rPr>
        <w:t xml:space="preserve">69 de 2020 </w:t>
      </w:r>
      <w:r w:rsidRPr="00D61E7E">
        <w:rPr>
          <w:rFonts w:ascii="Times New Roman" w:hAnsi="Times New Roman" w:cs="Times New Roman"/>
          <w:color w:val="000000" w:themeColor="text1"/>
          <w:sz w:val="28"/>
          <w:szCs w:val="28"/>
          <w:lang w:val="es-ES"/>
        </w:rPr>
        <w:t xml:space="preserve">mantiene una conexidad temática con la </w:t>
      </w:r>
      <w:r w:rsidRPr="00D61E7E">
        <w:rPr>
          <w:rFonts w:ascii="Times New Roman" w:hAnsi="Times New Roman" w:cs="Times New Roman"/>
          <w:color w:val="000000" w:themeColor="text1"/>
          <w:sz w:val="28"/>
          <w:szCs w:val="28"/>
          <w:lang w:val="es-ES"/>
        </w:rPr>
        <w:t>Ley 2069 de 2020</w:t>
      </w:r>
      <w:r w:rsidRPr="00D61E7E">
        <w:rPr>
          <w:rFonts w:ascii="Times New Roman" w:hAnsi="Times New Roman" w:cs="Times New Roman"/>
          <w:color w:val="000000" w:themeColor="text1"/>
          <w:sz w:val="28"/>
          <w:szCs w:val="28"/>
          <w:lang w:val="es-ES"/>
        </w:rPr>
        <w:t xml:space="preserve"> </w:t>
      </w:r>
      <w:r w:rsidRPr="00D61E7E">
        <w:rPr>
          <w:rFonts w:ascii="Times New Roman" w:hAnsi="Times New Roman" w:cs="Times New Roman"/>
          <w:color w:val="000000" w:themeColor="text1"/>
          <w:sz w:val="28"/>
          <w:szCs w:val="28"/>
          <w:lang w:val="es-ES"/>
        </w:rPr>
        <w:t>ya que al reasignar funciones regulatorias a la Superintendencia de Sociedades, optimiza los procedimientos de supervisión y reduce la burocracia, lo que facilita un entorno más ágil para las pequeñas</w:t>
      </w:r>
      <w:r w:rsidRPr="00D61E7E">
        <w:rPr>
          <w:rFonts w:ascii="Times New Roman" w:hAnsi="Times New Roman" w:cs="Times New Roman"/>
          <w:color w:val="000000" w:themeColor="text1"/>
          <w:sz w:val="28"/>
          <w:szCs w:val="28"/>
          <w:lang w:val="es-ES"/>
        </w:rPr>
        <w:t xml:space="preserve"> y medianas empresas. Además, esta medida permite una supervisión más eficaz y alineada con las necesidades del ecosistema empresarial, reforzando el apoyo a los empresarios.</w:t>
      </w:r>
    </w:p>
    <w:p w:rsidR="00AD6EB1" w:rsidRPr="00D61E7E" w:rsidRDefault="00D61E7E" w:rsidP="00AD6EB1">
      <w:pPr>
        <w:pStyle w:val="Prrafodelista"/>
        <w:rPr>
          <w:rFonts w:ascii="Times New Roman" w:hAnsi="Times New Roman" w:cs="Times New Roman"/>
          <w:color w:val="000000" w:themeColor="text1"/>
          <w:sz w:val="28"/>
          <w:szCs w:val="28"/>
          <w:lang w:val="es-ES"/>
        </w:rPr>
      </w:pPr>
    </w:p>
    <w:p w:rsidR="00AD6EB1" w:rsidRPr="00D61E7E" w:rsidRDefault="00D61E7E" w:rsidP="000F3C01">
      <w:pPr>
        <w:pStyle w:val="Prrafodelista"/>
        <w:ind w:left="0"/>
        <w:rPr>
          <w:rFonts w:ascii="Times New Roman" w:hAnsi="Times New Roman" w:cs="Times New Roman"/>
          <w:color w:val="000000" w:themeColor="text1"/>
          <w:sz w:val="28"/>
          <w:szCs w:val="28"/>
          <w:lang w:val="es-ES"/>
        </w:rPr>
      </w:pPr>
      <w:r w:rsidRPr="00D61E7E">
        <w:rPr>
          <w:rFonts w:ascii="Times New Roman" w:hAnsi="Times New Roman" w:cs="Times New Roman"/>
          <w:color w:val="000000" w:themeColor="text1"/>
          <w:sz w:val="28"/>
          <w:szCs w:val="28"/>
          <w:lang w:val="es-ES"/>
        </w:rPr>
        <w:t>P</w:t>
      </w:r>
      <w:r w:rsidRPr="00D61E7E">
        <w:rPr>
          <w:rFonts w:ascii="Times New Roman" w:hAnsi="Times New Roman" w:cs="Times New Roman"/>
          <w:color w:val="000000" w:themeColor="text1"/>
          <w:sz w:val="28"/>
          <w:szCs w:val="28"/>
          <w:lang w:val="es-ES"/>
        </w:rPr>
        <w:t xml:space="preserve">or otra parte, el Tribunal encontró que existe </w:t>
      </w:r>
      <w:r w:rsidRPr="00D61E7E">
        <w:rPr>
          <w:rFonts w:ascii="Times New Roman" w:hAnsi="Times New Roman" w:cs="Times New Roman"/>
          <w:color w:val="000000" w:themeColor="text1"/>
          <w:sz w:val="28"/>
          <w:szCs w:val="28"/>
          <w:lang w:val="es-ES"/>
        </w:rPr>
        <w:t xml:space="preserve">una conexidad causal entre </w:t>
      </w:r>
      <w:r w:rsidRPr="00D61E7E">
        <w:rPr>
          <w:rFonts w:ascii="Times New Roman" w:hAnsi="Times New Roman" w:cs="Times New Roman"/>
          <w:color w:val="000000" w:themeColor="text1"/>
          <w:sz w:val="28"/>
          <w:szCs w:val="28"/>
          <w:lang w:val="es-ES"/>
        </w:rPr>
        <w:t>la di</w:t>
      </w:r>
      <w:r w:rsidRPr="00D61E7E">
        <w:rPr>
          <w:rFonts w:ascii="Times New Roman" w:hAnsi="Times New Roman" w:cs="Times New Roman"/>
          <w:color w:val="000000" w:themeColor="text1"/>
          <w:sz w:val="28"/>
          <w:szCs w:val="28"/>
          <w:lang w:val="es-ES"/>
        </w:rPr>
        <w:t>sposición y la ley. Esto, pues</w:t>
      </w:r>
      <w:r w:rsidRPr="00D61E7E">
        <w:rPr>
          <w:rFonts w:ascii="Times New Roman" w:hAnsi="Times New Roman" w:cs="Times New Roman"/>
          <w:color w:val="000000" w:themeColor="text1"/>
          <w:sz w:val="28"/>
          <w:szCs w:val="28"/>
          <w:lang w:val="es-ES"/>
        </w:rPr>
        <w:t xml:space="preserve"> el Congreso identificó la necesidad de fortalecer la supervisión para adecuarla a las necesidades empresariales del país. </w:t>
      </w:r>
      <w:r w:rsidRPr="00D61E7E">
        <w:rPr>
          <w:rFonts w:ascii="Times New Roman" w:hAnsi="Times New Roman" w:cs="Times New Roman"/>
          <w:color w:val="000000" w:themeColor="text1"/>
          <w:sz w:val="28"/>
          <w:szCs w:val="28"/>
          <w:lang w:val="es-ES"/>
        </w:rPr>
        <w:t>Por otra parte, la Sala concluyó que existe una relación t</w:t>
      </w:r>
      <w:r w:rsidRPr="00D61E7E">
        <w:rPr>
          <w:rFonts w:ascii="Times New Roman" w:hAnsi="Times New Roman" w:cs="Times New Roman"/>
          <w:color w:val="000000" w:themeColor="text1"/>
          <w:sz w:val="28"/>
          <w:szCs w:val="28"/>
          <w:lang w:val="es-ES"/>
        </w:rPr>
        <w:t>eleológi</w:t>
      </w:r>
      <w:r w:rsidRPr="00D61E7E">
        <w:rPr>
          <w:rFonts w:ascii="Times New Roman" w:hAnsi="Times New Roman" w:cs="Times New Roman"/>
          <w:color w:val="000000" w:themeColor="text1"/>
          <w:sz w:val="28"/>
          <w:szCs w:val="28"/>
          <w:lang w:val="es-ES"/>
        </w:rPr>
        <w:t>c</w:t>
      </w:r>
      <w:r w:rsidRPr="00D61E7E">
        <w:rPr>
          <w:rFonts w:ascii="Times New Roman" w:hAnsi="Times New Roman" w:cs="Times New Roman"/>
          <w:color w:val="000000" w:themeColor="text1"/>
          <w:sz w:val="28"/>
          <w:szCs w:val="28"/>
          <w:lang w:val="es-ES"/>
        </w:rPr>
        <w:t>a,</w:t>
      </w:r>
      <w:r w:rsidRPr="00D61E7E">
        <w:rPr>
          <w:rFonts w:ascii="Times New Roman" w:hAnsi="Times New Roman" w:cs="Times New Roman"/>
          <w:color w:val="000000" w:themeColor="text1"/>
          <w:sz w:val="28"/>
          <w:szCs w:val="28"/>
          <w:lang w:val="es-ES"/>
        </w:rPr>
        <w:t xml:space="preserve"> toda vez que</w:t>
      </w:r>
      <w:r w:rsidRPr="00D61E7E">
        <w:rPr>
          <w:rFonts w:ascii="Times New Roman" w:hAnsi="Times New Roman" w:cs="Times New Roman"/>
          <w:color w:val="000000" w:themeColor="text1"/>
          <w:sz w:val="28"/>
          <w:szCs w:val="28"/>
          <w:lang w:val="es-ES"/>
        </w:rPr>
        <w:t xml:space="preserve"> el artículo se aline</w:t>
      </w:r>
      <w:r w:rsidRPr="00D61E7E">
        <w:rPr>
          <w:rFonts w:ascii="Times New Roman" w:hAnsi="Times New Roman" w:cs="Times New Roman"/>
          <w:color w:val="000000" w:themeColor="text1"/>
          <w:sz w:val="28"/>
          <w:szCs w:val="28"/>
          <w:lang w:val="es-ES"/>
        </w:rPr>
        <w:t xml:space="preserve">a con la intención de simplificar el marco regulatorio para hacerlo más eficiente y menos oneroso, </w:t>
      </w:r>
      <w:r w:rsidRPr="00D61E7E">
        <w:rPr>
          <w:rFonts w:ascii="Times New Roman" w:hAnsi="Times New Roman" w:cs="Times New Roman"/>
          <w:color w:val="000000" w:themeColor="text1"/>
          <w:sz w:val="28"/>
          <w:szCs w:val="28"/>
          <w:lang w:val="es-ES"/>
        </w:rPr>
        <w:t>lo que contribuye</w:t>
      </w:r>
      <w:r w:rsidRPr="00D61E7E">
        <w:rPr>
          <w:rFonts w:ascii="Times New Roman" w:hAnsi="Times New Roman" w:cs="Times New Roman"/>
          <w:color w:val="000000" w:themeColor="text1"/>
          <w:sz w:val="28"/>
          <w:szCs w:val="28"/>
          <w:lang w:val="es-ES"/>
        </w:rPr>
        <w:t xml:space="preserve"> directamente a los fines legislativos de fomentar un entorno favorable para el desarrollo empresarial.</w:t>
      </w:r>
    </w:p>
    <w:p w:rsidR="00AD6EB1" w:rsidRPr="00D61E7E" w:rsidRDefault="00D61E7E" w:rsidP="00AD6EB1">
      <w:pPr>
        <w:pStyle w:val="Prrafodelista"/>
        <w:rPr>
          <w:rFonts w:ascii="Times New Roman" w:hAnsi="Times New Roman" w:cs="Times New Roman"/>
          <w:color w:val="000000" w:themeColor="text1"/>
          <w:sz w:val="28"/>
          <w:szCs w:val="28"/>
          <w:lang w:val="es-ES"/>
        </w:rPr>
      </w:pPr>
    </w:p>
    <w:p w:rsidR="005217C7" w:rsidRPr="00D61E7E" w:rsidRDefault="00D61E7E" w:rsidP="000F3C01">
      <w:pPr>
        <w:pStyle w:val="Prrafodelista"/>
        <w:ind w:left="0"/>
        <w:rPr>
          <w:rFonts w:ascii="Times New Roman" w:hAnsi="Times New Roman" w:cs="Times New Roman"/>
          <w:color w:val="000000" w:themeColor="text1"/>
          <w:sz w:val="28"/>
          <w:szCs w:val="28"/>
          <w:lang w:val="es-ES"/>
        </w:rPr>
      </w:pPr>
      <w:r w:rsidRPr="00D61E7E">
        <w:rPr>
          <w:rFonts w:ascii="Times New Roman" w:hAnsi="Times New Roman" w:cs="Times New Roman"/>
          <w:color w:val="000000" w:themeColor="text1"/>
          <w:sz w:val="28"/>
          <w:szCs w:val="28"/>
          <w:lang w:val="es-ES"/>
        </w:rPr>
        <w:t>Por último, la Corporación encontró</w:t>
      </w:r>
      <w:r w:rsidRPr="00D61E7E">
        <w:rPr>
          <w:rFonts w:ascii="Times New Roman" w:hAnsi="Times New Roman" w:cs="Times New Roman"/>
          <w:color w:val="000000" w:themeColor="text1"/>
          <w:sz w:val="28"/>
          <w:szCs w:val="28"/>
          <w:lang w:val="es-ES"/>
        </w:rPr>
        <w:t xml:space="preserve"> que e</w:t>
      </w:r>
      <w:r w:rsidRPr="00D61E7E">
        <w:rPr>
          <w:rFonts w:ascii="Times New Roman" w:hAnsi="Times New Roman" w:cs="Times New Roman"/>
          <w:color w:val="000000" w:themeColor="text1"/>
          <w:sz w:val="28"/>
          <w:szCs w:val="28"/>
          <w:lang w:val="es-ES"/>
        </w:rPr>
        <w:t xml:space="preserve">l artículo 70 también presenta una conexidad sistemática con la ley, ya que se integra dentro del "Marco Institucional" de la </w:t>
      </w:r>
      <w:r w:rsidRPr="00D61E7E">
        <w:rPr>
          <w:rFonts w:ascii="Times New Roman" w:hAnsi="Times New Roman" w:cs="Times New Roman"/>
          <w:color w:val="000000" w:themeColor="text1"/>
          <w:sz w:val="28"/>
          <w:szCs w:val="28"/>
          <w:lang w:val="es-ES"/>
        </w:rPr>
        <w:t>Ley 2069 de 2020</w:t>
      </w:r>
      <w:r w:rsidRPr="00D61E7E">
        <w:rPr>
          <w:rFonts w:ascii="Times New Roman" w:hAnsi="Times New Roman" w:cs="Times New Roman"/>
          <w:color w:val="000000" w:themeColor="text1"/>
          <w:sz w:val="28"/>
          <w:szCs w:val="28"/>
          <w:lang w:val="es-ES"/>
        </w:rPr>
        <w:t>. Este título engloba normas que buscan consolidar un entorno propicio para el emprendimiento y el desarroll</w:t>
      </w:r>
      <w:r w:rsidRPr="00D61E7E">
        <w:rPr>
          <w:rFonts w:ascii="Times New Roman" w:hAnsi="Times New Roman" w:cs="Times New Roman"/>
          <w:color w:val="000000" w:themeColor="text1"/>
          <w:sz w:val="28"/>
          <w:szCs w:val="28"/>
          <w:lang w:val="es-ES"/>
        </w:rPr>
        <w:t>o empresarial, asegurando que el artículo juegue un papel fundamental en mejorar la competitividad y productividad de las empresas en Colombia.</w:t>
      </w:r>
    </w:p>
    <w:p w:rsidR="00AD6EB1" w:rsidRPr="00D61E7E" w:rsidRDefault="00D61E7E" w:rsidP="00AD6EB1">
      <w:pPr>
        <w:pStyle w:val="Prrafodelista"/>
        <w:rPr>
          <w:rFonts w:ascii="Times New Roman" w:hAnsi="Times New Roman" w:cs="Times New Roman"/>
          <w:color w:val="000000" w:themeColor="text1"/>
          <w:sz w:val="28"/>
          <w:szCs w:val="28"/>
          <w:lang w:val="es-ES"/>
        </w:rPr>
      </w:pPr>
    </w:p>
    <w:p w:rsidR="00AD6EB1" w:rsidRPr="00D61E7E" w:rsidRDefault="00D61E7E" w:rsidP="000F3C01">
      <w:pPr>
        <w:pStyle w:val="Prrafodelista"/>
        <w:ind w:left="0"/>
        <w:rPr>
          <w:rFonts w:ascii="Times New Roman" w:hAnsi="Times New Roman" w:cs="Times New Roman"/>
          <w:color w:val="000000" w:themeColor="text1"/>
          <w:sz w:val="28"/>
          <w:szCs w:val="28"/>
          <w:lang w:val="es-ES"/>
        </w:rPr>
      </w:pPr>
      <w:r w:rsidRPr="00D61E7E">
        <w:rPr>
          <w:rFonts w:ascii="Times New Roman" w:hAnsi="Times New Roman" w:cs="Times New Roman"/>
          <w:color w:val="000000" w:themeColor="text1"/>
          <w:sz w:val="28"/>
          <w:szCs w:val="28"/>
          <w:lang w:val="es-ES"/>
        </w:rPr>
        <w:t>Por otro lado, la Corte también concluyó que el artículo 73 guarda una relación temática con la referida ley en</w:t>
      </w:r>
      <w:r w:rsidRPr="00D61E7E">
        <w:rPr>
          <w:rFonts w:ascii="Times New Roman" w:hAnsi="Times New Roman" w:cs="Times New Roman"/>
          <w:color w:val="000000" w:themeColor="text1"/>
          <w:sz w:val="28"/>
          <w:szCs w:val="28"/>
          <w:lang w:val="es-ES"/>
        </w:rPr>
        <w:t xml:space="preserve"> razón a que </w:t>
      </w:r>
      <w:r w:rsidRPr="00D61E7E">
        <w:rPr>
          <w:rFonts w:ascii="Times New Roman" w:hAnsi="Times New Roman" w:cs="Times New Roman"/>
          <w:sz w:val="28"/>
          <w:szCs w:val="28"/>
        </w:rPr>
        <w:t xml:space="preserve">promueve la eficiencia y la modernización de los procedimientos administrativos tributarios mediante la implementación de la virtualidad en los procesos de inspección contables. Esta medida alinea el artículo con el espíritu de la </w:t>
      </w:r>
      <w:r w:rsidRPr="00D61E7E">
        <w:rPr>
          <w:rFonts w:ascii="Times New Roman" w:hAnsi="Times New Roman" w:cs="Times New Roman"/>
          <w:sz w:val="28"/>
          <w:szCs w:val="28"/>
        </w:rPr>
        <w:t xml:space="preserve">Ley 2069 de </w:t>
      </w:r>
      <w:r w:rsidRPr="00D61E7E">
        <w:rPr>
          <w:rFonts w:ascii="Times New Roman" w:hAnsi="Times New Roman" w:cs="Times New Roman"/>
          <w:sz w:val="28"/>
          <w:szCs w:val="28"/>
        </w:rPr>
        <w:t>2020</w:t>
      </w:r>
      <w:r w:rsidRPr="00D61E7E">
        <w:rPr>
          <w:rFonts w:ascii="Times New Roman" w:hAnsi="Times New Roman" w:cs="Times New Roman"/>
          <w:sz w:val="28"/>
          <w:szCs w:val="28"/>
        </w:rPr>
        <w:t>, que busca fomentar un ambiente empresarial competitivo y adaptado a las exigencias tecnológicas actuales.</w:t>
      </w:r>
    </w:p>
    <w:p w:rsidR="00AD6EB1" w:rsidRPr="00D61E7E" w:rsidRDefault="00D61E7E" w:rsidP="00AD6EB1">
      <w:pPr>
        <w:pStyle w:val="Prrafodelista"/>
        <w:rPr>
          <w:rFonts w:ascii="Times New Roman" w:hAnsi="Times New Roman" w:cs="Times New Roman"/>
          <w:sz w:val="28"/>
          <w:szCs w:val="28"/>
          <w:lang w:val="es-ES"/>
        </w:rPr>
      </w:pPr>
    </w:p>
    <w:p w:rsidR="00AD6EB1" w:rsidRPr="00D61E7E" w:rsidRDefault="00D61E7E" w:rsidP="000F3C01">
      <w:pPr>
        <w:pStyle w:val="Prrafodelista"/>
        <w:ind w:left="0"/>
        <w:rPr>
          <w:rFonts w:ascii="Times New Roman" w:hAnsi="Times New Roman" w:cs="Times New Roman"/>
          <w:color w:val="000000" w:themeColor="text1"/>
          <w:sz w:val="28"/>
          <w:szCs w:val="28"/>
          <w:lang w:val="es-ES"/>
        </w:rPr>
      </w:pPr>
      <w:r w:rsidRPr="00D61E7E">
        <w:rPr>
          <w:rFonts w:ascii="Times New Roman" w:hAnsi="Times New Roman" w:cs="Times New Roman"/>
          <w:sz w:val="28"/>
          <w:szCs w:val="28"/>
          <w:lang w:val="es-ES"/>
        </w:rPr>
        <w:t xml:space="preserve">A su vez, la Sala concluyó que la causalidad entre el artículo 73 y la ley se manifiesta en la respuesta directa a las barreras identificadas </w:t>
      </w:r>
      <w:r w:rsidRPr="00D61E7E">
        <w:rPr>
          <w:rFonts w:ascii="Times New Roman" w:hAnsi="Times New Roman" w:cs="Times New Roman"/>
          <w:sz w:val="28"/>
          <w:szCs w:val="28"/>
          <w:lang w:val="es-ES"/>
        </w:rPr>
        <w:t>durante el trámite legislativo, que obstaculizaban el emprendimiento debido a procedimientos administrativos complejos y lentos. Para la Corte, el artículo aborda estas dificultades al simplificar y digitalizar los procesos tributarios y aduaneros, ofrecie</w:t>
      </w:r>
      <w:r w:rsidRPr="00D61E7E">
        <w:rPr>
          <w:rFonts w:ascii="Times New Roman" w:hAnsi="Times New Roman" w:cs="Times New Roman"/>
          <w:sz w:val="28"/>
          <w:szCs w:val="28"/>
          <w:lang w:val="es-ES"/>
        </w:rPr>
        <w:t>ndo una solución que mejora directamente la interacción con la administración tributaria.</w:t>
      </w:r>
    </w:p>
    <w:p w:rsidR="00AD6EB1" w:rsidRPr="00D61E7E" w:rsidRDefault="00D61E7E" w:rsidP="00AD6EB1">
      <w:pPr>
        <w:pStyle w:val="Prrafodelista"/>
        <w:rPr>
          <w:rFonts w:ascii="Times New Roman" w:hAnsi="Times New Roman" w:cs="Times New Roman"/>
          <w:sz w:val="28"/>
          <w:szCs w:val="28"/>
          <w:lang w:val="es-ES"/>
        </w:rPr>
      </w:pPr>
    </w:p>
    <w:p w:rsidR="00AD6EB1" w:rsidRPr="00D61E7E" w:rsidRDefault="00D61E7E" w:rsidP="000F3C01">
      <w:pPr>
        <w:pStyle w:val="Prrafodelista"/>
        <w:ind w:left="0"/>
        <w:rPr>
          <w:rFonts w:ascii="Times New Roman" w:hAnsi="Times New Roman" w:cs="Times New Roman"/>
          <w:color w:val="000000" w:themeColor="text1"/>
          <w:sz w:val="28"/>
          <w:szCs w:val="28"/>
          <w:lang w:val="es-ES"/>
        </w:rPr>
      </w:pPr>
      <w:r w:rsidRPr="00D61E7E">
        <w:rPr>
          <w:rFonts w:ascii="Times New Roman" w:hAnsi="Times New Roman" w:cs="Times New Roman"/>
          <w:sz w:val="28"/>
          <w:szCs w:val="28"/>
          <w:lang w:val="es-ES"/>
        </w:rPr>
        <w:t xml:space="preserve">En relación con la conexidad </w:t>
      </w:r>
      <w:r w:rsidRPr="00D61E7E">
        <w:rPr>
          <w:rFonts w:ascii="Times New Roman" w:hAnsi="Times New Roman" w:cs="Times New Roman"/>
          <w:sz w:val="28"/>
          <w:szCs w:val="28"/>
          <w:lang w:val="es-ES"/>
        </w:rPr>
        <w:t>teleológica</w:t>
      </w:r>
      <w:r w:rsidRPr="00D61E7E">
        <w:rPr>
          <w:rFonts w:ascii="Times New Roman" w:hAnsi="Times New Roman" w:cs="Times New Roman"/>
          <w:sz w:val="28"/>
          <w:szCs w:val="28"/>
          <w:lang w:val="es-ES"/>
        </w:rPr>
        <w:t>, el Tribunal advirtió que el propósito del artículo 73 es asegurar un manejo más eficiente y accesible de los trámites tribu</w:t>
      </w:r>
      <w:r w:rsidRPr="00D61E7E">
        <w:rPr>
          <w:rFonts w:ascii="Times New Roman" w:hAnsi="Times New Roman" w:cs="Times New Roman"/>
          <w:sz w:val="28"/>
          <w:szCs w:val="28"/>
          <w:lang w:val="es-ES"/>
        </w:rPr>
        <w:t>tarios, lo cual se alinea con la finalidad de la ley de promover el emprendimiento sostenible y la estabilidad económica. Esto, ya que, al facilitar una interacción más fluida y menos burocrática con las entidades estatales, beneficia especialmente a los e</w:t>
      </w:r>
      <w:r w:rsidRPr="00D61E7E">
        <w:rPr>
          <w:rFonts w:ascii="Times New Roman" w:hAnsi="Times New Roman" w:cs="Times New Roman"/>
          <w:sz w:val="28"/>
          <w:szCs w:val="28"/>
          <w:lang w:val="es-ES"/>
        </w:rPr>
        <w:t>mprendedores.</w:t>
      </w:r>
      <w:r w:rsidRPr="00D61E7E">
        <w:rPr>
          <w:rFonts w:ascii="Times New Roman" w:hAnsi="Times New Roman" w:cs="Times New Roman"/>
          <w:color w:val="000000" w:themeColor="text1"/>
          <w:sz w:val="28"/>
          <w:szCs w:val="28"/>
          <w:lang w:val="es-ES"/>
        </w:rPr>
        <w:t xml:space="preserve"> </w:t>
      </w:r>
    </w:p>
    <w:p w:rsidR="00AD6EB1" w:rsidRPr="00D61E7E" w:rsidRDefault="00D61E7E" w:rsidP="00AD6EB1">
      <w:pPr>
        <w:pStyle w:val="Prrafodelista"/>
        <w:rPr>
          <w:rFonts w:ascii="Times New Roman" w:hAnsi="Times New Roman" w:cs="Times New Roman"/>
          <w:sz w:val="28"/>
          <w:szCs w:val="28"/>
          <w:lang w:val="es-ES"/>
        </w:rPr>
      </w:pPr>
    </w:p>
    <w:p w:rsidR="00AD6EB1" w:rsidRPr="00D61E7E" w:rsidRDefault="00D61E7E" w:rsidP="000F3C01">
      <w:pPr>
        <w:pStyle w:val="Prrafodelista"/>
        <w:ind w:left="0"/>
        <w:rPr>
          <w:rFonts w:ascii="Times New Roman" w:hAnsi="Times New Roman" w:cs="Times New Roman"/>
          <w:color w:val="000000" w:themeColor="text1"/>
          <w:sz w:val="28"/>
          <w:szCs w:val="28"/>
          <w:lang w:val="es-ES"/>
        </w:rPr>
      </w:pPr>
      <w:r w:rsidRPr="00D61E7E">
        <w:rPr>
          <w:rFonts w:ascii="Times New Roman" w:hAnsi="Times New Roman" w:cs="Times New Roman"/>
          <w:sz w:val="28"/>
          <w:szCs w:val="28"/>
          <w:lang w:val="es-ES"/>
        </w:rPr>
        <w:t xml:space="preserve">Finalmente, la mayoría dispuso que existe conexidad sistemática pues se observa el artículo 73, al igual que el artículo 70, se encuentra ubicado dentro del título de la </w:t>
      </w:r>
      <w:r w:rsidRPr="00D61E7E">
        <w:rPr>
          <w:rFonts w:ascii="Times New Roman" w:hAnsi="Times New Roman" w:cs="Times New Roman"/>
          <w:sz w:val="28"/>
          <w:szCs w:val="28"/>
          <w:lang w:val="es-ES"/>
        </w:rPr>
        <w:t>Ley 2069 de 2020</w:t>
      </w:r>
      <w:r w:rsidRPr="00D61E7E">
        <w:rPr>
          <w:rFonts w:ascii="Times New Roman" w:hAnsi="Times New Roman" w:cs="Times New Roman"/>
          <w:sz w:val="28"/>
          <w:szCs w:val="28"/>
          <w:lang w:val="es-ES"/>
        </w:rPr>
        <w:t xml:space="preserve"> dedicado al marco institucional del emprendimiento. Por ello, para la Corte el artículo forma parte integral de un conjunto de disposiciones cuyo propósito es mejorar la eficiencia y simplificar los trámites empresariales.</w:t>
      </w:r>
    </w:p>
    <w:p w:rsidR="000053E6" w:rsidRPr="00D61E7E" w:rsidRDefault="00D61E7E" w:rsidP="00AD6EB1">
      <w:pPr>
        <w:pStyle w:val="Prrafodelista"/>
        <w:ind w:left="0"/>
        <w:rPr>
          <w:rFonts w:ascii="Times New Roman" w:hAnsi="Times New Roman" w:cs="Times New Roman"/>
          <w:color w:val="000000" w:themeColor="text1"/>
          <w:sz w:val="28"/>
          <w:szCs w:val="28"/>
        </w:rPr>
      </w:pPr>
      <w:r w:rsidRPr="00D61E7E">
        <w:rPr>
          <w:rFonts w:ascii="Times New Roman" w:hAnsi="Times New Roman" w:cs="Times New Roman"/>
          <w:sz w:val="28"/>
          <w:lang w:val="es-ES"/>
        </w:rPr>
        <w:t xml:space="preserve"> </w:t>
      </w:r>
    </w:p>
    <w:p w:rsidR="004B63ED" w:rsidRPr="00D61E7E" w:rsidRDefault="00D61E7E" w:rsidP="004B63ED">
      <w:pPr>
        <w:contextualSpacing/>
        <w:rPr>
          <w:rFonts w:ascii="Times New Roman" w:hAnsi="Times New Roman" w:cs="Times New Roman"/>
          <w:b/>
          <w:bCs/>
          <w:color w:val="000000" w:themeColor="text1"/>
          <w:sz w:val="28"/>
          <w:szCs w:val="28"/>
          <w:lang w:val="es-ES"/>
        </w:rPr>
      </w:pPr>
      <w:r w:rsidRPr="00D61E7E">
        <w:rPr>
          <w:rFonts w:ascii="Times New Roman" w:hAnsi="Times New Roman" w:cs="Times New Roman"/>
          <w:b/>
          <w:bCs/>
          <w:color w:val="000000" w:themeColor="text1"/>
          <w:sz w:val="28"/>
          <w:szCs w:val="28"/>
          <w:lang w:val="es-ES"/>
        </w:rPr>
        <w:t>I.</w:t>
      </w:r>
      <w:r w:rsidRPr="00D61E7E">
        <w:rPr>
          <w:rFonts w:ascii="Times New Roman" w:hAnsi="Times New Roman" w:cs="Times New Roman"/>
          <w:b/>
          <w:bCs/>
          <w:color w:val="000000" w:themeColor="text1"/>
          <w:sz w:val="28"/>
          <w:szCs w:val="28"/>
          <w:lang w:val="es-ES"/>
        </w:rPr>
        <w:t xml:space="preserve"> </w:t>
      </w:r>
      <w:r w:rsidRPr="00D61E7E">
        <w:rPr>
          <w:rFonts w:ascii="Times New Roman" w:hAnsi="Times New Roman" w:cs="Times New Roman"/>
          <w:b/>
          <w:bCs/>
          <w:color w:val="000000" w:themeColor="text1"/>
          <w:sz w:val="28"/>
          <w:szCs w:val="28"/>
          <w:lang w:val="es-ES"/>
        </w:rPr>
        <w:t>ANTECEDENTES</w:t>
      </w:r>
    </w:p>
    <w:p w:rsidR="004B63ED" w:rsidRPr="00D61E7E" w:rsidRDefault="00D61E7E" w:rsidP="004B63ED">
      <w:pPr>
        <w:contextualSpacing/>
        <w:rPr>
          <w:rFonts w:ascii="Times New Roman" w:hAnsi="Times New Roman" w:cs="Times New Roman"/>
          <w:color w:val="000000" w:themeColor="text1"/>
          <w:sz w:val="28"/>
          <w:szCs w:val="28"/>
        </w:rPr>
      </w:pPr>
    </w:p>
    <w:p w:rsidR="000571B3" w:rsidRPr="00D61E7E" w:rsidRDefault="00D61E7E" w:rsidP="000571B3">
      <w:pPr>
        <w:pStyle w:val="Prrafodelista"/>
        <w:numPr>
          <w:ilvl w:val="0"/>
          <w:numId w:val="1"/>
        </w:numPr>
        <w:ind w:left="0" w:firstLine="0"/>
        <w:rPr>
          <w:rFonts w:ascii="Times New Roman" w:hAnsi="Times New Roman" w:cs="Times New Roman"/>
          <w:color w:val="000000" w:themeColor="text1"/>
          <w:sz w:val="28"/>
          <w:szCs w:val="28"/>
          <w:lang w:val="es-ES"/>
        </w:rPr>
      </w:pPr>
      <w:r w:rsidRPr="00D61E7E">
        <w:rPr>
          <w:rFonts w:ascii="Times New Roman" w:hAnsi="Times New Roman" w:cs="Times New Roman"/>
          <w:color w:val="000000" w:themeColor="text1"/>
          <w:sz w:val="28"/>
          <w:szCs w:val="28"/>
          <w:lang w:val="es-ES"/>
        </w:rPr>
        <w:t xml:space="preserve">El ciudadano </w:t>
      </w:r>
      <w:r w:rsidRPr="00D61E7E">
        <w:rPr>
          <w:rFonts w:ascii="Times New Roman" w:hAnsi="Times New Roman" w:cs="Times New Roman"/>
          <w:color w:val="000000" w:themeColor="text1"/>
          <w:sz w:val="28"/>
          <w:szCs w:val="28"/>
          <w:lang w:val="es-ES"/>
        </w:rPr>
        <w:t>Juan Manuel López Molina, en ejercicio de la acción pública de inconstitucionalidad, prevista en los artículos 40, 241 y 24</w:t>
      </w:r>
      <w:r w:rsidRPr="00D61E7E">
        <w:rPr>
          <w:rFonts w:ascii="Times New Roman" w:hAnsi="Times New Roman" w:cs="Times New Roman"/>
          <w:color w:val="000000" w:themeColor="text1"/>
          <w:sz w:val="28"/>
          <w:szCs w:val="28"/>
          <w:lang w:val="es-ES"/>
        </w:rPr>
        <w:t>2</w:t>
      </w:r>
      <w:r w:rsidRPr="00D61E7E">
        <w:rPr>
          <w:rFonts w:ascii="Times New Roman" w:hAnsi="Times New Roman" w:cs="Times New Roman"/>
          <w:color w:val="000000" w:themeColor="text1"/>
          <w:sz w:val="28"/>
          <w:szCs w:val="28"/>
          <w:lang w:val="es-ES"/>
        </w:rPr>
        <w:t xml:space="preserve"> de la Constitución Política, demandó el contenido integral de los artículos 70 y 73 de la </w:t>
      </w:r>
      <w:r w:rsidRPr="00D61E7E">
        <w:rPr>
          <w:rFonts w:ascii="Times New Roman" w:hAnsi="Times New Roman" w:cs="Times New Roman"/>
          <w:color w:val="000000" w:themeColor="text1"/>
          <w:sz w:val="28"/>
          <w:szCs w:val="28"/>
          <w:lang w:val="es-ES"/>
        </w:rPr>
        <w:t>Ley 2069 de 2020</w:t>
      </w:r>
      <w:r w:rsidRPr="00D61E7E">
        <w:rPr>
          <w:rFonts w:ascii="Times New Roman" w:hAnsi="Times New Roman" w:cs="Times New Roman"/>
          <w:color w:val="000000" w:themeColor="text1"/>
          <w:sz w:val="28"/>
          <w:szCs w:val="28"/>
          <w:lang w:val="es-ES"/>
        </w:rPr>
        <w:t xml:space="preserve"> por considerar que dicha</w:t>
      </w:r>
      <w:r w:rsidRPr="00D61E7E">
        <w:rPr>
          <w:rFonts w:ascii="Times New Roman" w:hAnsi="Times New Roman" w:cs="Times New Roman"/>
          <w:color w:val="000000" w:themeColor="text1"/>
          <w:sz w:val="28"/>
          <w:szCs w:val="28"/>
          <w:lang w:val="es-ES"/>
        </w:rPr>
        <w:t xml:space="preserve">s normas vulneran los artículos 158, 169 y 338 de la Constitución.  </w:t>
      </w:r>
    </w:p>
    <w:p w:rsidR="000571B3" w:rsidRPr="00D61E7E" w:rsidRDefault="00D61E7E" w:rsidP="004B63ED">
      <w:pPr>
        <w:pStyle w:val="Prrafodelista"/>
        <w:ind w:left="0"/>
        <w:rPr>
          <w:rFonts w:ascii="Times New Roman" w:hAnsi="Times New Roman" w:cs="Times New Roman"/>
          <w:color w:val="000000" w:themeColor="text1"/>
          <w:sz w:val="28"/>
          <w:szCs w:val="28"/>
          <w:lang w:val="es-ES"/>
        </w:rPr>
      </w:pPr>
    </w:p>
    <w:p w:rsidR="004B63ED" w:rsidRPr="00D61E7E" w:rsidRDefault="00D61E7E" w:rsidP="000571B3">
      <w:pPr>
        <w:pStyle w:val="Prrafodelista"/>
        <w:numPr>
          <w:ilvl w:val="0"/>
          <w:numId w:val="1"/>
        </w:numPr>
        <w:ind w:left="0" w:firstLine="0"/>
        <w:rPr>
          <w:rFonts w:ascii="Times New Roman" w:hAnsi="Times New Roman" w:cs="Times New Roman"/>
          <w:color w:val="000000" w:themeColor="text1"/>
          <w:sz w:val="28"/>
          <w:szCs w:val="28"/>
          <w:lang w:val="es-ES"/>
        </w:rPr>
      </w:pPr>
      <w:r w:rsidRPr="00D61E7E">
        <w:rPr>
          <w:rFonts w:ascii="Times New Roman" w:hAnsi="Times New Roman" w:cs="Times New Roman"/>
          <w:color w:val="000000" w:themeColor="text1"/>
          <w:sz w:val="28"/>
          <w:szCs w:val="28"/>
          <w:lang w:val="es-MX"/>
        </w:rPr>
        <w:t>Por medio de</w:t>
      </w:r>
      <w:r w:rsidRPr="00D61E7E">
        <w:rPr>
          <w:rFonts w:ascii="Times New Roman" w:hAnsi="Times New Roman" w:cs="Times New Roman"/>
          <w:color w:val="000000" w:themeColor="text1"/>
          <w:sz w:val="28"/>
          <w:szCs w:val="28"/>
          <w:lang w:val="es-MX"/>
        </w:rPr>
        <w:t>l</w:t>
      </w:r>
      <w:r w:rsidRPr="00D61E7E">
        <w:rPr>
          <w:rFonts w:ascii="Times New Roman" w:hAnsi="Times New Roman" w:cs="Times New Roman"/>
          <w:color w:val="000000" w:themeColor="text1"/>
          <w:sz w:val="28"/>
          <w:szCs w:val="28"/>
          <w:lang w:val="es-MX"/>
        </w:rPr>
        <w:t xml:space="preserve"> auto del 1</w:t>
      </w:r>
      <w:r w:rsidRPr="00D61E7E">
        <w:rPr>
          <w:rFonts w:ascii="Times New Roman" w:hAnsi="Times New Roman" w:cs="Times New Roman"/>
          <w:color w:val="000000" w:themeColor="text1"/>
          <w:sz w:val="28"/>
          <w:szCs w:val="28"/>
          <w:lang w:val="es-MX"/>
        </w:rPr>
        <w:t>6</w:t>
      </w:r>
      <w:r w:rsidRPr="00D61E7E">
        <w:rPr>
          <w:rFonts w:ascii="Times New Roman" w:hAnsi="Times New Roman" w:cs="Times New Roman"/>
          <w:color w:val="000000" w:themeColor="text1"/>
          <w:sz w:val="28"/>
          <w:szCs w:val="28"/>
          <w:lang w:val="es-MX"/>
        </w:rPr>
        <w:t xml:space="preserve"> de </w:t>
      </w:r>
      <w:r w:rsidRPr="00D61E7E">
        <w:rPr>
          <w:rFonts w:ascii="Times New Roman" w:hAnsi="Times New Roman" w:cs="Times New Roman"/>
          <w:color w:val="000000" w:themeColor="text1"/>
          <w:sz w:val="28"/>
          <w:szCs w:val="28"/>
          <w:lang w:val="es-MX"/>
        </w:rPr>
        <w:t>febrero</w:t>
      </w:r>
      <w:r w:rsidRPr="00D61E7E">
        <w:rPr>
          <w:rFonts w:ascii="Times New Roman" w:hAnsi="Times New Roman" w:cs="Times New Roman"/>
          <w:color w:val="000000" w:themeColor="text1"/>
          <w:sz w:val="28"/>
          <w:szCs w:val="28"/>
          <w:lang w:val="es-MX"/>
        </w:rPr>
        <w:t xml:space="preserve"> de 202</w:t>
      </w:r>
      <w:r w:rsidRPr="00D61E7E">
        <w:rPr>
          <w:rFonts w:ascii="Times New Roman" w:hAnsi="Times New Roman" w:cs="Times New Roman"/>
          <w:color w:val="000000" w:themeColor="text1"/>
          <w:sz w:val="28"/>
          <w:szCs w:val="28"/>
          <w:lang w:val="es-MX"/>
        </w:rPr>
        <w:t>3</w:t>
      </w:r>
      <w:r w:rsidRPr="00D61E7E">
        <w:rPr>
          <w:rFonts w:ascii="Times New Roman" w:hAnsi="Times New Roman" w:cs="Times New Roman"/>
          <w:color w:val="000000" w:themeColor="text1"/>
          <w:sz w:val="28"/>
          <w:szCs w:val="28"/>
          <w:lang w:val="es-MX"/>
        </w:rPr>
        <w:t xml:space="preserve">, la magistrada sustanciadora </w:t>
      </w:r>
      <w:r w:rsidRPr="00D61E7E">
        <w:rPr>
          <w:rFonts w:ascii="Times New Roman" w:hAnsi="Times New Roman" w:cs="Times New Roman"/>
          <w:color w:val="000000" w:themeColor="text1"/>
          <w:sz w:val="28"/>
          <w:szCs w:val="28"/>
          <w:lang w:val="es-MX"/>
        </w:rPr>
        <w:t>admitió</w:t>
      </w:r>
      <w:r w:rsidRPr="00D61E7E">
        <w:rPr>
          <w:rFonts w:ascii="Times New Roman" w:hAnsi="Times New Roman" w:cs="Times New Roman"/>
          <w:color w:val="000000" w:themeColor="text1"/>
          <w:sz w:val="28"/>
          <w:szCs w:val="28"/>
          <w:lang w:val="es-MX"/>
        </w:rPr>
        <w:t xml:space="preserve"> el cargo de inconstitucionalidad formulado por el demandante contra los artículos 70 y 73 de la </w:t>
      </w:r>
      <w:r w:rsidRPr="00D61E7E">
        <w:rPr>
          <w:rFonts w:ascii="Times New Roman" w:hAnsi="Times New Roman" w:cs="Times New Roman"/>
          <w:color w:val="000000" w:themeColor="text1"/>
          <w:sz w:val="28"/>
          <w:szCs w:val="28"/>
          <w:lang w:val="es-MX"/>
        </w:rPr>
        <w:t>Ley 2069</w:t>
      </w:r>
      <w:r w:rsidRPr="00D61E7E">
        <w:rPr>
          <w:rFonts w:ascii="Times New Roman" w:hAnsi="Times New Roman" w:cs="Times New Roman"/>
          <w:color w:val="000000" w:themeColor="text1"/>
          <w:sz w:val="28"/>
          <w:szCs w:val="28"/>
          <w:lang w:val="es-MX"/>
        </w:rPr>
        <w:t xml:space="preserve"> de 2020</w:t>
      </w:r>
      <w:r w:rsidRPr="00D61E7E">
        <w:rPr>
          <w:rFonts w:ascii="Times New Roman" w:hAnsi="Times New Roman" w:cs="Times New Roman"/>
          <w:color w:val="000000" w:themeColor="text1"/>
          <w:sz w:val="28"/>
          <w:szCs w:val="28"/>
          <w:lang w:val="es-MX"/>
        </w:rPr>
        <w:t xml:space="preserve"> por la presunta violación del principio de unidad de materia</w:t>
      </w:r>
      <w:r w:rsidRPr="00D61E7E">
        <w:rPr>
          <w:rFonts w:ascii="Times New Roman" w:hAnsi="Times New Roman" w:cs="Times New Roman"/>
          <w:color w:val="000000" w:themeColor="text1"/>
          <w:sz w:val="28"/>
          <w:szCs w:val="28"/>
          <w:lang w:val="es-MX"/>
        </w:rPr>
        <w:t>,</w:t>
      </w:r>
      <w:r w:rsidRPr="00D61E7E">
        <w:rPr>
          <w:rFonts w:ascii="Times New Roman" w:hAnsi="Times New Roman" w:cs="Times New Roman"/>
          <w:color w:val="000000" w:themeColor="text1"/>
          <w:sz w:val="28"/>
          <w:szCs w:val="28"/>
          <w:lang w:val="es-MX"/>
        </w:rPr>
        <w:t xml:space="preserve"> contenido en los artículos 158 y 169 de la Constitución. </w:t>
      </w:r>
      <w:r w:rsidRPr="00D61E7E">
        <w:rPr>
          <w:rFonts w:ascii="Times New Roman" w:hAnsi="Times New Roman" w:cs="Times New Roman"/>
          <w:color w:val="000000" w:themeColor="text1"/>
          <w:sz w:val="28"/>
          <w:szCs w:val="28"/>
          <w:lang w:val="es-MX"/>
        </w:rPr>
        <w:t>E</w:t>
      </w:r>
      <w:r w:rsidRPr="00D61E7E">
        <w:rPr>
          <w:rFonts w:ascii="Times New Roman" w:hAnsi="Times New Roman" w:cs="Times New Roman"/>
          <w:color w:val="000000" w:themeColor="text1"/>
          <w:sz w:val="28"/>
          <w:szCs w:val="28"/>
          <w:lang w:val="es-MX"/>
        </w:rPr>
        <w:t>n l</w:t>
      </w:r>
      <w:r w:rsidRPr="00D61E7E">
        <w:rPr>
          <w:rFonts w:ascii="Times New Roman" w:hAnsi="Times New Roman" w:cs="Times New Roman"/>
          <w:color w:val="000000" w:themeColor="text1"/>
          <w:sz w:val="28"/>
          <w:szCs w:val="28"/>
          <w:lang w:val="es-MX"/>
        </w:rPr>
        <w:t>a</w:t>
      </w:r>
      <w:r w:rsidRPr="00D61E7E">
        <w:rPr>
          <w:rFonts w:ascii="Times New Roman" w:hAnsi="Times New Roman" w:cs="Times New Roman"/>
          <w:color w:val="000000" w:themeColor="text1"/>
          <w:sz w:val="28"/>
          <w:szCs w:val="28"/>
          <w:lang w:val="es-MX"/>
        </w:rPr>
        <w:t xml:space="preserve"> misma decisión, la magistrada inadmitió el cargo presentad</w:t>
      </w:r>
      <w:r w:rsidRPr="00D61E7E">
        <w:rPr>
          <w:rFonts w:ascii="Times New Roman" w:hAnsi="Times New Roman" w:cs="Times New Roman"/>
          <w:color w:val="000000" w:themeColor="text1"/>
          <w:sz w:val="28"/>
          <w:szCs w:val="28"/>
          <w:lang w:val="es-MX"/>
        </w:rPr>
        <w:t>o</w:t>
      </w:r>
      <w:r w:rsidRPr="00D61E7E">
        <w:rPr>
          <w:rFonts w:ascii="Times New Roman" w:hAnsi="Times New Roman" w:cs="Times New Roman"/>
          <w:color w:val="000000" w:themeColor="text1"/>
          <w:sz w:val="28"/>
          <w:szCs w:val="28"/>
          <w:lang w:val="es-MX"/>
        </w:rPr>
        <w:t xml:space="preserve"> por el señor López Molina contra el art</w:t>
      </w:r>
      <w:r w:rsidRPr="00D61E7E">
        <w:rPr>
          <w:rFonts w:ascii="Times New Roman" w:hAnsi="Times New Roman" w:cs="Times New Roman"/>
          <w:color w:val="000000" w:themeColor="text1"/>
          <w:sz w:val="28"/>
          <w:szCs w:val="28"/>
          <w:lang w:val="es-MX"/>
        </w:rPr>
        <w:t>í</w:t>
      </w:r>
      <w:r w:rsidRPr="00D61E7E">
        <w:rPr>
          <w:rFonts w:ascii="Times New Roman" w:hAnsi="Times New Roman" w:cs="Times New Roman"/>
          <w:color w:val="000000" w:themeColor="text1"/>
          <w:sz w:val="28"/>
          <w:szCs w:val="28"/>
          <w:lang w:val="es-MX"/>
        </w:rPr>
        <w:t xml:space="preserve">culo 70 (parcial) de la </w:t>
      </w:r>
      <w:r w:rsidRPr="00D61E7E">
        <w:rPr>
          <w:rFonts w:ascii="Times New Roman" w:hAnsi="Times New Roman" w:cs="Times New Roman"/>
          <w:color w:val="000000" w:themeColor="text1"/>
          <w:sz w:val="28"/>
          <w:szCs w:val="28"/>
          <w:lang w:val="es-MX"/>
        </w:rPr>
        <w:t>Ley 2069 de 2020</w:t>
      </w:r>
      <w:r w:rsidRPr="00D61E7E">
        <w:rPr>
          <w:rFonts w:ascii="Times New Roman" w:hAnsi="Times New Roman" w:cs="Times New Roman"/>
          <w:color w:val="000000" w:themeColor="text1"/>
          <w:sz w:val="28"/>
          <w:szCs w:val="28"/>
          <w:lang w:val="es-MX"/>
        </w:rPr>
        <w:t xml:space="preserve"> por la presunta vulneración del artículo 338 de la Constitución.  </w:t>
      </w:r>
    </w:p>
    <w:p w:rsidR="000571B3" w:rsidRPr="00D61E7E" w:rsidRDefault="00D61E7E" w:rsidP="004B63ED">
      <w:pPr>
        <w:rPr>
          <w:rFonts w:ascii="Times New Roman" w:hAnsi="Times New Roman" w:cs="Times New Roman"/>
          <w:color w:val="000000" w:themeColor="text1"/>
          <w:sz w:val="28"/>
          <w:szCs w:val="28"/>
          <w:lang w:val="es-MX"/>
        </w:rPr>
      </w:pPr>
    </w:p>
    <w:p w:rsidR="00637BF6" w:rsidRPr="00D61E7E" w:rsidRDefault="00D61E7E" w:rsidP="00FB69AA">
      <w:pPr>
        <w:pStyle w:val="Prrafodelista"/>
        <w:numPr>
          <w:ilvl w:val="0"/>
          <w:numId w:val="1"/>
        </w:numPr>
        <w:ind w:left="0" w:firstLine="0"/>
        <w:rPr>
          <w:rFonts w:ascii="Times New Roman" w:hAnsi="Times New Roman" w:cs="Times New Roman"/>
          <w:color w:val="000000" w:themeColor="text1"/>
          <w:sz w:val="28"/>
          <w:szCs w:val="28"/>
          <w:lang w:val="es-ES"/>
        </w:rPr>
      </w:pPr>
      <w:r w:rsidRPr="00D61E7E">
        <w:rPr>
          <w:rFonts w:ascii="Times New Roman" w:hAnsi="Times New Roman" w:cs="Times New Roman"/>
          <w:color w:val="000000" w:themeColor="text1"/>
          <w:sz w:val="28"/>
          <w:szCs w:val="28"/>
          <w:lang w:val="es-MX"/>
        </w:rPr>
        <w:t xml:space="preserve">El 23 de </w:t>
      </w:r>
      <w:r w:rsidRPr="00D61E7E">
        <w:rPr>
          <w:rFonts w:ascii="Times New Roman" w:hAnsi="Times New Roman" w:cs="Times New Roman"/>
          <w:color w:val="000000" w:themeColor="text1"/>
          <w:sz w:val="28"/>
          <w:szCs w:val="28"/>
          <w:lang w:val="es-MX"/>
        </w:rPr>
        <w:t xml:space="preserve">febrero siguiente, </w:t>
      </w:r>
      <w:r w:rsidRPr="00D61E7E">
        <w:rPr>
          <w:rFonts w:ascii="Times New Roman" w:hAnsi="Times New Roman" w:cs="Times New Roman"/>
          <w:color w:val="000000" w:themeColor="text1"/>
          <w:sz w:val="28"/>
          <w:szCs w:val="28"/>
          <w:lang w:val="es-MX"/>
        </w:rPr>
        <w:t xml:space="preserve">el </w:t>
      </w:r>
      <w:r w:rsidRPr="00D61E7E">
        <w:rPr>
          <w:rFonts w:ascii="Times New Roman" w:hAnsi="Times New Roman" w:cs="Times New Roman"/>
          <w:color w:val="000000" w:themeColor="text1"/>
          <w:sz w:val="28"/>
          <w:szCs w:val="28"/>
          <w:lang w:val="es-MX"/>
        </w:rPr>
        <w:t xml:space="preserve">actor </w:t>
      </w:r>
      <w:r w:rsidRPr="00D61E7E">
        <w:rPr>
          <w:rFonts w:ascii="Times New Roman" w:hAnsi="Times New Roman" w:cs="Times New Roman"/>
          <w:color w:val="000000" w:themeColor="text1"/>
          <w:sz w:val="28"/>
          <w:szCs w:val="28"/>
          <w:lang w:val="es-MX"/>
        </w:rPr>
        <w:t xml:space="preserve">presentó un escrito de corrección </w:t>
      </w:r>
      <w:r w:rsidRPr="00D61E7E">
        <w:rPr>
          <w:rFonts w:ascii="Times New Roman" w:hAnsi="Times New Roman" w:cs="Times New Roman"/>
          <w:color w:val="000000" w:themeColor="text1"/>
          <w:sz w:val="28"/>
          <w:szCs w:val="28"/>
          <w:lang w:val="es-MX"/>
        </w:rPr>
        <w:t xml:space="preserve">frente al cargo inadmitido. En </w:t>
      </w:r>
      <w:r w:rsidRPr="00D61E7E">
        <w:rPr>
          <w:rFonts w:ascii="Times New Roman" w:hAnsi="Times New Roman" w:cs="Times New Roman"/>
          <w:color w:val="000000" w:themeColor="text1"/>
          <w:sz w:val="28"/>
          <w:szCs w:val="28"/>
          <w:lang w:val="es-MX"/>
        </w:rPr>
        <w:t xml:space="preserve">un </w:t>
      </w:r>
      <w:r w:rsidRPr="00D61E7E">
        <w:rPr>
          <w:rFonts w:ascii="Times New Roman" w:hAnsi="Times New Roman" w:cs="Times New Roman"/>
          <w:color w:val="000000" w:themeColor="text1"/>
          <w:sz w:val="28"/>
          <w:szCs w:val="28"/>
          <w:lang w:val="es-MX"/>
        </w:rPr>
        <w:t>auto del 14 de marzo de 2023, la m</w:t>
      </w:r>
      <w:r w:rsidRPr="00D61E7E">
        <w:rPr>
          <w:rFonts w:ascii="Times New Roman" w:hAnsi="Times New Roman" w:cs="Times New Roman"/>
          <w:color w:val="000000" w:themeColor="text1"/>
          <w:sz w:val="28"/>
          <w:szCs w:val="28"/>
          <w:lang w:val="es-MX"/>
        </w:rPr>
        <w:t>a</w:t>
      </w:r>
      <w:r w:rsidRPr="00D61E7E">
        <w:rPr>
          <w:rFonts w:ascii="Times New Roman" w:hAnsi="Times New Roman" w:cs="Times New Roman"/>
          <w:color w:val="000000" w:themeColor="text1"/>
          <w:sz w:val="28"/>
          <w:szCs w:val="28"/>
          <w:lang w:val="es-MX"/>
        </w:rPr>
        <w:t>gi</w:t>
      </w:r>
      <w:r w:rsidRPr="00D61E7E">
        <w:rPr>
          <w:rFonts w:ascii="Times New Roman" w:hAnsi="Times New Roman" w:cs="Times New Roman"/>
          <w:color w:val="000000" w:themeColor="text1"/>
          <w:sz w:val="28"/>
          <w:szCs w:val="28"/>
          <w:lang w:val="es-MX"/>
        </w:rPr>
        <w:t xml:space="preserve">strada sustanciadora </w:t>
      </w:r>
      <w:r w:rsidRPr="00D61E7E">
        <w:rPr>
          <w:rFonts w:ascii="Times New Roman" w:hAnsi="Times New Roman" w:cs="Times New Roman"/>
          <w:color w:val="000000" w:themeColor="text1"/>
          <w:sz w:val="28"/>
          <w:szCs w:val="28"/>
          <w:lang w:val="es-MX"/>
        </w:rPr>
        <w:t xml:space="preserve">encontró que no se habían corregido los problemas de la demanda, y </w:t>
      </w:r>
      <w:r w:rsidRPr="00D61E7E">
        <w:rPr>
          <w:rFonts w:ascii="Times New Roman" w:hAnsi="Times New Roman" w:cs="Times New Roman"/>
          <w:color w:val="000000" w:themeColor="text1"/>
          <w:sz w:val="28"/>
          <w:szCs w:val="28"/>
          <w:lang w:val="es-MX"/>
        </w:rPr>
        <w:t xml:space="preserve">resolvió rechazar el cargo incialmente inadmitido. </w:t>
      </w:r>
    </w:p>
    <w:p w:rsidR="009403FC" w:rsidRPr="00D61E7E" w:rsidRDefault="00D61E7E" w:rsidP="004B63ED">
      <w:pPr>
        <w:pStyle w:val="Prrafodelista"/>
        <w:ind w:left="0"/>
        <w:rPr>
          <w:rFonts w:ascii="Times New Roman" w:hAnsi="Times New Roman" w:cs="Times New Roman"/>
          <w:color w:val="000000" w:themeColor="text1"/>
          <w:sz w:val="28"/>
          <w:szCs w:val="28"/>
          <w:lang w:val="es-ES"/>
        </w:rPr>
      </w:pPr>
    </w:p>
    <w:p w:rsidR="008C0378" w:rsidRPr="00D61E7E" w:rsidRDefault="00D61E7E" w:rsidP="00E24D21">
      <w:pPr>
        <w:contextualSpacing/>
        <w:rPr>
          <w:rFonts w:ascii="Times New Roman" w:eastAsia="Calibri" w:hAnsi="Times New Roman" w:cs="Times New Roman"/>
          <w:b/>
          <w:bCs/>
          <w:color w:val="000000" w:themeColor="text1"/>
          <w:sz w:val="28"/>
          <w:szCs w:val="28"/>
          <w:u w:color="000000"/>
          <w:lang w:val="es-ES"/>
        </w:rPr>
      </w:pPr>
      <w:r w:rsidRPr="00D61E7E">
        <w:rPr>
          <w:rFonts w:ascii="Times New Roman" w:eastAsia="Calibri" w:hAnsi="Times New Roman" w:cs="Times New Roman"/>
          <w:b/>
          <w:bCs/>
          <w:color w:val="000000" w:themeColor="text1"/>
          <w:sz w:val="28"/>
          <w:szCs w:val="28"/>
          <w:u w:color="000000"/>
          <w:lang w:val="es-ES"/>
        </w:rPr>
        <w:t xml:space="preserve">II. TEXTO DE LAS </w:t>
      </w:r>
      <w:r w:rsidRPr="00D61E7E">
        <w:rPr>
          <w:rFonts w:ascii="Times New Roman" w:eastAsia="Calibri" w:hAnsi="Times New Roman" w:cs="Times New Roman"/>
          <w:b/>
          <w:bCs/>
          <w:color w:val="000000" w:themeColor="text1"/>
          <w:sz w:val="28"/>
          <w:szCs w:val="28"/>
          <w:u w:color="000000"/>
          <w:lang w:val="es-ES"/>
        </w:rPr>
        <w:t>NORMAS DEMANDADAS</w:t>
      </w:r>
    </w:p>
    <w:p w:rsidR="003B1C96" w:rsidRPr="00D61E7E" w:rsidRDefault="00D61E7E" w:rsidP="00E24D21">
      <w:pPr>
        <w:pStyle w:val="Prrafodelista"/>
        <w:ind w:left="0"/>
        <w:rPr>
          <w:rFonts w:ascii="Times New Roman" w:eastAsia="Calibri" w:hAnsi="Times New Roman" w:cs="Times New Roman"/>
          <w:bCs/>
          <w:color w:val="000000" w:themeColor="text1"/>
          <w:sz w:val="28"/>
          <w:szCs w:val="28"/>
          <w:u w:color="000000"/>
          <w:lang w:val="es-ES"/>
        </w:rPr>
      </w:pPr>
    </w:p>
    <w:p w:rsidR="008C0378" w:rsidRPr="00D61E7E" w:rsidRDefault="00D61E7E" w:rsidP="000571B3">
      <w:pPr>
        <w:pStyle w:val="Prrafodelista"/>
        <w:ind w:left="0"/>
        <w:rPr>
          <w:rFonts w:ascii="Times New Roman" w:eastAsia="Calibri" w:hAnsi="Times New Roman" w:cs="Times New Roman"/>
          <w:bCs/>
          <w:color w:val="000000" w:themeColor="text1"/>
          <w:sz w:val="28"/>
          <w:szCs w:val="28"/>
          <w:u w:color="000000"/>
          <w:lang w:val="es-ES"/>
        </w:rPr>
      </w:pPr>
      <w:r w:rsidRPr="00D61E7E">
        <w:rPr>
          <w:rFonts w:ascii="Times New Roman" w:eastAsia="Calibri" w:hAnsi="Times New Roman" w:cs="Times New Roman"/>
          <w:bCs/>
          <w:color w:val="000000" w:themeColor="text1"/>
          <w:sz w:val="28"/>
          <w:szCs w:val="28"/>
          <w:u w:color="000000"/>
          <w:lang w:val="es-ES"/>
        </w:rPr>
        <w:t xml:space="preserve">A continuación, se transcriben </w:t>
      </w:r>
      <w:r w:rsidRPr="00D61E7E">
        <w:rPr>
          <w:rFonts w:ascii="Times New Roman" w:eastAsia="Calibri" w:hAnsi="Times New Roman" w:cs="Times New Roman"/>
          <w:bCs/>
          <w:color w:val="000000" w:themeColor="text1"/>
          <w:sz w:val="28"/>
          <w:szCs w:val="28"/>
          <w:u w:color="000000"/>
          <w:lang w:val="es-ES"/>
        </w:rPr>
        <w:t>l</w:t>
      </w:r>
      <w:r w:rsidRPr="00D61E7E">
        <w:rPr>
          <w:rFonts w:ascii="Times New Roman" w:eastAsia="Calibri" w:hAnsi="Times New Roman" w:cs="Times New Roman"/>
          <w:bCs/>
          <w:color w:val="000000" w:themeColor="text1"/>
          <w:sz w:val="28"/>
          <w:szCs w:val="28"/>
          <w:u w:color="000000"/>
          <w:lang w:val="es-ES"/>
        </w:rPr>
        <w:t>as</w:t>
      </w:r>
      <w:r w:rsidRPr="00D61E7E">
        <w:rPr>
          <w:rFonts w:ascii="Times New Roman" w:eastAsia="Calibri" w:hAnsi="Times New Roman" w:cs="Times New Roman"/>
          <w:bCs/>
          <w:color w:val="000000" w:themeColor="text1"/>
          <w:sz w:val="28"/>
          <w:szCs w:val="28"/>
          <w:u w:color="000000"/>
          <w:lang w:val="es-ES"/>
        </w:rPr>
        <w:t xml:space="preserve"> normas demanda</w:t>
      </w:r>
      <w:r w:rsidRPr="00D61E7E">
        <w:rPr>
          <w:rFonts w:ascii="Times New Roman" w:eastAsia="Calibri" w:hAnsi="Times New Roman" w:cs="Times New Roman"/>
          <w:bCs/>
          <w:color w:val="000000" w:themeColor="text1"/>
          <w:sz w:val="28"/>
          <w:szCs w:val="28"/>
          <w:u w:color="000000"/>
          <w:lang w:val="es-ES"/>
        </w:rPr>
        <w:t>da</w:t>
      </w:r>
      <w:r w:rsidRPr="00D61E7E">
        <w:rPr>
          <w:rFonts w:ascii="Times New Roman" w:eastAsia="Calibri" w:hAnsi="Times New Roman" w:cs="Times New Roman"/>
          <w:bCs/>
          <w:color w:val="000000" w:themeColor="text1"/>
          <w:sz w:val="28"/>
          <w:szCs w:val="28"/>
          <w:u w:color="000000"/>
          <w:lang w:val="es-ES"/>
        </w:rPr>
        <w:t>s</w:t>
      </w:r>
      <w:r w:rsidRPr="00D61E7E">
        <w:rPr>
          <w:rFonts w:ascii="Times New Roman" w:eastAsia="Calibri" w:hAnsi="Times New Roman" w:cs="Times New Roman"/>
          <w:bCs/>
          <w:color w:val="000000" w:themeColor="text1"/>
          <w:sz w:val="28"/>
          <w:szCs w:val="28"/>
          <w:u w:color="000000"/>
          <w:lang w:val="es-ES"/>
        </w:rPr>
        <w:t xml:space="preserve"> de acuerdo </w:t>
      </w:r>
      <w:r w:rsidRPr="00D61E7E">
        <w:rPr>
          <w:rFonts w:ascii="Times New Roman" w:eastAsia="Calibri" w:hAnsi="Times New Roman" w:cs="Times New Roman"/>
          <w:bCs/>
          <w:color w:val="000000" w:themeColor="text1"/>
          <w:sz w:val="28"/>
          <w:szCs w:val="28"/>
          <w:u w:color="000000"/>
          <w:lang w:val="es-ES"/>
        </w:rPr>
        <w:t xml:space="preserve">con el </w:t>
      </w:r>
      <w:r w:rsidRPr="00D61E7E">
        <w:rPr>
          <w:rFonts w:ascii="Times New Roman" w:eastAsia="Calibri" w:hAnsi="Times New Roman" w:cs="Times New Roman"/>
          <w:bCs/>
          <w:color w:val="000000" w:themeColor="text1"/>
          <w:sz w:val="28"/>
          <w:szCs w:val="28"/>
          <w:u w:color="000000"/>
          <w:lang w:val="es-ES"/>
        </w:rPr>
        <w:t xml:space="preserve">auto parcial de admisión proferido el </w:t>
      </w:r>
      <w:r w:rsidRPr="00D61E7E">
        <w:rPr>
          <w:rFonts w:ascii="Times New Roman" w:eastAsia="Calibri" w:hAnsi="Times New Roman" w:cs="Times New Roman"/>
          <w:bCs/>
          <w:color w:val="000000" w:themeColor="text1"/>
          <w:sz w:val="28"/>
          <w:szCs w:val="28"/>
          <w:u w:color="000000"/>
          <w:lang w:val="es-ES"/>
        </w:rPr>
        <w:t>16</w:t>
      </w:r>
      <w:r w:rsidRPr="00D61E7E">
        <w:rPr>
          <w:rFonts w:ascii="Times New Roman" w:eastAsia="Calibri" w:hAnsi="Times New Roman" w:cs="Times New Roman"/>
          <w:bCs/>
          <w:color w:val="000000" w:themeColor="text1"/>
          <w:sz w:val="28"/>
          <w:szCs w:val="28"/>
          <w:u w:color="000000"/>
          <w:lang w:val="es-ES"/>
        </w:rPr>
        <w:t xml:space="preserve"> </w:t>
      </w:r>
      <w:r w:rsidRPr="00D61E7E">
        <w:rPr>
          <w:rFonts w:ascii="Times New Roman" w:eastAsia="Calibri" w:hAnsi="Times New Roman" w:cs="Times New Roman"/>
          <w:bCs/>
          <w:color w:val="000000" w:themeColor="text1"/>
          <w:sz w:val="28"/>
          <w:szCs w:val="28"/>
          <w:u w:color="000000"/>
          <w:lang w:val="es-ES"/>
        </w:rPr>
        <w:t>de febrero</w:t>
      </w:r>
      <w:r w:rsidRPr="00D61E7E">
        <w:rPr>
          <w:rFonts w:ascii="Times New Roman" w:eastAsia="Calibri" w:hAnsi="Times New Roman" w:cs="Times New Roman"/>
          <w:bCs/>
          <w:color w:val="000000" w:themeColor="text1"/>
          <w:sz w:val="28"/>
          <w:szCs w:val="28"/>
          <w:u w:color="000000"/>
          <w:lang w:val="es-ES"/>
        </w:rPr>
        <w:t xml:space="preserve"> de 2023</w:t>
      </w:r>
      <w:r w:rsidRPr="00D61E7E">
        <w:rPr>
          <w:rFonts w:ascii="Times New Roman" w:eastAsia="Calibri" w:hAnsi="Times New Roman" w:cs="Times New Roman"/>
          <w:bCs/>
          <w:color w:val="000000" w:themeColor="text1"/>
          <w:sz w:val="28"/>
          <w:szCs w:val="28"/>
          <w:u w:color="000000"/>
          <w:lang w:val="es-ES"/>
        </w:rPr>
        <w:t>:</w:t>
      </w:r>
    </w:p>
    <w:p w:rsidR="00CD55FC" w:rsidRPr="00D61E7E" w:rsidRDefault="00D61E7E" w:rsidP="000571B3">
      <w:pPr>
        <w:pStyle w:val="Prrafodelista"/>
        <w:ind w:left="0"/>
        <w:rPr>
          <w:rFonts w:ascii="Times New Roman" w:eastAsia="Calibri" w:hAnsi="Times New Roman" w:cs="Times New Roman"/>
          <w:bCs/>
          <w:color w:val="000000" w:themeColor="text1"/>
          <w:sz w:val="28"/>
          <w:szCs w:val="28"/>
          <w:u w:color="000000"/>
          <w:lang w:val="es-ES"/>
        </w:rPr>
      </w:pPr>
    </w:p>
    <w:p w:rsidR="00CD55FC" w:rsidRPr="00D61E7E" w:rsidRDefault="00D61E7E" w:rsidP="00CD55FC">
      <w:pPr>
        <w:pStyle w:val="centrado"/>
        <w:spacing w:before="0" w:beforeAutospacing="0" w:after="0" w:afterAutospacing="0"/>
        <w:ind w:right="49"/>
        <w:contextualSpacing/>
        <w:jc w:val="center"/>
        <w:rPr>
          <w:rFonts w:ascii="Times New Roman" w:eastAsiaTheme="minorHAnsi" w:hAnsi="Times New Roman" w:cs="Times New Roman"/>
          <w:b/>
          <w:bCs/>
          <w:color w:val="000000" w:themeColor="text1"/>
          <w:sz w:val="28"/>
          <w:lang w:eastAsia="es-ES"/>
        </w:rPr>
      </w:pPr>
      <w:r w:rsidRPr="00D61E7E">
        <w:rPr>
          <w:rFonts w:ascii="Times New Roman" w:eastAsiaTheme="minorHAnsi" w:hAnsi="Times New Roman" w:cs="Times New Roman"/>
          <w:color w:val="000000" w:themeColor="text1"/>
          <w:sz w:val="28"/>
          <w:lang w:eastAsia="es-ES"/>
        </w:rPr>
        <w:t>“</w:t>
      </w:r>
      <w:r w:rsidRPr="00D61E7E">
        <w:rPr>
          <w:rFonts w:ascii="Times New Roman" w:eastAsiaTheme="minorHAnsi" w:hAnsi="Times New Roman" w:cs="Times New Roman"/>
          <w:b/>
          <w:bCs/>
          <w:color w:val="000000" w:themeColor="text1"/>
          <w:sz w:val="28"/>
          <w:lang w:eastAsia="es-ES"/>
        </w:rPr>
        <w:t>Ley 2069 de 2020</w:t>
      </w:r>
    </w:p>
    <w:p w:rsidR="00CD55FC" w:rsidRPr="00D61E7E" w:rsidRDefault="00D61E7E" w:rsidP="00CD55FC">
      <w:pPr>
        <w:pStyle w:val="centrado"/>
        <w:spacing w:before="0" w:beforeAutospacing="0" w:after="0" w:afterAutospacing="0"/>
        <w:ind w:right="49"/>
        <w:contextualSpacing/>
        <w:jc w:val="center"/>
        <w:rPr>
          <w:rFonts w:ascii="Times New Roman" w:eastAsiaTheme="minorHAnsi" w:hAnsi="Times New Roman" w:cs="Times New Roman"/>
          <w:color w:val="000000" w:themeColor="text1"/>
          <w:sz w:val="28"/>
          <w:lang w:eastAsia="es-ES"/>
        </w:rPr>
      </w:pPr>
      <w:r w:rsidRPr="00D61E7E">
        <w:rPr>
          <w:rFonts w:ascii="Times New Roman" w:eastAsiaTheme="minorHAnsi" w:hAnsi="Times New Roman" w:cs="Times New Roman"/>
          <w:color w:val="000000" w:themeColor="text1"/>
          <w:sz w:val="28"/>
          <w:lang w:eastAsia="es-ES"/>
        </w:rPr>
        <w:t>(diciembre 31)</w:t>
      </w:r>
    </w:p>
    <w:p w:rsidR="00CD55FC" w:rsidRPr="00D61E7E" w:rsidRDefault="00D61E7E" w:rsidP="00CD55FC">
      <w:pPr>
        <w:pStyle w:val="centrado"/>
        <w:spacing w:before="0" w:beforeAutospacing="0" w:after="0" w:afterAutospacing="0"/>
        <w:ind w:right="49"/>
        <w:contextualSpacing/>
        <w:jc w:val="center"/>
        <w:rPr>
          <w:rFonts w:ascii="Times New Roman" w:eastAsiaTheme="minorHAnsi" w:hAnsi="Times New Roman" w:cs="Times New Roman"/>
          <w:color w:val="000000" w:themeColor="text1"/>
          <w:sz w:val="28"/>
          <w:lang w:eastAsia="es-ES"/>
        </w:rPr>
      </w:pPr>
      <w:r w:rsidRPr="00D61E7E">
        <w:rPr>
          <w:rFonts w:ascii="Times New Roman" w:eastAsiaTheme="minorHAnsi" w:hAnsi="Times New Roman" w:cs="Times New Roman"/>
          <w:color w:val="000000" w:themeColor="text1"/>
          <w:sz w:val="28"/>
          <w:lang w:eastAsia="es-ES"/>
        </w:rPr>
        <w:t>Diario Oficial No. 51.544 del 31 de diciembre de 2020</w:t>
      </w:r>
    </w:p>
    <w:p w:rsidR="00CD55FC" w:rsidRPr="00D61E7E" w:rsidRDefault="00D61E7E" w:rsidP="00CD55FC">
      <w:pPr>
        <w:pStyle w:val="centrado"/>
        <w:spacing w:before="0" w:beforeAutospacing="0" w:after="0" w:afterAutospacing="0"/>
        <w:ind w:right="49"/>
        <w:contextualSpacing/>
        <w:jc w:val="center"/>
        <w:rPr>
          <w:rFonts w:ascii="Times New Roman" w:eastAsiaTheme="minorHAnsi" w:hAnsi="Times New Roman" w:cs="Times New Roman"/>
          <w:color w:val="000000" w:themeColor="text1"/>
          <w:sz w:val="28"/>
          <w:lang w:eastAsia="es-ES"/>
        </w:rPr>
      </w:pPr>
      <w:bookmarkStart w:id="2" w:name="_Hlk105592082"/>
      <w:r w:rsidRPr="00D61E7E">
        <w:rPr>
          <w:rFonts w:ascii="Times New Roman" w:eastAsiaTheme="minorHAnsi" w:hAnsi="Times New Roman" w:cs="Times New Roman"/>
          <w:color w:val="000000" w:themeColor="text1"/>
          <w:sz w:val="28"/>
          <w:lang w:eastAsia="es-ES"/>
        </w:rPr>
        <w:t>Por medio de la cual se impulsa el emprendimiento en Colombia</w:t>
      </w:r>
    </w:p>
    <w:p w:rsidR="00CD55FC" w:rsidRPr="00D61E7E" w:rsidRDefault="00D61E7E" w:rsidP="00CD55FC">
      <w:pPr>
        <w:pStyle w:val="centrado"/>
        <w:spacing w:before="0" w:beforeAutospacing="0" w:after="0" w:afterAutospacing="0"/>
        <w:ind w:right="49"/>
        <w:contextualSpacing/>
        <w:jc w:val="center"/>
        <w:rPr>
          <w:rFonts w:ascii="Times New Roman" w:eastAsiaTheme="minorHAnsi" w:hAnsi="Times New Roman" w:cs="Times New Roman"/>
          <w:color w:val="000000" w:themeColor="text1"/>
          <w:sz w:val="28"/>
          <w:lang w:eastAsia="es-ES"/>
        </w:rPr>
      </w:pPr>
    </w:p>
    <w:p w:rsidR="00CD55FC" w:rsidRPr="00D61E7E" w:rsidRDefault="00D61E7E" w:rsidP="00CD55FC">
      <w:pPr>
        <w:pStyle w:val="centrado"/>
        <w:spacing w:before="0" w:beforeAutospacing="0" w:after="0" w:afterAutospacing="0"/>
        <w:ind w:right="49"/>
        <w:contextualSpacing/>
        <w:jc w:val="both"/>
        <w:rPr>
          <w:rFonts w:ascii="Times New Roman" w:eastAsiaTheme="minorHAnsi" w:hAnsi="Times New Roman" w:cs="Times New Roman"/>
          <w:color w:val="000000" w:themeColor="text1"/>
          <w:sz w:val="28"/>
          <w:lang w:eastAsia="es-ES"/>
        </w:rPr>
      </w:pPr>
      <w:r w:rsidRPr="00D61E7E">
        <w:rPr>
          <w:rFonts w:ascii="Times New Roman" w:eastAsiaTheme="minorHAnsi" w:hAnsi="Times New Roman" w:cs="Times New Roman"/>
          <w:color w:val="000000" w:themeColor="text1"/>
          <w:sz w:val="28"/>
          <w:lang w:eastAsia="es-ES"/>
        </w:rPr>
        <w:t xml:space="preserve">Artículo 70. </w:t>
      </w:r>
      <w:bookmarkStart w:id="3" w:name="OLE_LINK1"/>
      <w:r w:rsidRPr="00D61E7E">
        <w:rPr>
          <w:rFonts w:ascii="Times New Roman" w:eastAsiaTheme="minorHAnsi" w:hAnsi="Times New Roman" w:cs="Times New Roman"/>
          <w:color w:val="000000" w:themeColor="text1"/>
          <w:sz w:val="28"/>
          <w:lang w:eastAsia="es-ES"/>
        </w:rPr>
        <w:t>Facili</w:t>
      </w:r>
      <w:r w:rsidRPr="00D61E7E">
        <w:rPr>
          <w:rFonts w:ascii="Times New Roman" w:eastAsiaTheme="minorHAnsi" w:hAnsi="Times New Roman" w:cs="Times New Roman"/>
          <w:color w:val="000000" w:themeColor="text1"/>
          <w:sz w:val="28"/>
          <w:lang w:eastAsia="es-ES"/>
        </w:rPr>
        <w:t>dades</w:t>
      </w:r>
      <w:r w:rsidRPr="00D61E7E">
        <w:rPr>
          <w:rFonts w:ascii="Times New Roman" w:eastAsiaTheme="minorHAnsi" w:hAnsi="Times New Roman" w:cs="Times New Roman"/>
          <w:color w:val="000000" w:themeColor="text1"/>
          <w:sz w:val="28"/>
          <w:lang w:eastAsia="es-ES"/>
        </w:rPr>
        <w:t xml:space="preserve"> para el emprendimiento</w:t>
      </w:r>
      <w:bookmarkEnd w:id="3"/>
      <w:r w:rsidRPr="00D61E7E">
        <w:rPr>
          <w:rFonts w:ascii="Times New Roman" w:eastAsiaTheme="minorHAnsi" w:hAnsi="Times New Roman" w:cs="Times New Roman"/>
          <w:color w:val="000000" w:themeColor="text1"/>
          <w:sz w:val="28"/>
          <w:lang w:eastAsia="es-ES"/>
        </w:rPr>
        <w:t xml:space="preserve">. Con el fin de generar sinergias, facilidades y alivios a los emprendedores, a partir del 1 de enero de 2022, la Superintendencia de Sociedades ejercerá las competencias asignadas por la Ley a la Superintendencia de </w:t>
      </w:r>
      <w:r w:rsidRPr="00D61E7E">
        <w:rPr>
          <w:rFonts w:ascii="Times New Roman" w:eastAsiaTheme="minorHAnsi" w:hAnsi="Times New Roman" w:cs="Times New Roman"/>
          <w:color w:val="000000" w:themeColor="text1"/>
          <w:sz w:val="28"/>
          <w:lang w:eastAsia="es-ES"/>
        </w:rPr>
        <w:t>I</w:t>
      </w:r>
      <w:r w:rsidRPr="00D61E7E">
        <w:rPr>
          <w:rFonts w:ascii="Times New Roman" w:eastAsiaTheme="minorHAnsi" w:hAnsi="Times New Roman" w:cs="Times New Roman"/>
          <w:color w:val="000000" w:themeColor="text1"/>
          <w:sz w:val="28"/>
          <w:lang w:eastAsia="es-ES"/>
        </w:rPr>
        <w:t>ndustria y Come</w:t>
      </w:r>
      <w:r w:rsidRPr="00D61E7E">
        <w:rPr>
          <w:rFonts w:ascii="Times New Roman" w:eastAsiaTheme="minorHAnsi" w:hAnsi="Times New Roman" w:cs="Times New Roman"/>
          <w:color w:val="000000" w:themeColor="text1"/>
          <w:sz w:val="28"/>
          <w:lang w:eastAsia="es-ES"/>
        </w:rPr>
        <w:t>rcio para la inspección, vigilancia y control de las cámaras de comercio, así como las previstas en los artículos 27, 37 y 94 del Código de Comercio respecto del registro mercantil, el ejercicio profesional del comercio y la apelación de los actos de regis</w:t>
      </w:r>
      <w:r w:rsidRPr="00D61E7E">
        <w:rPr>
          <w:rFonts w:ascii="Times New Roman" w:eastAsiaTheme="minorHAnsi" w:hAnsi="Times New Roman" w:cs="Times New Roman"/>
          <w:color w:val="000000" w:themeColor="text1"/>
          <w:sz w:val="28"/>
          <w:lang w:eastAsia="es-ES"/>
        </w:rPr>
        <w:t xml:space="preserve">tro. Desde dicha fecha, la mención realizada en cualquier norma jurídica a esta última superintendencia como autoridad de supervisión o superior jerárquico de las cámaras de comercio se entenderá referida a la Superintendencia de Sociedades. </w:t>
      </w:r>
    </w:p>
    <w:p w:rsidR="00CD55FC" w:rsidRPr="00D61E7E" w:rsidRDefault="00D61E7E" w:rsidP="00CD55FC">
      <w:pPr>
        <w:pStyle w:val="centrado"/>
        <w:spacing w:before="0" w:beforeAutospacing="0" w:after="0" w:afterAutospacing="0"/>
        <w:ind w:right="49"/>
        <w:contextualSpacing/>
        <w:jc w:val="both"/>
        <w:rPr>
          <w:rFonts w:ascii="Times New Roman" w:eastAsiaTheme="minorHAnsi" w:hAnsi="Times New Roman" w:cs="Times New Roman"/>
          <w:color w:val="000000" w:themeColor="text1"/>
          <w:sz w:val="28"/>
          <w:lang w:eastAsia="es-ES"/>
        </w:rPr>
      </w:pPr>
    </w:p>
    <w:p w:rsidR="00CD55FC" w:rsidRPr="00D61E7E" w:rsidRDefault="00D61E7E" w:rsidP="4B35200E">
      <w:pPr>
        <w:pStyle w:val="centrado"/>
        <w:spacing w:before="0" w:beforeAutospacing="0" w:after="0" w:afterAutospacing="0"/>
        <w:ind w:right="49"/>
        <w:contextualSpacing/>
        <w:jc w:val="both"/>
        <w:rPr>
          <w:rFonts w:ascii="Times New Roman" w:hAnsi="Times New Roman" w:cs="Times New Roman"/>
          <w:color w:val="000000" w:themeColor="text1"/>
          <w:sz w:val="28"/>
          <w:lang w:eastAsia="es-ES"/>
        </w:rPr>
      </w:pPr>
      <w:r w:rsidRPr="00D61E7E">
        <w:rPr>
          <w:rFonts w:ascii="Times New Roman" w:hAnsi="Times New Roman" w:cs="Times New Roman"/>
          <w:color w:val="000000" w:themeColor="text1"/>
          <w:sz w:val="28"/>
          <w:lang w:eastAsia="es-ES"/>
        </w:rPr>
        <w:t xml:space="preserve">El Gobierno </w:t>
      </w:r>
      <w:r w:rsidRPr="00D61E7E">
        <w:rPr>
          <w:rFonts w:ascii="Times New Roman" w:hAnsi="Times New Roman" w:cs="Times New Roman"/>
          <w:color w:val="000000" w:themeColor="text1"/>
          <w:sz w:val="28"/>
          <w:lang w:eastAsia="es-ES"/>
        </w:rPr>
        <w:t>nacional garantizará los recursos técnicos, administrativos, financieros y humanos para el traslado de tales funciones y establecerá la tarifa o contribución que por concepto del servicio administrativo de supervisión deberán pagar, las cámaras de comercio</w:t>
      </w:r>
      <w:r w:rsidRPr="00D61E7E">
        <w:rPr>
          <w:rFonts w:ascii="Times New Roman" w:hAnsi="Times New Roman" w:cs="Times New Roman"/>
          <w:color w:val="000000" w:themeColor="text1"/>
          <w:sz w:val="28"/>
          <w:lang w:eastAsia="es-ES"/>
        </w:rPr>
        <w:t xml:space="preserve"> a la Superintendencia de Sociedades, de conformidad con los recursos necesarias para tal fin y su presupuesto, la cual será recaudada por la Superintendencia de Sociedades. </w:t>
      </w:r>
    </w:p>
    <w:p w:rsidR="00CD55FC" w:rsidRPr="00D61E7E" w:rsidRDefault="00D61E7E" w:rsidP="00CD55FC">
      <w:pPr>
        <w:pStyle w:val="centrado"/>
        <w:spacing w:before="0" w:beforeAutospacing="0" w:after="0" w:afterAutospacing="0"/>
        <w:ind w:right="49"/>
        <w:contextualSpacing/>
        <w:jc w:val="both"/>
        <w:rPr>
          <w:rFonts w:ascii="Times New Roman" w:eastAsiaTheme="minorHAnsi" w:hAnsi="Times New Roman" w:cs="Times New Roman"/>
          <w:color w:val="000000" w:themeColor="text1"/>
          <w:sz w:val="28"/>
          <w:lang w:eastAsia="es-ES"/>
        </w:rPr>
      </w:pPr>
    </w:p>
    <w:p w:rsidR="00CD55FC" w:rsidRPr="00D61E7E" w:rsidRDefault="00D61E7E" w:rsidP="00CD55FC">
      <w:pPr>
        <w:pStyle w:val="centrado"/>
        <w:spacing w:before="0" w:beforeAutospacing="0" w:after="0" w:afterAutospacing="0"/>
        <w:ind w:right="49"/>
        <w:contextualSpacing/>
        <w:jc w:val="both"/>
        <w:rPr>
          <w:rFonts w:ascii="Times New Roman" w:eastAsiaTheme="minorHAnsi" w:hAnsi="Times New Roman" w:cs="Times New Roman"/>
          <w:color w:val="000000" w:themeColor="text1"/>
          <w:sz w:val="28"/>
          <w:lang w:eastAsia="es-ES"/>
        </w:rPr>
      </w:pPr>
      <w:r w:rsidRPr="00D61E7E">
        <w:rPr>
          <w:rFonts w:ascii="Times New Roman" w:eastAsiaTheme="minorHAnsi" w:hAnsi="Times New Roman" w:cs="Times New Roman"/>
          <w:color w:val="000000" w:themeColor="text1"/>
          <w:sz w:val="28"/>
          <w:lang w:eastAsia="es-ES"/>
        </w:rPr>
        <w:t>El Gobierno nacional reglamentará todo lo concerniente a este artículo.</w:t>
      </w:r>
    </w:p>
    <w:p w:rsidR="00CD55FC" w:rsidRPr="00D61E7E" w:rsidRDefault="00D61E7E" w:rsidP="00CD55FC">
      <w:pPr>
        <w:pStyle w:val="centrado"/>
        <w:spacing w:before="0" w:beforeAutospacing="0" w:after="0" w:afterAutospacing="0"/>
        <w:ind w:right="49"/>
        <w:contextualSpacing/>
        <w:jc w:val="both"/>
        <w:rPr>
          <w:rFonts w:ascii="Times New Roman" w:eastAsiaTheme="minorHAnsi" w:hAnsi="Times New Roman" w:cs="Times New Roman"/>
          <w:color w:val="000000" w:themeColor="text1"/>
          <w:sz w:val="28"/>
          <w:lang w:eastAsia="es-ES"/>
        </w:rPr>
      </w:pPr>
    </w:p>
    <w:p w:rsidR="00CD55FC" w:rsidRPr="00D61E7E" w:rsidRDefault="00D61E7E" w:rsidP="00CD55FC">
      <w:pPr>
        <w:pStyle w:val="centrado"/>
        <w:spacing w:before="0" w:beforeAutospacing="0" w:after="0" w:afterAutospacing="0"/>
        <w:ind w:right="49"/>
        <w:contextualSpacing/>
        <w:jc w:val="both"/>
        <w:rPr>
          <w:rFonts w:ascii="Times New Roman" w:eastAsiaTheme="minorHAnsi" w:hAnsi="Times New Roman" w:cs="Times New Roman"/>
          <w:color w:val="000000" w:themeColor="text1"/>
          <w:sz w:val="28"/>
          <w:lang w:eastAsia="es-ES"/>
        </w:rPr>
      </w:pPr>
      <w:r w:rsidRPr="00D61E7E">
        <w:rPr>
          <w:rFonts w:ascii="Times New Roman" w:eastAsiaTheme="minorHAnsi" w:hAnsi="Times New Roman" w:cs="Times New Roman"/>
          <w:color w:val="000000" w:themeColor="text1"/>
          <w:sz w:val="28"/>
          <w:lang w:eastAsia="es-ES"/>
        </w:rPr>
        <w:t>Artícul</w:t>
      </w:r>
      <w:r w:rsidRPr="00D61E7E">
        <w:rPr>
          <w:rFonts w:ascii="Times New Roman" w:eastAsiaTheme="minorHAnsi" w:hAnsi="Times New Roman" w:cs="Times New Roman"/>
          <w:color w:val="000000" w:themeColor="text1"/>
          <w:sz w:val="28"/>
          <w:lang w:eastAsia="es-ES"/>
        </w:rPr>
        <w:t xml:space="preserve">o 73. </w:t>
      </w:r>
      <w:bookmarkStart w:id="4" w:name="OLE_LINK2"/>
      <w:r w:rsidRPr="00D61E7E">
        <w:rPr>
          <w:rFonts w:ascii="Times New Roman" w:eastAsiaTheme="minorHAnsi" w:hAnsi="Times New Roman" w:cs="Times New Roman"/>
          <w:color w:val="000000" w:themeColor="text1"/>
          <w:sz w:val="28"/>
          <w:lang w:eastAsia="es-ES"/>
        </w:rPr>
        <w:t xml:space="preserve">Medios virtuales de prueba en materia tributaria y de control cambiario. </w:t>
      </w:r>
      <w:bookmarkEnd w:id="4"/>
      <w:r w:rsidRPr="00D61E7E">
        <w:rPr>
          <w:rFonts w:ascii="Times New Roman" w:eastAsiaTheme="minorHAnsi" w:hAnsi="Times New Roman" w:cs="Times New Roman"/>
          <w:color w:val="000000" w:themeColor="text1"/>
          <w:sz w:val="28"/>
          <w:lang w:eastAsia="es-ES"/>
        </w:rPr>
        <w:t>Una vez pierda vigencia el Decreto 807 de 4 de junio de 2020, lo dispuesto en sus artículos 5, 6, 7 y 8, que prevén la inspección tributaria virtual, la inspección contable virt</w:t>
      </w:r>
      <w:r w:rsidRPr="00D61E7E">
        <w:rPr>
          <w:rFonts w:ascii="Times New Roman" w:eastAsiaTheme="minorHAnsi" w:hAnsi="Times New Roman" w:cs="Times New Roman"/>
          <w:color w:val="000000" w:themeColor="text1"/>
          <w:sz w:val="28"/>
          <w:lang w:eastAsia="es-ES"/>
        </w:rPr>
        <w:t>ual, las visitas administrativas virtuales de inspección, vigilancia y control, e materia tributaria y las visitas administrativas virtuales de inspección, vigilancia y control, en materia de control cambiario, respectivamente, quedará incluido de manera p</w:t>
      </w:r>
      <w:r w:rsidRPr="00D61E7E">
        <w:rPr>
          <w:rFonts w:ascii="Times New Roman" w:eastAsiaTheme="minorHAnsi" w:hAnsi="Times New Roman" w:cs="Times New Roman"/>
          <w:color w:val="000000" w:themeColor="text1"/>
          <w:sz w:val="28"/>
          <w:lang w:eastAsia="es-ES"/>
        </w:rPr>
        <w:t xml:space="preserve">ermanente en el ordenamiento jurídico colombiano.  </w:t>
      </w:r>
    </w:p>
    <w:bookmarkEnd w:id="2"/>
    <w:p w:rsidR="000571B3" w:rsidRPr="00D61E7E" w:rsidRDefault="00D61E7E" w:rsidP="00CD55FC">
      <w:pPr>
        <w:pStyle w:val="paragraph"/>
        <w:spacing w:before="0" w:beforeAutospacing="0" w:after="0" w:afterAutospacing="0"/>
        <w:ind w:right="45"/>
        <w:textAlignment w:val="baseline"/>
        <w:rPr>
          <w:rFonts w:ascii="Times New Roman" w:hAnsi="Times New Roman" w:cs="Times New Roman"/>
          <w:b/>
          <w:bCs/>
          <w:color w:val="000000" w:themeColor="text1"/>
          <w:sz w:val="28"/>
          <w:szCs w:val="28"/>
        </w:rPr>
      </w:pPr>
    </w:p>
    <w:p w:rsidR="00D9457C" w:rsidRPr="00D61E7E" w:rsidRDefault="00D61E7E" w:rsidP="008C0378">
      <w:pPr>
        <w:pStyle w:val="Prrafodelista"/>
        <w:ind w:left="0"/>
        <w:rPr>
          <w:rFonts w:ascii="Times New Roman" w:eastAsia="Calibri" w:hAnsi="Times New Roman" w:cs="Times New Roman"/>
          <w:b/>
          <w:bCs/>
          <w:color w:val="000000" w:themeColor="text1"/>
          <w:sz w:val="28"/>
          <w:szCs w:val="28"/>
          <w:u w:color="000000"/>
          <w:lang w:val="es-ES"/>
        </w:rPr>
      </w:pPr>
      <w:r w:rsidRPr="00D61E7E">
        <w:rPr>
          <w:rFonts w:ascii="Times New Roman" w:eastAsia="Calibri" w:hAnsi="Times New Roman" w:cs="Times New Roman"/>
          <w:b/>
          <w:bCs/>
          <w:color w:val="000000" w:themeColor="text1"/>
          <w:sz w:val="28"/>
          <w:szCs w:val="28"/>
          <w:u w:color="000000"/>
          <w:lang w:val="es-ES"/>
        </w:rPr>
        <w:t xml:space="preserve">III. </w:t>
      </w:r>
      <w:r w:rsidRPr="00D61E7E">
        <w:rPr>
          <w:rFonts w:ascii="Times New Roman" w:eastAsia="Calibri" w:hAnsi="Times New Roman" w:cs="Times New Roman"/>
          <w:b/>
          <w:bCs/>
          <w:color w:val="000000" w:themeColor="text1"/>
          <w:sz w:val="28"/>
          <w:szCs w:val="28"/>
          <w:u w:color="000000"/>
          <w:lang w:val="es-ES"/>
        </w:rPr>
        <w:t>LA DEMANDA</w:t>
      </w:r>
    </w:p>
    <w:p w:rsidR="00CD55FC" w:rsidRPr="00D61E7E" w:rsidRDefault="00D61E7E" w:rsidP="00CD55FC">
      <w:pPr>
        <w:pStyle w:val="Prrafodelista"/>
        <w:autoSpaceDE w:val="0"/>
        <w:autoSpaceDN w:val="0"/>
        <w:ind w:left="0" w:right="49"/>
        <w:contextualSpacing w:val="0"/>
        <w:rPr>
          <w:rFonts w:ascii="Times New Roman" w:hAnsi="Times New Roman" w:cs="Times New Roman"/>
          <w:color w:val="000000" w:themeColor="text1"/>
          <w:sz w:val="28"/>
          <w:szCs w:val="28"/>
        </w:rPr>
      </w:pPr>
    </w:p>
    <w:p w:rsidR="00707BFB" w:rsidRPr="00D61E7E" w:rsidRDefault="00D61E7E" w:rsidP="00707BFB">
      <w:pPr>
        <w:pStyle w:val="Prrafodelista"/>
        <w:numPr>
          <w:ilvl w:val="0"/>
          <w:numId w:val="2"/>
        </w:numPr>
        <w:autoSpaceDE w:val="0"/>
        <w:autoSpaceDN w:val="0"/>
        <w:ind w:right="49"/>
        <w:contextualSpacing w:val="0"/>
        <w:rPr>
          <w:rFonts w:ascii="Times New Roman" w:hAnsi="Times New Roman" w:cs="Times New Roman"/>
          <w:color w:val="000000" w:themeColor="text1"/>
          <w:sz w:val="28"/>
          <w:szCs w:val="28"/>
        </w:rPr>
      </w:pPr>
      <w:r w:rsidRPr="00D61E7E">
        <w:rPr>
          <w:rFonts w:ascii="Times New Roman" w:hAnsi="Times New Roman" w:cs="Times New Roman"/>
          <w:color w:val="000000" w:themeColor="text1"/>
          <w:sz w:val="28"/>
          <w:szCs w:val="28"/>
        </w:rPr>
        <w:t xml:space="preserve">El señor López Molina dividió su demanda en dos partes. En la primera parte formuló dos cargos contra el artículo 70 de la </w:t>
      </w:r>
      <w:r w:rsidRPr="00D61E7E">
        <w:rPr>
          <w:rFonts w:ascii="Times New Roman" w:hAnsi="Times New Roman" w:cs="Times New Roman"/>
          <w:color w:val="000000" w:themeColor="text1"/>
          <w:sz w:val="28"/>
          <w:szCs w:val="28"/>
        </w:rPr>
        <w:t>Ley 2069 de 2020</w:t>
      </w:r>
      <w:r w:rsidRPr="00D61E7E">
        <w:rPr>
          <w:rFonts w:ascii="Times New Roman" w:hAnsi="Times New Roman" w:cs="Times New Roman"/>
          <w:color w:val="000000" w:themeColor="text1"/>
          <w:sz w:val="28"/>
          <w:szCs w:val="28"/>
        </w:rPr>
        <w:t>. Un “cargo principal”</w:t>
      </w:r>
      <w:r w:rsidRPr="00D61E7E">
        <w:rPr>
          <w:rStyle w:val="Refdenotaalpie"/>
          <w:rFonts w:ascii="Times New Roman" w:hAnsi="Times New Roman" w:cs="Times New Roman"/>
          <w:color w:val="000000" w:themeColor="text1"/>
          <w:sz w:val="28"/>
          <w:szCs w:val="28"/>
        </w:rPr>
        <w:footnoteReference w:id="2"/>
      </w:r>
      <w:r w:rsidRPr="00D61E7E">
        <w:rPr>
          <w:rFonts w:ascii="Times New Roman" w:hAnsi="Times New Roman" w:cs="Times New Roman"/>
          <w:color w:val="000000" w:themeColor="text1"/>
          <w:sz w:val="28"/>
          <w:szCs w:val="28"/>
        </w:rPr>
        <w:t xml:space="preserve"> contra todo el contenido de la mencionada norma</w:t>
      </w:r>
      <w:r w:rsidRPr="00D61E7E">
        <w:rPr>
          <w:rFonts w:ascii="Times New Roman" w:hAnsi="Times New Roman" w:cs="Times New Roman"/>
          <w:color w:val="000000" w:themeColor="text1"/>
          <w:sz w:val="28"/>
          <w:szCs w:val="28"/>
        </w:rPr>
        <w:t xml:space="preserve"> según el cual se vulnera el artículo 158 y 169 de la Constitución pues “la norma no guarda una relación de conexidad causal, teleológica, temática o sistemática con la materia dominante en la </w:t>
      </w:r>
      <w:r w:rsidRPr="00D61E7E">
        <w:rPr>
          <w:rFonts w:ascii="Times New Roman" w:hAnsi="Times New Roman" w:cs="Times New Roman"/>
          <w:color w:val="000000" w:themeColor="text1"/>
          <w:sz w:val="28"/>
          <w:szCs w:val="28"/>
        </w:rPr>
        <w:t>Ley 2069 de 202</w:t>
      </w:r>
      <w:r w:rsidRPr="00D61E7E">
        <w:rPr>
          <w:rFonts w:ascii="Times New Roman" w:hAnsi="Times New Roman" w:cs="Times New Roman"/>
          <w:color w:val="000000" w:themeColor="text1"/>
          <w:sz w:val="28"/>
          <w:szCs w:val="28"/>
        </w:rPr>
        <w:t>0</w:t>
      </w:r>
      <w:r w:rsidRPr="00D61E7E">
        <w:rPr>
          <w:rFonts w:ascii="Times New Roman" w:hAnsi="Times New Roman" w:cs="Times New Roman"/>
          <w:color w:val="000000" w:themeColor="text1"/>
          <w:sz w:val="28"/>
          <w:szCs w:val="28"/>
        </w:rPr>
        <w:t>, la cual se refiere al impulso del emprendimiento”</w:t>
      </w:r>
      <w:r w:rsidRPr="00D61E7E">
        <w:rPr>
          <w:rStyle w:val="Refdenotaalpie"/>
          <w:rFonts w:ascii="Times New Roman" w:hAnsi="Times New Roman" w:cs="Times New Roman"/>
          <w:color w:val="000000" w:themeColor="text1"/>
          <w:sz w:val="28"/>
          <w:szCs w:val="28"/>
        </w:rPr>
        <w:footnoteReference w:id="3"/>
      </w:r>
      <w:r w:rsidRPr="00D61E7E">
        <w:rPr>
          <w:rFonts w:ascii="Times New Roman" w:hAnsi="Times New Roman" w:cs="Times New Roman"/>
          <w:color w:val="000000" w:themeColor="text1"/>
          <w:sz w:val="28"/>
          <w:szCs w:val="28"/>
        </w:rPr>
        <w:t>. Otro “cargo subsidiario”</w:t>
      </w:r>
      <w:r w:rsidRPr="00D61E7E">
        <w:rPr>
          <w:rFonts w:ascii="Times New Roman" w:hAnsi="Times New Roman" w:cs="Times New Roman"/>
          <w:color w:val="000000" w:themeColor="text1"/>
          <w:sz w:val="28"/>
          <w:szCs w:val="28"/>
        </w:rPr>
        <w:t xml:space="preserve"> dirigido contra el </w:t>
      </w:r>
      <w:r w:rsidRPr="00D61E7E">
        <w:rPr>
          <w:rFonts w:ascii="Times New Roman" w:hAnsi="Times New Roman" w:cs="Times New Roman"/>
          <w:color w:val="000000" w:themeColor="text1"/>
          <w:sz w:val="28"/>
          <w:szCs w:val="28"/>
        </w:rPr>
        <w:t>segundo inciso del artículo</w:t>
      </w:r>
      <w:r w:rsidRPr="00D61E7E">
        <w:rPr>
          <w:rStyle w:val="Refdenotaalpie"/>
          <w:rFonts w:ascii="Times New Roman" w:hAnsi="Times New Roman" w:cs="Times New Roman"/>
          <w:color w:val="000000" w:themeColor="text1"/>
          <w:sz w:val="28"/>
          <w:szCs w:val="28"/>
        </w:rPr>
        <w:footnoteReference w:id="4"/>
      </w:r>
      <w:r w:rsidRPr="00D61E7E">
        <w:rPr>
          <w:rFonts w:ascii="Times New Roman" w:hAnsi="Times New Roman" w:cs="Times New Roman"/>
          <w:color w:val="000000" w:themeColor="text1"/>
          <w:sz w:val="28"/>
          <w:szCs w:val="28"/>
        </w:rPr>
        <w:t>. Para el demandante, este apartado</w:t>
      </w:r>
      <w:r w:rsidRPr="00D61E7E">
        <w:rPr>
          <w:rFonts w:ascii="Times New Roman" w:hAnsi="Times New Roman" w:cs="Times New Roman"/>
          <w:color w:val="000000" w:themeColor="text1"/>
          <w:sz w:val="28"/>
          <w:szCs w:val="28"/>
        </w:rPr>
        <w:t xml:space="preserve"> desconoce el artículo 338 de la Constitución </w:t>
      </w:r>
      <w:r w:rsidRPr="00D61E7E">
        <w:rPr>
          <w:rFonts w:ascii="Times New Roman" w:hAnsi="Times New Roman" w:cs="Times New Roman"/>
          <w:color w:val="000000" w:themeColor="text1"/>
          <w:sz w:val="28"/>
          <w:szCs w:val="28"/>
        </w:rPr>
        <w:t xml:space="preserve">al contrariar </w:t>
      </w:r>
      <w:r w:rsidRPr="00D61E7E">
        <w:rPr>
          <w:rFonts w:ascii="Times New Roman" w:hAnsi="Times New Roman" w:cs="Times New Roman"/>
          <w:color w:val="000000" w:themeColor="text1"/>
          <w:sz w:val="28"/>
          <w:szCs w:val="28"/>
        </w:rPr>
        <w:t xml:space="preserve">los </w:t>
      </w:r>
      <w:r w:rsidRPr="00D61E7E">
        <w:rPr>
          <w:rFonts w:ascii="Times New Roman" w:hAnsi="Times New Roman" w:cs="Times New Roman"/>
          <w:iCs/>
          <w:color w:val="000000" w:themeColor="text1"/>
          <w:sz w:val="28"/>
          <w:szCs w:val="28"/>
        </w:rPr>
        <w:t>principios de legalidad y cert</w:t>
      </w:r>
      <w:r w:rsidRPr="00D61E7E">
        <w:rPr>
          <w:rFonts w:ascii="Times New Roman" w:hAnsi="Times New Roman" w:cs="Times New Roman"/>
          <w:iCs/>
          <w:color w:val="000000" w:themeColor="text1"/>
          <w:sz w:val="28"/>
          <w:szCs w:val="28"/>
        </w:rPr>
        <w:t>eza del tributo</w:t>
      </w:r>
      <w:r w:rsidRPr="00D61E7E">
        <w:rPr>
          <w:rFonts w:ascii="Times New Roman" w:hAnsi="Times New Roman" w:cs="Times New Roman"/>
          <w:color w:val="000000" w:themeColor="text1"/>
          <w:sz w:val="28"/>
          <w:szCs w:val="28"/>
        </w:rPr>
        <w:t xml:space="preserve">, </w:t>
      </w:r>
      <w:r w:rsidRPr="00D61E7E">
        <w:rPr>
          <w:rFonts w:ascii="Times New Roman" w:hAnsi="Times New Roman" w:cs="Times New Roman"/>
          <w:color w:val="000000" w:themeColor="text1"/>
          <w:sz w:val="28"/>
          <w:szCs w:val="28"/>
        </w:rPr>
        <w:t>pues “</w:t>
      </w:r>
      <w:r w:rsidRPr="00D61E7E">
        <w:rPr>
          <w:rFonts w:ascii="Times New Roman" w:hAnsi="Times New Roman" w:cs="Times New Roman"/>
          <w:color w:val="000000" w:themeColor="text1"/>
          <w:sz w:val="28"/>
          <w:szCs w:val="28"/>
        </w:rPr>
        <w:t>contiene una indeterminación absoluta en la base gravable y en el sistema y método para que la administración pueda definir la tarifa de la contribución”</w:t>
      </w:r>
      <w:r w:rsidRPr="00D61E7E">
        <w:rPr>
          <w:rStyle w:val="Refdenotaalpie"/>
          <w:rFonts w:ascii="Times New Roman" w:hAnsi="Times New Roman" w:cs="Times New Roman"/>
          <w:color w:val="000000" w:themeColor="text1"/>
          <w:sz w:val="28"/>
          <w:szCs w:val="28"/>
        </w:rPr>
        <w:footnoteReference w:id="5"/>
      </w:r>
      <w:r w:rsidRPr="00D61E7E">
        <w:rPr>
          <w:rFonts w:ascii="Times New Roman" w:hAnsi="Times New Roman" w:cs="Times New Roman"/>
          <w:color w:val="000000" w:themeColor="text1"/>
          <w:sz w:val="28"/>
          <w:szCs w:val="28"/>
        </w:rPr>
        <w:t>.</w:t>
      </w:r>
    </w:p>
    <w:p w:rsidR="00707BFB" w:rsidRPr="00D61E7E" w:rsidRDefault="00D61E7E" w:rsidP="00707BFB">
      <w:pPr>
        <w:pStyle w:val="Prrafodelista"/>
        <w:autoSpaceDE w:val="0"/>
        <w:autoSpaceDN w:val="0"/>
        <w:ind w:left="0" w:right="49"/>
        <w:contextualSpacing w:val="0"/>
        <w:rPr>
          <w:rFonts w:ascii="Times New Roman" w:hAnsi="Times New Roman" w:cs="Times New Roman"/>
          <w:color w:val="000000" w:themeColor="text1"/>
          <w:sz w:val="28"/>
          <w:szCs w:val="28"/>
        </w:rPr>
      </w:pPr>
    </w:p>
    <w:p w:rsidR="00707BFB" w:rsidRPr="00D61E7E" w:rsidRDefault="00D61E7E" w:rsidP="00707BFB">
      <w:pPr>
        <w:pStyle w:val="Prrafodelista"/>
        <w:numPr>
          <w:ilvl w:val="0"/>
          <w:numId w:val="2"/>
        </w:numPr>
        <w:autoSpaceDE w:val="0"/>
        <w:autoSpaceDN w:val="0"/>
        <w:ind w:right="49"/>
        <w:contextualSpacing w:val="0"/>
        <w:rPr>
          <w:rFonts w:ascii="Times New Roman" w:hAnsi="Times New Roman" w:cs="Times New Roman"/>
          <w:color w:val="000000" w:themeColor="text1"/>
          <w:sz w:val="28"/>
          <w:szCs w:val="28"/>
        </w:rPr>
      </w:pPr>
      <w:r w:rsidRPr="00D61E7E">
        <w:rPr>
          <w:rFonts w:ascii="Times New Roman" w:hAnsi="Times New Roman" w:cs="Times New Roman"/>
          <w:color w:val="000000" w:themeColor="text1"/>
          <w:sz w:val="28"/>
          <w:szCs w:val="28"/>
        </w:rPr>
        <w:t>En la segunda parte de su demanda</w:t>
      </w:r>
      <w:r w:rsidRPr="00D61E7E">
        <w:rPr>
          <w:rFonts w:ascii="Times New Roman" w:hAnsi="Times New Roman" w:cs="Times New Roman"/>
          <w:color w:val="000000" w:themeColor="text1"/>
          <w:sz w:val="28"/>
          <w:szCs w:val="28"/>
        </w:rPr>
        <w:t xml:space="preserve">, </w:t>
      </w:r>
      <w:r w:rsidRPr="00D61E7E">
        <w:rPr>
          <w:rFonts w:ascii="Times New Roman" w:hAnsi="Times New Roman" w:cs="Times New Roman"/>
          <w:color w:val="000000" w:themeColor="text1"/>
          <w:sz w:val="28"/>
          <w:szCs w:val="28"/>
        </w:rPr>
        <w:t>referida</w:t>
      </w:r>
      <w:r w:rsidRPr="00D61E7E">
        <w:rPr>
          <w:rFonts w:ascii="Times New Roman" w:hAnsi="Times New Roman" w:cs="Times New Roman"/>
          <w:color w:val="000000" w:themeColor="text1"/>
          <w:sz w:val="28"/>
          <w:szCs w:val="28"/>
        </w:rPr>
        <w:t xml:space="preserve"> al artículo 73 de la </w:t>
      </w:r>
      <w:r w:rsidRPr="00D61E7E">
        <w:rPr>
          <w:rFonts w:ascii="Times New Roman" w:hAnsi="Times New Roman" w:cs="Times New Roman"/>
          <w:color w:val="000000" w:themeColor="text1"/>
          <w:sz w:val="28"/>
          <w:szCs w:val="28"/>
        </w:rPr>
        <w:t>Ley 2069 de</w:t>
      </w:r>
      <w:r w:rsidRPr="00D61E7E">
        <w:rPr>
          <w:rFonts w:ascii="Times New Roman" w:hAnsi="Times New Roman" w:cs="Times New Roman"/>
          <w:color w:val="000000" w:themeColor="text1"/>
          <w:sz w:val="28"/>
          <w:szCs w:val="28"/>
        </w:rPr>
        <w:t xml:space="preserve"> 2020</w:t>
      </w:r>
      <w:r w:rsidRPr="00D61E7E">
        <w:rPr>
          <w:rFonts w:ascii="Times New Roman" w:hAnsi="Times New Roman" w:cs="Times New Roman"/>
          <w:color w:val="000000" w:themeColor="text1"/>
          <w:sz w:val="28"/>
          <w:szCs w:val="28"/>
        </w:rPr>
        <w:t xml:space="preserve">, el demandante elevó un cargo único por la violación de los artículos 158 y 169 de la Constitución. </w:t>
      </w:r>
      <w:r w:rsidRPr="00D61E7E">
        <w:rPr>
          <w:rFonts w:ascii="Times New Roman" w:hAnsi="Times New Roman" w:cs="Times New Roman"/>
          <w:color w:val="000000" w:themeColor="text1"/>
          <w:sz w:val="28"/>
          <w:szCs w:val="28"/>
        </w:rPr>
        <w:t>En su criterio, dicho artículo que se refiere a</w:t>
      </w:r>
      <w:r w:rsidRPr="00D61E7E">
        <w:rPr>
          <w:rFonts w:ascii="Times New Roman" w:hAnsi="Times New Roman" w:cs="Times New Roman"/>
          <w:color w:val="000000" w:themeColor="text1"/>
          <w:sz w:val="28"/>
          <w:szCs w:val="28"/>
        </w:rPr>
        <w:t xml:space="preserve"> la virtualidad en algunos trámites de inspección contable, tributaria y de control cambiario “no tiene</w:t>
      </w:r>
      <w:r w:rsidRPr="00D61E7E">
        <w:rPr>
          <w:rFonts w:ascii="Times New Roman" w:hAnsi="Times New Roman" w:cs="Times New Roman"/>
          <w:color w:val="000000" w:themeColor="text1"/>
          <w:sz w:val="28"/>
          <w:szCs w:val="28"/>
        </w:rPr>
        <w:t>n absolutamente nada que ver con la promoción del emprendimiento</w:t>
      </w:r>
      <w:r w:rsidRPr="00D61E7E">
        <w:rPr>
          <w:rFonts w:ascii="Times New Roman" w:hAnsi="Times New Roman" w:cs="Times New Roman"/>
          <w:color w:val="000000" w:themeColor="text1"/>
          <w:sz w:val="28"/>
          <w:szCs w:val="28"/>
        </w:rPr>
        <w:t>”</w:t>
      </w:r>
      <w:r w:rsidRPr="00D61E7E">
        <w:rPr>
          <w:rFonts w:ascii="Times New Roman" w:hAnsi="Times New Roman" w:cs="Times New Roman"/>
          <w:color w:val="000000" w:themeColor="text1"/>
          <w:sz w:val="28"/>
          <w:szCs w:val="28"/>
        </w:rPr>
        <w:t xml:space="preserve">, sino que </w:t>
      </w:r>
      <w:r w:rsidRPr="00D61E7E">
        <w:rPr>
          <w:rFonts w:ascii="Times New Roman" w:hAnsi="Times New Roman" w:cs="Times New Roman"/>
          <w:color w:val="000000" w:themeColor="text1"/>
          <w:sz w:val="28"/>
          <w:szCs w:val="28"/>
        </w:rPr>
        <w:t>se trata de “</w:t>
      </w:r>
      <w:r w:rsidRPr="00D61E7E">
        <w:rPr>
          <w:rFonts w:ascii="Times New Roman" w:hAnsi="Times New Roman" w:cs="Times New Roman"/>
          <w:color w:val="000000" w:themeColor="text1"/>
          <w:sz w:val="28"/>
          <w:szCs w:val="28"/>
        </w:rPr>
        <w:t>una regulación directamente relacionada con el derecho procesal tributario y el procedimiento cambiario”</w:t>
      </w:r>
      <w:r w:rsidRPr="00D61E7E">
        <w:rPr>
          <w:rStyle w:val="Refdenotaalpie"/>
          <w:rFonts w:ascii="Times New Roman" w:hAnsi="Times New Roman" w:cs="Times New Roman"/>
          <w:color w:val="000000" w:themeColor="text1"/>
          <w:sz w:val="28"/>
          <w:szCs w:val="28"/>
        </w:rPr>
        <w:footnoteReference w:id="6"/>
      </w:r>
      <w:r w:rsidRPr="00D61E7E">
        <w:rPr>
          <w:rFonts w:ascii="Times New Roman" w:hAnsi="Times New Roman" w:cs="Times New Roman"/>
          <w:color w:val="000000" w:themeColor="text1"/>
          <w:sz w:val="28"/>
          <w:szCs w:val="28"/>
        </w:rPr>
        <w:t xml:space="preserve">. En consecuencia, </w:t>
      </w:r>
      <w:r w:rsidRPr="00D61E7E">
        <w:rPr>
          <w:rFonts w:ascii="Times New Roman" w:hAnsi="Times New Roman" w:cs="Times New Roman"/>
          <w:color w:val="000000" w:themeColor="text1"/>
          <w:sz w:val="28"/>
          <w:szCs w:val="28"/>
        </w:rPr>
        <w:t>considera el demandante</w:t>
      </w:r>
      <w:r w:rsidRPr="00D61E7E">
        <w:rPr>
          <w:rFonts w:ascii="Times New Roman" w:hAnsi="Times New Roman" w:cs="Times New Roman"/>
          <w:color w:val="000000" w:themeColor="text1"/>
          <w:sz w:val="28"/>
          <w:szCs w:val="28"/>
        </w:rPr>
        <w:t xml:space="preserve"> que la norma no tie</w:t>
      </w:r>
      <w:r w:rsidRPr="00D61E7E">
        <w:rPr>
          <w:rFonts w:ascii="Times New Roman" w:hAnsi="Times New Roman" w:cs="Times New Roman"/>
          <w:color w:val="000000" w:themeColor="text1"/>
          <w:sz w:val="28"/>
          <w:szCs w:val="28"/>
        </w:rPr>
        <w:t xml:space="preserve">ne una relación temática, causal, teleológica o sistemática con la materia dominante en la </w:t>
      </w:r>
      <w:r w:rsidRPr="00D61E7E">
        <w:rPr>
          <w:rFonts w:ascii="Times New Roman" w:hAnsi="Times New Roman" w:cs="Times New Roman"/>
          <w:color w:val="000000" w:themeColor="text1"/>
          <w:sz w:val="28"/>
          <w:szCs w:val="28"/>
        </w:rPr>
        <w:t>Ley 2069 de 2020</w:t>
      </w:r>
      <w:r w:rsidRPr="00D61E7E">
        <w:rPr>
          <w:rStyle w:val="Refdenotaalpie"/>
          <w:rFonts w:ascii="Times New Roman" w:hAnsi="Times New Roman" w:cs="Times New Roman"/>
          <w:color w:val="000000" w:themeColor="text1"/>
          <w:sz w:val="28"/>
          <w:szCs w:val="28"/>
        </w:rPr>
        <w:footnoteReference w:id="7"/>
      </w:r>
      <w:r w:rsidRPr="00D61E7E">
        <w:rPr>
          <w:rFonts w:ascii="Times New Roman" w:hAnsi="Times New Roman" w:cs="Times New Roman"/>
          <w:color w:val="000000" w:themeColor="text1"/>
          <w:sz w:val="28"/>
          <w:szCs w:val="28"/>
        </w:rPr>
        <w:t>.</w:t>
      </w:r>
    </w:p>
    <w:p w:rsidR="005D7D9A" w:rsidRPr="00D61E7E" w:rsidRDefault="00D61E7E" w:rsidP="00707BFB">
      <w:pPr>
        <w:pStyle w:val="Prrafodelista"/>
        <w:autoSpaceDE w:val="0"/>
        <w:autoSpaceDN w:val="0"/>
        <w:ind w:left="0" w:right="49"/>
        <w:contextualSpacing w:val="0"/>
        <w:rPr>
          <w:rFonts w:ascii="Times New Roman" w:hAnsi="Times New Roman" w:cs="Times New Roman"/>
          <w:color w:val="000000" w:themeColor="text1"/>
          <w:sz w:val="28"/>
          <w:szCs w:val="28"/>
        </w:rPr>
      </w:pPr>
    </w:p>
    <w:p w:rsidR="002D4109" w:rsidRPr="00D61E7E" w:rsidRDefault="00D61E7E" w:rsidP="00B03581">
      <w:pPr>
        <w:pStyle w:val="Prrafodelista"/>
        <w:numPr>
          <w:ilvl w:val="0"/>
          <w:numId w:val="1"/>
        </w:numPr>
        <w:ind w:left="0" w:firstLine="0"/>
        <w:rPr>
          <w:rFonts w:ascii="Times New Roman" w:eastAsia="Times New Roman" w:hAnsi="Times New Roman" w:cs="Times New Roman"/>
          <w:color w:val="000000" w:themeColor="text1"/>
          <w:sz w:val="28"/>
          <w:szCs w:val="28"/>
          <w:lang w:eastAsia="es-ES"/>
        </w:rPr>
      </w:pPr>
      <w:r w:rsidRPr="00D61E7E">
        <w:rPr>
          <w:rFonts w:ascii="Times New Roman" w:eastAsia="Calibri" w:hAnsi="Times New Roman" w:cs="Times New Roman"/>
          <w:color w:val="000000" w:themeColor="text1"/>
          <w:sz w:val="28"/>
          <w:szCs w:val="28"/>
          <w:lang w:val="es-ES"/>
        </w:rPr>
        <w:t xml:space="preserve">Como arriba se indicó, </w:t>
      </w:r>
      <w:r w:rsidRPr="00D61E7E">
        <w:rPr>
          <w:rFonts w:ascii="Times New Roman" w:eastAsia="Calibri" w:hAnsi="Times New Roman" w:cs="Times New Roman"/>
          <w:color w:val="000000" w:themeColor="text1"/>
          <w:sz w:val="28"/>
          <w:szCs w:val="28"/>
          <w:lang w:val="es-ES"/>
        </w:rPr>
        <w:t xml:space="preserve">en </w:t>
      </w:r>
      <w:r w:rsidRPr="00D61E7E">
        <w:rPr>
          <w:rFonts w:ascii="Times New Roman" w:eastAsia="Calibri" w:hAnsi="Times New Roman" w:cs="Times New Roman"/>
          <w:color w:val="000000" w:themeColor="text1"/>
          <w:sz w:val="28"/>
          <w:szCs w:val="28"/>
          <w:lang w:val="es-ES"/>
        </w:rPr>
        <w:t xml:space="preserve">un </w:t>
      </w:r>
      <w:r w:rsidRPr="00D61E7E">
        <w:rPr>
          <w:rFonts w:ascii="Times New Roman" w:eastAsia="Calibri" w:hAnsi="Times New Roman" w:cs="Times New Roman"/>
          <w:color w:val="000000" w:themeColor="text1"/>
          <w:sz w:val="28"/>
          <w:szCs w:val="28"/>
          <w:lang w:val="es-ES"/>
        </w:rPr>
        <w:t xml:space="preserve">auto del 16 de febrero del 2023 la magistrada sustanciadora decidió admitir la demanda contra los artículos 70 y 73 </w:t>
      </w:r>
      <w:r w:rsidRPr="00D61E7E">
        <w:rPr>
          <w:rFonts w:ascii="Times New Roman" w:eastAsia="Calibri" w:hAnsi="Times New Roman" w:cs="Times New Roman"/>
          <w:color w:val="000000" w:themeColor="text1"/>
          <w:sz w:val="28"/>
          <w:szCs w:val="28"/>
          <w:lang w:val="es-ES"/>
        </w:rPr>
        <w:t>de la Ley 2069 de 202</w:t>
      </w:r>
      <w:r w:rsidRPr="00D61E7E">
        <w:rPr>
          <w:rFonts w:ascii="Times New Roman" w:eastAsia="Calibri" w:hAnsi="Times New Roman" w:cs="Times New Roman"/>
          <w:color w:val="000000" w:themeColor="text1"/>
          <w:sz w:val="28"/>
          <w:szCs w:val="28"/>
          <w:lang w:val="es-ES"/>
        </w:rPr>
        <w:t>,</w:t>
      </w:r>
      <w:r w:rsidRPr="00D61E7E">
        <w:rPr>
          <w:rFonts w:ascii="Times New Roman" w:eastAsia="Calibri" w:hAnsi="Times New Roman" w:cs="Times New Roman"/>
          <w:color w:val="000000" w:themeColor="text1"/>
          <w:sz w:val="28"/>
          <w:szCs w:val="28"/>
          <w:lang w:val="es-ES"/>
        </w:rPr>
        <w:t xml:space="preserve"> únicamente en relación con el cargo</w:t>
      </w:r>
      <w:r w:rsidRPr="00D61E7E">
        <w:rPr>
          <w:rFonts w:ascii="Times New Roman" w:eastAsia="Calibri" w:hAnsi="Times New Roman" w:cs="Times New Roman"/>
          <w:color w:val="000000" w:themeColor="text1"/>
          <w:sz w:val="28"/>
          <w:szCs w:val="28"/>
          <w:lang w:val="es-ES"/>
        </w:rPr>
        <w:t xml:space="preserve"> relativo a</w:t>
      </w:r>
      <w:r w:rsidRPr="00D61E7E">
        <w:rPr>
          <w:rFonts w:ascii="Times New Roman" w:eastAsia="Calibri" w:hAnsi="Times New Roman" w:cs="Times New Roman"/>
          <w:color w:val="000000" w:themeColor="text1"/>
          <w:sz w:val="28"/>
          <w:szCs w:val="28"/>
          <w:lang w:val="es-ES"/>
        </w:rPr>
        <w:t xml:space="preserve"> la presunta violación del principio de unidad de materia</w:t>
      </w:r>
      <w:r w:rsidRPr="00D61E7E">
        <w:rPr>
          <w:rFonts w:ascii="Times New Roman" w:eastAsia="Calibri" w:hAnsi="Times New Roman" w:cs="Times New Roman"/>
          <w:color w:val="000000" w:themeColor="text1"/>
          <w:sz w:val="28"/>
          <w:szCs w:val="28"/>
          <w:lang w:val="es-ES"/>
        </w:rPr>
        <w:t>,</w:t>
      </w:r>
      <w:r w:rsidRPr="00D61E7E">
        <w:rPr>
          <w:rFonts w:ascii="Times New Roman" w:eastAsia="Calibri" w:hAnsi="Times New Roman" w:cs="Times New Roman"/>
          <w:color w:val="000000" w:themeColor="text1"/>
          <w:sz w:val="28"/>
          <w:szCs w:val="28"/>
          <w:lang w:val="es-ES"/>
        </w:rPr>
        <w:t xml:space="preserve"> contenido en los artículos 158 y 169 de la Constitución.</w:t>
      </w:r>
      <w:r w:rsidRPr="00D61E7E">
        <w:rPr>
          <w:rFonts w:ascii="Times New Roman" w:eastAsia="Calibri" w:hAnsi="Times New Roman" w:cs="Times New Roman"/>
          <w:color w:val="000000" w:themeColor="text1"/>
          <w:sz w:val="28"/>
          <w:szCs w:val="28"/>
          <w:lang w:val="es-ES"/>
        </w:rPr>
        <w:t xml:space="preserve"> </w:t>
      </w:r>
      <w:r w:rsidRPr="00D61E7E">
        <w:rPr>
          <w:rFonts w:ascii="Times New Roman" w:eastAsia="Calibri" w:hAnsi="Times New Roman" w:cs="Times New Roman"/>
          <w:color w:val="000000" w:themeColor="text1"/>
          <w:sz w:val="28"/>
          <w:szCs w:val="28"/>
          <w:lang w:val="es-ES"/>
        </w:rPr>
        <w:t xml:space="preserve">Por su parte, la magistrada sustanciadora rechazó el cargo dirigido a cuestionar la constitucionalidad del segundo inciso del artículo 70 de la Ley 2069 por violación del artículo 338 de la Constitución. Para la magistrada sustanciadora, mientras el cargo </w:t>
      </w:r>
      <w:r w:rsidRPr="00D61E7E">
        <w:rPr>
          <w:rFonts w:ascii="Times New Roman" w:eastAsia="Calibri" w:hAnsi="Times New Roman" w:cs="Times New Roman"/>
          <w:color w:val="000000" w:themeColor="text1"/>
          <w:sz w:val="28"/>
          <w:szCs w:val="28"/>
          <w:lang w:val="es-ES"/>
        </w:rPr>
        <w:t>por la presunta violación de la unidad de materia cumplió con los requisitos de claridad, especificidad, certeza, pertinencia y suficiente, lo mismo no sucedió con el cargo en contra del segundo inciso del artículo 70 referido, por la presunta violación de</w:t>
      </w:r>
      <w:r w:rsidRPr="00D61E7E">
        <w:rPr>
          <w:rFonts w:ascii="Times New Roman" w:eastAsia="Calibri" w:hAnsi="Times New Roman" w:cs="Times New Roman"/>
          <w:color w:val="000000" w:themeColor="text1"/>
          <w:sz w:val="28"/>
          <w:szCs w:val="28"/>
          <w:lang w:val="es-ES"/>
        </w:rPr>
        <w:t>l principio de legalidad tributaria. La magistrada encontró que frente a este cargo no se superó la carga mínima argumentativa, pues el demandante no proporcionó argumentos precisos tendientes a demostrar cómo el mencionado apartado normativo violó la Cons</w:t>
      </w:r>
      <w:r w:rsidRPr="00D61E7E">
        <w:rPr>
          <w:rFonts w:ascii="Times New Roman" w:eastAsia="Calibri" w:hAnsi="Times New Roman" w:cs="Times New Roman"/>
          <w:color w:val="000000" w:themeColor="text1"/>
          <w:sz w:val="28"/>
          <w:szCs w:val="28"/>
          <w:lang w:val="es-ES"/>
        </w:rPr>
        <w:t xml:space="preserve">titución. Su argumentación se basó simplemente en argumentos legales y doctrinales. </w:t>
      </w:r>
    </w:p>
    <w:p w:rsidR="00520840" w:rsidRPr="00D61E7E" w:rsidRDefault="00D61E7E" w:rsidP="00F97DD1">
      <w:pPr>
        <w:rPr>
          <w:rFonts w:ascii="Times New Roman" w:hAnsi="Times New Roman" w:cs="Times New Roman"/>
          <w:sz w:val="28"/>
          <w:szCs w:val="28"/>
          <w:lang w:val="es-ES" w:eastAsia="es-ES"/>
        </w:rPr>
      </w:pPr>
    </w:p>
    <w:p w:rsidR="008C0378" w:rsidRPr="00D61E7E" w:rsidRDefault="00D61E7E" w:rsidP="00047AC8">
      <w:pPr>
        <w:rPr>
          <w:rFonts w:ascii="Times New Roman" w:eastAsia="Calibri" w:hAnsi="Times New Roman" w:cs="Times New Roman"/>
          <w:b/>
          <w:bCs/>
          <w:color w:val="000000" w:themeColor="text1"/>
          <w:sz w:val="28"/>
          <w:szCs w:val="28"/>
          <w:lang w:val="es-ES"/>
        </w:rPr>
      </w:pPr>
      <w:r w:rsidRPr="00D61E7E">
        <w:rPr>
          <w:rFonts w:ascii="Times New Roman" w:eastAsia="Calibri" w:hAnsi="Times New Roman" w:cs="Times New Roman"/>
          <w:b/>
          <w:bCs/>
          <w:color w:val="000000" w:themeColor="text1"/>
          <w:sz w:val="28"/>
          <w:szCs w:val="28"/>
          <w:lang w:val="es-ES"/>
        </w:rPr>
        <w:t xml:space="preserve">IV. </w:t>
      </w:r>
      <w:r w:rsidRPr="00D61E7E">
        <w:rPr>
          <w:rFonts w:ascii="Times New Roman" w:eastAsia="Calibri" w:hAnsi="Times New Roman" w:cs="Times New Roman"/>
          <w:b/>
          <w:bCs/>
          <w:color w:val="000000" w:themeColor="text1"/>
          <w:sz w:val="28"/>
          <w:szCs w:val="28"/>
          <w:lang w:val="es-ES"/>
        </w:rPr>
        <w:t>INTERVENCIONES</w:t>
      </w:r>
    </w:p>
    <w:p w:rsidR="004D7E55" w:rsidRPr="00D61E7E" w:rsidRDefault="00D61E7E" w:rsidP="00047AC8">
      <w:pPr>
        <w:rPr>
          <w:rFonts w:ascii="Times New Roman" w:eastAsia="Calibri" w:hAnsi="Times New Roman" w:cs="Times New Roman"/>
          <w:color w:val="000000" w:themeColor="text1"/>
          <w:sz w:val="28"/>
          <w:szCs w:val="28"/>
          <w:lang w:val="es-ES"/>
        </w:rPr>
      </w:pPr>
    </w:p>
    <w:p w:rsidR="004D7E55" w:rsidRPr="00D61E7E" w:rsidRDefault="00D61E7E" w:rsidP="00047AC8">
      <w:pPr>
        <w:rPr>
          <w:rFonts w:ascii="Times New Roman" w:eastAsia="Calibri" w:hAnsi="Times New Roman" w:cs="Times New Roman"/>
          <w:color w:val="000000" w:themeColor="text1"/>
          <w:sz w:val="28"/>
          <w:szCs w:val="28"/>
          <w:lang w:val="es-ES"/>
        </w:rPr>
      </w:pPr>
      <w:r w:rsidRPr="00D61E7E">
        <w:rPr>
          <w:rFonts w:ascii="Times New Roman" w:eastAsia="Calibri" w:hAnsi="Times New Roman" w:cs="Times New Roman"/>
          <w:color w:val="000000" w:themeColor="text1"/>
          <w:sz w:val="28"/>
          <w:szCs w:val="28"/>
          <w:lang w:val="es-ES"/>
        </w:rPr>
        <w:t xml:space="preserve">Durante el proceso se recibieron diferentes intervenciones, las cuales se reseñan a continuación. </w:t>
      </w:r>
    </w:p>
    <w:p w:rsidR="004D7E55" w:rsidRPr="00D61E7E" w:rsidRDefault="00D61E7E" w:rsidP="00047AC8">
      <w:pPr>
        <w:rPr>
          <w:rFonts w:ascii="Times New Roman" w:eastAsia="Calibri" w:hAnsi="Times New Roman" w:cs="Times New Roman"/>
          <w:color w:val="000000" w:themeColor="text1"/>
          <w:sz w:val="28"/>
          <w:szCs w:val="28"/>
          <w:lang w:val="es-ES"/>
        </w:rPr>
      </w:pPr>
    </w:p>
    <w:p w:rsidR="00707BFB" w:rsidRPr="00D61E7E" w:rsidRDefault="00D61E7E" w:rsidP="00047AC8">
      <w:pPr>
        <w:rPr>
          <w:rFonts w:ascii="Times New Roman" w:eastAsia="Calibri" w:hAnsi="Times New Roman" w:cs="Times New Roman"/>
          <w:b/>
          <w:bCs/>
          <w:color w:val="000000" w:themeColor="text1"/>
          <w:sz w:val="28"/>
          <w:szCs w:val="28"/>
          <w:lang w:val="es-ES"/>
        </w:rPr>
      </w:pPr>
      <w:r w:rsidRPr="00D61E7E">
        <w:rPr>
          <w:rFonts w:ascii="Times New Roman" w:eastAsia="Calibri" w:hAnsi="Times New Roman" w:cs="Times New Roman"/>
          <w:b/>
          <w:bCs/>
          <w:color w:val="000000" w:themeColor="text1"/>
          <w:sz w:val="28"/>
          <w:szCs w:val="28"/>
          <w:lang w:val="es-ES"/>
        </w:rPr>
        <w:t>Universidad Externado de Colombia</w:t>
      </w:r>
    </w:p>
    <w:p w:rsidR="00707BFB" w:rsidRPr="00D61E7E" w:rsidRDefault="00D61E7E" w:rsidP="00047AC8">
      <w:pPr>
        <w:rPr>
          <w:rFonts w:ascii="Times New Roman" w:eastAsia="Calibri" w:hAnsi="Times New Roman" w:cs="Times New Roman"/>
          <w:b/>
          <w:bCs/>
          <w:color w:val="000000" w:themeColor="text1"/>
          <w:sz w:val="28"/>
          <w:szCs w:val="28"/>
          <w:lang w:val="es-ES"/>
        </w:rPr>
      </w:pPr>
    </w:p>
    <w:p w:rsidR="002D4109" w:rsidRPr="00D61E7E" w:rsidRDefault="00D61E7E" w:rsidP="005F6959">
      <w:pPr>
        <w:pStyle w:val="Prrafodelista"/>
        <w:numPr>
          <w:ilvl w:val="0"/>
          <w:numId w:val="3"/>
        </w:numPr>
        <w:rPr>
          <w:rFonts w:ascii="Times New Roman" w:hAnsi="Times New Roman" w:cs="Times New Roman"/>
          <w:color w:val="000000" w:themeColor="text1"/>
          <w:sz w:val="28"/>
          <w:szCs w:val="28"/>
        </w:rPr>
      </w:pPr>
      <w:r w:rsidRPr="00D61E7E">
        <w:rPr>
          <w:rFonts w:ascii="Times New Roman" w:eastAsia="Calibri" w:hAnsi="Times New Roman" w:cs="Times New Roman"/>
          <w:color w:val="000000" w:themeColor="text1"/>
          <w:sz w:val="28"/>
          <w:szCs w:val="28"/>
          <w:lang w:val="es-ES"/>
        </w:rPr>
        <w:t>La Universidad</w:t>
      </w:r>
      <w:r w:rsidRPr="00D61E7E">
        <w:rPr>
          <w:rFonts w:ascii="Times New Roman" w:eastAsia="Calibri" w:hAnsi="Times New Roman" w:cs="Times New Roman"/>
          <w:color w:val="000000" w:themeColor="text1"/>
          <w:sz w:val="28"/>
          <w:szCs w:val="28"/>
          <w:lang w:val="es-ES"/>
        </w:rPr>
        <w:t xml:space="preserve"> Externado</w:t>
      </w:r>
      <w:r w:rsidRPr="00D61E7E">
        <w:rPr>
          <w:rFonts w:ascii="Times New Roman" w:eastAsia="Calibri" w:hAnsi="Times New Roman" w:cs="Times New Roman"/>
          <w:color w:val="000000" w:themeColor="text1"/>
          <w:sz w:val="28"/>
          <w:szCs w:val="28"/>
          <w:lang w:val="es-ES"/>
        </w:rPr>
        <w:t xml:space="preserve"> propone que la Corte declar</w:t>
      </w:r>
      <w:r w:rsidRPr="00D61E7E">
        <w:rPr>
          <w:rFonts w:ascii="Times New Roman" w:eastAsia="Calibri" w:hAnsi="Times New Roman" w:cs="Times New Roman"/>
          <w:color w:val="000000" w:themeColor="text1"/>
          <w:sz w:val="28"/>
          <w:szCs w:val="28"/>
          <w:lang w:val="es-ES"/>
        </w:rPr>
        <w:t>e</w:t>
      </w:r>
      <w:r w:rsidRPr="00D61E7E">
        <w:rPr>
          <w:rFonts w:ascii="Times New Roman" w:eastAsia="Calibri" w:hAnsi="Times New Roman" w:cs="Times New Roman"/>
          <w:color w:val="000000" w:themeColor="text1"/>
          <w:sz w:val="28"/>
          <w:szCs w:val="28"/>
          <w:lang w:val="es-ES"/>
        </w:rPr>
        <w:t xml:space="preserve"> la </w:t>
      </w:r>
      <w:r w:rsidRPr="00D61E7E">
        <w:rPr>
          <w:rFonts w:ascii="Times New Roman" w:eastAsia="Calibri" w:hAnsi="Times New Roman" w:cs="Times New Roman"/>
          <w:b/>
          <w:bCs/>
          <w:color w:val="000000" w:themeColor="text1"/>
          <w:sz w:val="28"/>
          <w:szCs w:val="28"/>
          <w:lang w:val="es-ES"/>
        </w:rPr>
        <w:t xml:space="preserve">constitucionalidad </w:t>
      </w:r>
      <w:r w:rsidRPr="00D61E7E">
        <w:rPr>
          <w:rFonts w:ascii="Times New Roman" w:eastAsia="Calibri" w:hAnsi="Times New Roman" w:cs="Times New Roman"/>
          <w:color w:val="000000" w:themeColor="text1"/>
          <w:sz w:val="28"/>
          <w:szCs w:val="28"/>
          <w:lang w:val="es-ES"/>
        </w:rPr>
        <w:t xml:space="preserve">de las normas impugnadas. En particular, concentra su análisis en el artículo 70 demandado. Así, </w:t>
      </w:r>
      <w:r w:rsidRPr="00D61E7E">
        <w:rPr>
          <w:rFonts w:ascii="Times New Roman" w:eastAsia="Calibri" w:hAnsi="Times New Roman" w:cs="Times New Roman"/>
          <w:color w:val="000000" w:themeColor="text1"/>
          <w:sz w:val="28"/>
          <w:szCs w:val="28"/>
          <w:lang w:val="es-ES"/>
        </w:rPr>
        <w:t xml:space="preserve">la institución educativa </w:t>
      </w:r>
      <w:r w:rsidRPr="00D61E7E">
        <w:rPr>
          <w:rFonts w:ascii="Times New Roman" w:eastAsia="Calibri" w:hAnsi="Times New Roman" w:cs="Times New Roman"/>
          <w:color w:val="000000" w:themeColor="text1"/>
          <w:sz w:val="28"/>
          <w:szCs w:val="28"/>
          <w:lang w:val="es-ES"/>
        </w:rPr>
        <w:t>sostiene que</w:t>
      </w:r>
      <w:r w:rsidRPr="00D61E7E">
        <w:rPr>
          <w:rFonts w:ascii="Times New Roman" w:eastAsia="Calibri" w:hAnsi="Times New Roman" w:cs="Times New Roman"/>
          <w:color w:val="000000" w:themeColor="text1"/>
          <w:sz w:val="28"/>
          <w:szCs w:val="28"/>
          <w:lang w:val="es-ES"/>
        </w:rPr>
        <w:t>, según la Constitución,</w:t>
      </w:r>
      <w:r w:rsidRPr="00D61E7E">
        <w:rPr>
          <w:rFonts w:ascii="Times New Roman" w:eastAsia="Calibri" w:hAnsi="Times New Roman" w:cs="Times New Roman"/>
          <w:color w:val="000000" w:themeColor="text1"/>
          <w:sz w:val="28"/>
          <w:szCs w:val="28"/>
          <w:lang w:val="es-ES"/>
        </w:rPr>
        <w:t xml:space="preserve"> l</w:t>
      </w:r>
      <w:r w:rsidRPr="00D61E7E">
        <w:rPr>
          <w:rFonts w:ascii="Times New Roman" w:hAnsi="Times New Roman" w:cs="Times New Roman"/>
          <w:color w:val="000000" w:themeColor="text1"/>
          <w:sz w:val="28"/>
          <w:szCs w:val="28"/>
        </w:rPr>
        <w:t xml:space="preserve">a Superintendencia de Sociedades, </w:t>
      </w:r>
      <w:r w:rsidRPr="00D61E7E">
        <w:rPr>
          <w:rFonts w:ascii="Times New Roman" w:hAnsi="Times New Roman" w:cs="Times New Roman"/>
          <w:color w:val="000000" w:themeColor="text1"/>
          <w:sz w:val="28"/>
          <w:szCs w:val="28"/>
        </w:rPr>
        <w:t>adscrita al Ministerio de Comercio, Industria y Turismo, posee autonomía administrativa y patrimonio propi</w:t>
      </w:r>
      <w:r w:rsidRPr="00D61E7E">
        <w:rPr>
          <w:rFonts w:ascii="Times New Roman" w:hAnsi="Times New Roman" w:cs="Times New Roman"/>
          <w:color w:val="000000" w:themeColor="text1"/>
          <w:sz w:val="28"/>
          <w:szCs w:val="28"/>
        </w:rPr>
        <w:t>o</w:t>
      </w:r>
      <w:r w:rsidRPr="00D61E7E">
        <w:rPr>
          <w:rFonts w:ascii="Times New Roman" w:hAnsi="Times New Roman" w:cs="Times New Roman"/>
          <w:color w:val="000000" w:themeColor="text1"/>
          <w:sz w:val="28"/>
          <w:szCs w:val="28"/>
        </w:rPr>
        <w:t xml:space="preserve"> y que s</w:t>
      </w:r>
      <w:r w:rsidRPr="00D61E7E">
        <w:rPr>
          <w:rFonts w:ascii="Times New Roman" w:hAnsi="Times New Roman" w:cs="Times New Roman"/>
          <w:color w:val="000000" w:themeColor="text1"/>
          <w:sz w:val="28"/>
          <w:szCs w:val="28"/>
        </w:rPr>
        <w:t>us funciones incluyen tanto labores administrativas de inspección, vigilancia y control como facultades jurisdiccionales.</w:t>
      </w:r>
      <w:r w:rsidRPr="00D61E7E">
        <w:rPr>
          <w:rFonts w:ascii="Times New Roman" w:hAnsi="Times New Roman" w:cs="Times New Roman"/>
          <w:color w:val="000000" w:themeColor="text1"/>
          <w:sz w:val="28"/>
          <w:szCs w:val="28"/>
        </w:rPr>
        <w:t xml:space="preserve"> </w:t>
      </w:r>
    </w:p>
    <w:p w:rsidR="00FF0EA3" w:rsidRPr="00D61E7E" w:rsidRDefault="00D61E7E" w:rsidP="00FF0EA3">
      <w:pPr>
        <w:pStyle w:val="Prrafodelista"/>
        <w:ind w:left="0"/>
        <w:rPr>
          <w:rFonts w:ascii="Times New Roman" w:hAnsi="Times New Roman" w:cs="Times New Roman"/>
          <w:color w:val="000000" w:themeColor="text1"/>
          <w:sz w:val="28"/>
          <w:szCs w:val="28"/>
        </w:rPr>
      </w:pPr>
    </w:p>
    <w:p w:rsidR="00707BFB" w:rsidRPr="00D61E7E" w:rsidRDefault="00D61E7E" w:rsidP="00E71948">
      <w:pPr>
        <w:pStyle w:val="Prrafodelista"/>
        <w:numPr>
          <w:ilvl w:val="0"/>
          <w:numId w:val="3"/>
        </w:numPr>
        <w:rPr>
          <w:rFonts w:ascii="Times New Roman" w:hAnsi="Times New Roman" w:cs="Times New Roman"/>
          <w:color w:val="000000" w:themeColor="text1"/>
          <w:sz w:val="28"/>
          <w:szCs w:val="28"/>
        </w:rPr>
      </w:pPr>
      <w:r w:rsidRPr="00D61E7E">
        <w:rPr>
          <w:rFonts w:ascii="Times New Roman" w:hAnsi="Times New Roman" w:cs="Times New Roman"/>
          <w:color w:val="000000" w:themeColor="text1"/>
          <w:sz w:val="28"/>
          <w:szCs w:val="28"/>
        </w:rPr>
        <w:t xml:space="preserve">Para </w:t>
      </w:r>
      <w:r w:rsidRPr="00D61E7E">
        <w:rPr>
          <w:rFonts w:ascii="Times New Roman" w:hAnsi="Times New Roman" w:cs="Times New Roman"/>
          <w:color w:val="000000" w:themeColor="text1"/>
          <w:sz w:val="28"/>
          <w:szCs w:val="28"/>
        </w:rPr>
        <w:t xml:space="preserve">la </w:t>
      </w:r>
      <w:r w:rsidRPr="00D61E7E">
        <w:rPr>
          <w:rFonts w:ascii="Times New Roman" w:hAnsi="Times New Roman" w:cs="Times New Roman"/>
          <w:color w:val="000000" w:themeColor="text1"/>
          <w:sz w:val="28"/>
          <w:szCs w:val="28"/>
        </w:rPr>
        <w:t>Universidad Externado</w:t>
      </w:r>
      <w:r w:rsidRPr="00D61E7E">
        <w:rPr>
          <w:rFonts w:ascii="Times New Roman" w:hAnsi="Times New Roman" w:cs="Times New Roman"/>
          <w:color w:val="000000" w:themeColor="text1"/>
          <w:sz w:val="28"/>
          <w:szCs w:val="28"/>
        </w:rPr>
        <w:t>,</w:t>
      </w:r>
      <w:r w:rsidRPr="00D61E7E">
        <w:rPr>
          <w:rFonts w:ascii="Times New Roman" w:hAnsi="Times New Roman" w:cs="Times New Roman"/>
          <w:color w:val="000000" w:themeColor="text1"/>
          <w:sz w:val="28"/>
          <w:szCs w:val="28"/>
        </w:rPr>
        <w:t xml:space="preserve"> existe unidad de materia</w:t>
      </w:r>
      <w:r w:rsidRPr="00D61E7E">
        <w:rPr>
          <w:rFonts w:ascii="Times New Roman" w:hAnsi="Times New Roman" w:cs="Times New Roman"/>
          <w:color w:val="000000" w:themeColor="text1"/>
          <w:sz w:val="28"/>
          <w:szCs w:val="28"/>
        </w:rPr>
        <w:t xml:space="preserve"> entre la</w:t>
      </w:r>
      <w:r w:rsidRPr="00D61E7E">
        <w:rPr>
          <w:rFonts w:ascii="Times New Roman" w:hAnsi="Times New Roman" w:cs="Times New Roman"/>
          <w:color w:val="000000" w:themeColor="text1"/>
          <w:sz w:val="28"/>
          <w:szCs w:val="28"/>
        </w:rPr>
        <w:t xml:space="preserve"> temática de la </w:t>
      </w:r>
      <w:r w:rsidRPr="00D61E7E">
        <w:rPr>
          <w:rFonts w:ascii="Times New Roman" w:hAnsi="Times New Roman" w:cs="Times New Roman"/>
          <w:color w:val="000000" w:themeColor="text1"/>
          <w:sz w:val="28"/>
          <w:szCs w:val="28"/>
        </w:rPr>
        <w:t>Ley 2069 de 2020</w:t>
      </w:r>
      <w:r w:rsidRPr="00D61E7E">
        <w:rPr>
          <w:rFonts w:ascii="Times New Roman" w:hAnsi="Times New Roman" w:cs="Times New Roman"/>
          <w:color w:val="000000" w:themeColor="text1"/>
          <w:sz w:val="28"/>
          <w:szCs w:val="28"/>
        </w:rPr>
        <w:t xml:space="preserve"> y la norma cuestionada</w:t>
      </w:r>
      <w:r w:rsidRPr="00D61E7E">
        <w:rPr>
          <w:rFonts w:ascii="Times New Roman" w:hAnsi="Times New Roman" w:cs="Times New Roman"/>
          <w:color w:val="000000" w:themeColor="text1"/>
          <w:sz w:val="28"/>
          <w:szCs w:val="28"/>
        </w:rPr>
        <w:t>, pues la</w:t>
      </w:r>
      <w:r w:rsidRPr="00D61E7E">
        <w:rPr>
          <w:rFonts w:ascii="Times New Roman" w:hAnsi="Times New Roman" w:cs="Times New Roman"/>
          <w:color w:val="000000" w:themeColor="text1"/>
          <w:sz w:val="28"/>
          <w:szCs w:val="28"/>
        </w:rPr>
        <w:t xml:space="preserve"> </w:t>
      </w:r>
      <w:r w:rsidRPr="00D61E7E">
        <w:rPr>
          <w:rFonts w:ascii="Times New Roman" w:hAnsi="Times New Roman" w:cs="Times New Roman"/>
          <w:color w:val="000000" w:themeColor="text1"/>
          <w:sz w:val="28"/>
          <w:szCs w:val="28"/>
        </w:rPr>
        <w:t>Superintendencia de Sociedades</w:t>
      </w:r>
      <w:r w:rsidRPr="00D61E7E">
        <w:rPr>
          <w:rFonts w:ascii="Times New Roman" w:hAnsi="Times New Roman" w:cs="Times New Roman"/>
          <w:color w:val="000000" w:themeColor="text1"/>
          <w:sz w:val="28"/>
          <w:szCs w:val="28"/>
        </w:rPr>
        <w:t xml:space="preserve"> tiene a su cargo </w:t>
      </w:r>
      <w:r w:rsidRPr="00D61E7E">
        <w:rPr>
          <w:rFonts w:ascii="Times New Roman" w:hAnsi="Times New Roman" w:cs="Times New Roman"/>
          <w:sz w:val="28"/>
          <w:szCs w:val="28"/>
        </w:rPr>
        <w:t xml:space="preserve">funciones administrativas y jurisdiccionales </w:t>
      </w:r>
      <w:r w:rsidRPr="00D61E7E">
        <w:rPr>
          <w:rFonts w:ascii="Times New Roman" w:hAnsi="Times New Roman" w:cs="Times New Roman"/>
          <w:sz w:val="28"/>
          <w:szCs w:val="28"/>
        </w:rPr>
        <w:t>relacionadas con el</w:t>
      </w:r>
      <w:r w:rsidRPr="00D61E7E">
        <w:rPr>
          <w:rFonts w:ascii="Times New Roman" w:hAnsi="Times New Roman" w:cs="Times New Roman"/>
          <w:sz w:val="28"/>
          <w:szCs w:val="28"/>
        </w:rPr>
        <w:t xml:space="preserve"> desarrollo empresarial de sociedades comerciales, como lo </w:t>
      </w:r>
      <w:r w:rsidRPr="00D61E7E">
        <w:rPr>
          <w:rFonts w:ascii="Times New Roman" w:hAnsi="Times New Roman" w:cs="Times New Roman"/>
          <w:sz w:val="28"/>
          <w:szCs w:val="28"/>
        </w:rPr>
        <w:t>son la de llevar el</w:t>
      </w:r>
      <w:r w:rsidRPr="00D61E7E">
        <w:rPr>
          <w:rFonts w:ascii="Times New Roman" w:hAnsi="Times New Roman" w:cs="Times New Roman"/>
          <w:sz w:val="28"/>
          <w:szCs w:val="28"/>
        </w:rPr>
        <w:t xml:space="preserve"> registro mercantil y la apelación de actos de registro. </w:t>
      </w:r>
      <w:r w:rsidRPr="00D61E7E">
        <w:rPr>
          <w:rFonts w:ascii="Times New Roman" w:hAnsi="Times New Roman" w:cs="Times New Roman"/>
          <w:sz w:val="28"/>
          <w:szCs w:val="28"/>
        </w:rPr>
        <w:t>Por ende, considera la institución educativa que</w:t>
      </w:r>
      <w:r w:rsidRPr="00D61E7E">
        <w:rPr>
          <w:rFonts w:ascii="Times New Roman" w:hAnsi="Times New Roman" w:cs="Times New Roman"/>
          <w:sz w:val="28"/>
          <w:szCs w:val="28"/>
        </w:rPr>
        <w:t xml:space="preserve"> </w:t>
      </w:r>
      <w:r w:rsidRPr="00D61E7E">
        <w:rPr>
          <w:rFonts w:ascii="Times New Roman" w:hAnsi="Times New Roman" w:cs="Times New Roman"/>
          <w:sz w:val="28"/>
          <w:szCs w:val="28"/>
        </w:rPr>
        <w:t xml:space="preserve">el artículo 70 de la </w:t>
      </w:r>
      <w:r w:rsidRPr="00D61E7E">
        <w:rPr>
          <w:rFonts w:ascii="Times New Roman" w:hAnsi="Times New Roman" w:cs="Times New Roman"/>
          <w:color w:val="000000" w:themeColor="text1"/>
          <w:sz w:val="28"/>
          <w:szCs w:val="28"/>
        </w:rPr>
        <w:t>Ley 2069 de 2020</w:t>
      </w:r>
      <w:r w:rsidRPr="00D61E7E">
        <w:rPr>
          <w:rFonts w:ascii="Times New Roman" w:hAnsi="Times New Roman" w:cs="Times New Roman"/>
          <w:color w:val="000000" w:themeColor="text1"/>
          <w:sz w:val="28"/>
          <w:szCs w:val="28"/>
        </w:rPr>
        <w:t xml:space="preserve"> </w:t>
      </w:r>
      <w:r w:rsidRPr="00D61E7E">
        <w:rPr>
          <w:rFonts w:ascii="Times New Roman" w:hAnsi="Times New Roman" w:cs="Times New Roman"/>
          <w:sz w:val="28"/>
          <w:szCs w:val="28"/>
        </w:rPr>
        <w:t>est</w:t>
      </w:r>
      <w:r w:rsidRPr="00D61E7E">
        <w:rPr>
          <w:rFonts w:ascii="Times New Roman" w:hAnsi="Times New Roman" w:cs="Times New Roman"/>
          <w:sz w:val="28"/>
          <w:szCs w:val="28"/>
        </w:rPr>
        <w:t>á</w:t>
      </w:r>
      <w:r w:rsidRPr="00D61E7E">
        <w:rPr>
          <w:rFonts w:ascii="Times New Roman" w:hAnsi="Times New Roman" w:cs="Times New Roman"/>
          <w:sz w:val="28"/>
          <w:szCs w:val="28"/>
        </w:rPr>
        <w:t xml:space="preserve"> intrínsecamente vinculad</w:t>
      </w:r>
      <w:r w:rsidRPr="00D61E7E">
        <w:rPr>
          <w:rFonts w:ascii="Times New Roman" w:hAnsi="Times New Roman" w:cs="Times New Roman"/>
          <w:sz w:val="28"/>
          <w:szCs w:val="28"/>
        </w:rPr>
        <w:t>o</w:t>
      </w:r>
      <w:r w:rsidRPr="00D61E7E">
        <w:rPr>
          <w:rFonts w:ascii="Times New Roman" w:hAnsi="Times New Roman" w:cs="Times New Roman"/>
          <w:sz w:val="28"/>
          <w:szCs w:val="28"/>
        </w:rPr>
        <w:t xml:space="preserve"> con</w:t>
      </w:r>
      <w:r w:rsidRPr="00D61E7E">
        <w:rPr>
          <w:rFonts w:ascii="Times New Roman" w:hAnsi="Times New Roman" w:cs="Times New Roman"/>
          <w:sz w:val="28"/>
          <w:szCs w:val="28"/>
        </w:rPr>
        <w:t xml:space="preserve"> el emprendimiento al facilitar la gestión de trámites y resolver posibles controversias de manera más eficiente.</w:t>
      </w:r>
      <w:r w:rsidRPr="00D61E7E">
        <w:rPr>
          <w:rFonts w:ascii="Times New Roman" w:hAnsi="Times New Roman" w:cs="Times New Roman"/>
          <w:color w:val="000000" w:themeColor="text1"/>
          <w:sz w:val="28"/>
          <w:szCs w:val="28"/>
        </w:rPr>
        <w:t xml:space="preserve"> En</w:t>
      </w:r>
      <w:r w:rsidRPr="00D61E7E">
        <w:rPr>
          <w:rFonts w:ascii="Times New Roman" w:hAnsi="Times New Roman" w:cs="Times New Roman"/>
          <w:color w:val="000000" w:themeColor="text1"/>
          <w:sz w:val="28"/>
          <w:szCs w:val="28"/>
        </w:rPr>
        <w:t xml:space="preserve"> criterio de la universidad existe una</w:t>
      </w:r>
      <w:r w:rsidRPr="00D61E7E">
        <w:rPr>
          <w:rFonts w:ascii="Times New Roman" w:hAnsi="Times New Roman" w:cs="Times New Roman"/>
          <w:color w:val="000000" w:themeColor="text1"/>
          <w:sz w:val="28"/>
          <w:szCs w:val="28"/>
        </w:rPr>
        <w:t xml:space="preserve"> unidad de materia</w:t>
      </w:r>
      <w:r w:rsidRPr="00D61E7E">
        <w:rPr>
          <w:rFonts w:ascii="Times New Roman" w:hAnsi="Times New Roman" w:cs="Times New Roman"/>
          <w:color w:val="000000" w:themeColor="text1"/>
          <w:sz w:val="28"/>
          <w:szCs w:val="28"/>
        </w:rPr>
        <w:t xml:space="preserve"> funcional que</w:t>
      </w:r>
      <w:r w:rsidRPr="00D61E7E">
        <w:rPr>
          <w:rFonts w:ascii="Times New Roman" w:hAnsi="Times New Roman" w:cs="Times New Roman"/>
          <w:color w:val="000000" w:themeColor="text1"/>
          <w:sz w:val="28"/>
          <w:szCs w:val="28"/>
        </w:rPr>
        <w:t xml:space="preserve"> permite que una sola entidad resuelva diversas controversias y trámit</w:t>
      </w:r>
      <w:r w:rsidRPr="00D61E7E">
        <w:rPr>
          <w:rFonts w:ascii="Times New Roman" w:hAnsi="Times New Roman" w:cs="Times New Roman"/>
          <w:color w:val="000000" w:themeColor="text1"/>
          <w:sz w:val="28"/>
          <w:szCs w:val="28"/>
        </w:rPr>
        <w:t xml:space="preserve">es relacionados con sociedades comerciales, favoreciendo así la simplificación de los procedimientos para los administrados. </w:t>
      </w:r>
    </w:p>
    <w:p w:rsidR="00707BFB" w:rsidRPr="00D61E7E" w:rsidRDefault="00D61E7E" w:rsidP="00707BFB">
      <w:pPr>
        <w:pStyle w:val="Prrafodelista"/>
        <w:ind w:left="0"/>
        <w:rPr>
          <w:rFonts w:ascii="Times New Roman" w:hAnsi="Times New Roman" w:cs="Times New Roman"/>
          <w:color w:val="000000" w:themeColor="text1"/>
          <w:sz w:val="28"/>
          <w:szCs w:val="28"/>
        </w:rPr>
      </w:pPr>
    </w:p>
    <w:p w:rsidR="00707BFB" w:rsidRPr="00D61E7E" w:rsidRDefault="00D61E7E" w:rsidP="00707BFB">
      <w:pPr>
        <w:pStyle w:val="Prrafodelista"/>
        <w:numPr>
          <w:ilvl w:val="0"/>
          <w:numId w:val="3"/>
        </w:numPr>
        <w:rPr>
          <w:rFonts w:ascii="Times New Roman" w:hAnsi="Times New Roman" w:cs="Times New Roman"/>
          <w:color w:val="000000" w:themeColor="text1"/>
          <w:sz w:val="28"/>
          <w:szCs w:val="28"/>
        </w:rPr>
      </w:pPr>
      <w:r w:rsidRPr="00D61E7E">
        <w:rPr>
          <w:rFonts w:ascii="Times New Roman" w:hAnsi="Times New Roman" w:cs="Times New Roman"/>
          <w:color w:val="000000" w:themeColor="text1"/>
          <w:sz w:val="28"/>
          <w:szCs w:val="28"/>
        </w:rPr>
        <w:t xml:space="preserve">Añade </w:t>
      </w:r>
      <w:r w:rsidRPr="00D61E7E">
        <w:rPr>
          <w:rFonts w:ascii="Times New Roman" w:hAnsi="Times New Roman" w:cs="Times New Roman"/>
          <w:color w:val="000000" w:themeColor="text1"/>
          <w:sz w:val="28"/>
          <w:szCs w:val="28"/>
        </w:rPr>
        <w:t xml:space="preserve">la </w:t>
      </w:r>
      <w:r w:rsidRPr="00D61E7E">
        <w:rPr>
          <w:rFonts w:ascii="Times New Roman" w:hAnsi="Times New Roman" w:cs="Times New Roman"/>
          <w:color w:val="000000" w:themeColor="text1"/>
          <w:sz w:val="28"/>
          <w:szCs w:val="28"/>
        </w:rPr>
        <w:t>institución</w:t>
      </w:r>
      <w:r w:rsidRPr="00D61E7E">
        <w:rPr>
          <w:rFonts w:ascii="Times New Roman" w:hAnsi="Times New Roman" w:cs="Times New Roman"/>
          <w:color w:val="000000" w:themeColor="text1"/>
          <w:sz w:val="28"/>
          <w:szCs w:val="28"/>
        </w:rPr>
        <w:t xml:space="preserve"> educativa, que</w:t>
      </w:r>
      <w:r w:rsidRPr="00D61E7E">
        <w:rPr>
          <w:rFonts w:ascii="Times New Roman" w:hAnsi="Times New Roman" w:cs="Times New Roman"/>
          <w:color w:val="000000" w:themeColor="text1"/>
          <w:sz w:val="28"/>
          <w:szCs w:val="28"/>
        </w:rPr>
        <w:t xml:space="preserve"> hay </w:t>
      </w:r>
      <w:r w:rsidRPr="00D61E7E">
        <w:rPr>
          <w:rFonts w:ascii="Times New Roman" w:hAnsi="Times New Roman" w:cs="Times New Roman"/>
          <w:color w:val="000000" w:themeColor="text1"/>
          <w:sz w:val="28"/>
          <w:szCs w:val="28"/>
        </w:rPr>
        <w:t>muchas decisiones de la Superintendencia</w:t>
      </w:r>
      <w:r w:rsidRPr="00D61E7E">
        <w:rPr>
          <w:rFonts w:ascii="Times New Roman" w:hAnsi="Times New Roman" w:cs="Times New Roman"/>
          <w:color w:val="000000" w:themeColor="text1"/>
          <w:sz w:val="28"/>
          <w:szCs w:val="28"/>
        </w:rPr>
        <w:t xml:space="preserve"> de Sociedades</w:t>
      </w:r>
      <w:r w:rsidRPr="00D61E7E">
        <w:rPr>
          <w:rFonts w:ascii="Times New Roman" w:hAnsi="Times New Roman" w:cs="Times New Roman"/>
          <w:color w:val="000000" w:themeColor="text1"/>
          <w:sz w:val="28"/>
          <w:szCs w:val="28"/>
        </w:rPr>
        <w:t xml:space="preserve"> </w:t>
      </w:r>
      <w:r w:rsidRPr="00D61E7E">
        <w:rPr>
          <w:rFonts w:ascii="Times New Roman" w:hAnsi="Times New Roman" w:cs="Times New Roman"/>
          <w:color w:val="000000" w:themeColor="text1"/>
          <w:sz w:val="28"/>
          <w:szCs w:val="28"/>
        </w:rPr>
        <w:t xml:space="preserve">que </w:t>
      </w:r>
      <w:r w:rsidRPr="00D61E7E">
        <w:rPr>
          <w:rFonts w:ascii="Times New Roman" w:hAnsi="Times New Roman" w:cs="Times New Roman"/>
          <w:color w:val="000000" w:themeColor="text1"/>
          <w:sz w:val="28"/>
          <w:szCs w:val="28"/>
        </w:rPr>
        <w:t>deben ser inscritas en el regi</w:t>
      </w:r>
      <w:r w:rsidRPr="00D61E7E">
        <w:rPr>
          <w:rFonts w:ascii="Times New Roman" w:hAnsi="Times New Roman" w:cs="Times New Roman"/>
          <w:color w:val="000000" w:themeColor="text1"/>
          <w:sz w:val="28"/>
          <w:szCs w:val="28"/>
        </w:rPr>
        <w:t xml:space="preserve">stro mercantil de las Cámaras de Comercio, como la admisión a procesos concursales o las medidas cautelares sobre participaciones en el capital de sociedades. En este sentido, </w:t>
      </w:r>
      <w:r w:rsidRPr="00D61E7E">
        <w:rPr>
          <w:rFonts w:ascii="Times New Roman" w:hAnsi="Times New Roman" w:cs="Times New Roman"/>
          <w:color w:val="000000" w:themeColor="text1"/>
          <w:sz w:val="28"/>
          <w:szCs w:val="28"/>
        </w:rPr>
        <w:t xml:space="preserve">considera que </w:t>
      </w:r>
      <w:r w:rsidRPr="00D61E7E">
        <w:rPr>
          <w:rFonts w:ascii="Times New Roman" w:hAnsi="Times New Roman" w:cs="Times New Roman"/>
          <w:color w:val="000000" w:themeColor="text1"/>
          <w:sz w:val="28"/>
          <w:szCs w:val="28"/>
        </w:rPr>
        <w:t>la ley acusada respeta la unidad de materia al asignar funciones a</w:t>
      </w:r>
      <w:r w:rsidRPr="00D61E7E">
        <w:rPr>
          <w:rFonts w:ascii="Times New Roman" w:hAnsi="Times New Roman" w:cs="Times New Roman"/>
          <w:color w:val="000000" w:themeColor="text1"/>
          <w:sz w:val="28"/>
          <w:szCs w:val="28"/>
        </w:rPr>
        <w:t xml:space="preserve">l Gobierno </w:t>
      </w:r>
      <w:r w:rsidRPr="00D61E7E">
        <w:rPr>
          <w:rFonts w:ascii="Times New Roman" w:hAnsi="Times New Roman" w:cs="Times New Roman"/>
          <w:color w:val="000000" w:themeColor="text1"/>
          <w:sz w:val="28"/>
          <w:szCs w:val="28"/>
        </w:rPr>
        <w:t>n</w:t>
      </w:r>
      <w:r w:rsidRPr="00D61E7E">
        <w:rPr>
          <w:rFonts w:ascii="Times New Roman" w:hAnsi="Times New Roman" w:cs="Times New Roman"/>
          <w:color w:val="000000" w:themeColor="text1"/>
          <w:sz w:val="28"/>
          <w:szCs w:val="28"/>
        </w:rPr>
        <w:t xml:space="preserve">acional para garantizar los recursos necesarios para el ejercicio efectivo de las labores de </w:t>
      </w:r>
      <w:r w:rsidRPr="00D61E7E">
        <w:rPr>
          <w:rFonts w:ascii="Times New Roman" w:hAnsi="Times New Roman" w:cs="Times New Roman"/>
          <w:color w:val="000000" w:themeColor="text1"/>
          <w:sz w:val="28"/>
          <w:szCs w:val="28"/>
        </w:rPr>
        <w:t>la mencionada superintendencia</w:t>
      </w:r>
      <w:r w:rsidRPr="00D61E7E">
        <w:rPr>
          <w:rFonts w:ascii="Times New Roman" w:hAnsi="Times New Roman" w:cs="Times New Roman"/>
          <w:color w:val="000000" w:themeColor="text1"/>
          <w:sz w:val="28"/>
          <w:szCs w:val="28"/>
        </w:rPr>
        <w:t xml:space="preserve">. Por lo tanto, fijar las contribuciones que deben pagar las cámaras de comercio a la Superintendencia de Sociedades, </w:t>
      </w:r>
      <w:r w:rsidRPr="00D61E7E">
        <w:rPr>
          <w:rFonts w:ascii="Times New Roman" w:hAnsi="Times New Roman" w:cs="Times New Roman"/>
          <w:color w:val="000000" w:themeColor="text1"/>
          <w:sz w:val="28"/>
          <w:szCs w:val="28"/>
        </w:rPr>
        <w:t>com</w:t>
      </w:r>
      <w:r w:rsidRPr="00D61E7E">
        <w:rPr>
          <w:rFonts w:ascii="Times New Roman" w:hAnsi="Times New Roman" w:cs="Times New Roman"/>
          <w:color w:val="000000" w:themeColor="text1"/>
          <w:sz w:val="28"/>
          <w:szCs w:val="28"/>
        </w:rPr>
        <w:t>o antes se hacía frente a</w:t>
      </w:r>
      <w:r w:rsidRPr="00D61E7E">
        <w:rPr>
          <w:rFonts w:ascii="Times New Roman" w:hAnsi="Times New Roman" w:cs="Times New Roman"/>
          <w:color w:val="000000" w:themeColor="text1"/>
          <w:sz w:val="28"/>
          <w:szCs w:val="28"/>
        </w:rPr>
        <w:t xml:space="preserve"> la Superintendencia de Industria y Comercio, no contraviene la Constitución.</w:t>
      </w:r>
    </w:p>
    <w:p w:rsidR="00D95376" w:rsidRPr="00D61E7E" w:rsidRDefault="00D61E7E" w:rsidP="008667B4">
      <w:pPr>
        <w:rPr>
          <w:rFonts w:ascii="Times New Roman" w:hAnsi="Times New Roman" w:cs="Times New Roman"/>
          <w:color w:val="000000" w:themeColor="text1"/>
          <w:sz w:val="28"/>
          <w:szCs w:val="28"/>
          <w:lang w:val="es-ES"/>
        </w:rPr>
      </w:pPr>
    </w:p>
    <w:p w:rsidR="00F44903" w:rsidRPr="00D61E7E" w:rsidRDefault="00D61E7E" w:rsidP="00DD019B">
      <w:pPr>
        <w:rPr>
          <w:rFonts w:ascii="Times New Roman" w:hAnsi="Times New Roman" w:cs="Times New Roman"/>
          <w:b/>
          <w:bCs/>
          <w:color w:val="000000" w:themeColor="text1"/>
          <w:sz w:val="28"/>
          <w:szCs w:val="28"/>
        </w:rPr>
      </w:pPr>
      <w:r w:rsidRPr="00D61E7E">
        <w:rPr>
          <w:rFonts w:ascii="Times New Roman" w:hAnsi="Times New Roman" w:cs="Times New Roman"/>
          <w:b/>
          <w:bCs/>
          <w:color w:val="000000" w:themeColor="text1"/>
          <w:sz w:val="28"/>
          <w:szCs w:val="28"/>
        </w:rPr>
        <w:t>Superintendencia de Sociedades</w:t>
      </w:r>
    </w:p>
    <w:p w:rsidR="00F44903" w:rsidRPr="00D61E7E" w:rsidRDefault="00D61E7E" w:rsidP="00DD019B">
      <w:pPr>
        <w:rPr>
          <w:rFonts w:ascii="Times New Roman" w:hAnsi="Times New Roman" w:cs="Times New Roman"/>
          <w:b/>
          <w:bCs/>
          <w:color w:val="000000" w:themeColor="text1"/>
          <w:sz w:val="28"/>
          <w:szCs w:val="28"/>
        </w:rPr>
      </w:pPr>
    </w:p>
    <w:p w:rsidR="00DD019B" w:rsidRPr="00D61E7E" w:rsidRDefault="00D61E7E" w:rsidP="00F44903">
      <w:pPr>
        <w:pStyle w:val="Prrafodelista"/>
        <w:numPr>
          <w:ilvl w:val="0"/>
          <w:numId w:val="3"/>
        </w:numPr>
        <w:rPr>
          <w:rFonts w:ascii="Times New Roman" w:hAnsi="Times New Roman" w:cs="Times New Roman"/>
          <w:color w:val="000000" w:themeColor="text1"/>
          <w:sz w:val="28"/>
          <w:szCs w:val="28"/>
        </w:rPr>
      </w:pPr>
      <w:r w:rsidRPr="00D61E7E">
        <w:rPr>
          <w:rFonts w:ascii="Times New Roman" w:hAnsi="Times New Roman" w:cs="Times New Roman"/>
          <w:color w:val="000000" w:themeColor="text1"/>
          <w:sz w:val="28"/>
          <w:szCs w:val="28"/>
        </w:rPr>
        <w:t xml:space="preserve">La Superintendencia de Sociedades solicita que la Corte declare la </w:t>
      </w:r>
      <w:r w:rsidRPr="00D61E7E">
        <w:rPr>
          <w:rFonts w:ascii="Times New Roman" w:hAnsi="Times New Roman" w:cs="Times New Roman"/>
          <w:b/>
          <w:bCs/>
          <w:color w:val="000000" w:themeColor="text1"/>
          <w:sz w:val="28"/>
          <w:szCs w:val="28"/>
        </w:rPr>
        <w:t xml:space="preserve">constitucionalidad </w:t>
      </w:r>
      <w:r w:rsidRPr="00D61E7E">
        <w:rPr>
          <w:rFonts w:ascii="Times New Roman" w:hAnsi="Times New Roman" w:cs="Times New Roman"/>
          <w:color w:val="000000" w:themeColor="text1"/>
          <w:sz w:val="28"/>
          <w:szCs w:val="28"/>
        </w:rPr>
        <w:t>del artículo 70 demandad</w:t>
      </w:r>
      <w:r w:rsidRPr="00D61E7E">
        <w:rPr>
          <w:rFonts w:ascii="Times New Roman" w:hAnsi="Times New Roman" w:cs="Times New Roman"/>
          <w:color w:val="000000" w:themeColor="text1"/>
          <w:sz w:val="28"/>
          <w:szCs w:val="28"/>
        </w:rPr>
        <w:t>o</w:t>
      </w:r>
      <w:r w:rsidRPr="00D61E7E">
        <w:rPr>
          <w:rFonts w:ascii="Times New Roman" w:hAnsi="Times New Roman" w:cs="Times New Roman"/>
          <w:color w:val="000000" w:themeColor="text1"/>
          <w:sz w:val="28"/>
          <w:szCs w:val="28"/>
        </w:rPr>
        <w:t xml:space="preserve">. </w:t>
      </w:r>
      <w:r w:rsidRPr="00D61E7E">
        <w:rPr>
          <w:rFonts w:ascii="Times New Roman" w:hAnsi="Times New Roman" w:cs="Times New Roman"/>
          <w:color w:val="000000" w:themeColor="text1"/>
          <w:sz w:val="28"/>
          <w:szCs w:val="28"/>
        </w:rPr>
        <w:t xml:space="preserve">En primer lugar, la entidad hace un repaso del trámite legislativo que concluyó con </w:t>
      </w:r>
      <w:r w:rsidRPr="00D61E7E">
        <w:rPr>
          <w:rFonts w:ascii="Times New Roman" w:hAnsi="Times New Roman" w:cs="Times New Roman"/>
          <w:color w:val="000000" w:themeColor="text1"/>
          <w:sz w:val="28"/>
          <w:szCs w:val="28"/>
        </w:rPr>
        <w:t>la expedición d</w:t>
      </w:r>
      <w:r w:rsidRPr="00D61E7E">
        <w:rPr>
          <w:rFonts w:ascii="Times New Roman" w:hAnsi="Times New Roman" w:cs="Times New Roman"/>
          <w:color w:val="000000" w:themeColor="text1"/>
          <w:sz w:val="28"/>
          <w:szCs w:val="28"/>
        </w:rPr>
        <w:t>el artículo 70 ahora demandado. Después de transcribir algunos extractos de la exposición de motivos del proyecto de ley y de hacer referencia a los textos d</w:t>
      </w:r>
      <w:r w:rsidRPr="00D61E7E">
        <w:rPr>
          <w:rFonts w:ascii="Times New Roman" w:hAnsi="Times New Roman" w:cs="Times New Roman"/>
          <w:color w:val="000000" w:themeColor="text1"/>
          <w:sz w:val="28"/>
          <w:szCs w:val="28"/>
        </w:rPr>
        <w:t xml:space="preserve">efinitivos aprobados en </w:t>
      </w:r>
      <w:r w:rsidRPr="00D61E7E">
        <w:rPr>
          <w:rFonts w:ascii="Times New Roman" w:hAnsi="Times New Roman" w:cs="Times New Roman"/>
          <w:color w:val="000000" w:themeColor="text1"/>
          <w:sz w:val="28"/>
          <w:szCs w:val="28"/>
        </w:rPr>
        <w:t xml:space="preserve">la </w:t>
      </w:r>
      <w:r w:rsidRPr="00D61E7E">
        <w:rPr>
          <w:rFonts w:ascii="Times New Roman" w:hAnsi="Times New Roman" w:cs="Times New Roman"/>
          <w:color w:val="000000" w:themeColor="text1"/>
          <w:sz w:val="28"/>
          <w:szCs w:val="28"/>
        </w:rPr>
        <w:t xml:space="preserve">Cámara </w:t>
      </w:r>
      <w:r w:rsidRPr="00D61E7E">
        <w:rPr>
          <w:rFonts w:ascii="Times New Roman" w:hAnsi="Times New Roman" w:cs="Times New Roman"/>
          <w:color w:val="000000" w:themeColor="text1"/>
          <w:sz w:val="28"/>
          <w:szCs w:val="28"/>
        </w:rPr>
        <w:t>y</w:t>
      </w:r>
      <w:r w:rsidRPr="00D61E7E">
        <w:rPr>
          <w:rFonts w:ascii="Times New Roman" w:hAnsi="Times New Roman" w:cs="Times New Roman"/>
          <w:color w:val="000000" w:themeColor="text1"/>
          <w:sz w:val="28"/>
          <w:szCs w:val="28"/>
        </w:rPr>
        <w:t xml:space="preserve"> en </w:t>
      </w:r>
      <w:r w:rsidRPr="00D61E7E">
        <w:rPr>
          <w:rFonts w:ascii="Times New Roman" w:hAnsi="Times New Roman" w:cs="Times New Roman"/>
          <w:color w:val="000000" w:themeColor="text1"/>
          <w:sz w:val="28"/>
          <w:szCs w:val="28"/>
        </w:rPr>
        <w:t xml:space="preserve">el </w:t>
      </w:r>
      <w:r w:rsidRPr="00D61E7E">
        <w:rPr>
          <w:rFonts w:ascii="Times New Roman" w:hAnsi="Times New Roman" w:cs="Times New Roman"/>
          <w:color w:val="000000" w:themeColor="text1"/>
          <w:sz w:val="28"/>
          <w:szCs w:val="28"/>
        </w:rPr>
        <w:t>Senado</w:t>
      </w:r>
      <w:r w:rsidRPr="00D61E7E">
        <w:rPr>
          <w:rFonts w:ascii="Times New Roman" w:hAnsi="Times New Roman" w:cs="Times New Roman"/>
          <w:color w:val="000000" w:themeColor="text1"/>
          <w:sz w:val="28"/>
          <w:szCs w:val="28"/>
        </w:rPr>
        <w:t>, dicha</w:t>
      </w:r>
      <w:r w:rsidRPr="00D61E7E">
        <w:rPr>
          <w:rFonts w:ascii="Times New Roman" w:hAnsi="Times New Roman" w:cs="Times New Roman"/>
          <w:color w:val="000000" w:themeColor="text1"/>
          <w:sz w:val="28"/>
          <w:szCs w:val="28"/>
        </w:rPr>
        <w:t xml:space="preserve"> superintendencia concluye que </w:t>
      </w:r>
      <w:r w:rsidRPr="00D61E7E">
        <w:rPr>
          <w:rFonts w:ascii="Times New Roman" w:hAnsi="Times New Roman" w:cs="Times New Roman"/>
          <w:color w:val="000000" w:themeColor="text1"/>
          <w:sz w:val="28"/>
          <w:szCs w:val="28"/>
        </w:rPr>
        <w:t>la</w:t>
      </w:r>
      <w:r w:rsidRPr="00D61E7E">
        <w:rPr>
          <w:rFonts w:ascii="Times New Roman" w:hAnsi="Times New Roman" w:cs="Times New Roman"/>
          <w:color w:val="000000" w:themeColor="text1"/>
          <w:sz w:val="28"/>
          <w:szCs w:val="28"/>
        </w:rPr>
        <w:t xml:space="preserve"> disposición </w:t>
      </w:r>
      <w:r w:rsidRPr="00D61E7E">
        <w:rPr>
          <w:rFonts w:ascii="Times New Roman" w:hAnsi="Times New Roman" w:cs="Times New Roman"/>
          <w:color w:val="000000" w:themeColor="text1"/>
          <w:sz w:val="28"/>
          <w:szCs w:val="28"/>
        </w:rPr>
        <w:t xml:space="preserve">acusada </w:t>
      </w:r>
      <w:r w:rsidRPr="00D61E7E">
        <w:rPr>
          <w:rFonts w:ascii="Times New Roman" w:hAnsi="Times New Roman" w:cs="Times New Roman"/>
          <w:color w:val="000000" w:themeColor="text1"/>
          <w:sz w:val="28"/>
          <w:szCs w:val="28"/>
        </w:rPr>
        <w:t xml:space="preserve">fue ampliamente debatida y aprobada en ambas cámaras del Congreso, con pleno entendimiento de su propósito, especialmente en lo relacionado con el fomento del emprendimiento. </w:t>
      </w:r>
      <w:r w:rsidRPr="00D61E7E">
        <w:rPr>
          <w:rFonts w:ascii="Times New Roman" w:hAnsi="Times New Roman" w:cs="Times New Roman"/>
          <w:color w:val="000000" w:themeColor="text1"/>
          <w:sz w:val="28"/>
          <w:szCs w:val="28"/>
        </w:rPr>
        <w:t>L</w:t>
      </w:r>
      <w:r w:rsidRPr="00D61E7E">
        <w:rPr>
          <w:rFonts w:ascii="Times New Roman" w:hAnsi="Times New Roman" w:cs="Times New Roman"/>
          <w:color w:val="000000" w:themeColor="text1"/>
          <w:sz w:val="28"/>
          <w:szCs w:val="28"/>
        </w:rPr>
        <w:t>a entidad señala que el traslado de supervisión de las cámaras de comercio de la</w:t>
      </w:r>
      <w:r w:rsidRPr="00D61E7E">
        <w:rPr>
          <w:rFonts w:ascii="Times New Roman" w:hAnsi="Times New Roman" w:cs="Times New Roman"/>
          <w:color w:val="000000" w:themeColor="text1"/>
          <w:sz w:val="28"/>
          <w:szCs w:val="28"/>
        </w:rPr>
        <w:t xml:space="preserve"> Superintendencia de Industria y Comercio a la Superintendencia de Sociedades fue una decisión fundamentada en la naturaleza de las funciones y la necesidad de claridad y coherencia en el ámbito societari</w:t>
      </w:r>
      <w:r w:rsidRPr="00D61E7E">
        <w:rPr>
          <w:rFonts w:ascii="Times New Roman" w:hAnsi="Times New Roman" w:cs="Times New Roman"/>
          <w:color w:val="000000" w:themeColor="text1"/>
          <w:sz w:val="28"/>
          <w:szCs w:val="28"/>
        </w:rPr>
        <w:t>o</w:t>
      </w:r>
      <w:r w:rsidRPr="00D61E7E">
        <w:rPr>
          <w:rFonts w:ascii="Times New Roman" w:hAnsi="Times New Roman" w:cs="Times New Roman"/>
          <w:color w:val="000000" w:themeColor="text1"/>
          <w:sz w:val="28"/>
          <w:szCs w:val="28"/>
        </w:rPr>
        <w:t xml:space="preserve">. Explica la entidad en su intervención que, </w:t>
      </w:r>
      <w:r w:rsidRPr="00D61E7E">
        <w:rPr>
          <w:rFonts w:ascii="Times New Roman" w:hAnsi="Times New Roman" w:cs="Times New Roman"/>
          <w:color w:val="000000" w:themeColor="text1"/>
          <w:sz w:val="28"/>
          <w:szCs w:val="28"/>
        </w:rPr>
        <w:t>con la</w:t>
      </w:r>
      <w:r w:rsidRPr="00D61E7E">
        <w:rPr>
          <w:rFonts w:ascii="Times New Roman" w:hAnsi="Times New Roman" w:cs="Times New Roman"/>
          <w:color w:val="000000" w:themeColor="text1"/>
          <w:sz w:val="28"/>
          <w:szCs w:val="28"/>
        </w:rPr>
        <w:t xml:space="preserve"> norma </w:t>
      </w:r>
      <w:r w:rsidRPr="00D61E7E">
        <w:rPr>
          <w:rFonts w:ascii="Times New Roman" w:hAnsi="Times New Roman" w:cs="Times New Roman"/>
          <w:color w:val="000000" w:themeColor="text1"/>
          <w:sz w:val="28"/>
          <w:szCs w:val="28"/>
        </w:rPr>
        <w:t xml:space="preserve">acusada, </w:t>
      </w:r>
      <w:r w:rsidRPr="00D61E7E">
        <w:rPr>
          <w:rFonts w:ascii="Times New Roman" w:hAnsi="Times New Roman" w:cs="Times New Roman"/>
          <w:color w:val="000000" w:themeColor="text1"/>
          <w:sz w:val="28"/>
          <w:szCs w:val="28"/>
        </w:rPr>
        <w:t xml:space="preserve">se eliminó la duplicidad de pronunciamientos </w:t>
      </w:r>
      <w:r w:rsidRPr="00D61E7E">
        <w:rPr>
          <w:rFonts w:ascii="Times New Roman" w:hAnsi="Times New Roman" w:cs="Times New Roman"/>
          <w:color w:val="000000" w:themeColor="text1"/>
          <w:sz w:val="28"/>
          <w:szCs w:val="28"/>
        </w:rPr>
        <w:t xml:space="preserve">entre </w:t>
      </w:r>
      <w:r w:rsidRPr="00D61E7E">
        <w:rPr>
          <w:rFonts w:ascii="Times New Roman" w:hAnsi="Times New Roman" w:cs="Times New Roman"/>
          <w:color w:val="000000" w:themeColor="text1"/>
          <w:sz w:val="28"/>
          <w:szCs w:val="28"/>
        </w:rPr>
        <w:t>las superintendencias de Industria y Comercio y de Sociedades</w:t>
      </w:r>
      <w:r w:rsidRPr="00D61E7E">
        <w:rPr>
          <w:rFonts w:ascii="Times New Roman" w:hAnsi="Times New Roman" w:cs="Times New Roman"/>
          <w:color w:val="000000" w:themeColor="text1"/>
          <w:sz w:val="28"/>
          <w:szCs w:val="28"/>
        </w:rPr>
        <w:t xml:space="preserve"> </w:t>
      </w:r>
      <w:r w:rsidRPr="00D61E7E">
        <w:rPr>
          <w:rFonts w:ascii="Times New Roman" w:hAnsi="Times New Roman" w:cs="Times New Roman"/>
          <w:color w:val="000000" w:themeColor="text1"/>
          <w:sz w:val="28"/>
          <w:szCs w:val="28"/>
        </w:rPr>
        <w:t xml:space="preserve">y </w:t>
      </w:r>
      <w:r w:rsidRPr="00D61E7E">
        <w:rPr>
          <w:rFonts w:ascii="Times New Roman" w:hAnsi="Times New Roman" w:cs="Times New Roman"/>
          <w:color w:val="000000" w:themeColor="text1"/>
          <w:sz w:val="28"/>
          <w:szCs w:val="28"/>
        </w:rPr>
        <w:t xml:space="preserve">se </w:t>
      </w:r>
      <w:r w:rsidRPr="00D61E7E">
        <w:rPr>
          <w:rFonts w:ascii="Times New Roman" w:hAnsi="Times New Roman" w:cs="Times New Roman"/>
          <w:color w:val="000000" w:themeColor="text1"/>
          <w:sz w:val="28"/>
          <w:szCs w:val="28"/>
        </w:rPr>
        <w:t xml:space="preserve">proporcionó un enfoque más directo y especializado para los emprendedores. En definitiva, para la </w:t>
      </w:r>
      <w:r w:rsidRPr="00D61E7E">
        <w:rPr>
          <w:rFonts w:ascii="Times New Roman" w:hAnsi="Times New Roman" w:cs="Times New Roman"/>
          <w:color w:val="000000" w:themeColor="text1"/>
          <w:sz w:val="28"/>
          <w:szCs w:val="28"/>
        </w:rPr>
        <w:t xml:space="preserve">mencionada </w:t>
      </w:r>
      <w:r w:rsidRPr="00D61E7E">
        <w:rPr>
          <w:rFonts w:ascii="Times New Roman" w:hAnsi="Times New Roman" w:cs="Times New Roman"/>
          <w:color w:val="000000" w:themeColor="text1"/>
          <w:sz w:val="28"/>
          <w:szCs w:val="28"/>
        </w:rPr>
        <w:t>superintenden</w:t>
      </w:r>
      <w:r w:rsidRPr="00D61E7E">
        <w:rPr>
          <w:rFonts w:ascii="Times New Roman" w:hAnsi="Times New Roman" w:cs="Times New Roman"/>
          <w:color w:val="000000" w:themeColor="text1"/>
          <w:sz w:val="28"/>
          <w:szCs w:val="28"/>
        </w:rPr>
        <w:t>cia, la supervisión de las cámaras de comercio es esencial para el ecosistema del emprendimiento</w:t>
      </w:r>
      <w:r w:rsidRPr="00D61E7E">
        <w:rPr>
          <w:rFonts w:ascii="Times New Roman" w:hAnsi="Times New Roman" w:cs="Times New Roman"/>
          <w:color w:val="000000" w:themeColor="text1"/>
          <w:sz w:val="28"/>
          <w:szCs w:val="28"/>
        </w:rPr>
        <w:t xml:space="preserve"> y esta relación se explica de forma clara en la exposición de motivos</w:t>
      </w:r>
      <w:r w:rsidRPr="00D61E7E">
        <w:rPr>
          <w:rFonts w:ascii="Times New Roman" w:hAnsi="Times New Roman" w:cs="Times New Roman"/>
          <w:color w:val="000000" w:themeColor="text1"/>
          <w:sz w:val="28"/>
          <w:szCs w:val="28"/>
        </w:rPr>
        <w:t xml:space="preserve"> del proyecto que dio paso a la expedición de la ley</w:t>
      </w:r>
      <w:r w:rsidRPr="00D61E7E">
        <w:rPr>
          <w:rFonts w:ascii="Times New Roman" w:hAnsi="Times New Roman" w:cs="Times New Roman"/>
          <w:color w:val="000000" w:themeColor="text1"/>
          <w:sz w:val="28"/>
          <w:szCs w:val="28"/>
        </w:rPr>
        <w:t xml:space="preserve">. Así, </w:t>
      </w:r>
      <w:r w:rsidRPr="00D61E7E">
        <w:rPr>
          <w:rFonts w:ascii="Times New Roman" w:hAnsi="Times New Roman" w:cs="Times New Roman"/>
          <w:color w:val="000000" w:themeColor="text1"/>
          <w:sz w:val="28"/>
          <w:szCs w:val="28"/>
        </w:rPr>
        <w:t xml:space="preserve">concluye la entidad, </w:t>
      </w:r>
      <w:r w:rsidRPr="00D61E7E">
        <w:rPr>
          <w:rFonts w:ascii="Times New Roman" w:hAnsi="Times New Roman" w:cs="Times New Roman"/>
          <w:color w:val="000000" w:themeColor="text1"/>
          <w:sz w:val="28"/>
          <w:szCs w:val="28"/>
        </w:rPr>
        <w:t>existe una</w:t>
      </w:r>
      <w:r w:rsidRPr="00D61E7E">
        <w:rPr>
          <w:rFonts w:ascii="Times New Roman" w:hAnsi="Times New Roman" w:cs="Times New Roman"/>
          <w:color w:val="000000" w:themeColor="text1"/>
          <w:sz w:val="28"/>
          <w:szCs w:val="28"/>
        </w:rPr>
        <w:t xml:space="preserve"> conexión temática</w:t>
      </w:r>
      <w:r w:rsidRPr="00D61E7E">
        <w:rPr>
          <w:rFonts w:ascii="Times New Roman" w:hAnsi="Times New Roman" w:cs="Times New Roman"/>
          <w:color w:val="000000" w:themeColor="text1"/>
          <w:sz w:val="28"/>
          <w:szCs w:val="28"/>
        </w:rPr>
        <w:t xml:space="preserve">, teleológica, causal y funcional </w:t>
      </w:r>
      <w:r w:rsidRPr="00D61E7E">
        <w:rPr>
          <w:rFonts w:ascii="Times New Roman" w:hAnsi="Times New Roman" w:cs="Times New Roman"/>
          <w:color w:val="000000" w:themeColor="text1"/>
          <w:sz w:val="28"/>
          <w:szCs w:val="28"/>
        </w:rPr>
        <w:t xml:space="preserve">con la ley de emprendimiento demandada. </w:t>
      </w:r>
    </w:p>
    <w:p w:rsidR="00F44903" w:rsidRPr="00D61E7E" w:rsidRDefault="00D61E7E" w:rsidP="00F44903">
      <w:pPr>
        <w:pStyle w:val="Prrafodelista"/>
        <w:ind w:left="0"/>
        <w:rPr>
          <w:rFonts w:ascii="Times New Roman" w:hAnsi="Times New Roman" w:cs="Times New Roman"/>
          <w:color w:val="000000" w:themeColor="text1"/>
          <w:sz w:val="28"/>
          <w:szCs w:val="28"/>
        </w:rPr>
      </w:pPr>
    </w:p>
    <w:p w:rsidR="00F44903" w:rsidRPr="00D61E7E" w:rsidRDefault="00D61E7E" w:rsidP="00F44903">
      <w:pPr>
        <w:pStyle w:val="Prrafodelista"/>
        <w:ind w:left="0"/>
        <w:rPr>
          <w:rFonts w:ascii="Times New Roman" w:hAnsi="Times New Roman" w:cs="Times New Roman"/>
          <w:b/>
          <w:bCs/>
          <w:color w:val="000000" w:themeColor="text1"/>
          <w:sz w:val="28"/>
          <w:szCs w:val="28"/>
        </w:rPr>
      </w:pPr>
      <w:r w:rsidRPr="00D61E7E">
        <w:rPr>
          <w:rFonts w:ascii="Times New Roman" w:hAnsi="Times New Roman" w:cs="Times New Roman"/>
          <w:b/>
          <w:bCs/>
          <w:color w:val="000000" w:themeColor="text1"/>
          <w:sz w:val="28"/>
          <w:szCs w:val="28"/>
        </w:rPr>
        <w:t>Ministerio de Comercio, Industria y Turismo</w:t>
      </w:r>
    </w:p>
    <w:p w:rsidR="00F44903" w:rsidRPr="00D61E7E" w:rsidRDefault="00D61E7E" w:rsidP="00F44903">
      <w:pPr>
        <w:rPr>
          <w:rFonts w:ascii="Times New Roman" w:hAnsi="Times New Roman" w:cs="Times New Roman"/>
          <w:color w:val="000000" w:themeColor="text1"/>
          <w:sz w:val="28"/>
          <w:szCs w:val="28"/>
          <w:lang w:val="es-ES"/>
        </w:rPr>
      </w:pPr>
    </w:p>
    <w:p w:rsidR="007D7041" w:rsidRPr="00D61E7E" w:rsidRDefault="00D61E7E" w:rsidP="007D7041">
      <w:pPr>
        <w:pStyle w:val="Prrafodelista"/>
        <w:numPr>
          <w:ilvl w:val="0"/>
          <w:numId w:val="3"/>
        </w:numPr>
        <w:rPr>
          <w:rFonts w:ascii="Times New Roman" w:hAnsi="Times New Roman" w:cs="Times New Roman"/>
          <w:color w:val="000000" w:themeColor="text1"/>
          <w:sz w:val="28"/>
          <w:szCs w:val="28"/>
        </w:rPr>
      </w:pPr>
      <w:r w:rsidRPr="00D61E7E">
        <w:rPr>
          <w:rFonts w:ascii="Times New Roman" w:hAnsi="Times New Roman" w:cs="Times New Roman"/>
          <w:color w:val="000000" w:themeColor="text1"/>
          <w:sz w:val="28"/>
          <w:szCs w:val="28"/>
        </w:rPr>
        <w:t xml:space="preserve">El ministerio </w:t>
      </w:r>
      <w:r w:rsidRPr="00D61E7E">
        <w:rPr>
          <w:rFonts w:ascii="Times New Roman" w:hAnsi="Times New Roman" w:cs="Times New Roman"/>
          <w:color w:val="000000" w:themeColor="text1"/>
          <w:sz w:val="28"/>
          <w:szCs w:val="28"/>
        </w:rPr>
        <w:t>limitó</w:t>
      </w:r>
      <w:r w:rsidRPr="00D61E7E">
        <w:rPr>
          <w:rFonts w:ascii="Times New Roman" w:hAnsi="Times New Roman" w:cs="Times New Roman"/>
          <w:color w:val="000000" w:themeColor="text1"/>
          <w:sz w:val="28"/>
          <w:szCs w:val="28"/>
        </w:rPr>
        <w:t xml:space="preserve"> su intervención </w:t>
      </w:r>
      <w:r w:rsidRPr="00D61E7E">
        <w:rPr>
          <w:rFonts w:ascii="Times New Roman" w:hAnsi="Times New Roman" w:cs="Times New Roman"/>
          <w:color w:val="000000" w:themeColor="text1"/>
          <w:sz w:val="28"/>
          <w:szCs w:val="28"/>
        </w:rPr>
        <w:t>a</w:t>
      </w:r>
      <w:r w:rsidRPr="00D61E7E">
        <w:rPr>
          <w:rFonts w:ascii="Times New Roman" w:hAnsi="Times New Roman" w:cs="Times New Roman"/>
          <w:color w:val="000000" w:themeColor="text1"/>
          <w:sz w:val="28"/>
          <w:szCs w:val="28"/>
        </w:rPr>
        <w:t xml:space="preserve"> solicitar la </w:t>
      </w:r>
      <w:r w:rsidRPr="00D61E7E">
        <w:rPr>
          <w:rFonts w:ascii="Times New Roman" w:hAnsi="Times New Roman" w:cs="Times New Roman"/>
          <w:b/>
          <w:bCs/>
          <w:color w:val="000000" w:themeColor="text1"/>
          <w:sz w:val="28"/>
          <w:szCs w:val="28"/>
        </w:rPr>
        <w:t xml:space="preserve">exequibilidad </w:t>
      </w:r>
      <w:r w:rsidRPr="00D61E7E">
        <w:rPr>
          <w:rFonts w:ascii="Times New Roman" w:hAnsi="Times New Roman" w:cs="Times New Roman"/>
          <w:color w:val="000000" w:themeColor="text1"/>
          <w:sz w:val="28"/>
          <w:szCs w:val="28"/>
        </w:rPr>
        <w:t xml:space="preserve">del artículo 70 cuestionado. Así, para la entidad </w:t>
      </w:r>
      <w:r w:rsidRPr="00D61E7E">
        <w:rPr>
          <w:rFonts w:ascii="Times New Roman" w:eastAsia="Times New Roman" w:hAnsi="Times New Roman" w:cs="Times New Roman"/>
          <w:color w:val="000000" w:themeColor="text1"/>
          <w:sz w:val="28"/>
          <w:szCs w:val="28"/>
          <w:lang w:val="es-ES"/>
        </w:rPr>
        <w:t>la disposición acusada</w:t>
      </w:r>
      <w:r w:rsidRPr="00D61E7E">
        <w:rPr>
          <w:rFonts w:ascii="Times New Roman" w:eastAsia="Times New Roman" w:hAnsi="Times New Roman" w:cs="Times New Roman"/>
          <w:color w:val="000000" w:themeColor="text1"/>
          <w:sz w:val="28"/>
          <w:szCs w:val="28"/>
          <w:lang w:val="es-ES"/>
        </w:rPr>
        <w:t xml:space="preserve"> </w:t>
      </w:r>
      <w:r w:rsidRPr="00D61E7E">
        <w:rPr>
          <w:rFonts w:ascii="Times New Roman" w:eastAsia="Times New Roman" w:hAnsi="Times New Roman" w:cs="Times New Roman"/>
          <w:color w:val="000000" w:themeColor="text1"/>
          <w:sz w:val="28"/>
          <w:szCs w:val="28"/>
          <w:lang w:val="es-ES"/>
        </w:rPr>
        <w:t>busc</w:t>
      </w:r>
      <w:r w:rsidRPr="00D61E7E">
        <w:rPr>
          <w:rFonts w:ascii="Times New Roman" w:eastAsia="Times New Roman" w:hAnsi="Times New Roman" w:cs="Times New Roman"/>
          <w:color w:val="000000" w:themeColor="text1"/>
          <w:sz w:val="28"/>
          <w:szCs w:val="28"/>
          <w:lang w:val="es-ES"/>
        </w:rPr>
        <w:t>ó</w:t>
      </w:r>
      <w:r w:rsidRPr="00D61E7E">
        <w:rPr>
          <w:rFonts w:ascii="Times New Roman" w:eastAsia="Times New Roman" w:hAnsi="Times New Roman" w:cs="Times New Roman"/>
          <w:color w:val="000000" w:themeColor="text1"/>
          <w:sz w:val="28"/>
          <w:szCs w:val="28"/>
          <w:lang w:val="es-ES"/>
        </w:rPr>
        <w:t xml:space="preserve"> establecer un contexto legal </w:t>
      </w:r>
      <w:r w:rsidRPr="00D61E7E">
        <w:rPr>
          <w:rFonts w:ascii="Times New Roman" w:eastAsia="Times New Roman" w:hAnsi="Times New Roman" w:cs="Times New Roman"/>
          <w:color w:val="000000" w:themeColor="text1"/>
          <w:sz w:val="28"/>
          <w:szCs w:val="28"/>
          <w:lang w:val="es-ES"/>
        </w:rPr>
        <w:t>para el fomento</w:t>
      </w:r>
      <w:r w:rsidRPr="00D61E7E">
        <w:rPr>
          <w:rFonts w:ascii="Times New Roman" w:eastAsia="Times New Roman" w:hAnsi="Times New Roman" w:cs="Times New Roman"/>
          <w:color w:val="000000" w:themeColor="text1"/>
          <w:sz w:val="28"/>
          <w:szCs w:val="28"/>
          <w:lang w:val="es-ES"/>
        </w:rPr>
        <w:t xml:space="preserve"> </w:t>
      </w:r>
      <w:r w:rsidRPr="00D61E7E">
        <w:rPr>
          <w:rFonts w:ascii="Times New Roman" w:eastAsia="Times New Roman" w:hAnsi="Times New Roman" w:cs="Times New Roman"/>
          <w:color w:val="000000" w:themeColor="text1"/>
          <w:sz w:val="28"/>
          <w:szCs w:val="28"/>
          <w:lang w:val="es-ES"/>
        </w:rPr>
        <w:t>d</w:t>
      </w:r>
      <w:r w:rsidRPr="00D61E7E">
        <w:rPr>
          <w:rFonts w:ascii="Times New Roman" w:eastAsia="Times New Roman" w:hAnsi="Times New Roman" w:cs="Times New Roman"/>
          <w:color w:val="000000" w:themeColor="text1"/>
          <w:sz w:val="28"/>
          <w:szCs w:val="28"/>
          <w:lang w:val="es-ES"/>
        </w:rPr>
        <w:t>el emprendimiento y el crecimiento empresarial en Colombia</w:t>
      </w:r>
      <w:r w:rsidRPr="00D61E7E">
        <w:rPr>
          <w:rFonts w:ascii="Times New Roman" w:eastAsia="Times New Roman" w:hAnsi="Times New Roman" w:cs="Times New Roman"/>
          <w:color w:val="000000" w:themeColor="text1"/>
          <w:sz w:val="28"/>
          <w:szCs w:val="28"/>
          <w:lang w:val="es-ES"/>
        </w:rPr>
        <w:t xml:space="preserve">, que consiste en </w:t>
      </w:r>
      <w:r w:rsidRPr="00D61E7E">
        <w:rPr>
          <w:rFonts w:ascii="Times New Roman" w:eastAsia="Times New Roman" w:hAnsi="Times New Roman" w:cs="Times New Roman"/>
          <w:color w:val="000000" w:themeColor="text1"/>
          <w:sz w:val="28"/>
          <w:szCs w:val="28"/>
          <w:lang w:val="es-ES"/>
        </w:rPr>
        <w:t>facilitar la interacción entre el Estado y los emprendedores, simplifica</w:t>
      </w:r>
      <w:r w:rsidRPr="00D61E7E">
        <w:rPr>
          <w:rFonts w:ascii="Times New Roman" w:eastAsia="Times New Roman" w:hAnsi="Times New Roman" w:cs="Times New Roman"/>
          <w:color w:val="000000" w:themeColor="text1"/>
          <w:sz w:val="28"/>
          <w:szCs w:val="28"/>
          <w:lang w:val="es-ES"/>
        </w:rPr>
        <w:t>r</w:t>
      </w:r>
      <w:r w:rsidRPr="00D61E7E">
        <w:rPr>
          <w:rFonts w:ascii="Times New Roman" w:eastAsia="Times New Roman" w:hAnsi="Times New Roman" w:cs="Times New Roman"/>
          <w:color w:val="000000" w:themeColor="text1"/>
          <w:sz w:val="28"/>
          <w:szCs w:val="28"/>
          <w:lang w:val="es-ES"/>
        </w:rPr>
        <w:t xml:space="preserve"> los trámites y procesos burocráticos y</w:t>
      </w:r>
      <w:r w:rsidRPr="00D61E7E">
        <w:rPr>
          <w:rFonts w:ascii="Times New Roman" w:eastAsia="Times New Roman" w:hAnsi="Times New Roman" w:cs="Times New Roman"/>
          <w:color w:val="000000" w:themeColor="text1"/>
          <w:sz w:val="28"/>
          <w:szCs w:val="28"/>
          <w:lang w:val="es-ES"/>
        </w:rPr>
        <w:t xml:space="preserve">, así, </w:t>
      </w:r>
      <w:r w:rsidRPr="00D61E7E">
        <w:rPr>
          <w:rFonts w:ascii="Times New Roman" w:eastAsia="Times New Roman" w:hAnsi="Times New Roman" w:cs="Times New Roman"/>
          <w:color w:val="000000" w:themeColor="text1"/>
          <w:sz w:val="28"/>
          <w:szCs w:val="28"/>
          <w:lang w:val="es-ES"/>
        </w:rPr>
        <w:t>mejorar la información empresarial, optimizar los recursos y promover la equidad económica.</w:t>
      </w:r>
    </w:p>
    <w:p w:rsidR="00FD6CEE" w:rsidRPr="00D61E7E" w:rsidRDefault="00D61E7E" w:rsidP="005329AA">
      <w:pPr>
        <w:pStyle w:val="Prrafodelista"/>
        <w:ind w:left="0"/>
        <w:rPr>
          <w:rFonts w:ascii="Times New Roman" w:hAnsi="Times New Roman" w:cs="Times New Roman"/>
          <w:color w:val="000000" w:themeColor="text1"/>
          <w:sz w:val="28"/>
          <w:szCs w:val="28"/>
        </w:rPr>
      </w:pPr>
    </w:p>
    <w:p w:rsidR="00DB71C8" w:rsidRPr="00D61E7E" w:rsidRDefault="00D61E7E" w:rsidP="007D7041">
      <w:pPr>
        <w:pStyle w:val="Prrafodelista"/>
        <w:numPr>
          <w:ilvl w:val="0"/>
          <w:numId w:val="3"/>
        </w:numPr>
        <w:spacing w:before="100" w:beforeAutospacing="1" w:after="100" w:afterAutospacing="1"/>
        <w:rPr>
          <w:rFonts w:ascii="Times New Roman" w:eastAsia="Times New Roman" w:hAnsi="Times New Roman" w:cs="Times New Roman"/>
          <w:color w:val="000000" w:themeColor="text1"/>
          <w:sz w:val="28"/>
          <w:szCs w:val="28"/>
          <w:lang w:val="es-ES"/>
        </w:rPr>
      </w:pPr>
      <w:r w:rsidRPr="00D61E7E">
        <w:rPr>
          <w:rFonts w:ascii="Times New Roman" w:eastAsia="Times New Roman" w:hAnsi="Times New Roman" w:cs="Times New Roman"/>
          <w:color w:val="000000" w:themeColor="text1"/>
          <w:sz w:val="28"/>
          <w:szCs w:val="28"/>
          <w:lang w:val="es-ES"/>
        </w:rPr>
        <w:t xml:space="preserve">Ahora bien, </w:t>
      </w:r>
      <w:r w:rsidRPr="00D61E7E">
        <w:rPr>
          <w:rFonts w:ascii="Times New Roman" w:eastAsia="Times New Roman" w:hAnsi="Times New Roman" w:cs="Times New Roman"/>
          <w:color w:val="000000" w:themeColor="text1"/>
          <w:sz w:val="28"/>
          <w:szCs w:val="28"/>
          <w:lang w:val="es-ES"/>
        </w:rPr>
        <w:t xml:space="preserve">sobre el </w:t>
      </w:r>
      <w:r w:rsidRPr="00D61E7E">
        <w:rPr>
          <w:rFonts w:ascii="Times New Roman" w:eastAsia="Times New Roman" w:hAnsi="Times New Roman" w:cs="Times New Roman"/>
          <w:color w:val="000000" w:themeColor="text1"/>
          <w:sz w:val="28"/>
          <w:szCs w:val="28"/>
          <w:lang w:val="es-ES"/>
        </w:rPr>
        <w:t xml:space="preserve">artículo 70 de la </w:t>
      </w:r>
      <w:r w:rsidRPr="00D61E7E">
        <w:rPr>
          <w:rFonts w:ascii="Times New Roman" w:eastAsia="Times New Roman" w:hAnsi="Times New Roman" w:cs="Times New Roman"/>
          <w:color w:val="000000" w:themeColor="text1"/>
          <w:sz w:val="28"/>
          <w:szCs w:val="28"/>
          <w:lang w:val="es-ES"/>
        </w:rPr>
        <w:t>Ley 2069 de 2020</w:t>
      </w:r>
      <w:r w:rsidRPr="00D61E7E">
        <w:rPr>
          <w:rFonts w:ascii="Times New Roman" w:eastAsia="Times New Roman" w:hAnsi="Times New Roman" w:cs="Times New Roman"/>
          <w:color w:val="000000" w:themeColor="text1"/>
          <w:sz w:val="28"/>
          <w:szCs w:val="28"/>
          <w:lang w:val="es-ES"/>
        </w:rPr>
        <w:t xml:space="preserve">, el </w:t>
      </w:r>
      <w:r w:rsidRPr="00D61E7E">
        <w:rPr>
          <w:rFonts w:ascii="Times New Roman" w:eastAsia="Times New Roman" w:hAnsi="Times New Roman" w:cs="Times New Roman"/>
          <w:color w:val="000000" w:themeColor="text1"/>
          <w:sz w:val="28"/>
          <w:szCs w:val="28"/>
          <w:lang w:val="es-ES"/>
        </w:rPr>
        <w:t xml:space="preserve">Ministerio de Comercio Industria y Turismo </w:t>
      </w:r>
      <w:r w:rsidRPr="00D61E7E">
        <w:rPr>
          <w:rFonts w:ascii="Times New Roman" w:eastAsia="Times New Roman" w:hAnsi="Times New Roman" w:cs="Times New Roman"/>
          <w:color w:val="000000" w:themeColor="text1"/>
          <w:sz w:val="28"/>
          <w:szCs w:val="28"/>
          <w:lang w:val="es-ES"/>
        </w:rPr>
        <w:t xml:space="preserve">señala que </w:t>
      </w:r>
      <w:r w:rsidRPr="00D61E7E">
        <w:rPr>
          <w:rFonts w:ascii="Times New Roman" w:eastAsia="Times New Roman" w:hAnsi="Times New Roman" w:cs="Times New Roman"/>
          <w:color w:val="000000" w:themeColor="text1"/>
          <w:sz w:val="28"/>
          <w:szCs w:val="28"/>
          <w:lang w:val="es-ES"/>
        </w:rPr>
        <w:t>la</w:t>
      </w:r>
      <w:r w:rsidRPr="00D61E7E">
        <w:rPr>
          <w:rFonts w:ascii="Times New Roman" w:eastAsia="Times New Roman" w:hAnsi="Times New Roman" w:cs="Times New Roman"/>
          <w:color w:val="000000" w:themeColor="text1"/>
          <w:sz w:val="28"/>
          <w:szCs w:val="28"/>
          <w:lang w:val="es-ES"/>
        </w:rPr>
        <w:t xml:space="preserve"> </w:t>
      </w:r>
      <w:r w:rsidRPr="00D61E7E">
        <w:rPr>
          <w:rFonts w:ascii="Times New Roman" w:eastAsia="Times New Roman" w:hAnsi="Times New Roman" w:cs="Times New Roman"/>
          <w:color w:val="000000" w:themeColor="text1"/>
          <w:sz w:val="28"/>
          <w:szCs w:val="28"/>
          <w:lang w:val="es-ES"/>
        </w:rPr>
        <w:t xml:space="preserve">norma busca </w:t>
      </w:r>
      <w:r w:rsidRPr="00D61E7E">
        <w:rPr>
          <w:rFonts w:ascii="Times New Roman" w:eastAsia="Times New Roman" w:hAnsi="Times New Roman" w:cs="Times New Roman"/>
          <w:color w:val="000000" w:themeColor="text1"/>
          <w:sz w:val="28"/>
          <w:szCs w:val="28"/>
          <w:lang w:val="es-ES"/>
        </w:rPr>
        <w:t xml:space="preserve">mejorar </w:t>
      </w:r>
      <w:r w:rsidRPr="00D61E7E">
        <w:rPr>
          <w:rFonts w:ascii="Times New Roman" w:eastAsia="Times New Roman" w:hAnsi="Times New Roman" w:cs="Times New Roman"/>
          <w:color w:val="000000" w:themeColor="text1"/>
          <w:sz w:val="28"/>
          <w:szCs w:val="28"/>
          <w:lang w:val="es-ES"/>
        </w:rPr>
        <w:t xml:space="preserve">el marco institucional </w:t>
      </w:r>
      <w:r w:rsidRPr="00D61E7E">
        <w:rPr>
          <w:rFonts w:ascii="Times New Roman" w:eastAsia="Times New Roman" w:hAnsi="Times New Roman" w:cs="Times New Roman"/>
          <w:color w:val="000000" w:themeColor="text1"/>
          <w:sz w:val="28"/>
          <w:szCs w:val="28"/>
          <w:lang w:val="es-ES"/>
        </w:rPr>
        <w:t>en materia de</w:t>
      </w:r>
      <w:r w:rsidRPr="00D61E7E">
        <w:rPr>
          <w:rFonts w:ascii="Times New Roman" w:eastAsia="Times New Roman" w:hAnsi="Times New Roman" w:cs="Times New Roman"/>
          <w:color w:val="000000" w:themeColor="text1"/>
          <w:sz w:val="28"/>
          <w:szCs w:val="28"/>
          <w:lang w:val="es-ES"/>
        </w:rPr>
        <w:t xml:space="preserve"> emprendimiento, </w:t>
      </w:r>
      <w:r w:rsidRPr="00D61E7E">
        <w:rPr>
          <w:rFonts w:ascii="Times New Roman" w:eastAsia="Times New Roman" w:hAnsi="Times New Roman" w:cs="Times New Roman"/>
          <w:color w:val="000000" w:themeColor="text1"/>
          <w:sz w:val="28"/>
          <w:szCs w:val="28"/>
          <w:lang w:val="es-ES"/>
        </w:rPr>
        <w:t>al establecer</w:t>
      </w:r>
      <w:r w:rsidRPr="00D61E7E">
        <w:rPr>
          <w:rFonts w:ascii="Times New Roman" w:eastAsia="Times New Roman" w:hAnsi="Times New Roman" w:cs="Times New Roman"/>
          <w:color w:val="000000" w:themeColor="text1"/>
          <w:sz w:val="28"/>
          <w:szCs w:val="28"/>
          <w:lang w:val="es-ES"/>
        </w:rPr>
        <w:t xml:space="preserve"> una conexión entre las competencias de inspección, vigilancia y control de la Superintendencia de Sociedades y las funciones de las cámaras de comercio. Así, </w:t>
      </w:r>
      <w:r w:rsidRPr="00D61E7E">
        <w:rPr>
          <w:rFonts w:ascii="Times New Roman" w:eastAsia="Times New Roman" w:hAnsi="Times New Roman" w:cs="Times New Roman"/>
          <w:color w:val="000000" w:themeColor="text1"/>
          <w:sz w:val="28"/>
          <w:szCs w:val="28"/>
          <w:lang w:val="es-ES"/>
        </w:rPr>
        <w:t xml:space="preserve">esta </w:t>
      </w:r>
      <w:r w:rsidRPr="00D61E7E">
        <w:rPr>
          <w:rFonts w:ascii="Times New Roman" w:eastAsia="Times New Roman" w:hAnsi="Times New Roman" w:cs="Times New Roman"/>
          <w:color w:val="000000" w:themeColor="text1"/>
          <w:sz w:val="28"/>
          <w:szCs w:val="28"/>
          <w:lang w:val="es-ES"/>
        </w:rPr>
        <w:t xml:space="preserve">entidad argumenta que la Superintendencia de Sociedades está mejor equipada </w:t>
      </w:r>
      <w:r w:rsidRPr="00D61E7E">
        <w:rPr>
          <w:rFonts w:ascii="Times New Roman" w:eastAsia="Times New Roman" w:hAnsi="Times New Roman" w:cs="Times New Roman"/>
          <w:color w:val="000000" w:themeColor="text1"/>
          <w:sz w:val="28"/>
          <w:szCs w:val="28"/>
          <w:lang w:val="es-ES"/>
        </w:rPr>
        <w:t xml:space="preserve">que la Superintendencia de Industria y Comercio </w:t>
      </w:r>
      <w:r w:rsidRPr="00D61E7E">
        <w:rPr>
          <w:rFonts w:ascii="Times New Roman" w:eastAsia="Times New Roman" w:hAnsi="Times New Roman" w:cs="Times New Roman"/>
          <w:color w:val="000000" w:themeColor="text1"/>
          <w:sz w:val="28"/>
          <w:szCs w:val="28"/>
          <w:lang w:val="es-ES"/>
        </w:rPr>
        <w:t xml:space="preserve">para supervisar la correcta ejecución de los recursos públicos </w:t>
      </w:r>
      <w:r w:rsidRPr="00D61E7E">
        <w:rPr>
          <w:rFonts w:ascii="Times New Roman" w:eastAsia="Times New Roman" w:hAnsi="Times New Roman" w:cs="Times New Roman"/>
          <w:color w:val="000000" w:themeColor="text1"/>
          <w:sz w:val="28"/>
          <w:szCs w:val="28"/>
          <w:lang w:val="es-ES"/>
        </w:rPr>
        <w:t xml:space="preserve">que se destinan </w:t>
      </w:r>
      <w:r w:rsidRPr="00D61E7E">
        <w:rPr>
          <w:rFonts w:ascii="Times New Roman" w:eastAsia="Times New Roman" w:hAnsi="Times New Roman" w:cs="Times New Roman"/>
          <w:color w:val="000000" w:themeColor="text1"/>
          <w:sz w:val="28"/>
          <w:szCs w:val="28"/>
          <w:lang w:val="es-ES"/>
        </w:rPr>
        <w:t>al emprendimiento</w:t>
      </w:r>
      <w:r w:rsidRPr="00D61E7E">
        <w:rPr>
          <w:rFonts w:ascii="Times New Roman" w:eastAsia="Times New Roman" w:hAnsi="Times New Roman" w:cs="Times New Roman"/>
          <w:color w:val="000000" w:themeColor="text1"/>
          <w:sz w:val="28"/>
          <w:szCs w:val="28"/>
          <w:lang w:val="es-ES"/>
        </w:rPr>
        <w:t xml:space="preserve"> </w:t>
      </w:r>
      <w:r w:rsidRPr="00D61E7E">
        <w:rPr>
          <w:rFonts w:ascii="Times New Roman" w:eastAsia="Times New Roman" w:hAnsi="Times New Roman" w:cs="Times New Roman"/>
          <w:color w:val="000000" w:themeColor="text1"/>
          <w:sz w:val="28"/>
          <w:szCs w:val="28"/>
          <w:lang w:val="es-ES"/>
        </w:rPr>
        <w:t xml:space="preserve">por las siguientes razones: (i) la </w:t>
      </w:r>
      <w:r w:rsidRPr="00D61E7E">
        <w:rPr>
          <w:rFonts w:ascii="Times New Roman" w:eastAsia="Times New Roman" w:hAnsi="Times New Roman" w:cs="Times New Roman"/>
          <w:color w:val="000000" w:themeColor="text1"/>
          <w:sz w:val="28"/>
          <w:szCs w:val="28"/>
          <w:lang w:val="es-ES"/>
        </w:rPr>
        <w:t xml:space="preserve">Superintendencia de Sociedades tiene competencias más afines y cercanas al funcionamiento de las sociedades, que son vehículos jurídicos a través de los cuales se materializa el emprendimiento; (ii) la asignación </w:t>
      </w:r>
      <w:r w:rsidRPr="00D61E7E">
        <w:rPr>
          <w:rFonts w:ascii="Times New Roman" w:eastAsia="Times New Roman" w:hAnsi="Times New Roman" w:cs="Times New Roman"/>
          <w:color w:val="000000" w:themeColor="text1"/>
          <w:sz w:val="28"/>
          <w:szCs w:val="28"/>
          <w:lang w:val="es-ES"/>
        </w:rPr>
        <w:t xml:space="preserve">a la Superintendencia de Sociedades </w:t>
      </w:r>
      <w:r w:rsidRPr="00D61E7E">
        <w:rPr>
          <w:rFonts w:ascii="Times New Roman" w:eastAsia="Times New Roman" w:hAnsi="Times New Roman" w:cs="Times New Roman"/>
          <w:color w:val="000000" w:themeColor="text1"/>
          <w:sz w:val="28"/>
          <w:szCs w:val="28"/>
          <w:lang w:val="es-ES"/>
        </w:rPr>
        <w:t>de func</w:t>
      </w:r>
      <w:r w:rsidRPr="00D61E7E">
        <w:rPr>
          <w:rFonts w:ascii="Times New Roman" w:eastAsia="Times New Roman" w:hAnsi="Times New Roman" w:cs="Times New Roman"/>
          <w:color w:val="000000" w:themeColor="text1"/>
          <w:sz w:val="28"/>
          <w:szCs w:val="28"/>
          <w:lang w:val="es-ES"/>
        </w:rPr>
        <w:t xml:space="preserve">iones asociadas al registro mercantil contribuye a mejorar el marco institucional para el emprendimiento, ya que crea sinergias y alivios para los emprendedores; (iii) </w:t>
      </w:r>
      <w:r w:rsidRPr="00D61E7E">
        <w:rPr>
          <w:rFonts w:ascii="Times New Roman" w:eastAsia="Times New Roman" w:hAnsi="Times New Roman" w:cs="Times New Roman"/>
          <w:color w:val="000000" w:themeColor="text1"/>
          <w:sz w:val="28"/>
          <w:szCs w:val="28"/>
          <w:lang w:val="es-ES"/>
        </w:rPr>
        <w:t>a diferencia de la Superintendencia de Industria y Comercio, cuyas competencias se enfoc</w:t>
      </w:r>
      <w:r w:rsidRPr="00D61E7E">
        <w:rPr>
          <w:rFonts w:ascii="Times New Roman" w:eastAsia="Times New Roman" w:hAnsi="Times New Roman" w:cs="Times New Roman"/>
          <w:color w:val="000000" w:themeColor="text1"/>
          <w:sz w:val="28"/>
          <w:szCs w:val="28"/>
          <w:lang w:val="es-ES"/>
        </w:rPr>
        <w:t xml:space="preserve">an principalmente en la protección del mercado y los derechos de los consumidores, la Superintendencia de Sociedades ejerce un control más amplio que abarca todas las actividades empresariales y comerciales; y (iv) las </w:t>
      </w:r>
      <w:r w:rsidRPr="00D61E7E">
        <w:rPr>
          <w:rFonts w:ascii="Times New Roman" w:eastAsia="Times New Roman" w:hAnsi="Times New Roman" w:cs="Times New Roman"/>
          <w:color w:val="000000" w:themeColor="text1"/>
          <w:sz w:val="28"/>
          <w:szCs w:val="28"/>
          <w:lang w:val="es-ES"/>
        </w:rPr>
        <w:t>c</w:t>
      </w:r>
      <w:r w:rsidRPr="00D61E7E">
        <w:rPr>
          <w:rFonts w:ascii="Times New Roman" w:eastAsia="Times New Roman" w:hAnsi="Times New Roman" w:cs="Times New Roman"/>
          <w:color w:val="000000" w:themeColor="text1"/>
          <w:sz w:val="28"/>
          <w:szCs w:val="28"/>
          <w:lang w:val="es-ES"/>
        </w:rPr>
        <w:t xml:space="preserve">ámaras de </w:t>
      </w:r>
      <w:r w:rsidRPr="00D61E7E">
        <w:rPr>
          <w:rFonts w:ascii="Times New Roman" w:eastAsia="Times New Roman" w:hAnsi="Times New Roman" w:cs="Times New Roman"/>
          <w:color w:val="000000" w:themeColor="text1"/>
          <w:sz w:val="28"/>
          <w:szCs w:val="28"/>
          <w:lang w:val="es-ES"/>
        </w:rPr>
        <w:t>c</w:t>
      </w:r>
      <w:r w:rsidRPr="00D61E7E">
        <w:rPr>
          <w:rFonts w:ascii="Times New Roman" w:eastAsia="Times New Roman" w:hAnsi="Times New Roman" w:cs="Times New Roman"/>
          <w:color w:val="000000" w:themeColor="text1"/>
          <w:sz w:val="28"/>
          <w:szCs w:val="28"/>
          <w:lang w:val="es-ES"/>
        </w:rPr>
        <w:t xml:space="preserve">omercio se benefician de </w:t>
      </w:r>
      <w:r w:rsidRPr="00D61E7E">
        <w:rPr>
          <w:rFonts w:ascii="Times New Roman" w:eastAsia="Times New Roman" w:hAnsi="Times New Roman" w:cs="Times New Roman"/>
          <w:color w:val="000000" w:themeColor="text1"/>
          <w:sz w:val="28"/>
          <w:szCs w:val="28"/>
          <w:lang w:val="es-ES"/>
        </w:rPr>
        <w:t>una supervisión especializada y técnica</w:t>
      </w:r>
      <w:r w:rsidRPr="00D61E7E">
        <w:rPr>
          <w:rFonts w:ascii="Times New Roman" w:eastAsia="Times New Roman" w:hAnsi="Times New Roman" w:cs="Times New Roman"/>
          <w:color w:val="000000" w:themeColor="text1"/>
          <w:sz w:val="28"/>
          <w:szCs w:val="28"/>
          <w:lang w:val="es-ES"/>
        </w:rPr>
        <w:t xml:space="preserve">, </w:t>
      </w:r>
      <w:r w:rsidRPr="00D61E7E">
        <w:rPr>
          <w:rFonts w:ascii="Times New Roman" w:eastAsia="Times New Roman" w:hAnsi="Times New Roman" w:cs="Times New Roman"/>
          <w:color w:val="000000" w:themeColor="text1"/>
          <w:sz w:val="28"/>
          <w:szCs w:val="28"/>
          <w:lang w:val="es-ES"/>
        </w:rPr>
        <w:t xml:space="preserve"> como la de la Superintendencia de </w:t>
      </w:r>
      <w:r w:rsidRPr="00D61E7E">
        <w:rPr>
          <w:rFonts w:ascii="Times New Roman" w:eastAsia="Times New Roman" w:hAnsi="Times New Roman" w:cs="Times New Roman"/>
          <w:color w:val="000000" w:themeColor="text1"/>
          <w:sz w:val="28"/>
          <w:szCs w:val="28"/>
          <w:lang w:val="es-ES"/>
        </w:rPr>
        <w:t>Sociedades,</w:t>
      </w:r>
      <w:r w:rsidRPr="00D61E7E">
        <w:rPr>
          <w:rFonts w:ascii="Times New Roman" w:eastAsia="Times New Roman" w:hAnsi="Times New Roman" w:cs="Times New Roman"/>
          <w:color w:val="000000" w:themeColor="text1"/>
          <w:sz w:val="28"/>
          <w:szCs w:val="28"/>
          <w:lang w:val="es-ES"/>
        </w:rPr>
        <w:t xml:space="preserve"> que tiene un marcado enfoque societario y comercial.  </w:t>
      </w:r>
      <w:r w:rsidRPr="00D61E7E">
        <w:rPr>
          <w:rFonts w:ascii="Times New Roman" w:eastAsia="Times New Roman" w:hAnsi="Times New Roman" w:cs="Times New Roman"/>
          <w:color w:val="000000" w:themeColor="text1"/>
          <w:sz w:val="28"/>
          <w:szCs w:val="28"/>
          <w:lang w:val="es-ES"/>
        </w:rPr>
        <w:t xml:space="preserve">  </w:t>
      </w:r>
    </w:p>
    <w:p w:rsidR="007D7041" w:rsidRPr="00D61E7E" w:rsidRDefault="00D61E7E">
      <w:pPr>
        <w:pStyle w:val="Prrafodelista"/>
        <w:spacing w:before="100" w:beforeAutospacing="1" w:after="100" w:afterAutospacing="1"/>
        <w:ind w:left="0"/>
        <w:rPr>
          <w:rFonts w:ascii="Times New Roman" w:eastAsia="Times New Roman" w:hAnsi="Times New Roman" w:cs="Times New Roman"/>
          <w:color w:val="000000" w:themeColor="text1"/>
          <w:sz w:val="28"/>
          <w:szCs w:val="28"/>
          <w:lang w:val="es-ES"/>
        </w:rPr>
      </w:pPr>
    </w:p>
    <w:p w:rsidR="007D7041" w:rsidRPr="00D61E7E" w:rsidRDefault="00D61E7E" w:rsidP="007D7041">
      <w:pPr>
        <w:pStyle w:val="Prrafodelista"/>
        <w:numPr>
          <w:ilvl w:val="0"/>
          <w:numId w:val="3"/>
        </w:numPr>
        <w:spacing w:before="100" w:beforeAutospacing="1" w:after="100" w:afterAutospacing="1"/>
        <w:rPr>
          <w:rFonts w:ascii="Times New Roman" w:eastAsia="Times New Roman" w:hAnsi="Times New Roman" w:cs="Times New Roman"/>
          <w:color w:val="000000" w:themeColor="text1"/>
          <w:sz w:val="28"/>
          <w:szCs w:val="28"/>
          <w:lang w:val="es-ES"/>
        </w:rPr>
      </w:pPr>
      <w:r w:rsidRPr="00D61E7E">
        <w:rPr>
          <w:rFonts w:ascii="Times New Roman" w:eastAsia="Times New Roman" w:hAnsi="Times New Roman" w:cs="Times New Roman"/>
          <w:color w:val="000000" w:themeColor="text1"/>
          <w:sz w:val="28"/>
          <w:szCs w:val="28"/>
          <w:lang w:val="es-ES"/>
        </w:rPr>
        <w:t xml:space="preserve">En conclusión, para el Ministerio de Industria y Comercio la disposición acusada guarda una estrecha relación </w:t>
      </w:r>
      <w:r w:rsidRPr="00D61E7E">
        <w:rPr>
          <w:rFonts w:ascii="Times New Roman" w:eastAsia="Times New Roman" w:hAnsi="Times New Roman" w:cs="Times New Roman"/>
          <w:color w:val="000000" w:themeColor="text1"/>
          <w:sz w:val="28"/>
          <w:szCs w:val="28"/>
          <w:lang w:val="es-ES"/>
        </w:rPr>
        <w:t>con los objetivos y principios establecidos en la</w:t>
      </w:r>
      <w:r w:rsidRPr="00D61E7E">
        <w:rPr>
          <w:rFonts w:ascii="Times New Roman" w:eastAsia="Times New Roman" w:hAnsi="Times New Roman" w:cs="Times New Roman"/>
          <w:color w:val="000000" w:themeColor="text1"/>
          <w:sz w:val="28"/>
          <w:szCs w:val="28"/>
          <w:lang w:val="es-ES"/>
        </w:rPr>
        <w:t xml:space="preserve"> </w:t>
      </w:r>
      <w:r w:rsidRPr="00D61E7E">
        <w:rPr>
          <w:rFonts w:ascii="Times New Roman" w:eastAsia="Times New Roman" w:hAnsi="Times New Roman" w:cs="Times New Roman"/>
          <w:color w:val="000000" w:themeColor="text1"/>
          <w:sz w:val="28"/>
          <w:szCs w:val="28"/>
          <w:lang w:val="es-ES"/>
        </w:rPr>
        <w:t>Ley 2069 de 2020</w:t>
      </w:r>
      <w:r w:rsidRPr="00D61E7E">
        <w:rPr>
          <w:rFonts w:ascii="Times New Roman" w:eastAsia="Times New Roman" w:hAnsi="Times New Roman" w:cs="Times New Roman"/>
          <w:color w:val="000000" w:themeColor="text1"/>
          <w:sz w:val="28"/>
          <w:szCs w:val="28"/>
          <w:lang w:val="es-ES"/>
        </w:rPr>
        <w:t xml:space="preserve">, al buscar mejorar el entorno institucional para el desarrollo empresarial en Colombia. Por ello, para la entidad, la asignación de competencias a la Superintendencia de Sociedades es </w:t>
      </w:r>
      <w:r w:rsidRPr="00D61E7E">
        <w:rPr>
          <w:rFonts w:ascii="Times New Roman" w:eastAsia="Times New Roman" w:hAnsi="Times New Roman" w:cs="Times New Roman"/>
          <w:color w:val="000000" w:themeColor="text1"/>
          <w:sz w:val="28"/>
          <w:szCs w:val="28"/>
          <w:lang w:val="es-ES"/>
        </w:rPr>
        <w:t>coherente con el propósito de fortalecer el ecosistema de emprendimiento y garantizar una correcta ejecución de los recursos públicos destinados a promover la actividad empresarial.</w:t>
      </w:r>
    </w:p>
    <w:p w:rsidR="007D7041" w:rsidRPr="00D61E7E" w:rsidRDefault="00D61E7E" w:rsidP="007D7041">
      <w:pPr>
        <w:pStyle w:val="Prrafodelista"/>
        <w:rPr>
          <w:rFonts w:ascii="Times New Roman" w:eastAsia="Times New Roman" w:hAnsi="Times New Roman" w:cs="Times New Roman"/>
          <w:color w:val="000000" w:themeColor="text1"/>
          <w:sz w:val="28"/>
          <w:szCs w:val="28"/>
          <w:lang w:val="es-ES"/>
        </w:rPr>
      </w:pPr>
    </w:p>
    <w:p w:rsidR="007D7041" w:rsidRPr="00D61E7E" w:rsidRDefault="00D61E7E" w:rsidP="007D7041">
      <w:pPr>
        <w:pStyle w:val="Prrafodelista"/>
        <w:spacing w:before="100" w:beforeAutospacing="1" w:after="100" w:afterAutospacing="1"/>
        <w:ind w:left="0"/>
        <w:rPr>
          <w:rFonts w:ascii="Times New Roman" w:eastAsia="Times New Roman" w:hAnsi="Times New Roman" w:cs="Times New Roman"/>
          <w:b/>
          <w:bCs/>
          <w:color w:val="000000" w:themeColor="text1"/>
          <w:sz w:val="28"/>
          <w:szCs w:val="28"/>
          <w:lang w:val="es-ES"/>
        </w:rPr>
      </w:pPr>
      <w:r w:rsidRPr="00D61E7E">
        <w:rPr>
          <w:rFonts w:ascii="Times New Roman" w:eastAsia="Times New Roman" w:hAnsi="Times New Roman" w:cs="Times New Roman"/>
          <w:b/>
          <w:bCs/>
          <w:color w:val="000000" w:themeColor="text1"/>
          <w:sz w:val="28"/>
          <w:szCs w:val="28"/>
          <w:lang w:val="es-ES"/>
        </w:rPr>
        <w:t>Dirección de Impuestos y Aduanas Nacionales</w:t>
      </w:r>
      <w:r w:rsidRPr="00D61E7E">
        <w:rPr>
          <w:rFonts w:ascii="Times New Roman" w:eastAsia="Times New Roman" w:hAnsi="Times New Roman" w:cs="Times New Roman"/>
          <w:b/>
          <w:bCs/>
          <w:color w:val="000000" w:themeColor="text1"/>
          <w:sz w:val="28"/>
          <w:szCs w:val="28"/>
          <w:lang w:val="es-ES"/>
        </w:rPr>
        <w:t xml:space="preserve"> (DIAN)</w:t>
      </w:r>
      <w:r w:rsidRPr="00D61E7E">
        <w:rPr>
          <w:rFonts w:ascii="Times New Roman" w:eastAsia="Times New Roman" w:hAnsi="Times New Roman" w:cs="Times New Roman"/>
          <w:b/>
          <w:bCs/>
          <w:color w:val="000000" w:themeColor="text1"/>
          <w:sz w:val="28"/>
          <w:szCs w:val="28"/>
          <w:lang w:val="es-ES"/>
        </w:rPr>
        <w:t xml:space="preserve"> </w:t>
      </w:r>
    </w:p>
    <w:p w:rsidR="007D7041" w:rsidRPr="00D61E7E" w:rsidRDefault="00D61E7E" w:rsidP="007D7041">
      <w:pPr>
        <w:pStyle w:val="Prrafodelista"/>
        <w:spacing w:before="100" w:beforeAutospacing="1" w:after="100" w:afterAutospacing="1"/>
        <w:ind w:left="0"/>
        <w:rPr>
          <w:rFonts w:ascii="Times New Roman" w:eastAsia="Times New Roman" w:hAnsi="Times New Roman" w:cs="Times New Roman"/>
          <w:b/>
          <w:bCs/>
          <w:color w:val="000000" w:themeColor="text1"/>
          <w:sz w:val="28"/>
          <w:szCs w:val="28"/>
          <w:lang w:val="es-ES"/>
        </w:rPr>
      </w:pPr>
    </w:p>
    <w:p w:rsidR="00820AD9" w:rsidRPr="00D61E7E" w:rsidRDefault="00D61E7E" w:rsidP="00D95E2E">
      <w:pPr>
        <w:pStyle w:val="Prrafodelista"/>
        <w:numPr>
          <w:ilvl w:val="0"/>
          <w:numId w:val="3"/>
        </w:numPr>
        <w:spacing w:before="100" w:beforeAutospacing="1" w:after="100" w:afterAutospacing="1"/>
        <w:rPr>
          <w:rFonts w:ascii="Times New Roman" w:eastAsia="Times New Roman" w:hAnsi="Times New Roman" w:cs="Times New Roman"/>
          <w:color w:val="000000" w:themeColor="text1"/>
          <w:sz w:val="28"/>
          <w:szCs w:val="28"/>
          <w:lang w:val="es-ES"/>
        </w:rPr>
      </w:pPr>
      <w:r w:rsidRPr="00D61E7E">
        <w:rPr>
          <w:rFonts w:ascii="Times New Roman" w:eastAsia="Times New Roman" w:hAnsi="Times New Roman" w:cs="Times New Roman"/>
          <w:color w:val="000000" w:themeColor="text1"/>
          <w:sz w:val="28"/>
          <w:szCs w:val="28"/>
          <w:lang w:val="es-ES"/>
        </w:rPr>
        <w:t xml:space="preserve">La dirección de </w:t>
      </w:r>
      <w:r w:rsidRPr="00D61E7E">
        <w:rPr>
          <w:rFonts w:ascii="Times New Roman" w:eastAsia="Times New Roman" w:hAnsi="Times New Roman" w:cs="Times New Roman"/>
          <w:color w:val="000000" w:themeColor="text1"/>
          <w:sz w:val="28"/>
          <w:szCs w:val="28"/>
          <w:lang w:val="es-ES"/>
        </w:rPr>
        <w:t>impu</w:t>
      </w:r>
      <w:r w:rsidRPr="00D61E7E">
        <w:rPr>
          <w:rFonts w:ascii="Times New Roman" w:eastAsia="Times New Roman" w:hAnsi="Times New Roman" w:cs="Times New Roman"/>
          <w:color w:val="000000" w:themeColor="text1"/>
          <w:sz w:val="28"/>
          <w:szCs w:val="28"/>
          <w:lang w:val="es-ES"/>
        </w:rPr>
        <w:t xml:space="preserve">estos </w:t>
      </w:r>
      <w:r w:rsidRPr="00D61E7E">
        <w:rPr>
          <w:rFonts w:ascii="Times New Roman" w:eastAsia="Times New Roman" w:hAnsi="Times New Roman" w:cs="Times New Roman"/>
          <w:color w:val="000000" w:themeColor="text1"/>
          <w:sz w:val="28"/>
          <w:szCs w:val="28"/>
          <w:lang w:val="es-ES"/>
        </w:rPr>
        <w:t>se pronunció únicamente sobre el artículo 73</w:t>
      </w:r>
      <w:r w:rsidRPr="00D61E7E">
        <w:rPr>
          <w:rFonts w:ascii="Times New Roman" w:eastAsia="Times New Roman" w:hAnsi="Times New Roman" w:cs="Times New Roman"/>
          <w:color w:val="000000" w:themeColor="text1"/>
          <w:sz w:val="28"/>
          <w:szCs w:val="28"/>
          <w:lang w:val="es-ES"/>
        </w:rPr>
        <w:t xml:space="preserve"> demandado. Para la DIAN, este artículo respeta el</w:t>
      </w:r>
      <w:r w:rsidRPr="00D61E7E">
        <w:rPr>
          <w:rFonts w:ascii="Times New Roman" w:eastAsia="Times New Roman" w:hAnsi="Times New Roman" w:cs="Times New Roman"/>
          <w:color w:val="000000" w:themeColor="text1"/>
          <w:sz w:val="28"/>
          <w:szCs w:val="28"/>
          <w:lang w:val="es-ES"/>
        </w:rPr>
        <w:t xml:space="preserve"> principio de unidad de materia</w:t>
      </w:r>
      <w:r w:rsidRPr="00D61E7E">
        <w:rPr>
          <w:rFonts w:ascii="Times New Roman" w:eastAsia="Times New Roman" w:hAnsi="Times New Roman" w:cs="Times New Roman"/>
          <w:color w:val="000000" w:themeColor="text1"/>
          <w:sz w:val="28"/>
          <w:szCs w:val="28"/>
          <w:lang w:val="es-ES"/>
        </w:rPr>
        <w:t xml:space="preserve">, por </w:t>
      </w:r>
      <w:r w:rsidRPr="00D61E7E">
        <w:rPr>
          <w:rFonts w:ascii="Times New Roman" w:eastAsia="Times New Roman" w:hAnsi="Times New Roman" w:cs="Times New Roman"/>
          <w:color w:val="000000" w:themeColor="text1"/>
          <w:sz w:val="28"/>
          <w:szCs w:val="28"/>
          <w:lang w:val="es-ES"/>
        </w:rPr>
        <w:t>las siguientes</w:t>
      </w:r>
      <w:r w:rsidRPr="00D61E7E">
        <w:rPr>
          <w:rFonts w:ascii="Times New Roman" w:eastAsia="Times New Roman" w:hAnsi="Times New Roman" w:cs="Times New Roman"/>
          <w:color w:val="000000" w:themeColor="text1"/>
          <w:sz w:val="28"/>
          <w:szCs w:val="28"/>
          <w:lang w:val="es-ES"/>
        </w:rPr>
        <w:t xml:space="preserve"> razones. </w:t>
      </w:r>
      <w:r w:rsidRPr="00D61E7E">
        <w:rPr>
          <w:rFonts w:ascii="Times New Roman" w:eastAsia="Times New Roman" w:hAnsi="Times New Roman" w:cs="Times New Roman"/>
          <w:color w:val="000000" w:themeColor="text1"/>
          <w:sz w:val="28"/>
          <w:szCs w:val="28"/>
          <w:lang w:val="es-ES"/>
        </w:rPr>
        <w:t>En primer lugar,</w:t>
      </w:r>
      <w:r w:rsidRPr="00D61E7E">
        <w:rPr>
          <w:rFonts w:ascii="Times New Roman" w:eastAsia="Times New Roman" w:hAnsi="Times New Roman" w:cs="Times New Roman"/>
          <w:color w:val="000000" w:themeColor="text1"/>
          <w:sz w:val="28"/>
          <w:szCs w:val="28"/>
          <w:lang w:val="es-ES"/>
        </w:rPr>
        <w:t xml:space="preserve"> </w:t>
      </w:r>
      <w:r w:rsidRPr="00D61E7E">
        <w:rPr>
          <w:rFonts w:ascii="Times New Roman" w:eastAsia="Times New Roman" w:hAnsi="Times New Roman" w:cs="Times New Roman"/>
          <w:color w:val="000000" w:themeColor="text1"/>
          <w:sz w:val="28"/>
          <w:szCs w:val="28"/>
          <w:lang w:val="es-ES"/>
        </w:rPr>
        <w:t>porque</w:t>
      </w:r>
      <w:r w:rsidRPr="00D61E7E">
        <w:rPr>
          <w:rFonts w:ascii="Times New Roman" w:eastAsia="Times New Roman" w:hAnsi="Times New Roman" w:cs="Times New Roman"/>
          <w:color w:val="000000" w:themeColor="text1"/>
          <w:sz w:val="28"/>
          <w:szCs w:val="28"/>
          <w:lang w:val="es-ES"/>
        </w:rPr>
        <w:t xml:space="preserve"> la norma impugnada está temáticamente relacionada con el objetivo de la ley, el cual es fomentar el emprendimiento en Colombia y facilitar la gestión empresarial mediante la simplificación de los trámites administrativos relacionados con la inspección tri</w:t>
      </w:r>
      <w:r w:rsidRPr="00D61E7E">
        <w:rPr>
          <w:rFonts w:ascii="Times New Roman" w:eastAsia="Times New Roman" w:hAnsi="Times New Roman" w:cs="Times New Roman"/>
          <w:color w:val="000000" w:themeColor="text1"/>
          <w:sz w:val="28"/>
          <w:szCs w:val="28"/>
          <w:lang w:val="es-ES"/>
        </w:rPr>
        <w:t xml:space="preserve">butaria virtual para los emprendimientos. </w:t>
      </w:r>
      <w:r w:rsidRPr="00D61E7E">
        <w:rPr>
          <w:rFonts w:ascii="Times New Roman" w:eastAsia="Times New Roman" w:hAnsi="Times New Roman" w:cs="Times New Roman"/>
          <w:color w:val="000000" w:themeColor="text1"/>
          <w:sz w:val="28"/>
          <w:szCs w:val="28"/>
          <w:lang w:val="es-ES"/>
        </w:rPr>
        <w:t xml:space="preserve">En segundo lugar, </w:t>
      </w:r>
      <w:r w:rsidRPr="00D61E7E">
        <w:rPr>
          <w:rFonts w:ascii="Times New Roman" w:eastAsia="Times New Roman" w:hAnsi="Times New Roman" w:cs="Times New Roman"/>
          <w:color w:val="000000" w:themeColor="text1"/>
          <w:sz w:val="28"/>
          <w:szCs w:val="28"/>
          <w:lang w:val="es-ES"/>
        </w:rPr>
        <w:t xml:space="preserve">porque </w:t>
      </w:r>
      <w:r w:rsidRPr="00D61E7E">
        <w:rPr>
          <w:rFonts w:ascii="Times New Roman" w:eastAsia="Times New Roman" w:hAnsi="Times New Roman" w:cs="Times New Roman"/>
          <w:color w:val="000000" w:themeColor="text1"/>
          <w:sz w:val="28"/>
          <w:szCs w:val="28"/>
          <w:lang w:val="es-ES"/>
        </w:rPr>
        <w:t xml:space="preserve">la finalidad del artículo 73 está en línea con el objetivo general de la Ley 2069. Esto es, fortalecer </w:t>
      </w:r>
      <w:r w:rsidRPr="00D61E7E">
        <w:rPr>
          <w:rFonts w:ascii="Times New Roman" w:eastAsia="Times New Roman" w:hAnsi="Times New Roman" w:cs="Times New Roman"/>
          <w:color w:val="000000" w:themeColor="text1"/>
          <w:sz w:val="28"/>
          <w:szCs w:val="28"/>
          <w:lang w:val="es-ES"/>
        </w:rPr>
        <w:t>el contexto empresarial y modernizar los procedimientos administrativos.</w:t>
      </w:r>
      <w:r w:rsidRPr="00D61E7E">
        <w:rPr>
          <w:rFonts w:ascii="Times New Roman" w:eastAsia="Times New Roman" w:hAnsi="Times New Roman" w:cs="Times New Roman"/>
          <w:color w:val="000000" w:themeColor="text1"/>
          <w:sz w:val="28"/>
          <w:szCs w:val="28"/>
          <w:lang w:val="es-ES"/>
        </w:rPr>
        <w:t xml:space="preserve"> </w:t>
      </w:r>
    </w:p>
    <w:p w:rsidR="003F67C7" w:rsidRPr="00D61E7E" w:rsidRDefault="00D61E7E" w:rsidP="003F67C7">
      <w:pPr>
        <w:pStyle w:val="Prrafodelista"/>
        <w:spacing w:before="100" w:beforeAutospacing="1" w:after="100" w:afterAutospacing="1"/>
        <w:ind w:left="0"/>
        <w:rPr>
          <w:rFonts w:ascii="Times New Roman" w:eastAsia="Times New Roman" w:hAnsi="Times New Roman" w:cs="Times New Roman"/>
          <w:color w:val="000000" w:themeColor="text1"/>
          <w:sz w:val="28"/>
          <w:szCs w:val="28"/>
          <w:lang w:val="es-ES"/>
        </w:rPr>
      </w:pPr>
    </w:p>
    <w:p w:rsidR="00B54BE0" w:rsidRPr="00D61E7E" w:rsidRDefault="00D61E7E" w:rsidP="00820AD9">
      <w:pPr>
        <w:pStyle w:val="Prrafodelista"/>
        <w:numPr>
          <w:ilvl w:val="0"/>
          <w:numId w:val="3"/>
        </w:numPr>
        <w:spacing w:before="100" w:beforeAutospacing="1" w:after="100" w:afterAutospacing="1"/>
        <w:rPr>
          <w:rFonts w:ascii="Times New Roman" w:eastAsia="Times New Roman" w:hAnsi="Times New Roman" w:cs="Times New Roman"/>
          <w:color w:val="000000" w:themeColor="text1"/>
          <w:sz w:val="28"/>
          <w:szCs w:val="28"/>
          <w:lang w:val="es-ES"/>
        </w:rPr>
      </w:pPr>
      <w:r w:rsidRPr="00D61E7E">
        <w:rPr>
          <w:rFonts w:ascii="Times New Roman" w:eastAsia="Times New Roman" w:hAnsi="Times New Roman" w:cs="Times New Roman"/>
          <w:color w:val="000000" w:themeColor="text1"/>
          <w:sz w:val="28"/>
          <w:szCs w:val="28"/>
          <w:lang w:val="es-ES"/>
        </w:rPr>
        <w:t>Adicionalmente, la DIAN</w:t>
      </w:r>
      <w:r w:rsidRPr="00D61E7E">
        <w:rPr>
          <w:rFonts w:ascii="Times New Roman" w:eastAsia="Times New Roman" w:hAnsi="Times New Roman" w:cs="Times New Roman"/>
          <w:color w:val="000000" w:themeColor="text1"/>
          <w:sz w:val="28"/>
          <w:szCs w:val="28"/>
          <w:lang w:val="es-ES"/>
        </w:rPr>
        <w:t xml:space="preserve"> resalta que</w:t>
      </w:r>
      <w:r w:rsidRPr="00D61E7E">
        <w:rPr>
          <w:rFonts w:ascii="Times New Roman" w:eastAsia="Times New Roman" w:hAnsi="Times New Roman" w:cs="Times New Roman"/>
          <w:color w:val="000000" w:themeColor="text1"/>
          <w:sz w:val="28"/>
          <w:szCs w:val="28"/>
          <w:lang w:val="es-ES"/>
        </w:rPr>
        <w:t xml:space="preserve"> la implementación de inspecciones virtuales representa el desarrollo del principio de eficiencia tributaria y progresividad en el acceso a la justicia. </w:t>
      </w:r>
      <w:r w:rsidRPr="00D61E7E">
        <w:rPr>
          <w:rFonts w:ascii="Times New Roman" w:eastAsia="Times New Roman" w:hAnsi="Times New Roman" w:cs="Times New Roman"/>
          <w:color w:val="000000" w:themeColor="text1"/>
          <w:sz w:val="28"/>
          <w:szCs w:val="28"/>
          <w:lang w:val="es-ES"/>
        </w:rPr>
        <w:t>En criterio de la entidad, l</w:t>
      </w:r>
      <w:r w:rsidRPr="00D61E7E">
        <w:rPr>
          <w:rFonts w:ascii="Times New Roman" w:eastAsia="Times New Roman" w:hAnsi="Times New Roman" w:cs="Times New Roman"/>
          <w:color w:val="000000" w:themeColor="text1"/>
          <w:sz w:val="28"/>
          <w:szCs w:val="28"/>
          <w:lang w:val="es-ES"/>
        </w:rPr>
        <w:t>a virtualización de inspecciones tributa</w:t>
      </w:r>
      <w:r w:rsidRPr="00D61E7E">
        <w:rPr>
          <w:rFonts w:ascii="Times New Roman" w:eastAsia="Times New Roman" w:hAnsi="Times New Roman" w:cs="Times New Roman"/>
          <w:color w:val="000000" w:themeColor="text1"/>
          <w:sz w:val="28"/>
          <w:szCs w:val="28"/>
          <w:lang w:val="es-ES"/>
        </w:rPr>
        <w:t xml:space="preserve">rias contribuye a estos principios al reducir costos, simplificar trámites y modernizar la interacción entre la administración y los contribuyentes. </w:t>
      </w:r>
    </w:p>
    <w:p w:rsidR="00B10923" w:rsidRPr="00D61E7E" w:rsidRDefault="00D61E7E" w:rsidP="00B10923">
      <w:pPr>
        <w:pStyle w:val="Prrafodelista"/>
        <w:rPr>
          <w:rFonts w:ascii="Times New Roman" w:eastAsia="Times New Roman" w:hAnsi="Times New Roman" w:cs="Times New Roman"/>
          <w:color w:val="000000" w:themeColor="text1"/>
          <w:sz w:val="28"/>
          <w:szCs w:val="28"/>
          <w:lang w:val="es-ES"/>
        </w:rPr>
      </w:pPr>
    </w:p>
    <w:p w:rsidR="00B10923" w:rsidRPr="00D61E7E" w:rsidRDefault="00D61E7E" w:rsidP="00B10923">
      <w:pPr>
        <w:pStyle w:val="Prrafodelista"/>
        <w:spacing w:before="100" w:beforeAutospacing="1" w:after="100" w:afterAutospacing="1"/>
        <w:ind w:left="0"/>
        <w:rPr>
          <w:rFonts w:ascii="Times New Roman" w:eastAsia="Times New Roman" w:hAnsi="Times New Roman" w:cs="Times New Roman"/>
          <w:b/>
          <w:bCs/>
          <w:color w:val="000000" w:themeColor="text1"/>
          <w:sz w:val="28"/>
          <w:szCs w:val="28"/>
          <w:lang w:val="es-ES"/>
        </w:rPr>
      </w:pPr>
      <w:r w:rsidRPr="00D61E7E">
        <w:rPr>
          <w:rFonts w:ascii="Times New Roman" w:eastAsia="Times New Roman" w:hAnsi="Times New Roman" w:cs="Times New Roman"/>
          <w:b/>
          <w:bCs/>
          <w:color w:val="000000" w:themeColor="text1"/>
          <w:sz w:val="28"/>
          <w:szCs w:val="28"/>
          <w:lang w:val="es-ES"/>
        </w:rPr>
        <w:t>Universidad del Norte</w:t>
      </w:r>
    </w:p>
    <w:p w:rsidR="00B10923" w:rsidRPr="00D61E7E" w:rsidRDefault="00D61E7E" w:rsidP="00B10923">
      <w:pPr>
        <w:pStyle w:val="Prrafodelista"/>
        <w:rPr>
          <w:rFonts w:ascii="Times New Roman" w:eastAsia="Times New Roman" w:hAnsi="Times New Roman" w:cs="Times New Roman"/>
          <w:color w:val="000000" w:themeColor="text1"/>
          <w:sz w:val="28"/>
          <w:szCs w:val="28"/>
          <w:lang w:val="es-ES"/>
        </w:rPr>
      </w:pPr>
    </w:p>
    <w:p w:rsidR="004A237A" w:rsidRPr="00D61E7E" w:rsidRDefault="00D61E7E" w:rsidP="00D95E2E">
      <w:pPr>
        <w:pStyle w:val="Prrafodelista"/>
        <w:numPr>
          <w:ilvl w:val="0"/>
          <w:numId w:val="3"/>
        </w:numPr>
        <w:spacing w:before="100" w:beforeAutospacing="1" w:after="100" w:afterAutospacing="1"/>
        <w:rPr>
          <w:rFonts w:ascii="Times New Roman" w:eastAsia="Times New Roman" w:hAnsi="Times New Roman" w:cs="Times New Roman"/>
          <w:color w:val="000000" w:themeColor="text1"/>
          <w:sz w:val="28"/>
          <w:szCs w:val="28"/>
          <w:lang w:val="es-ES"/>
        </w:rPr>
      </w:pPr>
      <w:r w:rsidRPr="00D61E7E">
        <w:rPr>
          <w:rFonts w:ascii="Times New Roman" w:eastAsia="Times New Roman" w:hAnsi="Times New Roman" w:cs="Times New Roman"/>
          <w:color w:val="000000" w:themeColor="text1"/>
          <w:sz w:val="28"/>
          <w:szCs w:val="28"/>
          <w:lang w:val="es-ES"/>
        </w:rPr>
        <w:t>La Universidad</w:t>
      </w:r>
      <w:r w:rsidRPr="00D61E7E">
        <w:rPr>
          <w:rFonts w:ascii="Times New Roman" w:eastAsia="Times New Roman" w:hAnsi="Times New Roman" w:cs="Times New Roman"/>
          <w:color w:val="000000" w:themeColor="text1"/>
          <w:sz w:val="28"/>
          <w:szCs w:val="28"/>
          <w:lang w:val="es-ES"/>
        </w:rPr>
        <w:t xml:space="preserve"> del Norte</w:t>
      </w:r>
      <w:r w:rsidRPr="00D61E7E">
        <w:rPr>
          <w:rFonts w:ascii="Times New Roman" w:eastAsia="Times New Roman" w:hAnsi="Times New Roman" w:cs="Times New Roman"/>
          <w:color w:val="000000" w:themeColor="text1"/>
          <w:sz w:val="28"/>
          <w:szCs w:val="28"/>
          <w:lang w:val="es-ES"/>
        </w:rPr>
        <w:t xml:space="preserve"> </w:t>
      </w:r>
      <w:r w:rsidRPr="00D61E7E">
        <w:rPr>
          <w:rFonts w:ascii="Times New Roman" w:eastAsia="Times New Roman" w:hAnsi="Times New Roman" w:cs="Times New Roman"/>
          <w:color w:val="000000" w:themeColor="text1"/>
          <w:sz w:val="28"/>
          <w:szCs w:val="28"/>
          <w:lang w:val="es-ES"/>
        </w:rPr>
        <w:t>considera que los artículos</w:t>
      </w:r>
      <w:r w:rsidRPr="00D61E7E">
        <w:rPr>
          <w:rFonts w:ascii="Times New Roman" w:eastAsia="Times New Roman" w:hAnsi="Times New Roman" w:cs="Times New Roman"/>
          <w:color w:val="000000" w:themeColor="text1"/>
          <w:sz w:val="28"/>
          <w:szCs w:val="28"/>
          <w:lang w:val="es-ES"/>
        </w:rPr>
        <w:t xml:space="preserve"> 70 </w:t>
      </w:r>
      <w:r w:rsidRPr="00D61E7E">
        <w:rPr>
          <w:rFonts w:ascii="Times New Roman" w:eastAsia="Times New Roman" w:hAnsi="Times New Roman" w:cs="Times New Roman"/>
          <w:color w:val="000000" w:themeColor="text1"/>
          <w:sz w:val="28"/>
          <w:szCs w:val="28"/>
          <w:lang w:val="es-ES"/>
        </w:rPr>
        <w:t>y</w:t>
      </w:r>
      <w:r w:rsidRPr="00D61E7E">
        <w:rPr>
          <w:rFonts w:ascii="Times New Roman" w:eastAsia="Times New Roman" w:hAnsi="Times New Roman" w:cs="Times New Roman"/>
          <w:color w:val="000000" w:themeColor="text1"/>
          <w:sz w:val="28"/>
          <w:szCs w:val="28"/>
          <w:lang w:val="es-ES"/>
        </w:rPr>
        <w:t xml:space="preserve"> 73 de la </w:t>
      </w:r>
      <w:r w:rsidRPr="00D61E7E">
        <w:rPr>
          <w:rFonts w:ascii="Times New Roman" w:eastAsia="Times New Roman" w:hAnsi="Times New Roman" w:cs="Times New Roman"/>
          <w:color w:val="000000" w:themeColor="text1"/>
          <w:sz w:val="28"/>
          <w:szCs w:val="28"/>
          <w:lang w:val="es-ES"/>
        </w:rPr>
        <w:t xml:space="preserve">Ley 2069 de </w:t>
      </w:r>
      <w:r w:rsidRPr="00D61E7E">
        <w:rPr>
          <w:rFonts w:ascii="Times New Roman" w:eastAsia="Times New Roman" w:hAnsi="Times New Roman" w:cs="Times New Roman"/>
          <w:color w:val="000000" w:themeColor="text1"/>
          <w:sz w:val="28"/>
          <w:szCs w:val="28"/>
          <w:lang w:val="es-ES"/>
        </w:rPr>
        <w:t>2020</w:t>
      </w:r>
      <w:r w:rsidRPr="00D61E7E">
        <w:rPr>
          <w:rFonts w:ascii="Times New Roman" w:eastAsia="Times New Roman" w:hAnsi="Times New Roman" w:cs="Times New Roman"/>
          <w:color w:val="000000" w:themeColor="text1"/>
          <w:sz w:val="28"/>
          <w:szCs w:val="28"/>
          <w:lang w:val="es-ES"/>
        </w:rPr>
        <w:t xml:space="preserve"> </w:t>
      </w:r>
      <w:r w:rsidRPr="00D61E7E">
        <w:rPr>
          <w:rFonts w:ascii="Times New Roman" w:eastAsia="Times New Roman" w:hAnsi="Times New Roman" w:cs="Times New Roman"/>
          <w:color w:val="000000" w:themeColor="text1"/>
          <w:sz w:val="28"/>
          <w:szCs w:val="28"/>
          <w:lang w:val="es-ES"/>
        </w:rPr>
        <w:t>son</w:t>
      </w:r>
      <w:r w:rsidRPr="00D61E7E">
        <w:rPr>
          <w:rFonts w:ascii="Times New Roman" w:eastAsia="Times New Roman" w:hAnsi="Times New Roman" w:cs="Times New Roman"/>
          <w:b/>
          <w:bCs/>
          <w:color w:val="000000" w:themeColor="text1"/>
          <w:sz w:val="28"/>
          <w:szCs w:val="28"/>
          <w:lang w:val="es-ES"/>
        </w:rPr>
        <w:t xml:space="preserve"> exequibles</w:t>
      </w:r>
      <w:r w:rsidRPr="00D61E7E">
        <w:rPr>
          <w:rFonts w:ascii="Times New Roman" w:eastAsia="Times New Roman" w:hAnsi="Times New Roman" w:cs="Times New Roman"/>
          <w:color w:val="000000" w:themeColor="text1"/>
          <w:sz w:val="28"/>
          <w:szCs w:val="28"/>
          <w:lang w:val="es-ES"/>
        </w:rPr>
        <w:t xml:space="preserve">. </w:t>
      </w:r>
      <w:r w:rsidRPr="00D61E7E">
        <w:rPr>
          <w:rFonts w:ascii="Times New Roman" w:eastAsia="Times New Roman" w:hAnsi="Times New Roman" w:cs="Times New Roman"/>
          <w:color w:val="000000" w:themeColor="text1"/>
          <w:sz w:val="28"/>
          <w:szCs w:val="28"/>
          <w:lang w:val="es-ES"/>
        </w:rPr>
        <w:t>Aunque la institución solicitó la declaratoria de constitucionalidad de las dos normas demandadas, la argumentación presentada en su memorial se concentró en el artículo 70.</w:t>
      </w:r>
      <w:r w:rsidRPr="00D61E7E">
        <w:rPr>
          <w:rFonts w:ascii="Times New Roman" w:eastAsia="Times New Roman" w:hAnsi="Times New Roman" w:cs="Times New Roman"/>
          <w:color w:val="000000" w:themeColor="text1"/>
          <w:sz w:val="28"/>
          <w:szCs w:val="28"/>
          <w:lang w:val="es-ES"/>
        </w:rPr>
        <w:t xml:space="preserve"> </w:t>
      </w:r>
      <w:r w:rsidRPr="00D61E7E">
        <w:rPr>
          <w:rFonts w:ascii="Times New Roman" w:eastAsia="Times New Roman" w:hAnsi="Times New Roman" w:cs="Times New Roman"/>
          <w:color w:val="000000" w:themeColor="text1"/>
          <w:sz w:val="28"/>
          <w:szCs w:val="28"/>
          <w:lang w:val="es-ES"/>
        </w:rPr>
        <w:t>Sobre este artículo indica la institución educativa, que</w:t>
      </w:r>
      <w:r w:rsidRPr="00D61E7E">
        <w:rPr>
          <w:rFonts w:ascii="Times New Roman" w:eastAsia="Times New Roman" w:hAnsi="Times New Roman" w:cs="Times New Roman"/>
          <w:color w:val="000000" w:themeColor="text1"/>
          <w:sz w:val="28"/>
          <w:szCs w:val="28"/>
          <w:lang w:val="es-ES"/>
        </w:rPr>
        <w:t xml:space="preserve"> dele</w:t>
      </w:r>
      <w:r w:rsidRPr="00D61E7E">
        <w:rPr>
          <w:rFonts w:ascii="Times New Roman" w:eastAsia="Times New Roman" w:hAnsi="Times New Roman" w:cs="Times New Roman"/>
          <w:color w:val="000000" w:themeColor="text1"/>
          <w:sz w:val="28"/>
          <w:szCs w:val="28"/>
          <w:lang w:val="es-ES"/>
        </w:rPr>
        <w:t xml:space="preserve">gar funciones de inspección </w:t>
      </w:r>
      <w:r w:rsidRPr="00D61E7E">
        <w:rPr>
          <w:rFonts w:ascii="Times New Roman" w:eastAsia="Times New Roman" w:hAnsi="Times New Roman" w:cs="Times New Roman"/>
          <w:color w:val="000000" w:themeColor="text1"/>
          <w:sz w:val="28"/>
          <w:szCs w:val="28"/>
          <w:lang w:val="es-ES"/>
        </w:rPr>
        <w:t xml:space="preserve">y vigilancia </w:t>
      </w:r>
      <w:r w:rsidRPr="00D61E7E">
        <w:rPr>
          <w:rFonts w:ascii="Times New Roman" w:eastAsia="Times New Roman" w:hAnsi="Times New Roman" w:cs="Times New Roman"/>
          <w:color w:val="000000" w:themeColor="text1"/>
          <w:sz w:val="28"/>
          <w:szCs w:val="28"/>
          <w:lang w:val="es-ES"/>
        </w:rPr>
        <w:t>a la Superintendencia de Sociedades evita duplicaciones y mejora la eficiencia en el apoyo a emprendedores y Mipymes, lo que fortalece la creación de empresas sólidas y el desarrollo tecnológico.</w:t>
      </w:r>
    </w:p>
    <w:p w:rsidR="004A237A" w:rsidRPr="00D61E7E" w:rsidRDefault="00D61E7E" w:rsidP="004A237A">
      <w:pPr>
        <w:pStyle w:val="Prrafodelista"/>
        <w:spacing w:before="100" w:beforeAutospacing="1" w:after="100" w:afterAutospacing="1"/>
        <w:ind w:left="0"/>
        <w:rPr>
          <w:rFonts w:ascii="Times New Roman" w:eastAsia="Times New Roman" w:hAnsi="Times New Roman" w:cs="Times New Roman"/>
          <w:color w:val="000000" w:themeColor="text1"/>
          <w:sz w:val="28"/>
          <w:szCs w:val="28"/>
          <w:lang w:val="es-ES"/>
        </w:rPr>
      </w:pPr>
    </w:p>
    <w:p w:rsidR="00B738CC" w:rsidRPr="00D61E7E" w:rsidRDefault="00D61E7E" w:rsidP="00D95E2E">
      <w:pPr>
        <w:pStyle w:val="Prrafodelista"/>
        <w:numPr>
          <w:ilvl w:val="0"/>
          <w:numId w:val="3"/>
        </w:numPr>
        <w:spacing w:before="100" w:beforeAutospacing="1" w:after="100" w:afterAutospacing="1"/>
        <w:rPr>
          <w:rFonts w:ascii="Times New Roman" w:eastAsia="Times New Roman" w:hAnsi="Times New Roman" w:cs="Times New Roman"/>
          <w:color w:val="000000" w:themeColor="text1"/>
          <w:sz w:val="28"/>
          <w:szCs w:val="28"/>
          <w:lang w:val="es-ES"/>
        </w:rPr>
      </w:pPr>
      <w:r w:rsidRPr="00D61E7E">
        <w:rPr>
          <w:rFonts w:ascii="Times New Roman" w:eastAsia="Times New Roman" w:hAnsi="Times New Roman" w:cs="Times New Roman"/>
          <w:color w:val="000000" w:themeColor="text1"/>
          <w:sz w:val="28"/>
          <w:szCs w:val="28"/>
          <w:lang w:val="es-ES"/>
        </w:rPr>
        <w:t xml:space="preserve">La universidad explicó que la </w:t>
      </w:r>
      <w:r w:rsidRPr="00D61E7E">
        <w:rPr>
          <w:rFonts w:ascii="Times New Roman" w:hAnsi="Times New Roman" w:cs="Times New Roman"/>
          <w:sz w:val="28"/>
          <w:szCs w:val="28"/>
        </w:rPr>
        <w:t>Superintendencia de Sociedades, como entidad administrativa de la Rama Ejecutiva y del sector descentralizado, ejerce, según el Decreto 1736 de 2020, la inspección, vigilancia y control sobre sociedades mercantiles y otras ent</w:t>
      </w:r>
      <w:r w:rsidRPr="00D61E7E">
        <w:rPr>
          <w:rFonts w:ascii="Times New Roman" w:hAnsi="Times New Roman" w:cs="Times New Roman"/>
          <w:sz w:val="28"/>
          <w:szCs w:val="28"/>
        </w:rPr>
        <w:t xml:space="preserve">idades, bajo la adscripción del Ministerio de Comercio, Industria y Turismo. Este organismo posee autonomía y patrimonio propios y cumple, en criterio de la </w:t>
      </w:r>
      <w:r w:rsidRPr="00D61E7E">
        <w:rPr>
          <w:rFonts w:ascii="Times New Roman" w:hAnsi="Times New Roman" w:cs="Times New Roman"/>
          <w:sz w:val="28"/>
          <w:szCs w:val="28"/>
        </w:rPr>
        <w:t>u</w:t>
      </w:r>
      <w:r w:rsidRPr="00D61E7E">
        <w:rPr>
          <w:rFonts w:ascii="Times New Roman" w:hAnsi="Times New Roman" w:cs="Times New Roman"/>
          <w:sz w:val="28"/>
          <w:szCs w:val="28"/>
        </w:rPr>
        <w:t xml:space="preserve">niversidad, una función clave en el ámbito empresarial colombiano. A su vez, la </w:t>
      </w:r>
      <w:r w:rsidRPr="00D61E7E">
        <w:rPr>
          <w:rFonts w:ascii="Times New Roman" w:hAnsi="Times New Roman" w:cs="Times New Roman"/>
          <w:sz w:val="28"/>
          <w:szCs w:val="28"/>
        </w:rPr>
        <w:t>institución educat</w:t>
      </w:r>
      <w:r w:rsidRPr="00D61E7E">
        <w:rPr>
          <w:rFonts w:ascii="Times New Roman" w:hAnsi="Times New Roman" w:cs="Times New Roman"/>
          <w:sz w:val="28"/>
          <w:szCs w:val="28"/>
        </w:rPr>
        <w:t>iva</w:t>
      </w:r>
      <w:r w:rsidRPr="00D61E7E">
        <w:rPr>
          <w:rFonts w:ascii="Times New Roman" w:hAnsi="Times New Roman" w:cs="Times New Roman"/>
          <w:sz w:val="28"/>
          <w:szCs w:val="28"/>
        </w:rPr>
        <w:t xml:space="preserve"> explicó que las </w:t>
      </w:r>
      <w:r w:rsidRPr="00D61E7E">
        <w:rPr>
          <w:rFonts w:ascii="Times New Roman" w:hAnsi="Times New Roman" w:cs="Times New Roman"/>
          <w:sz w:val="28"/>
          <w:szCs w:val="28"/>
        </w:rPr>
        <w:t>c</w:t>
      </w:r>
      <w:r w:rsidRPr="00D61E7E">
        <w:rPr>
          <w:rFonts w:ascii="Times New Roman" w:hAnsi="Times New Roman" w:cs="Times New Roman"/>
          <w:sz w:val="28"/>
          <w:szCs w:val="28"/>
        </w:rPr>
        <w:t xml:space="preserve">ámaras de </w:t>
      </w:r>
      <w:r w:rsidRPr="00D61E7E">
        <w:rPr>
          <w:rFonts w:ascii="Times New Roman" w:hAnsi="Times New Roman" w:cs="Times New Roman"/>
          <w:sz w:val="28"/>
          <w:szCs w:val="28"/>
        </w:rPr>
        <w:t>c</w:t>
      </w:r>
      <w:r w:rsidRPr="00D61E7E">
        <w:rPr>
          <w:rFonts w:ascii="Times New Roman" w:hAnsi="Times New Roman" w:cs="Times New Roman"/>
          <w:sz w:val="28"/>
          <w:szCs w:val="28"/>
        </w:rPr>
        <w:t>omercio son entidades privadas con funciones públicas delegadas</w:t>
      </w:r>
      <w:r w:rsidRPr="00D61E7E">
        <w:rPr>
          <w:rFonts w:ascii="Times New Roman" w:hAnsi="Times New Roman" w:cs="Times New Roman"/>
          <w:sz w:val="28"/>
          <w:szCs w:val="28"/>
        </w:rPr>
        <w:t>,</w:t>
      </w:r>
      <w:r w:rsidRPr="00D61E7E">
        <w:rPr>
          <w:rFonts w:ascii="Times New Roman" w:hAnsi="Times New Roman" w:cs="Times New Roman"/>
          <w:sz w:val="28"/>
          <w:szCs w:val="28"/>
        </w:rPr>
        <w:t xml:space="preserve"> por lo que colaboran estrechamente con el sector público, en especial en asuntos centrales a la gestión empresaria</w:t>
      </w:r>
      <w:r w:rsidRPr="00D61E7E">
        <w:rPr>
          <w:rFonts w:ascii="Times New Roman" w:hAnsi="Times New Roman" w:cs="Times New Roman"/>
          <w:sz w:val="28"/>
          <w:szCs w:val="28"/>
        </w:rPr>
        <w:t>l</w:t>
      </w:r>
      <w:r w:rsidRPr="00D61E7E">
        <w:rPr>
          <w:rFonts w:ascii="Times New Roman" w:hAnsi="Times New Roman" w:cs="Times New Roman"/>
          <w:sz w:val="28"/>
          <w:szCs w:val="28"/>
        </w:rPr>
        <w:t xml:space="preserve">. </w:t>
      </w:r>
    </w:p>
    <w:p w:rsidR="004A237A" w:rsidRPr="00D61E7E" w:rsidRDefault="00D61E7E" w:rsidP="004A237A">
      <w:pPr>
        <w:pStyle w:val="Prrafodelista"/>
        <w:spacing w:before="100" w:beforeAutospacing="1" w:after="100" w:afterAutospacing="1"/>
        <w:ind w:left="0"/>
        <w:rPr>
          <w:rFonts w:ascii="Times New Roman" w:eastAsia="Times New Roman" w:hAnsi="Times New Roman" w:cs="Times New Roman"/>
          <w:color w:val="000000" w:themeColor="text1"/>
          <w:sz w:val="28"/>
          <w:szCs w:val="28"/>
          <w:lang w:val="es-ES"/>
        </w:rPr>
      </w:pPr>
    </w:p>
    <w:p w:rsidR="00B738CC" w:rsidRPr="00D61E7E" w:rsidRDefault="00D61E7E" w:rsidP="00B738CC">
      <w:pPr>
        <w:pStyle w:val="Prrafodelista"/>
        <w:numPr>
          <w:ilvl w:val="0"/>
          <w:numId w:val="3"/>
        </w:numPr>
        <w:spacing w:before="100" w:beforeAutospacing="1" w:after="100" w:afterAutospacing="1"/>
        <w:rPr>
          <w:rFonts w:ascii="Times New Roman" w:eastAsia="Times New Roman" w:hAnsi="Times New Roman" w:cs="Times New Roman"/>
          <w:color w:val="000000" w:themeColor="text1"/>
          <w:sz w:val="28"/>
          <w:szCs w:val="28"/>
          <w:lang w:val="es-ES"/>
        </w:rPr>
      </w:pPr>
      <w:r w:rsidRPr="00D61E7E">
        <w:rPr>
          <w:rFonts w:ascii="Times New Roman" w:eastAsia="Times New Roman" w:hAnsi="Times New Roman" w:cs="Times New Roman"/>
          <w:color w:val="000000" w:themeColor="text1"/>
          <w:sz w:val="28"/>
          <w:szCs w:val="28"/>
          <w:lang w:val="es-ES"/>
        </w:rPr>
        <w:t>Con base en estas consideraciones, la un</w:t>
      </w:r>
      <w:r w:rsidRPr="00D61E7E">
        <w:rPr>
          <w:rFonts w:ascii="Times New Roman" w:eastAsia="Times New Roman" w:hAnsi="Times New Roman" w:cs="Times New Roman"/>
          <w:color w:val="000000" w:themeColor="text1"/>
          <w:sz w:val="28"/>
          <w:szCs w:val="28"/>
          <w:lang w:val="es-ES"/>
        </w:rPr>
        <w:t>iversidad sostiene que la ley busca mejorar la coordinación y eficacia en las políticas de emprendimiento al eliminar la duplicidad de programas y recursos, así como corregir la falta de focalización y coordinación entre entidades gubernamentales y privada</w:t>
      </w:r>
      <w:r w:rsidRPr="00D61E7E">
        <w:rPr>
          <w:rFonts w:ascii="Times New Roman" w:eastAsia="Times New Roman" w:hAnsi="Times New Roman" w:cs="Times New Roman"/>
          <w:color w:val="000000" w:themeColor="text1"/>
          <w:sz w:val="28"/>
          <w:szCs w:val="28"/>
          <w:lang w:val="es-ES"/>
        </w:rPr>
        <w:t xml:space="preserve">s. Esto, por cuanto la especialización de la Superintendencia de Sociedades en el ámbito societario la hace idónea para supervisar las actividades de las </w:t>
      </w:r>
      <w:r w:rsidRPr="00D61E7E">
        <w:rPr>
          <w:rFonts w:ascii="Times New Roman" w:eastAsia="Times New Roman" w:hAnsi="Times New Roman" w:cs="Times New Roman"/>
          <w:color w:val="000000" w:themeColor="text1"/>
          <w:sz w:val="28"/>
          <w:szCs w:val="28"/>
          <w:lang w:val="es-ES"/>
        </w:rPr>
        <w:t>c</w:t>
      </w:r>
      <w:r w:rsidRPr="00D61E7E">
        <w:rPr>
          <w:rFonts w:ascii="Times New Roman" w:eastAsia="Times New Roman" w:hAnsi="Times New Roman" w:cs="Times New Roman"/>
          <w:color w:val="000000" w:themeColor="text1"/>
          <w:sz w:val="28"/>
          <w:szCs w:val="28"/>
          <w:lang w:val="es-ES"/>
        </w:rPr>
        <w:t xml:space="preserve">ámaras de </w:t>
      </w:r>
      <w:r w:rsidRPr="00D61E7E">
        <w:rPr>
          <w:rFonts w:ascii="Times New Roman" w:eastAsia="Times New Roman" w:hAnsi="Times New Roman" w:cs="Times New Roman"/>
          <w:color w:val="000000" w:themeColor="text1"/>
          <w:sz w:val="28"/>
          <w:szCs w:val="28"/>
          <w:lang w:val="es-ES"/>
        </w:rPr>
        <w:t>c</w:t>
      </w:r>
      <w:r w:rsidRPr="00D61E7E">
        <w:rPr>
          <w:rFonts w:ascii="Times New Roman" w:eastAsia="Times New Roman" w:hAnsi="Times New Roman" w:cs="Times New Roman"/>
          <w:color w:val="000000" w:themeColor="text1"/>
          <w:sz w:val="28"/>
          <w:szCs w:val="28"/>
          <w:lang w:val="es-ES"/>
        </w:rPr>
        <w:t>omercio, promoviendo sinergias y facilitando el trabajo empresarial.</w:t>
      </w:r>
    </w:p>
    <w:p w:rsidR="00B738CC" w:rsidRPr="00D61E7E" w:rsidRDefault="00D61E7E" w:rsidP="00B738CC">
      <w:pPr>
        <w:pStyle w:val="Prrafodelista"/>
        <w:rPr>
          <w:rFonts w:ascii="Times New Roman" w:eastAsia="Times New Roman" w:hAnsi="Times New Roman" w:cs="Times New Roman"/>
          <w:color w:val="000000" w:themeColor="text1"/>
          <w:sz w:val="28"/>
          <w:szCs w:val="28"/>
          <w:lang w:val="es-ES"/>
        </w:rPr>
      </w:pPr>
    </w:p>
    <w:p w:rsidR="00B738CC" w:rsidRPr="00D61E7E" w:rsidRDefault="00D61E7E" w:rsidP="00B738CC">
      <w:pPr>
        <w:pStyle w:val="Prrafodelista"/>
        <w:spacing w:before="100" w:beforeAutospacing="1" w:after="100" w:afterAutospacing="1"/>
        <w:ind w:left="0"/>
        <w:rPr>
          <w:rFonts w:ascii="Times New Roman" w:eastAsia="Times New Roman" w:hAnsi="Times New Roman" w:cs="Times New Roman"/>
          <w:b/>
          <w:bCs/>
          <w:color w:val="000000" w:themeColor="text1"/>
          <w:sz w:val="28"/>
          <w:szCs w:val="28"/>
          <w:lang w:val="es-ES"/>
        </w:rPr>
      </w:pPr>
      <w:r w:rsidRPr="00D61E7E">
        <w:rPr>
          <w:rFonts w:ascii="Times New Roman" w:eastAsia="Times New Roman" w:hAnsi="Times New Roman" w:cs="Times New Roman"/>
          <w:b/>
          <w:bCs/>
          <w:color w:val="000000" w:themeColor="text1"/>
          <w:sz w:val="28"/>
          <w:szCs w:val="28"/>
          <w:lang w:val="es-ES"/>
        </w:rPr>
        <w:t xml:space="preserve">Superintendencia de </w:t>
      </w:r>
      <w:r w:rsidRPr="00D61E7E">
        <w:rPr>
          <w:rFonts w:ascii="Times New Roman" w:eastAsia="Times New Roman" w:hAnsi="Times New Roman" w:cs="Times New Roman"/>
          <w:b/>
          <w:bCs/>
          <w:color w:val="000000" w:themeColor="text1"/>
          <w:sz w:val="28"/>
          <w:szCs w:val="28"/>
          <w:lang w:val="es-ES"/>
        </w:rPr>
        <w:t>Industria y Comercio (SIC)</w:t>
      </w:r>
    </w:p>
    <w:p w:rsidR="00B738CC" w:rsidRPr="00D61E7E" w:rsidRDefault="00D61E7E" w:rsidP="00B738CC">
      <w:pPr>
        <w:pStyle w:val="Prrafodelista"/>
        <w:rPr>
          <w:rFonts w:ascii="Times New Roman" w:eastAsia="Times New Roman" w:hAnsi="Times New Roman" w:cs="Times New Roman"/>
          <w:color w:val="000000" w:themeColor="text1"/>
          <w:sz w:val="28"/>
          <w:szCs w:val="28"/>
          <w:lang w:val="es-ES"/>
        </w:rPr>
      </w:pPr>
    </w:p>
    <w:p w:rsidR="00AB4643" w:rsidRPr="00D61E7E" w:rsidRDefault="00D61E7E" w:rsidP="00181A95">
      <w:pPr>
        <w:pStyle w:val="Prrafodelista"/>
        <w:numPr>
          <w:ilvl w:val="0"/>
          <w:numId w:val="3"/>
        </w:numPr>
        <w:spacing w:before="100" w:beforeAutospacing="1" w:after="100" w:afterAutospacing="1"/>
        <w:rPr>
          <w:rFonts w:ascii="Times New Roman" w:eastAsia="Times New Roman" w:hAnsi="Times New Roman" w:cs="Times New Roman"/>
          <w:color w:val="000000" w:themeColor="text1"/>
          <w:sz w:val="28"/>
          <w:szCs w:val="28"/>
          <w:lang w:val="es-ES"/>
        </w:rPr>
      </w:pPr>
      <w:r w:rsidRPr="00D61E7E">
        <w:rPr>
          <w:rFonts w:ascii="Times New Roman" w:eastAsia="Times New Roman" w:hAnsi="Times New Roman" w:cs="Times New Roman"/>
          <w:color w:val="000000" w:themeColor="text1"/>
          <w:sz w:val="28"/>
          <w:szCs w:val="28"/>
          <w:lang w:val="es-ES"/>
        </w:rPr>
        <w:t xml:space="preserve">En primer lugar, la SIC solicita que la Corte se declare </w:t>
      </w:r>
      <w:r w:rsidRPr="00D61E7E">
        <w:rPr>
          <w:rFonts w:ascii="Times New Roman" w:eastAsia="Times New Roman" w:hAnsi="Times New Roman" w:cs="Times New Roman"/>
          <w:b/>
          <w:bCs/>
          <w:color w:val="000000" w:themeColor="text1"/>
          <w:sz w:val="28"/>
          <w:szCs w:val="28"/>
          <w:lang w:val="es-ES"/>
        </w:rPr>
        <w:t xml:space="preserve">inhibida </w:t>
      </w:r>
      <w:r w:rsidRPr="00D61E7E">
        <w:rPr>
          <w:rFonts w:ascii="Times New Roman" w:eastAsia="Times New Roman" w:hAnsi="Times New Roman" w:cs="Times New Roman"/>
          <w:color w:val="000000" w:themeColor="text1"/>
          <w:sz w:val="28"/>
          <w:szCs w:val="28"/>
          <w:lang w:val="es-ES"/>
        </w:rPr>
        <w:t>para proferir un fallo de fondo.</w:t>
      </w:r>
      <w:r w:rsidRPr="00D61E7E">
        <w:rPr>
          <w:rFonts w:ascii="Times New Roman" w:eastAsia="Times New Roman" w:hAnsi="Times New Roman" w:cs="Times New Roman"/>
          <w:color w:val="000000" w:themeColor="text1"/>
          <w:sz w:val="28"/>
          <w:szCs w:val="28"/>
          <w:lang w:val="es-ES"/>
        </w:rPr>
        <w:t xml:space="preserve"> Para la entidad, el análisis de constitucionalidad presentado por el señor López Molina no superó el requisito de claridad</w:t>
      </w:r>
      <w:r w:rsidRPr="00D61E7E">
        <w:rPr>
          <w:rStyle w:val="Refdenotaalpie"/>
          <w:rFonts w:ascii="Times New Roman" w:eastAsia="Times New Roman" w:hAnsi="Times New Roman" w:cs="Times New Roman"/>
          <w:color w:val="000000" w:themeColor="text1"/>
          <w:sz w:val="28"/>
          <w:szCs w:val="28"/>
          <w:lang w:val="es-ES"/>
        </w:rPr>
        <w:footnoteReference w:id="8"/>
      </w:r>
      <w:r w:rsidRPr="00D61E7E">
        <w:rPr>
          <w:rFonts w:ascii="Times New Roman" w:eastAsia="Times New Roman" w:hAnsi="Times New Roman" w:cs="Times New Roman"/>
          <w:color w:val="000000" w:themeColor="text1"/>
          <w:sz w:val="28"/>
          <w:szCs w:val="28"/>
          <w:lang w:val="es-ES"/>
        </w:rPr>
        <w:t>. E</w:t>
      </w:r>
      <w:r w:rsidRPr="00D61E7E">
        <w:rPr>
          <w:rFonts w:ascii="Times New Roman" w:eastAsia="Times New Roman" w:hAnsi="Times New Roman" w:cs="Times New Roman"/>
          <w:color w:val="000000" w:themeColor="text1"/>
          <w:sz w:val="28"/>
          <w:szCs w:val="28"/>
          <w:lang w:val="es-ES"/>
        </w:rPr>
        <w:t xml:space="preserve">n </w:t>
      </w:r>
      <w:r w:rsidRPr="00D61E7E">
        <w:rPr>
          <w:rFonts w:ascii="Times New Roman" w:eastAsia="Times New Roman" w:hAnsi="Times New Roman" w:cs="Times New Roman"/>
          <w:color w:val="000000" w:themeColor="text1"/>
          <w:sz w:val="28"/>
          <w:szCs w:val="28"/>
          <w:lang w:val="es-ES"/>
        </w:rPr>
        <w:t xml:space="preserve">su </w:t>
      </w:r>
      <w:r w:rsidRPr="00D61E7E">
        <w:rPr>
          <w:rFonts w:ascii="Times New Roman" w:eastAsia="Times New Roman" w:hAnsi="Times New Roman" w:cs="Times New Roman"/>
          <w:color w:val="000000" w:themeColor="text1"/>
          <w:sz w:val="28"/>
          <w:szCs w:val="28"/>
          <w:lang w:val="es-ES"/>
        </w:rPr>
        <w:t xml:space="preserve">concepto el demandante se limitó a señalar de manera genérica </w:t>
      </w:r>
      <w:r w:rsidRPr="00D61E7E">
        <w:rPr>
          <w:rFonts w:ascii="Times New Roman" w:eastAsia="Times New Roman" w:hAnsi="Times New Roman" w:cs="Times New Roman"/>
          <w:color w:val="000000" w:themeColor="text1"/>
          <w:sz w:val="28"/>
          <w:szCs w:val="28"/>
          <w:lang w:val="es-ES"/>
        </w:rPr>
        <w:t>que el</w:t>
      </w:r>
      <w:r w:rsidRPr="00D61E7E">
        <w:rPr>
          <w:rFonts w:ascii="Times New Roman" w:eastAsia="Times New Roman" w:hAnsi="Times New Roman" w:cs="Times New Roman"/>
          <w:color w:val="000000" w:themeColor="text1"/>
          <w:sz w:val="28"/>
          <w:szCs w:val="28"/>
          <w:lang w:val="es-ES"/>
        </w:rPr>
        <w:t xml:space="preserve"> artículo 70 de la </w:t>
      </w:r>
      <w:r w:rsidRPr="00D61E7E">
        <w:rPr>
          <w:rFonts w:ascii="Times New Roman" w:eastAsia="Times New Roman" w:hAnsi="Times New Roman" w:cs="Times New Roman"/>
          <w:color w:val="000000" w:themeColor="text1"/>
          <w:sz w:val="28"/>
          <w:szCs w:val="28"/>
          <w:lang w:val="es-ES"/>
        </w:rPr>
        <w:t>Ley 2069 de 2020</w:t>
      </w:r>
      <w:r w:rsidRPr="00D61E7E">
        <w:rPr>
          <w:rFonts w:ascii="Times New Roman" w:eastAsia="Times New Roman" w:hAnsi="Times New Roman" w:cs="Times New Roman"/>
          <w:color w:val="000000" w:themeColor="text1"/>
          <w:sz w:val="28"/>
          <w:szCs w:val="28"/>
          <w:lang w:val="es-ES"/>
        </w:rPr>
        <w:t xml:space="preserve"> vulnera el principio de unidad de materia</w:t>
      </w:r>
      <w:r w:rsidRPr="00D61E7E">
        <w:rPr>
          <w:rFonts w:ascii="Times New Roman" w:eastAsia="Times New Roman" w:hAnsi="Times New Roman" w:cs="Times New Roman"/>
          <w:color w:val="000000" w:themeColor="text1"/>
          <w:sz w:val="28"/>
          <w:szCs w:val="28"/>
          <w:lang w:val="es-ES"/>
        </w:rPr>
        <w:t xml:space="preserve">, con el argumento de que el </w:t>
      </w:r>
      <w:r w:rsidRPr="00D61E7E">
        <w:rPr>
          <w:rFonts w:ascii="Times New Roman" w:hAnsi="Times New Roman" w:cs="Times New Roman"/>
          <w:sz w:val="28"/>
          <w:szCs w:val="28"/>
        </w:rPr>
        <w:t>Legislador no detalló en el propósito de la norma cómo el traslado de competenc</w:t>
      </w:r>
      <w:r w:rsidRPr="00D61E7E">
        <w:rPr>
          <w:rFonts w:ascii="Times New Roman" w:hAnsi="Times New Roman" w:cs="Times New Roman"/>
          <w:sz w:val="28"/>
          <w:szCs w:val="28"/>
        </w:rPr>
        <w:t>ias de la Superintendencia de Industria y Comercio a la Superintendencia de Sociedades facilita y beneficia a los emprendedores.</w:t>
      </w:r>
      <w:r w:rsidRPr="00D61E7E">
        <w:rPr>
          <w:rFonts w:ascii="Times New Roman" w:hAnsi="Times New Roman" w:cs="Times New Roman"/>
          <w:sz w:val="28"/>
          <w:szCs w:val="28"/>
        </w:rPr>
        <w:t xml:space="preserve"> Para el interviniente, este argumento no es suficiente para suscitar un pronunciamiento de fondo. </w:t>
      </w:r>
    </w:p>
    <w:p w:rsidR="0093171F" w:rsidRPr="00D61E7E" w:rsidRDefault="00D61E7E" w:rsidP="0093171F">
      <w:pPr>
        <w:pStyle w:val="Prrafodelista"/>
        <w:spacing w:before="100" w:beforeAutospacing="1" w:after="100" w:afterAutospacing="1"/>
        <w:ind w:left="0"/>
        <w:rPr>
          <w:rFonts w:ascii="Times New Roman" w:eastAsia="Times New Roman" w:hAnsi="Times New Roman" w:cs="Times New Roman"/>
          <w:color w:val="000000" w:themeColor="text1"/>
          <w:sz w:val="28"/>
          <w:szCs w:val="28"/>
          <w:lang w:val="es-ES"/>
        </w:rPr>
      </w:pPr>
    </w:p>
    <w:p w:rsidR="00E05795" w:rsidRPr="00D61E7E" w:rsidRDefault="00D61E7E" w:rsidP="0093171F">
      <w:pPr>
        <w:pStyle w:val="Prrafodelista"/>
        <w:numPr>
          <w:ilvl w:val="0"/>
          <w:numId w:val="3"/>
        </w:numPr>
        <w:spacing w:before="100" w:beforeAutospacing="1" w:after="100" w:afterAutospacing="1"/>
        <w:rPr>
          <w:rFonts w:ascii="Times New Roman" w:eastAsia="Times New Roman" w:hAnsi="Times New Roman" w:cs="Times New Roman"/>
          <w:color w:val="000000" w:themeColor="text1"/>
          <w:sz w:val="28"/>
          <w:szCs w:val="28"/>
          <w:lang w:val="es-ES"/>
        </w:rPr>
      </w:pPr>
      <w:r w:rsidRPr="00D61E7E">
        <w:rPr>
          <w:rFonts w:ascii="Times New Roman" w:hAnsi="Times New Roman" w:cs="Times New Roman"/>
          <w:color w:val="000000" w:themeColor="text1"/>
          <w:sz w:val="28"/>
          <w:szCs w:val="28"/>
          <w:lang w:val="es-ES"/>
        </w:rPr>
        <w:t xml:space="preserve">En segundo lugar, la </w:t>
      </w:r>
      <w:r w:rsidRPr="00D61E7E">
        <w:rPr>
          <w:rFonts w:ascii="Times New Roman" w:hAnsi="Times New Roman" w:cs="Times New Roman"/>
          <w:color w:val="000000" w:themeColor="text1"/>
          <w:sz w:val="28"/>
          <w:szCs w:val="28"/>
          <w:lang w:val="es-ES"/>
        </w:rPr>
        <w:t>entidad solicitó de forma subsidiaria que la Corte declar</w:t>
      </w:r>
      <w:r w:rsidRPr="00D61E7E">
        <w:rPr>
          <w:rFonts w:ascii="Times New Roman" w:hAnsi="Times New Roman" w:cs="Times New Roman"/>
          <w:color w:val="000000" w:themeColor="text1"/>
          <w:sz w:val="28"/>
          <w:szCs w:val="28"/>
          <w:lang w:val="es-ES"/>
        </w:rPr>
        <w:t>e</w:t>
      </w:r>
      <w:r w:rsidRPr="00D61E7E">
        <w:rPr>
          <w:rFonts w:ascii="Times New Roman" w:hAnsi="Times New Roman" w:cs="Times New Roman"/>
          <w:color w:val="000000" w:themeColor="text1"/>
          <w:sz w:val="28"/>
          <w:szCs w:val="28"/>
          <w:lang w:val="es-ES"/>
        </w:rPr>
        <w:t xml:space="preserve"> la </w:t>
      </w:r>
      <w:r w:rsidRPr="00D61E7E">
        <w:rPr>
          <w:rFonts w:ascii="Times New Roman" w:hAnsi="Times New Roman" w:cs="Times New Roman"/>
          <w:b/>
          <w:bCs/>
          <w:color w:val="000000" w:themeColor="text1"/>
          <w:sz w:val="28"/>
          <w:szCs w:val="28"/>
          <w:lang w:val="es-ES"/>
        </w:rPr>
        <w:t xml:space="preserve">constitucionalidad </w:t>
      </w:r>
      <w:r w:rsidRPr="00D61E7E">
        <w:rPr>
          <w:rFonts w:ascii="Times New Roman" w:hAnsi="Times New Roman" w:cs="Times New Roman"/>
          <w:color w:val="000000" w:themeColor="text1"/>
          <w:sz w:val="28"/>
          <w:szCs w:val="28"/>
          <w:lang w:val="es-ES"/>
        </w:rPr>
        <w:t>del artículo 70 demandado</w:t>
      </w:r>
      <w:r w:rsidRPr="00D61E7E">
        <w:rPr>
          <w:rFonts w:ascii="Times New Roman" w:hAnsi="Times New Roman" w:cs="Times New Roman"/>
          <w:color w:val="000000" w:themeColor="text1"/>
          <w:sz w:val="28"/>
          <w:szCs w:val="28"/>
          <w:lang w:val="es-ES"/>
        </w:rPr>
        <w:t>, pues no existe violación del principio de unidad de materia</w:t>
      </w:r>
      <w:r w:rsidRPr="00D61E7E">
        <w:rPr>
          <w:rFonts w:ascii="Times New Roman" w:hAnsi="Times New Roman" w:cs="Times New Roman"/>
          <w:color w:val="000000" w:themeColor="text1"/>
          <w:sz w:val="28"/>
          <w:szCs w:val="28"/>
          <w:lang w:val="es-ES"/>
        </w:rPr>
        <w:t xml:space="preserve">.  </w:t>
      </w:r>
      <w:r w:rsidRPr="00D61E7E">
        <w:rPr>
          <w:rFonts w:ascii="Times New Roman" w:hAnsi="Times New Roman" w:cs="Times New Roman"/>
          <w:color w:val="000000" w:themeColor="text1"/>
          <w:sz w:val="28"/>
          <w:szCs w:val="28"/>
          <w:lang w:val="es-ES"/>
        </w:rPr>
        <w:t>P</w:t>
      </w:r>
      <w:r w:rsidRPr="00D61E7E">
        <w:rPr>
          <w:rFonts w:ascii="Times New Roman" w:hAnsi="Times New Roman" w:cs="Times New Roman"/>
          <w:color w:val="000000" w:themeColor="text1"/>
          <w:sz w:val="28"/>
          <w:szCs w:val="28"/>
          <w:lang w:val="es-ES"/>
        </w:rPr>
        <w:t xml:space="preserve">ara la SIC </w:t>
      </w:r>
      <w:r w:rsidRPr="00D61E7E">
        <w:rPr>
          <w:rFonts w:ascii="Times New Roman" w:hAnsi="Times New Roman" w:cs="Times New Roman"/>
          <w:color w:val="000000" w:themeColor="text1"/>
          <w:sz w:val="28"/>
          <w:szCs w:val="28"/>
          <w:lang w:val="es-ES"/>
        </w:rPr>
        <w:t>l</w:t>
      </w:r>
      <w:r w:rsidRPr="00D61E7E">
        <w:rPr>
          <w:rFonts w:ascii="Times New Roman" w:hAnsi="Times New Roman" w:cs="Times New Roman"/>
          <w:color w:val="000000" w:themeColor="text1"/>
          <w:sz w:val="28"/>
          <w:szCs w:val="28"/>
          <w:lang w:val="es-ES"/>
        </w:rPr>
        <w:t xml:space="preserve">a </w:t>
      </w:r>
      <w:r w:rsidRPr="00D61E7E">
        <w:rPr>
          <w:rFonts w:ascii="Times New Roman" w:hAnsi="Times New Roman" w:cs="Times New Roman"/>
          <w:color w:val="000000" w:themeColor="text1"/>
          <w:sz w:val="28"/>
          <w:szCs w:val="28"/>
          <w:lang w:val="es-ES"/>
        </w:rPr>
        <w:t>Ley 2069 de 2020</w:t>
      </w:r>
      <w:r w:rsidRPr="00D61E7E">
        <w:rPr>
          <w:rFonts w:ascii="Times New Roman" w:hAnsi="Times New Roman" w:cs="Times New Roman"/>
          <w:color w:val="000000" w:themeColor="text1"/>
          <w:sz w:val="28"/>
          <w:szCs w:val="28"/>
          <w:lang w:val="es-ES"/>
        </w:rPr>
        <w:t xml:space="preserve"> tiene como eje principal el impulso al emprendimiento en Colombia, </w:t>
      </w:r>
      <w:r w:rsidRPr="00D61E7E">
        <w:rPr>
          <w:rFonts w:ascii="Times New Roman" w:hAnsi="Times New Roman" w:cs="Times New Roman"/>
          <w:color w:val="000000" w:themeColor="text1"/>
          <w:sz w:val="28"/>
          <w:szCs w:val="28"/>
          <w:lang w:val="es-ES"/>
        </w:rPr>
        <w:t>que se refleja</w:t>
      </w:r>
      <w:r w:rsidRPr="00D61E7E">
        <w:rPr>
          <w:rFonts w:ascii="Times New Roman" w:hAnsi="Times New Roman" w:cs="Times New Roman"/>
          <w:color w:val="000000" w:themeColor="text1"/>
          <w:sz w:val="28"/>
          <w:szCs w:val="28"/>
          <w:lang w:val="es-ES"/>
        </w:rPr>
        <w:t xml:space="preserve"> en diversos objetivos</w:t>
      </w:r>
      <w:r w:rsidRPr="00D61E7E">
        <w:rPr>
          <w:rFonts w:ascii="Times New Roman" w:hAnsi="Times New Roman" w:cs="Times New Roman"/>
          <w:color w:val="000000" w:themeColor="text1"/>
          <w:sz w:val="28"/>
          <w:szCs w:val="28"/>
          <w:lang w:val="es-ES"/>
        </w:rPr>
        <w:t xml:space="preserve">, que incluyen </w:t>
      </w:r>
      <w:r w:rsidRPr="00D61E7E">
        <w:rPr>
          <w:rFonts w:ascii="Times New Roman" w:hAnsi="Times New Roman" w:cs="Times New Roman"/>
          <w:color w:val="000000" w:themeColor="text1"/>
          <w:sz w:val="28"/>
          <w:szCs w:val="28"/>
          <w:lang w:val="es-ES"/>
        </w:rPr>
        <w:t>el fortalecimiento institucional, la simplificación de trámites para emprendedores y Mipymes</w:t>
      </w:r>
      <w:r w:rsidRPr="00D61E7E">
        <w:rPr>
          <w:rFonts w:ascii="Times New Roman" w:hAnsi="Times New Roman" w:cs="Times New Roman"/>
          <w:color w:val="000000" w:themeColor="text1"/>
          <w:sz w:val="28"/>
          <w:szCs w:val="28"/>
          <w:lang w:val="es-ES"/>
        </w:rPr>
        <w:t xml:space="preserve"> </w:t>
      </w:r>
      <w:r w:rsidRPr="00D61E7E">
        <w:rPr>
          <w:rFonts w:ascii="Times New Roman" w:hAnsi="Times New Roman" w:cs="Times New Roman"/>
          <w:color w:val="000000" w:themeColor="text1"/>
          <w:sz w:val="28"/>
          <w:szCs w:val="28"/>
          <w:lang w:val="es-ES"/>
        </w:rPr>
        <w:t>y la promoción de oportunidades en el mercad</w:t>
      </w:r>
      <w:r w:rsidRPr="00D61E7E">
        <w:rPr>
          <w:rFonts w:ascii="Times New Roman" w:hAnsi="Times New Roman" w:cs="Times New Roman"/>
          <w:color w:val="000000" w:themeColor="text1"/>
          <w:sz w:val="28"/>
          <w:szCs w:val="28"/>
          <w:lang w:val="es-ES"/>
        </w:rPr>
        <w:t>o. Aunque la ley aborda múltiples temáticas, todas convergen</w:t>
      </w:r>
      <w:r w:rsidRPr="00D61E7E">
        <w:rPr>
          <w:rFonts w:ascii="Times New Roman" w:hAnsi="Times New Roman" w:cs="Times New Roman"/>
          <w:color w:val="000000" w:themeColor="text1"/>
          <w:sz w:val="28"/>
          <w:szCs w:val="28"/>
          <w:lang w:val="es-ES"/>
        </w:rPr>
        <w:t>, a juicio de la entidad interviniente,</w:t>
      </w:r>
      <w:r w:rsidRPr="00D61E7E">
        <w:rPr>
          <w:rFonts w:ascii="Times New Roman" w:hAnsi="Times New Roman" w:cs="Times New Roman"/>
          <w:color w:val="000000" w:themeColor="text1"/>
          <w:sz w:val="28"/>
          <w:szCs w:val="28"/>
          <w:lang w:val="es-ES"/>
        </w:rPr>
        <w:t xml:space="preserve"> en el fomento del emprendimiento y la mejora del entorno empresarial. La normativa, distribuida en cinco títulos, incluye disposiciones sobre compras públic</w:t>
      </w:r>
      <w:r w:rsidRPr="00D61E7E">
        <w:rPr>
          <w:rFonts w:ascii="Times New Roman" w:hAnsi="Times New Roman" w:cs="Times New Roman"/>
          <w:color w:val="000000" w:themeColor="text1"/>
          <w:sz w:val="28"/>
          <w:szCs w:val="28"/>
          <w:lang w:val="es-ES"/>
        </w:rPr>
        <w:t xml:space="preserve">as, acceso al financiamiento, marco institucional y educación emprendedora, orientadas a facilitar el desarrollo económico y la </w:t>
      </w:r>
      <w:r w:rsidRPr="00D61E7E">
        <w:rPr>
          <w:rFonts w:ascii="Times New Roman" w:hAnsi="Times New Roman" w:cs="Times New Roman"/>
          <w:color w:val="000000" w:themeColor="text1"/>
          <w:sz w:val="28"/>
          <w:szCs w:val="28"/>
          <w:lang w:val="es-ES"/>
        </w:rPr>
        <w:t>participación</w:t>
      </w:r>
      <w:r w:rsidRPr="00D61E7E">
        <w:rPr>
          <w:rFonts w:ascii="Times New Roman" w:hAnsi="Times New Roman" w:cs="Times New Roman"/>
          <w:color w:val="000000" w:themeColor="text1"/>
          <w:sz w:val="28"/>
          <w:szCs w:val="28"/>
          <w:lang w:val="es-ES"/>
        </w:rPr>
        <w:t xml:space="preserve"> en el mercado de emprendedores y pequeñas empresas. En ese contexto,</w:t>
      </w:r>
      <w:r w:rsidRPr="00D61E7E">
        <w:rPr>
          <w:rFonts w:ascii="Times New Roman" w:hAnsi="Times New Roman" w:cs="Times New Roman"/>
          <w:color w:val="000000" w:themeColor="text1"/>
          <w:sz w:val="28"/>
          <w:szCs w:val="28"/>
          <w:lang w:val="es-ES"/>
        </w:rPr>
        <w:t xml:space="preserve"> explica la SIC,</w:t>
      </w:r>
      <w:r w:rsidRPr="00D61E7E">
        <w:rPr>
          <w:rFonts w:ascii="Times New Roman" w:hAnsi="Times New Roman" w:cs="Times New Roman"/>
          <w:color w:val="000000" w:themeColor="text1"/>
          <w:sz w:val="28"/>
          <w:szCs w:val="28"/>
          <w:lang w:val="es-ES"/>
        </w:rPr>
        <w:t xml:space="preserve"> el artículo 70, </w:t>
      </w:r>
      <w:r w:rsidRPr="00D61E7E">
        <w:rPr>
          <w:rFonts w:ascii="Times New Roman" w:hAnsi="Times New Roman" w:cs="Times New Roman"/>
          <w:color w:val="000000" w:themeColor="text1"/>
          <w:sz w:val="28"/>
          <w:szCs w:val="28"/>
          <w:lang w:val="es-ES"/>
        </w:rPr>
        <w:t>que se incluy</w:t>
      </w:r>
      <w:r w:rsidRPr="00D61E7E">
        <w:rPr>
          <w:rFonts w:ascii="Times New Roman" w:hAnsi="Times New Roman" w:cs="Times New Roman"/>
          <w:color w:val="000000" w:themeColor="text1"/>
          <w:sz w:val="28"/>
          <w:szCs w:val="28"/>
          <w:lang w:val="es-ES"/>
        </w:rPr>
        <w:t xml:space="preserve">e </w:t>
      </w:r>
      <w:r w:rsidRPr="00D61E7E">
        <w:rPr>
          <w:rFonts w:ascii="Times New Roman" w:hAnsi="Times New Roman" w:cs="Times New Roman"/>
          <w:color w:val="000000" w:themeColor="text1"/>
          <w:sz w:val="28"/>
          <w:szCs w:val="28"/>
          <w:lang w:val="es-ES"/>
        </w:rPr>
        <w:t>en el título IV</w:t>
      </w:r>
      <w:r w:rsidRPr="00D61E7E">
        <w:rPr>
          <w:rFonts w:ascii="Times New Roman" w:hAnsi="Times New Roman" w:cs="Times New Roman"/>
          <w:color w:val="000000" w:themeColor="text1"/>
          <w:sz w:val="28"/>
          <w:szCs w:val="28"/>
          <w:lang w:val="es-ES"/>
        </w:rPr>
        <w:t xml:space="preserve"> de la ley</w:t>
      </w:r>
      <w:r w:rsidRPr="00D61E7E">
        <w:rPr>
          <w:rFonts w:ascii="Times New Roman" w:hAnsi="Times New Roman" w:cs="Times New Roman"/>
          <w:color w:val="000000" w:themeColor="text1"/>
          <w:sz w:val="28"/>
          <w:szCs w:val="28"/>
          <w:lang w:val="es-ES"/>
        </w:rPr>
        <w:t xml:space="preserve">, </w:t>
      </w:r>
      <w:r w:rsidRPr="00D61E7E">
        <w:rPr>
          <w:rFonts w:ascii="Times New Roman" w:hAnsi="Times New Roman" w:cs="Times New Roman"/>
          <w:color w:val="000000" w:themeColor="text1"/>
          <w:sz w:val="28"/>
          <w:szCs w:val="28"/>
          <w:lang w:val="es-ES"/>
        </w:rPr>
        <w:t>sobre el marco institucional</w:t>
      </w:r>
      <w:r w:rsidRPr="00D61E7E">
        <w:rPr>
          <w:rFonts w:ascii="Times New Roman" w:hAnsi="Times New Roman" w:cs="Times New Roman"/>
          <w:color w:val="000000" w:themeColor="text1"/>
          <w:sz w:val="28"/>
          <w:szCs w:val="28"/>
          <w:lang w:val="es-ES"/>
        </w:rPr>
        <w:t>, busca mejorar la coordinación entre entidades para fortalecer el ecosistema emprendedor.</w:t>
      </w:r>
    </w:p>
    <w:p w:rsidR="00E05795" w:rsidRPr="00D61E7E" w:rsidRDefault="00D61E7E" w:rsidP="00E05795">
      <w:pPr>
        <w:pStyle w:val="Prrafodelista"/>
        <w:spacing w:before="100" w:beforeAutospacing="1" w:after="100" w:afterAutospacing="1"/>
        <w:ind w:left="0"/>
        <w:rPr>
          <w:rFonts w:ascii="Times New Roman" w:eastAsia="Times New Roman" w:hAnsi="Times New Roman" w:cs="Times New Roman"/>
          <w:color w:val="000000" w:themeColor="text1"/>
          <w:sz w:val="28"/>
          <w:szCs w:val="28"/>
          <w:lang w:val="es-ES"/>
        </w:rPr>
      </w:pPr>
    </w:p>
    <w:p w:rsidR="00B344C4" w:rsidRPr="00D61E7E" w:rsidRDefault="00D61E7E">
      <w:pPr>
        <w:pStyle w:val="Prrafodelista"/>
        <w:numPr>
          <w:ilvl w:val="0"/>
          <w:numId w:val="3"/>
        </w:numPr>
        <w:spacing w:before="100" w:beforeAutospacing="1" w:after="100" w:afterAutospacing="1"/>
        <w:rPr>
          <w:rFonts w:ascii="Times New Roman" w:eastAsia="Times New Roman" w:hAnsi="Times New Roman" w:cs="Times New Roman"/>
          <w:color w:val="000000" w:themeColor="text1"/>
          <w:sz w:val="28"/>
          <w:szCs w:val="28"/>
          <w:lang w:val="es-ES"/>
        </w:rPr>
      </w:pPr>
      <w:r w:rsidRPr="00D61E7E">
        <w:rPr>
          <w:rFonts w:ascii="Times New Roman" w:hAnsi="Times New Roman" w:cs="Times New Roman"/>
          <w:color w:val="000000" w:themeColor="text1"/>
          <w:sz w:val="28"/>
          <w:szCs w:val="28"/>
          <w:lang w:val="es-ES"/>
        </w:rPr>
        <w:t>En este sentido,</w:t>
      </w:r>
      <w:r w:rsidRPr="00D61E7E">
        <w:rPr>
          <w:rFonts w:ascii="Times New Roman" w:hAnsi="Times New Roman" w:cs="Times New Roman"/>
          <w:color w:val="000000" w:themeColor="text1"/>
          <w:sz w:val="28"/>
          <w:szCs w:val="28"/>
          <w:lang w:val="es-ES"/>
        </w:rPr>
        <w:t xml:space="preserve"> para la </w:t>
      </w:r>
      <w:r w:rsidRPr="00D61E7E">
        <w:rPr>
          <w:rFonts w:ascii="Times New Roman" w:hAnsi="Times New Roman" w:cs="Times New Roman"/>
          <w:color w:val="000000" w:themeColor="text1"/>
          <w:sz w:val="28"/>
          <w:szCs w:val="28"/>
          <w:lang w:val="es-ES"/>
        </w:rPr>
        <w:t xml:space="preserve">mencionada </w:t>
      </w:r>
      <w:r w:rsidRPr="00D61E7E">
        <w:rPr>
          <w:rFonts w:ascii="Times New Roman" w:hAnsi="Times New Roman" w:cs="Times New Roman"/>
          <w:color w:val="000000" w:themeColor="text1"/>
          <w:sz w:val="28"/>
          <w:szCs w:val="28"/>
          <w:lang w:val="es-ES"/>
        </w:rPr>
        <w:t>superintendencia la</w:t>
      </w:r>
      <w:r w:rsidRPr="00D61E7E">
        <w:rPr>
          <w:rFonts w:ascii="Times New Roman" w:hAnsi="Times New Roman" w:cs="Times New Roman"/>
          <w:color w:val="000000" w:themeColor="text1"/>
          <w:sz w:val="28"/>
          <w:szCs w:val="28"/>
          <w:lang w:val="es-ES"/>
        </w:rPr>
        <w:t xml:space="preserve"> </w:t>
      </w:r>
      <w:r w:rsidRPr="00D61E7E">
        <w:rPr>
          <w:rFonts w:ascii="Times New Roman" w:hAnsi="Times New Roman" w:cs="Times New Roman"/>
          <w:color w:val="000000" w:themeColor="text1"/>
          <w:sz w:val="28"/>
          <w:szCs w:val="28"/>
          <w:lang w:val="es-ES"/>
        </w:rPr>
        <w:t>Ley 2069 de 2020</w:t>
      </w:r>
      <w:r w:rsidRPr="00D61E7E">
        <w:rPr>
          <w:rFonts w:ascii="Times New Roman" w:hAnsi="Times New Roman" w:cs="Times New Roman"/>
          <w:color w:val="000000" w:themeColor="text1"/>
          <w:sz w:val="28"/>
          <w:szCs w:val="28"/>
          <w:lang w:val="es-ES"/>
        </w:rPr>
        <w:t xml:space="preserve">, aunque diversa en sus aspectos, </w:t>
      </w:r>
      <w:r w:rsidRPr="00D61E7E">
        <w:rPr>
          <w:rFonts w:ascii="Times New Roman" w:hAnsi="Times New Roman" w:cs="Times New Roman"/>
          <w:color w:val="000000" w:themeColor="text1"/>
          <w:sz w:val="28"/>
          <w:szCs w:val="28"/>
          <w:lang w:val="es-ES"/>
        </w:rPr>
        <w:t>mantiene la cohesión alrededor del impulso al emprendimiento. La justificación del proyecto y los objetivos del artículo 70 refuerzan esta idea al enfocarse en la simplificación administrativa, el apoyo a emprendedores y la promoción de oportunidades comer</w:t>
      </w:r>
      <w:r w:rsidRPr="00D61E7E">
        <w:rPr>
          <w:rFonts w:ascii="Times New Roman" w:hAnsi="Times New Roman" w:cs="Times New Roman"/>
          <w:color w:val="000000" w:themeColor="text1"/>
          <w:sz w:val="28"/>
          <w:szCs w:val="28"/>
          <w:lang w:val="es-ES"/>
        </w:rPr>
        <w:t>ciales.</w:t>
      </w:r>
      <w:r w:rsidRPr="00D61E7E">
        <w:rPr>
          <w:rFonts w:ascii="Times New Roman" w:hAnsi="Times New Roman" w:cs="Times New Roman"/>
          <w:color w:val="000000" w:themeColor="text1"/>
          <w:sz w:val="28"/>
          <w:szCs w:val="28"/>
          <w:lang w:val="es-ES"/>
        </w:rPr>
        <w:t xml:space="preserve"> </w:t>
      </w:r>
    </w:p>
    <w:p w:rsidR="0079380D" w:rsidRPr="00D61E7E" w:rsidRDefault="00D61E7E">
      <w:pPr>
        <w:pStyle w:val="Prrafodelista"/>
        <w:spacing w:before="100" w:beforeAutospacing="1" w:after="100" w:afterAutospacing="1"/>
        <w:ind w:left="0"/>
        <w:rPr>
          <w:rFonts w:ascii="Times New Roman" w:eastAsia="Times New Roman" w:hAnsi="Times New Roman" w:cs="Times New Roman"/>
          <w:color w:val="000000" w:themeColor="text1"/>
          <w:sz w:val="28"/>
          <w:szCs w:val="28"/>
          <w:lang w:val="es-ES"/>
        </w:rPr>
      </w:pPr>
    </w:p>
    <w:p w:rsidR="00F22580" w:rsidRPr="00D61E7E" w:rsidRDefault="00D61E7E" w:rsidP="00F22580">
      <w:pPr>
        <w:pStyle w:val="Prrafodelista"/>
        <w:spacing w:before="100" w:beforeAutospacing="1" w:after="100" w:afterAutospacing="1"/>
        <w:ind w:left="0"/>
        <w:rPr>
          <w:rFonts w:ascii="Times New Roman" w:eastAsia="Times New Roman" w:hAnsi="Times New Roman" w:cs="Times New Roman"/>
          <w:b/>
          <w:bCs/>
          <w:color w:val="000000" w:themeColor="text1"/>
          <w:sz w:val="28"/>
          <w:szCs w:val="28"/>
          <w:lang w:val="es-ES"/>
        </w:rPr>
      </w:pPr>
      <w:r w:rsidRPr="00D61E7E">
        <w:rPr>
          <w:rFonts w:ascii="Times New Roman" w:eastAsia="Times New Roman" w:hAnsi="Times New Roman" w:cs="Times New Roman"/>
          <w:b/>
          <w:bCs/>
          <w:color w:val="000000" w:themeColor="text1"/>
          <w:sz w:val="28"/>
          <w:szCs w:val="28"/>
          <w:lang w:val="es-ES"/>
        </w:rPr>
        <w:t xml:space="preserve">Universidad Javeriana y la Corporación Excelencia </w:t>
      </w:r>
      <w:r w:rsidRPr="00D61E7E">
        <w:rPr>
          <w:rFonts w:ascii="Times New Roman" w:eastAsia="Times New Roman" w:hAnsi="Times New Roman" w:cs="Times New Roman"/>
          <w:b/>
          <w:bCs/>
          <w:color w:val="000000" w:themeColor="text1"/>
          <w:sz w:val="28"/>
          <w:szCs w:val="28"/>
          <w:lang w:val="es-ES"/>
        </w:rPr>
        <w:t>en la Justicia</w:t>
      </w:r>
      <w:r w:rsidRPr="00D61E7E">
        <w:rPr>
          <w:rFonts w:ascii="Times New Roman" w:eastAsia="Times New Roman" w:hAnsi="Times New Roman" w:cs="Times New Roman"/>
          <w:b/>
          <w:bCs/>
          <w:color w:val="000000" w:themeColor="text1"/>
          <w:sz w:val="28"/>
          <w:szCs w:val="28"/>
          <w:lang w:val="es-ES"/>
        </w:rPr>
        <w:t xml:space="preserve"> (CEJ)</w:t>
      </w:r>
    </w:p>
    <w:p w:rsidR="00F22580" w:rsidRPr="00D61E7E" w:rsidRDefault="00D61E7E" w:rsidP="00F22580">
      <w:pPr>
        <w:pStyle w:val="Prrafodelista"/>
        <w:spacing w:before="100" w:beforeAutospacing="1" w:after="100" w:afterAutospacing="1"/>
        <w:ind w:left="0"/>
        <w:rPr>
          <w:rFonts w:ascii="Times New Roman" w:eastAsia="Times New Roman" w:hAnsi="Times New Roman" w:cs="Times New Roman"/>
          <w:b/>
          <w:bCs/>
          <w:color w:val="000000" w:themeColor="text1"/>
          <w:sz w:val="28"/>
          <w:szCs w:val="28"/>
          <w:lang w:val="es-ES"/>
        </w:rPr>
      </w:pPr>
    </w:p>
    <w:p w:rsidR="00F22580" w:rsidRPr="00D61E7E" w:rsidRDefault="00D61E7E" w:rsidP="00F22580">
      <w:pPr>
        <w:pStyle w:val="Prrafodelista"/>
        <w:numPr>
          <w:ilvl w:val="0"/>
          <w:numId w:val="3"/>
        </w:numPr>
        <w:spacing w:before="100" w:beforeAutospacing="1" w:after="100" w:afterAutospacing="1"/>
        <w:rPr>
          <w:rFonts w:ascii="Times New Roman" w:eastAsia="Times New Roman" w:hAnsi="Times New Roman" w:cs="Times New Roman"/>
          <w:color w:val="000000" w:themeColor="text1"/>
          <w:sz w:val="28"/>
          <w:szCs w:val="28"/>
          <w:lang w:val="es-ES"/>
        </w:rPr>
      </w:pPr>
      <w:r w:rsidRPr="00D61E7E">
        <w:rPr>
          <w:rFonts w:ascii="Times New Roman" w:eastAsia="Times New Roman" w:hAnsi="Times New Roman" w:cs="Times New Roman"/>
          <w:color w:val="000000" w:themeColor="text1"/>
          <w:sz w:val="28"/>
          <w:szCs w:val="28"/>
          <w:lang w:val="es-ES"/>
        </w:rPr>
        <w:t xml:space="preserve">En un concepto conjunto, la </w:t>
      </w:r>
      <w:r w:rsidRPr="00D61E7E">
        <w:rPr>
          <w:rFonts w:ascii="Times New Roman" w:eastAsia="Times New Roman" w:hAnsi="Times New Roman" w:cs="Times New Roman"/>
          <w:color w:val="000000" w:themeColor="text1"/>
          <w:sz w:val="28"/>
          <w:szCs w:val="28"/>
          <w:lang w:val="es-ES"/>
        </w:rPr>
        <w:t xml:space="preserve">Universidad Javeriana </w:t>
      </w:r>
      <w:r w:rsidRPr="00D61E7E">
        <w:rPr>
          <w:rFonts w:ascii="Times New Roman" w:eastAsia="Times New Roman" w:hAnsi="Times New Roman" w:cs="Times New Roman"/>
          <w:color w:val="000000" w:themeColor="text1"/>
          <w:sz w:val="28"/>
          <w:szCs w:val="28"/>
          <w:lang w:val="es-ES"/>
        </w:rPr>
        <w:t xml:space="preserve">y la </w:t>
      </w:r>
      <w:r w:rsidRPr="00D61E7E">
        <w:rPr>
          <w:rFonts w:ascii="Times New Roman" w:eastAsia="Times New Roman" w:hAnsi="Times New Roman" w:cs="Times New Roman"/>
          <w:color w:val="000000" w:themeColor="text1"/>
          <w:sz w:val="28"/>
          <w:szCs w:val="28"/>
          <w:lang w:val="es-ES"/>
        </w:rPr>
        <w:t xml:space="preserve">CEJ </w:t>
      </w:r>
      <w:r w:rsidRPr="00D61E7E">
        <w:rPr>
          <w:rFonts w:ascii="Times New Roman" w:eastAsia="Times New Roman" w:hAnsi="Times New Roman" w:cs="Times New Roman"/>
          <w:color w:val="000000" w:themeColor="text1"/>
          <w:sz w:val="28"/>
          <w:szCs w:val="28"/>
          <w:lang w:val="es-ES"/>
        </w:rPr>
        <w:t xml:space="preserve">solicitan que la Corte </w:t>
      </w:r>
      <w:r w:rsidRPr="00D61E7E">
        <w:rPr>
          <w:rFonts w:ascii="Times New Roman" w:eastAsia="Times New Roman" w:hAnsi="Times New Roman" w:cs="Times New Roman"/>
          <w:color w:val="000000" w:themeColor="text1"/>
          <w:sz w:val="28"/>
          <w:szCs w:val="28"/>
          <w:lang w:val="es-ES"/>
        </w:rPr>
        <w:t xml:space="preserve">declare </w:t>
      </w:r>
      <w:r w:rsidRPr="00D61E7E">
        <w:rPr>
          <w:rFonts w:ascii="Times New Roman" w:eastAsia="Times New Roman" w:hAnsi="Times New Roman" w:cs="Times New Roman"/>
          <w:color w:val="000000" w:themeColor="text1"/>
          <w:sz w:val="28"/>
          <w:szCs w:val="28"/>
          <w:lang w:val="es-ES"/>
        </w:rPr>
        <w:t xml:space="preserve">la </w:t>
      </w:r>
      <w:r w:rsidRPr="00D61E7E">
        <w:rPr>
          <w:rFonts w:ascii="Times New Roman" w:eastAsia="Times New Roman" w:hAnsi="Times New Roman" w:cs="Times New Roman"/>
          <w:b/>
          <w:bCs/>
          <w:color w:val="000000" w:themeColor="text1"/>
          <w:sz w:val="28"/>
          <w:szCs w:val="28"/>
          <w:lang w:val="es-ES"/>
        </w:rPr>
        <w:t xml:space="preserve">exequibilidad </w:t>
      </w:r>
      <w:r w:rsidRPr="00D61E7E">
        <w:rPr>
          <w:rFonts w:ascii="Times New Roman" w:eastAsia="Times New Roman" w:hAnsi="Times New Roman" w:cs="Times New Roman"/>
          <w:color w:val="000000" w:themeColor="text1"/>
          <w:sz w:val="28"/>
          <w:szCs w:val="28"/>
          <w:lang w:val="es-ES"/>
        </w:rPr>
        <w:t xml:space="preserve">de los artículos 70 y 73 de la Ley 2069 salvo los incisos segundos </w:t>
      </w:r>
      <w:r w:rsidRPr="00D61E7E">
        <w:rPr>
          <w:rFonts w:ascii="Times New Roman" w:eastAsia="Times New Roman" w:hAnsi="Times New Roman" w:cs="Times New Roman"/>
          <w:color w:val="000000" w:themeColor="text1"/>
          <w:sz w:val="28"/>
          <w:szCs w:val="28"/>
          <w:lang w:val="es-ES"/>
        </w:rPr>
        <w:t>y tercero del artículo 70 que</w:t>
      </w:r>
      <w:r w:rsidRPr="00D61E7E">
        <w:rPr>
          <w:rFonts w:ascii="Times New Roman" w:eastAsia="Times New Roman" w:hAnsi="Times New Roman" w:cs="Times New Roman"/>
          <w:color w:val="000000" w:themeColor="text1"/>
          <w:sz w:val="28"/>
          <w:szCs w:val="28"/>
          <w:lang w:val="es-ES"/>
        </w:rPr>
        <w:t>,</w:t>
      </w:r>
      <w:r w:rsidRPr="00D61E7E">
        <w:rPr>
          <w:rFonts w:ascii="Times New Roman" w:eastAsia="Times New Roman" w:hAnsi="Times New Roman" w:cs="Times New Roman"/>
          <w:color w:val="000000" w:themeColor="text1"/>
          <w:sz w:val="28"/>
          <w:szCs w:val="28"/>
          <w:lang w:val="es-ES"/>
        </w:rPr>
        <w:t xml:space="preserve"> en su opinión</w:t>
      </w:r>
      <w:r w:rsidRPr="00D61E7E">
        <w:rPr>
          <w:rFonts w:ascii="Times New Roman" w:eastAsia="Times New Roman" w:hAnsi="Times New Roman" w:cs="Times New Roman"/>
          <w:color w:val="000000" w:themeColor="text1"/>
          <w:sz w:val="28"/>
          <w:szCs w:val="28"/>
          <w:lang w:val="es-ES"/>
        </w:rPr>
        <w:t>,</w:t>
      </w:r>
      <w:r w:rsidRPr="00D61E7E">
        <w:rPr>
          <w:rFonts w:ascii="Times New Roman" w:eastAsia="Times New Roman" w:hAnsi="Times New Roman" w:cs="Times New Roman"/>
          <w:color w:val="000000" w:themeColor="text1"/>
          <w:sz w:val="28"/>
          <w:szCs w:val="28"/>
          <w:lang w:val="es-ES"/>
        </w:rPr>
        <w:t xml:space="preserve"> deberían ser declarados </w:t>
      </w:r>
      <w:r w:rsidRPr="00D61E7E">
        <w:rPr>
          <w:rFonts w:ascii="Times New Roman" w:eastAsia="Times New Roman" w:hAnsi="Times New Roman" w:cs="Times New Roman"/>
          <w:b/>
          <w:bCs/>
          <w:color w:val="000000" w:themeColor="text1"/>
          <w:sz w:val="28"/>
          <w:szCs w:val="28"/>
          <w:lang w:val="es-ES"/>
        </w:rPr>
        <w:t xml:space="preserve">inexequibles </w:t>
      </w:r>
      <w:r w:rsidRPr="00D61E7E">
        <w:rPr>
          <w:rFonts w:ascii="Times New Roman" w:eastAsia="Times New Roman" w:hAnsi="Times New Roman" w:cs="Times New Roman"/>
          <w:color w:val="000000" w:themeColor="text1"/>
          <w:sz w:val="28"/>
          <w:szCs w:val="28"/>
          <w:lang w:val="es-ES"/>
        </w:rPr>
        <w:t xml:space="preserve">por violar el principio de unidad de materia. </w:t>
      </w:r>
    </w:p>
    <w:p w:rsidR="00C63BF2" w:rsidRPr="00D61E7E" w:rsidRDefault="00D61E7E" w:rsidP="00C63BF2">
      <w:pPr>
        <w:pStyle w:val="Prrafodelista"/>
        <w:spacing w:before="100" w:beforeAutospacing="1" w:after="100" w:afterAutospacing="1"/>
        <w:ind w:left="0"/>
        <w:rPr>
          <w:rFonts w:ascii="Times New Roman" w:eastAsia="Times New Roman" w:hAnsi="Times New Roman" w:cs="Times New Roman"/>
          <w:color w:val="000000" w:themeColor="text1"/>
          <w:sz w:val="28"/>
          <w:szCs w:val="28"/>
          <w:lang w:val="es-ES"/>
        </w:rPr>
      </w:pPr>
    </w:p>
    <w:p w:rsidR="00EF2C95" w:rsidRPr="00D61E7E" w:rsidRDefault="00D61E7E" w:rsidP="00C63BF2">
      <w:pPr>
        <w:pStyle w:val="Prrafodelista"/>
        <w:numPr>
          <w:ilvl w:val="0"/>
          <w:numId w:val="3"/>
        </w:numPr>
        <w:spacing w:before="100" w:beforeAutospacing="1" w:after="100" w:afterAutospacing="1"/>
        <w:rPr>
          <w:rFonts w:ascii="Times New Roman" w:eastAsia="Times New Roman" w:hAnsi="Times New Roman" w:cs="Times New Roman"/>
          <w:color w:val="000000" w:themeColor="text1"/>
          <w:sz w:val="28"/>
          <w:szCs w:val="28"/>
          <w:lang w:val="es-ES"/>
        </w:rPr>
      </w:pPr>
      <w:r w:rsidRPr="00D61E7E">
        <w:rPr>
          <w:rFonts w:ascii="Times New Roman" w:eastAsia="Times New Roman" w:hAnsi="Times New Roman" w:cs="Times New Roman"/>
          <w:color w:val="000000" w:themeColor="text1"/>
          <w:sz w:val="28"/>
          <w:szCs w:val="28"/>
          <w:lang w:val="es-ES"/>
        </w:rPr>
        <w:t xml:space="preserve">En primer lugar, los intervinientes señalan que las cámaras de comercio, como entidades privadas con funciones públicas, </w:t>
      </w:r>
      <w:r w:rsidRPr="00D61E7E">
        <w:rPr>
          <w:rFonts w:ascii="Times New Roman" w:eastAsia="Times New Roman" w:hAnsi="Times New Roman" w:cs="Times New Roman"/>
          <w:color w:val="000000" w:themeColor="text1"/>
          <w:sz w:val="28"/>
          <w:szCs w:val="28"/>
          <w:lang w:val="es-ES"/>
        </w:rPr>
        <w:t>desempeñan un papel fundamental en la regulación y promoción del comercio en Colombia. Entre sus responsabilidades se encuentra el registro mercantil, una función pública que garantiza la transparencia y seguridad jurídica en las actividades comerciales. L</w:t>
      </w:r>
      <w:r w:rsidRPr="00D61E7E">
        <w:rPr>
          <w:rFonts w:ascii="Times New Roman" w:eastAsia="Times New Roman" w:hAnsi="Times New Roman" w:cs="Times New Roman"/>
          <w:color w:val="000000" w:themeColor="text1"/>
          <w:sz w:val="28"/>
          <w:szCs w:val="28"/>
          <w:lang w:val="es-ES"/>
        </w:rPr>
        <w:t>a disponibilidad pública de esta información es esencial para la participación económica y el intercambio comercial en la sociedad.</w:t>
      </w:r>
      <w:r w:rsidRPr="00D61E7E">
        <w:rPr>
          <w:rFonts w:ascii="Times New Roman" w:eastAsia="Times New Roman" w:hAnsi="Times New Roman" w:cs="Times New Roman"/>
          <w:color w:val="000000" w:themeColor="text1"/>
          <w:sz w:val="28"/>
          <w:szCs w:val="28"/>
          <w:lang w:val="es-ES"/>
        </w:rPr>
        <w:t xml:space="preserve"> Así, la universidad y </w:t>
      </w:r>
      <w:r w:rsidRPr="00D61E7E">
        <w:rPr>
          <w:rFonts w:ascii="Times New Roman" w:eastAsia="Times New Roman" w:hAnsi="Times New Roman" w:cs="Times New Roman"/>
          <w:color w:val="000000" w:themeColor="text1"/>
          <w:sz w:val="28"/>
          <w:szCs w:val="28"/>
          <w:lang w:val="es-ES"/>
        </w:rPr>
        <w:t>la CEJ</w:t>
      </w:r>
      <w:r w:rsidRPr="00D61E7E">
        <w:rPr>
          <w:rFonts w:ascii="Times New Roman" w:eastAsia="Times New Roman" w:hAnsi="Times New Roman" w:cs="Times New Roman"/>
          <w:color w:val="000000" w:themeColor="text1"/>
          <w:sz w:val="28"/>
          <w:szCs w:val="28"/>
          <w:lang w:val="es-ES"/>
        </w:rPr>
        <w:t xml:space="preserve"> destacan que</w:t>
      </w:r>
      <w:r w:rsidRPr="00D61E7E">
        <w:rPr>
          <w:rFonts w:ascii="Times New Roman" w:eastAsia="Times New Roman" w:hAnsi="Times New Roman" w:cs="Times New Roman"/>
          <w:color w:val="000000" w:themeColor="text1"/>
          <w:sz w:val="28"/>
          <w:szCs w:val="28"/>
          <w:lang w:val="es-ES"/>
        </w:rPr>
        <w:t xml:space="preserve"> </w:t>
      </w:r>
      <w:r w:rsidRPr="00D61E7E">
        <w:rPr>
          <w:rFonts w:ascii="Times New Roman" w:eastAsia="Times New Roman" w:hAnsi="Times New Roman" w:cs="Times New Roman"/>
          <w:color w:val="000000" w:themeColor="text1"/>
          <w:sz w:val="28"/>
          <w:szCs w:val="28"/>
          <w:lang w:val="es-ES"/>
        </w:rPr>
        <w:t>l</w:t>
      </w:r>
      <w:r w:rsidRPr="00D61E7E">
        <w:rPr>
          <w:rFonts w:ascii="Times New Roman" w:eastAsia="Times New Roman" w:hAnsi="Times New Roman" w:cs="Times New Roman"/>
          <w:color w:val="000000" w:themeColor="text1"/>
          <w:sz w:val="28"/>
          <w:szCs w:val="28"/>
          <w:lang w:val="es-ES"/>
        </w:rPr>
        <w:t>a jurisprudencia constitucional establece que, a pesar de ser entidades privadas,</w:t>
      </w:r>
      <w:r w:rsidRPr="00D61E7E">
        <w:rPr>
          <w:rFonts w:ascii="Times New Roman" w:eastAsia="Times New Roman" w:hAnsi="Times New Roman" w:cs="Times New Roman"/>
          <w:color w:val="000000" w:themeColor="text1"/>
          <w:sz w:val="28"/>
          <w:szCs w:val="28"/>
          <w:lang w:val="es-ES"/>
        </w:rPr>
        <w:t xml:space="preserve"> las cámaras de comercio están sujetas a los principios de la función administrativa en el ejercicio de sus funciones públicas.</w:t>
      </w:r>
    </w:p>
    <w:p w:rsidR="00EF2C95" w:rsidRPr="00D61E7E" w:rsidRDefault="00D61E7E" w:rsidP="00EF2C95">
      <w:pPr>
        <w:pStyle w:val="Prrafodelista"/>
        <w:rPr>
          <w:rFonts w:ascii="Times New Roman" w:eastAsia="Times New Roman" w:hAnsi="Times New Roman" w:cs="Times New Roman"/>
          <w:color w:val="000000" w:themeColor="text1"/>
          <w:sz w:val="28"/>
          <w:szCs w:val="28"/>
          <w:lang w:val="es-ES"/>
        </w:rPr>
      </w:pPr>
    </w:p>
    <w:p w:rsidR="00EF2C95" w:rsidRPr="00D61E7E" w:rsidRDefault="00D61E7E" w:rsidP="00EF2C95">
      <w:pPr>
        <w:pStyle w:val="Prrafodelista"/>
        <w:numPr>
          <w:ilvl w:val="0"/>
          <w:numId w:val="3"/>
        </w:numPr>
        <w:spacing w:before="100" w:beforeAutospacing="1" w:after="100" w:afterAutospacing="1"/>
        <w:rPr>
          <w:rFonts w:ascii="Times New Roman" w:eastAsia="Times New Roman" w:hAnsi="Times New Roman" w:cs="Times New Roman"/>
          <w:color w:val="000000" w:themeColor="text1"/>
          <w:sz w:val="28"/>
          <w:szCs w:val="28"/>
          <w:lang w:val="es-ES"/>
        </w:rPr>
      </w:pPr>
      <w:r w:rsidRPr="00D61E7E">
        <w:rPr>
          <w:rFonts w:ascii="Times New Roman" w:eastAsia="Times New Roman" w:hAnsi="Times New Roman" w:cs="Times New Roman"/>
          <w:color w:val="000000" w:themeColor="text1"/>
          <w:sz w:val="28"/>
          <w:szCs w:val="28"/>
          <w:lang w:val="es-ES"/>
        </w:rPr>
        <w:t>Por ello, en su criterio, se debe entender que l</w:t>
      </w:r>
      <w:r w:rsidRPr="00D61E7E">
        <w:rPr>
          <w:rFonts w:ascii="Times New Roman" w:eastAsia="Times New Roman" w:hAnsi="Times New Roman" w:cs="Times New Roman"/>
          <w:color w:val="000000" w:themeColor="text1"/>
          <w:sz w:val="28"/>
          <w:szCs w:val="28"/>
          <w:lang w:val="es-ES"/>
        </w:rPr>
        <w:t xml:space="preserve">a </w:t>
      </w:r>
      <w:r w:rsidRPr="00D61E7E">
        <w:rPr>
          <w:rFonts w:ascii="Times New Roman" w:eastAsia="Times New Roman" w:hAnsi="Times New Roman" w:cs="Times New Roman"/>
          <w:color w:val="000000" w:themeColor="text1"/>
          <w:sz w:val="28"/>
          <w:szCs w:val="28"/>
          <w:lang w:val="es-ES"/>
        </w:rPr>
        <w:t>Ley 2069 de 2020</w:t>
      </w:r>
      <w:r w:rsidRPr="00D61E7E">
        <w:rPr>
          <w:rFonts w:ascii="Times New Roman" w:eastAsia="Times New Roman" w:hAnsi="Times New Roman" w:cs="Times New Roman"/>
          <w:color w:val="000000" w:themeColor="text1"/>
          <w:sz w:val="28"/>
          <w:szCs w:val="28"/>
          <w:lang w:val="es-ES"/>
        </w:rPr>
        <w:t xml:space="preserve">, orientada a impulsar el emprendimiento en Colombia, busca </w:t>
      </w:r>
      <w:r w:rsidRPr="00D61E7E">
        <w:rPr>
          <w:rFonts w:ascii="Times New Roman" w:eastAsia="Times New Roman" w:hAnsi="Times New Roman" w:cs="Times New Roman"/>
          <w:color w:val="000000" w:themeColor="text1"/>
          <w:sz w:val="28"/>
          <w:szCs w:val="28"/>
          <w:lang w:val="es-ES"/>
        </w:rPr>
        <w:t>fortalecer el marco institucional para el desarrollo económico y la equidad en el paí</w:t>
      </w:r>
      <w:r w:rsidRPr="00D61E7E">
        <w:rPr>
          <w:rFonts w:ascii="Times New Roman" w:eastAsia="Times New Roman" w:hAnsi="Times New Roman" w:cs="Times New Roman"/>
          <w:color w:val="000000" w:themeColor="text1"/>
          <w:sz w:val="28"/>
          <w:szCs w:val="28"/>
          <w:lang w:val="es-ES"/>
        </w:rPr>
        <w:t>s, a través</w:t>
      </w:r>
      <w:r w:rsidRPr="00D61E7E">
        <w:rPr>
          <w:rFonts w:ascii="Times New Roman" w:eastAsia="Times New Roman" w:hAnsi="Times New Roman" w:cs="Times New Roman"/>
          <w:color w:val="000000" w:themeColor="text1"/>
          <w:sz w:val="28"/>
          <w:szCs w:val="28"/>
          <w:lang w:val="es-ES"/>
        </w:rPr>
        <w:t xml:space="preserve"> </w:t>
      </w:r>
      <w:r w:rsidRPr="00D61E7E">
        <w:rPr>
          <w:rFonts w:ascii="Times New Roman" w:eastAsia="Times New Roman" w:hAnsi="Times New Roman" w:cs="Times New Roman"/>
          <w:color w:val="000000" w:themeColor="text1"/>
          <w:sz w:val="28"/>
          <w:szCs w:val="28"/>
          <w:lang w:val="es-ES"/>
        </w:rPr>
        <w:t xml:space="preserve">de la promoción de estrategias para </w:t>
      </w:r>
      <w:r w:rsidRPr="00D61E7E">
        <w:rPr>
          <w:rFonts w:ascii="Times New Roman" w:eastAsia="Times New Roman" w:hAnsi="Times New Roman" w:cs="Times New Roman"/>
          <w:color w:val="000000" w:themeColor="text1"/>
          <w:sz w:val="28"/>
          <w:szCs w:val="28"/>
          <w:lang w:val="es-ES"/>
        </w:rPr>
        <w:t xml:space="preserve">mejorar </w:t>
      </w:r>
      <w:r w:rsidRPr="00D61E7E">
        <w:rPr>
          <w:rFonts w:ascii="Times New Roman" w:eastAsia="Times New Roman" w:hAnsi="Times New Roman" w:cs="Times New Roman"/>
          <w:color w:val="000000" w:themeColor="text1"/>
          <w:sz w:val="28"/>
          <w:szCs w:val="28"/>
          <w:lang w:val="es-ES"/>
        </w:rPr>
        <w:t>la</w:t>
      </w:r>
      <w:r w:rsidRPr="00D61E7E">
        <w:rPr>
          <w:rFonts w:ascii="Times New Roman" w:eastAsia="Times New Roman" w:hAnsi="Times New Roman" w:cs="Times New Roman"/>
          <w:color w:val="000000" w:themeColor="text1"/>
          <w:sz w:val="28"/>
          <w:szCs w:val="28"/>
          <w:lang w:val="es-ES"/>
        </w:rPr>
        <w:t xml:space="preserve"> productividad</w:t>
      </w:r>
      <w:r w:rsidRPr="00D61E7E">
        <w:rPr>
          <w:rFonts w:ascii="Times New Roman" w:eastAsia="Times New Roman" w:hAnsi="Times New Roman" w:cs="Times New Roman"/>
          <w:color w:val="000000" w:themeColor="text1"/>
          <w:sz w:val="28"/>
          <w:szCs w:val="28"/>
          <w:lang w:val="es-ES"/>
        </w:rPr>
        <w:t xml:space="preserve"> y</w:t>
      </w:r>
      <w:r w:rsidRPr="00D61E7E">
        <w:rPr>
          <w:rFonts w:ascii="Times New Roman" w:eastAsia="Times New Roman" w:hAnsi="Times New Roman" w:cs="Times New Roman"/>
          <w:color w:val="000000" w:themeColor="text1"/>
          <w:sz w:val="28"/>
          <w:szCs w:val="28"/>
          <w:lang w:val="es-ES"/>
        </w:rPr>
        <w:t xml:space="preserve"> formalidad </w:t>
      </w:r>
      <w:r w:rsidRPr="00D61E7E">
        <w:rPr>
          <w:rFonts w:ascii="Times New Roman" w:eastAsia="Times New Roman" w:hAnsi="Times New Roman" w:cs="Times New Roman"/>
          <w:color w:val="000000" w:themeColor="text1"/>
          <w:sz w:val="28"/>
          <w:szCs w:val="28"/>
          <w:lang w:val="es-ES"/>
        </w:rPr>
        <w:t>de las pequeñas y medianas empresas. Además, para los intervinientes las normas deman</w:t>
      </w:r>
      <w:r w:rsidRPr="00D61E7E">
        <w:rPr>
          <w:rFonts w:ascii="Times New Roman" w:eastAsia="Times New Roman" w:hAnsi="Times New Roman" w:cs="Times New Roman"/>
          <w:color w:val="000000" w:themeColor="text1"/>
          <w:sz w:val="28"/>
          <w:szCs w:val="28"/>
          <w:lang w:val="es-ES"/>
        </w:rPr>
        <w:t>dadas</w:t>
      </w:r>
      <w:r w:rsidRPr="00D61E7E">
        <w:rPr>
          <w:rFonts w:ascii="Times New Roman" w:eastAsia="Times New Roman" w:hAnsi="Times New Roman" w:cs="Times New Roman"/>
          <w:color w:val="000000" w:themeColor="text1"/>
          <w:sz w:val="28"/>
          <w:szCs w:val="28"/>
          <w:lang w:val="es-ES"/>
        </w:rPr>
        <w:t>,</w:t>
      </w:r>
      <w:r w:rsidRPr="00D61E7E">
        <w:rPr>
          <w:rFonts w:ascii="Times New Roman" w:eastAsia="Times New Roman" w:hAnsi="Times New Roman" w:cs="Times New Roman"/>
          <w:color w:val="000000" w:themeColor="text1"/>
          <w:sz w:val="28"/>
          <w:szCs w:val="28"/>
          <w:lang w:val="es-ES"/>
        </w:rPr>
        <w:t xml:space="preserve"> en general</w:t>
      </w:r>
      <w:r w:rsidRPr="00D61E7E">
        <w:rPr>
          <w:rFonts w:ascii="Times New Roman" w:eastAsia="Times New Roman" w:hAnsi="Times New Roman" w:cs="Times New Roman"/>
          <w:color w:val="000000" w:themeColor="text1"/>
          <w:sz w:val="28"/>
          <w:szCs w:val="28"/>
          <w:lang w:val="es-ES"/>
        </w:rPr>
        <w:t>,</w:t>
      </w:r>
      <w:r w:rsidRPr="00D61E7E">
        <w:rPr>
          <w:rFonts w:ascii="Times New Roman" w:eastAsia="Times New Roman" w:hAnsi="Times New Roman" w:cs="Times New Roman"/>
          <w:color w:val="000000" w:themeColor="text1"/>
          <w:sz w:val="28"/>
          <w:szCs w:val="28"/>
          <w:lang w:val="es-ES"/>
        </w:rPr>
        <w:t xml:space="preserve"> promueven la transformación digital del Estado, </w:t>
      </w:r>
      <w:r w:rsidRPr="00D61E7E">
        <w:rPr>
          <w:rFonts w:ascii="Times New Roman" w:eastAsia="Times New Roman" w:hAnsi="Times New Roman" w:cs="Times New Roman"/>
          <w:color w:val="000000" w:themeColor="text1"/>
          <w:sz w:val="28"/>
          <w:szCs w:val="28"/>
          <w:lang w:val="es-ES"/>
        </w:rPr>
        <w:t>lo que permite</w:t>
      </w:r>
      <w:r w:rsidRPr="00D61E7E">
        <w:rPr>
          <w:rFonts w:ascii="Times New Roman" w:eastAsia="Times New Roman" w:hAnsi="Times New Roman" w:cs="Times New Roman"/>
          <w:color w:val="000000" w:themeColor="text1"/>
          <w:sz w:val="28"/>
          <w:szCs w:val="28"/>
          <w:lang w:val="es-ES"/>
        </w:rPr>
        <w:t xml:space="preserve"> la realización de inspecciones tributarias y de control de manera virtual. </w:t>
      </w:r>
      <w:r w:rsidRPr="00D61E7E">
        <w:rPr>
          <w:rFonts w:ascii="Times New Roman" w:eastAsia="Times New Roman" w:hAnsi="Times New Roman" w:cs="Times New Roman"/>
          <w:color w:val="000000" w:themeColor="text1"/>
          <w:sz w:val="28"/>
          <w:szCs w:val="28"/>
          <w:lang w:val="es-ES"/>
        </w:rPr>
        <w:t>L</w:t>
      </w:r>
      <w:r w:rsidRPr="00D61E7E">
        <w:rPr>
          <w:rFonts w:ascii="Times New Roman" w:eastAsia="Times New Roman" w:hAnsi="Times New Roman" w:cs="Times New Roman"/>
          <w:color w:val="000000" w:themeColor="text1"/>
          <w:sz w:val="28"/>
          <w:szCs w:val="28"/>
          <w:lang w:val="es-ES"/>
        </w:rPr>
        <w:t>as</w:t>
      </w:r>
      <w:r w:rsidRPr="00D61E7E">
        <w:rPr>
          <w:rFonts w:ascii="Times New Roman" w:eastAsia="Times New Roman" w:hAnsi="Times New Roman" w:cs="Times New Roman"/>
          <w:color w:val="000000" w:themeColor="text1"/>
          <w:sz w:val="28"/>
          <w:szCs w:val="28"/>
          <w:lang w:val="es-ES"/>
        </w:rPr>
        <w:t xml:space="preserve"> medida</w:t>
      </w:r>
      <w:r w:rsidRPr="00D61E7E">
        <w:rPr>
          <w:rFonts w:ascii="Times New Roman" w:eastAsia="Times New Roman" w:hAnsi="Times New Roman" w:cs="Times New Roman"/>
          <w:color w:val="000000" w:themeColor="text1"/>
          <w:sz w:val="28"/>
          <w:szCs w:val="28"/>
          <w:lang w:val="es-ES"/>
        </w:rPr>
        <w:t xml:space="preserve">s contenidas en </w:t>
      </w:r>
      <w:r w:rsidRPr="00D61E7E">
        <w:rPr>
          <w:rFonts w:ascii="Times New Roman" w:eastAsia="Times New Roman" w:hAnsi="Times New Roman" w:cs="Times New Roman"/>
          <w:color w:val="000000" w:themeColor="text1"/>
          <w:sz w:val="28"/>
          <w:szCs w:val="28"/>
          <w:lang w:val="es-ES"/>
        </w:rPr>
        <w:t>los artículos demandados</w:t>
      </w:r>
      <w:r w:rsidRPr="00D61E7E">
        <w:rPr>
          <w:rFonts w:ascii="Times New Roman" w:eastAsia="Times New Roman" w:hAnsi="Times New Roman" w:cs="Times New Roman"/>
          <w:color w:val="000000" w:themeColor="text1"/>
          <w:sz w:val="28"/>
          <w:szCs w:val="28"/>
          <w:lang w:val="es-ES"/>
        </w:rPr>
        <w:t>, continúan los intervinientes,</w:t>
      </w:r>
      <w:r w:rsidRPr="00D61E7E">
        <w:rPr>
          <w:rFonts w:ascii="Times New Roman" w:eastAsia="Times New Roman" w:hAnsi="Times New Roman" w:cs="Times New Roman"/>
          <w:color w:val="000000" w:themeColor="text1"/>
          <w:sz w:val="28"/>
          <w:szCs w:val="28"/>
          <w:lang w:val="es-ES"/>
        </w:rPr>
        <w:t xml:space="preserve"> busca</w:t>
      </w:r>
      <w:r w:rsidRPr="00D61E7E">
        <w:rPr>
          <w:rFonts w:ascii="Times New Roman" w:eastAsia="Times New Roman" w:hAnsi="Times New Roman" w:cs="Times New Roman"/>
          <w:color w:val="000000" w:themeColor="text1"/>
          <w:sz w:val="28"/>
          <w:szCs w:val="28"/>
          <w:lang w:val="es-ES"/>
        </w:rPr>
        <w:t>n</w:t>
      </w:r>
      <w:r w:rsidRPr="00D61E7E">
        <w:rPr>
          <w:rFonts w:ascii="Times New Roman" w:eastAsia="Times New Roman" w:hAnsi="Times New Roman" w:cs="Times New Roman"/>
          <w:color w:val="000000" w:themeColor="text1"/>
          <w:sz w:val="28"/>
          <w:szCs w:val="28"/>
          <w:lang w:val="es-ES"/>
        </w:rPr>
        <w:t xml:space="preserve"> mejorar la</w:t>
      </w:r>
      <w:r w:rsidRPr="00D61E7E">
        <w:rPr>
          <w:rFonts w:ascii="Times New Roman" w:eastAsia="Times New Roman" w:hAnsi="Times New Roman" w:cs="Times New Roman"/>
          <w:color w:val="000000" w:themeColor="text1"/>
          <w:sz w:val="28"/>
          <w:szCs w:val="28"/>
          <w:lang w:val="es-ES"/>
        </w:rPr>
        <w:t xml:space="preserve"> eficiencia administrativa y reducir la carga económica para los contribuyentes. En </w:t>
      </w:r>
      <w:r w:rsidRPr="00D61E7E">
        <w:rPr>
          <w:rFonts w:ascii="Times New Roman" w:eastAsia="Times New Roman" w:hAnsi="Times New Roman" w:cs="Times New Roman"/>
          <w:color w:val="000000" w:themeColor="text1"/>
          <w:sz w:val="28"/>
          <w:szCs w:val="28"/>
          <w:lang w:val="es-ES"/>
        </w:rPr>
        <w:t xml:space="preserve">su </w:t>
      </w:r>
      <w:r w:rsidRPr="00D61E7E">
        <w:rPr>
          <w:rFonts w:ascii="Times New Roman" w:eastAsia="Times New Roman" w:hAnsi="Times New Roman" w:cs="Times New Roman"/>
          <w:color w:val="000000" w:themeColor="text1"/>
          <w:sz w:val="28"/>
          <w:szCs w:val="28"/>
          <w:lang w:val="es-ES"/>
        </w:rPr>
        <w:t xml:space="preserve">conjunto, la </w:t>
      </w:r>
      <w:r w:rsidRPr="00D61E7E">
        <w:rPr>
          <w:rFonts w:ascii="Times New Roman" w:eastAsia="Times New Roman" w:hAnsi="Times New Roman" w:cs="Times New Roman"/>
          <w:color w:val="000000" w:themeColor="text1"/>
          <w:sz w:val="28"/>
          <w:szCs w:val="28"/>
          <w:lang w:val="es-ES"/>
        </w:rPr>
        <w:t>Ley 2069 de 2020</w:t>
      </w:r>
      <w:r w:rsidRPr="00D61E7E">
        <w:rPr>
          <w:rFonts w:ascii="Times New Roman" w:eastAsia="Times New Roman" w:hAnsi="Times New Roman" w:cs="Times New Roman"/>
          <w:color w:val="000000" w:themeColor="text1"/>
          <w:sz w:val="28"/>
          <w:szCs w:val="28"/>
          <w:lang w:val="es-ES"/>
        </w:rPr>
        <w:t xml:space="preserve"> busca fortalecer el entorno empresarial, fomentar la formalización de las empresas</w:t>
      </w:r>
      <w:r w:rsidRPr="00D61E7E">
        <w:rPr>
          <w:rFonts w:ascii="Times New Roman" w:eastAsia="Times New Roman" w:hAnsi="Times New Roman" w:cs="Times New Roman"/>
          <w:color w:val="000000" w:themeColor="text1"/>
          <w:sz w:val="28"/>
          <w:szCs w:val="28"/>
          <w:lang w:val="es-ES"/>
        </w:rPr>
        <w:t>,</w:t>
      </w:r>
      <w:r w:rsidRPr="00D61E7E">
        <w:rPr>
          <w:rFonts w:ascii="Times New Roman" w:eastAsia="Times New Roman" w:hAnsi="Times New Roman" w:cs="Times New Roman"/>
          <w:color w:val="000000" w:themeColor="text1"/>
          <w:sz w:val="28"/>
          <w:szCs w:val="28"/>
          <w:lang w:val="es-ES"/>
        </w:rPr>
        <w:t xml:space="preserve"> promover el desarrollo económico a través de la innovac</w:t>
      </w:r>
      <w:r w:rsidRPr="00D61E7E">
        <w:rPr>
          <w:rFonts w:ascii="Times New Roman" w:eastAsia="Times New Roman" w:hAnsi="Times New Roman" w:cs="Times New Roman"/>
          <w:color w:val="000000" w:themeColor="text1"/>
          <w:sz w:val="28"/>
          <w:szCs w:val="28"/>
          <w:lang w:val="es-ES"/>
        </w:rPr>
        <w:t xml:space="preserve">ión y la eficiencia administrativa </w:t>
      </w:r>
      <w:r w:rsidRPr="00D61E7E">
        <w:rPr>
          <w:rFonts w:ascii="Times New Roman" w:eastAsia="Times New Roman" w:hAnsi="Times New Roman" w:cs="Times New Roman"/>
          <w:color w:val="000000" w:themeColor="text1"/>
          <w:sz w:val="28"/>
          <w:szCs w:val="28"/>
          <w:lang w:val="es-ES"/>
        </w:rPr>
        <w:t xml:space="preserve">y </w:t>
      </w:r>
      <w:r w:rsidRPr="00D61E7E">
        <w:rPr>
          <w:rFonts w:ascii="Times New Roman" w:eastAsia="Times New Roman" w:hAnsi="Times New Roman" w:cs="Times New Roman"/>
          <w:color w:val="000000" w:themeColor="text1"/>
          <w:sz w:val="28"/>
          <w:szCs w:val="28"/>
          <w:lang w:val="es-ES"/>
        </w:rPr>
        <w:t>pro</w:t>
      </w:r>
      <w:r w:rsidRPr="00D61E7E">
        <w:rPr>
          <w:rFonts w:ascii="Times New Roman" w:eastAsia="Times New Roman" w:hAnsi="Times New Roman" w:cs="Times New Roman"/>
          <w:color w:val="000000" w:themeColor="text1"/>
          <w:sz w:val="28"/>
          <w:szCs w:val="28"/>
          <w:lang w:val="es-ES"/>
        </w:rPr>
        <w:t>mover</w:t>
      </w:r>
      <w:r w:rsidRPr="00D61E7E">
        <w:rPr>
          <w:rFonts w:ascii="Times New Roman" w:eastAsia="Times New Roman" w:hAnsi="Times New Roman" w:cs="Times New Roman"/>
          <w:color w:val="000000" w:themeColor="text1"/>
          <w:sz w:val="28"/>
          <w:szCs w:val="28"/>
          <w:lang w:val="es-ES"/>
        </w:rPr>
        <w:t xml:space="preserve"> la transformación digital del Estado. E</w:t>
      </w:r>
      <w:r w:rsidRPr="00D61E7E">
        <w:rPr>
          <w:rFonts w:ascii="Times New Roman" w:eastAsia="Times New Roman" w:hAnsi="Times New Roman" w:cs="Times New Roman"/>
          <w:color w:val="000000" w:themeColor="text1"/>
          <w:sz w:val="28"/>
          <w:szCs w:val="28"/>
          <w:lang w:val="es-ES"/>
        </w:rPr>
        <w:t xml:space="preserve">sta </w:t>
      </w:r>
      <w:r w:rsidRPr="00D61E7E">
        <w:rPr>
          <w:rFonts w:ascii="Times New Roman" w:eastAsia="Times New Roman" w:hAnsi="Times New Roman" w:cs="Times New Roman"/>
          <w:color w:val="000000" w:themeColor="text1"/>
          <w:sz w:val="28"/>
          <w:szCs w:val="28"/>
          <w:lang w:val="es-ES"/>
        </w:rPr>
        <w:t xml:space="preserve">circunstancia </w:t>
      </w:r>
      <w:r w:rsidRPr="00D61E7E">
        <w:rPr>
          <w:rFonts w:ascii="Times New Roman" w:eastAsia="Times New Roman" w:hAnsi="Times New Roman" w:cs="Times New Roman"/>
          <w:color w:val="000000" w:themeColor="text1"/>
          <w:sz w:val="28"/>
          <w:szCs w:val="28"/>
          <w:lang w:val="es-ES"/>
        </w:rPr>
        <w:t xml:space="preserve">permite </w:t>
      </w:r>
      <w:r w:rsidRPr="00D61E7E">
        <w:rPr>
          <w:rFonts w:ascii="Times New Roman" w:eastAsia="Times New Roman" w:hAnsi="Times New Roman" w:cs="Times New Roman"/>
          <w:color w:val="000000" w:themeColor="text1"/>
          <w:sz w:val="28"/>
          <w:szCs w:val="28"/>
          <w:lang w:val="es-ES"/>
        </w:rPr>
        <w:t xml:space="preserve">concluir que existe una relación directa entre los objetivos de la ley y los cambios introducidos por </w:t>
      </w:r>
      <w:r w:rsidRPr="00D61E7E">
        <w:rPr>
          <w:rFonts w:ascii="Times New Roman" w:eastAsia="Times New Roman" w:hAnsi="Times New Roman" w:cs="Times New Roman"/>
          <w:color w:val="000000" w:themeColor="text1"/>
          <w:sz w:val="28"/>
          <w:szCs w:val="28"/>
          <w:lang w:val="es-ES"/>
        </w:rPr>
        <w:t>los artículos</w:t>
      </w:r>
      <w:r w:rsidRPr="00D61E7E">
        <w:rPr>
          <w:rFonts w:ascii="Times New Roman" w:eastAsia="Times New Roman" w:hAnsi="Times New Roman" w:cs="Times New Roman"/>
          <w:color w:val="000000" w:themeColor="text1"/>
          <w:sz w:val="28"/>
          <w:szCs w:val="28"/>
          <w:lang w:val="es-ES"/>
        </w:rPr>
        <w:t xml:space="preserve"> 70 y 73. </w:t>
      </w:r>
    </w:p>
    <w:p w:rsidR="00EF2C95" w:rsidRPr="00D61E7E" w:rsidRDefault="00D61E7E" w:rsidP="00EF2C95">
      <w:pPr>
        <w:pStyle w:val="Prrafodelista"/>
        <w:rPr>
          <w:rFonts w:ascii="Times New Roman" w:eastAsia="Times New Roman" w:hAnsi="Times New Roman" w:cs="Times New Roman"/>
          <w:color w:val="000000" w:themeColor="text1"/>
          <w:sz w:val="28"/>
          <w:szCs w:val="28"/>
          <w:lang w:val="es-ES"/>
        </w:rPr>
      </w:pPr>
    </w:p>
    <w:p w:rsidR="00B1419B" w:rsidRPr="00D61E7E" w:rsidRDefault="00D61E7E" w:rsidP="00F24FF9">
      <w:pPr>
        <w:pStyle w:val="Prrafodelista"/>
        <w:numPr>
          <w:ilvl w:val="0"/>
          <w:numId w:val="3"/>
        </w:numPr>
        <w:spacing w:before="100" w:beforeAutospacing="1" w:after="100" w:afterAutospacing="1"/>
        <w:rPr>
          <w:rFonts w:ascii="Times New Roman" w:eastAsia="Times New Roman" w:hAnsi="Times New Roman" w:cs="Times New Roman"/>
          <w:color w:val="000000" w:themeColor="text1"/>
          <w:sz w:val="28"/>
          <w:szCs w:val="28"/>
          <w:lang w:val="es-ES"/>
        </w:rPr>
      </w:pPr>
      <w:r w:rsidRPr="00D61E7E">
        <w:rPr>
          <w:rFonts w:ascii="Times New Roman" w:eastAsia="Times New Roman" w:hAnsi="Times New Roman" w:cs="Times New Roman"/>
          <w:color w:val="000000" w:themeColor="text1"/>
          <w:sz w:val="28"/>
          <w:szCs w:val="28"/>
          <w:lang w:val="es-ES"/>
        </w:rPr>
        <w:t xml:space="preserve">Sin embargo, para los intervinientes, los incisos segundo y tercero del artículo 70 analizado, </w:t>
      </w:r>
      <w:r w:rsidRPr="00D61E7E">
        <w:rPr>
          <w:rFonts w:ascii="Times New Roman" w:eastAsia="Times New Roman" w:hAnsi="Times New Roman" w:cs="Times New Roman"/>
          <w:color w:val="000000" w:themeColor="text1"/>
          <w:sz w:val="28"/>
          <w:szCs w:val="28"/>
          <w:lang w:val="es-ES"/>
        </w:rPr>
        <w:t xml:space="preserve">en particular el aparte que </w:t>
      </w:r>
      <w:r w:rsidRPr="00D61E7E">
        <w:rPr>
          <w:rFonts w:ascii="Times New Roman" w:eastAsia="Times New Roman" w:hAnsi="Times New Roman" w:cs="Times New Roman"/>
          <w:color w:val="000000" w:themeColor="text1"/>
          <w:sz w:val="28"/>
          <w:szCs w:val="28"/>
          <w:lang w:val="es-ES"/>
        </w:rPr>
        <w:t xml:space="preserve">establece que el Gobierno nacional garantizará los recursos para el traslado de funciones y establecerá la tarifa que las cámaras de </w:t>
      </w:r>
      <w:r w:rsidRPr="00D61E7E">
        <w:rPr>
          <w:rFonts w:ascii="Times New Roman" w:eastAsia="Times New Roman" w:hAnsi="Times New Roman" w:cs="Times New Roman"/>
          <w:color w:val="000000" w:themeColor="text1"/>
          <w:sz w:val="28"/>
          <w:szCs w:val="28"/>
          <w:lang w:val="es-ES"/>
        </w:rPr>
        <w:t>comercio pagarán por supervisión a la Superintendencia de Sociedades</w:t>
      </w:r>
      <w:r w:rsidRPr="00D61E7E">
        <w:rPr>
          <w:rFonts w:ascii="Times New Roman" w:eastAsia="Times New Roman" w:hAnsi="Times New Roman" w:cs="Times New Roman"/>
          <w:color w:val="000000" w:themeColor="text1"/>
          <w:sz w:val="28"/>
          <w:szCs w:val="28"/>
          <w:lang w:val="es-ES"/>
        </w:rPr>
        <w:t>, no se ajusta al principio de unidad de materia. Esto, por cuanto en su opinión l</w:t>
      </w:r>
      <w:r w:rsidRPr="00D61E7E">
        <w:rPr>
          <w:rFonts w:ascii="Times New Roman" w:eastAsia="Times New Roman" w:hAnsi="Times New Roman" w:cs="Times New Roman"/>
          <w:color w:val="000000" w:themeColor="text1"/>
          <w:sz w:val="28"/>
          <w:szCs w:val="28"/>
          <w:lang w:val="es-ES"/>
        </w:rPr>
        <w:t xml:space="preserve">a inclusión de esta disposición en el proyecto de ley </w:t>
      </w:r>
      <w:r w:rsidRPr="00D61E7E">
        <w:rPr>
          <w:rFonts w:ascii="Times New Roman" w:eastAsia="Times New Roman" w:hAnsi="Times New Roman" w:cs="Times New Roman"/>
          <w:color w:val="000000" w:themeColor="text1"/>
          <w:sz w:val="28"/>
          <w:szCs w:val="28"/>
          <w:lang w:val="es-ES"/>
        </w:rPr>
        <w:t xml:space="preserve">se dio </w:t>
      </w:r>
      <w:r w:rsidRPr="00D61E7E">
        <w:rPr>
          <w:rFonts w:ascii="Times New Roman" w:eastAsia="Times New Roman" w:hAnsi="Times New Roman" w:cs="Times New Roman"/>
          <w:color w:val="000000" w:themeColor="text1"/>
          <w:sz w:val="28"/>
          <w:szCs w:val="28"/>
          <w:lang w:val="es-ES"/>
        </w:rPr>
        <w:t xml:space="preserve">sin un debate </w:t>
      </w:r>
      <w:r w:rsidRPr="00D61E7E">
        <w:rPr>
          <w:rFonts w:ascii="Times New Roman" w:eastAsia="Times New Roman" w:hAnsi="Times New Roman" w:cs="Times New Roman"/>
          <w:color w:val="000000" w:themeColor="text1"/>
          <w:sz w:val="28"/>
          <w:szCs w:val="28"/>
          <w:lang w:val="es-ES"/>
        </w:rPr>
        <w:t xml:space="preserve">transparente pues fue </w:t>
      </w:r>
      <w:r w:rsidRPr="00D61E7E">
        <w:rPr>
          <w:rFonts w:ascii="Times New Roman" w:eastAsia="Times New Roman" w:hAnsi="Times New Roman" w:cs="Times New Roman"/>
          <w:color w:val="000000" w:themeColor="text1"/>
          <w:sz w:val="28"/>
          <w:szCs w:val="28"/>
          <w:lang w:val="es-ES"/>
        </w:rPr>
        <w:t>sorpresiv</w:t>
      </w:r>
      <w:r w:rsidRPr="00D61E7E">
        <w:rPr>
          <w:rFonts w:ascii="Times New Roman" w:eastAsia="Times New Roman" w:hAnsi="Times New Roman" w:cs="Times New Roman"/>
          <w:color w:val="000000" w:themeColor="text1"/>
          <w:sz w:val="28"/>
          <w:szCs w:val="28"/>
          <w:lang w:val="es-ES"/>
        </w:rPr>
        <w:t xml:space="preserve">a y contraria a los principios democráticos. </w:t>
      </w:r>
      <w:r w:rsidRPr="00D61E7E">
        <w:rPr>
          <w:rFonts w:ascii="Times New Roman" w:hAnsi="Times New Roman" w:cs="Times New Roman"/>
          <w:sz w:val="28"/>
          <w:szCs w:val="28"/>
          <w:lang w:val="es-ES"/>
        </w:rPr>
        <w:t>Además, estas instituciones sostienen que la implementación de una contribución debería apegarse a los principios de reserva legal establecidos en el artículo 338 de la Constitución, el cual otorga al Congreso l</w:t>
      </w:r>
      <w:r w:rsidRPr="00D61E7E">
        <w:rPr>
          <w:rFonts w:ascii="Times New Roman" w:hAnsi="Times New Roman" w:cs="Times New Roman"/>
          <w:sz w:val="28"/>
          <w:szCs w:val="28"/>
          <w:lang w:val="es-ES"/>
        </w:rPr>
        <w:t>a autoridad para establecer contribuciones y definir el sistema y método para determinar las tarifas que el Estado aplica</w:t>
      </w:r>
      <w:r w:rsidRPr="00D61E7E">
        <w:rPr>
          <w:rFonts w:ascii="Times New Roman" w:hAnsi="Times New Roman" w:cs="Times New Roman"/>
          <w:sz w:val="28"/>
          <w:szCs w:val="28"/>
          <w:lang w:val="es-ES"/>
        </w:rPr>
        <w:t>rá</w:t>
      </w:r>
      <w:r w:rsidRPr="00D61E7E">
        <w:rPr>
          <w:rFonts w:ascii="Times New Roman" w:hAnsi="Times New Roman" w:cs="Times New Roman"/>
          <w:sz w:val="28"/>
          <w:szCs w:val="28"/>
          <w:lang w:val="es-ES"/>
        </w:rPr>
        <w:t xml:space="preserve"> para recuperar los costos de los servicios prestados o para participar en los beneficios obtenidos a través de sus acciones.</w:t>
      </w:r>
    </w:p>
    <w:p w:rsidR="00B1419B" w:rsidRPr="00D61E7E" w:rsidRDefault="00D61E7E" w:rsidP="00B1419B">
      <w:pPr>
        <w:pStyle w:val="Prrafodelista"/>
        <w:rPr>
          <w:rFonts w:ascii="Times New Roman" w:hAnsi="Times New Roman" w:cs="Times New Roman"/>
          <w:b/>
          <w:color w:val="000000" w:themeColor="text1"/>
          <w:sz w:val="28"/>
          <w:szCs w:val="28"/>
        </w:rPr>
      </w:pPr>
    </w:p>
    <w:p w:rsidR="00F24FF9" w:rsidRPr="00D61E7E" w:rsidRDefault="00D61E7E" w:rsidP="00B1419B">
      <w:pPr>
        <w:pStyle w:val="Prrafodelista"/>
        <w:spacing w:before="100" w:beforeAutospacing="1" w:after="100" w:afterAutospacing="1"/>
        <w:ind w:left="0"/>
        <w:rPr>
          <w:rFonts w:ascii="Times New Roman" w:eastAsia="Times New Roman" w:hAnsi="Times New Roman" w:cs="Times New Roman"/>
          <w:color w:val="000000" w:themeColor="text1"/>
          <w:sz w:val="28"/>
          <w:szCs w:val="28"/>
          <w:lang w:val="es-ES"/>
        </w:rPr>
      </w:pPr>
      <w:r w:rsidRPr="00D61E7E">
        <w:rPr>
          <w:rFonts w:ascii="Times New Roman" w:hAnsi="Times New Roman" w:cs="Times New Roman"/>
          <w:b/>
          <w:color w:val="000000" w:themeColor="text1"/>
          <w:sz w:val="28"/>
          <w:szCs w:val="28"/>
        </w:rPr>
        <w:t xml:space="preserve">V. </w:t>
      </w:r>
      <w:r w:rsidRPr="00D61E7E">
        <w:rPr>
          <w:rFonts w:ascii="Times New Roman" w:hAnsi="Times New Roman" w:cs="Times New Roman"/>
          <w:b/>
          <w:color w:val="000000" w:themeColor="text1"/>
          <w:sz w:val="28"/>
          <w:szCs w:val="28"/>
        </w:rPr>
        <w:t>CONCEPTO DE LA PROCURADORA GENERAL DE LA NACIÓN</w:t>
      </w:r>
    </w:p>
    <w:p w:rsidR="00F24FF9" w:rsidRPr="00D61E7E" w:rsidRDefault="00D61E7E" w:rsidP="00F24FF9">
      <w:pPr>
        <w:pStyle w:val="Prrafodelista"/>
        <w:spacing w:before="100" w:beforeAutospacing="1" w:after="100" w:afterAutospacing="1"/>
        <w:ind w:left="0"/>
        <w:rPr>
          <w:rFonts w:ascii="Times New Roman" w:hAnsi="Times New Roman" w:cs="Times New Roman"/>
          <w:b/>
          <w:color w:val="000000" w:themeColor="text1"/>
          <w:sz w:val="28"/>
          <w:szCs w:val="28"/>
        </w:rPr>
      </w:pPr>
    </w:p>
    <w:p w:rsidR="00F24FF9" w:rsidRPr="00D61E7E" w:rsidRDefault="00D61E7E" w:rsidP="00F24FF9">
      <w:pPr>
        <w:pStyle w:val="Prrafodelista"/>
        <w:numPr>
          <w:ilvl w:val="0"/>
          <w:numId w:val="3"/>
        </w:numPr>
        <w:spacing w:before="100" w:beforeAutospacing="1" w:after="100" w:afterAutospacing="1"/>
        <w:rPr>
          <w:rFonts w:ascii="Times New Roman" w:eastAsia="Times New Roman" w:hAnsi="Times New Roman" w:cs="Times New Roman"/>
          <w:color w:val="000000" w:themeColor="text1"/>
          <w:sz w:val="28"/>
          <w:szCs w:val="28"/>
          <w:lang w:val="es-ES"/>
        </w:rPr>
      </w:pPr>
      <w:r w:rsidRPr="00D61E7E">
        <w:rPr>
          <w:rFonts w:ascii="Times New Roman" w:hAnsi="Times New Roman" w:cs="Times New Roman"/>
          <w:bCs/>
          <w:color w:val="000000" w:themeColor="text1"/>
          <w:sz w:val="28"/>
          <w:szCs w:val="28"/>
          <w:lang w:val="es-ES"/>
        </w:rPr>
        <w:t>La Procuradora General de la Nación consider</w:t>
      </w:r>
      <w:r w:rsidRPr="00D61E7E">
        <w:rPr>
          <w:rFonts w:ascii="Times New Roman" w:hAnsi="Times New Roman" w:cs="Times New Roman"/>
          <w:bCs/>
          <w:color w:val="000000" w:themeColor="text1"/>
          <w:sz w:val="28"/>
          <w:szCs w:val="28"/>
          <w:lang w:val="es-ES"/>
        </w:rPr>
        <w:t>a</w:t>
      </w:r>
      <w:r w:rsidRPr="00D61E7E">
        <w:rPr>
          <w:rFonts w:ascii="Times New Roman" w:hAnsi="Times New Roman" w:cs="Times New Roman"/>
          <w:bCs/>
          <w:color w:val="000000" w:themeColor="text1"/>
          <w:sz w:val="28"/>
          <w:szCs w:val="28"/>
          <w:lang w:val="es-ES"/>
        </w:rPr>
        <w:t xml:space="preserve"> que </w:t>
      </w:r>
      <w:r w:rsidRPr="00D61E7E">
        <w:rPr>
          <w:rFonts w:ascii="Times New Roman" w:hAnsi="Times New Roman" w:cs="Times New Roman"/>
          <w:bCs/>
          <w:color w:val="000000" w:themeColor="text1"/>
          <w:sz w:val="28"/>
          <w:szCs w:val="28"/>
          <w:lang w:val="es-ES"/>
        </w:rPr>
        <w:t xml:space="preserve">debe declararse la </w:t>
      </w:r>
      <w:r w:rsidRPr="00D61E7E">
        <w:rPr>
          <w:rFonts w:ascii="Times New Roman" w:hAnsi="Times New Roman" w:cs="Times New Roman"/>
          <w:b/>
          <w:color w:val="000000" w:themeColor="text1"/>
          <w:sz w:val="28"/>
          <w:szCs w:val="28"/>
          <w:lang w:val="es-ES"/>
        </w:rPr>
        <w:t>exequibilidad</w:t>
      </w:r>
      <w:r w:rsidRPr="00D61E7E">
        <w:rPr>
          <w:rFonts w:ascii="Times New Roman" w:hAnsi="Times New Roman" w:cs="Times New Roman"/>
          <w:bCs/>
          <w:color w:val="000000" w:themeColor="text1"/>
          <w:sz w:val="28"/>
          <w:szCs w:val="28"/>
          <w:lang w:val="es-ES"/>
        </w:rPr>
        <w:t xml:space="preserve"> de las normas demandadas</w:t>
      </w:r>
      <w:r w:rsidRPr="00D61E7E">
        <w:rPr>
          <w:rFonts w:ascii="Times New Roman" w:hAnsi="Times New Roman" w:cs="Times New Roman"/>
          <w:bCs/>
          <w:color w:val="000000" w:themeColor="text1"/>
          <w:sz w:val="28"/>
          <w:szCs w:val="28"/>
          <w:lang w:val="es-ES"/>
        </w:rPr>
        <w:t xml:space="preserve">. A juicio del Ministerio Público las normas demandadas guardan conexidad, en los términos exigidos </w:t>
      </w:r>
      <w:r w:rsidRPr="00D61E7E">
        <w:rPr>
          <w:rFonts w:ascii="Times New Roman" w:hAnsi="Times New Roman" w:cs="Times New Roman"/>
          <w:bCs/>
          <w:color w:val="000000" w:themeColor="text1"/>
          <w:sz w:val="28"/>
          <w:szCs w:val="28"/>
          <w:lang w:val="es-ES"/>
        </w:rPr>
        <w:t>por la jurisprudencia</w:t>
      </w:r>
      <w:r w:rsidRPr="00D61E7E">
        <w:rPr>
          <w:rFonts w:ascii="Times New Roman" w:hAnsi="Times New Roman" w:cs="Times New Roman"/>
          <w:bCs/>
          <w:color w:val="000000" w:themeColor="text1"/>
          <w:sz w:val="28"/>
          <w:szCs w:val="28"/>
          <w:lang w:val="es-ES"/>
        </w:rPr>
        <w:t>,</w:t>
      </w:r>
      <w:r w:rsidRPr="00D61E7E">
        <w:rPr>
          <w:rFonts w:ascii="Times New Roman" w:hAnsi="Times New Roman" w:cs="Times New Roman"/>
          <w:bCs/>
          <w:color w:val="000000" w:themeColor="text1"/>
          <w:sz w:val="28"/>
          <w:szCs w:val="28"/>
          <w:lang w:val="es-ES"/>
        </w:rPr>
        <w:t xml:space="preserve"> con el tema objeto de la ley</w:t>
      </w:r>
      <w:r w:rsidRPr="00D61E7E">
        <w:rPr>
          <w:rFonts w:ascii="Times New Roman" w:hAnsi="Times New Roman" w:cs="Times New Roman"/>
          <w:bCs/>
          <w:color w:val="000000" w:themeColor="text1"/>
          <w:sz w:val="28"/>
          <w:szCs w:val="28"/>
          <w:lang w:val="es-ES"/>
        </w:rPr>
        <w:t>.</w:t>
      </w:r>
      <w:r w:rsidRPr="00D61E7E">
        <w:rPr>
          <w:rFonts w:ascii="Times New Roman" w:hAnsi="Times New Roman" w:cs="Times New Roman"/>
          <w:bCs/>
          <w:color w:val="000000" w:themeColor="text1"/>
          <w:sz w:val="28"/>
          <w:szCs w:val="28"/>
          <w:lang w:val="es-ES"/>
        </w:rPr>
        <w:t xml:space="preserve"> Al respecto, </w:t>
      </w:r>
      <w:r w:rsidRPr="00D61E7E">
        <w:rPr>
          <w:rFonts w:ascii="Times New Roman" w:hAnsi="Times New Roman" w:cs="Times New Roman"/>
          <w:bCs/>
          <w:color w:val="000000" w:themeColor="text1"/>
          <w:sz w:val="28"/>
          <w:szCs w:val="28"/>
          <w:lang w:val="es-ES"/>
        </w:rPr>
        <w:t xml:space="preserve">la Procuradora </w:t>
      </w:r>
      <w:r w:rsidRPr="00D61E7E">
        <w:rPr>
          <w:rFonts w:ascii="Times New Roman" w:hAnsi="Times New Roman" w:cs="Times New Roman"/>
          <w:bCs/>
          <w:color w:val="000000" w:themeColor="text1"/>
          <w:sz w:val="28"/>
          <w:szCs w:val="28"/>
          <w:lang w:val="es-ES"/>
        </w:rPr>
        <w:t>explicó que en este caso existe conexidad temática</w:t>
      </w:r>
      <w:r w:rsidRPr="00D61E7E">
        <w:rPr>
          <w:rFonts w:ascii="Times New Roman" w:hAnsi="Times New Roman" w:cs="Times New Roman"/>
          <w:bCs/>
          <w:color w:val="000000" w:themeColor="text1"/>
          <w:sz w:val="28"/>
          <w:szCs w:val="28"/>
          <w:lang w:val="es-ES"/>
        </w:rPr>
        <w:t xml:space="preserve"> y sistemática</w:t>
      </w:r>
      <w:r w:rsidRPr="00D61E7E">
        <w:rPr>
          <w:rFonts w:ascii="Times New Roman" w:hAnsi="Times New Roman" w:cs="Times New Roman"/>
          <w:bCs/>
          <w:color w:val="000000" w:themeColor="text1"/>
          <w:sz w:val="28"/>
          <w:szCs w:val="28"/>
          <w:lang w:val="es-ES"/>
        </w:rPr>
        <w:t xml:space="preserve"> por dos razones. Primero, porque la materia dominante de la </w:t>
      </w:r>
      <w:r w:rsidRPr="00D61E7E">
        <w:rPr>
          <w:rFonts w:ascii="Times New Roman" w:hAnsi="Times New Roman" w:cs="Times New Roman"/>
          <w:bCs/>
          <w:color w:val="000000" w:themeColor="text1"/>
          <w:sz w:val="28"/>
          <w:szCs w:val="28"/>
          <w:lang w:val="es-ES"/>
        </w:rPr>
        <w:t>Ley 2069 de 2020</w:t>
      </w:r>
      <w:r w:rsidRPr="00D61E7E">
        <w:rPr>
          <w:rFonts w:ascii="Times New Roman" w:hAnsi="Times New Roman" w:cs="Times New Roman"/>
          <w:bCs/>
          <w:color w:val="000000" w:themeColor="text1"/>
          <w:sz w:val="28"/>
          <w:szCs w:val="28"/>
          <w:lang w:val="es-ES"/>
        </w:rPr>
        <w:t xml:space="preserve"> es el impulso del emprendimiento </w:t>
      </w:r>
      <w:r w:rsidRPr="00D61E7E">
        <w:rPr>
          <w:rFonts w:ascii="Times New Roman" w:hAnsi="Times New Roman" w:cs="Times New Roman"/>
          <w:bCs/>
          <w:color w:val="000000" w:themeColor="text1"/>
          <w:sz w:val="28"/>
          <w:szCs w:val="28"/>
          <w:lang w:val="es-ES"/>
        </w:rPr>
        <w:t xml:space="preserve">y el fortalecimiento empresarial del país por medio de un conjunto de medidas orientadas, entre otras cosas, a la racionalización de procesos y al mejoramiento en la prestación de servicios institucionales. Segundo, </w:t>
      </w:r>
      <w:r w:rsidRPr="00D61E7E">
        <w:rPr>
          <w:rFonts w:ascii="Times New Roman" w:hAnsi="Times New Roman" w:cs="Times New Roman"/>
          <w:bCs/>
          <w:color w:val="000000" w:themeColor="text1"/>
          <w:sz w:val="28"/>
          <w:szCs w:val="28"/>
          <w:lang w:val="es-ES"/>
        </w:rPr>
        <w:t xml:space="preserve">porque </w:t>
      </w:r>
      <w:r w:rsidRPr="00D61E7E">
        <w:rPr>
          <w:rFonts w:ascii="Times New Roman" w:hAnsi="Times New Roman" w:cs="Times New Roman"/>
          <w:bCs/>
          <w:color w:val="000000" w:themeColor="text1"/>
          <w:sz w:val="28"/>
          <w:szCs w:val="28"/>
          <w:lang w:val="es-ES"/>
        </w:rPr>
        <w:t>los artículos demandados incorpor</w:t>
      </w:r>
      <w:r w:rsidRPr="00D61E7E">
        <w:rPr>
          <w:rFonts w:ascii="Times New Roman" w:hAnsi="Times New Roman" w:cs="Times New Roman"/>
          <w:bCs/>
          <w:color w:val="000000" w:themeColor="text1"/>
          <w:sz w:val="28"/>
          <w:szCs w:val="28"/>
          <w:lang w:val="es-ES"/>
        </w:rPr>
        <w:t>an medidas que buscan mayor eficiencia en el ejercicio de la función de inspección y vigilancia y el uso de tecnologías de la información para agilizar los trámites ante el Estado.</w:t>
      </w:r>
    </w:p>
    <w:p w:rsidR="00F24FF9" w:rsidRPr="00D61E7E" w:rsidRDefault="00D61E7E" w:rsidP="00F24FF9">
      <w:pPr>
        <w:pStyle w:val="Prrafodelista"/>
        <w:spacing w:before="100" w:beforeAutospacing="1" w:after="100" w:afterAutospacing="1"/>
        <w:ind w:left="0"/>
        <w:rPr>
          <w:rFonts w:ascii="Times New Roman" w:eastAsia="Times New Roman" w:hAnsi="Times New Roman" w:cs="Times New Roman"/>
          <w:color w:val="000000" w:themeColor="text1"/>
          <w:sz w:val="28"/>
          <w:szCs w:val="28"/>
          <w:lang w:val="es-ES"/>
        </w:rPr>
      </w:pPr>
    </w:p>
    <w:p w:rsidR="00B03499" w:rsidRPr="00D61E7E" w:rsidRDefault="00D61E7E" w:rsidP="00AC0238">
      <w:pPr>
        <w:pStyle w:val="Prrafodelista"/>
        <w:numPr>
          <w:ilvl w:val="0"/>
          <w:numId w:val="3"/>
        </w:numPr>
        <w:spacing w:before="100" w:beforeAutospacing="1" w:after="100" w:afterAutospacing="1"/>
        <w:rPr>
          <w:rFonts w:ascii="Times New Roman" w:hAnsi="Times New Roman" w:cs="Times New Roman"/>
          <w:bCs/>
          <w:color w:val="000000" w:themeColor="text1"/>
          <w:sz w:val="28"/>
          <w:szCs w:val="28"/>
          <w:lang w:val="es-ES"/>
        </w:rPr>
      </w:pPr>
      <w:r w:rsidRPr="00D61E7E">
        <w:rPr>
          <w:rFonts w:ascii="Times New Roman" w:hAnsi="Times New Roman" w:cs="Times New Roman"/>
          <w:bCs/>
          <w:color w:val="000000" w:themeColor="text1"/>
          <w:sz w:val="28"/>
          <w:szCs w:val="28"/>
          <w:lang w:val="es-ES"/>
        </w:rPr>
        <w:t xml:space="preserve">Por otro lado, la </w:t>
      </w:r>
      <w:r w:rsidRPr="00D61E7E">
        <w:rPr>
          <w:rFonts w:ascii="Times New Roman" w:hAnsi="Times New Roman" w:cs="Times New Roman"/>
          <w:bCs/>
          <w:color w:val="000000" w:themeColor="text1"/>
          <w:sz w:val="28"/>
          <w:szCs w:val="28"/>
          <w:lang w:val="es-ES"/>
        </w:rPr>
        <w:t>P</w:t>
      </w:r>
      <w:r w:rsidRPr="00D61E7E">
        <w:rPr>
          <w:rFonts w:ascii="Times New Roman" w:hAnsi="Times New Roman" w:cs="Times New Roman"/>
          <w:bCs/>
          <w:color w:val="000000" w:themeColor="text1"/>
          <w:sz w:val="28"/>
          <w:szCs w:val="28"/>
          <w:lang w:val="es-ES"/>
        </w:rPr>
        <w:t xml:space="preserve">rocuraduría considera que se configura la conexidad </w:t>
      </w:r>
      <w:r w:rsidRPr="00D61E7E">
        <w:rPr>
          <w:rFonts w:ascii="Times New Roman" w:hAnsi="Times New Roman" w:cs="Times New Roman"/>
          <w:bCs/>
          <w:color w:val="000000" w:themeColor="text1"/>
          <w:sz w:val="28"/>
          <w:szCs w:val="28"/>
          <w:lang w:val="es-ES"/>
        </w:rPr>
        <w:t>causal y teleológica en este caso puesto que la ley tiene como objeto codificar un marco regulatorio que propicia el emprendimiento y el crecimiento empresarial</w:t>
      </w:r>
      <w:r w:rsidRPr="00D61E7E">
        <w:rPr>
          <w:rFonts w:ascii="Times New Roman" w:hAnsi="Times New Roman" w:cs="Times New Roman"/>
          <w:bCs/>
          <w:color w:val="000000" w:themeColor="text1"/>
          <w:sz w:val="28"/>
          <w:szCs w:val="28"/>
          <w:lang w:val="es-ES"/>
        </w:rPr>
        <w:t>,</w:t>
      </w:r>
      <w:r w:rsidRPr="00D61E7E">
        <w:rPr>
          <w:rFonts w:ascii="Times New Roman" w:hAnsi="Times New Roman" w:cs="Times New Roman"/>
          <w:bCs/>
          <w:color w:val="000000" w:themeColor="text1"/>
          <w:sz w:val="28"/>
          <w:szCs w:val="28"/>
          <w:lang w:val="es-ES"/>
        </w:rPr>
        <w:t xml:space="preserve"> a partir de unas necesidades específicas identificadas por estudios técnicos que fueron parte </w:t>
      </w:r>
      <w:r w:rsidRPr="00D61E7E">
        <w:rPr>
          <w:rFonts w:ascii="Times New Roman" w:hAnsi="Times New Roman" w:cs="Times New Roman"/>
          <w:bCs/>
          <w:color w:val="000000" w:themeColor="text1"/>
          <w:sz w:val="28"/>
          <w:szCs w:val="28"/>
          <w:lang w:val="es-ES"/>
        </w:rPr>
        <w:t>del debate legislativo y que dieron cuenta de asimetrías legales que afectan a los emprendedores. En ese sentido, para la entidad</w:t>
      </w:r>
      <w:r w:rsidRPr="00D61E7E">
        <w:rPr>
          <w:rFonts w:ascii="Times New Roman" w:hAnsi="Times New Roman" w:cs="Times New Roman"/>
          <w:bCs/>
          <w:color w:val="000000" w:themeColor="text1"/>
          <w:sz w:val="28"/>
          <w:szCs w:val="28"/>
          <w:lang w:val="es-ES"/>
        </w:rPr>
        <w:t>,</w:t>
      </w:r>
      <w:r w:rsidRPr="00D61E7E">
        <w:rPr>
          <w:rFonts w:ascii="Times New Roman" w:hAnsi="Times New Roman" w:cs="Times New Roman"/>
          <w:bCs/>
          <w:color w:val="000000" w:themeColor="text1"/>
          <w:sz w:val="28"/>
          <w:szCs w:val="28"/>
          <w:lang w:val="es-ES"/>
        </w:rPr>
        <w:t xml:space="preserve"> las disposiciones se promulgaron con la finalidad de resolver estos problemas, en particular la desarticulación en los proces</w:t>
      </w:r>
      <w:r w:rsidRPr="00D61E7E">
        <w:rPr>
          <w:rFonts w:ascii="Times New Roman" w:hAnsi="Times New Roman" w:cs="Times New Roman"/>
          <w:bCs/>
          <w:color w:val="000000" w:themeColor="text1"/>
          <w:sz w:val="28"/>
          <w:szCs w:val="28"/>
          <w:lang w:val="es-ES"/>
        </w:rPr>
        <w:t>os de inspección y vi</w:t>
      </w:r>
      <w:r w:rsidRPr="00D61E7E">
        <w:rPr>
          <w:rFonts w:ascii="Times New Roman" w:hAnsi="Times New Roman" w:cs="Times New Roman"/>
          <w:bCs/>
          <w:color w:val="000000" w:themeColor="text1"/>
          <w:sz w:val="28"/>
          <w:szCs w:val="28"/>
          <w:lang w:val="es-ES"/>
        </w:rPr>
        <w:t>gilancia</w:t>
      </w:r>
      <w:r w:rsidRPr="00D61E7E">
        <w:rPr>
          <w:rFonts w:ascii="Times New Roman" w:hAnsi="Times New Roman" w:cs="Times New Roman"/>
          <w:bCs/>
          <w:color w:val="000000" w:themeColor="text1"/>
          <w:sz w:val="28"/>
          <w:szCs w:val="28"/>
          <w:lang w:val="es-ES"/>
        </w:rPr>
        <w:t xml:space="preserve"> y la reducción de trámites tributarios, cambiarios y contables. </w:t>
      </w:r>
    </w:p>
    <w:p w:rsidR="00B03499" w:rsidRPr="00D61E7E" w:rsidRDefault="00D61E7E" w:rsidP="00F97DD1">
      <w:pPr>
        <w:pStyle w:val="Prrafodelista"/>
        <w:rPr>
          <w:rFonts w:ascii="Times New Roman" w:hAnsi="Times New Roman" w:cs="Times New Roman"/>
          <w:bCs/>
          <w:color w:val="000000" w:themeColor="text1"/>
          <w:sz w:val="28"/>
          <w:szCs w:val="28"/>
          <w:lang w:val="es-ES"/>
        </w:rPr>
      </w:pPr>
    </w:p>
    <w:p w:rsidR="00BD619B" w:rsidRPr="00D61E7E" w:rsidRDefault="00D61E7E" w:rsidP="00AC0238">
      <w:pPr>
        <w:pStyle w:val="Prrafodelista"/>
        <w:numPr>
          <w:ilvl w:val="0"/>
          <w:numId w:val="3"/>
        </w:numPr>
        <w:spacing w:before="100" w:beforeAutospacing="1" w:after="100" w:afterAutospacing="1"/>
        <w:rPr>
          <w:rFonts w:ascii="Times New Roman" w:hAnsi="Times New Roman" w:cs="Times New Roman"/>
          <w:bCs/>
          <w:color w:val="000000" w:themeColor="text1"/>
          <w:sz w:val="28"/>
          <w:szCs w:val="28"/>
          <w:lang w:val="es-ES"/>
        </w:rPr>
      </w:pPr>
      <w:r w:rsidRPr="00D61E7E">
        <w:rPr>
          <w:rFonts w:ascii="Times New Roman" w:hAnsi="Times New Roman" w:cs="Times New Roman"/>
          <w:bCs/>
          <w:color w:val="000000" w:themeColor="text1"/>
          <w:sz w:val="28"/>
          <w:szCs w:val="28"/>
          <w:lang w:val="es-ES"/>
        </w:rPr>
        <w:t>En la siguiente table se resumen las posiciones de los intervinientes y de la Procuraduría:</w:t>
      </w:r>
    </w:p>
    <w:p w:rsidR="00AC0238" w:rsidRPr="00D61E7E" w:rsidRDefault="00D61E7E" w:rsidP="00B1419B">
      <w:pPr>
        <w:pStyle w:val="Prrafodelista"/>
        <w:shd w:val="clear" w:color="auto" w:fill="FFFFFF"/>
        <w:ind w:left="0"/>
        <w:rPr>
          <w:rFonts w:ascii="Times New Roman" w:eastAsia="Times New Roman" w:hAnsi="Times New Roman" w:cs="Times New Roman"/>
          <w:color w:val="000000" w:themeColor="text1"/>
          <w:sz w:val="28"/>
          <w:szCs w:val="24"/>
          <w:lang w:val="es-ES" w:eastAsia="es-MX"/>
        </w:rPr>
      </w:pPr>
    </w:p>
    <w:p w:rsidR="00BD619B" w:rsidRPr="00D61E7E" w:rsidRDefault="00D61E7E" w:rsidP="00BD619B">
      <w:pPr>
        <w:pStyle w:val="Prrafodelista"/>
        <w:shd w:val="clear" w:color="auto" w:fill="FFFFFF"/>
        <w:ind w:left="0"/>
        <w:jc w:val="center"/>
        <w:rPr>
          <w:rFonts w:ascii="Times New Roman" w:eastAsia="Times New Roman" w:hAnsi="Times New Roman" w:cs="Times New Roman"/>
          <w:color w:val="000000" w:themeColor="text1"/>
          <w:sz w:val="28"/>
          <w:szCs w:val="24"/>
          <w:lang w:eastAsia="es-MX"/>
        </w:rPr>
      </w:pPr>
      <w:r w:rsidRPr="00D61E7E">
        <w:rPr>
          <w:rFonts w:ascii="Times New Roman" w:eastAsia="Times New Roman" w:hAnsi="Times New Roman" w:cs="Times New Roman"/>
          <w:color w:val="000000" w:themeColor="text1"/>
          <w:sz w:val="28"/>
          <w:szCs w:val="24"/>
          <w:lang w:eastAsia="es-MX"/>
        </w:rPr>
        <w:t xml:space="preserve">Tabla </w:t>
      </w:r>
      <w:r w:rsidRPr="00D61E7E">
        <w:rPr>
          <w:rFonts w:ascii="Times New Roman" w:eastAsia="Times New Roman" w:hAnsi="Times New Roman" w:cs="Times New Roman"/>
          <w:color w:val="000000" w:themeColor="text1"/>
          <w:sz w:val="28"/>
          <w:szCs w:val="24"/>
          <w:lang w:eastAsia="es-MX"/>
        </w:rPr>
        <w:t>1</w:t>
      </w:r>
    </w:p>
    <w:p w:rsidR="00BD619B" w:rsidRPr="00D61E7E" w:rsidRDefault="00D61E7E" w:rsidP="00BD619B">
      <w:pPr>
        <w:pStyle w:val="Prrafodelista"/>
        <w:shd w:val="clear" w:color="auto" w:fill="FFFFFF"/>
        <w:ind w:left="0"/>
        <w:jc w:val="center"/>
        <w:rPr>
          <w:rFonts w:ascii="Times New Roman" w:eastAsia="Times New Roman" w:hAnsi="Times New Roman" w:cs="Times New Roman"/>
          <w:color w:val="000000" w:themeColor="text1"/>
          <w:sz w:val="28"/>
          <w:szCs w:val="24"/>
          <w:lang w:eastAsia="es-MX"/>
        </w:rPr>
      </w:pPr>
      <w:r w:rsidRPr="00D61E7E">
        <w:rPr>
          <w:rFonts w:ascii="Times New Roman" w:eastAsia="Times New Roman" w:hAnsi="Times New Roman" w:cs="Times New Roman"/>
          <w:color w:val="000000" w:themeColor="text1"/>
          <w:sz w:val="28"/>
          <w:szCs w:val="24"/>
          <w:lang w:eastAsia="es-MX"/>
        </w:rPr>
        <w:t>-Resumen del análisis de las intervenciones-</w:t>
      </w:r>
    </w:p>
    <w:tbl>
      <w:tblPr>
        <w:tblStyle w:val="Tablaconcuadrcula"/>
        <w:tblW w:w="0" w:type="auto"/>
        <w:tblLook w:val="04A0" w:firstRow="1" w:lastRow="0" w:firstColumn="1" w:lastColumn="0" w:noHBand="0" w:noVBand="1"/>
      </w:tblPr>
      <w:tblGrid>
        <w:gridCol w:w="2335"/>
        <w:gridCol w:w="1620"/>
        <w:gridCol w:w="5441"/>
      </w:tblGrid>
      <w:tr w:rsidR="00BD619B" w:rsidRPr="00D61E7E" w:rsidTr="00BD619B">
        <w:tc>
          <w:tcPr>
            <w:tcW w:w="2335" w:type="dxa"/>
            <w:shd w:val="clear" w:color="auto" w:fill="B4C6E7" w:themeFill="accent5" w:themeFillTint="66"/>
          </w:tcPr>
          <w:p w:rsidR="00BD619B" w:rsidRPr="00D61E7E" w:rsidRDefault="00D61E7E" w:rsidP="0050777C">
            <w:pPr>
              <w:pStyle w:val="Prrafodelista"/>
              <w:tabs>
                <w:tab w:val="left" w:pos="709"/>
              </w:tabs>
              <w:ind w:left="0"/>
              <w:jc w:val="center"/>
              <w:rPr>
                <w:rFonts w:ascii="Times New Roman" w:hAnsi="Times New Roman" w:cs="Times New Roman"/>
                <w:bCs/>
                <w:color w:val="000000" w:themeColor="text1"/>
                <w:sz w:val="28"/>
                <w:szCs w:val="24"/>
                <w:lang w:val="es-ES"/>
              </w:rPr>
            </w:pPr>
            <w:r w:rsidRPr="00D61E7E">
              <w:rPr>
                <w:rFonts w:ascii="Times New Roman" w:hAnsi="Times New Roman" w:cs="Times New Roman"/>
                <w:bCs/>
                <w:color w:val="000000" w:themeColor="text1"/>
                <w:sz w:val="28"/>
                <w:szCs w:val="24"/>
                <w:lang w:val="es-ES"/>
              </w:rPr>
              <w:t>Interviniente</w:t>
            </w:r>
          </w:p>
        </w:tc>
        <w:tc>
          <w:tcPr>
            <w:tcW w:w="1620" w:type="dxa"/>
            <w:shd w:val="clear" w:color="auto" w:fill="B4C6E7" w:themeFill="accent5" w:themeFillTint="66"/>
          </w:tcPr>
          <w:p w:rsidR="00BD619B" w:rsidRPr="00D61E7E" w:rsidRDefault="00D61E7E" w:rsidP="0050777C">
            <w:pPr>
              <w:pStyle w:val="Prrafodelista"/>
              <w:tabs>
                <w:tab w:val="left" w:pos="709"/>
              </w:tabs>
              <w:ind w:left="0"/>
              <w:jc w:val="center"/>
              <w:rPr>
                <w:rFonts w:ascii="Times New Roman" w:hAnsi="Times New Roman" w:cs="Times New Roman"/>
                <w:bCs/>
                <w:color w:val="000000" w:themeColor="text1"/>
                <w:sz w:val="28"/>
                <w:szCs w:val="24"/>
                <w:lang w:val="es-ES"/>
              </w:rPr>
            </w:pPr>
            <w:r w:rsidRPr="00D61E7E">
              <w:rPr>
                <w:rFonts w:ascii="Times New Roman" w:hAnsi="Times New Roman" w:cs="Times New Roman"/>
                <w:bCs/>
                <w:color w:val="000000" w:themeColor="text1"/>
                <w:sz w:val="28"/>
                <w:szCs w:val="24"/>
                <w:lang w:val="es-ES"/>
              </w:rPr>
              <w:t>Posición</w:t>
            </w:r>
          </w:p>
        </w:tc>
        <w:tc>
          <w:tcPr>
            <w:tcW w:w="5441" w:type="dxa"/>
            <w:shd w:val="clear" w:color="auto" w:fill="B4C6E7" w:themeFill="accent5" w:themeFillTint="66"/>
          </w:tcPr>
          <w:p w:rsidR="00BD619B" w:rsidRPr="00D61E7E" w:rsidRDefault="00D61E7E" w:rsidP="0050777C">
            <w:pPr>
              <w:pStyle w:val="Prrafodelista"/>
              <w:tabs>
                <w:tab w:val="left" w:pos="709"/>
              </w:tabs>
              <w:ind w:left="0"/>
              <w:jc w:val="center"/>
              <w:rPr>
                <w:rFonts w:ascii="Times New Roman" w:hAnsi="Times New Roman" w:cs="Times New Roman"/>
                <w:bCs/>
                <w:color w:val="000000" w:themeColor="text1"/>
                <w:sz w:val="28"/>
                <w:szCs w:val="24"/>
                <w:lang w:val="es-ES"/>
              </w:rPr>
            </w:pPr>
            <w:r w:rsidRPr="00D61E7E">
              <w:rPr>
                <w:rFonts w:ascii="Times New Roman" w:hAnsi="Times New Roman" w:cs="Times New Roman"/>
                <w:bCs/>
                <w:color w:val="000000" w:themeColor="text1"/>
                <w:sz w:val="28"/>
                <w:szCs w:val="24"/>
                <w:lang w:val="es-ES"/>
              </w:rPr>
              <w:t>Justificación</w:t>
            </w:r>
          </w:p>
        </w:tc>
      </w:tr>
      <w:tr w:rsidR="00BD619B" w:rsidRPr="00D61E7E" w:rsidTr="006A4C03">
        <w:tc>
          <w:tcPr>
            <w:tcW w:w="2335" w:type="dxa"/>
            <w:vAlign w:val="center"/>
          </w:tcPr>
          <w:p w:rsidR="00BD619B" w:rsidRPr="00D61E7E" w:rsidRDefault="00D61E7E" w:rsidP="00BD619B">
            <w:pPr>
              <w:pStyle w:val="Prrafodelista"/>
              <w:tabs>
                <w:tab w:val="left" w:pos="709"/>
              </w:tabs>
              <w:ind w:left="0"/>
              <w:jc w:val="center"/>
              <w:rPr>
                <w:rFonts w:ascii="Times New Roman" w:hAnsi="Times New Roman" w:cs="Times New Roman"/>
                <w:bCs/>
                <w:color w:val="000000" w:themeColor="text1"/>
                <w:sz w:val="28"/>
                <w:szCs w:val="24"/>
                <w:lang w:val="es-ES"/>
              </w:rPr>
            </w:pPr>
            <w:r w:rsidRPr="00D61E7E">
              <w:rPr>
                <w:rFonts w:ascii="Times New Roman" w:eastAsia="Times New Roman" w:hAnsi="Times New Roman" w:cs="Times New Roman"/>
                <w:sz w:val="28"/>
                <w:szCs w:val="24"/>
                <w:lang w:val="en-US"/>
              </w:rPr>
              <w:t>Universidad Externado de Colombia</w:t>
            </w:r>
          </w:p>
        </w:tc>
        <w:tc>
          <w:tcPr>
            <w:tcW w:w="1620" w:type="dxa"/>
            <w:vAlign w:val="center"/>
          </w:tcPr>
          <w:p w:rsidR="00BD619B" w:rsidRPr="00D61E7E" w:rsidRDefault="00D61E7E" w:rsidP="00BD619B">
            <w:pPr>
              <w:pStyle w:val="Prrafodelista"/>
              <w:tabs>
                <w:tab w:val="left" w:pos="709"/>
              </w:tabs>
              <w:ind w:left="0"/>
              <w:jc w:val="center"/>
              <w:rPr>
                <w:rFonts w:ascii="Times New Roman" w:hAnsi="Times New Roman" w:cs="Times New Roman"/>
                <w:bCs/>
                <w:color w:val="000000" w:themeColor="text1"/>
                <w:sz w:val="28"/>
                <w:szCs w:val="24"/>
                <w:lang w:val="es-ES"/>
              </w:rPr>
            </w:pPr>
            <w:r w:rsidRPr="00D61E7E">
              <w:rPr>
                <w:rFonts w:ascii="Times New Roman" w:eastAsia="Times New Roman" w:hAnsi="Times New Roman" w:cs="Times New Roman"/>
                <w:sz w:val="28"/>
                <w:szCs w:val="24"/>
                <w:lang w:val="en-US"/>
              </w:rPr>
              <w:t>Exequibilidad</w:t>
            </w:r>
          </w:p>
        </w:tc>
        <w:tc>
          <w:tcPr>
            <w:tcW w:w="5441" w:type="dxa"/>
            <w:vAlign w:val="center"/>
          </w:tcPr>
          <w:p w:rsidR="00BD619B" w:rsidRPr="00D61E7E" w:rsidRDefault="00D61E7E" w:rsidP="00BD619B">
            <w:pPr>
              <w:pStyle w:val="Prrafodelista"/>
              <w:tabs>
                <w:tab w:val="left" w:pos="709"/>
              </w:tabs>
              <w:ind w:left="0"/>
              <w:rPr>
                <w:rFonts w:ascii="Times New Roman" w:hAnsi="Times New Roman" w:cs="Times New Roman"/>
                <w:bCs/>
                <w:color w:val="000000" w:themeColor="text1"/>
                <w:sz w:val="28"/>
                <w:szCs w:val="24"/>
                <w:lang w:val="es-ES"/>
              </w:rPr>
            </w:pPr>
            <w:r w:rsidRPr="00D61E7E">
              <w:rPr>
                <w:rFonts w:ascii="Times New Roman" w:eastAsia="Times New Roman" w:hAnsi="Times New Roman" w:cs="Times New Roman"/>
                <w:sz w:val="28"/>
                <w:szCs w:val="24"/>
                <w:lang w:val="es-ES"/>
              </w:rPr>
              <w:t>La Superintendencia de Sociedades posee autonomía administrativa y patrimonio propio. Existe una unidad de materia funcional que permite que una sola entidad resuelva diversas controve</w:t>
            </w:r>
            <w:r w:rsidRPr="00D61E7E">
              <w:rPr>
                <w:rFonts w:ascii="Times New Roman" w:eastAsia="Times New Roman" w:hAnsi="Times New Roman" w:cs="Times New Roman"/>
                <w:sz w:val="28"/>
                <w:szCs w:val="24"/>
                <w:lang w:val="es-ES"/>
              </w:rPr>
              <w:t>rsias y trámites relacionados con sociedades comerciales.</w:t>
            </w:r>
          </w:p>
        </w:tc>
      </w:tr>
      <w:tr w:rsidR="00BD619B" w:rsidRPr="00D61E7E" w:rsidTr="006A4C03">
        <w:tc>
          <w:tcPr>
            <w:tcW w:w="2335" w:type="dxa"/>
            <w:vAlign w:val="center"/>
          </w:tcPr>
          <w:p w:rsidR="00BD619B" w:rsidRPr="00D61E7E" w:rsidRDefault="00D61E7E" w:rsidP="00BD619B">
            <w:pPr>
              <w:pStyle w:val="Prrafodelista"/>
              <w:tabs>
                <w:tab w:val="left" w:pos="709"/>
              </w:tabs>
              <w:ind w:left="0"/>
              <w:jc w:val="center"/>
              <w:rPr>
                <w:rFonts w:ascii="Times New Roman" w:eastAsia="Times New Roman" w:hAnsi="Times New Roman" w:cs="Times New Roman"/>
                <w:sz w:val="28"/>
                <w:szCs w:val="24"/>
                <w:lang w:val="en-US"/>
              </w:rPr>
            </w:pPr>
            <w:r w:rsidRPr="00D61E7E">
              <w:rPr>
                <w:rFonts w:ascii="Times New Roman" w:eastAsia="Times New Roman" w:hAnsi="Times New Roman" w:cs="Times New Roman"/>
                <w:sz w:val="28"/>
                <w:szCs w:val="24"/>
                <w:lang w:val="en-US"/>
              </w:rPr>
              <w:t>Superintendencia de Sociedades</w:t>
            </w:r>
          </w:p>
        </w:tc>
        <w:tc>
          <w:tcPr>
            <w:tcW w:w="1620" w:type="dxa"/>
            <w:vAlign w:val="center"/>
          </w:tcPr>
          <w:p w:rsidR="00BD619B" w:rsidRPr="00D61E7E" w:rsidRDefault="00D61E7E" w:rsidP="00BD619B">
            <w:pPr>
              <w:pStyle w:val="Prrafodelista"/>
              <w:tabs>
                <w:tab w:val="left" w:pos="709"/>
              </w:tabs>
              <w:ind w:left="0"/>
              <w:jc w:val="center"/>
              <w:rPr>
                <w:rFonts w:ascii="Times New Roman" w:eastAsia="Times New Roman" w:hAnsi="Times New Roman" w:cs="Times New Roman"/>
                <w:sz w:val="28"/>
                <w:szCs w:val="24"/>
                <w:lang w:val="en-US"/>
              </w:rPr>
            </w:pPr>
            <w:r w:rsidRPr="00D61E7E">
              <w:rPr>
                <w:rFonts w:ascii="Times New Roman" w:eastAsia="Times New Roman" w:hAnsi="Times New Roman" w:cs="Times New Roman"/>
                <w:sz w:val="28"/>
                <w:szCs w:val="24"/>
                <w:lang w:val="en-US"/>
              </w:rPr>
              <w:t>Exequibilidad</w:t>
            </w:r>
          </w:p>
        </w:tc>
        <w:tc>
          <w:tcPr>
            <w:tcW w:w="5441" w:type="dxa"/>
            <w:vAlign w:val="center"/>
          </w:tcPr>
          <w:p w:rsidR="00BD619B" w:rsidRPr="00D61E7E" w:rsidRDefault="00D61E7E" w:rsidP="00BD619B">
            <w:pPr>
              <w:pStyle w:val="Prrafodelista"/>
              <w:tabs>
                <w:tab w:val="left" w:pos="709"/>
              </w:tabs>
              <w:ind w:left="0"/>
              <w:rPr>
                <w:rFonts w:ascii="Times New Roman" w:eastAsia="Times New Roman" w:hAnsi="Times New Roman" w:cs="Times New Roman"/>
                <w:sz w:val="28"/>
                <w:szCs w:val="24"/>
                <w:lang w:val="es-ES"/>
              </w:rPr>
            </w:pPr>
            <w:r w:rsidRPr="00D61E7E">
              <w:rPr>
                <w:rFonts w:ascii="Times New Roman" w:eastAsia="Times New Roman" w:hAnsi="Times New Roman" w:cs="Times New Roman"/>
                <w:sz w:val="28"/>
                <w:szCs w:val="24"/>
                <w:lang w:val="es-ES"/>
              </w:rPr>
              <w:t xml:space="preserve">La transferencia de supervisión de las cámaras de comercio de la Superintendencia de Industria y Comercio a la Superintendencia de Sociedades mejora la </w:t>
            </w:r>
            <w:r w:rsidRPr="00D61E7E">
              <w:rPr>
                <w:rFonts w:ascii="Times New Roman" w:eastAsia="Times New Roman" w:hAnsi="Times New Roman" w:cs="Times New Roman"/>
                <w:sz w:val="28"/>
                <w:szCs w:val="24"/>
                <w:lang w:val="es-ES"/>
              </w:rPr>
              <w:t>eficacia y especialización en el ámbito societario.</w:t>
            </w:r>
          </w:p>
        </w:tc>
      </w:tr>
      <w:tr w:rsidR="00BD619B" w:rsidRPr="00D61E7E" w:rsidTr="006A4C03">
        <w:tc>
          <w:tcPr>
            <w:tcW w:w="2335" w:type="dxa"/>
            <w:vAlign w:val="center"/>
          </w:tcPr>
          <w:p w:rsidR="00BD619B" w:rsidRPr="00D61E7E" w:rsidRDefault="00D61E7E" w:rsidP="00BD619B">
            <w:pPr>
              <w:pStyle w:val="Prrafodelista"/>
              <w:tabs>
                <w:tab w:val="left" w:pos="709"/>
              </w:tabs>
              <w:ind w:left="0"/>
              <w:jc w:val="center"/>
              <w:rPr>
                <w:rFonts w:ascii="Times New Roman" w:eastAsia="Times New Roman" w:hAnsi="Times New Roman" w:cs="Times New Roman"/>
                <w:sz w:val="28"/>
                <w:szCs w:val="24"/>
                <w:lang w:val="es-ES"/>
              </w:rPr>
            </w:pPr>
            <w:r w:rsidRPr="00D61E7E">
              <w:rPr>
                <w:rFonts w:ascii="Times New Roman" w:eastAsia="Times New Roman" w:hAnsi="Times New Roman" w:cs="Times New Roman"/>
                <w:sz w:val="28"/>
                <w:szCs w:val="24"/>
                <w:lang w:val="es-ES"/>
              </w:rPr>
              <w:t>Ministerio de Comercio, Industria y Turismo</w:t>
            </w:r>
          </w:p>
        </w:tc>
        <w:tc>
          <w:tcPr>
            <w:tcW w:w="1620" w:type="dxa"/>
            <w:vAlign w:val="center"/>
          </w:tcPr>
          <w:p w:rsidR="00BD619B" w:rsidRPr="00D61E7E" w:rsidRDefault="00D61E7E" w:rsidP="00BD619B">
            <w:pPr>
              <w:pStyle w:val="Prrafodelista"/>
              <w:tabs>
                <w:tab w:val="left" w:pos="709"/>
              </w:tabs>
              <w:ind w:left="0"/>
              <w:jc w:val="center"/>
              <w:rPr>
                <w:rFonts w:ascii="Times New Roman" w:eastAsia="Times New Roman" w:hAnsi="Times New Roman" w:cs="Times New Roman"/>
                <w:sz w:val="28"/>
                <w:szCs w:val="24"/>
                <w:lang w:val="en-US"/>
              </w:rPr>
            </w:pPr>
            <w:r w:rsidRPr="00D61E7E">
              <w:rPr>
                <w:rFonts w:ascii="Times New Roman" w:eastAsia="Times New Roman" w:hAnsi="Times New Roman" w:cs="Times New Roman"/>
                <w:sz w:val="28"/>
                <w:szCs w:val="24"/>
                <w:lang w:val="en-US"/>
              </w:rPr>
              <w:t>Exequibilidad</w:t>
            </w:r>
          </w:p>
        </w:tc>
        <w:tc>
          <w:tcPr>
            <w:tcW w:w="5441" w:type="dxa"/>
            <w:vAlign w:val="center"/>
          </w:tcPr>
          <w:p w:rsidR="00BD619B" w:rsidRPr="00D61E7E" w:rsidRDefault="00D61E7E" w:rsidP="00BD619B">
            <w:pPr>
              <w:pStyle w:val="Prrafodelista"/>
              <w:tabs>
                <w:tab w:val="left" w:pos="709"/>
              </w:tabs>
              <w:ind w:left="0"/>
              <w:rPr>
                <w:rFonts w:ascii="Times New Roman" w:eastAsia="Times New Roman" w:hAnsi="Times New Roman" w:cs="Times New Roman"/>
                <w:sz w:val="28"/>
                <w:szCs w:val="24"/>
                <w:lang w:val="es-ES"/>
              </w:rPr>
            </w:pPr>
            <w:r w:rsidRPr="00D61E7E">
              <w:rPr>
                <w:rFonts w:ascii="Times New Roman" w:eastAsia="Times New Roman" w:hAnsi="Times New Roman" w:cs="Times New Roman"/>
                <w:sz w:val="28"/>
                <w:szCs w:val="24"/>
                <w:lang w:val="es-ES"/>
              </w:rPr>
              <w:t>La norma busca fomentar el emprendimiento y el crecimiento empresarial en Colombia. La Superintendencia de Sociedades está mejor equipada para su</w:t>
            </w:r>
            <w:r w:rsidRPr="00D61E7E">
              <w:rPr>
                <w:rFonts w:ascii="Times New Roman" w:eastAsia="Times New Roman" w:hAnsi="Times New Roman" w:cs="Times New Roman"/>
                <w:sz w:val="28"/>
                <w:szCs w:val="24"/>
                <w:lang w:val="es-ES"/>
              </w:rPr>
              <w:t>pervisar las actividades relacionadas con el emprendimiento.</w:t>
            </w:r>
          </w:p>
        </w:tc>
      </w:tr>
      <w:tr w:rsidR="00BD619B" w:rsidRPr="00D61E7E" w:rsidTr="006A4C03">
        <w:tc>
          <w:tcPr>
            <w:tcW w:w="2335" w:type="dxa"/>
            <w:vAlign w:val="center"/>
          </w:tcPr>
          <w:p w:rsidR="00BD619B" w:rsidRPr="00D61E7E" w:rsidRDefault="00D61E7E" w:rsidP="00BD619B">
            <w:pPr>
              <w:pStyle w:val="Prrafodelista"/>
              <w:tabs>
                <w:tab w:val="left" w:pos="709"/>
              </w:tabs>
              <w:ind w:left="0"/>
              <w:jc w:val="center"/>
              <w:rPr>
                <w:rFonts w:ascii="Times New Roman" w:eastAsia="Times New Roman" w:hAnsi="Times New Roman" w:cs="Times New Roman"/>
                <w:sz w:val="28"/>
                <w:szCs w:val="24"/>
                <w:lang w:val="es-ES"/>
              </w:rPr>
            </w:pPr>
            <w:r w:rsidRPr="00D61E7E">
              <w:rPr>
                <w:rFonts w:ascii="Times New Roman" w:eastAsia="Times New Roman" w:hAnsi="Times New Roman" w:cs="Times New Roman"/>
                <w:sz w:val="28"/>
                <w:szCs w:val="24"/>
                <w:lang w:val="es-ES"/>
              </w:rPr>
              <w:t>Dirección de Impuestos y Aduanas Nacionales</w:t>
            </w:r>
          </w:p>
        </w:tc>
        <w:tc>
          <w:tcPr>
            <w:tcW w:w="1620" w:type="dxa"/>
            <w:vAlign w:val="center"/>
          </w:tcPr>
          <w:p w:rsidR="00BD619B" w:rsidRPr="00D61E7E" w:rsidRDefault="00D61E7E" w:rsidP="00BD619B">
            <w:pPr>
              <w:pStyle w:val="Prrafodelista"/>
              <w:tabs>
                <w:tab w:val="left" w:pos="709"/>
              </w:tabs>
              <w:ind w:left="0"/>
              <w:jc w:val="center"/>
              <w:rPr>
                <w:rFonts w:ascii="Times New Roman" w:eastAsia="Times New Roman" w:hAnsi="Times New Roman" w:cs="Times New Roman"/>
                <w:sz w:val="28"/>
                <w:szCs w:val="24"/>
                <w:lang w:val="en-US"/>
              </w:rPr>
            </w:pPr>
            <w:r w:rsidRPr="00D61E7E">
              <w:rPr>
                <w:rFonts w:ascii="Times New Roman" w:eastAsia="Times New Roman" w:hAnsi="Times New Roman" w:cs="Times New Roman"/>
                <w:sz w:val="28"/>
                <w:szCs w:val="24"/>
                <w:lang w:val="en-US"/>
              </w:rPr>
              <w:t>Exequibilidad</w:t>
            </w:r>
          </w:p>
        </w:tc>
        <w:tc>
          <w:tcPr>
            <w:tcW w:w="5441" w:type="dxa"/>
            <w:vAlign w:val="center"/>
          </w:tcPr>
          <w:p w:rsidR="00BD619B" w:rsidRPr="00D61E7E" w:rsidRDefault="00D61E7E" w:rsidP="00BD619B">
            <w:pPr>
              <w:pStyle w:val="Prrafodelista"/>
              <w:tabs>
                <w:tab w:val="left" w:pos="709"/>
              </w:tabs>
              <w:ind w:left="0"/>
              <w:rPr>
                <w:rFonts w:ascii="Times New Roman" w:eastAsia="Times New Roman" w:hAnsi="Times New Roman" w:cs="Times New Roman"/>
                <w:sz w:val="28"/>
                <w:szCs w:val="24"/>
                <w:lang w:val="es-ES"/>
              </w:rPr>
            </w:pPr>
            <w:r w:rsidRPr="00D61E7E">
              <w:rPr>
                <w:rFonts w:ascii="Times New Roman" w:eastAsia="Times New Roman" w:hAnsi="Times New Roman" w:cs="Times New Roman"/>
                <w:sz w:val="28"/>
                <w:szCs w:val="24"/>
                <w:lang w:val="es-ES"/>
              </w:rPr>
              <w:t xml:space="preserve">Las inspecciones tributarias virtuales mejoran la eficiencia administrativa y reducen la carga económica para los contribuyentes. La </w:t>
            </w:r>
            <w:r w:rsidRPr="00D61E7E">
              <w:rPr>
                <w:rFonts w:ascii="Times New Roman" w:eastAsia="Times New Roman" w:hAnsi="Times New Roman" w:cs="Times New Roman"/>
                <w:sz w:val="28"/>
                <w:szCs w:val="24"/>
                <w:lang w:val="es-ES"/>
              </w:rPr>
              <w:t>Ley</w:t>
            </w:r>
            <w:r w:rsidRPr="00D61E7E">
              <w:rPr>
                <w:rFonts w:ascii="Times New Roman" w:eastAsia="Times New Roman" w:hAnsi="Times New Roman" w:cs="Times New Roman"/>
                <w:sz w:val="28"/>
                <w:szCs w:val="24"/>
                <w:lang w:val="es-ES"/>
              </w:rPr>
              <w:t xml:space="preserve"> 2069 de 2020</w:t>
            </w:r>
            <w:r w:rsidRPr="00D61E7E">
              <w:rPr>
                <w:rFonts w:ascii="Times New Roman" w:eastAsia="Times New Roman" w:hAnsi="Times New Roman" w:cs="Times New Roman"/>
                <w:sz w:val="28"/>
                <w:szCs w:val="24"/>
                <w:lang w:val="es-ES"/>
              </w:rPr>
              <w:t xml:space="preserve"> promueve el desarrollo económico y la participación en el mercado.</w:t>
            </w:r>
          </w:p>
        </w:tc>
      </w:tr>
      <w:tr w:rsidR="00BD619B" w:rsidRPr="00D61E7E" w:rsidTr="006A4C03">
        <w:tc>
          <w:tcPr>
            <w:tcW w:w="2335" w:type="dxa"/>
            <w:vAlign w:val="center"/>
          </w:tcPr>
          <w:p w:rsidR="00BD619B" w:rsidRPr="00D61E7E" w:rsidRDefault="00D61E7E" w:rsidP="00BD619B">
            <w:pPr>
              <w:pStyle w:val="Prrafodelista"/>
              <w:tabs>
                <w:tab w:val="left" w:pos="709"/>
              </w:tabs>
              <w:ind w:left="0"/>
              <w:jc w:val="center"/>
              <w:rPr>
                <w:rFonts w:ascii="Times New Roman" w:eastAsia="Times New Roman" w:hAnsi="Times New Roman" w:cs="Times New Roman"/>
                <w:sz w:val="28"/>
                <w:szCs w:val="24"/>
                <w:lang w:val="es-ES"/>
              </w:rPr>
            </w:pPr>
            <w:r w:rsidRPr="00D61E7E">
              <w:rPr>
                <w:rFonts w:ascii="Times New Roman" w:eastAsia="Times New Roman" w:hAnsi="Times New Roman" w:cs="Times New Roman"/>
                <w:sz w:val="28"/>
                <w:szCs w:val="24"/>
                <w:lang w:val="en-US"/>
              </w:rPr>
              <w:t>Universidad del Norte</w:t>
            </w:r>
          </w:p>
        </w:tc>
        <w:tc>
          <w:tcPr>
            <w:tcW w:w="1620" w:type="dxa"/>
            <w:vAlign w:val="center"/>
          </w:tcPr>
          <w:p w:rsidR="00BD619B" w:rsidRPr="00D61E7E" w:rsidRDefault="00D61E7E" w:rsidP="00BD619B">
            <w:pPr>
              <w:pStyle w:val="Prrafodelista"/>
              <w:tabs>
                <w:tab w:val="left" w:pos="709"/>
              </w:tabs>
              <w:ind w:left="0"/>
              <w:jc w:val="center"/>
              <w:rPr>
                <w:rFonts w:ascii="Times New Roman" w:eastAsia="Times New Roman" w:hAnsi="Times New Roman" w:cs="Times New Roman"/>
                <w:sz w:val="28"/>
                <w:szCs w:val="24"/>
                <w:lang w:val="en-US"/>
              </w:rPr>
            </w:pPr>
            <w:r w:rsidRPr="00D61E7E">
              <w:rPr>
                <w:rFonts w:ascii="Times New Roman" w:eastAsia="Times New Roman" w:hAnsi="Times New Roman" w:cs="Times New Roman"/>
                <w:sz w:val="28"/>
                <w:szCs w:val="24"/>
                <w:lang w:val="en-US"/>
              </w:rPr>
              <w:t>Exequibilidad</w:t>
            </w:r>
          </w:p>
        </w:tc>
        <w:tc>
          <w:tcPr>
            <w:tcW w:w="5441" w:type="dxa"/>
            <w:vAlign w:val="center"/>
          </w:tcPr>
          <w:p w:rsidR="00BD619B" w:rsidRPr="00D61E7E" w:rsidRDefault="00D61E7E" w:rsidP="00BD619B">
            <w:pPr>
              <w:pStyle w:val="Prrafodelista"/>
              <w:tabs>
                <w:tab w:val="left" w:pos="709"/>
              </w:tabs>
              <w:ind w:left="0"/>
              <w:rPr>
                <w:rFonts w:ascii="Times New Roman" w:eastAsia="Times New Roman" w:hAnsi="Times New Roman" w:cs="Times New Roman"/>
                <w:sz w:val="28"/>
                <w:szCs w:val="24"/>
                <w:lang w:val="es-ES"/>
              </w:rPr>
            </w:pPr>
            <w:r w:rsidRPr="00D61E7E">
              <w:rPr>
                <w:rFonts w:ascii="Times New Roman" w:eastAsia="Times New Roman" w:hAnsi="Times New Roman" w:cs="Times New Roman"/>
                <w:sz w:val="28"/>
                <w:szCs w:val="24"/>
                <w:lang w:val="es-ES"/>
              </w:rPr>
              <w:t xml:space="preserve">La ley busca mejorar la coordinación y eficacia en las políticas de emprendimiento. Delegar funciones de inspección a la Superintendencia </w:t>
            </w:r>
            <w:r w:rsidRPr="00D61E7E">
              <w:rPr>
                <w:rFonts w:ascii="Times New Roman" w:eastAsia="Times New Roman" w:hAnsi="Times New Roman" w:cs="Times New Roman"/>
                <w:sz w:val="28"/>
                <w:szCs w:val="24"/>
                <w:lang w:val="es-ES"/>
              </w:rPr>
              <w:t>de Sociedades evita duplicaciones y mejora la eficiencia en el apoyo a emprendedores y Mipymes.</w:t>
            </w:r>
          </w:p>
        </w:tc>
      </w:tr>
      <w:tr w:rsidR="00BD619B" w:rsidRPr="00D61E7E" w:rsidTr="006A4C03">
        <w:tc>
          <w:tcPr>
            <w:tcW w:w="2335" w:type="dxa"/>
            <w:vAlign w:val="center"/>
          </w:tcPr>
          <w:p w:rsidR="00BD619B" w:rsidRPr="00D61E7E" w:rsidRDefault="00D61E7E" w:rsidP="00BD619B">
            <w:pPr>
              <w:pStyle w:val="Prrafodelista"/>
              <w:tabs>
                <w:tab w:val="left" w:pos="709"/>
              </w:tabs>
              <w:ind w:left="0"/>
              <w:jc w:val="center"/>
              <w:rPr>
                <w:rFonts w:ascii="Times New Roman" w:eastAsia="Times New Roman" w:hAnsi="Times New Roman" w:cs="Times New Roman"/>
                <w:sz w:val="28"/>
                <w:szCs w:val="24"/>
                <w:lang w:val="es-ES"/>
              </w:rPr>
            </w:pPr>
            <w:r w:rsidRPr="00D61E7E">
              <w:rPr>
                <w:rFonts w:ascii="Times New Roman" w:eastAsia="Times New Roman" w:hAnsi="Times New Roman" w:cs="Times New Roman"/>
                <w:sz w:val="28"/>
                <w:szCs w:val="24"/>
                <w:lang w:val="es-ES"/>
              </w:rPr>
              <w:t>Superintendencia de Industria y Comercio</w:t>
            </w:r>
          </w:p>
        </w:tc>
        <w:tc>
          <w:tcPr>
            <w:tcW w:w="1620" w:type="dxa"/>
            <w:vAlign w:val="center"/>
          </w:tcPr>
          <w:p w:rsidR="00BD619B" w:rsidRPr="00D61E7E" w:rsidRDefault="00D61E7E" w:rsidP="00BD619B">
            <w:pPr>
              <w:pStyle w:val="Prrafodelista"/>
              <w:tabs>
                <w:tab w:val="left" w:pos="709"/>
              </w:tabs>
              <w:ind w:left="0"/>
              <w:jc w:val="center"/>
              <w:rPr>
                <w:rFonts w:ascii="Times New Roman" w:eastAsia="Times New Roman" w:hAnsi="Times New Roman" w:cs="Times New Roman"/>
                <w:sz w:val="28"/>
                <w:szCs w:val="24"/>
                <w:lang w:val="en-US"/>
              </w:rPr>
            </w:pPr>
            <w:r w:rsidRPr="00D61E7E">
              <w:rPr>
                <w:rFonts w:ascii="Times New Roman" w:eastAsia="Times New Roman" w:hAnsi="Times New Roman" w:cs="Times New Roman"/>
                <w:sz w:val="28"/>
                <w:szCs w:val="24"/>
                <w:lang w:val="en-US"/>
              </w:rPr>
              <w:t>Inhibida</w:t>
            </w:r>
          </w:p>
        </w:tc>
        <w:tc>
          <w:tcPr>
            <w:tcW w:w="5441" w:type="dxa"/>
            <w:vAlign w:val="center"/>
          </w:tcPr>
          <w:p w:rsidR="00BD619B" w:rsidRPr="00D61E7E" w:rsidRDefault="00D61E7E" w:rsidP="00BD619B">
            <w:pPr>
              <w:pStyle w:val="Prrafodelista"/>
              <w:tabs>
                <w:tab w:val="left" w:pos="709"/>
              </w:tabs>
              <w:ind w:left="0"/>
              <w:rPr>
                <w:rFonts w:ascii="Times New Roman" w:eastAsia="Times New Roman" w:hAnsi="Times New Roman" w:cs="Times New Roman"/>
                <w:sz w:val="28"/>
                <w:szCs w:val="24"/>
                <w:lang w:val="es-ES"/>
              </w:rPr>
            </w:pPr>
            <w:r w:rsidRPr="00D61E7E">
              <w:rPr>
                <w:rFonts w:ascii="Times New Roman" w:eastAsia="Times New Roman" w:hAnsi="Times New Roman" w:cs="Times New Roman"/>
                <w:sz w:val="28"/>
                <w:szCs w:val="24"/>
                <w:lang w:val="es-ES"/>
              </w:rPr>
              <w:t xml:space="preserve">La demanda no cumple con el requisito de claridad. Por otra parte, la </w:t>
            </w:r>
            <w:r w:rsidRPr="00D61E7E">
              <w:rPr>
                <w:rFonts w:ascii="Times New Roman" w:eastAsia="Times New Roman" w:hAnsi="Times New Roman" w:cs="Times New Roman"/>
                <w:sz w:val="28"/>
                <w:szCs w:val="24"/>
                <w:lang w:val="es-ES"/>
              </w:rPr>
              <w:t>Ley 2069 de 2020</w:t>
            </w:r>
            <w:r w:rsidRPr="00D61E7E">
              <w:rPr>
                <w:rFonts w:ascii="Times New Roman" w:eastAsia="Times New Roman" w:hAnsi="Times New Roman" w:cs="Times New Roman"/>
                <w:sz w:val="28"/>
                <w:szCs w:val="24"/>
                <w:lang w:val="es-ES"/>
              </w:rPr>
              <w:t xml:space="preserve"> tiene como eje principal el impulso al emprendimiento en Colombia. La normativa refleja una unidad de materia al dirigirse hacia la mejora del entorno empresarial colombiano.</w:t>
            </w:r>
          </w:p>
        </w:tc>
      </w:tr>
      <w:tr w:rsidR="00BD619B" w:rsidRPr="00D61E7E" w:rsidTr="006A4C03">
        <w:tc>
          <w:tcPr>
            <w:tcW w:w="2335" w:type="dxa"/>
            <w:vAlign w:val="center"/>
          </w:tcPr>
          <w:p w:rsidR="00BD619B" w:rsidRPr="00D61E7E" w:rsidRDefault="00D61E7E" w:rsidP="00BD619B">
            <w:pPr>
              <w:pStyle w:val="Prrafodelista"/>
              <w:tabs>
                <w:tab w:val="left" w:pos="709"/>
              </w:tabs>
              <w:ind w:left="0"/>
              <w:jc w:val="center"/>
              <w:rPr>
                <w:rFonts w:ascii="Times New Roman" w:eastAsia="Times New Roman" w:hAnsi="Times New Roman" w:cs="Times New Roman"/>
                <w:sz w:val="28"/>
                <w:szCs w:val="24"/>
                <w:lang w:val="es-ES"/>
              </w:rPr>
            </w:pPr>
            <w:r w:rsidRPr="00D61E7E">
              <w:rPr>
                <w:rFonts w:ascii="Times New Roman" w:eastAsia="Times New Roman" w:hAnsi="Times New Roman" w:cs="Times New Roman"/>
                <w:sz w:val="28"/>
                <w:szCs w:val="24"/>
                <w:lang w:val="es-ES"/>
              </w:rPr>
              <w:t>Universidad Javeriana y la Corporación Excelencia en la Justicia</w:t>
            </w:r>
          </w:p>
        </w:tc>
        <w:tc>
          <w:tcPr>
            <w:tcW w:w="1620" w:type="dxa"/>
            <w:vAlign w:val="center"/>
          </w:tcPr>
          <w:p w:rsidR="00BD619B" w:rsidRPr="00D61E7E" w:rsidRDefault="00D61E7E" w:rsidP="00BD619B">
            <w:pPr>
              <w:pStyle w:val="Prrafodelista"/>
              <w:tabs>
                <w:tab w:val="left" w:pos="709"/>
              </w:tabs>
              <w:ind w:left="0"/>
              <w:jc w:val="center"/>
              <w:rPr>
                <w:rFonts w:ascii="Times New Roman" w:eastAsia="Times New Roman" w:hAnsi="Times New Roman" w:cs="Times New Roman"/>
                <w:sz w:val="28"/>
                <w:szCs w:val="24"/>
                <w:lang w:val="en-US"/>
              </w:rPr>
            </w:pPr>
            <w:r w:rsidRPr="00D61E7E">
              <w:rPr>
                <w:rFonts w:ascii="Times New Roman" w:eastAsia="Times New Roman" w:hAnsi="Times New Roman" w:cs="Times New Roman"/>
                <w:sz w:val="28"/>
                <w:szCs w:val="24"/>
                <w:lang w:val="en-US"/>
              </w:rPr>
              <w:t>Inxequibilidad</w:t>
            </w:r>
            <w:r w:rsidRPr="00D61E7E">
              <w:rPr>
                <w:rFonts w:ascii="Times New Roman" w:eastAsia="Times New Roman" w:hAnsi="Times New Roman" w:cs="Times New Roman"/>
                <w:sz w:val="28"/>
                <w:szCs w:val="24"/>
                <w:lang w:val="en-US"/>
              </w:rPr>
              <w:t xml:space="preserve"> parcial</w:t>
            </w:r>
          </w:p>
        </w:tc>
        <w:tc>
          <w:tcPr>
            <w:tcW w:w="5441" w:type="dxa"/>
            <w:vAlign w:val="center"/>
          </w:tcPr>
          <w:p w:rsidR="00BD619B" w:rsidRPr="00D61E7E" w:rsidRDefault="00D61E7E" w:rsidP="00BD619B">
            <w:pPr>
              <w:pStyle w:val="Prrafodelista"/>
              <w:tabs>
                <w:tab w:val="left" w:pos="709"/>
              </w:tabs>
              <w:ind w:left="0"/>
              <w:rPr>
                <w:rFonts w:ascii="Times New Roman" w:eastAsia="Times New Roman" w:hAnsi="Times New Roman" w:cs="Times New Roman"/>
                <w:sz w:val="28"/>
                <w:szCs w:val="24"/>
                <w:lang w:val="es-ES"/>
              </w:rPr>
            </w:pPr>
            <w:r w:rsidRPr="00D61E7E">
              <w:rPr>
                <w:rFonts w:ascii="Times New Roman" w:eastAsia="Times New Roman" w:hAnsi="Times New Roman" w:cs="Times New Roman"/>
                <w:sz w:val="28"/>
                <w:szCs w:val="24"/>
                <w:lang w:val="es-ES"/>
              </w:rPr>
              <w:t xml:space="preserve">La </w:t>
            </w:r>
            <w:r w:rsidRPr="00D61E7E">
              <w:rPr>
                <w:rFonts w:ascii="Times New Roman" w:eastAsia="Times New Roman" w:hAnsi="Times New Roman" w:cs="Times New Roman"/>
                <w:sz w:val="28"/>
                <w:szCs w:val="24"/>
                <w:lang w:val="es-ES"/>
              </w:rPr>
              <w:t>Ley 2069 de 2020</w:t>
            </w:r>
            <w:r w:rsidRPr="00D61E7E">
              <w:rPr>
                <w:rFonts w:ascii="Times New Roman" w:eastAsia="Times New Roman" w:hAnsi="Times New Roman" w:cs="Times New Roman"/>
                <w:sz w:val="28"/>
                <w:szCs w:val="24"/>
                <w:lang w:val="es-ES"/>
              </w:rPr>
              <w:t xml:space="preserve"> busca fortalecer el marco institucional para el desarrollo económico y la equidad en el país. Existe una relación directa entre los objetivos de la ley y los cambios introducidos por los artículos 70 y 73. Sin embargo los incis</w:t>
            </w:r>
            <w:r w:rsidRPr="00D61E7E">
              <w:rPr>
                <w:rFonts w:ascii="Times New Roman" w:eastAsia="Times New Roman" w:hAnsi="Times New Roman" w:cs="Times New Roman"/>
                <w:sz w:val="28"/>
                <w:szCs w:val="24"/>
                <w:lang w:val="es-ES"/>
              </w:rPr>
              <w:t xml:space="preserve">os dos y tres del artículo 70 vulneran el principio de </w:t>
            </w:r>
            <w:r w:rsidRPr="00D61E7E">
              <w:rPr>
                <w:rFonts w:ascii="Times New Roman" w:eastAsia="Times New Roman" w:hAnsi="Times New Roman" w:cs="Times New Roman"/>
                <w:sz w:val="28"/>
                <w:szCs w:val="24"/>
                <w:lang w:val="es-ES"/>
              </w:rPr>
              <w:t>c</w:t>
            </w:r>
            <w:r w:rsidRPr="00D61E7E">
              <w:rPr>
                <w:rFonts w:ascii="Times New Roman" w:eastAsia="Times New Roman" w:hAnsi="Times New Roman" w:cs="Times New Roman"/>
                <w:sz w:val="28"/>
                <w:szCs w:val="24"/>
                <w:lang w:val="es-ES"/>
              </w:rPr>
              <w:t>erteza tributaria contenido en el artículo 338 de la Carta y el de consecutividad desarrollado en el artículo 157 de la Constitución.</w:t>
            </w:r>
          </w:p>
        </w:tc>
      </w:tr>
      <w:tr w:rsidR="00BD619B" w:rsidRPr="00D61E7E" w:rsidTr="006A4C03">
        <w:tc>
          <w:tcPr>
            <w:tcW w:w="2335" w:type="dxa"/>
            <w:vAlign w:val="center"/>
          </w:tcPr>
          <w:p w:rsidR="00BD619B" w:rsidRPr="00D61E7E" w:rsidRDefault="00D61E7E" w:rsidP="00BD619B">
            <w:pPr>
              <w:pStyle w:val="Prrafodelista"/>
              <w:tabs>
                <w:tab w:val="left" w:pos="709"/>
              </w:tabs>
              <w:ind w:left="0"/>
              <w:jc w:val="center"/>
              <w:rPr>
                <w:rFonts w:ascii="Times New Roman" w:eastAsia="Times New Roman" w:hAnsi="Times New Roman" w:cs="Times New Roman"/>
                <w:sz w:val="28"/>
                <w:szCs w:val="24"/>
                <w:lang w:val="es-ES"/>
              </w:rPr>
            </w:pPr>
            <w:r w:rsidRPr="00D61E7E">
              <w:rPr>
                <w:rFonts w:ascii="Times New Roman" w:eastAsia="Times New Roman" w:hAnsi="Times New Roman" w:cs="Times New Roman"/>
                <w:sz w:val="28"/>
                <w:szCs w:val="24"/>
                <w:lang w:val="es-ES"/>
              </w:rPr>
              <w:t>Procuradora General de la Nación</w:t>
            </w:r>
          </w:p>
        </w:tc>
        <w:tc>
          <w:tcPr>
            <w:tcW w:w="1620" w:type="dxa"/>
            <w:vAlign w:val="center"/>
          </w:tcPr>
          <w:p w:rsidR="00BD619B" w:rsidRPr="00D61E7E" w:rsidRDefault="00D61E7E" w:rsidP="00BD619B">
            <w:pPr>
              <w:pStyle w:val="Prrafodelista"/>
              <w:tabs>
                <w:tab w:val="left" w:pos="709"/>
              </w:tabs>
              <w:ind w:left="0"/>
              <w:jc w:val="center"/>
              <w:rPr>
                <w:rFonts w:ascii="Times New Roman" w:eastAsia="Times New Roman" w:hAnsi="Times New Roman" w:cs="Times New Roman"/>
                <w:sz w:val="28"/>
                <w:szCs w:val="24"/>
                <w:lang w:val="en-US"/>
              </w:rPr>
            </w:pPr>
            <w:r w:rsidRPr="00D61E7E">
              <w:rPr>
                <w:rFonts w:ascii="Times New Roman" w:eastAsia="Times New Roman" w:hAnsi="Times New Roman" w:cs="Times New Roman"/>
                <w:sz w:val="28"/>
                <w:szCs w:val="24"/>
                <w:lang w:val="en-US"/>
              </w:rPr>
              <w:t>Exequibilidad</w:t>
            </w:r>
          </w:p>
        </w:tc>
        <w:tc>
          <w:tcPr>
            <w:tcW w:w="5441" w:type="dxa"/>
            <w:vAlign w:val="center"/>
          </w:tcPr>
          <w:p w:rsidR="00BD619B" w:rsidRPr="00D61E7E" w:rsidRDefault="00D61E7E" w:rsidP="00BD619B">
            <w:pPr>
              <w:pStyle w:val="Prrafodelista"/>
              <w:tabs>
                <w:tab w:val="left" w:pos="709"/>
              </w:tabs>
              <w:ind w:left="0"/>
              <w:rPr>
                <w:rFonts w:ascii="Times New Roman" w:eastAsia="Times New Roman" w:hAnsi="Times New Roman" w:cs="Times New Roman"/>
                <w:sz w:val="28"/>
                <w:szCs w:val="24"/>
                <w:lang w:val="es-ES"/>
              </w:rPr>
            </w:pPr>
            <w:r w:rsidRPr="00D61E7E">
              <w:rPr>
                <w:rFonts w:ascii="Times New Roman" w:eastAsia="Times New Roman" w:hAnsi="Times New Roman" w:cs="Times New Roman"/>
                <w:sz w:val="28"/>
                <w:szCs w:val="24"/>
                <w:lang w:val="es-ES"/>
              </w:rPr>
              <w:t xml:space="preserve">La ley tiene como </w:t>
            </w:r>
            <w:r w:rsidRPr="00D61E7E">
              <w:rPr>
                <w:rFonts w:ascii="Times New Roman" w:eastAsia="Times New Roman" w:hAnsi="Times New Roman" w:cs="Times New Roman"/>
                <w:sz w:val="28"/>
                <w:szCs w:val="24"/>
                <w:lang w:val="es-ES"/>
              </w:rPr>
              <w:t>objeto codificar un marco regulatorio que propicia el emprendimiento y el crecimiento empresarial. Las disposiciones se promulgaron con la finalidad de resolver problemas identificados por estudios técnicos.</w:t>
            </w:r>
          </w:p>
        </w:tc>
      </w:tr>
    </w:tbl>
    <w:p w:rsidR="00BD619B" w:rsidRPr="00D61E7E" w:rsidRDefault="00D61E7E" w:rsidP="00BD619B">
      <w:pPr>
        <w:rPr>
          <w:rFonts w:ascii="Times New Roman" w:hAnsi="Times New Roman" w:cs="Times New Roman"/>
          <w:color w:val="000000" w:themeColor="text1"/>
          <w:sz w:val="28"/>
          <w:lang w:val="es-ES" w:eastAsia="es-MX"/>
        </w:rPr>
      </w:pPr>
      <w:r w:rsidRPr="00D61E7E">
        <w:rPr>
          <w:rFonts w:ascii="Times New Roman" w:hAnsi="Times New Roman" w:cs="Times New Roman"/>
          <w:color w:val="000000" w:themeColor="text1"/>
          <w:sz w:val="28"/>
          <w:lang w:val="es-ES" w:eastAsia="es-MX"/>
        </w:rPr>
        <w:t>Fuente: elaboración propia del despacho de la m</w:t>
      </w:r>
      <w:r w:rsidRPr="00D61E7E">
        <w:rPr>
          <w:rFonts w:ascii="Times New Roman" w:hAnsi="Times New Roman" w:cs="Times New Roman"/>
          <w:color w:val="000000" w:themeColor="text1"/>
          <w:sz w:val="28"/>
          <w:lang w:val="es-ES" w:eastAsia="es-MX"/>
        </w:rPr>
        <w:t xml:space="preserve">agistrada sustanciadora. </w:t>
      </w:r>
    </w:p>
    <w:p w:rsidR="00BD619B" w:rsidRPr="00D61E7E" w:rsidRDefault="00D61E7E" w:rsidP="007811E8">
      <w:pPr>
        <w:pStyle w:val="Prrafodelista"/>
        <w:tabs>
          <w:tab w:val="left" w:pos="709"/>
        </w:tabs>
        <w:ind w:left="0"/>
        <w:rPr>
          <w:rFonts w:ascii="Times New Roman" w:eastAsia="Times New Roman" w:hAnsi="Times New Roman" w:cs="Times New Roman"/>
          <w:b/>
          <w:bCs/>
          <w:color w:val="000000" w:themeColor="text1"/>
          <w:sz w:val="28"/>
          <w:szCs w:val="28"/>
          <w:lang w:eastAsia="es-MX"/>
        </w:rPr>
      </w:pPr>
    </w:p>
    <w:p w:rsidR="00E17520" w:rsidRPr="00D61E7E" w:rsidRDefault="00D61E7E" w:rsidP="00E17520">
      <w:pPr>
        <w:shd w:val="clear" w:color="auto" w:fill="FFFFFF"/>
        <w:ind w:left="720" w:hanging="720"/>
        <w:rPr>
          <w:rFonts w:ascii="Times New Roman" w:hAnsi="Times New Roman" w:cs="Times New Roman"/>
          <w:color w:val="000000" w:themeColor="text1"/>
          <w:sz w:val="28"/>
          <w:szCs w:val="28"/>
          <w:lang w:eastAsia="es-MX"/>
        </w:rPr>
      </w:pPr>
      <w:r w:rsidRPr="00D61E7E">
        <w:rPr>
          <w:rFonts w:ascii="Times New Roman" w:hAnsi="Times New Roman" w:cs="Times New Roman"/>
          <w:b/>
          <w:bCs/>
          <w:color w:val="000000" w:themeColor="text1"/>
          <w:sz w:val="28"/>
          <w:szCs w:val="28"/>
          <w:lang w:eastAsia="es-MX"/>
        </w:rPr>
        <w:t xml:space="preserve">VI. </w:t>
      </w:r>
      <w:r w:rsidRPr="00D61E7E">
        <w:rPr>
          <w:rFonts w:ascii="Times New Roman" w:hAnsi="Times New Roman" w:cs="Times New Roman"/>
          <w:b/>
          <w:bCs/>
          <w:color w:val="000000" w:themeColor="text1"/>
          <w:sz w:val="28"/>
          <w:szCs w:val="28"/>
          <w:lang w:eastAsia="es-MX"/>
        </w:rPr>
        <w:t>CONSIDERACIONES</w:t>
      </w:r>
    </w:p>
    <w:p w:rsidR="00E17520" w:rsidRPr="00D61E7E" w:rsidRDefault="00D61E7E" w:rsidP="00E17520">
      <w:pPr>
        <w:shd w:val="clear" w:color="auto" w:fill="FFFFFF"/>
        <w:rPr>
          <w:rFonts w:ascii="Times New Roman" w:hAnsi="Times New Roman" w:cs="Times New Roman"/>
          <w:color w:val="000000" w:themeColor="text1"/>
          <w:sz w:val="28"/>
          <w:szCs w:val="28"/>
          <w:lang w:eastAsia="es-MX"/>
        </w:rPr>
      </w:pPr>
      <w:r w:rsidRPr="00D61E7E">
        <w:rPr>
          <w:rFonts w:ascii="Times New Roman" w:hAnsi="Times New Roman" w:cs="Times New Roman"/>
          <w:b/>
          <w:bCs/>
          <w:color w:val="000000" w:themeColor="text1"/>
          <w:sz w:val="28"/>
          <w:szCs w:val="28"/>
          <w:lang w:eastAsia="es-MX"/>
        </w:rPr>
        <w:t> </w:t>
      </w:r>
    </w:p>
    <w:p w:rsidR="00E17520" w:rsidRPr="00D61E7E" w:rsidRDefault="00D61E7E" w:rsidP="00E17520">
      <w:pPr>
        <w:shd w:val="clear" w:color="auto" w:fill="FFFFFF"/>
        <w:rPr>
          <w:rFonts w:ascii="Times New Roman" w:hAnsi="Times New Roman" w:cs="Times New Roman"/>
          <w:color w:val="000000" w:themeColor="text1"/>
          <w:sz w:val="28"/>
          <w:szCs w:val="28"/>
          <w:lang w:eastAsia="es-MX"/>
        </w:rPr>
      </w:pPr>
      <w:r w:rsidRPr="00D61E7E">
        <w:rPr>
          <w:rFonts w:ascii="Times New Roman" w:hAnsi="Times New Roman" w:cs="Times New Roman"/>
          <w:b/>
          <w:bCs/>
          <w:color w:val="000000" w:themeColor="text1"/>
          <w:sz w:val="28"/>
          <w:szCs w:val="28"/>
          <w:lang w:eastAsia="es-MX"/>
        </w:rPr>
        <w:t>Competencia</w:t>
      </w:r>
    </w:p>
    <w:p w:rsidR="00F24FF9" w:rsidRPr="00D61E7E" w:rsidRDefault="00D61E7E" w:rsidP="00F24FF9">
      <w:pPr>
        <w:shd w:val="clear" w:color="auto" w:fill="FFFFFF"/>
        <w:rPr>
          <w:rFonts w:ascii="Times New Roman" w:hAnsi="Times New Roman" w:cs="Times New Roman"/>
          <w:color w:val="000000" w:themeColor="text1"/>
          <w:sz w:val="28"/>
          <w:szCs w:val="28"/>
          <w:lang w:eastAsia="es-MX"/>
        </w:rPr>
      </w:pPr>
      <w:r w:rsidRPr="00D61E7E">
        <w:rPr>
          <w:rFonts w:ascii="Times New Roman" w:hAnsi="Times New Roman" w:cs="Times New Roman"/>
          <w:color w:val="000000" w:themeColor="text1"/>
          <w:sz w:val="28"/>
          <w:szCs w:val="28"/>
          <w:lang w:eastAsia="es-MX"/>
        </w:rPr>
        <w:t> </w:t>
      </w:r>
    </w:p>
    <w:p w:rsidR="0083114F" w:rsidRPr="00D61E7E" w:rsidRDefault="00D61E7E" w:rsidP="00F97DD1">
      <w:pPr>
        <w:pStyle w:val="Prrafodelista"/>
        <w:numPr>
          <w:ilvl w:val="0"/>
          <w:numId w:val="3"/>
        </w:numPr>
        <w:shd w:val="clear" w:color="auto" w:fill="FFFFFF"/>
        <w:rPr>
          <w:rFonts w:ascii="Times New Roman" w:eastAsia="Times New Roman" w:hAnsi="Times New Roman" w:cs="Times New Roman"/>
          <w:color w:val="000000" w:themeColor="text1"/>
          <w:sz w:val="28"/>
          <w:szCs w:val="28"/>
          <w:lang w:eastAsia="es-MX"/>
        </w:rPr>
      </w:pPr>
      <w:r w:rsidRPr="00D61E7E">
        <w:rPr>
          <w:rFonts w:ascii="Times New Roman" w:hAnsi="Times New Roman" w:cs="Times New Roman"/>
          <w:color w:val="000000" w:themeColor="text1"/>
          <w:sz w:val="28"/>
          <w:szCs w:val="28"/>
          <w:lang w:eastAsia="es-MX"/>
        </w:rPr>
        <w:t xml:space="preserve">La Corte es competente para resolver </w:t>
      </w:r>
      <w:r w:rsidRPr="00D61E7E">
        <w:rPr>
          <w:rFonts w:ascii="Times New Roman" w:hAnsi="Times New Roman" w:cs="Times New Roman"/>
          <w:color w:val="000000" w:themeColor="text1"/>
          <w:sz w:val="28"/>
          <w:szCs w:val="28"/>
          <w:lang w:eastAsia="es-MX"/>
        </w:rPr>
        <w:t xml:space="preserve">la presente acción de inconstitucionalidad ,en virtud del artículo </w:t>
      </w:r>
      <w:r w:rsidRPr="00D61E7E">
        <w:rPr>
          <w:rFonts w:ascii="Times New Roman" w:hAnsi="Times New Roman" w:cs="Times New Roman"/>
          <w:color w:val="000000" w:themeColor="text1"/>
          <w:sz w:val="28"/>
          <w:szCs w:val="28"/>
          <w:lang w:eastAsia="es-MX"/>
        </w:rPr>
        <w:t>241.4 de la Carta Política</w:t>
      </w:r>
      <w:r w:rsidRPr="00D61E7E">
        <w:rPr>
          <w:rFonts w:ascii="Times New Roman" w:eastAsia="Times New Roman" w:hAnsi="Times New Roman" w:cs="Times New Roman"/>
          <w:color w:val="000000" w:themeColor="text1"/>
          <w:sz w:val="28"/>
          <w:szCs w:val="28"/>
          <w:lang w:eastAsia="es-MX"/>
        </w:rPr>
        <w:t>.</w:t>
      </w:r>
    </w:p>
    <w:p w:rsidR="0083114F" w:rsidRPr="00D61E7E" w:rsidRDefault="00D61E7E" w:rsidP="0083114F">
      <w:pPr>
        <w:pStyle w:val="Prrafodelista"/>
        <w:shd w:val="clear" w:color="auto" w:fill="FFFFFF"/>
        <w:ind w:left="0"/>
        <w:rPr>
          <w:rFonts w:ascii="Times New Roman" w:eastAsia="Times New Roman" w:hAnsi="Times New Roman" w:cs="Times New Roman"/>
          <w:color w:val="000000" w:themeColor="text1"/>
          <w:sz w:val="28"/>
          <w:szCs w:val="28"/>
          <w:lang w:eastAsia="es-MX"/>
        </w:rPr>
      </w:pPr>
    </w:p>
    <w:p w:rsidR="0083114F" w:rsidRPr="00D61E7E" w:rsidRDefault="00D61E7E" w:rsidP="0083114F">
      <w:pPr>
        <w:shd w:val="clear" w:color="auto" w:fill="FFFFFF"/>
        <w:jc w:val="both"/>
        <w:rPr>
          <w:rFonts w:ascii="Times New Roman" w:hAnsi="Times New Roman" w:cs="Times New Roman"/>
          <w:b/>
          <w:bCs/>
          <w:color w:val="000000" w:themeColor="text1"/>
          <w:sz w:val="28"/>
          <w:szCs w:val="28"/>
          <w:lang w:val="es-ES" w:eastAsia="es-MX"/>
        </w:rPr>
      </w:pPr>
      <w:r w:rsidRPr="00D61E7E">
        <w:rPr>
          <w:rFonts w:ascii="Times New Roman" w:hAnsi="Times New Roman" w:cs="Times New Roman"/>
          <w:b/>
          <w:bCs/>
          <w:color w:val="000000" w:themeColor="text1"/>
          <w:sz w:val="28"/>
          <w:szCs w:val="28"/>
          <w:lang w:val="es-ES" w:eastAsia="es-MX"/>
        </w:rPr>
        <w:t>Cuestiones previas</w:t>
      </w:r>
    </w:p>
    <w:p w:rsidR="0083114F" w:rsidRPr="00D61E7E" w:rsidRDefault="00D61E7E" w:rsidP="0083114F">
      <w:pPr>
        <w:pStyle w:val="Prrafodelista"/>
        <w:shd w:val="clear" w:color="auto" w:fill="FFFFFF"/>
        <w:ind w:left="0"/>
        <w:rPr>
          <w:rFonts w:ascii="Times New Roman" w:eastAsia="Times New Roman" w:hAnsi="Times New Roman" w:cs="Times New Roman"/>
          <w:color w:val="000000" w:themeColor="text1"/>
          <w:sz w:val="28"/>
          <w:szCs w:val="28"/>
          <w:lang w:eastAsia="es-MX"/>
        </w:rPr>
      </w:pPr>
    </w:p>
    <w:p w:rsidR="009464DC" w:rsidRPr="00D61E7E" w:rsidRDefault="00D61E7E" w:rsidP="00F97DD1">
      <w:pPr>
        <w:pStyle w:val="Prrafodelista"/>
        <w:numPr>
          <w:ilvl w:val="0"/>
          <w:numId w:val="3"/>
        </w:numPr>
        <w:shd w:val="clear" w:color="auto" w:fill="FFFFFF"/>
        <w:rPr>
          <w:rFonts w:ascii="Times New Roman" w:eastAsia="Times New Roman" w:hAnsi="Times New Roman" w:cs="Times New Roman"/>
          <w:color w:val="000000" w:themeColor="text1"/>
          <w:sz w:val="28"/>
          <w:szCs w:val="28"/>
          <w:lang w:eastAsia="es-MX"/>
        </w:rPr>
      </w:pPr>
      <w:r w:rsidRPr="00D61E7E">
        <w:rPr>
          <w:rFonts w:ascii="Times New Roman" w:hAnsi="Times New Roman" w:cs="Times New Roman"/>
          <w:color w:val="000000" w:themeColor="text1"/>
          <w:sz w:val="28"/>
          <w:szCs w:val="28"/>
          <w:lang w:val="es-ES" w:eastAsia="es-MX"/>
        </w:rPr>
        <w:t>A</w:t>
      </w:r>
      <w:r w:rsidRPr="00D61E7E">
        <w:rPr>
          <w:rFonts w:ascii="Times New Roman" w:hAnsi="Times New Roman" w:cs="Times New Roman"/>
          <w:color w:val="000000" w:themeColor="text1"/>
          <w:sz w:val="28"/>
          <w:szCs w:val="28"/>
          <w:lang w:val="es-ES" w:eastAsia="es-MX"/>
        </w:rPr>
        <w:t xml:space="preserve">ntes de abordar la cuestión de fondo, </w:t>
      </w:r>
      <w:r w:rsidRPr="00D61E7E">
        <w:rPr>
          <w:rFonts w:ascii="Times New Roman" w:hAnsi="Times New Roman" w:cs="Times New Roman"/>
          <w:color w:val="000000" w:themeColor="text1"/>
          <w:sz w:val="28"/>
          <w:szCs w:val="28"/>
          <w:lang w:val="es-ES" w:eastAsia="es-MX"/>
        </w:rPr>
        <w:t>la Corte estima pertinente pronunciars</w:t>
      </w:r>
      <w:r w:rsidRPr="00D61E7E">
        <w:rPr>
          <w:rFonts w:ascii="Times New Roman" w:hAnsi="Times New Roman" w:cs="Times New Roman"/>
          <w:color w:val="000000" w:themeColor="text1"/>
          <w:sz w:val="28"/>
          <w:szCs w:val="28"/>
          <w:lang w:val="es-ES" w:eastAsia="es-MX"/>
        </w:rPr>
        <w:t xml:space="preserve">e </w:t>
      </w:r>
      <w:r w:rsidRPr="00D61E7E">
        <w:rPr>
          <w:rFonts w:ascii="Times New Roman" w:hAnsi="Times New Roman" w:cs="Times New Roman"/>
          <w:color w:val="000000" w:themeColor="text1"/>
          <w:sz w:val="28"/>
          <w:szCs w:val="28"/>
          <w:lang w:val="es-ES" w:eastAsia="es-MX"/>
        </w:rPr>
        <w:t xml:space="preserve">sobre </w:t>
      </w:r>
      <w:r w:rsidRPr="00D61E7E">
        <w:rPr>
          <w:rFonts w:ascii="Times New Roman" w:hAnsi="Times New Roman" w:cs="Times New Roman"/>
          <w:color w:val="000000" w:themeColor="text1"/>
          <w:sz w:val="28"/>
          <w:szCs w:val="28"/>
          <w:lang w:val="es-ES" w:eastAsia="es-MX"/>
        </w:rPr>
        <w:t>dos cuestiones planteadas por algunos de los intervinientes: (i) el cumplimiento de requisitos de</w:t>
      </w:r>
      <w:r w:rsidRPr="00D61E7E">
        <w:rPr>
          <w:rFonts w:ascii="Times New Roman" w:hAnsi="Times New Roman" w:cs="Times New Roman"/>
          <w:color w:val="000000" w:themeColor="text1"/>
          <w:sz w:val="28"/>
          <w:szCs w:val="28"/>
          <w:lang w:val="es-ES" w:eastAsia="es-MX"/>
        </w:rPr>
        <w:t xml:space="preserve"> aptitud de la demanda y (ii) la</w:t>
      </w:r>
      <w:r w:rsidRPr="00D61E7E">
        <w:rPr>
          <w:rFonts w:ascii="Times New Roman" w:hAnsi="Times New Roman" w:cs="Times New Roman"/>
          <w:color w:val="000000" w:themeColor="text1"/>
          <w:sz w:val="28"/>
          <w:szCs w:val="28"/>
          <w:lang w:val="es-ES" w:eastAsia="es-MX"/>
        </w:rPr>
        <w:t xml:space="preserve"> posibilidad de estudiar</w:t>
      </w:r>
      <w:r w:rsidRPr="00D61E7E">
        <w:rPr>
          <w:rFonts w:ascii="Times New Roman" w:hAnsi="Times New Roman" w:cs="Times New Roman"/>
          <w:color w:val="000000" w:themeColor="text1"/>
          <w:sz w:val="28"/>
          <w:szCs w:val="28"/>
          <w:lang w:val="es-ES" w:eastAsia="es-MX"/>
        </w:rPr>
        <w:t>, como lo solicita la CEJ y la Universidad Javeriana,</w:t>
      </w:r>
      <w:r w:rsidRPr="00D61E7E">
        <w:rPr>
          <w:rFonts w:ascii="Times New Roman" w:hAnsi="Times New Roman" w:cs="Times New Roman"/>
          <w:color w:val="000000" w:themeColor="text1"/>
          <w:sz w:val="28"/>
          <w:szCs w:val="28"/>
          <w:lang w:val="es-ES" w:eastAsia="es-MX"/>
        </w:rPr>
        <w:t xml:space="preserve"> la</w:t>
      </w:r>
      <w:r w:rsidRPr="00D61E7E">
        <w:rPr>
          <w:rFonts w:ascii="Times New Roman" w:hAnsi="Times New Roman" w:cs="Times New Roman"/>
          <w:color w:val="000000" w:themeColor="text1"/>
          <w:sz w:val="28"/>
          <w:szCs w:val="28"/>
          <w:lang w:val="es-ES" w:eastAsia="es-MX"/>
        </w:rPr>
        <w:t xml:space="preserve"> presunta inexequibilidad de los incisos dos y tres del artículo 70 de la </w:t>
      </w:r>
      <w:r w:rsidRPr="00D61E7E">
        <w:rPr>
          <w:rFonts w:ascii="Times New Roman" w:hAnsi="Times New Roman" w:cs="Times New Roman"/>
          <w:color w:val="000000" w:themeColor="text1"/>
          <w:sz w:val="28"/>
          <w:szCs w:val="28"/>
          <w:lang w:val="es-ES" w:eastAsia="es-MX"/>
        </w:rPr>
        <w:t>Ley 2069 de 2020</w:t>
      </w:r>
      <w:r w:rsidRPr="00D61E7E">
        <w:rPr>
          <w:rFonts w:ascii="Times New Roman" w:hAnsi="Times New Roman" w:cs="Times New Roman"/>
          <w:color w:val="000000" w:themeColor="text1"/>
          <w:sz w:val="28"/>
          <w:szCs w:val="28"/>
          <w:lang w:val="es-ES" w:eastAsia="es-MX"/>
        </w:rPr>
        <w:t xml:space="preserve">, con base en los cargos de certeza tributaria y principio de consecutividad. </w:t>
      </w:r>
    </w:p>
    <w:p w:rsidR="00F24FF9" w:rsidRPr="00D61E7E" w:rsidRDefault="00D61E7E" w:rsidP="00F97DD1">
      <w:pPr>
        <w:shd w:val="clear" w:color="auto" w:fill="FFFFFF"/>
        <w:jc w:val="both"/>
        <w:rPr>
          <w:rFonts w:ascii="Times New Roman" w:hAnsi="Times New Roman" w:cs="Times New Roman"/>
          <w:b/>
          <w:bCs/>
          <w:color w:val="000000" w:themeColor="text1"/>
          <w:sz w:val="28"/>
          <w:szCs w:val="28"/>
          <w:lang w:val="es-ES" w:eastAsia="es-MX"/>
        </w:rPr>
      </w:pPr>
      <w:r w:rsidRPr="00D61E7E" w:rsidDel="009464DC">
        <w:rPr>
          <w:rFonts w:ascii="Times New Roman" w:hAnsi="Times New Roman" w:cs="Times New Roman"/>
          <w:color w:val="000000" w:themeColor="text1"/>
          <w:sz w:val="28"/>
          <w:szCs w:val="28"/>
          <w:lang w:val="es-ES" w:eastAsia="es-MX"/>
        </w:rPr>
        <w:t xml:space="preserve"> </w:t>
      </w:r>
    </w:p>
    <w:p w:rsidR="00296842" w:rsidRPr="00D61E7E" w:rsidRDefault="00D61E7E">
      <w:pPr>
        <w:pStyle w:val="Prrafodelista"/>
        <w:numPr>
          <w:ilvl w:val="0"/>
          <w:numId w:val="3"/>
        </w:numPr>
        <w:shd w:val="clear" w:color="auto" w:fill="FFFFFF"/>
        <w:rPr>
          <w:rFonts w:ascii="Times New Roman" w:eastAsia="Times New Roman" w:hAnsi="Times New Roman" w:cs="Times New Roman"/>
          <w:b/>
          <w:bCs/>
          <w:color w:val="000000" w:themeColor="text1"/>
          <w:sz w:val="28"/>
          <w:szCs w:val="28"/>
          <w:lang w:eastAsia="es-MX"/>
        </w:rPr>
      </w:pPr>
      <w:r w:rsidRPr="00D61E7E">
        <w:rPr>
          <w:rFonts w:ascii="Times New Roman" w:eastAsia="Times New Roman" w:hAnsi="Times New Roman" w:cs="Times New Roman"/>
          <w:color w:val="000000" w:themeColor="text1"/>
          <w:sz w:val="28"/>
          <w:szCs w:val="28"/>
          <w:lang w:eastAsia="es-MX"/>
        </w:rPr>
        <w:t xml:space="preserve">En relación con la </w:t>
      </w:r>
      <w:r w:rsidRPr="00D61E7E">
        <w:rPr>
          <w:rFonts w:ascii="Times New Roman" w:eastAsia="Times New Roman" w:hAnsi="Times New Roman" w:cs="Times New Roman"/>
          <w:b/>
          <w:bCs/>
          <w:color w:val="000000" w:themeColor="text1"/>
          <w:sz w:val="28"/>
          <w:szCs w:val="28"/>
          <w:lang w:eastAsia="es-MX"/>
        </w:rPr>
        <w:t xml:space="preserve">aptitud de la demanda </w:t>
      </w:r>
      <w:r w:rsidRPr="00D61E7E">
        <w:rPr>
          <w:rFonts w:ascii="Times New Roman" w:eastAsia="Times New Roman" w:hAnsi="Times New Roman" w:cs="Times New Roman"/>
          <w:color w:val="000000" w:themeColor="text1"/>
          <w:sz w:val="28"/>
          <w:szCs w:val="28"/>
          <w:lang w:eastAsia="es-MX"/>
        </w:rPr>
        <w:t>se debe</w:t>
      </w:r>
      <w:r w:rsidRPr="00D61E7E">
        <w:rPr>
          <w:rFonts w:ascii="Times New Roman" w:eastAsia="Times New Roman" w:hAnsi="Times New Roman" w:cs="Times New Roman"/>
          <w:color w:val="000000" w:themeColor="text1"/>
          <w:sz w:val="28"/>
          <w:szCs w:val="28"/>
          <w:lang w:eastAsia="es-MX"/>
        </w:rPr>
        <w:t xml:space="preserve"> analizar si la misma, cumple</w:t>
      </w:r>
      <w:r w:rsidRPr="00D61E7E">
        <w:rPr>
          <w:rFonts w:ascii="Times New Roman" w:eastAsia="Times New Roman" w:hAnsi="Times New Roman" w:cs="Times New Roman"/>
          <w:color w:val="000000" w:themeColor="text1"/>
          <w:sz w:val="28"/>
          <w:szCs w:val="28"/>
          <w:lang w:eastAsia="es-MX"/>
        </w:rPr>
        <w:t xml:space="preserve"> con los requisitos mínimos de carga argumentativa</w:t>
      </w:r>
      <w:r w:rsidRPr="00D61E7E">
        <w:rPr>
          <w:rStyle w:val="Refdenotaalpie"/>
          <w:rFonts w:ascii="Times New Roman" w:eastAsia="Times New Roman" w:hAnsi="Times New Roman" w:cs="Times New Roman"/>
          <w:color w:val="000000" w:themeColor="text1"/>
          <w:sz w:val="28"/>
          <w:szCs w:val="28"/>
          <w:lang w:eastAsia="es-MX"/>
        </w:rPr>
        <w:footnoteReference w:id="9"/>
      </w:r>
      <w:r w:rsidRPr="00D61E7E">
        <w:rPr>
          <w:rFonts w:ascii="Times New Roman" w:eastAsia="Times New Roman" w:hAnsi="Times New Roman" w:cs="Times New Roman"/>
          <w:color w:val="000000" w:themeColor="text1"/>
          <w:sz w:val="28"/>
          <w:szCs w:val="28"/>
          <w:lang w:eastAsia="es-MX"/>
        </w:rPr>
        <w:t xml:space="preserve">. </w:t>
      </w:r>
      <w:r w:rsidRPr="00D61E7E">
        <w:rPr>
          <w:rFonts w:ascii="Times New Roman" w:eastAsia="Times New Roman" w:hAnsi="Times New Roman" w:cs="Times New Roman"/>
          <w:color w:val="000000" w:themeColor="text1"/>
          <w:sz w:val="28"/>
          <w:szCs w:val="28"/>
          <w:lang w:eastAsia="es-MX"/>
        </w:rPr>
        <w:t xml:space="preserve">En primer lugar, es preciso reiterar que </w:t>
      </w:r>
      <w:r w:rsidRPr="00D61E7E">
        <w:rPr>
          <w:rFonts w:ascii="Times New Roman" w:hAnsi="Times New Roman" w:cs="Times New Roman"/>
          <w:color w:val="000000" w:themeColor="text1"/>
          <w:sz w:val="28"/>
          <w:szCs w:val="28"/>
          <w:lang w:eastAsia="es-ES"/>
        </w:rPr>
        <w:t>e</w:t>
      </w:r>
      <w:r w:rsidRPr="00D61E7E">
        <w:rPr>
          <w:rFonts w:ascii="Times New Roman" w:hAnsi="Times New Roman" w:cs="Times New Roman"/>
          <w:color w:val="000000" w:themeColor="text1"/>
          <w:sz w:val="28"/>
          <w:szCs w:val="28"/>
          <w:lang w:eastAsia="es-ES"/>
        </w:rPr>
        <w:t xml:space="preserve">l </w:t>
      </w:r>
      <w:r w:rsidRPr="00D61E7E">
        <w:rPr>
          <w:rFonts w:ascii="Times New Roman" w:hAnsi="Times New Roman" w:cs="Times New Roman"/>
          <w:color w:val="000000" w:themeColor="text1"/>
          <w:sz w:val="28"/>
          <w:szCs w:val="28"/>
        </w:rPr>
        <w:t>artículo</w:t>
      </w:r>
      <w:r w:rsidRPr="00D61E7E">
        <w:rPr>
          <w:rFonts w:ascii="Times New Roman" w:hAnsi="Times New Roman" w:cs="Times New Roman"/>
          <w:color w:val="000000" w:themeColor="text1"/>
          <w:sz w:val="28"/>
          <w:szCs w:val="28"/>
          <w:lang w:eastAsia="es-ES"/>
        </w:rPr>
        <w:t xml:space="preserve"> 2º del Decreto 2067 de 1991 establece que las demandas públicas de inconstitucionalidad deben cumplir con las siguientes exigencias: (i) señalar las n</w:t>
      </w:r>
      <w:r w:rsidRPr="00D61E7E">
        <w:rPr>
          <w:rFonts w:ascii="Times New Roman" w:hAnsi="Times New Roman" w:cs="Times New Roman"/>
          <w:color w:val="000000" w:themeColor="text1"/>
          <w:sz w:val="28"/>
          <w:szCs w:val="28"/>
          <w:lang w:eastAsia="es-ES"/>
        </w:rPr>
        <w:t xml:space="preserve">ormas acusadas como inconstitucionales a través de su transcripción literal o adjuntando un ejemplar de la publicación oficial; (ii) indicar las normas constitucionales que se consideren infringidas; (iii) explicar las razones por las cuales dichos textos </w:t>
      </w:r>
      <w:r w:rsidRPr="00D61E7E">
        <w:rPr>
          <w:rFonts w:ascii="Times New Roman" w:hAnsi="Times New Roman" w:cs="Times New Roman"/>
          <w:color w:val="000000" w:themeColor="text1"/>
          <w:sz w:val="28"/>
          <w:szCs w:val="28"/>
          <w:lang w:eastAsia="es-ES"/>
        </w:rPr>
        <w:t xml:space="preserve">se estiman violados; (iv) cuando sea aplicable, señalar el trámite impuesto por la Constitución para la expedición del acto demandado y la forma en la que fue quebrantado; y (v) esbozar los motivos por los cuales la Corte Constitucional es competente para </w:t>
      </w:r>
      <w:r w:rsidRPr="00D61E7E">
        <w:rPr>
          <w:rFonts w:ascii="Times New Roman" w:hAnsi="Times New Roman" w:cs="Times New Roman"/>
          <w:color w:val="000000" w:themeColor="text1"/>
          <w:sz w:val="28"/>
          <w:szCs w:val="28"/>
          <w:lang w:eastAsia="es-ES"/>
        </w:rPr>
        <w:t>conocer de la demanda.</w:t>
      </w:r>
    </w:p>
    <w:p w:rsidR="00296842" w:rsidRPr="00D61E7E" w:rsidRDefault="00D61E7E">
      <w:pPr>
        <w:pStyle w:val="Prrafodelista"/>
        <w:rPr>
          <w:rFonts w:ascii="Times New Roman" w:hAnsi="Times New Roman" w:cs="Times New Roman"/>
          <w:sz w:val="28"/>
          <w:szCs w:val="28"/>
          <w:lang w:eastAsia="es-ES"/>
        </w:rPr>
      </w:pPr>
    </w:p>
    <w:p w:rsidR="001E0C9B" w:rsidRPr="00D61E7E" w:rsidRDefault="00D61E7E" w:rsidP="00FE7573">
      <w:pPr>
        <w:pStyle w:val="Prrafodelista"/>
        <w:numPr>
          <w:ilvl w:val="0"/>
          <w:numId w:val="3"/>
        </w:numPr>
        <w:shd w:val="clear" w:color="auto" w:fill="FFFFFF"/>
        <w:rPr>
          <w:rFonts w:ascii="Times New Roman" w:eastAsia="Times New Roman" w:hAnsi="Times New Roman" w:cs="Times New Roman"/>
          <w:b/>
          <w:bCs/>
          <w:color w:val="000000" w:themeColor="text1"/>
          <w:sz w:val="28"/>
          <w:szCs w:val="28"/>
          <w:lang w:eastAsia="es-MX"/>
        </w:rPr>
      </w:pPr>
      <w:r w:rsidRPr="00D61E7E">
        <w:rPr>
          <w:rFonts w:ascii="Times New Roman" w:hAnsi="Times New Roman" w:cs="Times New Roman"/>
          <w:sz w:val="28"/>
          <w:szCs w:val="28"/>
          <w:lang w:eastAsia="es-ES"/>
        </w:rPr>
        <w:t xml:space="preserve">En relación con el tercer requisito expuesto, la jurisprudencia de esta Corporación </w:t>
      </w:r>
      <w:r w:rsidRPr="00D61E7E">
        <w:rPr>
          <w:rFonts w:ascii="Times New Roman" w:hAnsi="Times New Roman" w:cs="Times New Roman"/>
          <w:sz w:val="28"/>
          <w:szCs w:val="28"/>
          <w:lang w:eastAsia="es-ES"/>
        </w:rPr>
        <w:t>ha indicado en varias oportunidades que</w:t>
      </w:r>
      <w:r w:rsidRPr="00D61E7E">
        <w:rPr>
          <w:rFonts w:ascii="Times New Roman" w:hAnsi="Times New Roman" w:cs="Times New Roman"/>
          <w:sz w:val="28"/>
          <w:szCs w:val="28"/>
          <w:lang w:eastAsia="es-ES"/>
        </w:rPr>
        <w:t xml:space="preserve"> solo se pueden fallar de fondo aquellas demandas que permiten “iniciar un diálogo público y razonable entre el demandante, los ciudadanos interesados, las autoridades responsables y la Corte Constitucional”</w:t>
      </w:r>
      <w:r w:rsidRPr="00D61E7E">
        <w:rPr>
          <w:rStyle w:val="Refdenotaalpie"/>
          <w:rFonts w:ascii="Times New Roman" w:hAnsi="Times New Roman" w:cs="Times New Roman"/>
          <w:sz w:val="28"/>
          <w:szCs w:val="28"/>
        </w:rPr>
        <w:footnoteReference w:id="10"/>
      </w:r>
      <w:r w:rsidRPr="00D61E7E">
        <w:rPr>
          <w:rFonts w:ascii="Times New Roman" w:hAnsi="Times New Roman" w:cs="Times New Roman"/>
          <w:sz w:val="28"/>
          <w:szCs w:val="28"/>
          <w:lang w:eastAsia="es-ES"/>
        </w:rPr>
        <w:t>.</w:t>
      </w:r>
      <w:r w:rsidRPr="00D61E7E">
        <w:rPr>
          <w:rFonts w:ascii="Times New Roman" w:hAnsi="Times New Roman" w:cs="Times New Roman"/>
          <w:sz w:val="28"/>
          <w:szCs w:val="28"/>
          <w:lang w:eastAsia="es-ES"/>
        </w:rPr>
        <w:t xml:space="preserve"> </w:t>
      </w:r>
      <w:r w:rsidRPr="00D61E7E">
        <w:rPr>
          <w:rFonts w:ascii="Times New Roman" w:hAnsi="Times New Roman" w:cs="Times New Roman"/>
          <w:sz w:val="28"/>
          <w:szCs w:val="28"/>
          <w:lang w:eastAsia="es-ES"/>
        </w:rPr>
        <w:t>Así</w:t>
      </w:r>
      <w:r w:rsidRPr="00D61E7E">
        <w:rPr>
          <w:rFonts w:ascii="Times New Roman" w:hAnsi="Times New Roman" w:cs="Times New Roman"/>
          <w:sz w:val="28"/>
          <w:szCs w:val="28"/>
          <w:lang w:eastAsia="es-ES"/>
        </w:rPr>
        <w:t xml:space="preserve">, la jurisprudencia </w:t>
      </w:r>
      <w:r w:rsidRPr="00D61E7E">
        <w:rPr>
          <w:rFonts w:ascii="Times New Roman" w:hAnsi="Times New Roman" w:cs="Times New Roman"/>
          <w:bCs/>
          <w:sz w:val="28"/>
          <w:szCs w:val="28"/>
          <w:lang w:eastAsia="es-ES"/>
        </w:rPr>
        <w:t>exige</w:t>
      </w:r>
      <w:r w:rsidRPr="00D61E7E">
        <w:rPr>
          <w:rFonts w:ascii="Times New Roman" w:hAnsi="Times New Roman" w:cs="Times New Roman"/>
          <w:sz w:val="28"/>
          <w:szCs w:val="28"/>
          <w:lang w:eastAsia="es-ES"/>
        </w:rPr>
        <w:t xml:space="preserve"> que las acciones </w:t>
      </w:r>
      <w:r w:rsidRPr="00D61E7E">
        <w:rPr>
          <w:rFonts w:ascii="Times New Roman" w:hAnsi="Times New Roman" w:cs="Times New Roman"/>
          <w:sz w:val="28"/>
          <w:szCs w:val="28"/>
          <w:lang w:eastAsia="es-ES"/>
        </w:rPr>
        <w:t xml:space="preserve">públicas de inconstitucionalidad respeten cinco condiciones argumentativas mínimas que fueron sistematizadas en las sentencias C-1052 de 2001 y </w:t>
      </w:r>
      <w:r w:rsidRPr="00D61E7E">
        <w:rPr>
          <w:rFonts w:ascii="Times New Roman" w:hAnsi="Times New Roman" w:cs="Times New Roman"/>
          <w:bCs/>
          <w:sz w:val="28"/>
          <w:szCs w:val="28"/>
          <w:lang w:eastAsia="es-ES"/>
        </w:rPr>
        <w:t>C-856 de 2005</w:t>
      </w:r>
      <w:r w:rsidRPr="00D61E7E">
        <w:rPr>
          <w:rStyle w:val="Refdenotaalpie"/>
          <w:rFonts w:ascii="Times New Roman" w:hAnsi="Times New Roman" w:cs="Times New Roman"/>
          <w:sz w:val="28"/>
          <w:szCs w:val="28"/>
          <w:lang w:eastAsia="es-ES"/>
        </w:rPr>
        <w:footnoteReference w:id="11"/>
      </w:r>
      <w:r w:rsidRPr="00D61E7E">
        <w:rPr>
          <w:rFonts w:ascii="Times New Roman" w:hAnsi="Times New Roman" w:cs="Times New Roman"/>
          <w:sz w:val="28"/>
          <w:szCs w:val="28"/>
          <w:lang w:eastAsia="es-ES"/>
        </w:rPr>
        <w:t>. Los cargos deben ser claros, ciertos, específicos, pertinentes y suficientes.</w:t>
      </w:r>
    </w:p>
    <w:p w:rsidR="00FE7573" w:rsidRPr="00D61E7E" w:rsidRDefault="00D61E7E" w:rsidP="00FE7573">
      <w:pPr>
        <w:pStyle w:val="Prrafodelista"/>
        <w:rPr>
          <w:rFonts w:ascii="Times New Roman" w:eastAsia="Times New Roman" w:hAnsi="Times New Roman" w:cs="Times New Roman"/>
          <w:b/>
          <w:bCs/>
          <w:color w:val="000000" w:themeColor="text1"/>
          <w:sz w:val="28"/>
          <w:szCs w:val="28"/>
          <w:lang w:eastAsia="es-MX"/>
        </w:rPr>
      </w:pPr>
    </w:p>
    <w:p w:rsidR="006A40C5" w:rsidRPr="00D61E7E" w:rsidRDefault="00D61E7E" w:rsidP="006A40C5">
      <w:pPr>
        <w:pStyle w:val="Prrafodelista"/>
        <w:widowControl w:val="0"/>
        <w:numPr>
          <w:ilvl w:val="0"/>
          <w:numId w:val="3"/>
        </w:numPr>
        <w:autoSpaceDE w:val="0"/>
        <w:autoSpaceDN w:val="0"/>
        <w:spacing w:after="100" w:afterAutospacing="1"/>
        <w:rPr>
          <w:rFonts w:ascii="Times New Roman" w:hAnsi="Times New Roman" w:cs="Times New Roman"/>
          <w:sz w:val="28"/>
          <w:szCs w:val="28"/>
          <w:lang w:val="es-US"/>
        </w:rPr>
      </w:pPr>
      <w:r w:rsidRPr="00D61E7E">
        <w:rPr>
          <w:rFonts w:ascii="Times New Roman" w:hAnsi="Times New Roman" w:cs="Times New Roman"/>
          <w:sz w:val="28"/>
          <w:szCs w:val="28"/>
          <w:lang w:val="es-ES_tradnl"/>
        </w:rPr>
        <w:t xml:space="preserve">En esas </w:t>
      </w:r>
      <w:r w:rsidRPr="00D61E7E">
        <w:rPr>
          <w:rFonts w:ascii="Times New Roman" w:hAnsi="Times New Roman" w:cs="Times New Roman"/>
          <w:sz w:val="28"/>
          <w:szCs w:val="28"/>
          <w:lang w:val="es-ES_tradnl"/>
        </w:rPr>
        <w:t>sentencias, la Corte precisó el a</w:t>
      </w:r>
      <w:r w:rsidRPr="00D61E7E">
        <w:rPr>
          <w:rFonts w:ascii="Times New Roman" w:hAnsi="Times New Roman" w:cs="Times New Roman"/>
          <w:sz w:val="28"/>
          <w:szCs w:val="28"/>
          <w:lang w:val="es-ES_tradnl"/>
        </w:rPr>
        <w:t>lcance de estos mínimos argumentativos</w:t>
      </w:r>
      <w:r w:rsidRPr="00D61E7E">
        <w:rPr>
          <w:rFonts w:ascii="Times New Roman" w:hAnsi="Times New Roman" w:cs="Times New Roman"/>
          <w:sz w:val="28"/>
          <w:szCs w:val="28"/>
          <w:vertAlign w:val="superscript"/>
          <w:lang w:val="es-ES_tradnl"/>
        </w:rPr>
        <w:footnoteReference w:id="12"/>
      </w:r>
      <w:r w:rsidRPr="00D61E7E">
        <w:rPr>
          <w:rFonts w:ascii="Times New Roman" w:hAnsi="Times New Roman" w:cs="Times New Roman"/>
          <w:sz w:val="28"/>
          <w:szCs w:val="28"/>
          <w:lang w:val="es-ES_tradnl"/>
        </w:rPr>
        <w:t>. En dichas providencias se señaló que la claridad se refiere a que exista un hilo conductor en la argumentación que permita comprender el contenido de la demanda y las justificaciones</w:t>
      </w:r>
      <w:r w:rsidRPr="00D61E7E">
        <w:rPr>
          <w:rFonts w:ascii="Times New Roman" w:hAnsi="Times New Roman" w:cs="Times New Roman"/>
          <w:sz w:val="28"/>
          <w:szCs w:val="28"/>
          <w:lang w:val="es-ES_tradnl"/>
        </w:rPr>
        <w:t xml:space="preserve"> en las cuales se soporta. Sobre el requisito de certeza, la Corte indicó que este se cumple cuando la demanda recae sobre una proposición jurídica real y existente y no en una deducida por el actor de manera subjetiva. Por su parte, el requisito especific</w:t>
      </w:r>
      <w:r w:rsidRPr="00D61E7E">
        <w:rPr>
          <w:rFonts w:ascii="Times New Roman" w:hAnsi="Times New Roman" w:cs="Times New Roman"/>
          <w:sz w:val="28"/>
          <w:szCs w:val="28"/>
          <w:lang w:val="es-ES_tradnl"/>
        </w:rPr>
        <w:t>idad exige que el actor indique cómo la norma demandada vulnera la Carta Política, y el de pertinencia implica que se empleen argumentos de naturaleza estrictamente constitucional y no de estirpe legal, doctrinal o de mera conveniencia. Finalmente, el requ</w:t>
      </w:r>
      <w:r w:rsidRPr="00D61E7E">
        <w:rPr>
          <w:rFonts w:ascii="Times New Roman" w:hAnsi="Times New Roman" w:cs="Times New Roman"/>
          <w:sz w:val="28"/>
          <w:szCs w:val="28"/>
          <w:lang w:val="es-ES_tradnl"/>
        </w:rPr>
        <w:t>isito de suficiencia se satisface cuando la demanda tiene la capacidad de despertar por lo menos una duda mínima sobre la inexequibilidad de la norma acusada.</w:t>
      </w:r>
    </w:p>
    <w:p w:rsidR="006A40C5" w:rsidRPr="00D61E7E" w:rsidRDefault="00D61E7E" w:rsidP="006A40C5">
      <w:pPr>
        <w:pStyle w:val="Prrafodelista"/>
        <w:rPr>
          <w:rFonts w:ascii="Times New Roman" w:hAnsi="Times New Roman" w:cs="Times New Roman"/>
          <w:color w:val="000000" w:themeColor="text1"/>
          <w:sz w:val="28"/>
          <w:szCs w:val="28"/>
          <w:lang w:eastAsia="es-ES"/>
        </w:rPr>
      </w:pPr>
    </w:p>
    <w:p w:rsidR="006A40C5" w:rsidRPr="00D61E7E" w:rsidRDefault="00D61E7E" w:rsidP="006A40C5">
      <w:pPr>
        <w:pStyle w:val="Prrafodelista"/>
        <w:widowControl w:val="0"/>
        <w:numPr>
          <w:ilvl w:val="0"/>
          <w:numId w:val="3"/>
        </w:numPr>
        <w:autoSpaceDE w:val="0"/>
        <w:autoSpaceDN w:val="0"/>
        <w:spacing w:after="100" w:afterAutospacing="1"/>
        <w:rPr>
          <w:rFonts w:ascii="Times New Roman" w:hAnsi="Times New Roman" w:cs="Times New Roman"/>
          <w:sz w:val="28"/>
          <w:szCs w:val="28"/>
          <w:lang w:val="es-US"/>
        </w:rPr>
      </w:pPr>
      <w:r w:rsidRPr="00D61E7E">
        <w:rPr>
          <w:rFonts w:ascii="Times New Roman" w:hAnsi="Times New Roman" w:cs="Times New Roman"/>
          <w:color w:val="000000" w:themeColor="text1"/>
          <w:sz w:val="28"/>
          <w:szCs w:val="28"/>
          <w:lang w:eastAsia="es-ES"/>
        </w:rPr>
        <w:t xml:space="preserve">Por otro lado, en virtud del principio </w:t>
      </w:r>
      <w:r w:rsidRPr="00D61E7E">
        <w:rPr>
          <w:rFonts w:ascii="Times New Roman" w:hAnsi="Times New Roman" w:cs="Times New Roman"/>
          <w:i/>
          <w:iCs/>
          <w:color w:val="000000" w:themeColor="text1"/>
          <w:sz w:val="28"/>
          <w:szCs w:val="28"/>
          <w:lang w:eastAsia="es-ES"/>
        </w:rPr>
        <w:t>pro actione</w:t>
      </w:r>
      <w:r w:rsidRPr="00D61E7E">
        <w:rPr>
          <w:rFonts w:ascii="Times New Roman" w:hAnsi="Times New Roman" w:cs="Times New Roman"/>
          <w:color w:val="000000" w:themeColor="text1"/>
          <w:sz w:val="28"/>
          <w:szCs w:val="28"/>
          <w:lang w:eastAsia="es-ES"/>
        </w:rPr>
        <w:t xml:space="preserve">, </w:t>
      </w:r>
      <w:r w:rsidRPr="00D61E7E">
        <w:rPr>
          <w:rFonts w:ascii="Times New Roman" w:hAnsi="Times New Roman" w:cs="Times New Roman"/>
          <w:color w:val="000000" w:themeColor="text1"/>
          <w:sz w:val="28"/>
          <w:szCs w:val="28"/>
          <w:lang w:val="es-ES_tradnl" w:eastAsia="es-ES"/>
        </w:rPr>
        <w:t>el estudio de la aptitud de la demanda no pu</w:t>
      </w:r>
      <w:r w:rsidRPr="00D61E7E">
        <w:rPr>
          <w:rFonts w:ascii="Times New Roman" w:hAnsi="Times New Roman" w:cs="Times New Roman"/>
          <w:color w:val="000000" w:themeColor="text1"/>
          <w:sz w:val="28"/>
          <w:szCs w:val="28"/>
          <w:lang w:val="es-ES_tradnl" w:eastAsia="es-ES"/>
        </w:rPr>
        <w:t>ede convertirse en un método de apreciación excesivamente estricto que anule el derecho del actor a presentar acciones públicas de inconstitucionalidad. Además, según ese principio, en caso de duda sobre el cumplimiento cabal de los requisitos de claridad,</w:t>
      </w:r>
      <w:r w:rsidRPr="00D61E7E">
        <w:rPr>
          <w:rFonts w:ascii="Times New Roman" w:hAnsi="Times New Roman" w:cs="Times New Roman"/>
          <w:color w:val="000000" w:themeColor="text1"/>
          <w:sz w:val="28"/>
          <w:szCs w:val="28"/>
          <w:lang w:val="es-ES_tradnl" w:eastAsia="es-ES"/>
        </w:rPr>
        <w:t xml:space="preserve"> especificidad, pertinencia y suficiencia, la Corte Constitucional tiene que admitir y fallar de fondo la demanda</w:t>
      </w:r>
      <w:r w:rsidRPr="00D61E7E">
        <w:rPr>
          <w:rStyle w:val="Refdenotaalpie"/>
          <w:rFonts w:ascii="Times New Roman" w:hAnsi="Times New Roman" w:cs="Times New Roman"/>
          <w:color w:val="000000" w:themeColor="text1"/>
          <w:sz w:val="28"/>
          <w:szCs w:val="28"/>
          <w:lang w:val="es-ES_tradnl" w:eastAsia="es-ES"/>
        </w:rPr>
        <w:footnoteReference w:id="13"/>
      </w:r>
      <w:r w:rsidRPr="00D61E7E">
        <w:rPr>
          <w:rFonts w:ascii="Times New Roman" w:hAnsi="Times New Roman" w:cs="Times New Roman"/>
          <w:color w:val="000000" w:themeColor="text1"/>
          <w:sz w:val="28"/>
          <w:szCs w:val="28"/>
          <w:lang w:val="es-ES_tradnl" w:eastAsia="es-ES"/>
        </w:rPr>
        <w:t xml:space="preserve">. Asimismo, </w:t>
      </w:r>
      <w:r w:rsidRPr="00D61E7E">
        <w:rPr>
          <w:rFonts w:ascii="Times New Roman" w:hAnsi="Times New Roman" w:cs="Times New Roman"/>
          <w:color w:val="000000" w:themeColor="text1"/>
          <w:sz w:val="28"/>
          <w:szCs w:val="28"/>
          <w:lang w:eastAsia="es-ES"/>
        </w:rPr>
        <w:t>con independencia de lo señalado en el auto admisorio, la Sala Plena es la competente para determinar si es dable o no y de qué ma</w:t>
      </w:r>
      <w:r w:rsidRPr="00D61E7E">
        <w:rPr>
          <w:rFonts w:ascii="Times New Roman" w:hAnsi="Times New Roman" w:cs="Times New Roman"/>
          <w:color w:val="000000" w:themeColor="text1"/>
          <w:sz w:val="28"/>
          <w:szCs w:val="28"/>
          <w:lang w:eastAsia="es-ES"/>
        </w:rPr>
        <w:t>nera un pronunciamiento de fondo sobre los cargos de las demandas, pues ella es la autoridad que tiene asignada la función de decidir sobre las acciones públicas de inconstitucionalidad que presenten los ciudadanos contra las leyes</w:t>
      </w:r>
      <w:r w:rsidRPr="00D61E7E">
        <w:rPr>
          <w:rFonts w:ascii="Times New Roman" w:hAnsi="Times New Roman" w:cs="Times New Roman"/>
          <w:sz w:val="28"/>
          <w:vertAlign w:val="superscript"/>
          <w:lang w:eastAsia="es-ES"/>
        </w:rPr>
        <w:footnoteReference w:id="14"/>
      </w:r>
      <w:r w:rsidRPr="00D61E7E">
        <w:rPr>
          <w:rFonts w:ascii="Times New Roman" w:hAnsi="Times New Roman" w:cs="Times New Roman"/>
          <w:color w:val="000000" w:themeColor="text1"/>
          <w:sz w:val="28"/>
          <w:szCs w:val="28"/>
          <w:lang w:eastAsia="es-ES"/>
        </w:rPr>
        <w:t xml:space="preserve">.  </w:t>
      </w:r>
    </w:p>
    <w:p w:rsidR="006A40C5" w:rsidRPr="00D61E7E" w:rsidRDefault="00D61E7E" w:rsidP="006A40C5">
      <w:pPr>
        <w:pStyle w:val="Prrafodelista"/>
        <w:rPr>
          <w:rFonts w:ascii="Times New Roman" w:hAnsi="Times New Roman" w:cs="Times New Roman"/>
          <w:sz w:val="28"/>
          <w:szCs w:val="28"/>
          <w:lang w:val="es-ES"/>
        </w:rPr>
      </w:pPr>
    </w:p>
    <w:p w:rsidR="00983D68" w:rsidRPr="00D61E7E" w:rsidRDefault="00D61E7E" w:rsidP="00C13CC9">
      <w:pPr>
        <w:pStyle w:val="Prrafodelista"/>
        <w:widowControl w:val="0"/>
        <w:numPr>
          <w:ilvl w:val="0"/>
          <w:numId w:val="3"/>
        </w:numPr>
        <w:autoSpaceDE w:val="0"/>
        <w:autoSpaceDN w:val="0"/>
        <w:spacing w:after="100" w:afterAutospacing="1"/>
        <w:rPr>
          <w:rFonts w:ascii="Times New Roman" w:hAnsi="Times New Roman" w:cs="Times New Roman"/>
          <w:sz w:val="28"/>
          <w:szCs w:val="28"/>
          <w:lang w:val="es-US"/>
        </w:rPr>
      </w:pPr>
      <w:r w:rsidRPr="00D61E7E">
        <w:rPr>
          <w:rFonts w:ascii="Times New Roman" w:hAnsi="Times New Roman" w:cs="Times New Roman"/>
          <w:sz w:val="28"/>
          <w:szCs w:val="28"/>
          <w:lang w:val="es-ES"/>
        </w:rPr>
        <w:t xml:space="preserve">En este caso, y contrario a lo sostenido por la Superintendencia de Industria y Comercio, </w:t>
      </w:r>
      <w:r w:rsidRPr="00D61E7E">
        <w:rPr>
          <w:rFonts w:ascii="Times New Roman" w:hAnsi="Times New Roman" w:cs="Times New Roman"/>
          <w:sz w:val="28"/>
          <w:szCs w:val="28"/>
          <w:lang w:val="es-ES"/>
        </w:rPr>
        <w:t xml:space="preserve">la Sala Plena considera que el cargo </w:t>
      </w:r>
      <w:r w:rsidRPr="00D61E7E">
        <w:rPr>
          <w:rFonts w:ascii="Times New Roman" w:hAnsi="Times New Roman" w:cs="Times New Roman"/>
          <w:sz w:val="28"/>
          <w:szCs w:val="28"/>
          <w:lang w:val="es-ES"/>
        </w:rPr>
        <w:t>admitido</w:t>
      </w:r>
      <w:r w:rsidRPr="00D61E7E">
        <w:rPr>
          <w:rFonts w:ascii="Times New Roman" w:hAnsi="Times New Roman" w:cs="Times New Roman"/>
          <w:sz w:val="28"/>
          <w:szCs w:val="28"/>
          <w:lang w:val="es-ES"/>
        </w:rPr>
        <w:t xml:space="preserve"> contra los artículos 70 y 73 de la </w:t>
      </w:r>
      <w:r w:rsidRPr="00D61E7E">
        <w:rPr>
          <w:rFonts w:ascii="Times New Roman" w:hAnsi="Times New Roman" w:cs="Times New Roman"/>
          <w:sz w:val="28"/>
          <w:szCs w:val="28"/>
          <w:lang w:val="es-ES"/>
        </w:rPr>
        <w:t>Ley 2069 de 2020</w:t>
      </w:r>
      <w:r w:rsidRPr="00D61E7E">
        <w:rPr>
          <w:rFonts w:ascii="Times New Roman" w:hAnsi="Times New Roman" w:cs="Times New Roman"/>
          <w:sz w:val="28"/>
          <w:szCs w:val="28"/>
          <w:lang w:val="es-ES"/>
        </w:rPr>
        <w:t xml:space="preserve"> cumple con las condiciones argumentativas mínimas necesarias para pr</w:t>
      </w:r>
      <w:r w:rsidRPr="00D61E7E">
        <w:rPr>
          <w:rFonts w:ascii="Times New Roman" w:hAnsi="Times New Roman" w:cs="Times New Roman"/>
          <w:sz w:val="28"/>
          <w:szCs w:val="28"/>
          <w:lang w:val="es-ES"/>
        </w:rPr>
        <w:t xml:space="preserve">onunciarse de fondo. </w:t>
      </w:r>
      <w:r w:rsidRPr="00D61E7E">
        <w:rPr>
          <w:rFonts w:ascii="Times New Roman" w:hAnsi="Times New Roman" w:cs="Times New Roman"/>
          <w:sz w:val="28"/>
          <w:szCs w:val="28"/>
          <w:lang w:val="es-ES"/>
        </w:rPr>
        <w:t xml:space="preserve">Como se indicó en los antecedentes, el señor </w:t>
      </w:r>
    </w:p>
    <w:p w:rsidR="00B8617F" w:rsidRPr="00D61E7E" w:rsidRDefault="00D61E7E" w:rsidP="009403FC">
      <w:pPr>
        <w:pStyle w:val="Prrafodelista"/>
        <w:shd w:val="clear" w:color="auto" w:fill="FFFFFF"/>
        <w:ind w:left="0"/>
        <w:rPr>
          <w:rFonts w:ascii="Times New Roman" w:hAnsi="Times New Roman" w:cs="Times New Roman"/>
          <w:color w:val="000000" w:themeColor="text1"/>
          <w:sz w:val="28"/>
          <w:szCs w:val="28"/>
        </w:rPr>
      </w:pPr>
      <w:r w:rsidRPr="00D61E7E">
        <w:rPr>
          <w:rFonts w:ascii="Times New Roman" w:eastAsia="Times New Roman" w:hAnsi="Times New Roman" w:cs="Times New Roman"/>
          <w:color w:val="000000" w:themeColor="text1"/>
          <w:sz w:val="28"/>
          <w:szCs w:val="28"/>
          <w:lang w:eastAsia="es-MX"/>
        </w:rPr>
        <w:t xml:space="preserve">López Molina, </w:t>
      </w:r>
      <w:r w:rsidRPr="00D61E7E">
        <w:rPr>
          <w:rFonts w:ascii="Times New Roman" w:eastAsia="Times New Roman" w:hAnsi="Times New Roman" w:cs="Times New Roman"/>
          <w:color w:val="000000" w:themeColor="text1"/>
          <w:sz w:val="28"/>
          <w:szCs w:val="28"/>
          <w:lang w:eastAsia="es-MX"/>
        </w:rPr>
        <w:t>argumenta que los artículos 70 y 73 acusad</w:t>
      </w:r>
      <w:r w:rsidRPr="00D61E7E">
        <w:rPr>
          <w:rFonts w:ascii="Times New Roman" w:eastAsia="Times New Roman" w:hAnsi="Times New Roman" w:cs="Times New Roman"/>
          <w:color w:val="000000" w:themeColor="text1"/>
          <w:sz w:val="28"/>
          <w:szCs w:val="28"/>
          <w:lang w:eastAsia="es-MX"/>
        </w:rPr>
        <w:t>o</w:t>
      </w:r>
      <w:r w:rsidRPr="00D61E7E">
        <w:rPr>
          <w:rFonts w:ascii="Times New Roman" w:eastAsia="Times New Roman" w:hAnsi="Times New Roman" w:cs="Times New Roman"/>
          <w:color w:val="000000" w:themeColor="text1"/>
          <w:sz w:val="28"/>
          <w:szCs w:val="28"/>
          <w:lang w:eastAsia="es-MX"/>
        </w:rPr>
        <w:t>s</w:t>
      </w:r>
      <w:r w:rsidRPr="00D61E7E">
        <w:rPr>
          <w:rFonts w:ascii="Times New Roman" w:hAnsi="Times New Roman" w:cs="Times New Roman"/>
          <w:color w:val="000000" w:themeColor="text1"/>
          <w:sz w:val="28"/>
          <w:szCs w:val="28"/>
        </w:rPr>
        <w:t xml:space="preserve"> no guarda</w:t>
      </w:r>
      <w:r w:rsidRPr="00D61E7E">
        <w:rPr>
          <w:rFonts w:ascii="Times New Roman" w:hAnsi="Times New Roman" w:cs="Times New Roman"/>
          <w:color w:val="000000" w:themeColor="text1"/>
          <w:sz w:val="28"/>
          <w:szCs w:val="28"/>
        </w:rPr>
        <w:t>n</w:t>
      </w:r>
      <w:r w:rsidRPr="00D61E7E">
        <w:rPr>
          <w:rFonts w:ascii="Times New Roman" w:hAnsi="Times New Roman" w:cs="Times New Roman"/>
          <w:color w:val="000000" w:themeColor="text1"/>
          <w:sz w:val="28"/>
          <w:szCs w:val="28"/>
        </w:rPr>
        <w:t xml:space="preserve"> una relación de conexidad causal, teleológica, temática o sistemática con la materia dominante en la </w:t>
      </w:r>
      <w:r w:rsidRPr="00D61E7E">
        <w:rPr>
          <w:rFonts w:ascii="Times New Roman" w:hAnsi="Times New Roman" w:cs="Times New Roman"/>
          <w:color w:val="000000" w:themeColor="text1"/>
          <w:sz w:val="28"/>
          <w:szCs w:val="28"/>
        </w:rPr>
        <w:t>Ley 2069 de 2020</w:t>
      </w:r>
      <w:r w:rsidRPr="00D61E7E">
        <w:rPr>
          <w:rFonts w:ascii="Times New Roman" w:hAnsi="Times New Roman" w:cs="Times New Roman"/>
          <w:color w:val="000000" w:themeColor="text1"/>
          <w:sz w:val="28"/>
          <w:szCs w:val="28"/>
        </w:rPr>
        <w:t xml:space="preserve">, </w:t>
      </w:r>
      <w:r w:rsidRPr="00D61E7E">
        <w:rPr>
          <w:rFonts w:ascii="Times New Roman" w:hAnsi="Times New Roman" w:cs="Times New Roman"/>
          <w:color w:val="000000" w:themeColor="text1"/>
          <w:sz w:val="28"/>
          <w:szCs w:val="28"/>
        </w:rPr>
        <w:t>la cual se refiere al impulso del emprendimiento.</w:t>
      </w:r>
    </w:p>
    <w:p w:rsidR="00B8617F" w:rsidRPr="00D61E7E" w:rsidRDefault="00D61E7E" w:rsidP="009403FC">
      <w:pPr>
        <w:pStyle w:val="Prrafodelista"/>
        <w:shd w:val="clear" w:color="auto" w:fill="FFFFFF"/>
        <w:ind w:left="0"/>
        <w:rPr>
          <w:rFonts w:ascii="Times New Roman" w:hAnsi="Times New Roman" w:cs="Times New Roman"/>
          <w:color w:val="000000" w:themeColor="text1"/>
          <w:sz w:val="28"/>
          <w:szCs w:val="28"/>
        </w:rPr>
      </w:pPr>
    </w:p>
    <w:p w:rsidR="009403FC" w:rsidRPr="00D61E7E" w:rsidRDefault="00D61E7E" w:rsidP="009403FC">
      <w:pPr>
        <w:pStyle w:val="Prrafodelista"/>
        <w:numPr>
          <w:ilvl w:val="0"/>
          <w:numId w:val="3"/>
        </w:numPr>
        <w:shd w:val="clear" w:color="auto" w:fill="FFFFFF"/>
        <w:rPr>
          <w:rFonts w:ascii="Times New Roman" w:eastAsia="Times New Roman" w:hAnsi="Times New Roman" w:cs="Times New Roman"/>
          <w:b/>
          <w:bCs/>
          <w:color w:val="000000" w:themeColor="text1"/>
          <w:sz w:val="28"/>
          <w:szCs w:val="28"/>
          <w:lang w:eastAsia="es-MX"/>
        </w:rPr>
      </w:pPr>
      <w:r w:rsidRPr="00D61E7E">
        <w:rPr>
          <w:rFonts w:ascii="Times New Roman" w:hAnsi="Times New Roman" w:cs="Times New Roman"/>
          <w:sz w:val="28"/>
          <w:szCs w:val="28"/>
          <w:lang w:val="es-ES"/>
        </w:rPr>
        <w:t xml:space="preserve">La demanda presentada contra los artículos 70 y 73 de la </w:t>
      </w:r>
      <w:r w:rsidRPr="00D61E7E">
        <w:rPr>
          <w:rFonts w:ascii="Times New Roman" w:hAnsi="Times New Roman" w:cs="Times New Roman"/>
          <w:sz w:val="28"/>
          <w:szCs w:val="28"/>
          <w:lang w:val="es-ES"/>
        </w:rPr>
        <w:t>Ley 2069 de 2020</w:t>
      </w:r>
      <w:r w:rsidRPr="00D61E7E">
        <w:rPr>
          <w:rFonts w:ascii="Times New Roman" w:hAnsi="Times New Roman" w:cs="Times New Roman"/>
          <w:sz w:val="28"/>
          <w:szCs w:val="28"/>
          <w:lang w:val="es-ES"/>
        </w:rPr>
        <w:t xml:space="preserve"> argumenta que estas disposiciones no mantienen una conexión adecuada con el objetivo primordial de la ley, que es impulsar el empre</w:t>
      </w:r>
      <w:r w:rsidRPr="00D61E7E">
        <w:rPr>
          <w:rFonts w:ascii="Times New Roman" w:hAnsi="Times New Roman" w:cs="Times New Roman"/>
          <w:sz w:val="28"/>
          <w:szCs w:val="28"/>
          <w:lang w:val="es-ES"/>
        </w:rPr>
        <w:t>ndimiento en Colombia. La crítica central del demandante se centra en que, aunque estas normas puedan parecer pertinentes a primera vista, en realidad no contribuyen directamente al fomento del emprendimiento, sino que se enfocan en aspectos regulatorios y</w:t>
      </w:r>
      <w:r w:rsidRPr="00D61E7E">
        <w:rPr>
          <w:rFonts w:ascii="Times New Roman" w:hAnsi="Times New Roman" w:cs="Times New Roman"/>
          <w:sz w:val="28"/>
          <w:szCs w:val="28"/>
          <w:lang w:val="es-ES"/>
        </w:rPr>
        <w:t xml:space="preserve"> administrativos que, aunque relacionados, no fortalecen directamente el ecosistema emprendedor. Por lo tanto, es esencial profundizar en cómo estas disposiciones específicas desvían el enfoque de la ley de su propósito original, que debe ser incentivar y </w:t>
      </w:r>
      <w:r w:rsidRPr="00D61E7E">
        <w:rPr>
          <w:rFonts w:ascii="Times New Roman" w:hAnsi="Times New Roman" w:cs="Times New Roman"/>
          <w:sz w:val="28"/>
          <w:szCs w:val="28"/>
          <w:lang w:val="es-ES"/>
        </w:rPr>
        <w:t>facilitar la actividad emprendedora en el país.</w:t>
      </w:r>
    </w:p>
    <w:p w:rsidR="009403FC" w:rsidRPr="00D61E7E" w:rsidRDefault="00D61E7E" w:rsidP="009403FC">
      <w:pPr>
        <w:pStyle w:val="Prrafodelista"/>
        <w:rPr>
          <w:rFonts w:ascii="Times New Roman" w:hAnsi="Times New Roman" w:cs="Times New Roman"/>
          <w:sz w:val="28"/>
          <w:szCs w:val="28"/>
          <w:lang w:val="es-ES"/>
        </w:rPr>
      </w:pPr>
    </w:p>
    <w:p w:rsidR="009403FC" w:rsidRPr="00D61E7E" w:rsidRDefault="00D61E7E" w:rsidP="009403FC">
      <w:pPr>
        <w:pStyle w:val="Prrafodelista"/>
        <w:numPr>
          <w:ilvl w:val="0"/>
          <w:numId w:val="3"/>
        </w:numPr>
        <w:shd w:val="clear" w:color="auto" w:fill="FFFFFF"/>
        <w:rPr>
          <w:rFonts w:ascii="Times New Roman" w:hAnsi="Times New Roman" w:cs="Times New Roman"/>
          <w:sz w:val="28"/>
          <w:szCs w:val="28"/>
          <w:lang w:val="es-ES"/>
        </w:rPr>
      </w:pPr>
      <w:r w:rsidRPr="00D61E7E">
        <w:rPr>
          <w:rFonts w:ascii="Times New Roman" w:hAnsi="Times New Roman" w:cs="Times New Roman"/>
          <w:sz w:val="28"/>
          <w:szCs w:val="28"/>
          <w:lang w:val="es-ES"/>
        </w:rPr>
        <w:t xml:space="preserve">El análisis del demandante sugiere que hay una falta de conexidad causal y teleológica en los artículos cuestionados. En el caso del artículo 70, que transfiere competencias de vigilancia de la </w:t>
      </w:r>
      <w:r w:rsidRPr="00D61E7E">
        <w:rPr>
          <w:rFonts w:ascii="Times New Roman" w:hAnsi="Times New Roman" w:cs="Times New Roman"/>
          <w:sz w:val="28"/>
          <w:szCs w:val="28"/>
          <w:lang w:val="es-ES"/>
        </w:rPr>
        <w:t>Superintendencia de Industria y Comercio a la Superintendencia de Sociedades, el argumento podría reforzarse señalando que este cambio estructural no necesariamente se traduce en un beneficio directo para los emprendedores, sino que responde más bien a una</w:t>
      </w:r>
      <w:r w:rsidRPr="00D61E7E">
        <w:rPr>
          <w:rFonts w:ascii="Times New Roman" w:hAnsi="Times New Roman" w:cs="Times New Roman"/>
          <w:sz w:val="28"/>
          <w:szCs w:val="28"/>
          <w:lang w:val="es-ES"/>
        </w:rPr>
        <w:t xml:space="preserve"> lógica de eficiencia administrativa interna. Similarmente, el artículo 73, al hacer permanentes ciertos procedimientos virtuales en la inspección tributaria y de control cambiario, aunque moderniza la administración, no incide directamente en la reducción</w:t>
      </w:r>
      <w:r w:rsidRPr="00D61E7E">
        <w:rPr>
          <w:rFonts w:ascii="Times New Roman" w:hAnsi="Times New Roman" w:cs="Times New Roman"/>
          <w:sz w:val="28"/>
          <w:szCs w:val="28"/>
          <w:lang w:val="es-ES"/>
        </w:rPr>
        <w:t xml:space="preserve"> de barreras para la creación o el desarrollo de nuevas empresas.</w:t>
      </w:r>
    </w:p>
    <w:p w:rsidR="009403FC" w:rsidRPr="00D61E7E" w:rsidRDefault="00D61E7E" w:rsidP="009403FC">
      <w:pPr>
        <w:pStyle w:val="Prrafodelista"/>
        <w:rPr>
          <w:rFonts w:ascii="Times New Roman" w:hAnsi="Times New Roman" w:cs="Times New Roman"/>
          <w:sz w:val="28"/>
          <w:szCs w:val="28"/>
        </w:rPr>
      </w:pPr>
    </w:p>
    <w:p w:rsidR="009403FC" w:rsidRPr="00D61E7E" w:rsidRDefault="00D61E7E" w:rsidP="00B6425C">
      <w:pPr>
        <w:pStyle w:val="Prrafodelista"/>
        <w:numPr>
          <w:ilvl w:val="0"/>
          <w:numId w:val="3"/>
        </w:numPr>
        <w:shd w:val="clear" w:color="auto" w:fill="FFFFFF"/>
        <w:rPr>
          <w:rFonts w:ascii="Times New Roman" w:hAnsi="Times New Roman" w:cs="Times New Roman"/>
          <w:sz w:val="28"/>
          <w:szCs w:val="28"/>
          <w:lang w:val="es-ES"/>
        </w:rPr>
      </w:pPr>
      <w:r w:rsidRPr="00D61E7E">
        <w:rPr>
          <w:rFonts w:ascii="Times New Roman" w:hAnsi="Times New Roman" w:cs="Times New Roman"/>
          <w:sz w:val="28"/>
          <w:szCs w:val="28"/>
        </w:rPr>
        <w:t>Así, las cosas el demandante abordó de forma cuidadosa la demostración de la falta de conexidad causal, teleológica, temática y sistemática entre los artículos impugnados y el propósito ese</w:t>
      </w:r>
      <w:r w:rsidRPr="00D61E7E">
        <w:rPr>
          <w:rFonts w:ascii="Times New Roman" w:hAnsi="Times New Roman" w:cs="Times New Roman"/>
          <w:sz w:val="28"/>
          <w:szCs w:val="28"/>
        </w:rPr>
        <w:t xml:space="preserve">ncial de la </w:t>
      </w:r>
      <w:r w:rsidRPr="00D61E7E">
        <w:rPr>
          <w:rFonts w:ascii="Times New Roman" w:hAnsi="Times New Roman" w:cs="Times New Roman"/>
          <w:sz w:val="28"/>
          <w:szCs w:val="28"/>
        </w:rPr>
        <w:t>Ley 2069 de 2020</w:t>
      </w:r>
      <w:r w:rsidRPr="00D61E7E">
        <w:rPr>
          <w:rFonts w:ascii="Times New Roman" w:hAnsi="Times New Roman" w:cs="Times New Roman"/>
          <w:sz w:val="28"/>
          <w:szCs w:val="28"/>
        </w:rPr>
        <w:t xml:space="preserve">, que es fomentar el emprendimiento. Este enfoque </w:t>
      </w:r>
      <w:r w:rsidRPr="00D61E7E">
        <w:rPr>
          <w:rFonts w:ascii="Times New Roman" w:hAnsi="Times New Roman" w:cs="Times New Roman"/>
          <w:sz w:val="28"/>
          <w:szCs w:val="28"/>
        </w:rPr>
        <w:t xml:space="preserve">presentado por el señor López Molina </w:t>
      </w:r>
      <w:r w:rsidRPr="00D61E7E">
        <w:rPr>
          <w:rFonts w:ascii="Times New Roman" w:hAnsi="Times New Roman" w:cs="Times New Roman"/>
          <w:sz w:val="28"/>
          <w:szCs w:val="28"/>
        </w:rPr>
        <w:t xml:space="preserve">resalta la importancia de alinear todas las disposiciones legales con el núcleo central de la legislación, </w:t>
      </w:r>
      <w:r w:rsidRPr="00D61E7E">
        <w:rPr>
          <w:rFonts w:ascii="Times New Roman" w:hAnsi="Times New Roman" w:cs="Times New Roman"/>
          <w:sz w:val="28"/>
          <w:szCs w:val="28"/>
        </w:rPr>
        <w:t>para asegurar</w:t>
      </w:r>
      <w:r w:rsidRPr="00D61E7E">
        <w:rPr>
          <w:rFonts w:ascii="Times New Roman" w:hAnsi="Times New Roman" w:cs="Times New Roman"/>
          <w:sz w:val="28"/>
          <w:szCs w:val="28"/>
        </w:rPr>
        <w:t xml:space="preserve"> que cada elemento</w:t>
      </w:r>
      <w:r w:rsidRPr="00D61E7E">
        <w:rPr>
          <w:rFonts w:ascii="Times New Roman" w:hAnsi="Times New Roman" w:cs="Times New Roman"/>
          <w:sz w:val="28"/>
          <w:szCs w:val="28"/>
        </w:rPr>
        <w:t xml:space="preserve"> no</w:t>
      </w:r>
      <w:r w:rsidRPr="00D61E7E">
        <w:rPr>
          <w:rFonts w:ascii="Times New Roman" w:hAnsi="Times New Roman" w:cs="Times New Roman"/>
          <w:sz w:val="28"/>
          <w:szCs w:val="28"/>
        </w:rPr>
        <w:t>rmativo</w:t>
      </w:r>
      <w:r w:rsidRPr="00D61E7E">
        <w:rPr>
          <w:rFonts w:ascii="Times New Roman" w:hAnsi="Times New Roman" w:cs="Times New Roman"/>
          <w:sz w:val="28"/>
          <w:szCs w:val="28"/>
        </w:rPr>
        <w:t xml:space="preserve"> contribuy</w:t>
      </w:r>
      <w:r w:rsidRPr="00D61E7E">
        <w:rPr>
          <w:rFonts w:ascii="Times New Roman" w:hAnsi="Times New Roman" w:cs="Times New Roman"/>
          <w:sz w:val="28"/>
          <w:szCs w:val="28"/>
        </w:rPr>
        <w:t>e</w:t>
      </w:r>
      <w:r w:rsidRPr="00D61E7E">
        <w:rPr>
          <w:rFonts w:ascii="Times New Roman" w:hAnsi="Times New Roman" w:cs="Times New Roman"/>
          <w:sz w:val="28"/>
          <w:szCs w:val="28"/>
        </w:rPr>
        <w:t xml:space="preserve"> directamente a la meta de apoyar y estimular el desarrollo empresarial en el país. Al evidenciar esta desconexión, el demandante pone en cuestión la coherencia y efectividad de la ley en su conjunto, señalando cómo ciertos artículos pued</w:t>
      </w:r>
      <w:r w:rsidRPr="00D61E7E">
        <w:rPr>
          <w:rFonts w:ascii="Times New Roman" w:hAnsi="Times New Roman" w:cs="Times New Roman"/>
          <w:sz w:val="28"/>
          <w:szCs w:val="28"/>
        </w:rPr>
        <w:t>en desviar la ley de su objetivo original y diluir su impacto en el ecosistema emprendedor.</w:t>
      </w:r>
    </w:p>
    <w:p w:rsidR="009403FC" w:rsidRPr="00D61E7E" w:rsidRDefault="00D61E7E" w:rsidP="009403FC">
      <w:pPr>
        <w:pStyle w:val="Prrafodelista"/>
        <w:rPr>
          <w:rFonts w:ascii="Times New Roman" w:eastAsia="Times New Roman" w:hAnsi="Times New Roman" w:cs="Times New Roman"/>
          <w:color w:val="000000" w:themeColor="text1"/>
          <w:sz w:val="28"/>
          <w:szCs w:val="28"/>
          <w:lang w:eastAsia="es-MX"/>
        </w:rPr>
      </w:pPr>
    </w:p>
    <w:p w:rsidR="009403FC" w:rsidRPr="00D61E7E" w:rsidRDefault="00D61E7E" w:rsidP="00B6425C">
      <w:pPr>
        <w:pStyle w:val="Prrafodelista"/>
        <w:numPr>
          <w:ilvl w:val="0"/>
          <w:numId w:val="3"/>
        </w:numPr>
        <w:shd w:val="clear" w:color="auto" w:fill="FFFFFF"/>
        <w:rPr>
          <w:rFonts w:ascii="Times New Roman" w:hAnsi="Times New Roman" w:cs="Times New Roman"/>
          <w:sz w:val="28"/>
          <w:szCs w:val="28"/>
          <w:lang w:val="es-ES"/>
        </w:rPr>
      </w:pPr>
      <w:r w:rsidRPr="00D61E7E">
        <w:rPr>
          <w:rFonts w:ascii="Times New Roman" w:eastAsia="Times New Roman" w:hAnsi="Times New Roman" w:cs="Times New Roman"/>
          <w:color w:val="000000" w:themeColor="text1"/>
          <w:sz w:val="28"/>
          <w:szCs w:val="28"/>
          <w:lang w:eastAsia="es-MX"/>
        </w:rPr>
        <w:t>P</w:t>
      </w:r>
      <w:r w:rsidRPr="00D61E7E">
        <w:rPr>
          <w:rFonts w:ascii="Times New Roman" w:eastAsia="Times New Roman" w:hAnsi="Times New Roman" w:cs="Times New Roman"/>
          <w:color w:val="000000" w:themeColor="text1"/>
          <w:sz w:val="28"/>
          <w:szCs w:val="28"/>
          <w:lang w:eastAsia="es-MX"/>
        </w:rPr>
        <w:t>or ello, para</w:t>
      </w:r>
      <w:r w:rsidRPr="00D61E7E">
        <w:rPr>
          <w:rFonts w:ascii="Times New Roman" w:eastAsia="Times New Roman" w:hAnsi="Times New Roman" w:cs="Times New Roman"/>
          <w:color w:val="000000" w:themeColor="text1"/>
          <w:sz w:val="28"/>
          <w:szCs w:val="28"/>
          <w:lang w:eastAsia="es-MX"/>
        </w:rPr>
        <w:t xml:space="preserve"> la</w:t>
      </w:r>
      <w:r w:rsidRPr="00D61E7E">
        <w:rPr>
          <w:rFonts w:ascii="Times New Roman" w:eastAsia="Times New Roman" w:hAnsi="Times New Roman" w:cs="Times New Roman"/>
          <w:b/>
          <w:bCs/>
          <w:color w:val="000000" w:themeColor="text1"/>
          <w:sz w:val="28"/>
          <w:szCs w:val="28"/>
          <w:lang w:eastAsia="es-MX"/>
        </w:rPr>
        <w:t xml:space="preserve"> </w:t>
      </w:r>
      <w:r w:rsidRPr="00D61E7E">
        <w:rPr>
          <w:rFonts w:ascii="Times New Roman" w:eastAsia="Times New Roman" w:hAnsi="Times New Roman" w:cs="Times New Roman"/>
          <w:bCs/>
          <w:color w:val="000000" w:themeColor="text1"/>
          <w:sz w:val="28"/>
          <w:szCs w:val="28"/>
          <w:lang w:eastAsia="es-MX"/>
        </w:rPr>
        <w:t>Corte</w:t>
      </w:r>
      <w:r w:rsidRPr="00D61E7E">
        <w:rPr>
          <w:rFonts w:ascii="Times New Roman" w:eastAsia="Times New Roman" w:hAnsi="Times New Roman" w:cs="Times New Roman"/>
          <w:b/>
          <w:bCs/>
          <w:color w:val="000000" w:themeColor="text1"/>
          <w:sz w:val="28"/>
          <w:szCs w:val="28"/>
          <w:lang w:eastAsia="es-MX"/>
        </w:rPr>
        <w:t xml:space="preserve">, </w:t>
      </w:r>
      <w:r w:rsidRPr="00D61E7E">
        <w:rPr>
          <w:rFonts w:ascii="Times New Roman" w:eastAsia="Times New Roman" w:hAnsi="Times New Roman" w:cs="Times New Roman"/>
          <w:color w:val="000000" w:themeColor="text1"/>
          <w:sz w:val="28"/>
          <w:szCs w:val="28"/>
          <w:lang w:eastAsia="es-MX"/>
        </w:rPr>
        <w:t>la demanda</w:t>
      </w:r>
      <w:r w:rsidRPr="00D61E7E">
        <w:rPr>
          <w:rFonts w:ascii="Times New Roman" w:eastAsia="Times New Roman" w:hAnsi="Times New Roman" w:cs="Times New Roman"/>
          <w:color w:val="000000" w:themeColor="text1"/>
          <w:sz w:val="28"/>
          <w:szCs w:val="28"/>
          <w:lang w:eastAsia="es-MX"/>
        </w:rPr>
        <w:t xml:space="preserve"> </w:t>
      </w:r>
      <w:r w:rsidRPr="00D61E7E">
        <w:rPr>
          <w:rFonts w:ascii="Times New Roman" w:eastAsia="Times New Roman" w:hAnsi="Times New Roman" w:cs="Times New Roman"/>
          <w:color w:val="000000" w:themeColor="text1"/>
          <w:sz w:val="28"/>
          <w:szCs w:val="28"/>
          <w:lang w:eastAsia="es-MX"/>
        </w:rPr>
        <w:t xml:space="preserve">es </w:t>
      </w:r>
      <w:r w:rsidRPr="00D61E7E">
        <w:rPr>
          <w:rFonts w:ascii="Times New Roman" w:eastAsia="Times New Roman" w:hAnsi="Times New Roman" w:cs="Times New Roman"/>
          <w:b/>
          <w:color w:val="000000" w:themeColor="text1"/>
          <w:sz w:val="28"/>
          <w:szCs w:val="28"/>
          <w:lang w:eastAsia="es-MX"/>
        </w:rPr>
        <w:t>clara</w:t>
      </w:r>
      <w:r w:rsidRPr="00D61E7E">
        <w:rPr>
          <w:rFonts w:ascii="Times New Roman" w:eastAsia="Times New Roman" w:hAnsi="Times New Roman" w:cs="Times New Roman"/>
          <w:color w:val="000000" w:themeColor="text1"/>
          <w:sz w:val="28"/>
          <w:szCs w:val="28"/>
          <w:lang w:eastAsia="es-MX"/>
        </w:rPr>
        <w:t xml:space="preserve">, pues </w:t>
      </w:r>
      <w:r w:rsidRPr="00D61E7E">
        <w:rPr>
          <w:rFonts w:ascii="Times New Roman" w:eastAsia="Times New Roman" w:hAnsi="Times New Roman" w:cs="Times New Roman"/>
          <w:color w:val="000000" w:themeColor="text1"/>
          <w:sz w:val="28"/>
          <w:szCs w:val="28"/>
          <w:lang w:eastAsia="es-MX"/>
        </w:rPr>
        <w:t>deja entrever cuál es el reproche constitucional relacionado con la violación de la unidad de materia.</w:t>
      </w:r>
      <w:r w:rsidRPr="00D61E7E">
        <w:rPr>
          <w:rFonts w:ascii="Times New Roman" w:hAnsi="Times New Roman" w:cs="Times New Roman"/>
          <w:sz w:val="28"/>
          <w:szCs w:val="28"/>
          <w:lang w:eastAsia="es-ES"/>
        </w:rPr>
        <w:t xml:space="preserve"> </w:t>
      </w:r>
      <w:r w:rsidRPr="00D61E7E">
        <w:rPr>
          <w:rFonts w:ascii="Times New Roman" w:hAnsi="Times New Roman" w:cs="Times New Roman"/>
          <w:sz w:val="28"/>
          <w:szCs w:val="28"/>
          <w:lang w:eastAsia="es-ES"/>
        </w:rPr>
        <w:t>E</w:t>
      </w:r>
      <w:r w:rsidRPr="00D61E7E">
        <w:rPr>
          <w:rFonts w:ascii="Times New Roman" w:hAnsi="Times New Roman" w:cs="Times New Roman"/>
          <w:sz w:val="28"/>
          <w:szCs w:val="28"/>
          <w:lang w:eastAsia="es-ES"/>
        </w:rPr>
        <w:t xml:space="preserve">l </w:t>
      </w:r>
      <w:r w:rsidRPr="00D61E7E">
        <w:rPr>
          <w:rFonts w:ascii="Times New Roman" w:hAnsi="Times New Roman" w:cs="Times New Roman"/>
          <w:sz w:val="28"/>
          <w:szCs w:val="28"/>
          <w:lang w:eastAsia="es-ES"/>
        </w:rPr>
        <w:t>cargo</w:t>
      </w:r>
      <w:r w:rsidRPr="00D61E7E">
        <w:rPr>
          <w:rFonts w:ascii="Times New Roman" w:hAnsi="Times New Roman" w:cs="Times New Roman"/>
          <w:sz w:val="28"/>
          <w:szCs w:val="28"/>
          <w:lang w:eastAsia="es-ES"/>
        </w:rPr>
        <w:t xml:space="preserve"> es </w:t>
      </w:r>
      <w:r w:rsidRPr="00D61E7E">
        <w:rPr>
          <w:rFonts w:ascii="Times New Roman" w:hAnsi="Times New Roman" w:cs="Times New Roman"/>
          <w:b/>
          <w:sz w:val="28"/>
          <w:szCs w:val="28"/>
          <w:lang w:eastAsia="es-ES"/>
        </w:rPr>
        <w:t>cierto</w:t>
      </w:r>
      <w:r w:rsidRPr="00D61E7E">
        <w:rPr>
          <w:rFonts w:ascii="Times New Roman" w:hAnsi="Times New Roman" w:cs="Times New Roman"/>
          <w:sz w:val="28"/>
          <w:szCs w:val="28"/>
          <w:lang w:eastAsia="es-ES"/>
        </w:rPr>
        <w:t xml:space="preserve"> dado que el elemento normativo que cuestiona el demandante puede ser identificado a partir de una interpretación literal de los artículo</w:t>
      </w:r>
      <w:r w:rsidRPr="00D61E7E">
        <w:rPr>
          <w:rFonts w:ascii="Times New Roman" w:hAnsi="Times New Roman" w:cs="Times New Roman"/>
          <w:sz w:val="28"/>
          <w:szCs w:val="28"/>
          <w:lang w:eastAsia="es-ES"/>
        </w:rPr>
        <w:t>s</w:t>
      </w:r>
      <w:r w:rsidRPr="00D61E7E">
        <w:rPr>
          <w:rFonts w:ascii="Times New Roman" w:hAnsi="Times New Roman" w:cs="Times New Roman"/>
          <w:sz w:val="28"/>
          <w:szCs w:val="28"/>
          <w:lang w:eastAsia="es-ES"/>
        </w:rPr>
        <w:t xml:space="preserve"> 70 y 73 de la </w:t>
      </w:r>
      <w:r w:rsidRPr="00D61E7E">
        <w:rPr>
          <w:rFonts w:ascii="Times New Roman" w:hAnsi="Times New Roman" w:cs="Times New Roman"/>
          <w:sz w:val="28"/>
          <w:szCs w:val="28"/>
          <w:lang w:eastAsia="es-ES"/>
        </w:rPr>
        <w:t>Ley 2069 de 2020</w:t>
      </w:r>
      <w:r w:rsidRPr="00D61E7E">
        <w:rPr>
          <w:rFonts w:ascii="Times New Roman" w:hAnsi="Times New Roman" w:cs="Times New Roman"/>
          <w:sz w:val="28"/>
          <w:szCs w:val="28"/>
          <w:lang w:eastAsia="es-ES"/>
        </w:rPr>
        <w:t xml:space="preserve">. </w:t>
      </w:r>
      <w:r w:rsidRPr="00D61E7E">
        <w:rPr>
          <w:rFonts w:ascii="Times New Roman" w:hAnsi="Times New Roman" w:cs="Times New Roman"/>
          <w:sz w:val="28"/>
          <w:szCs w:val="28"/>
          <w:lang w:eastAsia="es-ES"/>
        </w:rPr>
        <w:t>El cargo es, además,</w:t>
      </w:r>
      <w:r w:rsidRPr="00D61E7E">
        <w:rPr>
          <w:rFonts w:ascii="Times New Roman" w:hAnsi="Times New Roman" w:cs="Times New Roman"/>
          <w:sz w:val="28"/>
          <w:szCs w:val="28"/>
          <w:lang w:eastAsia="es-ES"/>
        </w:rPr>
        <w:t xml:space="preserve"> </w:t>
      </w:r>
      <w:r w:rsidRPr="00D61E7E">
        <w:rPr>
          <w:rFonts w:ascii="Times New Roman" w:hAnsi="Times New Roman" w:cs="Times New Roman"/>
          <w:b/>
          <w:sz w:val="28"/>
          <w:szCs w:val="28"/>
          <w:lang w:eastAsia="es-ES"/>
        </w:rPr>
        <w:t>específico</w:t>
      </w:r>
      <w:r w:rsidRPr="00D61E7E">
        <w:rPr>
          <w:rFonts w:ascii="Times New Roman" w:hAnsi="Times New Roman" w:cs="Times New Roman"/>
          <w:sz w:val="28"/>
          <w:szCs w:val="28"/>
          <w:lang w:eastAsia="es-ES"/>
        </w:rPr>
        <w:t xml:space="preserve"> porque el actor explicó las razones por las cuales, a su juicio, existe una contradicción entre el contenido de los artículos demandados y el objeto general de la ley. En particular, el señor López Molina estimó que</w:t>
      </w:r>
      <w:r w:rsidRPr="00D61E7E">
        <w:rPr>
          <w:rFonts w:ascii="Times New Roman" w:hAnsi="Times New Roman" w:cs="Times New Roman"/>
          <w:sz w:val="28"/>
          <w:szCs w:val="28"/>
          <w:lang w:eastAsia="es-ES"/>
        </w:rPr>
        <w:t xml:space="preserve">: (i) </w:t>
      </w:r>
      <w:r w:rsidRPr="00D61E7E">
        <w:rPr>
          <w:rFonts w:ascii="Times New Roman" w:hAnsi="Times New Roman" w:cs="Times New Roman"/>
          <w:sz w:val="28"/>
          <w:szCs w:val="28"/>
          <w:lang w:eastAsia="es-ES"/>
        </w:rPr>
        <w:t>la transferencia de competencias d</w:t>
      </w:r>
      <w:r w:rsidRPr="00D61E7E">
        <w:rPr>
          <w:rFonts w:ascii="Times New Roman" w:hAnsi="Times New Roman" w:cs="Times New Roman"/>
          <w:sz w:val="28"/>
          <w:szCs w:val="28"/>
          <w:lang w:eastAsia="es-ES"/>
        </w:rPr>
        <w:t>e inspección y vigilancia de la Superintendencia de Industria y Comercio a la Superintendencia de Sociedades</w:t>
      </w:r>
      <w:r w:rsidRPr="00D61E7E">
        <w:rPr>
          <w:rFonts w:ascii="Times New Roman" w:hAnsi="Times New Roman" w:cs="Times New Roman"/>
          <w:sz w:val="28"/>
          <w:szCs w:val="28"/>
          <w:lang w:eastAsia="es-ES"/>
        </w:rPr>
        <w:t>,</w:t>
      </w:r>
      <w:r w:rsidRPr="00D61E7E">
        <w:rPr>
          <w:rFonts w:ascii="Times New Roman" w:hAnsi="Times New Roman" w:cs="Times New Roman"/>
          <w:sz w:val="28"/>
          <w:szCs w:val="28"/>
          <w:lang w:eastAsia="es-ES"/>
        </w:rPr>
        <w:t xml:space="preserve"> en relación con el registro mercantil y otros actos de comercio</w:t>
      </w:r>
      <w:r w:rsidRPr="00D61E7E">
        <w:rPr>
          <w:rFonts w:ascii="Times New Roman" w:hAnsi="Times New Roman" w:cs="Times New Roman"/>
          <w:sz w:val="28"/>
          <w:szCs w:val="28"/>
          <w:lang w:eastAsia="es-ES"/>
        </w:rPr>
        <w:t xml:space="preserve">, y (ii) </w:t>
      </w:r>
      <w:r w:rsidRPr="00D61E7E">
        <w:rPr>
          <w:rFonts w:ascii="Times New Roman" w:hAnsi="Times New Roman" w:cs="Times New Roman"/>
          <w:sz w:val="28"/>
          <w:szCs w:val="28"/>
          <w:lang w:eastAsia="es-ES"/>
        </w:rPr>
        <w:t>la determinación de volver permanentes una</w:t>
      </w:r>
      <w:r w:rsidRPr="00D61E7E">
        <w:rPr>
          <w:rFonts w:ascii="Times New Roman" w:hAnsi="Times New Roman" w:cs="Times New Roman"/>
          <w:sz w:val="28"/>
          <w:szCs w:val="28"/>
          <w:lang w:eastAsia="es-ES"/>
        </w:rPr>
        <w:t>s</w:t>
      </w:r>
      <w:r w:rsidRPr="00D61E7E">
        <w:rPr>
          <w:rFonts w:ascii="Times New Roman" w:hAnsi="Times New Roman" w:cs="Times New Roman"/>
          <w:sz w:val="28"/>
          <w:szCs w:val="28"/>
          <w:lang w:eastAsia="es-ES"/>
        </w:rPr>
        <w:t xml:space="preserve"> normas relacionad</w:t>
      </w:r>
      <w:r w:rsidRPr="00D61E7E">
        <w:rPr>
          <w:rFonts w:ascii="Times New Roman" w:hAnsi="Times New Roman" w:cs="Times New Roman"/>
          <w:sz w:val="28"/>
          <w:szCs w:val="28"/>
          <w:lang w:eastAsia="es-ES"/>
        </w:rPr>
        <w:t>a</w:t>
      </w:r>
      <w:r w:rsidRPr="00D61E7E">
        <w:rPr>
          <w:rFonts w:ascii="Times New Roman" w:hAnsi="Times New Roman" w:cs="Times New Roman"/>
          <w:sz w:val="28"/>
          <w:szCs w:val="28"/>
          <w:lang w:eastAsia="es-ES"/>
        </w:rPr>
        <w:t>s con la vir</w:t>
      </w:r>
      <w:r w:rsidRPr="00D61E7E">
        <w:rPr>
          <w:rFonts w:ascii="Times New Roman" w:hAnsi="Times New Roman" w:cs="Times New Roman"/>
          <w:sz w:val="28"/>
          <w:szCs w:val="28"/>
          <w:lang w:eastAsia="es-ES"/>
        </w:rPr>
        <w:t>tualidad en los procesos contables y tributarios</w:t>
      </w:r>
      <w:r w:rsidRPr="00D61E7E">
        <w:rPr>
          <w:rFonts w:ascii="Times New Roman" w:hAnsi="Times New Roman" w:cs="Times New Roman"/>
          <w:sz w:val="28"/>
          <w:szCs w:val="28"/>
          <w:lang w:eastAsia="es-ES"/>
        </w:rPr>
        <w:t>,</w:t>
      </w:r>
      <w:r w:rsidRPr="00D61E7E">
        <w:rPr>
          <w:rFonts w:ascii="Times New Roman" w:hAnsi="Times New Roman" w:cs="Times New Roman"/>
          <w:sz w:val="28"/>
          <w:szCs w:val="28"/>
          <w:lang w:eastAsia="es-ES"/>
        </w:rPr>
        <w:t xml:space="preserve"> </w:t>
      </w:r>
      <w:r w:rsidRPr="00D61E7E">
        <w:rPr>
          <w:rFonts w:ascii="Times New Roman" w:hAnsi="Times New Roman" w:cs="Times New Roman"/>
          <w:sz w:val="28"/>
          <w:szCs w:val="28"/>
          <w:lang w:eastAsia="es-ES"/>
        </w:rPr>
        <w:t xml:space="preserve">no </w:t>
      </w:r>
      <w:r w:rsidRPr="00D61E7E">
        <w:rPr>
          <w:rFonts w:ascii="Times New Roman" w:hAnsi="Times New Roman" w:cs="Times New Roman"/>
          <w:sz w:val="28"/>
          <w:szCs w:val="28"/>
          <w:lang w:eastAsia="es-ES"/>
        </w:rPr>
        <w:t>guarda</w:t>
      </w:r>
      <w:r w:rsidRPr="00D61E7E">
        <w:rPr>
          <w:rFonts w:ascii="Times New Roman" w:hAnsi="Times New Roman" w:cs="Times New Roman"/>
          <w:sz w:val="28"/>
          <w:szCs w:val="28"/>
          <w:lang w:eastAsia="es-ES"/>
        </w:rPr>
        <w:t xml:space="preserve"> conexidad con el incentivo del emprendimiento. </w:t>
      </w:r>
    </w:p>
    <w:p w:rsidR="009403FC" w:rsidRPr="00D61E7E" w:rsidRDefault="00D61E7E" w:rsidP="00B6425C">
      <w:pPr>
        <w:pStyle w:val="Prrafodelista"/>
        <w:shd w:val="clear" w:color="auto" w:fill="FFFFFF"/>
        <w:ind w:left="0"/>
        <w:rPr>
          <w:rFonts w:ascii="Times New Roman" w:hAnsi="Times New Roman" w:cs="Times New Roman"/>
          <w:sz w:val="28"/>
          <w:szCs w:val="28"/>
          <w:lang w:eastAsia="es-ES"/>
        </w:rPr>
      </w:pPr>
    </w:p>
    <w:p w:rsidR="009403FC" w:rsidRPr="00D61E7E" w:rsidRDefault="00D61E7E" w:rsidP="009403FC">
      <w:pPr>
        <w:pStyle w:val="Prrafodelista"/>
        <w:numPr>
          <w:ilvl w:val="0"/>
          <w:numId w:val="3"/>
        </w:numPr>
        <w:shd w:val="clear" w:color="auto" w:fill="FFFFFF"/>
        <w:rPr>
          <w:rFonts w:ascii="Times New Roman" w:hAnsi="Times New Roman" w:cs="Times New Roman"/>
          <w:sz w:val="28"/>
          <w:szCs w:val="28"/>
          <w:lang w:val="es-ES"/>
        </w:rPr>
      </w:pPr>
      <w:r w:rsidRPr="00D61E7E">
        <w:rPr>
          <w:rFonts w:ascii="Times New Roman" w:hAnsi="Times New Roman" w:cs="Times New Roman"/>
          <w:sz w:val="28"/>
          <w:szCs w:val="28"/>
          <w:lang w:eastAsia="es-ES"/>
        </w:rPr>
        <w:t xml:space="preserve">En igual sentido, para la Corte el cargo es </w:t>
      </w:r>
      <w:r w:rsidRPr="00D61E7E">
        <w:rPr>
          <w:rFonts w:ascii="Times New Roman" w:hAnsi="Times New Roman" w:cs="Times New Roman"/>
          <w:b/>
          <w:sz w:val="28"/>
          <w:szCs w:val="28"/>
          <w:lang w:eastAsia="es-ES"/>
        </w:rPr>
        <w:t>pertinente</w:t>
      </w:r>
      <w:r w:rsidRPr="00D61E7E">
        <w:rPr>
          <w:rFonts w:ascii="Times New Roman" w:hAnsi="Times New Roman" w:cs="Times New Roman"/>
          <w:sz w:val="28"/>
          <w:szCs w:val="28"/>
          <w:lang w:eastAsia="es-ES"/>
        </w:rPr>
        <w:t xml:space="preserve"> si se tiene en cuenta que las razones que fundamentan la presunta vulneración del</w:t>
      </w:r>
      <w:r w:rsidRPr="00D61E7E">
        <w:rPr>
          <w:rFonts w:ascii="Times New Roman" w:hAnsi="Times New Roman" w:cs="Times New Roman"/>
          <w:sz w:val="28"/>
          <w:szCs w:val="28"/>
          <w:lang w:eastAsia="es-ES"/>
        </w:rPr>
        <w:t xml:space="preserve"> principio de unidad de materia son de naturaleza constitucional.</w:t>
      </w:r>
      <w:r w:rsidRPr="00D61E7E">
        <w:rPr>
          <w:rFonts w:ascii="Times New Roman" w:hAnsi="Times New Roman" w:cs="Times New Roman"/>
          <w:sz w:val="28"/>
          <w:szCs w:val="28"/>
          <w:lang w:eastAsia="es-ES"/>
        </w:rPr>
        <w:t xml:space="preserve"> </w:t>
      </w:r>
      <w:r w:rsidRPr="00D61E7E">
        <w:rPr>
          <w:rFonts w:ascii="Times New Roman" w:hAnsi="Times New Roman" w:cs="Times New Roman"/>
          <w:sz w:val="28"/>
          <w:szCs w:val="28"/>
          <w:lang w:eastAsia="es-ES"/>
        </w:rPr>
        <w:t xml:space="preserve">Con base en </w:t>
      </w:r>
      <w:r w:rsidRPr="00D61E7E">
        <w:rPr>
          <w:rFonts w:ascii="Times New Roman" w:hAnsi="Times New Roman" w:cs="Times New Roman"/>
          <w:sz w:val="28"/>
          <w:szCs w:val="28"/>
          <w:lang w:eastAsia="es-ES"/>
        </w:rPr>
        <w:t xml:space="preserve">varias sentencias de la Corte Constitucional, en la demanda </w:t>
      </w:r>
      <w:r w:rsidRPr="00D61E7E">
        <w:rPr>
          <w:rFonts w:ascii="Times New Roman" w:hAnsi="Times New Roman" w:cs="Times New Roman"/>
          <w:sz w:val="28"/>
          <w:szCs w:val="28"/>
          <w:lang w:eastAsia="es-ES"/>
        </w:rPr>
        <w:t xml:space="preserve">se </w:t>
      </w:r>
      <w:r w:rsidRPr="00D61E7E">
        <w:rPr>
          <w:rFonts w:ascii="Times New Roman" w:hAnsi="Times New Roman" w:cs="Times New Roman"/>
          <w:sz w:val="28"/>
          <w:szCs w:val="28"/>
          <w:lang w:eastAsia="es-ES"/>
        </w:rPr>
        <w:t xml:space="preserve">explica </w:t>
      </w:r>
      <w:r w:rsidRPr="00D61E7E">
        <w:rPr>
          <w:rFonts w:ascii="Times New Roman" w:hAnsi="Times New Roman" w:cs="Times New Roman"/>
          <w:sz w:val="28"/>
          <w:szCs w:val="28"/>
          <w:lang w:eastAsia="es-ES"/>
        </w:rPr>
        <w:t>c</w:t>
      </w:r>
      <w:r w:rsidRPr="00D61E7E">
        <w:rPr>
          <w:rFonts w:ascii="Times New Roman" w:hAnsi="Times New Roman" w:cs="Times New Roman"/>
          <w:sz w:val="28"/>
          <w:szCs w:val="28"/>
          <w:lang w:eastAsia="es-ES"/>
        </w:rPr>
        <w:t>ó</w:t>
      </w:r>
      <w:r w:rsidRPr="00D61E7E">
        <w:rPr>
          <w:rFonts w:ascii="Times New Roman" w:hAnsi="Times New Roman" w:cs="Times New Roman"/>
          <w:sz w:val="28"/>
          <w:szCs w:val="28"/>
          <w:lang w:eastAsia="es-ES"/>
        </w:rPr>
        <w:t xml:space="preserve">mo dicho principio guía la labor legislativa y se deriva expresamente </w:t>
      </w:r>
      <w:r w:rsidRPr="00D61E7E">
        <w:rPr>
          <w:rFonts w:ascii="Times New Roman" w:hAnsi="Times New Roman" w:cs="Times New Roman"/>
          <w:sz w:val="28"/>
          <w:szCs w:val="28"/>
          <w:lang w:eastAsia="es-ES"/>
        </w:rPr>
        <w:t xml:space="preserve">de los artículos 158 y 169 de la Constitución. </w:t>
      </w:r>
      <w:r w:rsidRPr="00D61E7E">
        <w:rPr>
          <w:rFonts w:ascii="Times New Roman" w:hAnsi="Times New Roman" w:cs="Times New Roman"/>
          <w:sz w:val="28"/>
          <w:szCs w:val="28"/>
          <w:lang w:val="es-ES"/>
        </w:rPr>
        <w:t xml:space="preserve">De manera similar, el argumento expuesto por el ciudadano </w:t>
      </w:r>
      <w:r w:rsidRPr="00D61E7E">
        <w:rPr>
          <w:rFonts w:ascii="Times New Roman" w:hAnsi="Times New Roman" w:cs="Times New Roman"/>
          <w:sz w:val="28"/>
          <w:szCs w:val="28"/>
          <w:lang w:val="es-ES"/>
        </w:rPr>
        <w:t>Molina López</w:t>
      </w:r>
      <w:r w:rsidRPr="00D61E7E">
        <w:rPr>
          <w:rFonts w:ascii="Times New Roman" w:hAnsi="Times New Roman" w:cs="Times New Roman"/>
          <w:sz w:val="28"/>
          <w:szCs w:val="28"/>
          <w:lang w:val="es-ES"/>
        </w:rPr>
        <w:t xml:space="preserve"> es </w:t>
      </w:r>
      <w:r w:rsidRPr="00D61E7E">
        <w:rPr>
          <w:rFonts w:ascii="Times New Roman" w:hAnsi="Times New Roman" w:cs="Times New Roman"/>
          <w:b/>
          <w:sz w:val="28"/>
          <w:szCs w:val="28"/>
          <w:lang w:val="es-ES"/>
        </w:rPr>
        <w:t xml:space="preserve">suficiente </w:t>
      </w:r>
      <w:r w:rsidRPr="00D61E7E">
        <w:rPr>
          <w:rFonts w:ascii="Times New Roman" w:hAnsi="Times New Roman" w:cs="Times New Roman"/>
          <w:sz w:val="28"/>
          <w:szCs w:val="28"/>
          <w:lang w:val="es-ES"/>
        </w:rPr>
        <w:t>debido a que contiene los elementos argumentativos y probatorios mínimos indispensables para iniciar el juicio de validez so</w:t>
      </w:r>
      <w:r w:rsidRPr="00D61E7E">
        <w:rPr>
          <w:rFonts w:ascii="Times New Roman" w:hAnsi="Times New Roman" w:cs="Times New Roman"/>
          <w:sz w:val="28"/>
          <w:szCs w:val="28"/>
          <w:lang w:val="es-ES"/>
        </w:rPr>
        <w:t xml:space="preserve">bre la norma atacada. </w:t>
      </w:r>
      <w:r w:rsidRPr="00D61E7E">
        <w:rPr>
          <w:rFonts w:ascii="Times New Roman" w:hAnsi="Times New Roman" w:cs="Times New Roman"/>
          <w:sz w:val="28"/>
          <w:szCs w:val="28"/>
          <w:lang w:val="es-ES"/>
        </w:rPr>
        <w:t>En conclusión, para la Corte no hay duda que el cargo por unidad de materia es apto y procede un pronunciamiento de fondo a ese respecto.</w:t>
      </w:r>
    </w:p>
    <w:p w:rsidR="00AB381C" w:rsidRPr="00D61E7E" w:rsidRDefault="00D61E7E" w:rsidP="00AB381C">
      <w:pPr>
        <w:pStyle w:val="Prrafodelista"/>
        <w:shd w:val="clear" w:color="auto" w:fill="FFFFFF"/>
        <w:ind w:left="0"/>
        <w:rPr>
          <w:rFonts w:ascii="Times New Roman" w:eastAsia="Times New Roman" w:hAnsi="Times New Roman" w:cs="Times New Roman"/>
          <w:color w:val="000000" w:themeColor="text1"/>
          <w:sz w:val="28"/>
          <w:szCs w:val="28"/>
          <w:lang w:eastAsia="es-MX"/>
        </w:rPr>
      </w:pPr>
    </w:p>
    <w:p w:rsidR="00BE4D51" w:rsidRPr="00D61E7E" w:rsidRDefault="00D61E7E">
      <w:pPr>
        <w:pStyle w:val="Prrafodelista"/>
        <w:numPr>
          <w:ilvl w:val="0"/>
          <w:numId w:val="3"/>
        </w:numPr>
        <w:shd w:val="clear" w:color="auto" w:fill="FFFFFF"/>
        <w:rPr>
          <w:rFonts w:ascii="Times New Roman" w:eastAsia="Times New Roman" w:hAnsi="Times New Roman" w:cs="Times New Roman"/>
          <w:color w:val="000000" w:themeColor="text1"/>
          <w:sz w:val="28"/>
          <w:szCs w:val="28"/>
          <w:lang w:eastAsia="es-MX"/>
        </w:rPr>
      </w:pPr>
      <w:r w:rsidRPr="00D61E7E">
        <w:rPr>
          <w:rFonts w:ascii="Times New Roman" w:eastAsia="Times New Roman" w:hAnsi="Times New Roman" w:cs="Times New Roman"/>
          <w:color w:val="000000" w:themeColor="text1"/>
          <w:sz w:val="28"/>
          <w:szCs w:val="28"/>
          <w:lang w:eastAsia="es-MX"/>
        </w:rPr>
        <w:t xml:space="preserve">Ahora bien, </w:t>
      </w:r>
      <w:r w:rsidRPr="00D61E7E">
        <w:rPr>
          <w:rFonts w:ascii="Times New Roman" w:eastAsia="Times New Roman" w:hAnsi="Times New Roman" w:cs="Times New Roman"/>
          <w:color w:val="000000" w:themeColor="text1"/>
          <w:sz w:val="28"/>
          <w:szCs w:val="28"/>
          <w:lang w:eastAsia="es-MX"/>
        </w:rPr>
        <w:t xml:space="preserve">en relación con </w:t>
      </w:r>
      <w:r w:rsidRPr="00D61E7E">
        <w:rPr>
          <w:rFonts w:ascii="Times New Roman" w:hAnsi="Times New Roman" w:cs="Times New Roman"/>
          <w:b/>
          <w:color w:val="000000" w:themeColor="text1"/>
          <w:sz w:val="28"/>
          <w:szCs w:val="28"/>
          <w:lang w:eastAsia="es-MX"/>
        </w:rPr>
        <w:t xml:space="preserve">la solicitud de la CEJ y la </w:t>
      </w:r>
      <w:r w:rsidRPr="00D61E7E">
        <w:rPr>
          <w:rFonts w:ascii="Times New Roman" w:hAnsi="Times New Roman" w:cs="Times New Roman"/>
          <w:b/>
          <w:color w:val="000000" w:themeColor="text1"/>
          <w:sz w:val="28"/>
          <w:szCs w:val="28"/>
          <w:lang w:eastAsia="es-MX"/>
        </w:rPr>
        <w:t>U</w:t>
      </w:r>
      <w:r w:rsidRPr="00D61E7E">
        <w:rPr>
          <w:rFonts w:ascii="Times New Roman" w:hAnsi="Times New Roman" w:cs="Times New Roman"/>
          <w:b/>
          <w:color w:val="000000" w:themeColor="text1"/>
          <w:sz w:val="28"/>
          <w:szCs w:val="28"/>
          <w:lang w:eastAsia="es-MX"/>
        </w:rPr>
        <w:t>niversidad Javeriana</w:t>
      </w:r>
      <w:r w:rsidRPr="00D61E7E">
        <w:rPr>
          <w:rFonts w:ascii="Times New Roman" w:eastAsia="Times New Roman" w:hAnsi="Times New Roman" w:cs="Times New Roman"/>
          <w:color w:val="000000" w:themeColor="text1"/>
          <w:sz w:val="28"/>
          <w:szCs w:val="28"/>
          <w:lang w:eastAsia="es-MX"/>
        </w:rPr>
        <w:t xml:space="preserve"> de que se declare parcialmente </w:t>
      </w:r>
      <w:r w:rsidRPr="00D61E7E">
        <w:rPr>
          <w:rFonts w:ascii="Times New Roman" w:eastAsia="Times New Roman" w:hAnsi="Times New Roman" w:cs="Times New Roman"/>
          <w:color w:val="000000" w:themeColor="text1"/>
          <w:sz w:val="28"/>
          <w:szCs w:val="28"/>
          <w:lang w:eastAsia="es-MX"/>
        </w:rPr>
        <w:t xml:space="preserve">inexequible </w:t>
      </w:r>
      <w:r w:rsidRPr="00D61E7E">
        <w:rPr>
          <w:rFonts w:ascii="Times New Roman" w:eastAsia="Times New Roman" w:hAnsi="Times New Roman" w:cs="Times New Roman"/>
          <w:color w:val="000000" w:themeColor="text1"/>
          <w:sz w:val="28"/>
          <w:szCs w:val="28"/>
          <w:lang w:eastAsia="es-MX"/>
        </w:rPr>
        <w:t xml:space="preserve">el inciso </w:t>
      </w:r>
      <w:r w:rsidRPr="00D61E7E">
        <w:rPr>
          <w:rFonts w:ascii="Times New Roman" w:hAnsi="Times New Roman" w:cs="Times New Roman"/>
          <w:color w:val="000000" w:themeColor="text1"/>
          <w:sz w:val="28"/>
          <w:szCs w:val="28"/>
          <w:lang w:eastAsia="es-MX"/>
        </w:rPr>
        <w:t xml:space="preserve">segundo y tercero del artículo 70 de la </w:t>
      </w:r>
      <w:r w:rsidRPr="00D61E7E">
        <w:rPr>
          <w:rFonts w:ascii="Times New Roman" w:hAnsi="Times New Roman" w:cs="Times New Roman"/>
          <w:color w:val="000000" w:themeColor="text1"/>
          <w:sz w:val="28"/>
          <w:szCs w:val="28"/>
          <w:lang w:eastAsia="es-MX"/>
        </w:rPr>
        <w:t>Ley 2069 de 2020</w:t>
      </w:r>
      <w:r w:rsidRPr="00D61E7E">
        <w:rPr>
          <w:rFonts w:ascii="Times New Roman" w:eastAsia="Times New Roman" w:hAnsi="Times New Roman" w:cs="Times New Roman"/>
          <w:color w:val="000000" w:themeColor="text1"/>
          <w:sz w:val="28"/>
          <w:szCs w:val="28"/>
          <w:lang w:eastAsia="es-MX"/>
        </w:rPr>
        <w:t xml:space="preserve"> por violar el principio de consecutividad y certeza tributaria, </w:t>
      </w:r>
      <w:r w:rsidRPr="00D61E7E">
        <w:rPr>
          <w:rFonts w:ascii="Times New Roman" w:eastAsia="Times New Roman" w:hAnsi="Times New Roman" w:cs="Times New Roman"/>
          <w:color w:val="000000" w:themeColor="text1"/>
          <w:sz w:val="28"/>
          <w:szCs w:val="28"/>
          <w:lang w:eastAsia="es-MX"/>
        </w:rPr>
        <w:t xml:space="preserve">no sucede lo mismo. Al respecto, </w:t>
      </w:r>
      <w:r w:rsidRPr="00D61E7E">
        <w:rPr>
          <w:rFonts w:ascii="Times New Roman" w:eastAsia="Times New Roman" w:hAnsi="Times New Roman" w:cs="Times New Roman"/>
          <w:color w:val="000000" w:themeColor="text1"/>
          <w:sz w:val="28"/>
          <w:szCs w:val="28"/>
          <w:lang w:eastAsia="es-MX"/>
        </w:rPr>
        <w:t>debe recordarse</w:t>
      </w:r>
      <w:r w:rsidRPr="00D61E7E">
        <w:rPr>
          <w:rFonts w:ascii="Times New Roman" w:eastAsia="Times New Roman" w:hAnsi="Times New Roman" w:cs="Times New Roman"/>
          <w:color w:val="000000" w:themeColor="text1"/>
          <w:sz w:val="28"/>
          <w:szCs w:val="28"/>
          <w:lang w:eastAsia="es-MX"/>
        </w:rPr>
        <w:t xml:space="preserve"> </w:t>
      </w:r>
      <w:r w:rsidRPr="00D61E7E">
        <w:rPr>
          <w:rFonts w:ascii="Times New Roman" w:eastAsia="Times New Roman" w:hAnsi="Times New Roman" w:cs="Times New Roman"/>
          <w:color w:val="000000" w:themeColor="text1"/>
          <w:sz w:val="28"/>
          <w:szCs w:val="28"/>
          <w:lang w:eastAsia="es-MX"/>
        </w:rPr>
        <w:t>que</w:t>
      </w:r>
      <w:r w:rsidRPr="00D61E7E">
        <w:rPr>
          <w:rFonts w:ascii="Times New Roman" w:eastAsia="Times New Roman" w:hAnsi="Times New Roman" w:cs="Times New Roman"/>
          <w:color w:val="000000" w:themeColor="text1"/>
          <w:sz w:val="28"/>
          <w:szCs w:val="28"/>
          <w:lang w:eastAsia="es-MX"/>
        </w:rPr>
        <w:t xml:space="preserve"> el demandante</w:t>
      </w:r>
      <w:r w:rsidRPr="00D61E7E">
        <w:rPr>
          <w:rFonts w:ascii="Times New Roman" w:eastAsia="Times New Roman" w:hAnsi="Times New Roman" w:cs="Times New Roman"/>
          <w:color w:val="000000" w:themeColor="text1"/>
          <w:sz w:val="28"/>
          <w:szCs w:val="28"/>
          <w:lang w:eastAsia="es-MX"/>
        </w:rPr>
        <w:t xml:space="preserve"> no</w:t>
      </w:r>
      <w:r w:rsidRPr="00D61E7E">
        <w:rPr>
          <w:rFonts w:ascii="Times New Roman" w:eastAsia="Times New Roman" w:hAnsi="Times New Roman" w:cs="Times New Roman"/>
          <w:color w:val="000000" w:themeColor="text1"/>
          <w:sz w:val="28"/>
          <w:szCs w:val="28"/>
          <w:lang w:eastAsia="es-MX"/>
        </w:rPr>
        <w:t xml:space="preserve"> presentó un cargo por </w:t>
      </w:r>
      <w:r w:rsidRPr="00D61E7E">
        <w:rPr>
          <w:rFonts w:ascii="Times New Roman" w:eastAsia="Times New Roman" w:hAnsi="Times New Roman" w:cs="Times New Roman"/>
          <w:color w:val="000000" w:themeColor="text1"/>
          <w:sz w:val="28"/>
          <w:szCs w:val="28"/>
          <w:lang w:eastAsia="es-MX"/>
        </w:rPr>
        <w:t xml:space="preserve">violación del artículo </w:t>
      </w:r>
      <w:r w:rsidRPr="00D61E7E">
        <w:rPr>
          <w:rFonts w:ascii="Times New Roman" w:hAnsi="Times New Roman" w:cs="Times New Roman"/>
          <w:color w:val="000000" w:themeColor="text1"/>
          <w:sz w:val="28"/>
          <w:szCs w:val="28"/>
          <w:lang w:eastAsia="es-MX"/>
        </w:rPr>
        <w:t>157.2 de la Constitución</w:t>
      </w:r>
      <w:r w:rsidRPr="00D61E7E">
        <w:rPr>
          <w:rFonts w:ascii="Times New Roman" w:eastAsia="Times New Roman" w:hAnsi="Times New Roman" w:cs="Times New Roman"/>
          <w:color w:val="000000" w:themeColor="text1"/>
          <w:sz w:val="28"/>
          <w:szCs w:val="28"/>
          <w:lang w:eastAsia="es-MX"/>
        </w:rPr>
        <w:t>, y</w:t>
      </w:r>
      <w:r w:rsidRPr="00D61E7E">
        <w:rPr>
          <w:rFonts w:ascii="Times New Roman" w:eastAsia="Times New Roman" w:hAnsi="Times New Roman" w:cs="Times New Roman"/>
          <w:color w:val="000000" w:themeColor="text1"/>
          <w:sz w:val="28"/>
          <w:szCs w:val="28"/>
          <w:lang w:eastAsia="es-MX"/>
        </w:rPr>
        <w:t xml:space="preserve"> </w:t>
      </w:r>
      <w:r w:rsidRPr="00D61E7E">
        <w:rPr>
          <w:rFonts w:ascii="Times New Roman" w:eastAsia="Times New Roman" w:hAnsi="Times New Roman" w:cs="Times New Roman"/>
          <w:color w:val="000000" w:themeColor="text1"/>
          <w:sz w:val="28"/>
          <w:szCs w:val="28"/>
          <w:lang w:eastAsia="es-MX"/>
        </w:rPr>
        <w:t xml:space="preserve">aquel </w:t>
      </w:r>
      <w:r w:rsidRPr="00D61E7E">
        <w:rPr>
          <w:rFonts w:ascii="Times New Roman" w:eastAsia="Times New Roman" w:hAnsi="Times New Roman" w:cs="Times New Roman"/>
          <w:color w:val="000000" w:themeColor="text1"/>
          <w:sz w:val="28"/>
          <w:szCs w:val="28"/>
          <w:lang w:eastAsia="es-MX"/>
        </w:rPr>
        <w:t xml:space="preserve">relacionado con </w:t>
      </w:r>
      <w:r w:rsidRPr="00D61E7E">
        <w:rPr>
          <w:rFonts w:ascii="Times New Roman" w:eastAsia="Times New Roman" w:hAnsi="Times New Roman" w:cs="Times New Roman"/>
          <w:color w:val="000000" w:themeColor="text1"/>
          <w:sz w:val="28"/>
          <w:szCs w:val="28"/>
          <w:lang w:eastAsia="es-MX"/>
        </w:rPr>
        <w:t xml:space="preserve">la presunta vulneración del artículo 338 de la Constitución </w:t>
      </w:r>
      <w:r w:rsidRPr="00D61E7E">
        <w:rPr>
          <w:rFonts w:ascii="Times New Roman" w:eastAsia="Times New Roman" w:hAnsi="Times New Roman" w:cs="Times New Roman"/>
          <w:color w:val="000000" w:themeColor="text1"/>
          <w:sz w:val="28"/>
          <w:szCs w:val="28"/>
          <w:lang w:eastAsia="es-MX"/>
        </w:rPr>
        <w:t xml:space="preserve">fue </w:t>
      </w:r>
      <w:r w:rsidRPr="00D61E7E">
        <w:rPr>
          <w:rFonts w:ascii="Times New Roman" w:eastAsia="Times New Roman" w:hAnsi="Times New Roman" w:cs="Times New Roman"/>
          <w:color w:val="000000" w:themeColor="text1"/>
          <w:sz w:val="28"/>
          <w:szCs w:val="28"/>
          <w:lang w:eastAsia="es-MX"/>
        </w:rPr>
        <w:t xml:space="preserve">rechazado por </w:t>
      </w:r>
      <w:r w:rsidRPr="00D61E7E">
        <w:rPr>
          <w:rFonts w:ascii="Times New Roman" w:eastAsia="Times New Roman" w:hAnsi="Times New Roman" w:cs="Times New Roman"/>
          <w:color w:val="000000" w:themeColor="text1"/>
          <w:sz w:val="28"/>
          <w:szCs w:val="28"/>
          <w:lang w:eastAsia="es-MX"/>
        </w:rPr>
        <w:t>auto del</w:t>
      </w:r>
      <w:r w:rsidRPr="00D61E7E">
        <w:rPr>
          <w:rFonts w:ascii="Times New Roman" w:eastAsia="Times New Roman" w:hAnsi="Times New Roman" w:cs="Times New Roman"/>
          <w:color w:val="000000" w:themeColor="text1"/>
          <w:sz w:val="28"/>
          <w:szCs w:val="28"/>
          <w:lang w:eastAsia="es-MX"/>
        </w:rPr>
        <w:t xml:space="preserve"> 14 de marzo de 2023</w:t>
      </w:r>
      <w:r w:rsidRPr="00D61E7E">
        <w:rPr>
          <w:rFonts w:ascii="Times New Roman" w:eastAsia="Times New Roman" w:hAnsi="Times New Roman" w:cs="Times New Roman"/>
          <w:color w:val="000000" w:themeColor="text1"/>
          <w:sz w:val="28"/>
          <w:szCs w:val="28"/>
          <w:lang w:eastAsia="es-MX"/>
        </w:rPr>
        <w:t>.</w:t>
      </w:r>
      <w:r w:rsidRPr="00D61E7E">
        <w:rPr>
          <w:rFonts w:ascii="Times New Roman" w:eastAsia="Times New Roman" w:hAnsi="Times New Roman" w:cs="Times New Roman"/>
          <w:color w:val="000000" w:themeColor="text1"/>
          <w:sz w:val="28"/>
          <w:szCs w:val="28"/>
          <w:lang w:eastAsia="es-MX"/>
        </w:rPr>
        <w:t xml:space="preserve"> </w:t>
      </w:r>
    </w:p>
    <w:p w:rsidR="00BE4D51" w:rsidRPr="00D61E7E" w:rsidRDefault="00D61E7E" w:rsidP="00F97DD1">
      <w:pPr>
        <w:pStyle w:val="Prrafodelista"/>
        <w:shd w:val="clear" w:color="auto" w:fill="FFFFFF"/>
        <w:ind w:left="0"/>
        <w:rPr>
          <w:rFonts w:ascii="Times New Roman" w:eastAsia="Times New Roman" w:hAnsi="Times New Roman" w:cs="Times New Roman"/>
          <w:color w:val="000000" w:themeColor="text1"/>
          <w:sz w:val="28"/>
          <w:szCs w:val="28"/>
          <w:lang w:eastAsia="es-MX"/>
        </w:rPr>
      </w:pPr>
    </w:p>
    <w:p w:rsidR="0069487F" w:rsidRPr="00D61E7E" w:rsidRDefault="00D61E7E">
      <w:pPr>
        <w:pStyle w:val="Prrafodelista"/>
        <w:numPr>
          <w:ilvl w:val="0"/>
          <w:numId w:val="3"/>
        </w:numPr>
        <w:shd w:val="clear" w:color="auto" w:fill="FFFFFF"/>
        <w:rPr>
          <w:rFonts w:ascii="Times New Roman" w:eastAsia="Times New Roman" w:hAnsi="Times New Roman" w:cs="Times New Roman"/>
          <w:color w:val="000000" w:themeColor="text1"/>
          <w:sz w:val="28"/>
          <w:szCs w:val="28"/>
          <w:lang w:eastAsia="es-MX"/>
        </w:rPr>
      </w:pPr>
      <w:r w:rsidRPr="00D61E7E">
        <w:rPr>
          <w:rFonts w:ascii="Times New Roman" w:eastAsia="Times New Roman" w:hAnsi="Times New Roman" w:cs="Times New Roman"/>
          <w:color w:val="000000" w:themeColor="text1"/>
          <w:sz w:val="28"/>
          <w:szCs w:val="28"/>
          <w:lang w:eastAsia="es-MX"/>
        </w:rPr>
        <w:t>Como lo ha indicado esta</w:t>
      </w:r>
      <w:r w:rsidRPr="00D61E7E">
        <w:rPr>
          <w:rFonts w:ascii="Times New Roman" w:eastAsia="Times New Roman" w:hAnsi="Times New Roman" w:cs="Times New Roman"/>
          <w:color w:val="000000" w:themeColor="text1"/>
          <w:sz w:val="28"/>
          <w:szCs w:val="28"/>
          <w:lang w:eastAsia="es-MX"/>
        </w:rPr>
        <w:t xml:space="preserve"> Corporación</w:t>
      </w:r>
      <w:r w:rsidRPr="00D61E7E">
        <w:rPr>
          <w:rFonts w:ascii="Times New Roman" w:eastAsia="Times New Roman" w:hAnsi="Times New Roman" w:cs="Times New Roman"/>
          <w:color w:val="000000" w:themeColor="text1"/>
          <w:sz w:val="28"/>
          <w:szCs w:val="28"/>
          <w:lang w:eastAsia="es-MX"/>
        </w:rPr>
        <w:t xml:space="preserve"> con anterioridad</w:t>
      </w:r>
      <w:r w:rsidRPr="00D61E7E">
        <w:rPr>
          <w:rStyle w:val="Refdenotaalpie"/>
          <w:rFonts w:ascii="Times New Roman" w:eastAsia="Times New Roman" w:hAnsi="Times New Roman" w:cs="Times New Roman"/>
          <w:color w:val="000000" w:themeColor="text1"/>
          <w:sz w:val="28"/>
          <w:szCs w:val="28"/>
          <w:lang w:eastAsia="es-MX"/>
        </w:rPr>
        <w:footnoteReference w:id="15"/>
      </w:r>
      <w:r w:rsidRPr="00D61E7E">
        <w:rPr>
          <w:rFonts w:ascii="Times New Roman" w:eastAsia="Times New Roman" w:hAnsi="Times New Roman" w:cs="Times New Roman"/>
          <w:color w:val="000000" w:themeColor="text1"/>
          <w:sz w:val="28"/>
          <w:szCs w:val="28"/>
          <w:lang w:eastAsia="es-MX"/>
        </w:rPr>
        <w:t>,</w:t>
      </w:r>
      <w:r w:rsidRPr="00D61E7E">
        <w:rPr>
          <w:rFonts w:ascii="Times New Roman" w:eastAsia="Times New Roman" w:hAnsi="Times New Roman" w:cs="Times New Roman"/>
          <w:color w:val="000000" w:themeColor="text1"/>
          <w:sz w:val="28"/>
          <w:szCs w:val="28"/>
          <w:lang w:eastAsia="es-MX"/>
        </w:rPr>
        <w:t xml:space="preserve"> </w:t>
      </w:r>
      <w:r w:rsidRPr="00D61E7E">
        <w:rPr>
          <w:rFonts w:ascii="Times New Roman" w:eastAsia="Times New Roman" w:hAnsi="Times New Roman" w:cs="Times New Roman"/>
          <w:color w:val="000000" w:themeColor="text1"/>
          <w:sz w:val="28"/>
          <w:szCs w:val="28"/>
          <w:lang w:eastAsia="es-MX"/>
        </w:rPr>
        <w:t xml:space="preserve">por regla general, </w:t>
      </w:r>
      <w:r w:rsidRPr="00D61E7E">
        <w:rPr>
          <w:rFonts w:ascii="Times New Roman" w:eastAsia="Times New Roman" w:hAnsi="Times New Roman" w:cs="Times New Roman"/>
          <w:color w:val="000000" w:themeColor="text1"/>
          <w:sz w:val="28"/>
          <w:szCs w:val="28"/>
          <w:lang w:eastAsia="es-MX"/>
        </w:rPr>
        <w:t>a través de intervenciones ciudadanas</w:t>
      </w:r>
      <w:r w:rsidRPr="00D61E7E">
        <w:rPr>
          <w:rFonts w:ascii="Times New Roman" w:eastAsia="Times New Roman" w:hAnsi="Times New Roman" w:cs="Times New Roman"/>
          <w:color w:val="000000" w:themeColor="text1"/>
          <w:sz w:val="28"/>
          <w:szCs w:val="28"/>
          <w:lang w:eastAsia="es-MX"/>
        </w:rPr>
        <w:t xml:space="preserve"> </w:t>
      </w:r>
      <w:r w:rsidRPr="00D61E7E">
        <w:rPr>
          <w:rFonts w:ascii="Times New Roman" w:eastAsia="Times New Roman" w:hAnsi="Times New Roman" w:cs="Times New Roman"/>
          <w:color w:val="000000" w:themeColor="text1"/>
          <w:sz w:val="28"/>
          <w:szCs w:val="28"/>
          <w:lang w:eastAsia="es-MX"/>
        </w:rPr>
        <w:t xml:space="preserve">no se puede </w:t>
      </w:r>
      <w:r w:rsidRPr="00D61E7E">
        <w:rPr>
          <w:rFonts w:ascii="Times New Roman" w:eastAsia="Times New Roman" w:hAnsi="Times New Roman" w:cs="Times New Roman"/>
          <w:color w:val="000000" w:themeColor="text1"/>
          <w:sz w:val="28"/>
          <w:szCs w:val="28"/>
          <w:lang w:eastAsia="es-MX"/>
        </w:rPr>
        <w:t>presentar una nueva demanda</w:t>
      </w:r>
      <w:r w:rsidRPr="00D61E7E">
        <w:rPr>
          <w:rFonts w:ascii="Times New Roman" w:eastAsia="Times New Roman" w:hAnsi="Times New Roman" w:cs="Times New Roman"/>
          <w:color w:val="000000" w:themeColor="text1"/>
          <w:sz w:val="28"/>
          <w:szCs w:val="28"/>
          <w:lang w:eastAsia="es-MX"/>
        </w:rPr>
        <w:t xml:space="preserve"> o </w:t>
      </w:r>
      <w:r w:rsidRPr="00D61E7E">
        <w:rPr>
          <w:rFonts w:ascii="Times New Roman" w:eastAsia="Times New Roman" w:hAnsi="Times New Roman" w:cs="Times New Roman"/>
          <w:color w:val="000000" w:themeColor="text1"/>
          <w:sz w:val="28"/>
          <w:szCs w:val="28"/>
          <w:lang w:eastAsia="es-MX"/>
        </w:rPr>
        <w:t>formular</w:t>
      </w:r>
      <w:r w:rsidRPr="00D61E7E">
        <w:rPr>
          <w:rFonts w:ascii="Times New Roman" w:eastAsia="Times New Roman" w:hAnsi="Times New Roman" w:cs="Times New Roman"/>
          <w:color w:val="000000" w:themeColor="text1"/>
          <w:sz w:val="28"/>
          <w:szCs w:val="28"/>
          <w:lang w:eastAsia="es-MX"/>
        </w:rPr>
        <w:t xml:space="preserve"> cargos nuevos o adicionales a los planteados por los </w:t>
      </w:r>
      <w:r w:rsidRPr="00D61E7E">
        <w:rPr>
          <w:rFonts w:ascii="Times New Roman" w:eastAsia="Times New Roman" w:hAnsi="Times New Roman" w:cs="Times New Roman"/>
          <w:color w:val="000000" w:themeColor="text1"/>
          <w:sz w:val="28"/>
          <w:szCs w:val="28"/>
          <w:lang w:eastAsia="es-MX"/>
        </w:rPr>
        <w:t>demandantes</w:t>
      </w:r>
      <w:r w:rsidRPr="00D61E7E">
        <w:rPr>
          <w:rFonts w:ascii="Times New Roman" w:eastAsia="Times New Roman" w:hAnsi="Times New Roman" w:cs="Times New Roman"/>
          <w:color w:val="000000" w:themeColor="text1"/>
          <w:sz w:val="28"/>
          <w:szCs w:val="28"/>
          <w:lang w:eastAsia="es-MX"/>
        </w:rPr>
        <w:t xml:space="preserve">. </w:t>
      </w:r>
      <w:r w:rsidRPr="00D61E7E">
        <w:rPr>
          <w:rFonts w:ascii="Times New Roman" w:eastAsia="Times New Roman" w:hAnsi="Times New Roman" w:cs="Times New Roman"/>
          <w:color w:val="000000" w:themeColor="text1"/>
          <w:sz w:val="28"/>
          <w:szCs w:val="28"/>
          <w:lang w:eastAsia="es-MX"/>
        </w:rPr>
        <w:t>La Corte está facultada para examinar cargos que</w:t>
      </w:r>
      <w:r w:rsidRPr="00D61E7E">
        <w:rPr>
          <w:rFonts w:ascii="Times New Roman" w:eastAsia="Times New Roman" w:hAnsi="Times New Roman" w:cs="Times New Roman"/>
          <w:color w:val="000000" w:themeColor="text1"/>
          <w:sz w:val="28"/>
          <w:szCs w:val="28"/>
          <w:lang w:eastAsia="es-MX"/>
        </w:rPr>
        <w:t xml:space="preserve"> a pesar </w:t>
      </w:r>
      <w:r w:rsidRPr="00D61E7E">
        <w:rPr>
          <w:rFonts w:ascii="Times New Roman" w:eastAsia="Times New Roman" w:hAnsi="Times New Roman" w:cs="Times New Roman"/>
          <w:color w:val="000000" w:themeColor="text1"/>
          <w:sz w:val="28"/>
          <w:szCs w:val="28"/>
          <w:lang w:eastAsia="es-MX"/>
        </w:rPr>
        <w:t>de no</w:t>
      </w:r>
      <w:r w:rsidRPr="00D61E7E">
        <w:rPr>
          <w:rFonts w:ascii="Times New Roman" w:eastAsia="Times New Roman" w:hAnsi="Times New Roman" w:cs="Times New Roman"/>
          <w:color w:val="000000" w:themeColor="text1"/>
          <w:sz w:val="28"/>
          <w:szCs w:val="28"/>
          <w:lang w:eastAsia="es-MX"/>
        </w:rPr>
        <w:t xml:space="preserve"> haber sido formulados</w:t>
      </w:r>
      <w:r w:rsidRPr="00D61E7E">
        <w:rPr>
          <w:rFonts w:ascii="Times New Roman" w:eastAsia="Times New Roman" w:hAnsi="Times New Roman" w:cs="Times New Roman"/>
          <w:color w:val="000000" w:themeColor="text1"/>
          <w:sz w:val="28"/>
          <w:szCs w:val="28"/>
          <w:lang w:eastAsia="es-MX"/>
        </w:rPr>
        <w:t xml:space="preserve"> por los demandantes fueron advertidos por </w:t>
      </w:r>
      <w:r w:rsidRPr="00D61E7E">
        <w:rPr>
          <w:rFonts w:ascii="Times New Roman" w:eastAsia="Times New Roman" w:hAnsi="Times New Roman" w:cs="Times New Roman"/>
          <w:color w:val="000000" w:themeColor="text1"/>
          <w:sz w:val="28"/>
          <w:szCs w:val="28"/>
          <w:lang w:eastAsia="es-MX"/>
        </w:rPr>
        <w:t xml:space="preserve">los intervinientes solo </w:t>
      </w:r>
      <w:r w:rsidRPr="00D61E7E">
        <w:rPr>
          <w:rFonts w:ascii="Times New Roman" w:eastAsia="Times New Roman" w:hAnsi="Times New Roman" w:cs="Times New Roman"/>
          <w:color w:val="000000" w:themeColor="text1"/>
          <w:sz w:val="28"/>
          <w:szCs w:val="28"/>
          <w:lang w:eastAsia="es-MX"/>
        </w:rPr>
        <w:t>en los casos en los que la norma es “evidentemente inconstitucional”</w:t>
      </w:r>
      <w:r w:rsidRPr="00D61E7E">
        <w:rPr>
          <w:rStyle w:val="Refdenotaalpie"/>
          <w:rFonts w:ascii="Times New Roman" w:eastAsia="Times New Roman" w:hAnsi="Times New Roman" w:cs="Times New Roman"/>
          <w:color w:val="000000" w:themeColor="text1"/>
          <w:sz w:val="28"/>
          <w:szCs w:val="28"/>
          <w:lang w:eastAsia="es-MX"/>
        </w:rPr>
        <w:footnoteReference w:id="16"/>
      </w:r>
      <w:r w:rsidRPr="00D61E7E">
        <w:rPr>
          <w:rFonts w:ascii="Times New Roman" w:eastAsia="Times New Roman" w:hAnsi="Times New Roman" w:cs="Times New Roman"/>
          <w:color w:val="000000" w:themeColor="text1"/>
          <w:sz w:val="28"/>
          <w:szCs w:val="28"/>
          <w:lang w:eastAsia="es-MX"/>
        </w:rPr>
        <w:t xml:space="preserve">. Como lo indicó esta corporación en la sentencia </w:t>
      </w:r>
      <w:r w:rsidRPr="00D61E7E">
        <w:rPr>
          <w:rFonts w:ascii="Times New Roman" w:hAnsi="Times New Roman" w:cs="Times New Roman"/>
          <w:sz w:val="28"/>
          <w:szCs w:val="28"/>
        </w:rPr>
        <w:t xml:space="preserve">C-110 de 2023: </w:t>
      </w:r>
    </w:p>
    <w:p w:rsidR="0069487F" w:rsidRPr="00D61E7E" w:rsidRDefault="00D61E7E">
      <w:pPr>
        <w:pStyle w:val="Prrafodelista"/>
        <w:shd w:val="clear" w:color="auto" w:fill="FFFFFF"/>
        <w:ind w:left="0"/>
        <w:rPr>
          <w:rFonts w:ascii="Times New Roman" w:eastAsia="Times New Roman" w:hAnsi="Times New Roman" w:cs="Times New Roman"/>
          <w:color w:val="000000" w:themeColor="text1"/>
          <w:sz w:val="28"/>
          <w:szCs w:val="28"/>
          <w:lang w:eastAsia="es-MX"/>
        </w:rPr>
      </w:pPr>
    </w:p>
    <w:p w:rsidR="0069487F" w:rsidRPr="00D61E7E" w:rsidRDefault="00D61E7E" w:rsidP="00F97DD1">
      <w:pPr>
        <w:pStyle w:val="Prrafodelista"/>
        <w:shd w:val="clear" w:color="auto" w:fill="FFFFFF"/>
        <w:ind w:left="708"/>
        <w:rPr>
          <w:rFonts w:ascii="Times New Roman" w:eastAsia="Times New Roman" w:hAnsi="Times New Roman" w:cs="Times New Roman"/>
          <w:color w:val="000000" w:themeColor="text1"/>
          <w:sz w:val="28"/>
          <w:szCs w:val="28"/>
          <w:lang w:eastAsia="es-MX"/>
        </w:rPr>
      </w:pPr>
      <w:r w:rsidRPr="00D61E7E">
        <w:rPr>
          <w:rFonts w:ascii="Times New Roman" w:hAnsi="Times New Roman" w:cs="Times New Roman"/>
          <w:sz w:val="28"/>
          <w:szCs w:val="28"/>
        </w:rPr>
        <w:t>“Esto es así, pues la demanda c</w:t>
      </w:r>
      <w:r w:rsidRPr="00D61E7E">
        <w:rPr>
          <w:rFonts w:ascii="Times New Roman" w:hAnsi="Times New Roman" w:cs="Times New Roman"/>
          <w:sz w:val="28"/>
          <w:szCs w:val="28"/>
        </w:rPr>
        <w:t>iudadana demarca el problema jurídico sobre el que se pueden pronunciar los intervinientes y debe hacerlo el Ministerio Público. De esta manera, los nuevos cargos aducidos por uno o algunos de los intervinientes limitan el derecho de otras intervenciones c</w:t>
      </w:r>
      <w:r w:rsidRPr="00D61E7E">
        <w:rPr>
          <w:rFonts w:ascii="Times New Roman" w:hAnsi="Times New Roman" w:cs="Times New Roman"/>
          <w:sz w:val="28"/>
          <w:szCs w:val="28"/>
        </w:rPr>
        <w:t>iudadanas que no alcanzarían a conocer los nuevos cargos formulados”</w:t>
      </w:r>
      <w:r w:rsidRPr="00D61E7E">
        <w:rPr>
          <w:rStyle w:val="Refdenotaalpie"/>
          <w:rFonts w:ascii="Times New Roman" w:hAnsi="Times New Roman" w:cs="Times New Roman"/>
          <w:sz w:val="28"/>
          <w:szCs w:val="28"/>
        </w:rPr>
        <w:footnoteReference w:id="17"/>
      </w:r>
      <w:r w:rsidRPr="00D61E7E">
        <w:rPr>
          <w:rFonts w:ascii="Times New Roman" w:hAnsi="Times New Roman" w:cs="Times New Roman"/>
          <w:sz w:val="28"/>
          <w:szCs w:val="28"/>
        </w:rPr>
        <w:t>.</w:t>
      </w:r>
    </w:p>
    <w:p w:rsidR="0069487F" w:rsidRPr="00D61E7E" w:rsidRDefault="00D61E7E" w:rsidP="00F97DD1">
      <w:pPr>
        <w:pStyle w:val="Prrafodelista"/>
        <w:shd w:val="clear" w:color="auto" w:fill="FFFFFF"/>
        <w:ind w:left="0"/>
        <w:rPr>
          <w:rFonts w:ascii="Times New Roman" w:eastAsia="Times New Roman" w:hAnsi="Times New Roman" w:cs="Times New Roman"/>
          <w:color w:val="000000" w:themeColor="text1"/>
          <w:sz w:val="28"/>
          <w:szCs w:val="28"/>
          <w:lang w:eastAsia="es-MX"/>
        </w:rPr>
      </w:pPr>
    </w:p>
    <w:p w:rsidR="0016088C" w:rsidRPr="00D61E7E" w:rsidRDefault="00D61E7E">
      <w:pPr>
        <w:pStyle w:val="Prrafodelista"/>
        <w:numPr>
          <w:ilvl w:val="0"/>
          <w:numId w:val="3"/>
        </w:numPr>
        <w:shd w:val="clear" w:color="auto" w:fill="FFFFFF"/>
        <w:rPr>
          <w:rFonts w:ascii="Times New Roman" w:eastAsia="Times New Roman" w:hAnsi="Times New Roman" w:cs="Times New Roman"/>
          <w:color w:val="000000" w:themeColor="text1"/>
          <w:sz w:val="28"/>
          <w:szCs w:val="28"/>
          <w:lang w:eastAsia="es-MX"/>
        </w:rPr>
      </w:pPr>
      <w:r w:rsidRPr="00D61E7E">
        <w:rPr>
          <w:rFonts w:ascii="Times New Roman" w:eastAsia="Times New Roman" w:hAnsi="Times New Roman" w:cs="Times New Roman"/>
          <w:color w:val="000000" w:themeColor="text1"/>
          <w:sz w:val="28"/>
          <w:szCs w:val="28"/>
          <w:lang w:eastAsia="es-MX"/>
        </w:rPr>
        <w:t xml:space="preserve"> </w:t>
      </w:r>
      <w:r w:rsidRPr="00D61E7E">
        <w:rPr>
          <w:rFonts w:ascii="Times New Roman" w:eastAsia="Times New Roman" w:hAnsi="Times New Roman" w:cs="Times New Roman"/>
          <w:color w:val="000000" w:themeColor="text1"/>
          <w:sz w:val="28"/>
          <w:szCs w:val="28"/>
          <w:lang w:eastAsia="es-MX"/>
        </w:rPr>
        <w:t xml:space="preserve"> </w:t>
      </w:r>
      <w:r w:rsidRPr="00D61E7E">
        <w:rPr>
          <w:rFonts w:ascii="Times New Roman" w:eastAsia="Times New Roman" w:hAnsi="Times New Roman" w:cs="Times New Roman"/>
          <w:color w:val="000000" w:themeColor="text1"/>
          <w:sz w:val="28"/>
          <w:szCs w:val="28"/>
          <w:lang w:eastAsia="es-MX"/>
        </w:rPr>
        <w:t xml:space="preserve"> </w:t>
      </w:r>
      <w:r w:rsidRPr="00D61E7E">
        <w:rPr>
          <w:rFonts w:ascii="Times New Roman" w:eastAsia="Times New Roman" w:hAnsi="Times New Roman" w:cs="Times New Roman"/>
          <w:color w:val="000000" w:themeColor="text1"/>
          <w:sz w:val="28"/>
          <w:szCs w:val="28"/>
          <w:lang w:eastAsia="es-MX"/>
        </w:rPr>
        <w:t xml:space="preserve">Obviamente, esta circunstancia </w:t>
      </w:r>
      <w:r w:rsidRPr="00D61E7E">
        <w:rPr>
          <w:rFonts w:ascii="Times New Roman" w:eastAsia="Times New Roman" w:hAnsi="Times New Roman" w:cs="Times New Roman"/>
          <w:color w:val="000000" w:themeColor="text1"/>
          <w:sz w:val="28"/>
          <w:szCs w:val="28"/>
          <w:lang w:eastAsia="es-MX"/>
        </w:rPr>
        <w:t xml:space="preserve">no riñe con la posibilidad de </w:t>
      </w:r>
      <w:r w:rsidRPr="00D61E7E">
        <w:rPr>
          <w:rFonts w:ascii="Times New Roman" w:eastAsia="Times New Roman" w:hAnsi="Times New Roman" w:cs="Times New Roman"/>
          <w:color w:val="000000" w:themeColor="text1"/>
          <w:sz w:val="28"/>
          <w:szCs w:val="28"/>
          <w:lang w:eastAsia="es-MX"/>
        </w:rPr>
        <w:t xml:space="preserve">intervención en defensa o ataque de las normas impugnadas y con los aportes que los ciudadanos puedan brindar para fortalecer el proceso constitucional. </w:t>
      </w:r>
    </w:p>
    <w:p w:rsidR="004026EA" w:rsidRPr="00D61E7E" w:rsidRDefault="00D61E7E">
      <w:pPr>
        <w:pStyle w:val="Prrafodelista"/>
        <w:shd w:val="clear" w:color="auto" w:fill="FFFFFF"/>
        <w:ind w:left="0"/>
        <w:rPr>
          <w:rFonts w:ascii="Times New Roman" w:eastAsia="Times New Roman" w:hAnsi="Times New Roman" w:cs="Times New Roman"/>
          <w:b/>
          <w:bCs/>
          <w:color w:val="000000" w:themeColor="text1"/>
          <w:sz w:val="28"/>
          <w:szCs w:val="28"/>
          <w:lang w:eastAsia="es-MX"/>
        </w:rPr>
      </w:pPr>
    </w:p>
    <w:p w:rsidR="00712AFF" w:rsidRPr="00D61E7E" w:rsidRDefault="00D61E7E">
      <w:pPr>
        <w:pStyle w:val="Prrafodelista"/>
        <w:numPr>
          <w:ilvl w:val="0"/>
          <w:numId w:val="3"/>
        </w:numPr>
        <w:shd w:val="clear" w:color="auto" w:fill="FFFFFF"/>
        <w:rPr>
          <w:rFonts w:ascii="Times New Roman" w:eastAsia="Times New Roman" w:hAnsi="Times New Roman" w:cs="Times New Roman"/>
          <w:b/>
          <w:bCs/>
          <w:color w:val="000000" w:themeColor="text1"/>
          <w:sz w:val="28"/>
          <w:szCs w:val="28"/>
          <w:lang w:eastAsia="es-MX"/>
        </w:rPr>
      </w:pPr>
      <w:r w:rsidRPr="00D61E7E">
        <w:rPr>
          <w:rFonts w:ascii="Times New Roman" w:hAnsi="Times New Roman" w:cs="Times New Roman"/>
          <w:sz w:val="28"/>
          <w:szCs w:val="28"/>
          <w:lang w:val="es-ES"/>
        </w:rPr>
        <w:t xml:space="preserve">En conclusión, frente a las dos cuestiones previas analizadas la Corte Constitucional estima que, por un lado, </w:t>
      </w:r>
      <w:r w:rsidRPr="00D61E7E">
        <w:rPr>
          <w:rFonts w:ascii="Times New Roman" w:hAnsi="Times New Roman" w:cs="Times New Roman"/>
          <w:sz w:val="28"/>
          <w:szCs w:val="28"/>
          <w:lang w:val="es-ES"/>
        </w:rPr>
        <w:t>contrario a lo sostenido por la Superintendencia de Industria y Comer</w:t>
      </w:r>
      <w:r w:rsidRPr="00D61E7E">
        <w:rPr>
          <w:rFonts w:ascii="Times New Roman" w:hAnsi="Times New Roman" w:cs="Times New Roman"/>
          <w:sz w:val="28"/>
          <w:szCs w:val="28"/>
          <w:lang w:val="es-ES"/>
        </w:rPr>
        <w:t>c</w:t>
      </w:r>
      <w:r w:rsidRPr="00D61E7E">
        <w:rPr>
          <w:rFonts w:ascii="Times New Roman" w:hAnsi="Times New Roman" w:cs="Times New Roman"/>
          <w:sz w:val="28"/>
          <w:szCs w:val="28"/>
          <w:lang w:val="es-ES"/>
        </w:rPr>
        <w:t xml:space="preserve">io, </w:t>
      </w:r>
      <w:r w:rsidRPr="00D61E7E">
        <w:rPr>
          <w:rFonts w:ascii="Times New Roman" w:hAnsi="Times New Roman" w:cs="Times New Roman"/>
          <w:sz w:val="28"/>
          <w:szCs w:val="28"/>
          <w:lang w:val="es-ES"/>
        </w:rPr>
        <w:t>el cargo admitido es apto y, por el otro,</w:t>
      </w:r>
      <w:r w:rsidRPr="00D61E7E">
        <w:rPr>
          <w:rFonts w:ascii="Times New Roman" w:hAnsi="Times New Roman" w:cs="Times New Roman"/>
          <w:sz w:val="28"/>
          <w:szCs w:val="28"/>
          <w:lang w:val="es-ES"/>
        </w:rPr>
        <w:t xml:space="preserve"> </w:t>
      </w:r>
      <w:r w:rsidRPr="00D61E7E">
        <w:rPr>
          <w:rFonts w:ascii="Times New Roman" w:hAnsi="Times New Roman" w:cs="Times New Roman"/>
          <w:sz w:val="28"/>
          <w:szCs w:val="28"/>
          <w:lang w:val="es-ES"/>
        </w:rPr>
        <w:t>no es posible analizar de fon</w:t>
      </w:r>
      <w:r w:rsidRPr="00D61E7E">
        <w:rPr>
          <w:rFonts w:ascii="Times New Roman" w:hAnsi="Times New Roman" w:cs="Times New Roman"/>
          <w:sz w:val="28"/>
          <w:szCs w:val="28"/>
          <w:lang w:val="es-ES"/>
        </w:rPr>
        <w:t xml:space="preserve">do </w:t>
      </w:r>
      <w:r w:rsidRPr="00D61E7E">
        <w:rPr>
          <w:rFonts w:ascii="Times New Roman" w:hAnsi="Times New Roman" w:cs="Times New Roman"/>
          <w:sz w:val="28"/>
          <w:szCs w:val="28"/>
          <w:lang w:val="es-ES"/>
        </w:rPr>
        <w:t>los reproches elevados por los intervinientes</w:t>
      </w:r>
      <w:r w:rsidRPr="00D61E7E">
        <w:rPr>
          <w:rFonts w:ascii="Times New Roman" w:hAnsi="Times New Roman" w:cs="Times New Roman"/>
          <w:sz w:val="28"/>
          <w:szCs w:val="28"/>
          <w:lang w:val="es-ES"/>
        </w:rPr>
        <w:t xml:space="preserve"> relacionados con la certeza tributaria y el principio de consecutividad</w:t>
      </w:r>
      <w:r w:rsidRPr="00D61E7E">
        <w:rPr>
          <w:rFonts w:ascii="Times New Roman" w:hAnsi="Times New Roman" w:cs="Times New Roman"/>
          <w:sz w:val="28"/>
          <w:szCs w:val="28"/>
          <w:lang w:val="es-ES"/>
        </w:rPr>
        <w:t xml:space="preserve">, </w:t>
      </w:r>
      <w:r w:rsidRPr="00D61E7E">
        <w:rPr>
          <w:rFonts w:ascii="Times New Roman" w:hAnsi="Times New Roman" w:cs="Times New Roman"/>
          <w:sz w:val="28"/>
          <w:szCs w:val="28"/>
          <w:lang w:val="es-ES"/>
        </w:rPr>
        <w:t xml:space="preserve">en tanto el primero fue rechazado en la etapa de admisión y, el segundo, no fue elevado por el demandante. </w:t>
      </w:r>
    </w:p>
    <w:p w:rsidR="009464DC" w:rsidRPr="00D61E7E" w:rsidRDefault="00D61E7E" w:rsidP="00F97DD1">
      <w:pPr>
        <w:pStyle w:val="Prrafodelista"/>
        <w:shd w:val="clear" w:color="auto" w:fill="FFFFFF"/>
        <w:ind w:left="0"/>
        <w:rPr>
          <w:rFonts w:ascii="Times New Roman" w:eastAsia="Times New Roman" w:hAnsi="Times New Roman" w:cs="Times New Roman"/>
          <w:b/>
          <w:bCs/>
          <w:color w:val="000000" w:themeColor="text1"/>
          <w:sz w:val="28"/>
          <w:szCs w:val="28"/>
          <w:lang w:eastAsia="es-MX"/>
        </w:rPr>
      </w:pPr>
    </w:p>
    <w:p w:rsidR="009464DC" w:rsidRPr="00D61E7E" w:rsidRDefault="00D61E7E" w:rsidP="00F97DD1">
      <w:pPr>
        <w:pStyle w:val="Prrafodelista"/>
        <w:numPr>
          <w:ilvl w:val="0"/>
          <w:numId w:val="3"/>
        </w:numPr>
        <w:shd w:val="clear" w:color="auto" w:fill="FFFFFF"/>
        <w:rPr>
          <w:rFonts w:ascii="Times New Roman" w:eastAsia="Times New Roman" w:hAnsi="Times New Roman" w:cs="Times New Roman"/>
          <w:bCs/>
          <w:color w:val="000000" w:themeColor="text1"/>
          <w:sz w:val="28"/>
          <w:szCs w:val="28"/>
          <w:lang w:eastAsia="es-MX"/>
        </w:rPr>
      </w:pPr>
      <w:r w:rsidRPr="00D61E7E">
        <w:rPr>
          <w:rFonts w:ascii="Times New Roman" w:eastAsia="Times New Roman" w:hAnsi="Times New Roman" w:cs="Times New Roman"/>
          <w:bCs/>
          <w:color w:val="000000" w:themeColor="text1"/>
          <w:sz w:val="28"/>
          <w:szCs w:val="28"/>
          <w:lang w:eastAsia="es-MX"/>
        </w:rPr>
        <w:t>Pasa entonces la Sala a a</w:t>
      </w:r>
      <w:r w:rsidRPr="00D61E7E">
        <w:rPr>
          <w:rFonts w:ascii="Times New Roman" w:eastAsia="Times New Roman" w:hAnsi="Times New Roman" w:cs="Times New Roman"/>
          <w:bCs/>
          <w:color w:val="000000" w:themeColor="text1"/>
          <w:sz w:val="28"/>
          <w:szCs w:val="28"/>
          <w:lang w:eastAsia="es-MX"/>
        </w:rPr>
        <w:t xml:space="preserve">nalizar de fondo la acción de la referencia, exclusivamente en relación con la presunta violación del principio de unidad de materia. </w:t>
      </w:r>
    </w:p>
    <w:p w:rsidR="007E5BE5" w:rsidRPr="00D61E7E" w:rsidRDefault="00D61E7E">
      <w:pPr>
        <w:pStyle w:val="Prrafodelista"/>
        <w:shd w:val="clear" w:color="auto" w:fill="FFFFFF"/>
        <w:ind w:left="0"/>
        <w:rPr>
          <w:rFonts w:ascii="Times New Roman" w:eastAsia="Times New Roman" w:hAnsi="Times New Roman" w:cs="Times New Roman"/>
          <w:color w:val="000000" w:themeColor="text1"/>
          <w:sz w:val="28"/>
          <w:szCs w:val="28"/>
          <w:lang w:eastAsia="es-MX"/>
        </w:rPr>
      </w:pPr>
    </w:p>
    <w:p w:rsidR="007E5BE5" w:rsidRPr="00D61E7E" w:rsidRDefault="00D61E7E" w:rsidP="00F97DD1">
      <w:pPr>
        <w:shd w:val="clear" w:color="auto" w:fill="FFFFFF"/>
        <w:jc w:val="both"/>
        <w:rPr>
          <w:rFonts w:ascii="Times New Roman" w:hAnsi="Times New Roman" w:cs="Times New Roman"/>
          <w:b/>
          <w:bCs/>
          <w:color w:val="000000" w:themeColor="text1"/>
          <w:sz w:val="28"/>
          <w:szCs w:val="28"/>
          <w:lang w:val="es-ES" w:eastAsia="es-MX"/>
        </w:rPr>
      </w:pPr>
      <w:r w:rsidRPr="00D61E7E">
        <w:rPr>
          <w:rFonts w:ascii="Times New Roman" w:hAnsi="Times New Roman" w:cs="Times New Roman"/>
          <w:b/>
          <w:bCs/>
          <w:color w:val="000000" w:themeColor="text1"/>
          <w:sz w:val="28"/>
          <w:szCs w:val="28"/>
          <w:lang w:val="es-ES" w:eastAsia="es-MX"/>
        </w:rPr>
        <w:t>Problema jurídico y esquema de resolución</w:t>
      </w:r>
    </w:p>
    <w:p w:rsidR="007E5BE5" w:rsidRPr="00D61E7E" w:rsidRDefault="00D61E7E">
      <w:pPr>
        <w:pStyle w:val="Prrafodelista"/>
        <w:shd w:val="clear" w:color="auto" w:fill="FFFFFF"/>
        <w:ind w:left="0"/>
        <w:rPr>
          <w:rFonts w:ascii="Times New Roman" w:eastAsia="Times New Roman" w:hAnsi="Times New Roman" w:cs="Times New Roman"/>
          <w:color w:val="000000" w:themeColor="text1"/>
          <w:sz w:val="28"/>
          <w:szCs w:val="28"/>
          <w:lang w:eastAsia="es-MX"/>
        </w:rPr>
      </w:pPr>
    </w:p>
    <w:p w:rsidR="0069487F" w:rsidRPr="00D61E7E" w:rsidRDefault="00D61E7E">
      <w:pPr>
        <w:pStyle w:val="Prrafodelista"/>
        <w:numPr>
          <w:ilvl w:val="0"/>
          <w:numId w:val="3"/>
        </w:numPr>
        <w:tabs>
          <w:tab w:val="left" w:pos="709"/>
        </w:tabs>
        <w:rPr>
          <w:rFonts w:ascii="Times New Roman" w:hAnsi="Times New Roman" w:cs="Times New Roman"/>
          <w:bCs/>
          <w:color w:val="000000" w:themeColor="text1"/>
          <w:sz w:val="28"/>
          <w:szCs w:val="28"/>
        </w:rPr>
      </w:pPr>
      <w:r w:rsidRPr="00D61E7E">
        <w:rPr>
          <w:rFonts w:ascii="Times New Roman" w:hAnsi="Times New Roman" w:cs="Times New Roman"/>
          <w:bCs/>
          <w:color w:val="000000" w:themeColor="text1"/>
          <w:sz w:val="28"/>
          <w:szCs w:val="28"/>
        </w:rPr>
        <w:t>De acuerdo con la demanda presentad</w:t>
      </w:r>
      <w:r w:rsidRPr="00D61E7E">
        <w:rPr>
          <w:rFonts w:ascii="Times New Roman" w:hAnsi="Times New Roman" w:cs="Times New Roman"/>
          <w:bCs/>
          <w:color w:val="000000" w:themeColor="text1"/>
          <w:sz w:val="28"/>
          <w:szCs w:val="28"/>
        </w:rPr>
        <w:t>a</w:t>
      </w:r>
      <w:r w:rsidRPr="00D61E7E">
        <w:rPr>
          <w:rFonts w:ascii="Times New Roman" w:hAnsi="Times New Roman" w:cs="Times New Roman"/>
          <w:bCs/>
          <w:color w:val="000000" w:themeColor="text1"/>
          <w:sz w:val="28"/>
          <w:szCs w:val="28"/>
        </w:rPr>
        <w:t xml:space="preserve"> por el señor Juan Manuel López Molina, le corresponde a la Sala Plena resolver </w:t>
      </w:r>
      <w:r w:rsidRPr="00D61E7E">
        <w:rPr>
          <w:rFonts w:ascii="Times New Roman" w:hAnsi="Times New Roman" w:cs="Times New Roman"/>
          <w:bCs/>
          <w:color w:val="000000" w:themeColor="text1"/>
          <w:sz w:val="28"/>
          <w:szCs w:val="28"/>
        </w:rPr>
        <w:t>los</w:t>
      </w:r>
      <w:r w:rsidRPr="00D61E7E">
        <w:rPr>
          <w:rFonts w:ascii="Times New Roman" w:hAnsi="Times New Roman" w:cs="Times New Roman"/>
          <w:bCs/>
          <w:color w:val="000000" w:themeColor="text1"/>
          <w:sz w:val="28"/>
          <w:szCs w:val="28"/>
        </w:rPr>
        <w:t xml:space="preserve"> siguiente</w:t>
      </w:r>
      <w:r w:rsidRPr="00D61E7E">
        <w:rPr>
          <w:rFonts w:ascii="Times New Roman" w:hAnsi="Times New Roman" w:cs="Times New Roman"/>
          <w:bCs/>
          <w:color w:val="000000" w:themeColor="text1"/>
          <w:sz w:val="28"/>
          <w:szCs w:val="28"/>
        </w:rPr>
        <w:t>s</w:t>
      </w:r>
      <w:r w:rsidRPr="00D61E7E">
        <w:rPr>
          <w:rFonts w:ascii="Times New Roman" w:hAnsi="Times New Roman" w:cs="Times New Roman"/>
          <w:bCs/>
          <w:color w:val="000000" w:themeColor="text1"/>
          <w:sz w:val="28"/>
          <w:szCs w:val="28"/>
        </w:rPr>
        <w:t xml:space="preserve"> problema</w:t>
      </w:r>
      <w:r w:rsidRPr="00D61E7E">
        <w:rPr>
          <w:rFonts w:ascii="Times New Roman" w:hAnsi="Times New Roman" w:cs="Times New Roman"/>
          <w:bCs/>
          <w:color w:val="000000" w:themeColor="text1"/>
          <w:sz w:val="28"/>
          <w:szCs w:val="28"/>
        </w:rPr>
        <w:t>s</w:t>
      </w:r>
      <w:r w:rsidRPr="00D61E7E">
        <w:rPr>
          <w:rFonts w:ascii="Times New Roman" w:hAnsi="Times New Roman" w:cs="Times New Roman"/>
          <w:bCs/>
          <w:color w:val="000000" w:themeColor="text1"/>
          <w:sz w:val="28"/>
          <w:szCs w:val="28"/>
        </w:rPr>
        <w:t xml:space="preserve"> jurídico</w:t>
      </w:r>
      <w:r w:rsidRPr="00D61E7E">
        <w:rPr>
          <w:rFonts w:ascii="Times New Roman" w:hAnsi="Times New Roman" w:cs="Times New Roman"/>
          <w:bCs/>
          <w:color w:val="000000" w:themeColor="text1"/>
          <w:sz w:val="28"/>
          <w:szCs w:val="28"/>
        </w:rPr>
        <w:t>s</w:t>
      </w:r>
      <w:r w:rsidRPr="00D61E7E">
        <w:rPr>
          <w:rFonts w:ascii="Times New Roman" w:hAnsi="Times New Roman" w:cs="Times New Roman"/>
          <w:bCs/>
          <w:color w:val="000000" w:themeColor="text1"/>
          <w:sz w:val="28"/>
          <w:szCs w:val="28"/>
        </w:rPr>
        <w:t xml:space="preserve">: </w:t>
      </w:r>
    </w:p>
    <w:p w:rsidR="0069487F" w:rsidRPr="00D61E7E" w:rsidRDefault="00D61E7E">
      <w:pPr>
        <w:pStyle w:val="Prrafodelista"/>
        <w:tabs>
          <w:tab w:val="left" w:pos="709"/>
        </w:tabs>
        <w:ind w:left="0"/>
        <w:rPr>
          <w:rFonts w:ascii="Times New Roman" w:hAnsi="Times New Roman" w:cs="Times New Roman"/>
          <w:bCs/>
          <w:color w:val="000000" w:themeColor="text1"/>
          <w:sz w:val="28"/>
          <w:szCs w:val="28"/>
        </w:rPr>
      </w:pPr>
    </w:p>
    <w:p w:rsidR="0069487F" w:rsidRPr="00D61E7E" w:rsidRDefault="00D61E7E">
      <w:pPr>
        <w:pStyle w:val="Prrafodelista"/>
        <w:numPr>
          <w:ilvl w:val="0"/>
          <w:numId w:val="4"/>
        </w:numPr>
        <w:tabs>
          <w:tab w:val="left" w:pos="709"/>
        </w:tabs>
        <w:rPr>
          <w:rFonts w:ascii="Times New Roman" w:hAnsi="Times New Roman" w:cs="Times New Roman"/>
          <w:bCs/>
          <w:color w:val="000000" w:themeColor="text1"/>
          <w:sz w:val="28"/>
          <w:szCs w:val="28"/>
        </w:rPr>
      </w:pPr>
      <w:r w:rsidRPr="00D61E7E">
        <w:rPr>
          <w:rFonts w:ascii="Times New Roman" w:hAnsi="Times New Roman" w:cs="Times New Roman"/>
          <w:bCs/>
          <w:color w:val="000000" w:themeColor="text1"/>
          <w:sz w:val="28"/>
          <w:szCs w:val="28"/>
        </w:rPr>
        <w:t>¿</w:t>
      </w:r>
      <w:r w:rsidRPr="00D61E7E">
        <w:rPr>
          <w:rFonts w:ascii="Times New Roman" w:hAnsi="Times New Roman" w:cs="Times New Roman"/>
          <w:bCs/>
          <w:color w:val="000000" w:themeColor="text1"/>
          <w:sz w:val="28"/>
          <w:szCs w:val="28"/>
        </w:rPr>
        <w:t>V</w:t>
      </w:r>
      <w:r w:rsidRPr="00D61E7E">
        <w:rPr>
          <w:rFonts w:ascii="Times New Roman" w:hAnsi="Times New Roman" w:cs="Times New Roman"/>
          <w:bCs/>
          <w:color w:val="000000" w:themeColor="text1"/>
          <w:sz w:val="28"/>
          <w:szCs w:val="28"/>
        </w:rPr>
        <w:t xml:space="preserve">ulnera </w:t>
      </w:r>
      <w:r w:rsidRPr="00D61E7E">
        <w:rPr>
          <w:rFonts w:ascii="Times New Roman" w:hAnsi="Times New Roman" w:cs="Times New Roman"/>
          <w:bCs/>
          <w:color w:val="000000" w:themeColor="text1"/>
          <w:sz w:val="28"/>
          <w:szCs w:val="28"/>
        </w:rPr>
        <w:t>el</w:t>
      </w:r>
      <w:r w:rsidRPr="00D61E7E">
        <w:rPr>
          <w:rFonts w:ascii="Times New Roman" w:hAnsi="Times New Roman" w:cs="Times New Roman"/>
          <w:bCs/>
          <w:color w:val="000000" w:themeColor="text1"/>
          <w:sz w:val="28"/>
          <w:szCs w:val="28"/>
        </w:rPr>
        <w:t xml:space="preserve"> artículo 70</w:t>
      </w:r>
      <w:r w:rsidRPr="00D61E7E">
        <w:rPr>
          <w:rFonts w:ascii="Times New Roman" w:hAnsi="Times New Roman" w:cs="Times New Roman"/>
          <w:bCs/>
          <w:color w:val="000000" w:themeColor="text1"/>
          <w:sz w:val="28"/>
          <w:szCs w:val="28"/>
        </w:rPr>
        <w:t xml:space="preserve"> </w:t>
      </w:r>
      <w:r w:rsidRPr="00D61E7E">
        <w:rPr>
          <w:rFonts w:ascii="Times New Roman" w:hAnsi="Times New Roman" w:cs="Times New Roman"/>
          <w:bCs/>
          <w:color w:val="000000" w:themeColor="text1"/>
          <w:sz w:val="28"/>
          <w:szCs w:val="28"/>
        </w:rPr>
        <w:t xml:space="preserve">de la </w:t>
      </w:r>
      <w:r w:rsidRPr="00D61E7E">
        <w:rPr>
          <w:rFonts w:ascii="Times New Roman" w:hAnsi="Times New Roman" w:cs="Times New Roman"/>
          <w:bCs/>
          <w:color w:val="000000" w:themeColor="text1"/>
          <w:sz w:val="28"/>
          <w:szCs w:val="28"/>
        </w:rPr>
        <w:t>Ley 2069 de 2020</w:t>
      </w:r>
      <w:r w:rsidRPr="00D61E7E">
        <w:rPr>
          <w:rFonts w:ascii="Times New Roman" w:hAnsi="Times New Roman" w:cs="Times New Roman"/>
          <w:bCs/>
          <w:color w:val="000000" w:themeColor="text1"/>
          <w:sz w:val="28"/>
          <w:szCs w:val="28"/>
        </w:rPr>
        <w:t xml:space="preserve"> </w:t>
      </w:r>
      <w:r w:rsidRPr="00D61E7E">
        <w:rPr>
          <w:rFonts w:ascii="Times New Roman" w:hAnsi="Times New Roman" w:cs="Times New Roman"/>
          <w:bCs/>
          <w:color w:val="000000" w:themeColor="text1"/>
          <w:sz w:val="28"/>
          <w:szCs w:val="28"/>
        </w:rPr>
        <w:t xml:space="preserve">el principio de unidad de materia consagrado en los artículos 158 y 169 de la Constitución Política, </w:t>
      </w:r>
      <w:r w:rsidRPr="00D61E7E">
        <w:rPr>
          <w:rFonts w:ascii="Times New Roman" w:hAnsi="Times New Roman" w:cs="Times New Roman"/>
          <w:bCs/>
          <w:color w:val="000000" w:themeColor="text1"/>
          <w:sz w:val="28"/>
          <w:szCs w:val="28"/>
        </w:rPr>
        <w:t xml:space="preserve">al </w:t>
      </w:r>
      <w:r w:rsidRPr="00D61E7E">
        <w:rPr>
          <w:rFonts w:ascii="Times New Roman" w:hAnsi="Times New Roman" w:cs="Times New Roman"/>
          <w:bCs/>
          <w:color w:val="000000" w:themeColor="text1"/>
          <w:sz w:val="28"/>
          <w:szCs w:val="28"/>
        </w:rPr>
        <w:t xml:space="preserve">otorgarle a </w:t>
      </w:r>
      <w:r w:rsidRPr="00D61E7E">
        <w:rPr>
          <w:rFonts w:ascii="Times New Roman" w:hAnsi="Times New Roman" w:cs="Times New Roman"/>
          <w:bCs/>
          <w:color w:val="000000" w:themeColor="text1"/>
          <w:sz w:val="28"/>
          <w:szCs w:val="28"/>
        </w:rPr>
        <w:t xml:space="preserve">la Superintendencia de Sociedades las </w:t>
      </w:r>
      <w:r w:rsidRPr="00D61E7E">
        <w:rPr>
          <w:rFonts w:ascii="Times New Roman" w:hAnsi="Times New Roman" w:cs="Times New Roman"/>
          <w:bCs/>
          <w:color w:val="000000" w:themeColor="text1"/>
          <w:sz w:val="28"/>
          <w:szCs w:val="28"/>
        </w:rPr>
        <w:t xml:space="preserve">actividades </w:t>
      </w:r>
      <w:r w:rsidRPr="00D61E7E">
        <w:rPr>
          <w:rFonts w:ascii="Times New Roman" w:hAnsi="Times New Roman" w:cs="Times New Roman"/>
          <w:bCs/>
          <w:color w:val="000000" w:themeColor="text1"/>
          <w:sz w:val="28"/>
          <w:szCs w:val="28"/>
        </w:rPr>
        <w:t>de inspección</w:t>
      </w:r>
      <w:r w:rsidRPr="00D61E7E">
        <w:rPr>
          <w:rFonts w:ascii="Times New Roman" w:hAnsi="Times New Roman" w:cs="Times New Roman"/>
          <w:bCs/>
          <w:color w:val="000000" w:themeColor="text1"/>
          <w:sz w:val="28"/>
          <w:szCs w:val="28"/>
        </w:rPr>
        <w:t xml:space="preserve">, </w:t>
      </w:r>
      <w:r w:rsidRPr="00D61E7E">
        <w:rPr>
          <w:rFonts w:ascii="Times New Roman" w:hAnsi="Times New Roman" w:cs="Times New Roman"/>
          <w:bCs/>
          <w:color w:val="000000" w:themeColor="text1"/>
          <w:sz w:val="28"/>
          <w:szCs w:val="28"/>
        </w:rPr>
        <w:t>vigilancia</w:t>
      </w:r>
      <w:r w:rsidRPr="00D61E7E">
        <w:rPr>
          <w:rFonts w:ascii="Times New Roman" w:hAnsi="Times New Roman" w:cs="Times New Roman"/>
          <w:bCs/>
          <w:color w:val="000000" w:themeColor="text1"/>
          <w:sz w:val="28"/>
          <w:szCs w:val="28"/>
        </w:rPr>
        <w:t xml:space="preserve"> y control</w:t>
      </w:r>
      <w:r w:rsidRPr="00D61E7E">
        <w:rPr>
          <w:rFonts w:ascii="Times New Roman" w:hAnsi="Times New Roman" w:cs="Times New Roman"/>
          <w:bCs/>
          <w:color w:val="000000" w:themeColor="text1"/>
          <w:sz w:val="28"/>
          <w:szCs w:val="28"/>
        </w:rPr>
        <w:t xml:space="preserve"> sobre las </w:t>
      </w:r>
      <w:r w:rsidRPr="00D61E7E">
        <w:rPr>
          <w:rFonts w:ascii="Times New Roman" w:hAnsi="Times New Roman" w:cs="Times New Roman"/>
          <w:bCs/>
          <w:color w:val="000000" w:themeColor="text1"/>
          <w:sz w:val="28"/>
          <w:szCs w:val="28"/>
        </w:rPr>
        <w:t>c</w:t>
      </w:r>
      <w:r w:rsidRPr="00D61E7E">
        <w:rPr>
          <w:rFonts w:ascii="Times New Roman" w:hAnsi="Times New Roman" w:cs="Times New Roman"/>
          <w:bCs/>
          <w:color w:val="000000" w:themeColor="text1"/>
          <w:sz w:val="28"/>
          <w:szCs w:val="28"/>
        </w:rPr>
        <w:t xml:space="preserve">ámaras de </w:t>
      </w:r>
      <w:r w:rsidRPr="00D61E7E">
        <w:rPr>
          <w:rFonts w:ascii="Times New Roman" w:hAnsi="Times New Roman" w:cs="Times New Roman"/>
          <w:bCs/>
          <w:color w:val="000000" w:themeColor="text1"/>
          <w:sz w:val="28"/>
          <w:szCs w:val="28"/>
        </w:rPr>
        <w:t>c</w:t>
      </w:r>
      <w:r w:rsidRPr="00D61E7E">
        <w:rPr>
          <w:rFonts w:ascii="Times New Roman" w:hAnsi="Times New Roman" w:cs="Times New Roman"/>
          <w:bCs/>
          <w:color w:val="000000" w:themeColor="text1"/>
          <w:sz w:val="28"/>
          <w:szCs w:val="28"/>
        </w:rPr>
        <w:t>omercio</w:t>
      </w:r>
      <w:r w:rsidRPr="00D61E7E">
        <w:rPr>
          <w:rFonts w:ascii="Times New Roman" w:hAnsi="Times New Roman" w:cs="Times New Roman"/>
          <w:bCs/>
          <w:color w:val="000000" w:themeColor="text1"/>
          <w:sz w:val="28"/>
          <w:szCs w:val="28"/>
        </w:rPr>
        <w:t xml:space="preserve"> – función </w:t>
      </w:r>
      <w:r w:rsidRPr="00D61E7E">
        <w:rPr>
          <w:rFonts w:ascii="Times New Roman" w:hAnsi="Times New Roman" w:cs="Times New Roman"/>
          <w:bCs/>
          <w:color w:val="000000" w:themeColor="text1"/>
          <w:sz w:val="28"/>
          <w:szCs w:val="28"/>
        </w:rPr>
        <w:t>que antes ejer</w:t>
      </w:r>
      <w:r w:rsidRPr="00D61E7E">
        <w:rPr>
          <w:rFonts w:ascii="Times New Roman" w:hAnsi="Times New Roman" w:cs="Times New Roman"/>
          <w:bCs/>
          <w:color w:val="000000" w:themeColor="text1"/>
          <w:sz w:val="28"/>
          <w:szCs w:val="28"/>
        </w:rPr>
        <w:t>cía</w:t>
      </w:r>
      <w:r w:rsidRPr="00D61E7E">
        <w:rPr>
          <w:rFonts w:ascii="Times New Roman" w:hAnsi="Times New Roman" w:cs="Times New Roman"/>
          <w:bCs/>
          <w:color w:val="000000" w:themeColor="text1"/>
          <w:sz w:val="28"/>
          <w:szCs w:val="28"/>
        </w:rPr>
        <w:t xml:space="preserve"> la Superintendencia de Industria y Comercio</w:t>
      </w:r>
      <w:r w:rsidRPr="00D61E7E">
        <w:rPr>
          <w:rFonts w:ascii="Times New Roman" w:hAnsi="Times New Roman" w:cs="Times New Roman"/>
          <w:bCs/>
          <w:color w:val="000000" w:themeColor="text1"/>
          <w:sz w:val="28"/>
          <w:szCs w:val="28"/>
        </w:rPr>
        <w:t>?</w:t>
      </w:r>
    </w:p>
    <w:p w:rsidR="00B6425C" w:rsidRPr="00D61E7E" w:rsidRDefault="00D61E7E" w:rsidP="00B6425C">
      <w:pPr>
        <w:pStyle w:val="Prrafodelista"/>
        <w:tabs>
          <w:tab w:val="left" w:pos="709"/>
        </w:tabs>
        <w:rPr>
          <w:rFonts w:ascii="Times New Roman" w:hAnsi="Times New Roman" w:cs="Times New Roman"/>
          <w:bCs/>
          <w:color w:val="000000" w:themeColor="text1"/>
          <w:sz w:val="28"/>
          <w:szCs w:val="28"/>
        </w:rPr>
      </w:pPr>
    </w:p>
    <w:p w:rsidR="00E45E38" w:rsidRPr="00D61E7E" w:rsidRDefault="00D61E7E">
      <w:pPr>
        <w:pStyle w:val="Prrafodelista"/>
        <w:numPr>
          <w:ilvl w:val="0"/>
          <w:numId w:val="4"/>
        </w:numPr>
        <w:tabs>
          <w:tab w:val="left" w:pos="709"/>
        </w:tabs>
        <w:rPr>
          <w:rFonts w:ascii="Times New Roman" w:hAnsi="Times New Roman" w:cs="Times New Roman"/>
          <w:bCs/>
          <w:color w:val="000000" w:themeColor="text1"/>
          <w:sz w:val="28"/>
          <w:szCs w:val="28"/>
        </w:rPr>
      </w:pPr>
      <w:r w:rsidRPr="00D61E7E">
        <w:rPr>
          <w:rFonts w:ascii="Times New Roman" w:hAnsi="Times New Roman" w:cs="Times New Roman"/>
          <w:bCs/>
          <w:color w:val="000000" w:themeColor="text1"/>
          <w:sz w:val="28"/>
          <w:szCs w:val="28"/>
        </w:rPr>
        <w:t>¿</w:t>
      </w:r>
      <w:r w:rsidRPr="00D61E7E">
        <w:rPr>
          <w:rFonts w:ascii="Times New Roman" w:hAnsi="Times New Roman" w:cs="Times New Roman"/>
          <w:bCs/>
          <w:color w:val="000000" w:themeColor="text1"/>
          <w:sz w:val="28"/>
          <w:szCs w:val="28"/>
        </w:rPr>
        <w:t xml:space="preserve">Vulnera el artículo 73 de la </w:t>
      </w:r>
      <w:r w:rsidRPr="00D61E7E">
        <w:rPr>
          <w:rFonts w:ascii="Times New Roman" w:hAnsi="Times New Roman" w:cs="Times New Roman"/>
          <w:bCs/>
          <w:color w:val="000000" w:themeColor="text1"/>
          <w:sz w:val="28"/>
          <w:szCs w:val="28"/>
        </w:rPr>
        <w:t>Ley 2069 de 2020</w:t>
      </w:r>
      <w:r w:rsidRPr="00D61E7E">
        <w:rPr>
          <w:rFonts w:ascii="Times New Roman" w:hAnsi="Times New Roman" w:cs="Times New Roman"/>
          <w:bCs/>
          <w:color w:val="000000" w:themeColor="text1"/>
          <w:sz w:val="28"/>
          <w:szCs w:val="28"/>
        </w:rPr>
        <w:t xml:space="preserve"> el principio de unidad de materia consagrado en los artículos 158 y 169 de la Constitución Política,</w:t>
      </w:r>
      <w:r w:rsidRPr="00D61E7E">
        <w:rPr>
          <w:rFonts w:ascii="Times New Roman" w:hAnsi="Times New Roman" w:cs="Times New Roman"/>
          <w:bCs/>
          <w:color w:val="000000" w:themeColor="text1"/>
          <w:sz w:val="28"/>
          <w:szCs w:val="28"/>
        </w:rPr>
        <w:t xml:space="preserve"> </w:t>
      </w:r>
      <w:r w:rsidRPr="00D61E7E">
        <w:rPr>
          <w:rFonts w:ascii="Times New Roman" w:hAnsi="Times New Roman" w:cs="Times New Roman"/>
          <w:bCs/>
          <w:color w:val="000000" w:themeColor="text1"/>
          <w:sz w:val="28"/>
          <w:szCs w:val="28"/>
        </w:rPr>
        <w:t xml:space="preserve">al </w:t>
      </w:r>
      <w:r w:rsidRPr="00D61E7E">
        <w:rPr>
          <w:rFonts w:ascii="Times New Roman" w:hAnsi="Times New Roman" w:cs="Times New Roman"/>
          <w:bCs/>
          <w:color w:val="000000" w:themeColor="text1"/>
          <w:sz w:val="28"/>
          <w:szCs w:val="28"/>
        </w:rPr>
        <w:t xml:space="preserve">establecer la virtualidad en </w:t>
      </w:r>
      <w:r w:rsidRPr="00D61E7E">
        <w:rPr>
          <w:rFonts w:ascii="Times New Roman" w:hAnsi="Times New Roman" w:cs="Times New Roman"/>
          <w:bCs/>
          <w:color w:val="000000" w:themeColor="text1"/>
          <w:sz w:val="28"/>
          <w:szCs w:val="28"/>
        </w:rPr>
        <w:t xml:space="preserve">los medios de prueba de </w:t>
      </w:r>
      <w:r w:rsidRPr="00D61E7E">
        <w:rPr>
          <w:rFonts w:ascii="Times New Roman" w:hAnsi="Times New Roman" w:cs="Times New Roman"/>
          <w:bCs/>
          <w:color w:val="000000" w:themeColor="text1"/>
          <w:sz w:val="28"/>
          <w:szCs w:val="28"/>
        </w:rPr>
        <w:t>inspección tributaria y contable y las visitas administrativas en materia tributaria y cambiaria</w:t>
      </w:r>
      <w:r w:rsidRPr="00D61E7E">
        <w:rPr>
          <w:rFonts w:ascii="Times New Roman" w:hAnsi="Times New Roman" w:cs="Times New Roman"/>
          <w:bCs/>
          <w:color w:val="000000" w:themeColor="text1"/>
          <w:sz w:val="28"/>
          <w:szCs w:val="28"/>
        </w:rPr>
        <w:t xml:space="preserve"> </w:t>
      </w:r>
      <w:r w:rsidRPr="00D61E7E">
        <w:rPr>
          <w:rFonts w:ascii="Times New Roman" w:hAnsi="Times New Roman" w:cs="Times New Roman"/>
          <w:bCs/>
          <w:color w:val="000000" w:themeColor="text1"/>
          <w:sz w:val="28"/>
          <w:szCs w:val="28"/>
        </w:rPr>
        <w:t xml:space="preserve">en una ley por la cual se </w:t>
      </w:r>
      <w:r w:rsidRPr="00D61E7E">
        <w:rPr>
          <w:rFonts w:ascii="Times New Roman" w:hAnsi="Times New Roman" w:cs="Times New Roman"/>
          <w:bCs/>
          <w:color w:val="000000" w:themeColor="text1"/>
          <w:sz w:val="28"/>
          <w:szCs w:val="28"/>
        </w:rPr>
        <w:t>impulsa el</w:t>
      </w:r>
      <w:r w:rsidRPr="00D61E7E">
        <w:rPr>
          <w:rFonts w:ascii="Times New Roman" w:hAnsi="Times New Roman" w:cs="Times New Roman"/>
          <w:bCs/>
          <w:color w:val="000000" w:themeColor="text1"/>
          <w:sz w:val="28"/>
          <w:szCs w:val="28"/>
        </w:rPr>
        <w:t xml:space="preserve"> emprendimiento en Colombia? </w:t>
      </w:r>
    </w:p>
    <w:p w:rsidR="008E3467" w:rsidRPr="00D61E7E" w:rsidRDefault="00D61E7E" w:rsidP="00F97DD1">
      <w:pPr>
        <w:tabs>
          <w:tab w:val="left" w:pos="709"/>
        </w:tabs>
        <w:jc w:val="both"/>
        <w:rPr>
          <w:rFonts w:ascii="Times New Roman" w:hAnsi="Times New Roman" w:cs="Times New Roman"/>
          <w:bCs/>
          <w:color w:val="000000" w:themeColor="text1"/>
          <w:sz w:val="28"/>
          <w:szCs w:val="28"/>
          <w:lang w:val="es-ES"/>
        </w:rPr>
      </w:pPr>
    </w:p>
    <w:p w:rsidR="0050777C" w:rsidRPr="00D61E7E" w:rsidRDefault="00D61E7E" w:rsidP="008249D8">
      <w:pPr>
        <w:pStyle w:val="Prrafodelista"/>
        <w:numPr>
          <w:ilvl w:val="0"/>
          <w:numId w:val="3"/>
        </w:numPr>
        <w:rPr>
          <w:rFonts w:ascii="Times New Roman" w:hAnsi="Times New Roman" w:cs="Times New Roman"/>
          <w:bCs/>
          <w:color w:val="000000" w:themeColor="text1"/>
          <w:sz w:val="28"/>
          <w:szCs w:val="28"/>
          <w:lang w:val="es-ES"/>
        </w:rPr>
      </w:pPr>
      <w:r w:rsidRPr="00D61E7E">
        <w:rPr>
          <w:rFonts w:ascii="Times New Roman" w:hAnsi="Times New Roman" w:cs="Times New Roman"/>
          <w:bCs/>
          <w:color w:val="000000" w:themeColor="text1"/>
          <w:sz w:val="28"/>
          <w:szCs w:val="28"/>
          <w:lang w:val="es-ES"/>
        </w:rPr>
        <w:t>Para resolver estos problemas jurídicos,</w:t>
      </w:r>
      <w:r w:rsidRPr="00D61E7E">
        <w:rPr>
          <w:rFonts w:ascii="Times New Roman" w:hAnsi="Times New Roman" w:cs="Times New Roman"/>
          <w:bCs/>
          <w:color w:val="000000" w:themeColor="text1"/>
          <w:sz w:val="28"/>
          <w:szCs w:val="28"/>
          <w:lang w:val="es-ES"/>
        </w:rPr>
        <w:t xml:space="preserve"> la Corte reiterará su </w:t>
      </w:r>
      <w:r w:rsidRPr="00D61E7E">
        <w:rPr>
          <w:rFonts w:ascii="Times New Roman" w:hAnsi="Times New Roman" w:cs="Times New Roman"/>
          <w:bCs/>
          <w:color w:val="000000" w:themeColor="text1"/>
          <w:sz w:val="28"/>
          <w:szCs w:val="28"/>
          <w:lang w:val="es-ES"/>
        </w:rPr>
        <w:t>jurisprudencia</w:t>
      </w:r>
      <w:r w:rsidRPr="00D61E7E">
        <w:rPr>
          <w:rFonts w:ascii="Times New Roman" w:hAnsi="Times New Roman" w:cs="Times New Roman"/>
          <w:bCs/>
          <w:color w:val="000000" w:themeColor="text1"/>
          <w:sz w:val="28"/>
          <w:szCs w:val="28"/>
          <w:lang w:val="es-ES"/>
        </w:rPr>
        <w:t xml:space="preserve"> sobre el principio de unidad de </w:t>
      </w:r>
      <w:r w:rsidRPr="00D61E7E">
        <w:rPr>
          <w:rFonts w:ascii="Times New Roman" w:hAnsi="Times New Roman" w:cs="Times New Roman"/>
          <w:bCs/>
          <w:color w:val="000000" w:themeColor="text1"/>
          <w:sz w:val="28"/>
          <w:szCs w:val="28"/>
          <w:lang w:val="es-ES"/>
        </w:rPr>
        <w:t>materia</w:t>
      </w:r>
      <w:r w:rsidRPr="00D61E7E">
        <w:rPr>
          <w:rFonts w:ascii="Times New Roman" w:hAnsi="Times New Roman" w:cs="Times New Roman"/>
          <w:bCs/>
          <w:color w:val="000000" w:themeColor="text1"/>
          <w:sz w:val="28"/>
          <w:szCs w:val="28"/>
          <w:lang w:val="es-ES"/>
        </w:rPr>
        <w:t xml:space="preserve"> y examinará el núcleo temático de la </w:t>
      </w:r>
      <w:r w:rsidRPr="00D61E7E">
        <w:rPr>
          <w:rFonts w:ascii="Times New Roman" w:hAnsi="Times New Roman" w:cs="Times New Roman"/>
          <w:bCs/>
          <w:color w:val="000000" w:themeColor="text1"/>
          <w:sz w:val="28"/>
          <w:szCs w:val="28"/>
          <w:lang w:val="es-ES"/>
        </w:rPr>
        <w:t>Ley 2069 de 2020</w:t>
      </w:r>
      <w:r w:rsidRPr="00D61E7E">
        <w:rPr>
          <w:rFonts w:ascii="Times New Roman" w:hAnsi="Times New Roman" w:cs="Times New Roman"/>
          <w:bCs/>
          <w:color w:val="000000" w:themeColor="text1"/>
          <w:sz w:val="28"/>
          <w:szCs w:val="28"/>
          <w:lang w:val="es-ES"/>
        </w:rPr>
        <w:t xml:space="preserve">. A partir de allí, </w:t>
      </w:r>
      <w:r w:rsidRPr="00D61E7E">
        <w:rPr>
          <w:rFonts w:ascii="Times New Roman" w:hAnsi="Times New Roman" w:cs="Times New Roman"/>
          <w:bCs/>
          <w:color w:val="000000" w:themeColor="text1"/>
          <w:sz w:val="28"/>
          <w:szCs w:val="28"/>
          <w:lang w:val="es-ES"/>
        </w:rPr>
        <w:t xml:space="preserve">se </w:t>
      </w:r>
      <w:r w:rsidRPr="00D61E7E">
        <w:rPr>
          <w:rFonts w:ascii="Times New Roman" w:hAnsi="Times New Roman" w:cs="Times New Roman"/>
          <w:bCs/>
          <w:color w:val="000000" w:themeColor="text1"/>
          <w:sz w:val="28"/>
          <w:szCs w:val="28"/>
          <w:lang w:val="es-ES"/>
        </w:rPr>
        <w:t>analizará</w:t>
      </w:r>
      <w:r w:rsidRPr="00D61E7E">
        <w:rPr>
          <w:rFonts w:ascii="Times New Roman" w:hAnsi="Times New Roman" w:cs="Times New Roman"/>
          <w:bCs/>
          <w:color w:val="000000" w:themeColor="text1"/>
          <w:sz w:val="28"/>
          <w:szCs w:val="28"/>
          <w:lang w:val="es-ES"/>
        </w:rPr>
        <w:t xml:space="preserve"> si los artículos 70 y 73 de la </w:t>
      </w:r>
      <w:r w:rsidRPr="00D61E7E">
        <w:rPr>
          <w:rFonts w:ascii="Times New Roman" w:hAnsi="Times New Roman" w:cs="Times New Roman"/>
          <w:bCs/>
          <w:color w:val="000000" w:themeColor="text1"/>
          <w:sz w:val="28"/>
          <w:szCs w:val="28"/>
          <w:lang w:val="es-ES"/>
        </w:rPr>
        <w:t>Ley 2069 de 2020</w:t>
      </w:r>
      <w:r w:rsidRPr="00D61E7E">
        <w:rPr>
          <w:rFonts w:ascii="Times New Roman" w:hAnsi="Times New Roman" w:cs="Times New Roman"/>
          <w:bCs/>
          <w:color w:val="000000" w:themeColor="text1"/>
          <w:sz w:val="28"/>
          <w:szCs w:val="28"/>
          <w:lang w:val="es-ES"/>
        </w:rPr>
        <w:t xml:space="preserve"> </w:t>
      </w:r>
      <w:r w:rsidRPr="00D61E7E">
        <w:rPr>
          <w:rFonts w:ascii="Times New Roman" w:hAnsi="Times New Roman" w:cs="Times New Roman"/>
          <w:bCs/>
          <w:color w:val="000000" w:themeColor="text1"/>
          <w:sz w:val="28"/>
          <w:szCs w:val="28"/>
          <w:lang w:val="es-ES"/>
        </w:rPr>
        <w:t xml:space="preserve">respetan o no </w:t>
      </w:r>
      <w:r w:rsidRPr="00D61E7E">
        <w:rPr>
          <w:rFonts w:ascii="Times New Roman" w:hAnsi="Times New Roman" w:cs="Times New Roman"/>
          <w:bCs/>
          <w:color w:val="000000" w:themeColor="text1"/>
          <w:sz w:val="28"/>
          <w:szCs w:val="28"/>
          <w:lang w:val="es-ES"/>
        </w:rPr>
        <w:t xml:space="preserve">la unidad de materia. </w:t>
      </w:r>
    </w:p>
    <w:p w:rsidR="00CA683D" w:rsidRPr="00D61E7E" w:rsidRDefault="00D61E7E">
      <w:pPr>
        <w:pStyle w:val="Prrafodelista"/>
        <w:tabs>
          <w:tab w:val="left" w:pos="709"/>
        </w:tabs>
        <w:ind w:left="0"/>
        <w:rPr>
          <w:rFonts w:ascii="Times New Roman" w:hAnsi="Times New Roman" w:cs="Times New Roman"/>
          <w:bCs/>
          <w:color w:val="000000" w:themeColor="text1"/>
          <w:sz w:val="28"/>
          <w:szCs w:val="28"/>
        </w:rPr>
      </w:pPr>
    </w:p>
    <w:p w:rsidR="000925CF" w:rsidRPr="00D61E7E" w:rsidRDefault="00D61E7E" w:rsidP="00F97DD1">
      <w:pPr>
        <w:tabs>
          <w:tab w:val="left" w:pos="709"/>
        </w:tabs>
        <w:jc w:val="both"/>
        <w:rPr>
          <w:rFonts w:ascii="Times New Roman" w:hAnsi="Times New Roman" w:cs="Times New Roman"/>
          <w:b/>
          <w:color w:val="000000" w:themeColor="text1"/>
          <w:sz w:val="28"/>
          <w:szCs w:val="28"/>
          <w:lang w:val="es-ES"/>
        </w:rPr>
      </w:pPr>
      <w:r w:rsidRPr="00D61E7E">
        <w:rPr>
          <w:rFonts w:ascii="Times New Roman" w:hAnsi="Times New Roman" w:cs="Times New Roman"/>
          <w:b/>
          <w:color w:val="000000" w:themeColor="text1"/>
          <w:sz w:val="28"/>
          <w:szCs w:val="28"/>
          <w:lang w:val="es-ES"/>
        </w:rPr>
        <w:t xml:space="preserve">El principio de unidad de materia. </w:t>
      </w:r>
      <w:r w:rsidRPr="00D61E7E">
        <w:rPr>
          <w:rFonts w:ascii="Times New Roman" w:hAnsi="Times New Roman" w:cs="Times New Roman"/>
          <w:b/>
          <w:color w:val="000000" w:themeColor="text1"/>
          <w:sz w:val="28"/>
          <w:szCs w:val="28"/>
          <w:lang w:val="es-ES"/>
        </w:rPr>
        <w:t>Reiteración de jurisprudencia</w:t>
      </w:r>
      <w:r w:rsidRPr="00D61E7E">
        <w:rPr>
          <w:rStyle w:val="Refdenotaalpie"/>
          <w:rFonts w:ascii="Times New Roman" w:hAnsi="Times New Roman" w:cs="Times New Roman"/>
          <w:b/>
          <w:color w:val="000000" w:themeColor="text1"/>
          <w:sz w:val="28"/>
          <w:szCs w:val="28"/>
        </w:rPr>
        <w:footnoteReference w:id="18"/>
      </w:r>
    </w:p>
    <w:p w:rsidR="00760C4D" w:rsidRPr="00D61E7E" w:rsidRDefault="00D61E7E" w:rsidP="00F97DD1">
      <w:pPr>
        <w:tabs>
          <w:tab w:val="left" w:pos="709"/>
        </w:tabs>
        <w:jc w:val="both"/>
        <w:rPr>
          <w:rFonts w:ascii="Times New Roman" w:hAnsi="Times New Roman" w:cs="Times New Roman"/>
          <w:bCs/>
          <w:color w:val="000000" w:themeColor="text1"/>
          <w:sz w:val="28"/>
          <w:szCs w:val="28"/>
          <w:lang w:val="es-ES"/>
        </w:rPr>
      </w:pPr>
    </w:p>
    <w:p w:rsidR="00724A7E" w:rsidRPr="00D61E7E" w:rsidRDefault="00D61E7E" w:rsidP="008249D8">
      <w:pPr>
        <w:pStyle w:val="Prrafodelista"/>
        <w:numPr>
          <w:ilvl w:val="0"/>
          <w:numId w:val="3"/>
        </w:numPr>
        <w:tabs>
          <w:tab w:val="left" w:pos="709"/>
        </w:tabs>
        <w:rPr>
          <w:rFonts w:ascii="Times New Roman" w:hAnsi="Times New Roman" w:cs="Times New Roman"/>
          <w:sz w:val="28"/>
          <w:szCs w:val="28"/>
        </w:rPr>
      </w:pPr>
      <w:r w:rsidRPr="00D61E7E">
        <w:rPr>
          <w:rFonts w:ascii="Times New Roman" w:hAnsi="Times New Roman" w:cs="Times New Roman"/>
          <w:bCs/>
          <w:sz w:val="28"/>
          <w:szCs w:val="28"/>
        </w:rPr>
        <w:t>Los artículos 158 y 169 de la Constitución Política contienen el principio de unidad de materia. El artículo 158 superior establece que todo proyecto de ley debe “referirse a una misma materia y serán inadmisibles las dispos</w:t>
      </w:r>
      <w:r w:rsidRPr="00D61E7E">
        <w:rPr>
          <w:rFonts w:ascii="Times New Roman" w:hAnsi="Times New Roman" w:cs="Times New Roman"/>
          <w:bCs/>
          <w:sz w:val="28"/>
          <w:szCs w:val="28"/>
        </w:rPr>
        <w:t>iciones o modificaciones que no se relacionen con ella”. El artículo 169 establece que “</w:t>
      </w:r>
      <w:r w:rsidRPr="00D61E7E">
        <w:rPr>
          <w:rFonts w:ascii="Times New Roman" w:hAnsi="Times New Roman" w:cs="Times New Roman"/>
          <w:sz w:val="28"/>
          <w:szCs w:val="28"/>
          <w:shd w:val="clear" w:color="auto" w:fill="FFFFFF"/>
        </w:rPr>
        <w:t>[e]l título de las leyes deberá corresponder precisamente a su contenido”</w:t>
      </w:r>
      <w:r w:rsidRPr="00D61E7E">
        <w:rPr>
          <w:rStyle w:val="Refdenotaalpie"/>
          <w:rFonts w:ascii="Times New Roman" w:hAnsi="Times New Roman" w:cs="Times New Roman"/>
          <w:sz w:val="28"/>
          <w:szCs w:val="28"/>
          <w:shd w:val="clear" w:color="auto" w:fill="FFFFFF"/>
        </w:rPr>
        <w:footnoteReference w:id="19"/>
      </w:r>
      <w:r w:rsidRPr="00D61E7E">
        <w:rPr>
          <w:rFonts w:ascii="Times New Roman" w:hAnsi="Times New Roman" w:cs="Times New Roman"/>
          <w:sz w:val="28"/>
          <w:szCs w:val="28"/>
          <w:shd w:val="clear" w:color="auto" w:fill="FFFFFF"/>
        </w:rPr>
        <w:t>.</w:t>
      </w:r>
      <w:r w:rsidRPr="00D61E7E">
        <w:rPr>
          <w:rFonts w:ascii="Times New Roman" w:hAnsi="Times New Roman" w:cs="Times New Roman"/>
          <w:bCs/>
          <w:sz w:val="28"/>
          <w:szCs w:val="28"/>
        </w:rPr>
        <w:t xml:space="preserve"> En línea con estas dos disposiciones constitucionales, el artículo 148 de la Ley 5 de 1992 e</w:t>
      </w:r>
      <w:r w:rsidRPr="00D61E7E">
        <w:rPr>
          <w:rFonts w:ascii="Times New Roman" w:hAnsi="Times New Roman" w:cs="Times New Roman"/>
          <w:bCs/>
          <w:sz w:val="28"/>
          <w:szCs w:val="28"/>
        </w:rPr>
        <w:t>stablece que en las Comisiones Permanentes el presidente deberá rechazar las disposiciones “que no se relacionen con una misma materia”.</w:t>
      </w:r>
      <w:r w:rsidRPr="00D61E7E">
        <w:rPr>
          <w:rFonts w:ascii="Times New Roman" w:hAnsi="Times New Roman" w:cs="Times New Roman"/>
          <w:bCs/>
          <w:sz w:val="28"/>
          <w:szCs w:val="28"/>
        </w:rPr>
        <w:t xml:space="preserve"> </w:t>
      </w:r>
    </w:p>
    <w:p w:rsidR="005C2C6A" w:rsidRPr="00D61E7E" w:rsidRDefault="00D61E7E" w:rsidP="00F97DD1">
      <w:pPr>
        <w:pStyle w:val="Prrafodelista"/>
        <w:tabs>
          <w:tab w:val="left" w:pos="709"/>
        </w:tabs>
        <w:ind w:left="0"/>
        <w:rPr>
          <w:rFonts w:ascii="Times New Roman" w:hAnsi="Times New Roman" w:cs="Times New Roman"/>
          <w:bCs/>
          <w:sz w:val="28"/>
          <w:szCs w:val="28"/>
        </w:rPr>
      </w:pPr>
    </w:p>
    <w:p w:rsidR="00724A7E" w:rsidRPr="00D61E7E" w:rsidRDefault="00D61E7E" w:rsidP="008249D8">
      <w:pPr>
        <w:pStyle w:val="Prrafodelista"/>
        <w:numPr>
          <w:ilvl w:val="0"/>
          <w:numId w:val="3"/>
        </w:numPr>
        <w:tabs>
          <w:tab w:val="left" w:pos="709"/>
        </w:tabs>
        <w:rPr>
          <w:rFonts w:ascii="Times New Roman" w:hAnsi="Times New Roman" w:cs="Times New Roman"/>
          <w:sz w:val="28"/>
          <w:szCs w:val="28"/>
          <w:shd w:val="clear" w:color="auto" w:fill="FFFFFF"/>
        </w:rPr>
      </w:pPr>
      <w:r w:rsidRPr="00D61E7E">
        <w:rPr>
          <w:rFonts w:ascii="Times New Roman" w:hAnsi="Times New Roman" w:cs="Times New Roman"/>
          <w:sz w:val="28"/>
          <w:szCs w:val="28"/>
        </w:rPr>
        <w:t xml:space="preserve">Según la jurisprudencia de la Corte, el principio de unidad de materia exige que </w:t>
      </w:r>
      <w:r w:rsidRPr="00D61E7E">
        <w:rPr>
          <w:rFonts w:ascii="Times New Roman" w:hAnsi="Times New Roman" w:cs="Times New Roman"/>
          <w:sz w:val="28"/>
          <w:szCs w:val="28"/>
          <w:shd w:val="clear" w:color="auto" w:fill="FFFFFF"/>
        </w:rPr>
        <w:t xml:space="preserve">“las disposiciones de una ley </w:t>
      </w:r>
      <w:r w:rsidRPr="00D61E7E">
        <w:rPr>
          <w:rFonts w:ascii="Times New Roman" w:hAnsi="Times New Roman" w:cs="Times New Roman"/>
          <w:sz w:val="28"/>
          <w:szCs w:val="28"/>
          <w:shd w:val="clear" w:color="auto" w:fill="FFFFFF"/>
        </w:rPr>
        <w:t>guarden conexidad temática entre sí y con la materia principal que se regula, ya sea referida a un solo asunto, o incluso a una pluralidad de ellos relacionados entre sí (…) siempre que los temas a tratar tengan una “conexidad objetiva y razonable”</w:t>
      </w:r>
      <w:r w:rsidRPr="00D61E7E">
        <w:rPr>
          <w:rStyle w:val="Refdenotaalpie"/>
          <w:rFonts w:ascii="Times New Roman" w:hAnsi="Times New Roman" w:cs="Times New Roman"/>
          <w:sz w:val="28"/>
          <w:szCs w:val="28"/>
          <w:shd w:val="clear" w:color="auto" w:fill="FFFFFF"/>
        </w:rPr>
        <w:footnoteReference w:id="20"/>
      </w:r>
      <w:r w:rsidRPr="00D61E7E">
        <w:rPr>
          <w:rFonts w:ascii="Times New Roman" w:hAnsi="Times New Roman" w:cs="Times New Roman"/>
          <w:sz w:val="28"/>
          <w:szCs w:val="28"/>
          <w:shd w:val="clear" w:color="auto" w:fill="FFFFFF"/>
        </w:rPr>
        <w:t xml:space="preserve"> . </w:t>
      </w:r>
    </w:p>
    <w:p w:rsidR="00724A7E" w:rsidRPr="00D61E7E" w:rsidRDefault="00D61E7E" w:rsidP="00724A7E">
      <w:pPr>
        <w:pStyle w:val="Prrafodelista"/>
        <w:tabs>
          <w:tab w:val="left" w:pos="709"/>
        </w:tabs>
        <w:ind w:left="0"/>
        <w:rPr>
          <w:rFonts w:ascii="Times New Roman" w:hAnsi="Times New Roman" w:cs="Times New Roman"/>
          <w:sz w:val="28"/>
          <w:szCs w:val="28"/>
        </w:rPr>
      </w:pPr>
    </w:p>
    <w:p w:rsidR="006A6365" w:rsidRPr="00D61E7E" w:rsidRDefault="00D61E7E" w:rsidP="008249D8">
      <w:pPr>
        <w:pStyle w:val="Prrafodelista"/>
        <w:numPr>
          <w:ilvl w:val="0"/>
          <w:numId w:val="3"/>
        </w:numPr>
        <w:tabs>
          <w:tab w:val="left" w:pos="709"/>
        </w:tabs>
        <w:rPr>
          <w:rFonts w:ascii="Times New Roman" w:hAnsi="Times New Roman" w:cs="Times New Roman"/>
          <w:sz w:val="28"/>
          <w:szCs w:val="28"/>
        </w:rPr>
      </w:pPr>
      <w:r w:rsidRPr="00D61E7E">
        <w:rPr>
          <w:rFonts w:ascii="Times New Roman" w:hAnsi="Times New Roman" w:cs="Times New Roman"/>
          <w:sz w:val="28"/>
          <w:szCs w:val="28"/>
        </w:rPr>
        <w:t>El</w:t>
      </w:r>
      <w:r w:rsidRPr="00D61E7E">
        <w:rPr>
          <w:rFonts w:ascii="Times New Roman" w:hAnsi="Times New Roman" w:cs="Times New Roman"/>
          <w:sz w:val="28"/>
          <w:szCs w:val="28"/>
        </w:rPr>
        <w:t xml:space="preserve"> principio de unidad de materia tiene como objetivo enfocar el trabajo legislativo en una materia</w:t>
      </w:r>
      <w:r w:rsidRPr="00D61E7E">
        <w:rPr>
          <w:rFonts w:ascii="Times New Roman" w:hAnsi="Times New Roman" w:cs="Times New Roman"/>
          <w:sz w:val="28"/>
          <w:szCs w:val="28"/>
          <w:lang w:val="es-ES"/>
        </w:rPr>
        <w:t xml:space="preserve"> específica, lo que asegura la transparencia y coherencia en el proceso de elaboración de leyes y facilita el seguimiento y control por parte de la ciudadanía </w:t>
      </w:r>
      <w:r w:rsidRPr="00D61E7E">
        <w:rPr>
          <w:rFonts w:ascii="Times New Roman" w:hAnsi="Times New Roman" w:cs="Times New Roman"/>
          <w:sz w:val="28"/>
          <w:szCs w:val="28"/>
          <w:lang w:val="es-ES"/>
        </w:rPr>
        <w:t xml:space="preserve">de la actuación del legislador. Sin embargo, la Corte ha señalado que este principio se debe aplicar bajo el entendido de que los procesos legislativos por naturaleza son dinámicos y deliberativos. Por lo tanto, no debe ser </w:t>
      </w:r>
      <w:r w:rsidRPr="00D61E7E">
        <w:rPr>
          <w:rFonts w:ascii="Times New Roman" w:hAnsi="Times New Roman" w:cs="Times New Roman"/>
          <w:sz w:val="28"/>
          <w:szCs w:val="28"/>
          <w:lang w:val="es-ES"/>
        </w:rPr>
        <w:t>usado</w:t>
      </w:r>
      <w:r w:rsidRPr="00D61E7E">
        <w:rPr>
          <w:rFonts w:ascii="Times New Roman" w:hAnsi="Times New Roman" w:cs="Times New Roman"/>
          <w:sz w:val="28"/>
          <w:szCs w:val="28"/>
          <w:lang w:val="es-ES"/>
        </w:rPr>
        <w:t xml:space="preserve"> de una manera que impida l</w:t>
      </w:r>
      <w:r w:rsidRPr="00D61E7E">
        <w:rPr>
          <w:rFonts w:ascii="Times New Roman" w:hAnsi="Times New Roman" w:cs="Times New Roman"/>
          <w:sz w:val="28"/>
          <w:szCs w:val="28"/>
          <w:lang w:val="es-ES"/>
        </w:rPr>
        <w:t>a transformación de un proyecto de ley de acuerdo con las observaciones y adiciones propuestas por los congresistas</w:t>
      </w:r>
      <w:r w:rsidRPr="00D61E7E">
        <w:rPr>
          <w:rStyle w:val="Refdenotaalpie"/>
          <w:rFonts w:ascii="Times New Roman" w:hAnsi="Times New Roman" w:cs="Times New Roman"/>
          <w:bCs/>
          <w:sz w:val="28"/>
          <w:szCs w:val="28"/>
        </w:rPr>
        <w:footnoteReference w:id="21"/>
      </w:r>
      <w:r w:rsidRPr="00D61E7E">
        <w:rPr>
          <w:rFonts w:ascii="Times New Roman" w:hAnsi="Times New Roman" w:cs="Times New Roman"/>
          <w:sz w:val="28"/>
          <w:szCs w:val="28"/>
        </w:rPr>
        <w:t>.</w:t>
      </w:r>
    </w:p>
    <w:p w:rsidR="006A6365" w:rsidRPr="00D61E7E" w:rsidRDefault="00D61E7E">
      <w:pPr>
        <w:pStyle w:val="Prrafodelista"/>
        <w:rPr>
          <w:rFonts w:ascii="Times New Roman" w:hAnsi="Times New Roman" w:cs="Times New Roman"/>
          <w:bCs/>
          <w:sz w:val="28"/>
          <w:szCs w:val="28"/>
        </w:rPr>
      </w:pPr>
    </w:p>
    <w:p w:rsidR="006A6365" w:rsidRPr="00D61E7E" w:rsidRDefault="00D61E7E" w:rsidP="008249D8">
      <w:pPr>
        <w:pStyle w:val="Prrafodelista"/>
        <w:numPr>
          <w:ilvl w:val="0"/>
          <w:numId w:val="3"/>
        </w:numPr>
        <w:tabs>
          <w:tab w:val="left" w:pos="709"/>
        </w:tabs>
        <w:rPr>
          <w:rFonts w:ascii="Times New Roman" w:hAnsi="Times New Roman" w:cs="Times New Roman"/>
          <w:bCs/>
          <w:sz w:val="28"/>
          <w:szCs w:val="28"/>
          <w:lang w:val="es-ES"/>
        </w:rPr>
      </w:pPr>
      <w:r w:rsidRPr="00D61E7E">
        <w:rPr>
          <w:rFonts w:ascii="Times New Roman" w:hAnsi="Times New Roman" w:cs="Times New Roman"/>
          <w:bCs/>
          <w:sz w:val="28"/>
          <w:szCs w:val="28"/>
          <w:lang w:val="es-ES"/>
        </w:rPr>
        <w:t xml:space="preserve">La Corte ha reiterado que al analizar un cargo por desconocimiento del principio de unidad de materia se debe respetar el margen de </w:t>
      </w:r>
      <w:r w:rsidRPr="00D61E7E">
        <w:rPr>
          <w:rFonts w:ascii="Times New Roman" w:hAnsi="Times New Roman" w:cs="Times New Roman"/>
          <w:bCs/>
          <w:sz w:val="28"/>
          <w:szCs w:val="28"/>
          <w:lang w:val="es-ES"/>
        </w:rPr>
        <w:t>apreciación y configuración del legislador, de manera que este cargo solo prosperará “c</w:t>
      </w:r>
      <w:r w:rsidRPr="00D61E7E">
        <w:rPr>
          <w:rFonts w:ascii="Times New Roman" w:hAnsi="Times New Roman" w:cs="Times New Roman"/>
          <w:sz w:val="28"/>
          <w:szCs w:val="28"/>
          <w:shd w:val="clear" w:color="auto" w:fill="FFFFFF"/>
          <w:lang w:val="es-ES"/>
        </w:rPr>
        <w:t xml:space="preserve">uando desde ningún punto de vista razonable pueda sostenerse que la materia que trata la norma demandada se relaciona con </w:t>
      </w:r>
      <w:r w:rsidRPr="00D61E7E">
        <w:rPr>
          <w:rFonts w:ascii="Times New Roman" w:hAnsi="Times New Roman" w:cs="Times New Roman"/>
          <w:sz w:val="28"/>
          <w:szCs w:val="28"/>
          <w:shd w:val="clear" w:color="auto" w:fill="FFFFFF"/>
          <w:lang w:val="es-ES"/>
        </w:rPr>
        <w:t>la materia</w:t>
      </w:r>
      <w:r w:rsidRPr="00D61E7E">
        <w:rPr>
          <w:rFonts w:ascii="Times New Roman" w:hAnsi="Times New Roman" w:cs="Times New Roman"/>
          <w:sz w:val="28"/>
          <w:szCs w:val="28"/>
          <w:shd w:val="clear" w:color="auto" w:fill="FFFFFF"/>
          <w:lang w:val="es-ES"/>
        </w:rPr>
        <w:t xml:space="preserve"> regulada por la ley a la cual perten</w:t>
      </w:r>
      <w:r w:rsidRPr="00D61E7E">
        <w:rPr>
          <w:rFonts w:ascii="Times New Roman" w:hAnsi="Times New Roman" w:cs="Times New Roman"/>
          <w:sz w:val="28"/>
          <w:szCs w:val="28"/>
          <w:shd w:val="clear" w:color="auto" w:fill="FFFFFF"/>
          <w:lang w:val="es-ES"/>
        </w:rPr>
        <w:t>ece”</w:t>
      </w:r>
      <w:r w:rsidRPr="00D61E7E">
        <w:rPr>
          <w:rStyle w:val="Refdenotaalpie"/>
          <w:rFonts w:ascii="Times New Roman" w:hAnsi="Times New Roman" w:cs="Times New Roman"/>
          <w:sz w:val="28"/>
          <w:szCs w:val="28"/>
          <w:shd w:val="clear" w:color="auto" w:fill="FFFFFF"/>
        </w:rPr>
        <w:footnoteReference w:id="22"/>
      </w:r>
      <w:r w:rsidRPr="00D61E7E">
        <w:rPr>
          <w:rFonts w:ascii="Times New Roman" w:hAnsi="Times New Roman" w:cs="Times New Roman"/>
          <w:sz w:val="28"/>
          <w:szCs w:val="28"/>
          <w:shd w:val="clear" w:color="auto" w:fill="FFFFFF"/>
          <w:lang w:val="es-ES"/>
        </w:rPr>
        <w:t>.</w:t>
      </w:r>
      <w:r w:rsidRPr="00D61E7E">
        <w:rPr>
          <w:rFonts w:ascii="Times New Roman" w:hAnsi="Times New Roman" w:cs="Times New Roman"/>
          <w:bCs/>
          <w:sz w:val="28"/>
          <w:szCs w:val="28"/>
          <w:lang w:val="es-ES"/>
        </w:rPr>
        <w:t xml:space="preserve"> Así, solo los apartes, segmentos o proposiciones de una ley con los que no sea posible establecer razonablemente una “relación de conexidad causal, teleológica, temática o sistémica con la materia dominante”</w:t>
      </w:r>
      <w:r w:rsidRPr="00D61E7E">
        <w:rPr>
          <w:rFonts w:ascii="Times New Roman" w:hAnsi="Times New Roman" w:cs="Times New Roman"/>
          <w:sz w:val="28"/>
          <w:szCs w:val="28"/>
          <w:vertAlign w:val="superscript"/>
        </w:rPr>
        <w:footnoteReference w:id="23"/>
      </w:r>
      <w:r w:rsidRPr="00D61E7E">
        <w:rPr>
          <w:rFonts w:ascii="Times New Roman" w:hAnsi="Times New Roman" w:cs="Times New Roman"/>
          <w:bCs/>
          <w:sz w:val="28"/>
          <w:szCs w:val="28"/>
          <w:lang w:val="es-ES"/>
        </w:rPr>
        <w:t xml:space="preserve"> podrán expulsarse del ordenamiento juríd</w:t>
      </w:r>
      <w:r w:rsidRPr="00D61E7E">
        <w:rPr>
          <w:rFonts w:ascii="Times New Roman" w:hAnsi="Times New Roman" w:cs="Times New Roman"/>
          <w:bCs/>
          <w:sz w:val="28"/>
          <w:szCs w:val="28"/>
          <w:lang w:val="es-ES"/>
        </w:rPr>
        <w:t>ico</w:t>
      </w:r>
      <w:r w:rsidRPr="00D61E7E">
        <w:rPr>
          <w:rStyle w:val="Refdenotaalpie"/>
          <w:rFonts w:ascii="Times New Roman" w:hAnsi="Times New Roman" w:cs="Times New Roman"/>
          <w:bCs/>
          <w:sz w:val="28"/>
          <w:szCs w:val="28"/>
        </w:rPr>
        <w:footnoteReference w:id="24"/>
      </w:r>
      <w:r w:rsidRPr="00D61E7E">
        <w:rPr>
          <w:rFonts w:ascii="Times New Roman" w:hAnsi="Times New Roman" w:cs="Times New Roman"/>
          <w:bCs/>
          <w:sz w:val="28"/>
          <w:szCs w:val="28"/>
          <w:lang w:val="es-ES"/>
        </w:rPr>
        <w:t xml:space="preserve">. </w:t>
      </w:r>
    </w:p>
    <w:p w:rsidR="006A6365" w:rsidRPr="00D61E7E" w:rsidRDefault="00D61E7E" w:rsidP="00F97DD1">
      <w:pPr>
        <w:tabs>
          <w:tab w:val="left" w:pos="709"/>
        </w:tabs>
        <w:jc w:val="both"/>
        <w:rPr>
          <w:rFonts w:ascii="Times New Roman" w:hAnsi="Times New Roman" w:cs="Times New Roman"/>
          <w:bCs/>
          <w:sz w:val="28"/>
          <w:szCs w:val="28"/>
          <w:lang w:val="es-ES"/>
        </w:rPr>
      </w:pPr>
    </w:p>
    <w:p w:rsidR="006A6365" w:rsidRPr="00D61E7E" w:rsidRDefault="00D61E7E" w:rsidP="00F8709F">
      <w:pPr>
        <w:pStyle w:val="Prrafodelista"/>
        <w:numPr>
          <w:ilvl w:val="0"/>
          <w:numId w:val="3"/>
        </w:numPr>
        <w:tabs>
          <w:tab w:val="left" w:pos="709"/>
        </w:tabs>
        <w:rPr>
          <w:rFonts w:ascii="Times New Roman" w:hAnsi="Times New Roman" w:cs="Times New Roman"/>
          <w:bCs/>
          <w:sz w:val="28"/>
          <w:szCs w:val="28"/>
          <w:lang w:val="es-ES"/>
        </w:rPr>
      </w:pPr>
      <w:r w:rsidRPr="00D61E7E">
        <w:rPr>
          <w:rFonts w:ascii="Times New Roman" w:hAnsi="Times New Roman" w:cs="Times New Roman"/>
          <w:bCs/>
          <w:sz w:val="28"/>
          <w:szCs w:val="28"/>
          <w:lang w:val="es-ES"/>
        </w:rPr>
        <w:t>Como explica la sentencia</w:t>
      </w:r>
      <w:r w:rsidRPr="00D61E7E">
        <w:rPr>
          <w:rFonts w:ascii="Times New Roman" w:hAnsi="Times New Roman" w:cs="Times New Roman"/>
          <w:bCs/>
          <w:sz w:val="28"/>
          <w:szCs w:val="28"/>
          <w:lang w:val="es-ES"/>
        </w:rPr>
        <w:t xml:space="preserve"> C-212 de 2022</w:t>
      </w:r>
      <w:r w:rsidRPr="00D61E7E">
        <w:rPr>
          <w:rFonts w:ascii="Times New Roman" w:hAnsi="Times New Roman" w:cs="Times New Roman"/>
          <w:bCs/>
          <w:sz w:val="28"/>
          <w:szCs w:val="28"/>
          <w:lang w:val="es-ES"/>
        </w:rPr>
        <w:t>:</w:t>
      </w:r>
    </w:p>
    <w:p w:rsidR="006A6365" w:rsidRPr="00D61E7E" w:rsidRDefault="00D61E7E" w:rsidP="00F97DD1">
      <w:pPr>
        <w:tabs>
          <w:tab w:val="left" w:pos="709"/>
        </w:tabs>
        <w:jc w:val="both"/>
        <w:rPr>
          <w:rFonts w:ascii="Times New Roman" w:hAnsi="Times New Roman" w:cs="Times New Roman"/>
          <w:bCs/>
          <w:sz w:val="28"/>
          <w:szCs w:val="28"/>
          <w:lang w:val="es-ES"/>
        </w:rPr>
      </w:pPr>
    </w:p>
    <w:p w:rsidR="006A6365" w:rsidRPr="00D61E7E" w:rsidRDefault="00D61E7E" w:rsidP="00F97DD1">
      <w:pPr>
        <w:tabs>
          <w:tab w:val="left" w:pos="709"/>
        </w:tabs>
        <w:ind w:left="567"/>
        <w:jc w:val="both"/>
        <w:rPr>
          <w:rFonts w:ascii="Times New Roman" w:hAnsi="Times New Roman" w:cs="Times New Roman"/>
          <w:bCs/>
          <w:sz w:val="28"/>
          <w:lang w:val="es-ES"/>
        </w:rPr>
      </w:pPr>
      <w:r w:rsidRPr="00D61E7E">
        <w:rPr>
          <w:rFonts w:ascii="Times New Roman" w:hAnsi="Times New Roman" w:cs="Times New Roman"/>
          <w:bCs/>
          <w:sz w:val="28"/>
          <w:lang w:val="es-ES"/>
        </w:rPr>
        <w:t xml:space="preserve">“(i) el criterio de conexidad causal, </w:t>
      </w:r>
      <w:r w:rsidRPr="00D61E7E">
        <w:rPr>
          <w:rFonts w:ascii="Times New Roman" w:hAnsi="Times New Roman" w:cs="Times New Roman"/>
          <w:bCs/>
          <w:sz w:val="28"/>
          <w:lang w:val="es-ES"/>
        </w:rPr>
        <w:t xml:space="preserve">se </w:t>
      </w:r>
      <w:r w:rsidRPr="00D61E7E">
        <w:rPr>
          <w:rFonts w:ascii="Times New Roman" w:hAnsi="Times New Roman" w:cs="Times New Roman"/>
          <w:bCs/>
          <w:sz w:val="28"/>
          <w:lang w:val="es-ES"/>
        </w:rPr>
        <w:t xml:space="preserve">refiere a la identidad que debe existir entre la ley y cada una de sus disposiciones, en lo que atañe a su origen. En concreto, “lo que se espera es que las razones </w:t>
      </w:r>
      <w:r w:rsidRPr="00D61E7E">
        <w:rPr>
          <w:rFonts w:ascii="Times New Roman" w:hAnsi="Times New Roman" w:cs="Times New Roman"/>
          <w:bCs/>
          <w:sz w:val="28"/>
          <w:lang w:val="es-ES"/>
        </w:rPr>
        <w:t xml:space="preserve">por las cuales se expidió la ley sean las mismas que dieron lugar a la consagración de cada uno de los artículos en particular”. (ii) El criterio de conexidad temática, que alude a la vinculación objetiva y razonable entre la materia dominante o el asunto </w:t>
      </w:r>
      <w:r w:rsidRPr="00D61E7E">
        <w:rPr>
          <w:rFonts w:ascii="Times New Roman" w:hAnsi="Times New Roman" w:cs="Times New Roman"/>
          <w:bCs/>
          <w:sz w:val="28"/>
          <w:lang w:val="es-ES"/>
        </w:rPr>
        <w:t xml:space="preserve">general sobre el que versa una ley, y la materia o temática sobre la que recae una disposición en particular, “sin que ello implique que una misma ley no pueda referirse a varios asuntos”. (iii) El criterio de conexidad teleológica, que se define a partir </w:t>
      </w:r>
      <w:r w:rsidRPr="00D61E7E">
        <w:rPr>
          <w:rFonts w:ascii="Times New Roman" w:hAnsi="Times New Roman" w:cs="Times New Roman"/>
          <w:bCs/>
          <w:sz w:val="28"/>
          <w:lang w:val="es-ES"/>
        </w:rPr>
        <w:t>de la identidad de los objetivos y fines que se persiguen tanto por la ley en general como por cada una de sus normas en particular. Y, (iv) el criterio de conexidad sistemática, que se entiende como la relación que debe existir entre todas y cada una de l</w:t>
      </w:r>
      <w:r w:rsidRPr="00D61E7E">
        <w:rPr>
          <w:rFonts w:ascii="Times New Roman" w:hAnsi="Times New Roman" w:cs="Times New Roman"/>
          <w:bCs/>
          <w:sz w:val="28"/>
          <w:lang w:val="es-ES"/>
        </w:rPr>
        <w:t>as disposiciones de una ley, a fin de que constituyan un cuerpo organizado</w:t>
      </w:r>
      <w:r w:rsidRPr="00D61E7E">
        <w:rPr>
          <w:rFonts w:ascii="Times New Roman" w:hAnsi="Times New Roman" w:cs="Times New Roman"/>
          <w:bCs/>
          <w:sz w:val="28"/>
          <w:vertAlign w:val="superscript"/>
          <w:lang w:val="es-ES"/>
        </w:rPr>
        <w:t>[</w:t>
      </w:r>
      <w:r w:rsidRPr="00D61E7E">
        <w:rPr>
          <w:rFonts w:ascii="Times New Roman" w:hAnsi="Times New Roman" w:cs="Times New Roman"/>
          <w:bCs/>
          <w:sz w:val="28"/>
          <w:vertAlign w:val="superscript"/>
        </w:rPr>
        <w:footnoteReference w:id="25"/>
      </w:r>
      <w:r w:rsidRPr="00D61E7E">
        <w:rPr>
          <w:rFonts w:ascii="Times New Roman" w:hAnsi="Times New Roman" w:cs="Times New Roman"/>
          <w:bCs/>
          <w:sz w:val="28"/>
          <w:vertAlign w:val="superscript"/>
          <w:lang w:val="es-ES"/>
        </w:rPr>
        <w:t>]</w:t>
      </w:r>
      <w:r w:rsidRPr="00D61E7E">
        <w:rPr>
          <w:rFonts w:ascii="Times New Roman" w:hAnsi="Times New Roman" w:cs="Times New Roman"/>
          <w:bCs/>
          <w:sz w:val="28"/>
          <w:lang w:val="es-ES"/>
        </w:rPr>
        <w:t>”</w:t>
      </w:r>
      <w:r w:rsidRPr="00D61E7E">
        <w:rPr>
          <w:rFonts w:ascii="Times New Roman" w:hAnsi="Times New Roman" w:cs="Times New Roman"/>
          <w:bCs/>
          <w:sz w:val="28"/>
          <w:lang w:val="es-ES"/>
        </w:rPr>
        <w:t xml:space="preserve"> .</w:t>
      </w:r>
    </w:p>
    <w:p w:rsidR="006A6365" w:rsidRPr="00D61E7E" w:rsidRDefault="00D61E7E" w:rsidP="00F97DD1">
      <w:pPr>
        <w:tabs>
          <w:tab w:val="left" w:pos="709"/>
        </w:tabs>
        <w:jc w:val="both"/>
        <w:rPr>
          <w:rFonts w:ascii="Times New Roman" w:hAnsi="Times New Roman" w:cs="Times New Roman"/>
          <w:bCs/>
          <w:sz w:val="28"/>
          <w:szCs w:val="28"/>
          <w:lang w:val="es-ES"/>
        </w:rPr>
      </w:pPr>
    </w:p>
    <w:p w:rsidR="006A6365" w:rsidRPr="00D61E7E" w:rsidRDefault="00D61E7E" w:rsidP="00F8709F">
      <w:pPr>
        <w:pStyle w:val="Prrafodelista"/>
        <w:numPr>
          <w:ilvl w:val="0"/>
          <w:numId w:val="3"/>
        </w:numPr>
        <w:tabs>
          <w:tab w:val="left" w:pos="709"/>
        </w:tabs>
        <w:rPr>
          <w:rFonts w:ascii="Times New Roman" w:hAnsi="Times New Roman" w:cs="Times New Roman"/>
          <w:bCs/>
          <w:sz w:val="28"/>
          <w:szCs w:val="28"/>
          <w:lang w:val="es-ES"/>
        </w:rPr>
      </w:pPr>
      <w:r w:rsidRPr="00D61E7E">
        <w:rPr>
          <w:rFonts w:ascii="Times New Roman" w:hAnsi="Times New Roman" w:cs="Times New Roman"/>
          <w:bCs/>
          <w:sz w:val="28"/>
          <w:szCs w:val="28"/>
          <w:lang w:val="es-ES"/>
        </w:rPr>
        <w:t>Como expresión del criterio de conexidad sistemática, la jurisprudencia de la Corte ha incluido un vínculo de carácter metodológico</w:t>
      </w:r>
      <w:r w:rsidRPr="00D61E7E">
        <w:rPr>
          <w:rFonts w:ascii="Times New Roman" w:hAnsi="Times New Roman" w:cs="Times New Roman"/>
          <w:sz w:val="28"/>
          <w:vertAlign w:val="superscript"/>
        </w:rPr>
        <w:footnoteReference w:id="26"/>
      </w:r>
      <w:r w:rsidRPr="00D61E7E">
        <w:rPr>
          <w:rFonts w:ascii="Times New Roman" w:hAnsi="Times New Roman" w:cs="Times New Roman"/>
          <w:bCs/>
          <w:sz w:val="28"/>
          <w:szCs w:val="28"/>
          <w:lang w:val="es-ES"/>
        </w:rPr>
        <w:t xml:space="preserve"> que se manifiesta en que </w:t>
      </w:r>
      <w:r w:rsidRPr="00D61E7E">
        <w:rPr>
          <w:rFonts w:ascii="Times New Roman" w:hAnsi="Times New Roman" w:cs="Times New Roman"/>
          <w:bCs/>
          <w:sz w:val="28"/>
          <w:szCs w:val="28"/>
          <w:lang w:val="es-ES"/>
        </w:rPr>
        <w:t xml:space="preserve">el </w:t>
      </w:r>
      <w:r w:rsidRPr="00D61E7E">
        <w:rPr>
          <w:rFonts w:ascii="Times New Roman" w:hAnsi="Times New Roman" w:cs="Times New Roman"/>
          <w:bCs/>
          <w:sz w:val="28"/>
          <w:szCs w:val="28"/>
          <w:lang w:val="es-ES"/>
        </w:rPr>
        <w:t>Congreso</w:t>
      </w:r>
      <w:r w:rsidRPr="00D61E7E">
        <w:rPr>
          <w:rFonts w:ascii="Times New Roman" w:hAnsi="Times New Roman" w:cs="Times New Roman"/>
          <w:bCs/>
          <w:sz w:val="28"/>
          <w:szCs w:val="28"/>
          <w:lang w:val="es-ES"/>
        </w:rPr>
        <w:t xml:space="preserve">, </w:t>
      </w:r>
      <w:r w:rsidRPr="00D61E7E">
        <w:rPr>
          <w:rFonts w:ascii="Times New Roman" w:hAnsi="Times New Roman" w:cs="Times New Roman"/>
          <w:bCs/>
          <w:sz w:val="28"/>
          <w:szCs w:val="28"/>
          <w:lang w:val="es-ES"/>
        </w:rPr>
        <w:t xml:space="preserve">de </w:t>
      </w:r>
      <w:r w:rsidRPr="00D61E7E">
        <w:rPr>
          <w:rFonts w:ascii="Times New Roman" w:hAnsi="Times New Roman" w:cs="Times New Roman"/>
          <w:bCs/>
          <w:sz w:val="28"/>
          <w:szCs w:val="28"/>
          <w:lang w:val="es-ES"/>
        </w:rPr>
        <w:t>acuerdo con</w:t>
      </w:r>
      <w:r w:rsidRPr="00D61E7E">
        <w:rPr>
          <w:rFonts w:ascii="Times New Roman" w:hAnsi="Times New Roman" w:cs="Times New Roman"/>
          <w:bCs/>
          <w:sz w:val="28"/>
          <w:szCs w:val="28"/>
          <w:lang w:val="es-ES"/>
        </w:rPr>
        <w:t xml:space="preserve"> su autonomía legislativa, encuentre </w:t>
      </w:r>
      <w:r w:rsidRPr="00D61E7E">
        <w:rPr>
          <w:rFonts w:ascii="Times New Roman" w:hAnsi="Times New Roman" w:cs="Times New Roman"/>
          <w:bCs/>
          <w:sz w:val="28"/>
          <w:szCs w:val="28"/>
          <w:lang w:val="es-ES"/>
        </w:rPr>
        <w:t>justificado la</w:t>
      </w:r>
      <w:r w:rsidRPr="00D61E7E">
        <w:rPr>
          <w:rFonts w:ascii="Times New Roman" w:hAnsi="Times New Roman" w:cs="Times New Roman"/>
          <w:bCs/>
          <w:sz w:val="28"/>
          <w:szCs w:val="28"/>
          <w:lang w:val="es-ES"/>
        </w:rPr>
        <w:t xml:space="preserve"> incorporación de una determinada disposición en una ley</w:t>
      </w:r>
      <w:r w:rsidRPr="00D61E7E">
        <w:rPr>
          <w:rFonts w:ascii="Times New Roman" w:hAnsi="Times New Roman" w:cs="Times New Roman"/>
          <w:sz w:val="28"/>
          <w:vertAlign w:val="superscript"/>
        </w:rPr>
        <w:footnoteReference w:id="27"/>
      </w:r>
      <w:r w:rsidRPr="00D61E7E">
        <w:rPr>
          <w:rFonts w:ascii="Times New Roman" w:hAnsi="Times New Roman" w:cs="Times New Roman"/>
          <w:bCs/>
          <w:sz w:val="28"/>
          <w:szCs w:val="28"/>
          <w:lang w:val="es-ES"/>
        </w:rPr>
        <w:t xml:space="preserve">. Lo mismo </w:t>
      </w:r>
      <w:r w:rsidRPr="00D61E7E">
        <w:rPr>
          <w:rFonts w:ascii="Times New Roman" w:hAnsi="Times New Roman" w:cs="Times New Roman"/>
          <w:bCs/>
          <w:sz w:val="28"/>
          <w:szCs w:val="28"/>
          <w:lang w:val="es-ES"/>
        </w:rPr>
        <w:t>ocurre</w:t>
      </w:r>
      <w:r w:rsidRPr="00D61E7E">
        <w:rPr>
          <w:rFonts w:ascii="Times New Roman" w:hAnsi="Times New Roman" w:cs="Times New Roman"/>
          <w:bCs/>
          <w:sz w:val="28"/>
          <w:szCs w:val="28"/>
          <w:lang w:val="es-ES"/>
        </w:rPr>
        <w:t xml:space="preserve"> con el criterio de conexidad teleológica en el cual </w:t>
      </w:r>
      <w:r w:rsidRPr="00D61E7E">
        <w:rPr>
          <w:rFonts w:ascii="Times New Roman" w:hAnsi="Times New Roman" w:cs="Times New Roman"/>
          <w:bCs/>
          <w:sz w:val="28"/>
          <w:szCs w:val="28"/>
          <w:lang w:val="es-ES"/>
        </w:rPr>
        <w:t xml:space="preserve">se analiza </w:t>
      </w:r>
      <w:r w:rsidRPr="00D61E7E">
        <w:rPr>
          <w:rFonts w:ascii="Times New Roman" w:hAnsi="Times New Roman" w:cs="Times New Roman"/>
          <w:bCs/>
          <w:sz w:val="28"/>
          <w:szCs w:val="28"/>
          <w:lang w:val="es-ES"/>
        </w:rPr>
        <w:t xml:space="preserve">el vínculo de carácter consecuencial “por virtud del </w:t>
      </w:r>
      <w:r w:rsidRPr="00D61E7E">
        <w:rPr>
          <w:rFonts w:ascii="Times New Roman" w:hAnsi="Times New Roman" w:cs="Times New Roman"/>
          <w:bCs/>
          <w:sz w:val="28"/>
          <w:szCs w:val="28"/>
          <w:lang w:val="es-ES"/>
        </w:rPr>
        <w:t>cual cabe verificar si los efectos de la norma demandada se relacionan con los fines y con las consecuencias que se esperan de una ley”</w:t>
      </w:r>
      <w:r w:rsidRPr="00D61E7E">
        <w:rPr>
          <w:rFonts w:ascii="Times New Roman" w:hAnsi="Times New Roman" w:cs="Times New Roman"/>
          <w:sz w:val="28"/>
          <w:vertAlign w:val="superscript"/>
        </w:rPr>
        <w:footnoteReference w:id="28"/>
      </w:r>
      <w:r w:rsidRPr="00D61E7E">
        <w:rPr>
          <w:rFonts w:ascii="Times New Roman" w:hAnsi="Times New Roman" w:cs="Times New Roman"/>
          <w:bCs/>
          <w:sz w:val="28"/>
          <w:szCs w:val="28"/>
          <w:lang w:val="es-ES"/>
        </w:rPr>
        <w:t>.</w:t>
      </w:r>
    </w:p>
    <w:p w:rsidR="006A6365" w:rsidRPr="00D61E7E" w:rsidRDefault="00D61E7E" w:rsidP="00F97DD1">
      <w:pPr>
        <w:tabs>
          <w:tab w:val="left" w:pos="709"/>
        </w:tabs>
        <w:jc w:val="both"/>
        <w:rPr>
          <w:rFonts w:ascii="Times New Roman" w:hAnsi="Times New Roman" w:cs="Times New Roman"/>
          <w:bCs/>
          <w:sz w:val="28"/>
          <w:szCs w:val="28"/>
          <w:lang w:val="es-ES"/>
        </w:rPr>
      </w:pPr>
    </w:p>
    <w:p w:rsidR="006A6365" w:rsidRPr="00D61E7E" w:rsidRDefault="00D61E7E" w:rsidP="00F8709F">
      <w:pPr>
        <w:pStyle w:val="Prrafodelista"/>
        <w:numPr>
          <w:ilvl w:val="0"/>
          <w:numId w:val="3"/>
        </w:numPr>
        <w:tabs>
          <w:tab w:val="left" w:pos="709"/>
        </w:tabs>
        <w:rPr>
          <w:rFonts w:ascii="Times New Roman" w:hAnsi="Times New Roman" w:cs="Times New Roman"/>
          <w:bCs/>
          <w:sz w:val="28"/>
          <w:szCs w:val="28"/>
          <w:lang w:val="es-ES"/>
        </w:rPr>
      </w:pPr>
      <w:r w:rsidRPr="00D61E7E">
        <w:rPr>
          <w:rFonts w:ascii="Times New Roman" w:hAnsi="Times New Roman" w:cs="Times New Roman"/>
          <w:bCs/>
          <w:sz w:val="28"/>
          <w:szCs w:val="28"/>
          <w:lang w:val="es-ES"/>
        </w:rPr>
        <w:t>Finalmente, en este examen para juzgar el principio de unidad de materia, la Corte le ha dado un peso importante al a</w:t>
      </w:r>
      <w:r w:rsidRPr="00D61E7E">
        <w:rPr>
          <w:rFonts w:ascii="Times New Roman" w:hAnsi="Times New Roman" w:cs="Times New Roman"/>
          <w:bCs/>
          <w:sz w:val="28"/>
          <w:szCs w:val="28"/>
          <w:lang w:val="es-ES"/>
        </w:rPr>
        <w:t>nálisis del trámite legislativo</w:t>
      </w:r>
      <w:r w:rsidRPr="00D61E7E">
        <w:rPr>
          <w:rFonts w:ascii="Times New Roman" w:hAnsi="Times New Roman" w:cs="Times New Roman"/>
          <w:sz w:val="28"/>
          <w:vertAlign w:val="superscript"/>
        </w:rPr>
        <w:footnoteReference w:id="29"/>
      </w:r>
      <w:r w:rsidRPr="00D61E7E">
        <w:rPr>
          <w:rFonts w:ascii="Times New Roman" w:hAnsi="Times New Roman" w:cs="Times New Roman"/>
          <w:bCs/>
          <w:sz w:val="28"/>
          <w:szCs w:val="28"/>
          <w:lang w:val="es-ES"/>
        </w:rPr>
        <w:t>. En ese sentido, la Sala Plena ha señalado que el requerimiento de</w:t>
      </w:r>
      <w:r w:rsidRPr="00D61E7E">
        <w:rPr>
          <w:rFonts w:ascii="Times New Roman" w:hAnsi="Times New Roman" w:cs="Times New Roman"/>
          <w:bCs/>
          <w:sz w:val="28"/>
          <w:szCs w:val="28"/>
          <w:lang w:val="es-ES"/>
        </w:rPr>
        <w:t xml:space="preserve"> </w:t>
      </w:r>
      <w:r w:rsidRPr="00D61E7E">
        <w:rPr>
          <w:rFonts w:ascii="Times New Roman" w:hAnsi="Times New Roman" w:cs="Times New Roman"/>
          <w:bCs/>
          <w:sz w:val="28"/>
          <w:szCs w:val="28"/>
          <w:lang w:val="es-ES"/>
        </w:rPr>
        <w:t>unidad de materia</w:t>
      </w:r>
      <w:r w:rsidRPr="00D61E7E">
        <w:rPr>
          <w:rFonts w:ascii="Times New Roman" w:hAnsi="Times New Roman" w:cs="Times New Roman"/>
          <w:bCs/>
          <w:sz w:val="28"/>
          <w:szCs w:val="28"/>
          <w:lang w:val="es-ES"/>
        </w:rPr>
        <w:t xml:space="preserve"> puede ser menos exigente </w:t>
      </w:r>
      <w:r w:rsidRPr="00D61E7E">
        <w:rPr>
          <w:rFonts w:ascii="Times New Roman" w:hAnsi="Times New Roman" w:cs="Times New Roman"/>
          <w:bCs/>
          <w:sz w:val="28"/>
          <w:szCs w:val="28"/>
          <w:lang w:val="es-ES"/>
        </w:rPr>
        <w:t xml:space="preserve">siempre y </w:t>
      </w:r>
      <w:r w:rsidRPr="00D61E7E">
        <w:rPr>
          <w:rFonts w:ascii="Times New Roman" w:hAnsi="Times New Roman" w:cs="Times New Roman"/>
          <w:bCs/>
          <w:sz w:val="28"/>
          <w:szCs w:val="28"/>
          <w:lang w:val="es-ES"/>
        </w:rPr>
        <w:t>cuando una disposición “fue objeto de discusión y votación a lo largo de todo el trámite legislativo y,</w:t>
      </w:r>
      <w:r w:rsidRPr="00D61E7E">
        <w:rPr>
          <w:rFonts w:ascii="Times New Roman" w:hAnsi="Times New Roman" w:cs="Times New Roman"/>
          <w:bCs/>
          <w:sz w:val="28"/>
          <w:szCs w:val="28"/>
          <w:lang w:val="es-ES"/>
        </w:rPr>
        <w:t xml:space="preserve"> en esa medida, alrededor de la misma se desarrolló un óptimo y evidente proceso de deliberación”</w:t>
      </w:r>
      <w:r w:rsidRPr="00D61E7E">
        <w:rPr>
          <w:rFonts w:ascii="Times New Roman" w:hAnsi="Times New Roman" w:cs="Times New Roman"/>
          <w:sz w:val="28"/>
          <w:vertAlign w:val="superscript"/>
        </w:rPr>
        <w:footnoteReference w:id="30"/>
      </w:r>
      <w:r w:rsidRPr="00D61E7E">
        <w:rPr>
          <w:rFonts w:ascii="Times New Roman" w:hAnsi="Times New Roman" w:cs="Times New Roman"/>
          <w:bCs/>
          <w:sz w:val="28"/>
          <w:szCs w:val="28"/>
          <w:lang w:val="es-ES"/>
        </w:rPr>
        <w:t xml:space="preserve">. Así, indica la Corte, hay una especie de control de los riesgos que pretenden garantizarse con el reconocimiento constitucional del principio de unidad de </w:t>
      </w:r>
      <w:r w:rsidRPr="00D61E7E">
        <w:rPr>
          <w:rFonts w:ascii="Times New Roman" w:hAnsi="Times New Roman" w:cs="Times New Roman"/>
          <w:bCs/>
          <w:sz w:val="28"/>
          <w:szCs w:val="28"/>
          <w:lang w:val="es-ES"/>
        </w:rPr>
        <w:t>m</w:t>
      </w:r>
      <w:r w:rsidRPr="00D61E7E">
        <w:rPr>
          <w:rFonts w:ascii="Times New Roman" w:hAnsi="Times New Roman" w:cs="Times New Roman"/>
          <w:bCs/>
          <w:sz w:val="28"/>
          <w:szCs w:val="28"/>
          <w:lang w:val="es-ES"/>
        </w:rPr>
        <w:t>ateria</w:t>
      </w:r>
      <w:r w:rsidRPr="00D61E7E">
        <w:rPr>
          <w:rFonts w:ascii="Times New Roman" w:hAnsi="Times New Roman" w:cs="Times New Roman"/>
          <w:bCs/>
          <w:sz w:val="28"/>
          <w:szCs w:val="28"/>
          <w:lang w:val="es-ES"/>
        </w:rPr>
        <w:t>”</w:t>
      </w:r>
      <w:r w:rsidRPr="00D61E7E">
        <w:rPr>
          <w:rFonts w:ascii="Times New Roman" w:hAnsi="Times New Roman" w:cs="Times New Roman"/>
          <w:sz w:val="28"/>
          <w:vertAlign w:val="superscript"/>
        </w:rPr>
        <w:footnoteReference w:id="31"/>
      </w:r>
      <w:r w:rsidRPr="00D61E7E">
        <w:rPr>
          <w:rFonts w:ascii="Times New Roman" w:hAnsi="Times New Roman" w:cs="Times New Roman"/>
          <w:bCs/>
          <w:sz w:val="28"/>
          <w:szCs w:val="28"/>
          <w:lang w:val="es-ES"/>
        </w:rPr>
        <w:t>.</w:t>
      </w:r>
      <w:r w:rsidRPr="00D61E7E">
        <w:rPr>
          <w:rFonts w:ascii="Times New Roman" w:hAnsi="Times New Roman" w:cs="Times New Roman"/>
          <w:bCs/>
          <w:sz w:val="28"/>
          <w:szCs w:val="28"/>
          <w:lang w:val="es-ES"/>
        </w:rPr>
        <w:t xml:space="preserve"> Esto no quiere decir que solo basta con que una determinada disposición haya sido sometida a una deliberación</w:t>
      </w:r>
      <w:r w:rsidRPr="00D61E7E">
        <w:rPr>
          <w:rFonts w:ascii="Times New Roman" w:hAnsi="Times New Roman" w:cs="Times New Roman"/>
          <w:bCs/>
          <w:sz w:val="28"/>
          <w:szCs w:val="28"/>
          <w:lang w:val="es-ES"/>
        </w:rPr>
        <w:t>,</w:t>
      </w:r>
      <w:r w:rsidRPr="00D61E7E">
        <w:rPr>
          <w:rFonts w:ascii="Times New Roman" w:hAnsi="Times New Roman" w:cs="Times New Roman"/>
          <w:bCs/>
          <w:sz w:val="28"/>
          <w:szCs w:val="28"/>
          <w:lang w:val="es-ES"/>
        </w:rPr>
        <w:t xml:space="preserve"> sino que </w:t>
      </w:r>
      <w:r w:rsidRPr="00D61E7E">
        <w:rPr>
          <w:rFonts w:ascii="Times New Roman" w:hAnsi="Times New Roman" w:cs="Times New Roman"/>
          <w:bCs/>
          <w:sz w:val="28"/>
          <w:szCs w:val="28"/>
          <w:lang w:val="es-ES"/>
        </w:rPr>
        <w:t>la discusión debe ser amplia, suficiente e informada y que el texto se enmarque en el</w:t>
      </w:r>
      <w:r w:rsidRPr="00D61E7E">
        <w:rPr>
          <w:rFonts w:ascii="Times New Roman" w:hAnsi="Times New Roman" w:cs="Times New Roman"/>
          <w:bCs/>
          <w:sz w:val="28"/>
          <w:szCs w:val="28"/>
          <w:lang w:val="es-ES"/>
        </w:rPr>
        <w:t xml:space="preserve"> objeto general del proyecto de ley somet</w:t>
      </w:r>
      <w:r w:rsidRPr="00D61E7E">
        <w:rPr>
          <w:rFonts w:ascii="Times New Roman" w:hAnsi="Times New Roman" w:cs="Times New Roman"/>
          <w:bCs/>
          <w:sz w:val="28"/>
          <w:szCs w:val="28"/>
          <w:lang w:val="es-ES"/>
        </w:rPr>
        <w:t xml:space="preserve">ido a consideración de los congresistas. </w:t>
      </w:r>
    </w:p>
    <w:p w:rsidR="00B8617F" w:rsidRPr="00D61E7E" w:rsidRDefault="00D61E7E" w:rsidP="00F97DD1">
      <w:pPr>
        <w:tabs>
          <w:tab w:val="left" w:pos="709"/>
        </w:tabs>
        <w:jc w:val="both"/>
        <w:rPr>
          <w:rFonts w:ascii="Times New Roman" w:hAnsi="Times New Roman" w:cs="Times New Roman"/>
          <w:bCs/>
          <w:color w:val="000000" w:themeColor="text1"/>
          <w:sz w:val="28"/>
          <w:szCs w:val="28"/>
          <w:lang w:val="es-ES"/>
        </w:rPr>
      </w:pPr>
    </w:p>
    <w:p w:rsidR="007E2E07" w:rsidRPr="00D61E7E" w:rsidRDefault="00D61E7E" w:rsidP="00F97DD1">
      <w:pPr>
        <w:tabs>
          <w:tab w:val="left" w:pos="709"/>
        </w:tabs>
        <w:jc w:val="both"/>
        <w:rPr>
          <w:rFonts w:ascii="Times New Roman" w:hAnsi="Times New Roman" w:cs="Times New Roman"/>
          <w:b/>
          <w:color w:val="000000" w:themeColor="text1"/>
          <w:sz w:val="28"/>
          <w:szCs w:val="28"/>
          <w:lang w:val="es-ES"/>
        </w:rPr>
      </w:pPr>
      <w:r w:rsidRPr="00D61E7E">
        <w:rPr>
          <w:rFonts w:ascii="Times New Roman" w:hAnsi="Times New Roman" w:cs="Times New Roman"/>
          <w:b/>
          <w:color w:val="000000" w:themeColor="text1"/>
          <w:sz w:val="28"/>
          <w:szCs w:val="28"/>
          <w:lang w:val="es-ES"/>
        </w:rPr>
        <w:t>Caso concreto</w:t>
      </w:r>
    </w:p>
    <w:p w:rsidR="007E2E07" w:rsidRPr="00D61E7E" w:rsidRDefault="00D61E7E" w:rsidP="00F97DD1">
      <w:pPr>
        <w:tabs>
          <w:tab w:val="left" w:pos="709"/>
        </w:tabs>
        <w:jc w:val="both"/>
        <w:rPr>
          <w:rFonts w:ascii="Times New Roman" w:hAnsi="Times New Roman" w:cs="Times New Roman"/>
          <w:b/>
          <w:color w:val="000000" w:themeColor="text1"/>
          <w:sz w:val="28"/>
          <w:szCs w:val="28"/>
          <w:lang w:val="es-ES"/>
        </w:rPr>
      </w:pPr>
    </w:p>
    <w:p w:rsidR="00F8709F" w:rsidRPr="00D61E7E" w:rsidRDefault="00D61E7E" w:rsidP="00F8709F">
      <w:pPr>
        <w:pStyle w:val="Prrafodelista"/>
        <w:numPr>
          <w:ilvl w:val="0"/>
          <w:numId w:val="3"/>
        </w:numPr>
        <w:tabs>
          <w:tab w:val="left" w:pos="709"/>
        </w:tabs>
        <w:rPr>
          <w:rFonts w:ascii="Times New Roman" w:hAnsi="Times New Roman" w:cs="Times New Roman"/>
          <w:bCs/>
          <w:color w:val="000000" w:themeColor="text1"/>
          <w:sz w:val="28"/>
          <w:szCs w:val="28"/>
          <w:lang w:val="es-ES"/>
        </w:rPr>
      </w:pPr>
      <w:r w:rsidRPr="00D61E7E">
        <w:rPr>
          <w:rFonts w:ascii="Times New Roman" w:hAnsi="Times New Roman" w:cs="Times New Roman"/>
          <w:bCs/>
          <w:color w:val="000000" w:themeColor="text1"/>
          <w:sz w:val="28"/>
          <w:szCs w:val="28"/>
          <w:lang w:val="es-ES"/>
        </w:rPr>
        <w:t xml:space="preserve">El accionante sostuvo en su demanda que se vulnera el principio de unidad de materia porque las normas acusadas no guardan relación con el tema de la </w:t>
      </w:r>
      <w:r w:rsidRPr="00D61E7E">
        <w:rPr>
          <w:rFonts w:ascii="Times New Roman" w:hAnsi="Times New Roman" w:cs="Times New Roman"/>
          <w:bCs/>
          <w:color w:val="000000" w:themeColor="text1"/>
          <w:sz w:val="28"/>
          <w:szCs w:val="28"/>
          <w:lang w:val="es-ES"/>
        </w:rPr>
        <w:t>Ley 2069 de 2020</w:t>
      </w:r>
      <w:r w:rsidRPr="00D61E7E">
        <w:rPr>
          <w:rFonts w:ascii="Times New Roman" w:hAnsi="Times New Roman" w:cs="Times New Roman"/>
          <w:bCs/>
          <w:color w:val="000000" w:themeColor="text1"/>
          <w:sz w:val="28"/>
          <w:szCs w:val="28"/>
          <w:lang w:val="es-ES"/>
        </w:rPr>
        <w:t xml:space="preserve">. En particular, sostiene que </w:t>
      </w:r>
      <w:r w:rsidRPr="00D61E7E">
        <w:rPr>
          <w:rFonts w:ascii="Times New Roman" w:hAnsi="Times New Roman" w:cs="Times New Roman"/>
          <w:bCs/>
          <w:color w:val="000000" w:themeColor="text1"/>
          <w:sz w:val="28"/>
          <w:szCs w:val="28"/>
          <w:lang w:val="es-ES"/>
        </w:rPr>
        <w:t>los</w:t>
      </w:r>
      <w:r w:rsidRPr="00D61E7E">
        <w:rPr>
          <w:rFonts w:ascii="Times New Roman" w:hAnsi="Times New Roman" w:cs="Times New Roman"/>
          <w:bCs/>
          <w:color w:val="000000" w:themeColor="text1"/>
          <w:sz w:val="28"/>
          <w:szCs w:val="28"/>
          <w:lang w:val="es-ES"/>
        </w:rPr>
        <w:t xml:space="preserve"> artículos 70 y 73 atacad</w:t>
      </w:r>
      <w:r w:rsidRPr="00D61E7E">
        <w:rPr>
          <w:rFonts w:ascii="Times New Roman" w:hAnsi="Times New Roman" w:cs="Times New Roman"/>
          <w:bCs/>
          <w:color w:val="000000" w:themeColor="text1"/>
          <w:sz w:val="28"/>
          <w:szCs w:val="28"/>
          <w:lang w:val="es-ES"/>
        </w:rPr>
        <w:t>o</w:t>
      </w:r>
      <w:r w:rsidRPr="00D61E7E">
        <w:rPr>
          <w:rFonts w:ascii="Times New Roman" w:hAnsi="Times New Roman" w:cs="Times New Roman"/>
          <w:bCs/>
          <w:color w:val="000000" w:themeColor="text1"/>
          <w:sz w:val="28"/>
          <w:szCs w:val="28"/>
          <w:lang w:val="es-ES"/>
        </w:rPr>
        <w:t>s transfieren competencias entre superintendencias e introducen la virtualidad en los medios de prueba para ciertos procesos de inspección tributaria y contable</w:t>
      </w:r>
      <w:r w:rsidRPr="00D61E7E">
        <w:rPr>
          <w:rFonts w:ascii="Times New Roman" w:hAnsi="Times New Roman" w:cs="Times New Roman"/>
          <w:bCs/>
          <w:color w:val="000000" w:themeColor="text1"/>
          <w:sz w:val="28"/>
          <w:szCs w:val="28"/>
          <w:lang w:val="es-ES"/>
        </w:rPr>
        <w:t>, lo que no tiene relación con la materia de la mencionada ley</w:t>
      </w:r>
      <w:r w:rsidRPr="00D61E7E">
        <w:rPr>
          <w:rFonts w:ascii="Times New Roman" w:hAnsi="Times New Roman" w:cs="Times New Roman"/>
          <w:bCs/>
          <w:color w:val="000000" w:themeColor="text1"/>
          <w:sz w:val="28"/>
          <w:szCs w:val="28"/>
          <w:lang w:val="es-ES"/>
        </w:rPr>
        <w:t xml:space="preserve">. </w:t>
      </w:r>
      <w:r w:rsidRPr="00D61E7E">
        <w:rPr>
          <w:rFonts w:ascii="Times New Roman" w:hAnsi="Times New Roman" w:cs="Times New Roman"/>
          <w:bCs/>
          <w:color w:val="000000" w:themeColor="text1"/>
          <w:sz w:val="28"/>
          <w:szCs w:val="28"/>
          <w:lang w:val="es-ES"/>
        </w:rPr>
        <w:t>Por</w:t>
      </w:r>
      <w:r w:rsidRPr="00D61E7E">
        <w:rPr>
          <w:rFonts w:ascii="Times New Roman" w:hAnsi="Times New Roman" w:cs="Times New Roman"/>
          <w:bCs/>
          <w:color w:val="000000" w:themeColor="text1"/>
          <w:sz w:val="28"/>
          <w:szCs w:val="28"/>
          <w:lang w:val="es-ES"/>
        </w:rPr>
        <w:t xml:space="preserve"> otro lado, cinco intervinientes y la Procuraduría General de la Nación </w:t>
      </w:r>
      <w:r w:rsidRPr="00D61E7E">
        <w:rPr>
          <w:rFonts w:ascii="Times New Roman" w:hAnsi="Times New Roman" w:cs="Times New Roman"/>
          <w:bCs/>
          <w:color w:val="000000" w:themeColor="text1"/>
          <w:sz w:val="28"/>
          <w:szCs w:val="28"/>
          <w:lang w:val="es-ES"/>
        </w:rPr>
        <w:t>solicitaron la declaratoria de exequibilidad de las dos disposiciones</w:t>
      </w:r>
      <w:r w:rsidRPr="00D61E7E">
        <w:rPr>
          <w:rFonts w:ascii="Times New Roman" w:hAnsi="Times New Roman" w:cs="Times New Roman"/>
          <w:bCs/>
          <w:color w:val="000000" w:themeColor="text1"/>
          <w:sz w:val="28"/>
          <w:szCs w:val="28"/>
          <w:lang w:val="es-ES"/>
        </w:rPr>
        <w:t xml:space="preserve"> demandadas</w:t>
      </w:r>
      <w:r w:rsidRPr="00D61E7E">
        <w:rPr>
          <w:rFonts w:ascii="Times New Roman" w:hAnsi="Times New Roman" w:cs="Times New Roman"/>
          <w:bCs/>
          <w:color w:val="000000" w:themeColor="text1"/>
          <w:sz w:val="28"/>
          <w:szCs w:val="28"/>
          <w:lang w:val="es-ES"/>
        </w:rPr>
        <w:t xml:space="preserve"> </w:t>
      </w:r>
      <w:r w:rsidRPr="00D61E7E">
        <w:rPr>
          <w:rFonts w:ascii="Times New Roman" w:hAnsi="Times New Roman" w:cs="Times New Roman"/>
          <w:bCs/>
          <w:color w:val="000000" w:themeColor="text1"/>
          <w:sz w:val="28"/>
          <w:szCs w:val="28"/>
          <w:lang w:val="es-ES"/>
        </w:rPr>
        <w:t>al considerar que</w:t>
      </w:r>
      <w:r w:rsidRPr="00D61E7E">
        <w:rPr>
          <w:rFonts w:ascii="Times New Roman" w:hAnsi="Times New Roman" w:cs="Times New Roman"/>
          <w:bCs/>
          <w:color w:val="000000" w:themeColor="text1"/>
          <w:sz w:val="28"/>
          <w:szCs w:val="28"/>
          <w:lang w:val="es-ES"/>
        </w:rPr>
        <w:t xml:space="preserve"> guardan conexidad con la materia general </w:t>
      </w:r>
      <w:r w:rsidRPr="00D61E7E">
        <w:rPr>
          <w:rFonts w:ascii="Times New Roman" w:hAnsi="Times New Roman" w:cs="Times New Roman"/>
          <w:bCs/>
          <w:color w:val="000000" w:themeColor="text1"/>
          <w:sz w:val="28"/>
          <w:szCs w:val="28"/>
          <w:lang w:val="es-ES"/>
        </w:rPr>
        <w:t xml:space="preserve">de la </w:t>
      </w:r>
      <w:r w:rsidRPr="00D61E7E">
        <w:rPr>
          <w:rFonts w:ascii="Times New Roman" w:hAnsi="Times New Roman" w:cs="Times New Roman"/>
          <w:bCs/>
          <w:color w:val="000000" w:themeColor="text1"/>
          <w:sz w:val="28"/>
          <w:szCs w:val="28"/>
          <w:lang w:val="es-ES"/>
        </w:rPr>
        <w:t>Ley 2069 de 2020</w:t>
      </w:r>
      <w:r w:rsidRPr="00D61E7E">
        <w:rPr>
          <w:rFonts w:ascii="Times New Roman" w:hAnsi="Times New Roman" w:cs="Times New Roman"/>
          <w:bCs/>
          <w:color w:val="000000" w:themeColor="text1"/>
          <w:sz w:val="28"/>
          <w:szCs w:val="28"/>
          <w:lang w:val="es-ES"/>
        </w:rPr>
        <w:t xml:space="preserve">. </w:t>
      </w:r>
      <w:r w:rsidRPr="00D61E7E">
        <w:rPr>
          <w:rFonts w:ascii="Times New Roman" w:hAnsi="Times New Roman" w:cs="Times New Roman"/>
          <w:bCs/>
          <w:color w:val="000000" w:themeColor="text1"/>
          <w:sz w:val="28"/>
          <w:szCs w:val="28"/>
          <w:lang w:val="es-ES"/>
        </w:rPr>
        <w:t>Por su parte,</w:t>
      </w:r>
      <w:r w:rsidRPr="00D61E7E">
        <w:rPr>
          <w:rFonts w:ascii="Times New Roman" w:hAnsi="Times New Roman" w:cs="Times New Roman"/>
          <w:bCs/>
          <w:color w:val="000000" w:themeColor="text1"/>
          <w:sz w:val="28"/>
          <w:szCs w:val="28"/>
          <w:lang w:val="es-ES"/>
        </w:rPr>
        <w:t xml:space="preserve"> un interviniente acompa</w:t>
      </w:r>
      <w:r w:rsidRPr="00D61E7E">
        <w:rPr>
          <w:rFonts w:ascii="Times New Roman" w:hAnsi="Times New Roman" w:cs="Times New Roman"/>
          <w:bCs/>
          <w:color w:val="000000" w:themeColor="text1"/>
          <w:sz w:val="28"/>
          <w:szCs w:val="28"/>
          <w:lang w:val="es-ES"/>
        </w:rPr>
        <w:t>ñó l</w:t>
      </w:r>
      <w:r w:rsidRPr="00D61E7E">
        <w:rPr>
          <w:rFonts w:ascii="Times New Roman" w:hAnsi="Times New Roman" w:cs="Times New Roman"/>
          <w:bCs/>
          <w:color w:val="000000" w:themeColor="text1"/>
          <w:sz w:val="28"/>
          <w:szCs w:val="28"/>
          <w:lang w:val="es-ES"/>
        </w:rPr>
        <w:t>a solicitud de inexequibilidad</w:t>
      </w:r>
      <w:r w:rsidRPr="00D61E7E">
        <w:rPr>
          <w:rFonts w:ascii="Times New Roman" w:hAnsi="Times New Roman" w:cs="Times New Roman"/>
          <w:bCs/>
          <w:color w:val="000000" w:themeColor="text1"/>
          <w:sz w:val="28"/>
          <w:szCs w:val="28"/>
          <w:lang w:val="es-ES"/>
        </w:rPr>
        <w:t xml:space="preserve"> en relación con el</w:t>
      </w:r>
      <w:r w:rsidRPr="00D61E7E">
        <w:rPr>
          <w:rFonts w:ascii="Times New Roman" w:hAnsi="Times New Roman" w:cs="Times New Roman"/>
          <w:bCs/>
          <w:color w:val="000000" w:themeColor="text1"/>
          <w:sz w:val="28"/>
          <w:szCs w:val="28"/>
          <w:lang w:val="es-ES"/>
        </w:rPr>
        <w:t xml:space="preserve"> segundo </w:t>
      </w:r>
      <w:r w:rsidRPr="00D61E7E">
        <w:rPr>
          <w:rFonts w:ascii="Times New Roman" w:hAnsi="Times New Roman" w:cs="Times New Roman"/>
          <w:bCs/>
          <w:color w:val="000000" w:themeColor="text1"/>
          <w:sz w:val="28"/>
          <w:szCs w:val="28"/>
          <w:lang w:val="es-ES"/>
        </w:rPr>
        <w:t>inciso</w:t>
      </w:r>
      <w:r w:rsidRPr="00D61E7E">
        <w:rPr>
          <w:rFonts w:ascii="Times New Roman" w:hAnsi="Times New Roman" w:cs="Times New Roman"/>
          <w:bCs/>
          <w:color w:val="000000" w:themeColor="text1"/>
          <w:sz w:val="28"/>
          <w:szCs w:val="28"/>
          <w:lang w:val="es-ES"/>
        </w:rPr>
        <w:t xml:space="preserve"> del artículo 70 </w:t>
      </w:r>
      <w:r w:rsidRPr="00D61E7E">
        <w:rPr>
          <w:rFonts w:ascii="Times New Roman" w:hAnsi="Times New Roman" w:cs="Times New Roman"/>
          <w:bCs/>
          <w:color w:val="000000" w:themeColor="text1"/>
          <w:sz w:val="28"/>
          <w:szCs w:val="28"/>
          <w:lang w:val="es-ES"/>
        </w:rPr>
        <w:t>por desconocimiento d</w:t>
      </w:r>
      <w:r w:rsidRPr="00D61E7E">
        <w:rPr>
          <w:rFonts w:ascii="Times New Roman" w:hAnsi="Times New Roman" w:cs="Times New Roman"/>
          <w:bCs/>
          <w:color w:val="000000" w:themeColor="text1"/>
          <w:sz w:val="28"/>
          <w:szCs w:val="28"/>
          <w:lang w:val="es-ES"/>
        </w:rPr>
        <w:t>el artículo 338 de la Constitución</w:t>
      </w:r>
      <w:r w:rsidRPr="00D61E7E">
        <w:rPr>
          <w:rFonts w:ascii="Times New Roman" w:hAnsi="Times New Roman" w:cs="Times New Roman"/>
          <w:bCs/>
          <w:color w:val="000000" w:themeColor="text1"/>
          <w:sz w:val="28"/>
          <w:szCs w:val="28"/>
          <w:lang w:val="es-ES"/>
        </w:rPr>
        <w:t xml:space="preserve">, cargo que, como arriba se indicó no fue admitido. </w:t>
      </w:r>
      <w:r w:rsidRPr="00D61E7E">
        <w:rPr>
          <w:rFonts w:ascii="Times New Roman" w:hAnsi="Times New Roman" w:cs="Times New Roman"/>
          <w:bCs/>
          <w:color w:val="000000" w:themeColor="text1"/>
          <w:sz w:val="28"/>
          <w:szCs w:val="28"/>
          <w:lang w:val="es-ES"/>
        </w:rPr>
        <w:t xml:space="preserve"> </w:t>
      </w:r>
    </w:p>
    <w:p w:rsidR="001D0873" w:rsidRPr="00D61E7E" w:rsidRDefault="00D61E7E" w:rsidP="001E0B9A">
      <w:pPr>
        <w:tabs>
          <w:tab w:val="left" w:pos="709"/>
        </w:tabs>
        <w:jc w:val="both"/>
        <w:rPr>
          <w:rFonts w:ascii="Times New Roman" w:hAnsi="Times New Roman" w:cs="Times New Roman"/>
          <w:bCs/>
          <w:color w:val="000000" w:themeColor="text1"/>
          <w:sz w:val="28"/>
          <w:szCs w:val="28"/>
          <w:lang w:val="es-ES"/>
        </w:rPr>
      </w:pPr>
    </w:p>
    <w:p w:rsidR="007E2E07" w:rsidRPr="00D61E7E" w:rsidRDefault="00D61E7E" w:rsidP="00F8709F">
      <w:pPr>
        <w:pStyle w:val="Prrafodelista"/>
        <w:numPr>
          <w:ilvl w:val="0"/>
          <w:numId w:val="3"/>
        </w:numPr>
        <w:tabs>
          <w:tab w:val="left" w:pos="709"/>
        </w:tabs>
        <w:rPr>
          <w:rFonts w:ascii="Times New Roman" w:hAnsi="Times New Roman" w:cs="Times New Roman"/>
          <w:bCs/>
          <w:color w:val="000000" w:themeColor="text1"/>
          <w:sz w:val="28"/>
          <w:szCs w:val="28"/>
        </w:rPr>
      </w:pPr>
      <w:r w:rsidRPr="00D61E7E">
        <w:rPr>
          <w:rFonts w:ascii="Times New Roman" w:hAnsi="Times New Roman" w:cs="Times New Roman"/>
          <w:bCs/>
          <w:color w:val="000000" w:themeColor="text1"/>
          <w:sz w:val="28"/>
          <w:szCs w:val="28"/>
        </w:rPr>
        <w:t>Para determinar, entonces, si los art</w:t>
      </w:r>
      <w:r w:rsidRPr="00D61E7E">
        <w:rPr>
          <w:rFonts w:ascii="Times New Roman" w:hAnsi="Times New Roman" w:cs="Times New Roman"/>
          <w:bCs/>
          <w:color w:val="000000" w:themeColor="text1"/>
          <w:sz w:val="28"/>
          <w:szCs w:val="28"/>
        </w:rPr>
        <w:t xml:space="preserve">ículos 70 y 73 de la </w:t>
      </w:r>
      <w:r w:rsidRPr="00D61E7E">
        <w:rPr>
          <w:rFonts w:ascii="Times New Roman" w:hAnsi="Times New Roman" w:cs="Times New Roman"/>
          <w:bCs/>
          <w:color w:val="000000" w:themeColor="text1"/>
          <w:sz w:val="28"/>
          <w:szCs w:val="28"/>
        </w:rPr>
        <w:t>Ley 2069 de 2020</w:t>
      </w:r>
      <w:r w:rsidRPr="00D61E7E">
        <w:rPr>
          <w:rFonts w:ascii="Times New Roman" w:hAnsi="Times New Roman" w:cs="Times New Roman"/>
          <w:bCs/>
          <w:color w:val="000000" w:themeColor="text1"/>
          <w:sz w:val="28"/>
          <w:szCs w:val="28"/>
        </w:rPr>
        <w:t xml:space="preserve"> respetan el principio de unidad de materia, de conformidad con la metodología de análisis establecida por la jurisprudencia de esta Corte, se partirá por determinar </w:t>
      </w:r>
      <w:r w:rsidRPr="00D61E7E">
        <w:rPr>
          <w:rFonts w:ascii="Times New Roman" w:hAnsi="Times New Roman" w:cs="Times New Roman"/>
          <w:bCs/>
          <w:color w:val="000000" w:themeColor="text1"/>
          <w:sz w:val="28"/>
          <w:szCs w:val="28"/>
        </w:rPr>
        <w:t xml:space="preserve">el núcleo temático de la </w:t>
      </w:r>
      <w:r w:rsidRPr="00D61E7E">
        <w:rPr>
          <w:rFonts w:ascii="Times New Roman" w:hAnsi="Times New Roman" w:cs="Times New Roman"/>
          <w:bCs/>
          <w:color w:val="000000" w:themeColor="text1"/>
          <w:sz w:val="28"/>
          <w:szCs w:val="28"/>
        </w:rPr>
        <w:t>Ley 2069 de 2020</w:t>
      </w:r>
      <w:r w:rsidRPr="00D61E7E">
        <w:rPr>
          <w:rFonts w:ascii="Times New Roman" w:hAnsi="Times New Roman" w:cs="Times New Roman"/>
          <w:bCs/>
          <w:color w:val="000000" w:themeColor="text1"/>
          <w:sz w:val="28"/>
          <w:szCs w:val="28"/>
        </w:rPr>
        <w:t xml:space="preserve">. </w:t>
      </w:r>
      <w:r w:rsidRPr="00D61E7E">
        <w:rPr>
          <w:rFonts w:ascii="Times New Roman" w:hAnsi="Times New Roman" w:cs="Times New Roman"/>
          <w:bCs/>
          <w:color w:val="000000" w:themeColor="text1"/>
          <w:sz w:val="28"/>
          <w:szCs w:val="28"/>
        </w:rPr>
        <w:t xml:space="preserve">A partir de allí, </w:t>
      </w:r>
      <w:r w:rsidRPr="00D61E7E">
        <w:rPr>
          <w:rFonts w:ascii="Times New Roman" w:hAnsi="Times New Roman" w:cs="Times New Roman"/>
          <w:bCs/>
          <w:color w:val="000000" w:themeColor="text1"/>
          <w:sz w:val="28"/>
          <w:szCs w:val="28"/>
        </w:rPr>
        <w:t>se verificará si en atención a los criterios de conexidad causal, temática, sistemática o teleológica existe un vínculo objetivo y coherente entre los artículos 70 y 73 demandado</w:t>
      </w:r>
      <w:r w:rsidRPr="00D61E7E">
        <w:rPr>
          <w:rFonts w:ascii="Times New Roman" w:hAnsi="Times New Roman" w:cs="Times New Roman"/>
          <w:bCs/>
          <w:color w:val="000000" w:themeColor="text1"/>
          <w:sz w:val="28"/>
          <w:szCs w:val="28"/>
        </w:rPr>
        <w:t>s</w:t>
      </w:r>
      <w:r w:rsidRPr="00D61E7E">
        <w:rPr>
          <w:rFonts w:ascii="Times New Roman" w:hAnsi="Times New Roman" w:cs="Times New Roman"/>
          <w:bCs/>
          <w:color w:val="000000" w:themeColor="text1"/>
          <w:sz w:val="28"/>
          <w:szCs w:val="28"/>
        </w:rPr>
        <w:t xml:space="preserve"> y el núcleo temático de la ley que los contiene. </w:t>
      </w:r>
    </w:p>
    <w:p w:rsidR="00B8617F" w:rsidRPr="00D61E7E" w:rsidRDefault="00D61E7E" w:rsidP="00F97DD1">
      <w:pPr>
        <w:jc w:val="both"/>
        <w:rPr>
          <w:rFonts w:ascii="Times New Roman" w:hAnsi="Times New Roman" w:cs="Times New Roman"/>
          <w:bCs/>
          <w:color w:val="000000" w:themeColor="text1"/>
          <w:sz w:val="28"/>
          <w:szCs w:val="28"/>
          <w:lang w:val="es-ES"/>
        </w:rPr>
      </w:pPr>
    </w:p>
    <w:p w:rsidR="0002790A" w:rsidRPr="00D61E7E" w:rsidRDefault="00D61E7E">
      <w:pPr>
        <w:pStyle w:val="Prrafodelista"/>
        <w:tabs>
          <w:tab w:val="left" w:pos="709"/>
        </w:tabs>
        <w:ind w:left="0"/>
        <w:rPr>
          <w:rFonts w:ascii="Times New Roman" w:hAnsi="Times New Roman" w:cs="Times New Roman"/>
          <w:b/>
          <w:color w:val="000000" w:themeColor="text1"/>
          <w:sz w:val="28"/>
          <w:szCs w:val="28"/>
        </w:rPr>
      </w:pPr>
      <w:r w:rsidRPr="00D61E7E">
        <w:rPr>
          <w:rFonts w:ascii="Times New Roman" w:hAnsi="Times New Roman" w:cs="Times New Roman"/>
          <w:b/>
          <w:color w:val="000000" w:themeColor="text1"/>
          <w:sz w:val="28"/>
          <w:szCs w:val="28"/>
        </w:rPr>
        <w:t xml:space="preserve">Núcleo temático de la </w:t>
      </w:r>
      <w:r w:rsidRPr="00D61E7E">
        <w:rPr>
          <w:rFonts w:ascii="Times New Roman" w:hAnsi="Times New Roman" w:cs="Times New Roman"/>
          <w:b/>
          <w:color w:val="000000" w:themeColor="text1"/>
          <w:sz w:val="28"/>
          <w:szCs w:val="28"/>
        </w:rPr>
        <w:t>Ley 2069 de 2020</w:t>
      </w:r>
    </w:p>
    <w:p w:rsidR="0002790A" w:rsidRPr="00D61E7E" w:rsidRDefault="00D61E7E">
      <w:pPr>
        <w:pStyle w:val="Prrafodelista"/>
        <w:rPr>
          <w:rFonts w:ascii="Times New Roman" w:hAnsi="Times New Roman" w:cs="Times New Roman"/>
          <w:bCs/>
          <w:color w:val="000000" w:themeColor="text1"/>
          <w:sz w:val="28"/>
          <w:szCs w:val="28"/>
        </w:rPr>
      </w:pPr>
    </w:p>
    <w:p w:rsidR="0002790A" w:rsidRPr="00D61E7E" w:rsidRDefault="00D61E7E" w:rsidP="00F8709F">
      <w:pPr>
        <w:pStyle w:val="Prrafodelista"/>
        <w:numPr>
          <w:ilvl w:val="0"/>
          <w:numId w:val="3"/>
        </w:numPr>
        <w:tabs>
          <w:tab w:val="left" w:pos="709"/>
        </w:tabs>
        <w:rPr>
          <w:rFonts w:ascii="Times New Roman" w:hAnsi="Times New Roman" w:cs="Times New Roman"/>
          <w:bCs/>
          <w:color w:val="000000" w:themeColor="text1"/>
          <w:sz w:val="28"/>
          <w:szCs w:val="28"/>
          <w:lang w:val="es-ES"/>
        </w:rPr>
      </w:pPr>
      <w:r w:rsidRPr="00D61E7E">
        <w:rPr>
          <w:rFonts w:ascii="Times New Roman" w:hAnsi="Times New Roman" w:cs="Times New Roman"/>
          <w:bCs/>
          <w:color w:val="000000" w:themeColor="text1"/>
          <w:sz w:val="28"/>
          <w:szCs w:val="28"/>
          <w:lang w:val="es-ES"/>
        </w:rPr>
        <w:t xml:space="preserve">La </w:t>
      </w:r>
      <w:r w:rsidRPr="00D61E7E">
        <w:rPr>
          <w:rFonts w:ascii="Times New Roman" w:hAnsi="Times New Roman" w:cs="Times New Roman"/>
          <w:bCs/>
          <w:color w:val="000000" w:themeColor="text1"/>
          <w:sz w:val="28"/>
          <w:szCs w:val="28"/>
          <w:lang w:val="es-ES"/>
        </w:rPr>
        <w:t>Ley 2069 de 2020</w:t>
      </w:r>
      <w:r w:rsidRPr="00D61E7E">
        <w:rPr>
          <w:rFonts w:ascii="Times New Roman" w:hAnsi="Times New Roman" w:cs="Times New Roman"/>
          <w:bCs/>
          <w:color w:val="000000" w:themeColor="text1"/>
          <w:sz w:val="28"/>
          <w:szCs w:val="28"/>
          <w:lang w:val="es-ES"/>
        </w:rPr>
        <w:t xml:space="preserve">, </w:t>
      </w:r>
      <w:r w:rsidRPr="00D61E7E">
        <w:rPr>
          <w:rFonts w:ascii="Times New Roman" w:hAnsi="Times New Roman" w:cs="Times New Roman"/>
          <w:bCs/>
          <w:color w:val="000000" w:themeColor="text1"/>
          <w:sz w:val="28"/>
          <w:szCs w:val="28"/>
          <w:lang w:val="es-ES"/>
        </w:rPr>
        <w:t>“</w:t>
      </w:r>
      <w:r w:rsidRPr="00D61E7E">
        <w:rPr>
          <w:rFonts w:ascii="Times New Roman" w:hAnsi="Times New Roman" w:cs="Times New Roman"/>
          <w:bCs/>
          <w:color w:val="000000" w:themeColor="text1"/>
          <w:sz w:val="28"/>
          <w:szCs w:val="28"/>
          <w:lang w:val="es-ES"/>
        </w:rPr>
        <w:t xml:space="preserve">por medio de la cual se impulsa el emprendimiento en Colombia” tiene por objeto, según lo dispuesto en su artículo 1, “establecer un marco regulatorio que propicie el emprendimiento y el crecimiento, consolidación y </w:t>
      </w:r>
      <w:r w:rsidRPr="00D61E7E">
        <w:rPr>
          <w:rFonts w:ascii="Times New Roman" w:hAnsi="Times New Roman" w:cs="Times New Roman"/>
          <w:bCs/>
          <w:color w:val="000000" w:themeColor="text1"/>
          <w:sz w:val="28"/>
          <w:szCs w:val="28"/>
          <w:lang w:val="es-ES"/>
        </w:rPr>
        <w:t>sostenibilidad</w:t>
      </w:r>
      <w:r w:rsidRPr="00D61E7E">
        <w:rPr>
          <w:rFonts w:ascii="Times New Roman" w:hAnsi="Times New Roman" w:cs="Times New Roman"/>
          <w:bCs/>
          <w:color w:val="000000" w:themeColor="text1"/>
          <w:sz w:val="28"/>
          <w:szCs w:val="28"/>
          <w:lang w:val="es-ES"/>
        </w:rPr>
        <w:t xml:space="preserve"> de las empresas, con el f</w:t>
      </w:r>
      <w:r w:rsidRPr="00D61E7E">
        <w:rPr>
          <w:rFonts w:ascii="Times New Roman" w:hAnsi="Times New Roman" w:cs="Times New Roman"/>
          <w:bCs/>
          <w:color w:val="000000" w:themeColor="text1"/>
          <w:sz w:val="28"/>
          <w:szCs w:val="28"/>
          <w:lang w:val="es-ES"/>
        </w:rPr>
        <w:t>in de aumentar el bienestar social y generar equidad”</w:t>
      </w:r>
      <w:r w:rsidRPr="00D61E7E">
        <w:rPr>
          <w:rStyle w:val="Refdenotaalpie"/>
          <w:rFonts w:ascii="Times New Roman" w:hAnsi="Times New Roman" w:cs="Times New Roman"/>
          <w:bCs/>
          <w:color w:val="000000" w:themeColor="text1"/>
          <w:sz w:val="28"/>
          <w:szCs w:val="28"/>
        </w:rPr>
        <w:footnoteReference w:id="32"/>
      </w:r>
      <w:r w:rsidRPr="00D61E7E">
        <w:rPr>
          <w:rFonts w:ascii="Times New Roman" w:hAnsi="Times New Roman" w:cs="Times New Roman"/>
          <w:bCs/>
          <w:color w:val="000000" w:themeColor="text1"/>
          <w:sz w:val="28"/>
          <w:szCs w:val="28"/>
          <w:lang w:val="es-ES"/>
        </w:rPr>
        <w:t xml:space="preserve">. </w:t>
      </w:r>
    </w:p>
    <w:p w:rsidR="0002790A" w:rsidRPr="00D61E7E" w:rsidRDefault="00D61E7E">
      <w:pPr>
        <w:pStyle w:val="Prrafodelista"/>
        <w:tabs>
          <w:tab w:val="left" w:pos="709"/>
        </w:tabs>
        <w:ind w:left="0"/>
        <w:rPr>
          <w:rFonts w:ascii="Times New Roman" w:hAnsi="Times New Roman" w:cs="Times New Roman"/>
          <w:bCs/>
          <w:color w:val="000000" w:themeColor="text1"/>
          <w:sz w:val="28"/>
          <w:szCs w:val="28"/>
        </w:rPr>
      </w:pPr>
    </w:p>
    <w:p w:rsidR="00DB2C63" w:rsidRPr="00D61E7E" w:rsidRDefault="00D61E7E" w:rsidP="00F8709F">
      <w:pPr>
        <w:pStyle w:val="Prrafodelista"/>
        <w:numPr>
          <w:ilvl w:val="0"/>
          <w:numId w:val="3"/>
        </w:numPr>
        <w:tabs>
          <w:tab w:val="left" w:pos="709"/>
        </w:tabs>
        <w:rPr>
          <w:rFonts w:ascii="Times New Roman" w:hAnsi="Times New Roman" w:cs="Times New Roman"/>
          <w:bCs/>
          <w:color w:val="000000" w:themeColor="text1"/>
          <w:sz w:val="28"/>
          <w:szCs w:val="28"/>
          <w:lang w:val="es-ES"/>
        </w:rPr>
      </w:pPr>
      <w:r w:rsidRPr="00D61E7E">
        <w:rPr>
          <w:rFonts w:ascii="Times New Roman" w:hAnsi="Times New Roman" w:cs="Times New Roman"/>
          <w:bCs/>
          <w:color w:val="000000" w:themeColor="text1"/>
          <w:sz w:val="28"/>
          <w:szCs w:val="28"/>
          <w:lang w:val="es-ES"/>
        </w:rPr>
        <w:t>L</w:t>
      </w:r>
      <w:r w:rsidRPr="00D61E7E">
        <w:rPr>
          <w:rFonts w:ascii="Times New Roman" w:hAnsi="Times New Roman" w:cs="Times New Roman"/>
          <w:bCs/>
          <w:color w:val="000000" w:themeColor="text1"/>
          <w:sz w:val="28"/>
          <w:szCs w:val="28"/>
          <w:lang w:val="es-ES"/>
        </w:rPr>
        <w:t xml:space="preserve">a exposición de motivos del proyecto que se convirtió luego en la ley de emprendimiento </w:t>
      </w:r>
      <w:r w:rsidRPr="00D61E7E">
        <w:rPr>
          <w:rFonts w:ascii="Times New Roman" w:hAnsi="Times New Roman" w:cs="Times New Roman"/>
          <w:bCs/>
          <w:color w:val="000000" w:themeColor="text1"/>
          <w:sz w:val="28"/>
          <w:szCs w:val="28"/>
          <w:lang w:val="es-ES"/>
        </w:rPr>
        <w:t>establecía</w:t>
      </w:r>
      <w:r w:rsidRPr="00D61E7E">
        <w:rPr>
          <w:rFonts w:ascii="Times New Roman" w:hAnsi="Times New Roman" w:cs="Times New Roman"/>
          <w:bCs/>
          <w:color w:val="000000" w:themeColor="text1"/>
          <w:sz w:val="28"/>
          <w:szCs w:val="28"/>
          <w:lang w:val="es-ES"/>
        </w:rPr>
        <w:t xml:space="preserve"> </w:t>
      </w:r>
      <w:r w:rsidRPr="00D61E7E">
        <w:rPr>
          <w:rFonts w:ascii="Times New Roman" w:hAnsi="Times New Roman" w:cs="Times New Roman"/>
          <w:bCs/>
          <w:color w:val="000000" w:themeColor="text1"/>
          <w:sz w:val="28"/>
          <w:szCs w:val="28"/>
          <w:lang w:val="es-ES"/>
        </w:rPr>
        <w:t>cuatro objetivos</w:t>
      </w:r>
      <w:r w:rsidRPr="00D61E7E">
        <w:rPr>
          <w:rFonts w:ascii="Times New Roman" w:hAnsi="Times New Roman" w:cs="Times New Roman"/>
          <w:bCs/>
          <w:color w:val="000000" w:themeColor="text1"/>
          <w:sz w:val="28"/>
          <w:szCs w:val="28"/>
          <w:lang w:val="es-ES"/>
        </w:rPr>
        <w:t>, a saber: (i) impulsar el emprendimiento y generar las condiciones para su desarr</w:t>
      </w:r>
      <w:r w:rsidRPr="00D61E7E">
        <w:rPr>
          <w:rFonts w:ascii="Times New Roman" w:hAnsi="Times New Roman" w:cs="Times New Roman"/>
          <w:bCs/>
          <w:color w:val="000000" w:themeColor="text1"/>
          <w:sz w:val="28"/>
          <w:szCs w:val="28"/>
          <w:lang w:val="es-ES"/>
        </w:rPr>
        <w:t xml:space="preserve">ollo; (ii) mejorar la relación entre estructura de costos, capital humano, productividad, formalización y mercado para las medianas y pequeñas empresas; (iii) mejorar el acceso a financiamiento; </w:t>
      </w:r>
      <w:r w:rsidRPr="00D61E7E">
        <w:rPr>
          <w:rFonts w:ascii="Times New Roman" w:hAnsi="Times New Roman" w:cs="Times New Roman"/>
          <w:bCs/>
          <w:color w:val="000000" w:themeColor="text1"/>
          <w:sz w:val="28"/>
          <w:szCs w:val="28"/>
          <w:lang w:val="es-ES"/>
        </w:rPr>
        <w:t>e</w:t>
      </w:r>
      <w:r w:rsidRPr="00D61E7E">
        <w:rPr>
          <w:rFonts w:ascii="Times New Roman" w:hAnsi="Times New Roman" w:cs="Times New Roman"/>
          <w:bCs/>
          <w:color w:val="000000" w:themeColor="text1"/>
          <w:sz w:val="28"/>
          <w:szCs w:val="28"/>
          <w:lang w:val="es-ES"/>
        </w:rPr>
        <w:t xml:space="preserve"> (iv) impulsar alternativas para que los emprendedores pu</w:t>
      </w:r>
      <w:r w:rsidRPr="00D61E7E">
        <w:rPr>
          <w:rFonts w:ascii="Times New Roman" w:hAnsi="Times New Roman" w:cs="Times New Roman"/>
          <w:bCs/>
          <w:color w:val="000000" w:themeColor="text1"/>
          <w:sz w:val="28"/>
          <w:szCs w:val="28"/>
          <w:lang w:val="es-ES"/>
        </w:rPr>
        <w:t xml:space="preserve">dieran </w:t>
      </w:r>
      <w:r w:rsidRPr="00D61E7E">
        <w:rPr>
          <w:rFonts w:ascii="Times New Roman" w:hAnsi="Times New Roman" w:cs="Times New Roman"/>
          <w:bCs/>
          <w:color w:val="000000" w:themeColor="text1"/>
          <w:sz w:val="28"/>
          <w:szCs w:val="28"/>
          <w:lang w:val="es-ES"/>
        </w:rPr>
        <w:t>crecer y competir en el mercado nacional y global</w:t>
      </w:r>
      <w:r w:rsidRPr="00D61E7E">
        <w:rPr>
          <w:rStyle w:val="Refdenotaalpie"/>
          <w:rFonts w:ascii="Times New Roman" w:hAnsi="Times New Roman" w:cs="Times New Roman"/>
          <w:bCs/>
          <w:color w:val="000000" w:themeColor="text1"/>
          <w:sz w:val="28"/>
          <w:szCs w:val="28"/>
        </w:rPr>
        <w:footnoteReference w:id="33"/>
      </w:r>
      <w:r w:rsidRPr="00D61E7E">
        <w:rPr>
          <w:rFonts w:ascii="Times New Roman" w:hAnsi="Times New Roman" w:cs="Times New Roman"/>
          <w:bCs/>
          <w:color w:val="000000" w:themeColor="text1"/>
          <w:sz w:val="28"/>
          <w:szCs w:val="28"/>
          <w:lang w:val="es-ES"/>
        </w:rPr>
        <w:t xml:space="preserve">. </w:t>
      </w:r>
    </w:p>
    <w:p w:rsidR="00DB2C63" w:rsidRPr="00D61E7E" w:rsidRDefault="00D61E7E">
      <w:pPr>
        <w:pStyle w:val="Prrafodelista"/>
        <w:rPr>
          <w:rFonts w:ascii="Times New Roman" w:hAnsi="Times New Roman" w:cs="Times New Roman"/>
          <w:bCs/>
          <w:color w:val="000000" w:themeColor="text1"/>
          <w:sz w:val="28"/>
          <w:szCs w:val="28"/>
        </w:rPr>
      </w:pPr>
    </w:p>
    <w:p w:rsidR="00B85E67" w:rsidRPr="00D61E7E" w:rsidRDefault="00D61E7E" w:rsidP="00F8709F">
      <w:pPr>
        <w:pStyle w:val="Prrafodelista"/>
        <w:numPr>
          <w:ilvl w:val="0"/>
          <w:numId w:val="3"/>
        </w:numPr>
        <w:tabs>
          <w:tab w:val="left" w:pos="709"/>
        </w:tabs>
        <w:rPr>
          <w:rFonts w:ascii="Times New Roman" w:hAnsi="Times New Roman" w:cs="Times New Roman"/>
          <w:bCs/>
          <w:color w:val="000000" w:themeColor="text1"/>
          <w:sz w:val="28"/>
          <w:szCs w:val="28"/>
          <w:lang w:val="es-ES"/>
        </w:rPr>
      </w:pPr>
      <w:r w:rsidRPr="00D61E7E">
        <w:rPr>
          <w:rFonts w:ascii="Times New Roman" w:hAnsi="Times New Roman" w:cs="Times New Roman"/>
          <w:bCs/>
          <w:color w:val="000000" w:themeColor="text1"/>
          <w:sz w:val="28"/>
          <w:szCs w:val="28"/>
          <w:lang w:val="es-ES"/>
        </w:rPr>
        <w:t xml:space="preserve">Frente al primer objetivo de impulso al emprendimiento, la exposición de motivos del proyecto señaló que </w:t>
      </w:r>
      <w:r w:rsidRPr="00D61E7E">
        <w:rPr>
          <w:rFonts w:ascii="Times New Roman" w:hAnsi="Times New Roman" w:cs="Times New Roman"/>
          <w:bCs/>
          <w:color w:val="000000" w:themeColor="text1"/>
          <w:sz w:val="28"/>
          <w:szCs w:val="28"/>
          <w:lang w:val="es-ES"/>
        </w:rPr>
        <w:t xml:space="preserve">para el </w:t>
      </w:r>
      <w:r w:rsidRPr="00D61E7E">
        <w:rPr>
          <w:rFonts w:ascii="Times New Roman" w:hAnsi="Times New Roman" w:cs="Times New Roman"/>
          <w:sz w:val="28"/>
          <w:szCs w:val="28"/>
          <w:lang w:val="es-ES"/>
        </w:rPr>
        <w:t>año 2016, el 53% de la población colombiana expresó su intención de crear una empr</w:t>
      </w:r>
      <w:r w:rsidRPr="00D61E7E">
        <w:rPr>
          <w:rFonts w:ascii="Times New Roman" w:hAnsi="Times New Roman" w:cs="Times New Roman"/>
          <w:sz w:val="28"/>
          <w:szCs w:val="28"/>
          <w:lang w:val="es-ES"/>
        </w:rPr>
        <w:t>esa en los próximos 3 años. Sin embargo, según dicho documento, el país experimenta</w:t>
      </w:r>
      <w:r w:rsidRPr="00D61E7E">
        <w:rPr>
          <w:rFonts w:ascii="Times New Roman" w:hAnsi="Times New Roman" w:cs="Times New Roman"/>
          <w:sz w:val="28"/>
          <w:szCs w:val="28"/>
          <w:lang w:val="es-ES"/>
        </w:rPr>
        <w:t>ba</w:t>
      </w:r>
      <w:r w:rsidRPr="00D61E7E">
        <w:rPr>
          <w:rFonts w:ascii="Times New Roman" w:hAnsi="Times New Roman" w:cs="Times New Roman"/>
          <w:sz w:val="28"/>
          <w:szCs w:val="28"/>
          <w:lang w:val="es-ES"/>
        </w:rPr>
        <w:t xml:space="preserve"> un desbalance crítico pues solo el 15% de quienes manifestaron su interés de fundar una empresa lo lograron</w:t>
      </w:r>
      <w:r w:rsidRPr="00D61E7E">
        <w:rPr>
          <w:rStyle w:val="Refdenotaalpie"/>
          <w:rFonts w:ascii="Times New Roman" w:hAnsi="Times New Roman" w:cs="Times New Roman"/>
          <w:sz w:val="28"/>
          <w:szCs w:val="28"/>
          <w:lang w:val="es-ES"/>
        </w:rPr>
        <w:footnoteReference w:id="34"/>
      </w:r>
      <w:r w:rsidRPr="00D61E7E">
        <w:rPr>
          <w:rFonts w:ascii="Times New Roman" w:hAnsi="Times New Roman" w:cs="Times New Roman"/>
          <w:sz w:val="28"/>
          <w:szCs w:val="28"/>
          <w:lang w:val="es-ES"/>
        </w:rPr>
        <w:t>. Por ello, de acuerdo con las razones legislativas esgrimidas</w:t>
      </w:r>
      <w:r w:rsidRPr="00D61E7E">
        <w:rPr>
          <w:rFonts w:ascii="Times New Roman" w:hAnsi="Times New Roman" w:cs="Times New Roman"/>
          <w:sz w:val="28"/>
          <w:szCs w:val="28"/>
          <w:lang w:val="es-ES"/>
        </w:rPr>
        <w:t xml:space="preserve">, era necesario </w:t>
      </w:r>
      <w:r w:rsidRPr="00D61E7E">
        <w:rPr>
          <w:rFonts w:ascii="Times New Roman" w:hAnsi="Times New Roman" w:cs="Times New Roman"/>
          <w:sz w:val="28"/>
          <w:szCs w:val="28"/>
          <w:lang w:val="es-ES"/>
        </w:rPr>
        <w:t xml:space="preserve">consolidar </w:t>
      </w:r>
      <w:r w:rsidRPr="00D61E7E">
        <w:rPr>
          <w:rFonts w:ascii="Times New Roman" w:hAnsi="Times New Roman" w:cs="Times New Roman"/>
          <w:sz w:val="28"/>
          <w:szCs w:val="28"/>
          <w:lang w:val="es-ES"/>
        </w:rPr>
        <w:t xml:space="preserve">un contexto normativo </w:t>
      </w:r>
      <w:r w:rsidRPr="00D61E7E">
        <w:rPr>
          <w:rFonts w:ascii="Times New Roman" w:hAnsi="Times New Roman" w:cs="Times New Roman"/>
          <w:sz w:val="28"/>
          <w:szCs w:val="28"/>
          <w:lang w:val="es-ES"/>
        </w:rPr>
        <w:t xml:space="preserve">propicio </w:t>
      </w:r>
      <w:r w:rsidRPr="00D61E7E">
        <w:rPr>
          <w:rFonts w:ascii="Times New Roman" w:hAnsi="Times New Roman" w:cs="Times New Roman"/>
          <w:sz w:val="28"/>
          <w:szCs w:val="28"/>
          <w:lang w:val="es-ES"/>
        </w:rPr>
        <w:t>para el desarrollo empresarial de los emprendimientos, promoviendo su crecimiento y consolidación</w:t>
      </w:r>
      <w:r w:rsidRPr="00D61E7E">
        <w:rPr>
          <w:rStyle w:val="Refdenotaalpie"/>
          <w:rFonts w:ascii="Times New Roman" w:hAnsi="Times New Roman" w:cs="Times New Roman"/>
          <w:sz w:val="28"/>
          <w:szCs w:val="28"/>
          <w:lang w:val="es-ES"/>
        </w:rPr>
        <w:footnoteReference w:id="35"/>
      </w:r>
      <w:r w:rsidRPr="00D61E7E">
        <w:rPr>
          <w:rFonts w:ascii="Times New Roman" w:hAnsi="Times New Roman" w:cs="Times New Roman"/>
          <w:sz w:val="28"/>
          <w:szCs w:val="28"/>
          <w:lang w:val="es-ES"/>
        </w:rPr>
        <w:t xml:space="preserve">. </w:t>
      </w:r>
    </w:p>
    <w:p w:rsidR="00B74B2D" w:rsidRPr="00D61E7E" w:rsidRDefault="00D61E7E">
      <w:pPr>
        <w:pStyle w:val="Prrafodelista"/>
        <w:rPr>
          <w:rFonts w:ascii="Times New Roman" w:hAnsi="Times New Roman" w:cs="Times New Roman"/>
          <w:bCs/>
          <w:color w:val="000000" w:themeColor="text1"/>
          <w:sz w:val="28"/>
          <w:szCs w:val="28"/>
        </w:rPr>
      </w:pPr>
    </w:p>
    <w:p w:rsidR="006D174B" w:rsidRPr="00D61E7E" w:rsidRDefault="00D61E7E" w:rsidP="00F8709F">
      <w:pPr>
        <w:pStyle w:val="Prrafodelista"/>
        <w:numPr>
          <w:ilvl w:val="0"/>
          <w:numId w:val="3"/>
        </w:numPr>
        <w:tabs>
          <w:tab w:val="left" w:pos="709"/>
        </w:tabs>
        <w:rPr>
          <w:rFonts w:ascii="Times New Roman" w:hAnsi="Times New Roman" w:cs="Times New Roman"/>
          <w:bCs/>
          <w:color w:val="000000" w:themeColor="text1"/>
          <w:sz w:val="28"/>
          <w:szCs w:val="28"/>
          <w:lang w:val="es-ES"/>
        </w:rPr>
      </w:pPr>
      <w:r w:rsidRPr="00D61E7E">
        <w:rPr>
          <w:rFonts w:ascii="Times New Roman" w:hAnsi="Times New Roman" w:cs="Times New Roman"/>
          <w:bCs/>
          <w:color w:val="000000" w:themeColor="text1"/>
          <w:sz w:val="28"/>
          <w:szCs w:val="28"/>
          <w:lang w:val="es-ES"/>
        </w:rPr>
        <w:t>En relación con el segundo objetivo relativo al mejoramiento de la estructura de costos</w:t>
      </w:r>
      <w:r w:rsidRPr="00D61E7E">
        <w:rPr>
          <w:rFonts w:ascii="Times New Roman" w:hAnsi="Times New Roman" w:cs="Times New Roman"/>
          <w:bCs/>
          <w:color w:val="000000" w:themeColor="text1"/>
          <w:sz w:val="28"/>
          <w:szCs w:val="28"/>
          <w:lang w:val="es-ES"/>
        </w:rPr>
        <w:t xml:space="preserve">, </w:t>
      </w:r>
      <w:r w:rsidRPr="00D61E7E">
        <w:rPr>
          <w:rFonts w:ascii="Times New Roman" w:hAnsi="Times New Roman" w:cs="Times New Roman"/>
          <w:bCs/>
          <w:color w:val="000000" w:themeColor="text1"/>
          <w:sz w:val="28"/>
          <w:szCs w:val="28"/>
          <w:lang w:val="es-ES"/>
        </w:rPr>
        <w:t xml:space="preserve">la exposición </w:t>
      </w:r>
      <w:r w:rsidRPr="00D61E7E">
        <w:rPr>
          <w:rFonts w:ascii="Times New Roman" w:hAnsi="Times New Roman" w:cs="Times New Roman"/>
          <w:bCs/>
          <w:color w:val="000000" w:themeColor="text1"/>
          <w:sz w:val="28"/>
          <w:szCs w:val="28"/>
          <w:lang w:val="es-ES"/>
        </w:rPr>
        <w:t xml:space="preserve">de motivos </w:t>
      </w:r>
      <w:r w:rsidRPr="00D61E7E">
        <w:rPr>
          <w:rFonts w:ascii="Times New Roman" w:hAnsi="Times New Roman" w:cs="Times New Roman"/>
          <w:bCs/>
          <w:color w:val="000000" w:themeColor="text1"/>
          <w:sz w:val="28"/>
          <w:szCs w:val="28"/>
          <w:lang w:val="es-ES"/>
        </w:rPr>
        <w:t>señaló que</w:t>
      </w:r>
      <w:r w:rsidRPr="00D61E7E">
        <w:rPr>
          <w:rFonts w:ascii="Times New Roman" w:hAnsi="Times New Roman" w:cs="Times New Roman"/>
          <w:bCs/>
          <w:color w:val="000000" w:themeColor="text1"/>
          <w:sz w:val="28"/>
          <w:szCs w:val="28"/>
          <w:lang w:val="es-ES"/>
        </w:rPr>
        <w:t xml:space="preserve"> </w:t>
      </w:r>
      <w:r w:rsidRPr="00D61E7E">
        <w:rPr>
          <w:rFonts w:ascii="Times New Roman" w:hAnsi="Times New Roman" w:cs="Times New Roman"/>
          <w:sz w:val="28"/>
          <w:szCs w:val="28"/>
          <w:lang w:val="es-ES"/>
        </w:rPr>
        <w:t>en las micro, pequeñas y medianas empresas, la falta de identificación clara de oportunidades de mercado y la reticencia a invertir en ausencia de resultados financieros positivos a corto plazo son factores que limitan s</w:t>
      </w:r>
      <w:r w:rsidRPr="00D61E7E">
        <w:rPr>
          <w:rFonts w:ascii="Times New Roman" w:hAnsi="Times New Roman" w:cs="Times New Roman"/>
          <w:sz w:val="28"/>
          <w:szCs w:val="28"/>
          <w:lang w:val="es-ES"/>
        </w:rPr>
        <w:t>u crecimiento. Esto es especialmente relevante en las empresas más pequeñas, con crecimiento orgánico y recursos financieros limitados. Por ello, las disposiciones propuestas busca</w:t>
      </w:r>
      <w:r w:rsidRPr="00D61E7E">
        <w:rPr>
          <w:rFonts w:ascii="Times New Roman" w:hAnsi="Times New Roman" w:cs="Times New Roman"/>
          <w:sz w:val="28"/>
          <w:szCs w:val="28"/>
          <w:lang w:val="es-ES"/>
        </w:rPr>
        <w:t>ron</w:t>
      </w:r>
      <w:r w:rsidRPr="00D61E7E">
        <w:rPr>
          <w:rFonts w:ascii="Times New Roman" w:hAnsi="Times New Roman" w:cs="Times New Roman"/>
          <w:sz w:val="28"/>
          <w:szCs w:val="28"/>
          <w:lang w:val="es-ES"/>
        </w:rPr>
        <w:t xml:space="preserve"> mejorar sustancialmente </w:t>
      </w:r>
      <w:r w:rsidRPr="00D61E7E">
        <w:rPr>
          <w:rFonts w:ascii="Times New Roman" w:hAnsi="Times New Roman" w:cs="Times New Roman"/>
          <w:sz w:val="28"/>
          <w:szCs w:val="28"/>
          <w:lang w:val="es-ES"/>
        </w:rPr>
        <w:t>l</w:t>
      </w:r>
      <w:r w:rsidRPr="00D61E7E">
        <w:rPr>
          <w:rFonts w:ascii="Times New Roman" w:hAnsi="Times New Roman" w:cs="Times New Roman"/>
          <w:sz w:val="28"/>
          <w:szCs w:val="28"/>
          <w:lang w:val="es-ES"/>
        </w:rPr>
        <w:t>a relación entre capital humano, productividad,</w:t>
      </w:r>
      <w:r w:rsidRPr="00D61E7E">
        <w:rPr>
          <w:rFonts w:ascii="Times New Roman" w:hAnsi="Times New Roman" w:cs="Times New Roman"/>
          <w:sz w:val="28"/>
          <w:szCs w:val="28"/>
          <w:lang w:val="es-ES"/>
        </w:rPr>
        <w:t xml:space="preserve"> formalización y mercado</w:t>
      </w:r>
      <w:r w:rsidRPr="00D61E7E">
        <w:rPr>
          <w:rStyle w:val="Refdenotaalpie"/>
          <w:rFonts w:ascii="Times New Roman" w:hAnsi="Times New Roman" w:cs="Times New Roman"/>
          <w:sz w:val="28"/>
          <w:szCs w:val="28"/>
        </w:rPr>
        <w:footnoteReference w:id="36"/>
      </w:r>
      <w:r w:rsidRPr="00D61E7E">
        <w:rPr>
          <w:rFonts w:ascii="Times New Roman" w:hAnsi="Times New Roman" w:cs="Times New Roman"/>
          <w:sz w:val="28"/>
          <w:szCs w:val="28"/>
          <w:lang w:val="es-ES"/>
        </w:rPr>
        <w:t xml:space="preserve">. </w:t>
      </w:r>
    </w:p>
    <w:p w:rsidR="00787B0D" w:rsidRPr="00D61E7E" w:rsidRDefault="00D61E7E">
      <w:pPr>
        <w:pStyle w:val="Prrafodelista"/>
        <w:rPr>
          <w:rFonts w:ascii="Times New Roman" w:hAnsi="Times New Roman" w:cs="Times New Roman"/>
          <w:bCs/>
          <w:color w:val="000000" w:themeColor="text1"/>
          <w:sz w:val="28"/>
          <w:szCs w:val="28"/>
        </w:rPr>
      </w:pPr>
    </w:p>
    <w:p w:rsidR="00787B0D" w:rsidRPr="00D61E7E" w:rsidRDefault="00D61E7E" w:rsidP="00F8709F">
      <w:pPr>
        <w:pStyle w:val="Prrafodelista"/>
        <w:numPr>
          <w:ilvl w:val="0"/>
          <w:numId w:val="3"/>
        </w:numPr>
        <w:tabs>
          <w:tab w:val="left" w:pos="709"/>
        </w:tabs>
        <w:rPr>
          <w:rFonts w:ascii="Times New Roman" w:hAnsi="Times New Roman" w:cs="Times New Roman"/>
          <w:bCs/>
          <w:color w:val="000000" w:themeColor="text1"/>
          <w:sz w:val="28"/>
          <w:szCs w:val="28"/>
          <w:lang w:val="es-ES"/>
        </w:rPr>
      </w:pPr>
      <w:r w:rsidRPr="00D61E7E">
        <w:rPr>
          <w:rFonts w:ascii="Times New Roman" w:hAnsi="Times New Roman" w:cs="Times New Roman"/>
          <w:bCs/>
          <w:color w:val="000000" w:themeColor="text1"/>
          <w:sz w:val="28"/>
          <w:szCs w:val="28"/>
          <w:lang w:val="es-ES"/>
        </w:rPr>
        <w:t xml:space="preserve">Con respecto al tercer objetivo de mejoramiento al acceso a financiamiento, la exposición describió que los emprendedores </w:t>
      </w:r>
      <w:r w:rsidRPr="00D61E7E">
        <w:rPr>
          <w:rFonts w:ascii="Times New Roman" w:hAnsi="Times New Roman" w:cs="Times New Roman"/>
          <w:sz w:val="28"/>
          <w:szCs w:val="28"/>
          <w:lang w:val="es-ES"/>
        </w:rPr>
        <w:t>enfrentan problemas de liquidez que limitan la aplicación de una gestión financiera efectiva. Así, el 39%</w:t>
      </w:r>
      <w:r w:rsidRPr="00D61E7E">
        <w:rPr>
          <w:rFonts w:ascii="Times New Roman" w:hAnsi="Times New Roman" w:cs="Times New Roman"/>
          <w:sz w:val="28"/>
          <w:szCs w:val="28"/>
          <w:lang w:val="es-ES"/>
        </w:rPr>
        <w:t xml:space="preserve"> de estas empresas recurren al crédito como medida para consolidar su pasivo, lo que revela las dificultades que experimentan al cumplir con sus obligaciones financieras. Además, se ven obligadas a emplear recursos propios o a recurrir a la deuda para cubr</w:t>
      </w:r>
      <w:r w:rsidRPr="00D61E7E">
        <w:rPr>
          <w:rFonts w:ascii="Times New Roman" w:hAnsi="Times New Roman" w:cs="Times New Roman"/>
          <w:sz w:val="28"/>
          <w:szCs w:val="28"/>
          <w:lang w:val="es-ES"/>
        </w:rPr>
        <w:t>ir el pago del IVA, debido a los desajustes en el calendario de pago de sus facturas. Por último, más del 50% de estas empresas utilizan recursos crediticios para financiar su capital de trabajo, mientras que menos del 30% de los microempresarios optan por</w:t>
      </w:r>
      <w:r w:rsidRPr="00D61E7E">
        <w:rPr>
          <w:rFonts w:ascii="Times New Roman" w:hAnsi="Times New Roman" w:cs="Times New Roman"/>
          <w:sz w:val="28"/>
          <w:szCs w:val="28"/>
          <w:lang w:val="es-ES"/>
        </w:rPr>
        <w:t xml:space="preserve"> el crédito como medio para expandir su capacidad productiva</w:t>
      </w:r>
      <w:r w:rsidRPr="00D61E7E">
        <w:rPr>
          <w:rStyle w:val="Refdenotaalpie"/>
          <w:rFonts w:ascii="Times New Roman" w:hAnsi="Times New Roman" w:cs="Times New Roman"/>
          <w:sz w:val="28"/>
          <w:szCs w:val="28"/>
        </w:rPr>
        <w:footnoteReference w:id="37"/>
      </w:r>
      <w:r w:rsidRPr="00D61E7E">
        <w:rPr>
          <w:rFonts w:ascii="Times New Roman" w:hAnsi="Times New Roman" w:cs="Times New Roman"/>
          <w:sz w:val="28"/>
          <w:szCs w:val="28"/>
          <w:lang w:val="es-ES"/>
        </w:rPr>
        <w:t>.</w:t>
      </w:r>
      <w:r w:rsidRPr="00D61E7E">
        <w:rPr>
          <w:rFonts w:ascii="Times New Roman" w:hAnsi="Times New Roman" w:cs="Times New Roman"/>
          <w:sz w:val="28"/>
          <w:szCs w:val="28"/>
          <w:lang w:val="es-ES"/>
        </w:rPr>
        <w:t xml:space="preserve"> Por eso, el proyecto de ley buscó promover mecanismos para aumentar el nivel de acceso a productos financieros flexibles que se adecuen a los ciclos de desarrollo de este tipo de empresas</w:t>
      </w:r>
      <w:r w:rsidRPr="00D61E7E">
        <w:rPr>
          <w:rStyle w:val="Refdenotaalpie"/>
          <w:rFonts w:ascii="Times New Roman" w:hAnsi="Times New Roman" w:cs="Times New Roman"/>
          <w:sz w:val="28"/>
          <w:szCs w:val="28"/>
        </w:rPr>
        <w:footnoteReference w:id="38"/>
      </w:r>
      <w:r w:rsidRPr="00D61E7E">
        <w:rPr>
          <w:rFonts w:ascii="Times New Roman" w:hAnsi="Times New Roman" w:cs="Times New Roman"/>
          <w:sz w:val="28"/>
          <w:szCs w:val="28"/>
          <w:lang w:val="es-ES"/>
        </w:rPr>
        <w:t xml:space="preserve">. </w:t>
      </w:r>
    </w:p>
    <w:p w:rsidR="004005B1" w:rsidRPr="00D61E7E" w:rsidRDefault="00D61E7E">
      <w:pPr>
        <w:pStyle w:val="Prrafodelista"/>
        <w:rPr>
          <w:rFonts w:ascii="Times New Roman" w:hAnsi="Times New Roman" w:cs="Times New Roman"/>
          <w:bCs/>
          <w:color w:val="000000" w:themeColor="text1"/>
          <w:sz w:val="28"/>
          <w:szCs w:val="28"/>
        </w:rPr>
      </w:pPr>
    </w:p>
    <w:p w:rsidR="0020104E" w:rsidRPr="00D61E7E" w:rsidRDefault="00D61E7E" w:rsidP="00F8709F">
      <w:pPr>
        <w:pStyle w:val="Prrafodelista"/>
        <w:numPr>
          <w:ilvl w:val="0"/>
          <w:numId w:val="3"/>
        </w:numPr>
        <w:tabs>
          <w:tab w:val="left" w:pos="709"/>
        </w:tabs>
        <w:rPr>
          <w:rFonts w:ascii="Times New Roman" w:hAnsi="Times New Roman" w:cs="Times New Roman"/>
          <w:sz w:val="28"/>
          <w:szCs w:val="28"/>
          <w:lang w:val="es-ES"/>
        </w:rPr>
      </w:pPr>
      <w:r w:rsidRPr="00D61E7E">
        <w:rPr>
          <w:rFonts w:ascii="Times New Roman" w:hAnsi="Times New Roman" w:cs="Times New Roman"/>
          <w:sz w:val="28"/>
          <w:szCs w:val="28"/>
          <w:lang w:val="es-ES"/>
        </w:rPr>
        <w:t>Por último, en relación con el objetivo de impulsar alternativa</w:t>
      </w:r>
      <w:r w:rsidRPr="00D61E7E">
        <w:rPr>
          <w:rFonts w:ascii="Times New Roman" w:hAnsi="Times New Roman" w:cs="Times New Roman"/>
          <w:sz w:val="28"/>
          <w:szCs w:val="28"/>
          <w:lang w:val="es-ES"/>
        </w:rPr>
        <w:t>s</w:t>
      </w:r>
      <w:r w:rsidRPr="00D61E7E">
        <w:rPr>
          <w:rFonts w:ascii="Times New Roman" w:hAnsi="Times New Roman" w:cs="Times New Roman"/>
          <w:sz w:val="28"/>
          <w:szCs w:val="28"/>
          <w:lang w:val="es-ES"/>
        </w:rPr>
        <w:t xml:space="preserve"> para el crecimiento de los </w:t>
      </w:r>
      <w:r w:rsidRPr="00D61E7E">
        <w:rPr>
          <w:rFonts w:ascii="Times New Roman" w:hAnsi="Times New Roman" w:cs="Times New Roman"/>
          <w:sz w:val="28"/>
          <w:szCs w:val="28"/>
          <w:lang w:val="es-ES"/>
        </w:rPr>
        <w:t>emprendimientos</w:t>
      </w:r>
      <w:r w:rsidRPr="00D61E7E">
        <w:rPr>
          <w:rFonts w:ascii="Times New Roman" w:hAnsi="Times New Roman" w:cs="Times New Roman"/>
          <w:sz w:val="28"/>
          <w:szCs w:val="28"/>
          <w:lang w:val="es-ES"/>
        </w:rPr>
        <w:t xml:space="preserve"> y la competencia</w:t>
      </w:r>
      <w:r w:rsidRPr="00D61E7E">
        <w:rPr>
          <w:rFonts w:ascii="Times New Roman" w:hAnsi="Times New Roman" w:cs="Times New Roman"/>
          <w:sz w:val="28"/>
          <w:szCs w:val="28"/>
          <w:lang w:val="es-ES"/>
        </w:rPr>
        <w:t>,</w:t>
      </w:r>
      <w:r w:rsidRPr="00D61E7E">
        <w:rPr>
          <w:rFonts w:ascii="Times New Roman" w:hAnsi="Times New Roman" w:cs="Times New Roman"/>
          <w:sz w:val="28"/>
          <w:szCs w:val="28"/>
          <w:lang w:val="es-ES"/>
        </w:rPr>
        <w:t xml:space="preserve"> </w:t>
      </w:r>
      <w:r w:rsidRPr="00D61E7E">
        <w:rPr>
          <w:rFonts w:ascii="Times New Roman" w:hAnsi="Times New Roman" w:cs="Times New Roman"/>
          <w:sz w:val="28"/>
          <w:szCs w:val="28"/>
          <w:lang w:val="es-ES"/>
        </w:rPr>
        <w:t>la exposición de motivos del proyecto de ley advirtió que las pequeñas y medianas empresas tienen grandes limitaciones en negociac</w:t>
      </w:r>
      <w:r w:rsidRPr="00D61E7E">
        <w:rPr>
          <w:rFonts w:ascii="Times New Roman" w:hAnsi="Times New Roman" w:cs="Times New Roman"/>
          <w:sz w:val="28"/>
          <w:szCs w:val="28"/>
          <w:lang w:val="es-ES"/>
        </w:rPr>
        <w:t xml:space="preserve">ión, producción y calidad, lo que dificulta su crecimiento en el mercado formal. Por ello, la </w:t>
      </w:r>
      <w:r w:rsidRPr="00D61E7E">
        <w:rPr>
          <w:rFonts w:ascii="Times New Roman" w:hAnsi="Times New Roman" w:cs="Times New Roman"/>
          <w:sz w:val="28"/>
          <w:szCs w:val="28"/>
          <w:lang w:val="es-ES"/>
        </w:rPr>
        <w:t>normatividad</w:t>
      </w:r>
      <w:r w:rsidRPr="00D61E7E">
        <w:rPr>
          <w:rFonts w:ascii="Times New Roman" w:hAnsi="Times New Roman" w:cs="Times New Roman"/>
          <w:sz w:val="28"/>
          <w:szCs w:val="28"/>
          <w:lang w:val="es-ES"/>
        </w:rPr>
        <w:t xml:space="preserve"> </w:t>
      </w:r>
      <w:r w:rsidRPr="00D61E7E">
        <w:rPr>
          <w:rFonts w:ascii="Times New Roman" w:hAnsi="Times New Roman" w:cs="Times New Roman"/>
          <w:sz w:val="28"/>
          <w:szCs w:val="28"/>
          <w:lang w:val="es-ES"/>
        </w:rPr>
        <w:t>propuesta</w:t>
      </w:r>
      <w:r w:rsidRPr="00D61E7E">
        <w:rPr>
          <w:rFonts w:ascii="Times New Roman" w:hAnsi="Times New Roman" w:cs="Times New Roman"/>
          <w:sz w:val="28"/>
          <w:szCs w:val="28"/>
          <w:lang w:val="es-ES"/>
        </w:rPr>
        <w:t xml:space="preserve"> busca</w:t>
      </w:r>
      <w:r w:rsidRPr="00D61E7E">
        <w:rPr>
          <w:rFonts w:ascii="Times New Roman" w:hAnsi="Times New Roman" w:cs="Times New Roman"/>
          <w:sz w:val="28"/>
          <w:szCs w:val="28"/>
          <w:lang w:val="es-ES"/>
        </w:rPr>
        <w:t>ba</w:t>
      </w:r>
      <w:r w:rsidRPr="00D61E7E">
        <w:rPr>
          <w:rFonts w:ascii="Times New Roman" w:hAnsi="Times New Roman" w:cs="Times New Roman"/>
          <w:sz w:val="28"/>
          <w:szCs w:val="28"/>
          <w:lang w:val="es-ES"/>
        </w:rPr>
        <w:t xml:space="preserve"> generar incentivos regulatorios y normativos para generar oportunidades en una diversidad de mercados públicos y </w:t>
      </w:r>
      <w:r w:rsidRPr="00D61E7E">
        <w:rPr>
          <w:rFonts w:ascii="Times New Roman" w:hAnsi="Times New Roman" w:cs="Times New Roman"/>
          <w:sz w:val="28"/>
          <w:szCs w:val="28"/>
          <w:lang w:val="es-ES"/>
        </w:rPr>
        <w:t>privados</w:t>
      </w:r>
      <w:r w:rsidRPr="00D61E7E">
        <w:rPr>
          <w:rFonts w:ascii="Times New Roman" w:hAnsi="Times New Roman" w:cs="Times New Roman"/>
          <w:sz w:val="28"/>
          <w:szCs w:val="28"/>
          <w:lang w:val="es-ES"/>
        </w:rPr>
        <w:t>, como una</w:t>
      </w:r>
      <w:r w:rsidRPr="00D61E7E">
        <w:rPr>
          <w:rFonts w:ascii="Times New Roman" w:hAnsi="Times New Roman" w:cs="Times New Roman"/>
          <w:sz w:val="28"/>
          <w:szCs w:val="28"/>
          <w:lang w:val="es-ES"/>
        </w:rPr>
        <w:t xml:space="preserve"> alternativa viable para que este tipo de empresas puedan mejorar su productividad y desarrollar</w:t>
      </w:r>
      <w:r w:rsidRPr="00D61E7E">
        <w:rPr>
          <w:rFonts w:ascii="Times New Roman" w:hAnsi="Times New Roman" w:cs="Times New Roman"/>
          <w:sz w:val="28"/>
          <w:szCs w:val="28"/>
          <w:lang w:val="es-ES"/>
        </w:rPr>
        <w:t xml:space="preserve"> la economía del país</w:t>
      </w:r>
      <w:r w:rsidRPr="00D61E7E">
        <w:rPr>
          <w:rStyle w:val="Refdenotaalpie"/>
          <w:rFonts w:ascii="Times New Roman" w:hAnsi="Times New Roman" w:cs="Times New Roman"/>
          <w:bCs/>
          <w:color w:val="000000" w:themeColor="text1"/>
          <w:sz w:val="28"/>
          <w:szCs w:val="28"/>
        </w:rPr>
        <w:footnoteReference w:id="39"/>
      </w:r>
      <w:r w:rsidRPr="00D61E7E">
        <w:rPr>
          <w:rFonts w:ascii="Times New Roman" w:hAnsi="Times New Roman" w:cs="Times New Roman"/>
          <w:sz w:val="28"/>
          <w:szCs w:val="28"/>
          <w:lang w:val="es-ES"/>
        </w:rPr>
        <w:t>.</w:t>
      </w:r>
    </w:p>
    <w:p w:rsidR="009B05D9" w:rsidRPr="00D61E7E" w:rsidRDefault="00D61E7E">
      <w:pPr>
        <w:pStyle w:val="Prrafodelista"/>
        <w:rPr>
          <w:rFonts w:ascii="Times New Roman" w:hAnsi="Times New Roman" w:cs="Times New Roman"/>
          <w:sz w:val="28"/>
          <w:szCs w:val="28"/>
        </w:rPr>
      </w:pPr>
    </w:p>
    <w:p w:rsidR="006D174B" w:rsidRPr="00D61E7E" w:rsidRDefault="00D61E7E" w:rsidP="00F8709F">
      <w:pPr>
        <w:pStyle w:val="Prrafodelista"/>
        <w:numPr>
          <w:ilvl w:val="0"/>
          <w:numId w:val="3"/>
        </w:numPr>
        <w:tabs>
          <w:tab w:val="left" w:pos="709"/>
        </w:tabs>
        <w:rPr>
          <w:rFonts w:ascii="Times New Roman" w:hAnsi="Times New Roman" w:cs="Times New Roman"/>
          <w:bCs/>
          <w:color w:val="000000" w:themeColor="text1"/>
          <w:sz w:val="28"/>
          <w:szCs w:val="28"/>
          <w:lang w:val="es-ES"/>
        </w:rPr>
      </w:pPr>
      <w:r w:rsidRPr="00D61E7E">
        <w:rPr>
          <w:rFonts w:ascii="Times New Roman" w:hAnsi="Times New Roman" w:cs="Times New Roman"/>
          <w:sz w:val="28"/>
          <w:szCs w:val="28"/>
          <w:lang w:val="es-ES"/>
        </w:rPr>
        <w:t>Con fundamento en las consideraciones descritas</w:t>
      </w:r>
      <w:r w:rsidRPr="00D61E7E">
        <w:rPr>
          <w:rFonts w:ascii="Times New Roman" w:hAnsi="Times New Roman" w:cs="Times New Roman"/>
          <w:sz w:val="28"/>
          <w:szCs w:val="28"/>
          <w:lang w:val="es-ES"/>
        </w:rPr>
        <w:t xml:space="preserve">, </w:t>
      </w:r>
      <w:r w:rsidRPr="00D61E7E">
        <w:rPr>
          <w:rFonts w:ascii="Times New Roman" w:hAnsi="Times New Roman" w:cs="Times New Roman"/>
          <w:sz w:val="28"/>
          <w:szCs w:val="28"/>
          <w:lang w:val="es-ES"/>
        </w:rPr>
        <w:t xml:space="preserve">se expidió la </w:t>
      </w:r>
      <w:r w:rsidRPr="00D61E7E">
        <w:rPr>
          <w:rFonts w:ascii="Times New Roman" w:hAnsi="Times New Roman" w:cs="Times New Roman"/>
          <w:sz w:val="28"/>
          <w:szCs w:val="28"/>
          <w:lang w:val="es-ES"/>
        </w:rPr>
        <w:t>Ley 2069 de 2020</w:t>
      </w:r>
      <w:r w:rsidRPr="00D61E7E">
        <w:rPr>
          <w:rFonts w:ascii="Times New Roman" w:hAnsi="Times New Roman" w:cs="Times New Roman"/>
          <w:sz w:val="28"/>
          <w:szCs w:val="28"/>
          <w:lang w:val="es-ES"/>
        </w:rPr>
        <w:t>. E</w:t>
      </w:r>
      <w:r w:rsidRPr="00D61E7E">
        <w:rPr>
          <w:rFonts w:ascii="Times New Roman" w:hAnsi="Times New Roman" w:cs="Times New Roman"/>
          <w:sz w:val="28"/>
          <w:szCs w:val="28"/>
          <w:lang w:val="es-ES"/>
        </w:rPr>
        <w:t>sta ley</w:t>
      </w:r>
      <w:r w:rsidRPr="00D61E7E">
        <w:rPr>
          <w:rFonts w:ascii="Times New Roman" w:hAnsi="Times New Roman" w:cs="Times New Roman"/>
          <w:sz w:val="28"/>
          <w:szCs w:val="28"/>
          <w:lang w:val="es-ES"/>
        </w:rPr>
        <w:t xml:space="preserve"> está integrada por vari</w:t>
      </w:r>
      <w:r w:rsidRPr="00D61E7E">
        <w:rPr>
          <w:rFonts w:ascii="Times New Roman" w:hAnsi="Times New Roman" w:cs="Times New Roman"/>
          <w:sz w:val="28"/>
          <w:szCs w:val="28"/>
          <w:lang w:val="es-ES"/>
        </w:rPr>
        <w:t>as</w:t>
      </w:r>
      <w:r w:rsidRPr="00D61E7E">
        <w:rPr>
          <w:rFonts w:ascii="Times New Roman" w:hAnsi="Times New Roman" w:cs="Times New Roman"/>
          <w:sz w:val="28"/>
          <w:szCs w:val="28"/>
          <w:lang w:val="es-ES"/>
        </w:rPr>
        <w:t xml:space="preserve"> </w:t>
      </w:r>
      <w:r w:rsidRPr="00D61E7E">
        <w:rPr>
          <w:rFonts w:ascii="Times New Roman" w:hAnsi="Times New Roman" w:cs="Times New Roman"/>
          <w:sz w:val="28"/>
          <w:szCs w:val="28"/>
          <w:lang w:val="es-ES"/>
        </w:rPr>
        <w:t>secciones</w:t>
      </w:r>
      <w:r w:rsidRPr="00D61E7E">
        <w:rPr>
          <w:rFonts w:ascii="Times New Roman" w:hAnsi="Times New Roman" w:cs="Times New Roman"/>
          <w:sz w:val="28"/>
          <w:szCs w:val="28"/>
          <w:lang w:val="es-ES"/>
        </w:rPr>
        <w:t xml:space="preserve"> que regulan los siguientes aspectos</w:t>
      </w:r>
      <w:r w:rsidRPr="00D61E7E">
        <w:rPr>
          <w:rFonts w:ascii="Times New Roman" w:hAnsi="Times New Roman" w:cs="Times New Roman"/>
          <w:sz w:val="28"/>
          <w:szCs w:val="28"/>
          <w:lang w:val="es-ES"/>
        </w:rPr>
        <w:t>:</w:t>
      </w:r>
      <w:r w:rsidRPr="00D61E7E">
        <w:rPr>
          <w:rFonts w:ascii="Times New Roman" w:hAnsi="Times New Roman" w:cs="Times New Roman"/>
          <w:sz w:val="28"/>
          <w:szCs w:val="28"/>
          <w:lang w:val="es-ES"/>
        </w:rPr>
        <w:t xml:space="preserve"> (i) la racionalización y simplificación de trámites y tarifas; (ii) </w:t>
      </w:r>
      <w:r w:rsidRPr="00D61E7E">
        <w:rPr>
          <w:rFonts w:ascii="Times New Roman" w:hAnsi="Times New Roman" w:cs="Times New Roman"/>
          <w:sz w:val="28"/>
          <w:szCs w:val="28"/>
          <w:lang w:val="es-ES"/>
        </w:rPr>
        <w:t>el fortalecimiento de</w:t>
      </w:r>
      <w:r w:rsidRPr="00D61E7E">
        <w:rPr>
          <w:rFonts w:ascii="Times New Roman" w:hAnsi="Times New Roman" w:cs="Times New Roman"/>
          <w:sz w:val="28"/>
          <w:szCs w:val="28"/>
          <w:lang w:val="es-ES"/>
        </w:rPr>
        <w:t xml:space="preserve"> las iniciativas productiva</w:t>
      </w:r>
      <w:r w:rsidRPr="00D61E7E">
        <w:rPr>
          <w:rFonts w:ascii="Times New Roman" w:hAnsi="Times New Roman" w:cs="Times New Roman"/>
          <w:sz w:val="28"/>
          <w:szCs w:val="28"/>
          <w:lang w:val="es-ES"/>
        </w:rPr>
        <w:t>s</w:t>
      </w:r>
      <w:r w:rsidRPr="00D61E7E">
        <w:rPr>
          <w:rFonts w:ascii="Times New Roman" w:hAnsi="Times New Roman" w:cs="Times New Roman"/>
          <w:sz w:val="28"/>
          <w:szCs w:val="28"/>
          <w:lang w:val="es-ES"/>
        </w:rPr>
        <w:t xml:space="preserve"> de poblaciones vulnerables; (iii) </w:t>
      </w:r>
      <w:r w:rsidRPr="00D61E7E">
        <w:rPr>
          <w:rFonts w:ascii="Times New Roman" w:hAnsi="Times New Roman" w:cs="Times New Roman"/>
          <w:sz w:val="28"/>
          <w:szCs w:val="28"/>
          <w:lang w:val="es-ES"/>
        </w:rPr>
        <w:t>el encadenamiento de</w:t>
      </w:r>
      <w:r w:rsidRPr="00D61E7E">
        <w:rPr>
          <w:rFonts w:ascii="Times New Roman" w:hAnsi="Times New Roman" w:cs="Times New Roman"/>
          <w:sz w:val="28"/>
          <w:szCs w:val="28"/>
          <w:lang w:val="es-ES"/>
        </w:rPr>
        <w:t xml:space="preserve"> los emprendimientos a los esquemas de compras</w:t>
      </w:r>
      <w:r w:rsidRPr="00D61E7E">
        <w:rPr>
          <w:rFonts w:ascii="Times New Roman" w:hAnsi="Times New Roman" w:cs="Times New Roman"/>
          <w:sz w:val="28"/>
          <w:szCs w:val="28"/>
          <w:lang w:val="es-ES"/>
        </w:rPr>
        <w:t xml:space="preserve"> públicas del país; (iv)</w:t>
      </w:r>
      <w:r w:rsidRPr="00D61E7E">
        <w:rPr>
          <w:rFonts w:ascii="Times New Roman" w:hAnsi="Times New Roman" w:cs="Times New Roman"/>
          <w:sz w:val="28"/>
          <w:szCs w:val="28"/>
          <w:lang w:val="es-ES"/>
        </w:rPr>
        <w:t xml:space="preserve"> </w:t>
      </w:r>
      <w:r w:rsidRPr="00D61E7E">
        <w:rPr>
          <w:rFonts w:ascii="Times New Roman" w:hAnsi="Times New Roman" w:cs="Times New Roman"/>
          <w:sz w:val="28"/>
          <w:szCs w:val="28"/>
          <w:lang w:val="es-ES"/>
        </w:rPr>
        <w:t>el fomento a</w:t>
      </w:r>
      <w:r w:rsidRPr="00D61E7E">
        <w:rPr>
          <w:rFonts w:ascii="Times New Roman" w:hAnsi="Times New Roman" w:cs="Times New Roman"/>
          <w:sz w:val="28"/>
          <w:szCs w:val="28"/>
          <w:lang w:val="es-ES"/>
        </w:rPr>
        <w:t xml:space="preserve">l acceso al financiamiento de estas empresas; y (v) </w:t>
      </w:r>
      <w:r w:rsidRPr="00D61E7E">
        <w:rPr>
          <w:rFonts w:ascii="Times New Roman" w:hAnsi="Times New Roman" w:cs="Times New Roman"/>
          <w:sz w:val="28"/>
          <w:szCs w:val="28"/>
          <w:lang w:val="es-ES"/>
        </w:rPr>
        <w:t>la consolidación de</w:t>
      </w:r>
      <w:r w:rsidRPr="00D61E7E">
        <w:rPr>
          <w:rFonts w:ascii="Times New Roman" w:hAnsi="Times New Roman" w:cs="Times New Roman"/>
          <w:sz w:val="28"/>
          <w:szCs w:val="28"/>
          <w:lang w:val="es-ES"/>
        </w:rPr>
        <w:t xml:space="preserve"> un marco institucional flexible y especializado que se </w:t>
      </w:r>
      <w:r w:rsidRPr="00D61E7E">
        <w:rPr>
          <w:rFonts w:ascii="Times New Roman" w:hAnsi="Times New Roman" w:cs="Times New Roman"/>
          <w:sz w:val="28"/>
          <w:szCs w:val="28"/>
          <w:lang w:val="es-ES"/>
        </w:rPr>
        <w:t xml:space="preserve">adecue </w:t>
      </w:r>
      <w:r w:rsidRPr="00D61E7E">
        <w:rPr>
          <w:rFonts w:ascii="Times New Roman" w:hAnsi="Times New Roman" w:cs="Times New Roman"/>
          <w:sz w:val="28"/>
          <w:szCs w:val="28"/>
          <w:lang w:val="es-ES"/>
        </w:rPr>
        <w:t>a las necesidades y realidades de las actividades económicas de las pequeñas y median</w:t>
      </w:r>
      <w:r w:rsidRPr="00D61E7E">
        <w:rPr>
          <w:rFonts w:ascii="Times New Roman" w:hAnsi="Times New Roman" w:cs="Times New Roman"/>
          <w:sz w:val="28"/>
          <w:szCs w:val="28"/>
          <w:lang w:val="es-ES"/>
        </w:rPr>
        <w:t>as empresas.</w:t>
      </w:r>
      <w:r w:rsidRPr="00D61E7E">
        <w:rPr>
          <w:rFonts w:ascii="Times New Roman" w:hAnsi="Times New Roman" w:cs="Times New Roman"/>
          <w:sz w:val="28"/>
          <w:szCs w:val="28"/>
          <w:lang w:val="es-ES"/>
        </w:rPr>
        <w:t xml:space="preserve"> Nótese que </w:t>
      </w:r>
      <w:r w:rsidRPr="00D61E7E">
        <w:rPr>
          <w:rFonts w:ascii="Times New Roman" w:hAnsi="Times New Roman" w:cs="Times New Roman"/>
          <w:sz w:val="28"/>
          <w:szCs w:val="28"/>
          <w:lang w:val="es-ES"/>
        </w:rPr>
        <w:t xml:space="preserve">los artículos 70 y 73 demandados se encuentran en este último título. </w:t>
      </w:r>
    </w:p>
    <w:p w:rsidR="009B05D9" w:rsidRPr="00D61E7E" w:rsidRDefault="00D61E7E">
      <w:pPr>
        <w:pStyle w:val="Prrafodelista"/>
        <w:rPr>
          <w:rFonts w:ascii="Times New Roman" w:hAnsi="Times New Roman" w:cs="Times New Roman"/>
          <w:bCs/>
          <w:color w:val="000000" w:themeColor="text1"/>
          <w:sz w:val="28"/>
          <w:szCs w:val="28"/>
        </w:rPr>
      </w:pPr>
    </w:p>
    <w:p w:rsidR="009B05D9" w:rsidRPr="00D61E7E" w:rsidRDefault="00D61E7E" w:rsidP="00F8709F">
      <w:pPr>
        <w:pStyle w:val="Prrafodelista"/>
        <w:numPr>
          <w:ilvl w:val="0"/>
          <w:numId w:val="3"/>
        </w:numPr>
        <w:tabs>
          <w:tab w:val="left" w:pos="709"/>
        </w:tabs>
        <w:rPr>
          <w:rFonts w:ascii="Times New Roman" w:hAnsi="Times New Roman" w:cs="Times New Roman"/>
          <w:bCs/>
          <w:color w:val="000000" w:themeColor="text1"/>
          <w:sz w:val="28"/>
          <w:szCs w:val="28"/>
          <w:lang w:val="es-ES"/>
        </w:rPr>
      </w:pPr>
      <w:r w:rsidRPr="00D61E7E">
        <w:rPr>
          <w:rFonts w:ascii="Times New Roman" w:hAnsi="Times New Roman" w:cs="Times New Roman"/>
          <w:bCs/>
          <w:color w:val="000000" w:themeColor="text1"/>
          <w:sz w:val="28"/>
          <w:szCs w:val="28"/>
          <w:lang w:val="es-ES"/>
        </w:rPr>
        <w:t xml:space="preserve">En conclusión, el núcleo temático de la </w:t>
      </w:r>
      <w:r w:rsidRPr="00D61E7E">
        <w:rPr>
          <w:rFonts w:ascii="Times New Roman" w:hAnsi="Times New Roman" w:cs="Times New Roman"/>
          <w:bCs/>
          <w:color w:val="000000" w:themeColor="text1"/>
          <w:sz w:val="28"/>
          <w:szCs w:val="28"/>
          <w:lang w:val="es-ES"/>
        </w:rPr>
        <w:t>Ley 2069 de 2020</w:t>
      </w:r>
      <w:r w:rsidRPr="00D61E7E">
        <w:rPr>
          <w:rFonts w:ascii="Times New Roman" w:hAnsi="Times New Roman" w:cs="Times New Roman"/>
          <w:bCs/>
          <w:color w:val="000000" w:themeColor="text1"/>
          <w:sz w:val="28"/>
          <w:szCs w:val="28"/>
          <w:lang w:val="es-ES"/>
        </w:rPr>
        <w:t xml:space="preserve"> es el fomento del emprendimiento a través de la consolidación de una multiplicidad de acciones y mecanismos financieros, educativos, de escala de costos y de regulación institucional. </w:t>
      </w:r>
    </w:p>
    <w:p w:rsidR="009B05D9" w:rsidRPr="00D61E7E" w:rsidRDefault="00D61E7E">
      <w:pPr>
        <w:pStyle w:val="Prrafodelista"/>
        <w:rPr>
          <w:rFonts w:ascii="Times New Roman" w:hAnsi="Times New Roman" w:cs="Times New Roman"/>
          <w:bCs/>
          <w:color w:val="000000" w:themeColor="text1"/>
          <w:sz w:val="28"/>
          <w:szCs w:val="28"/>
        </w:rPr>
      </w:pPr>
    </w:p>
    <w:p w:rsidR="007342FD" w:rsidRPr="00D61E7E" w:rsidRDefault="00D61E7E">
      <w:pPr>
        <w:pStyle w:val="Prrafodelista"/>
        <w:rPr>
          <w:rFonts w:ascii="Times New Roman" w:hAnsi="Times New Roman" w:cs="Times New Roman"/>
          <w:bCs/>
          <w:color w:val="000000" w:themeColor="text1"/>
          <w:sz w:val="28"/>
          <w:szCs w:val="28"/>
        </w:rPr>
      </w:pPr>
    </w:p>
    <w:p w:rsidR="007342FD" w:rsidRPr="00D61E7E" w:rsidRDefault="00D61E7E">
      <w:pPr>
        <w:pStyle w:val="Prrafodelista"/>
        <w:rPr>
          <w:rFonts w:ascii="Times New Roman" w:hAnsi="Times New Roman" w:cs="Times New Roman"/>
          <w:bCs/>
          <w:color w:val="000000" w:themeColor="text1"/>
          <w:sz w:val="28"/>
          <w:szCs w:val="28"/>
        </w:rPr>
      </w:pPr>
    </w:p>
    <w:p w:rsidR="00F8709F" w:rsidRPr="00D61E7E" w:rsidRDefault="00D61E7E" w:rsidP="00F8709F">
      <w:pPr>
        <w:pStyle w:val="Prrafodelista"/>
        <w:tabs>
          <w:tab w:val="left" w:pos="709"/>
        </w:tabs>
        <w:ind w:left="0"/>
        <w:rPr>
          <w:rFonts w:ascii="Times New Roman" w:hAnsi="Times New Roman" w:cs="Times New Roman"/>
          <w:b/>
          <w:color w:val="000000" w:themeColor="text1"/>
          <w:sz w:val="28"/>
          <w:szCs w:val="28"/>
        </w:rPr>
      </w:pPr>
      <w:r w:rsidRPr="00D61E7E">
        <w:rPr>
          <w:rFonts w:ascii="Times New Roman" w:hAnsi="Times New Roman" w:cs="Times New Roman"/>
          <w:b/>
          <w:color w:val="000000" w:themeColor="text1"/>
          <w:sz w:val="28"/>
          <w:szCs w:val="28"/>
        </w:rPr>
        <w:t xml:space="preserve">Alcance y contenido de los artículos 70 y 73 de la </w:t>
      </w:r>
      <w:r w:rsidRPr="00D61E7E">
        <w:rPr>
          <w:rFonts w:ascii="Times New Roman" w:hAnsi="Times New Roman" w:cs="Times New Roman"/>
          <w:b/>
          <w:color w:val="000000" w:themeColor="text1"/>
          <w:sz w:val="28"/>
          <w:szCs w:val="28"/>
        </w:rPr>
        <w:t>Ley 2069 de 2020</w:t>
      </w:r>
    </w:p>
    <w:p w:rsidR="00F8709F" w:rsidRPr="00D61E7E" w:rsidRDefault="00D61E7E" w:rsidP="00F8709F">
      <w:pPr>
        <w:pStyle w:val="Prrafodelista"/>
        <w:tabs>
          <w:tab w:val="left" w:pos="709"/>
        </w:tabs>
        <w:ind w:left="0"/>
        <w:rPr>
          <w:rFonts w:ascii="Times New Roman" w:hAnsi="Times New Roman" w:cs="Times New Roman"/>
          <w:b/>
          <w:color w:val="000000" w:themeColor="text1"/>
          <w:sz w:val="28"/>
          <w:szCs w:val="28"/>
        </w:rPr>
      </w:pPr>
    </w:p>
    <w:p w:rsidR="00BF3B44" w:rsidRPr="00D61E7E" w:rsidRDefault="00D61E7E" w:rsidP="00DB580E">
      <w:pPr>
        <w:pStyle w:val="Prrafodelista"/>
        <w:numPr>
          <w:ilvl w:val="0"/>
          <w:numId w:val="3"/>
        </w:numPr>
        <w:tabs>
          <w:tab w:val="left" w:pos="709"/>
        </w:tabs>
        <w:rPr>
          <w:rFonts w:ascii="Times New Roman" w:hAnsi="Times New Roman" w:cs="Times New Roman"/>
          <w:bCs/>
          <w:color w:val="000000" w:themeColor="text1"/>
          <w:sz w:val="28"/>
          <w:szCs w:val="28"/>
        </w:rPr>
      </w:pPr>
      <w:r w:rsidRPr="00D61E7E">
        <w:rPr>
          <w:rFonts w:ascii="Times New Roman" w:eastAsia="Times New Roman" w:hAnsi="Times New Roman" w:cs="Times New Roman"/>
          <w:sz w:val="28"/>
          <w:szCs w:val="28"/>
          <w:lang w:val="es-ES"/>
        </w:rPr>
        <w:t>El artículo 70</w:t>
      </w:r>
      <w:r w:rsidRPr="00D61E7E">
        <w:rPr>
          <w:rFonts w:ascii="Times New Roman" w:eastAsia="Times New Roman" w:hAnsi="Times New Roman" w:cs="Times New Roman"/>
          <w:sz w:val="28"/>
          <w:szCs w:val="28"/>
          <w:lang w:val="es-ES"/>
        </w:rPr>
        <w:t xml:space="preserve"> de la </w:t>
      </w:r>
      <w:r w:rsidRPr="00D61E7E">
        <w:rPr>
          <w:rFonts w:ascii="Times New Roman" w:eastAsia="Times New Roman" w:hAnsi="Times New Roman" w:cs="Times New Roman"/>
          <w:sz w:val="28"/>
          <w:szCs w:val="28"/>
          <w:lang w:val="es-ES"/>
        </w:rPr>
        <w:t>Ley 2069 de 2020</w:t>
      </w:r>
      <w:r w:rsidRPr="00D61E7E">
        <w:rPr>
          <w:rFonts w:ascii="Times New Roman" w:eastAsia="Times New Roman" w:hAnsi="Times New Roman" w:cs="Times New Roman"/>
          <w:sz w:val="28"/>
          <w:szCs w:val="28"/>
          <w:lang w:val="es-ES"/>
        </w:rPr>
        <w:t xml:space="preserve"> establece una serie de medidas</w:t>
      </w:r>
      <w:r w:rsidRPr="00D61E7E">
        <w:rPr>
          <w:rFonts w:ascii="Times New Roman" w:eastAsia="Times New Roman" w:hAnsi="Times New Roman" w:cs="Times New Roman"/>
          <w:sz w:val="28"/>
          <w:szCs w:val="28"/>
          <w:lang w:val="es-ES"/>
        </w:rPr>
        <w:t xml:space="preserve"> que según su encabezado tienen la finalidad “de generar sinergias, facilidades y alivios a los emprendedores”</w:t>
      </w:r>
      <w:r w:rsidRPr="00D61E7E">
        <w:rPr>
          <w:rFonts w:ascii="Times New Roman" w:eastAsia="Times New Roman" w:hAnsi="Times New Roman" w:cs="Times New Roman"/>
          <w:sz w:val="28"/>
          <w:szCs w:val="28"/>
          <w:lang w:val="es-ES"/>
        </w:rPr>
        <w:t>.</w:t>
      </w:r>
      <w:r w:rsidRPr="00D61E7E">
        <w:rPr>
          <w:rFonts w:ascii="Times New Roman" w:eastAsia="Times New Roman" w:hAnsi="Times New Roman" w:cs="Times New Roman"/>
          <w:sz w:val="28"/>
          <w:szCs w:val="28"/>
          <w:lang w:val="es-ES"/>
        </w:rPr>
        <w:t xml:space="preserve"> </w:t>
      </w:r>
      <w:r w:rsidRPr="00D61E7E">
        <w:rPr>
          <w:rFonts w:ascii="Times New Roman" w:eastAsia="Times New Roman" w:hAnsi="Times New Roman" w:cs="Times New Roman"/>
          <w:sz w:val="28"/>
          <w:szCs w:val="28"/>
          <w:lang w:val="es-ES"/>
        </w:rPr>
        <w:t>En particular, señala que</w:t>
      </w:r>
      <w:r w:rsidRPr="00D61E7E">
        <w:rPr>
          <w:rFonts w:ascii="Times New Roman" w:eastAsia="Times New Roman" w:hAnsi="Times New Roman" w:cs="Times New Roman"/>
          <w:sz w:val="28"/>
          <w:szCs w:val="28"/>
          <w:lang w:val="es-ES"/>
        </w:rPr>
        <w:t>,</w:t>
      </w:r>
      <w:r w:rsidRPr="00D61E7E">
        <w:rPr>
          <w:rFonts w:ascii="Times New Roman" w:eastAsia="Times New Roman" w:hAnsi="Times New Roman" w:cs="Times New Roman"/>
          <w:sz w:val="28"/>
          <w:szCs w:val="28"/>
          <w:lang w:val="es-ES"/>
        </w:rPr>
        <w:t xml:space="preserve"> a</w:t>
      </w:r>
      <w:r w:rsidRPr="00D61E7E">
        <w:rPr>
          <w:rFonts w:ascii="Times New Roman" w:eastAsia="Times New Roman" w:hAnsi="Times New Roman" w:cs="Times New Roman"/>
          <w:sz w:val="28"/>
          <w:szCs w:val="28"/>
          <w:lang w:val="es-ES"/>
        </w:rPr>
        <w:t xml:space="preserve"> partir del 1 de enero de 2022, la Superintend</w:t>
      </w:r>
      <w:r w:rsidRPr="00D61E7E">
        <w:rPr>
          <w:rFonts w:ascii="Times New Roman" w:eastAsia="Times New Roman" w:hAnsi="Times New Roman" w:cs="Times New Roman"/>
          <w:sz w:val="28"/>
          <w:szCs w:val="28"/>
          <w:lang w:val="es-ES"/>
        </w:rPr>
        <w:t>encia de Sociedades asumirá las responsabilidades que anteriormente estaban asignadas a la Superintendencia de Industria y Comercio en lo que respecta a la supervisión de las cámaras de comercio, así como otras funciones relacionadas con el registro mercan</w:t>
      </w:r>
      <w:r w:rsidRPr="00D61E7E">
        <w:rPr>
          <w:rFonts w:ascii="Times New Roman" w:eastAsia="Times New Roman" w:hAnsi="Times New Roman" w:cs="Times New Roman"/>
          <w:sz w:val="28"/>
          <w:szCs w:val="28"/>
          <w:lang w:val="es-ES"/>
        </w:rPr>
        <w:t>til y el ejercicio del comercio.</w:t>
      </w:r>
      <w:r w:rsidRPr="00D61E7E">
        <w:rPr>
          <w:rFonts w:ascii="Times New Roman" w:hAnsi="Times New Roman" w:cs="Times New Roman"/>
          <w:bCs/>
          <w:color w:val="000000" w:themeColor="text1"/>
          <w:sz w:val="28"/>
          <w:szCs w:val="28"/>
        </w:rPr>
        <w:t xml:space="preserve"> </w:t>
      </w:r>
      <w:r w:rsidRPr="00D61E7E">
        <w:rPr>
          <w:rFonts w:ascii="Times New Roman" w:hAnsi="Times New Roman" w:cs="Times New Roman"/>
          <w:sz w:val="28"/>
          <w:szCs w:val="28"/>
          <w:lang w:val="es-ES"/>
        </w:rPr>
        <w:t xml:space="preserve">Esto significa que la Superintendencia de Sociedades tendrá la autoridad para inspeccionar, vigilar y controlar las actividades de las cámaras de comercio, además de manejar aspectos como el registro mercantil y la </w:t>
      </w:r>
      <w:r w:rsidRPr="00D61E7E">
        <w:rPr>
          <w:rFonts w:ascii="Times New Roman" w:hAnsi="Times New Roman" w:cs="Times New Roman"/>
          <w:sz w:val="28"/>
          <w:szCs w:val="28"/>
          <w:lang w:val="es-ES"/>
        </w:rPr>
        <w:t>apelación de actos relacionados con este registro.</w:t>
      </w:r>
    </w:p>
    <w:p w:rsidR="00F8709F" w:rsidRPr="00D61E7E" w:rsidRDefault="00D61E7E" w:rsidP="00F8709F">
      <w:pPr>
        <w:pStyle w:val="Prrafodelista"/>
        <w:spacing w:before="100" w:beforeAutospacing="1" w:after="100" w:afterAutospacing="1"/>
        <w:ind w:left="0"/>
        <w:rPr>
          <w:rFonts w:ascii="Times New Roman" w:hAnsi="Times New Roman" w:cs="Times New Roman"/>
          <w:sz w:val="28"/>
          <w:szCs w:val="28"/>
          <w:lang w:val="es-ES"/>
        </w:rPr>
      </w:pPr>
    </w:p>
    <w:p w:rsidR="00BF3B44" w:rsidRPr="00D61E7E" w:rsidRDefault="00D61E7E" w:rsidP="00F8709F">
      <w:pPr>
        <w:pStyle w:val="Prrafodelista"/>
        <w:numPr>
          <w:ilvl w:val="0"/>
          <w:numId w:val="3"/>
        </w:numPr>
        <w:spacing w:before="100" w:beforeAutospacing="1" w:after="100" w:afterAutospacing="1"/>
        <w:rPr>
          <w:rFonts w:ascii="Times New Roman" w:hAnsi="Times New Roman" w:cs="Times New Roman"/>
          <w:sz w:val="28"/>
          <w:szCs w:val="28"/>
          <w:lang w:val="es-ES"/>
        </w:rPr>
      </w:pPr>
      <w:r w:rsidRPr="00D61E7E">
        <w:rPr>
          <w:rFonts w:ascii="Times New Roman" w:hAnsi="Times New Roman" w:cs="Times New Roman"/>
          <w:sz w:val="28"/>
          <w:szCs w:val="28"/>
          <w:lang w:val="es-ES"/>
        </w:rPr>
        <w:t>Por otro lado, según lo dispuesto en ese artículo, e</w:t>
      </w:r>
      <w:r w:rsidRPr="00D61E7E">
        <w:rPr>
          <w:rFonts w:ascii="Times New Roman" w:hAnsi="Times New Roman" w:cs="Times New Roman"/>
          <w:sz w:val="28"/>
          <w:szCs w:val="28"/>
          <w:lang w:val="es-ES"/>
        </w:rPr>
        <w:t xml:space="preserve">l Gobierno </w:t>
      </w:r>
      <w:r w:rsidRPr="00D61E7E">
        <w:rPr>
          <w:rFonts w:ascii="Times New Roman" w:hAnsi="Times New Roman" w:cs="Times New Roman"/>
          <w:sz w:val="28"/>
          <w:szCs w:val="28"/>
          <w:lang w:val="es-ES"/>
        </w:rPr>
        <w:t>n</w:t>
      </w:r>
      <w:r w:rsidRPr="00D61E7E">
        <w:rPr>
          <w:rFonts w:ascii="Times New Roman" w:hAnsi="Times New Roman" w:cs="Times New Roman"/>
          <w:sz w:val="28"/>
          <w:szCs w:val="28"/>
          <w:lang w:val="es-ES"/>
        </w:rPr>
        <w:t xml:space="preserve">acional se compromete a proporcionar los recursos necesarios, técnicos, administrativos, financieros </w:t>
      </w:r>
      <w:r w:rsidRPr="00D61E7E">
        <w:rPr>
          <w:rFonts w:ascii="Times New Roman" w:hAnsi="Times New Roman" w:cs="Times New Roman"/>
          <w:sz w:val="28"/>
          <w:szCs w:val="28"/>
          <w:lang w:val="es-ES"/>
        </w:rPr>
        <w:t>y</w:t>
      </w:r>
      <w:r w:rsidRPr="00D61E7E">
        <w:rPr>
          <w:rFonts w:ascii="Times New Roman" w:hAnsi="Times New Roman" w:cs="Times New Roman"/>
          <w:sz w:val="28"/>
          <w:szCs w:val="28"/>
          <w:lang w:val="es-ES"/>
        </w:rPr>
        <w:t xml:space="preserve"> humano para asegurar la transición efectiva de </w:t>
      </w:r>
      <w:r w:rsidRPr="00D61E7E">
        <w:rPr>
          <w:rFonts w:ascii="Times New Roman" w:hAnsi="Times New Roman" w:cs="Times New Roman"/>
          <w:sz w:val="28"/>
          <w:szCs w:val="28"/>
          <w:lang w:val="es-ES"/>
        </w:rPr>
        <w:t>las mencionadas</w:t>
      </w:r>
      <w:r w:rsidRPr="00D61E7E">
        <w:rPr>
          <w:rFonts w:ascii="Times New Roman" w:hAnsi="Times New Roman" w:cs="Times New Roman"/>
          <w:sz w:val="28"/>
          <w:szCs w:val="28"/>
          <w:lang w:val="es-ES"/>
        </w:rPr>
        <w:t xml:space="preserve"> funciones a la Superintendencia de Sociedades. </w:t>
      </w:r>
      <w:r w:rsidRPr="00D61E7E">
        <w:rPr>
          <w:rFonts w:ascii="Times New Roman" w:hAnsi="Times New Roman" w:cs="Times New Roman"/>
          <w:sz w:val="28"/>
          <w:szCs w:val="28"/>
          <w:lang w:val="es-ES"/>
        </w:rPr>
        <w:t>Así mismo, dispone el artículo en mención que se establecerá una</w:t>
      </w:r>
      <w:r w:rsidRPr="00D61E7E">
        <w:rPr>
          <w:rFonts w:ascii="Times New Roman" w:hAnsi="Times New Roman" w:cs="Times New Roman"/>
          <w:sz w:val="28"/>
          <w:szCs w:val="28"/>
          <w:lang w:val="es-ES"/>
        </w:rPr>
        <w:t xml:space="preserve"> tarifa o contrib</w:t>
      </w:r>
      <w:r w:rsidRPr="00D61E7E">
        <w:rPr>
          <w:rFonts w:ascii="Times New Roman" w:hAnsi="Times New Roman" w:cs="Times New Roman"/>
          <w:sz w:val="28"/>
          <w:szCs w:val="28"/>
          <w:lang w:val="es-ES"/>
        </w:rPr>
        <w:t>ución</w:t>
      </w:r>
      <w:r w:rsidRPr="00D61E7E">
        <w:rPr>
          <w:rFonts w:ascii="Times New Roman" w:hAnsi="Times New Roman" w:cs="Times New Roman"/>
          <w:sz w:val="28"/>
          <w:szCs w:val="28"/>
          <w:lang w:val="es-ES"/>
        </w:rPr>
        <w:t xml:space="preserve"> que las cámaras de comercio deberán pagar por los servicio</w:t>
      </w:r>
      <w:r w:rsidRPr="00D61E7E">
        <w:rPr>
          <w:rFonts w:ascii="Times New Roman" w:hAnsi="Times New Roman" w:cs="Times New Roman"/>
          <w:sz w:val="28"/>
          <w:szCs w:val="28"/>
          <w:lang w:val="es-ES"/>
        </w:rPr>
        <w:t xml:space="preserve">s de supervisión administrativa prestados por la Superintendencia de Sociedades. </w:t>
      </w:r>
      <w:r w:rsidRPr="00D61E7E">
        <w:rPr>
          <w:rFonts w:ascii="Times New Roman" w:hAnsi="Times New Roman" w:cs="Times New Roman"/>
          <w:sz w:val="28"/>
          <w:szCs w:val="28"/>
          <w:lang w:val="es-ES"/>
        </w:rPr>
        <w:t xml:space="preserve">Finalmente, la norma le otorga al </w:t>
      </w:r>
      <w:r w:rsidRPr="00D61E7E">
        <w:rPr>
          <w:rFonts w:ascii="Times New Roman" w:hAnsi="Times New Roman" w:cs="Times New Roman"/>
          <w:sz w:val="28"/>
          <w:szCs w:val="28"/>
          <w:lang w:val="es-ES"/>
        </w:rPr>
        <w:t>gobierno nacional</w:t>
      </w:r>
      <w:r w:rsidRPr="00D61E7E">
        <w:rPr>
          <w:rFonts w:ascii="Times New Roman" w:hAnsi="Times New Roman" w:cs="Times New Roman"/>
          <w:sz w:val="28"/>
          <w:szCs w:val="28"/>
          <w:lang w:val="es-ES"/>
        </w:rPr>
        <w:t xml:space="preserve"> la potestad de </w:t>
      </w:r>
      <w:r w:rsidRPr="00D61E7E">
        <w:rPr>
          <w:rFonts w:ascii="Times New Roman" w:hAnsi="Times New Roman" w:cs="Times New Roman"/>
          <w:sz w:val="28"/>
          <w:szCs w:val="28"/>
          <w:lang w:val="es-ES"/>
        </w:rPr>
        <w:t>regular todos los aspectos relacionados con este artículo, lo que incluye la implementación y seguimiento de</w:t>
      </w:r>
      <w:r w:rsidRPr="00D61E7E">
        <w:rPr>
          <w:rFonts w:ascii="Times New Roman" w:hAnsi="Times New Roman" w:cs="Times New Roman"/>
          <w:sz w:val="28"/>
          <w:szCs w:val="28"/>
          <w:lang w:val="es-ES"/>
        </w:rPr>
        <w:t xml:space="preserve"> estas medidas para garantizar su eficacia en la promoción del emprendimiento y el desarrollo empresarial en el país.</w:t>
      </w:r>
    </w:p>
    <w:p w:rsidR="000043C5" w:rsidRPr="00D61E7E" w:rsidRDefault="00D61E7E" w:rsidP="000043C5">
      <w:pPr>
        <w:pStyle w:val="Prrafodelista"/>
        <w:spacing w:before="100" w:beforeAutospacing="1" w:after="100" w:afterAutospacing="1"/>
        <w:ind w:left="0"/>
        <w:rPr>
          <w:rFonts w:ascii="Times New Roman" w:hAnsi="Times New Roman" w:cs="Times New Roman"/>
          <w:sz w:val="28"/>
          <w:szCs w:val="28"/>
          <w:lang w:val="es-ES"/>
        </w:rPr>
      </w:pPr>
    </w:p>
    <w:p w:rsidR="00F809B0" w:rsidRPr="00D61E7E" w:rsidRDefault="00D61E7E" w:rsidP="004C7722">
      <w:pPr>
        <w:pStyle w:val="Prrafodelista"/>
        <w:numPr>
          <w:ilvl w:val="0"/>
          <w:numId w:val="3"/>
        </w:numPr>
        <w:spacing w:before="100" w:beforeAutospacing="1" w:after="100" w:afterAutospacing="1"/>
        <w:rPr>
          <w:rFonts w:ascii="Times New Roman" w:hAnsi="Times New Roman" w:cs="Times New Roman"/>
          <w:sz w:val="28"/>
          <w:szCs w:val="28"/>
          <w:lang w:val="es-ES"/>
        </w:rPr>
      </w:pPr>
      <w:r w:rsidRPr="00D61E7E">
        <w:rPr>
          <w:rFonts w:ascii="Times New Roman" w:hAnsi="Times New Roman" w:cs="Times New Roman"/>
          <w:sz w:val="28"/>
          <w:szCs w:val="28"/>
          <w:lang w:val="es-ES"/>
        </w:rPr>
        <w:t xml:space="preserve">Por su parte, el artículo 73 </w:t>
      </w:r>
      <w:r w:rsidRPr="00D61E7E">
        <w:rPr>
          <w:rFonts w:ascii="Times New Roman" w:hAnsi="Times New Roman" w:cs="Times New Roman"/>
          <w:sz w:val="28"/>
          <w:szCs w:val="28"/>
          <w:lang w:val="es-ES"/>
        </w:rPr>
        <w:t>establece</w:t>
      </w:r>
      <w:r w:rsidRPr="00D61E7E">
        <w:rPr>
          <w:rFonts w:ascii="Times New Roman" w:hAnsi="Times New Roman" w:cs="Times New Roman"/>
          <w:sz w:val="28"/>
          <w:szCs w:val="28"/>
          <w:lang w:val="es-ES"/>
        </w:rPr>
        <w:t xml:space="preserve"> que una vez que el Decreto 807 del 4 de junio de 2020 pierda su v</w:t>
      </w:r>
      <w:r w:rsidRPr="00D61E7E">
        <w:rPr>
          <w:rFonts w:ascii="Times New Roman" w:hAnsi="Times New Roman" w:cs="Times New Roman"/>
          <w:sz w:val="28"/>
          <w:szCs w:val="28"/>
          <w:lang w:val="es-ES"/>
        </w:rPr>
        <w:t>igencia</w:t>
      </w:r>
      <w:r w:rsidRPr="00D61E7E">
        <w:rPr>
          <w:rFonts w:ascii="Times New Roman" w:hAnsi="Times New Roman" w:cs="Times New Roman"/>
          <w:sz w:val="28"/>
          <w:szCs w:val="28"/>
          <w:lang w:val="es-ES"/>
        </w:rPr>
        <w:t xml:space="preserve">, las disposiciones contenidas en los artículos 5, 6, 7 y 8 </w:t>
      </w:r>
      <w:r w:rsidRPr="00D61E7E">
        <w:rPr>
          <w:rFonts w:ascii="Times New Roman" w:hAnsi="Times New Roman" w:cs="Times New Roman"/>
          <w:sz w:val="28"/>
          <w:szCs w:val="28"/>
          <w:lang w:val="es-ES"/>
        </w:rPr>
        <w:t>de dicho</w:t>
      </w:r>
      <w:r w:rsidRPr="00D61E7E">
        <w:rPr>
          <w:rFonts w:ascii="Times New Roman" w:hAnsi="Times New Roman" w:cs="Times New Roman"/>
          <w:sz w:val="28"/>
          <w:szCs w:val="28"/>
          <w:lang w:val="es-ES"/>
        </w:rPr>
        <w:t xml:space="preserve"> decreto se incorporarán de forma permanente en la legislación colombiana. Estos artículos se refieren a la inspección tributaria virtual, la inspección contable virtual, las visitas admin</w:t>
      </w:r>
      <w:r w:rsidRPr="00D61E7E">
        <w:rPr>
          <w:rFonts w:ascii="Times New Roman" w:hAnsi="Times New Roman" w:cs="Times New Roman"/>
          <w:sz w:val="28"/>
          <w:szCs w:val="28"/>
          <w:lang w:val="es-ES"/>
        </w:rPr>
        <w:t>istrativas virtuales de inspección, vigilancia y control en materia tributaria, y las visitas administrativas virtuales de inspección, vigilancia y control en materia de control cambiario, respectivamente.</w:t>
      </w:r>
    </w:p>
    <w:p w:rsidR="004C7722" w:rsidRPr="00D61E7E" w:rsidRDefault="00D61E7E" w:rsidP="004C7722">
      <w:pPr>
        <w:pStyle w:val="Prrafodelista"/>
        <w:rPr>
          <w:rFonts w:ascii="Times New Roman" w:hAnsi="Times New Roman" w:cs="Times New Roman"/>
          <w:sz w:val="28"/>
          <w:szCs w:val="28"/>
          <w:lang w:val="es-ES"/>
        </w:rPr>
      </w:pPr>
    </w:p>
    <w:p w:rsidR="002441E8" w:rsidRPr="00D61E7E" w:rsidRDefault="00D61E7E" w:rsidP="002441E8">
      <w:pPr>
        <w:pStyle w:val="Prrafodelista"/>
        <w:spacing w:before="100" w:beforeAutospacing="1" w:after="100" w:afterAutospacing="1"/>
        <w:ind w:left="0"/>
        <w:rPr>
          <w:rFonts w:ascii="Times New Roman" w:eastAsia="Times New Roman" w:hAnsi="Times New Roman" w:cs="Times New Roman"/>
          <w:b/>
          <w:bCs/>
          <w:sz w:val="28"/>
          <w:szCs w:val="28"/>
          <w:lang w:val="es-ES"/>
        </w:rPr>
      </w:pPr>
      <w:r w:rsidRPr="00D61E7E">
        <w:rPr>
          <w:rFonts w:ascii="Times New Roman" w:eastAsia="Times New Roman" w:hAnsi="Times New Roman" w:cs="Times New Roman"/>
          <w:b/>
          <w:bCs/>
          <w:sz w:val="28"/>
          <w:szCs w:val="28"/>
          <w:lang w:val="es-ES"/>
        </w:rPr>
        <w:t xml:space="preserve">Trámite legislativo de la </w:t>
      </w:r>
      <w:r w:rsidRPr="00D61E7E">
        <w:rPr>
          <w:rFonts w:ascii="Times New Roman" w:eastAsia="Times New Roman" w:hAnsi="Times New Roman" w:cs="Times New Roman"/>
          <w:b/>
          <w:bCs/>
          <w:sz w:val="28"/>
          <w:szCs w:val="28"/>
          <w:lang w:val="es-ES"/>
        </w:rPr>
        <w:t>Ley 2069 de 2020</w:t>
      </w:r>
      <w:r w:rsidRPr="00D61E7E">
        <w:rPr>
          <w:rFonts w:ascii="Times New Roman" w:eastAsia="Times New Roman" w:hAnsi="Times New Roman" w:cs="Times New Roman"/>
          <w:b/>
          <w:bCs/>
          <w:sz w:val="28"/>
          <w:szCs w:val="28"/>
          <w:lang w:val="es-ES"/>
        </w:rPr>
        <w:t xml:space="preserve"> en rel</w:t>
      </w:r>
      <w:r w:rsidRPr="00D61E7E">
        <w:rPr>
          <w:rFonts w:ascii="Times New Roman" w:eastAsia="Times New Roman" w:hAnsi="Times New Roman" w:cs="Times New Roman"/>
          <w:b/>
          <w:bCs/>
          <w:sz w:val="28"/>
          <w:szCs w:val="28"/>
          <w:lang w:val="es-ES"/>
        </w:rPr>
        <w:t>ación con los artículos 70 y 73</w:t>
      </w:r>
    </w:p>
    <w:p w:rsidR="002441E8" w:rsidRPr="00D61E7E" w:rsidRDefault="00D61E7E" w:rsidP="002441E8">
      <w:pPr>
        <w:pStyle w:val="Prrafodelista"/>
        <w:spacing w:before="100" w:beforeAutospacing="1" w:after="100" w:afterAutospacing="1"/>
        <w:ind w:left="0"/>
        <w:rPr>
          <w:rFonts w:ascii="Times New Roman" w:eastAsia="Times New Roman" w:hAnsi="Times New Roman" w:cs="Times New Roman"/>
          <w:b/>
          <w:bCs/>
          <w:sz w:val="28"/>
          <w:szCs w:val="28"/>
          <w:lang w:val="es-ES"/>
        </w:rPr>
      </w:pPr>
    </w:p>
    <w:p w:rsidR="001D0E25" w:rsidRPr="00D61E7E" w:rsidRDefault="00D61E7E" w:rsidP="002441E8">
      <w:pPr>
        <w:pStyle w:val="Prrafodelista"/>
        <w:numPr>
          <w:ilvl w:val="0"/>
          <w:numId w:val="3"/>
        </w:numPr>
        <w:spacing w:before="100" w:beforeAutospacing="1" w:after="100" w:afterAutospacing="1"/>
        <w:rPr>
          <w:rFonts w:ascii="Times New Roman" w:eastAsia="Times New Roman" w:hAnsi="Times New Roman" w:cs="Times New Roman"/>
          <w:b/>
          <w:bCs/>
          <w:sz w:val="28"/>
          <w:szCs w:val="28"/>
          <w:lang w:val="es-ES"/>
        </w:rPr>
      </w:pPr>
      <w:r w:rsidRPr="00D61E7E">
        <w:rPr>
          <w:rFonts w:ascii="Times New Roman" w:eastAsia="Times New Roman" w:hAnsi="Times New Roman" w:cs="Times New Roman"/>
          <w:sz w:val="28"/>
          <w:szCs w:val="28"/>
          <w:lang w:val="es-ES"/>
        </w:rPr>
        <w:t>En primer lugar, como se expuso en el aparte considerativo de esta sentencia, resulta oportuno analizar el trámite legislativo para examinar si los artículos impugnados vulneraron el principio de unidad de materia. Como se explicó en el análisis del núcleo</w:t>
      </w:r>
      <w:r w:rsidRPr="00D61E7E">
        <w:rPr>
          <w:rFonts w:ascii="Times New Roman" w:eastAsia="Times New Roman" w:hAnsi="Times New Roman" w:cs="Times New Roman"/>
          <w:sz w:val="28"/>
          <w:szCs w:val="28"/>
          <w:lang w:val="es-ES"/>
        </w:rPr>
        <w:t xml:space="preserve"> temático del proyecto de ley que dio paso a la norma ahora cuestionada, desde la exposición de motivos es claro que la disposición tenía como objetivo impulsar el emprendimiento a través de diversas estrategias de formalización empresarial, acceso al créd</w:t>
      </w:r>
      <w:r w:rsidRPr="00D61E7E">
        <w:rPr>
          <w:rFonts w:ascii="Times New Roman" w:eastAsia="Times New Roman" w:hAnsi="Times New Roman" w:cs="Times New Roman"/>
          <w:sz w:val="28"/>
          <w:szCs w:val="28"/>
          <w:lang w:val="es-ES"/>
        </w:rPr>
        <w:t xml:space="preserve">ito, mejorar las escalas productivas y ajustar el marco institucional para acercarlo a los ciclos de desarrollo de los emprendedores. Lo mismo ocurrió en el informe positivo de ponencia para primer debate </w:t>
      </w:r>
      <w:r w:rsidRPr="00D61E7E">
        <w:rPr>
          <w:rFonts w:ascii="Times New Roman" w:eastAsia="Times New Roman" w:hAnsi="Times New Roman" w:cs="Times New Roman"/>
          <w:sz w:val="28"/>
          <w:szCs w:val="28"/>
          <w:lang w:val="es-ES"/>
        </w:rPr>
        <w:t>conjunto en las Comisiones Terceras Permanentes del</w:t>
      </w:r>
      <w:r w:rsidRPr="00D61E7E">
        <w:rPr>
          <w:rFonts w:ascii="Times New Roman" w:eastAsia="Times New Roman" w:hAnsi="Times New Roman" w:cs="Times New Roman"/>
          <w:sz w:val="28"/>
          <w:szCs w:val="28"/>
          <w:lang w:val="es-ES"/>
        </w:rPr>
        <w:t xml:space="preserve"> Senado y Cámara de Representantes</w:t>
      </w:r>
      <w:r w:rsidRPr="00D61E7E">
        <w:rPr>
          <w:rStyle w:val="Refdenotaalpie"/>
          <w:rFonts w:ascii="Times New Roman" w:hAnsi="Times New Roman" w:cs="Times New Roman"/>
          <w:sz w:val="28"/>
          <w:szCs w:val="28"/>
          <w:lang w:val="es-ES"/>
        </w:rPr>
        <w:footnoteReference w:id="40"/>
      </w:r>
      <w:r w:rsidRPr="00D61E7E">
        <w:rPr>
          <w:rFonts w:ascii="Times New Roman" w:eastAsia="Times New Roman" w:hAnsi="Times New Roman" w:cs="Times New Roman"/>
          <w:sz w:val="28"/>
          <w:szCs w:val="28"/>
          <w:lang w:val="es-ES"/>
        </w:rPr>
        <w:t xml:space="preserve">. En dicho documento se destacó </w:t>
      </w:r>
      <w:r w:rsidRPr="00D61E7E">
        <w:rPr>
          <w:rFonts w:ascii="Times New Roman" w:eastAsia="Times New Roman" w:hAnsi="Times New Roman" w:cs="Times New Roman"/>
          <w:sz w:val="28"/>
          <w:szCs w:val="28"/>
          <w:lang w:val="es-ES"/>
        </w:rPr>
        <w:t xml:space="preserve">que </w:t>
      </w:r>
      <w:r w:rsidRPr="00D61E7E">
        <w:rPr>
          <w:rFonts w:ascii="Times New Roman" w:eastAsia="Times New Roman" w:hAnsi="Times New Roman" w:cs="Times New Roman"/>
          <w:sz w:val="28"/>
          <w:szCs w:val="28"/>
          <w:lang w:val="es-ES"/>
        </w:rPr>
        <w:t xml:space="preserve">el propósito de este proyecto de ley, según lo estipulado en su artículo inicial, es crear un conjunto de regulaciones que fomenten el emprendimiento y </w:t>
      </w:r>
      <w:r w:rsidRPr="00D61E7E">
        <w:rPr>
          <w:rFonts w:ascii="Times New Roman" w:eastAsia="Times New Roman" w:hAnsi="Times New Roman" w:cs="Times New Roman"/>
          <w:sz w:val="28"/>
          <w:szCs w:val="28"/>
          <w:lang w:val="es-ES"/>
        </w:rPr>
        <w:t>su</w:t>
      </w:r>
      <w:r w:rsidRPr="00D61E7E">
        <w:rPr>
          <w:rFonts w:ascii="Times New Roman" w:eastAsia="Times New Roman" w:hAnsi="Times New Roman" w:cs="Times New Roman"/>
          <w:sz w:val="28"/>
          <w:szCs w:val="28"/>
          <w:lang w:val="es-ES"/>
        </w:rPr>
        <w:t xml:space="preserve"> desarrollo, así como la consol</w:t>
      </w:r>
      <w:r w:rsidRPr="00D61E7E">
        <w:rPr>
          <w:rFonts w:ascii="Times New Roman" w:eastAsia="Times New Roman" w:hAnsi="Times New Roman" w:cs="Times New Roman"/>
          <w:sz w:val="28"/>
          <w:szCs w:val="28"/>
          <w:lang w:val="es-ES"/>
        </w:rPr>
        <w:t>idación y estabilidad de las</w:t>
      </w:r>
      <w:r w:rsidRPr="00D61E7E">
        <w:rPr>
          <w:rFonts w:ascii="Times New Roman" w:eastAsia="Times New Roman" w:hAnsi="Times New Roman" w:cs="Times New Roman"/>
          <w:sz w:val="28"/>
          <w:szCs w:val="28"/>
          <w:lang w:val="es-ES"/>
        </w:rPr>
        <w:t xml:space="preserve"> pequeñas y medianas empresas</w:t>
      </w:r>
      <w:r w:rsidRPr="00D61E7E">
        <w:rPr>
          <w:rFonts w:ascii="Times New Roman" w:eastAsia="Times New Roman" w:hAnsi="Times New Roman" w:cs="Times New Roman"/>
          <w:sz w:val="28"/>
          <w:szCs w:val="28"/>
          <w:lang w:val="es-ES"/>
        </w:rPr>
        <w:t xml:space="preserve"> con el objetivo de mejorar el bienestar social y promover la equidad.</w:t>
      </w:r>
    </w:p>
    <w:p w:rsidR="002441E8" w:rsidRPr="00D61E7E" w:rsidRDefault="00D61E7E" w:rsidP="002441E8">
      <w:pPr>
        <w:pStyle w:val="Prrafodelista"/>
        <w:spacing w:before="100" w:beforeAutospacing="1" w:after="100" w:afterAutospacing="1"/>
        <w:ind w:left="0"/>
        <w:rPr>
          <w:rFonts w:ascii="Times New Roman" w:eastAsia="Times New Roman" w:hAnsi="Times New Roman" w:cs="Times New Roman"/>
          <w:b/>
          <w:bCs/>
          <w:sz w:val="28"/>
          <w:szCs w:val="28"/>
          <w:lang w:val="es-ES"/>
        </w:rPr>
      </w:pPr>
    </w:p>
    <w:p w:rsidR="006A59E5" w:rsidRPr="00D61E7E" w:rsidRDefault="00D61E7E" w:rsidP="002441E8">
      <w:pPr>
        <w:pStyle w:val="Prrafodelista"/>
        <w:numPr>
          <w:ilvl w:val="0"/>
          <w:numId w:val="3"/>
        </w:numPr>
        <w:spacing w:before="100" w:beforeAutospacing="1" w:after="100" w:afterAutospacing="1"/>
        <w:rPr>
          <w:rFonts w:ascii="Times New Roman" w:hAnsi="Times New Roman" w:cs="Times New Roman"/>
          <w:sz w:val="28"/>
          <w:szCs w:val="28"/>
          <w:lang w:val="es-ES"/>
        </w:rPr>
      </w:pPr>
      <w:r w:rsidRPr="00D61E7E">
        <w:rPr>
          <w:rFonts w:ascii="Times New Roman" w:hAnsi="Times New Roman" w:cs="Times New Roman"/>
          <w:sz w:val="28"/>
          <w:szCs w:val="28"/>
          <w:lang w:val="es-ES"/>
        </w:rPr>
        <w:t xml:space="preserve">Frente a la necesidad de simplificar trámites, el informe de ponencia señala </w:t>
      </w:r>
      <w:r w:rsidRPr="00D61E7E">
        <w:rPr>
          <w:rFonts w:ascii="Times New Roman" w:hAnsi="Times New Roman" w:cs="Times New Roman"/>
          <w:sz w:val="28"/>
          <w:szCs w:val="28"/>
          <w:lang w:val="es-ES"/>
        </w:rPr>
        <w:t>que,</w:t>
      </w:r>
      <w:r w:rsidRPr="00D61E7E">
        <w:rPr>
          <w:rFonts w:ascii="Times New Roman" w:hAnsi="Times New Roman" w:cs="Times New Roman"/>
          <w:sz w:val="28"/>
          <w:szCs w:val="28"/>
          <w:lang w:val="es-ES"/>
        </w:rPr>
        <w:t xml:space="preserve"> en el año 2018, la Asociación Colombiana de l</w:t>
      </w:r>
      <w:r w:rsidRPr="00D61E7E">
        <w:rPr>
          <w:rFonts w:ascii="Times New Roman" w:hAnsi="Times New Roman" w:cs="Times New Roman"/>
          <w:sz w:val="28"/>
          <w:szCs w:val="28"/>
          <w:lang w:val="es-ES"/>
        </w:rPr>
        <w:t>as Micro, Pequeñas y Medianas Empresas (ACOPI) llevó a cabo una encuesta nacional con 247 empresas para identificar las principales regulaciones que afectan a los emprendimientos en los ámbitos tributario, laboral y otros relacionados con su funcionamiento</w:t>
      </w:r>
      <w:r w:rsidRPr="00D61E7E">
        <w:rPr>
          <w:rFonts w:ascii="Times New Roman" w:hAnsi="Times New Roman" w:cs="Times New Roman"/>
          <w:sz w:val="28"/>
          <w:szCs w:val="28"/>
          <w:lang w:val="es-ES"/>
        </w:rPr>
        <w:t>, así como el nivel de costo asociado a su cumplimiento. Así, los ponentes describieron que los resultados de la encuesta señalan que las regulaciones que más afectan a las PYMES se dividen en cinco áreas: tributaria, laboral, operativa, ambiental, comerci</w:t>
      </w:r>
      <w:r w:rsidRPr="00D61E7E">
        <w:rPr>
          <w:rFonts w:ascii="Times New Roman" w:hAnsi="Times New Roman" w:cs="Times New Roman"/>
          <w:sz w:val="28"/>
          <w:szCs w:val="28"/>
          <w:lang w:val="es-ES"/>
        </w:rPr>
        <w:t>o exterior y sectorial</w:t>
      </w:r>
      <w:r w:rsidRPr="00D61E7E">
        <w:rPr>
          <w:rStyle w:val="Refdenotaalpie"/>
          <w:rFonts w:ascii="Times New Roman" w:hAnsi="Times New Roman" w:cs="Times New Roman"/>
          <w:sz w:val="28"/>
          <w:szCs w:val="28"/>
          <w:lang w:val="es-ES"/>
        </w:rPr>
        <w:footnoteReference w:id="41"/>
      </w:r>
      <w:r w:rsidRPr="00D61E7E">
        <w:rPr>
          <w:rFonts w:ascii="Times New Roman" w:hAnsi="Times New Roman" w:cs="Times New Roman"/>
          <w:sz w:val="28"/>
          <w:szCs w:val="28"/>
          <w:lang w:val="es-ES"/>
        </w:rPr>
        <w:t>.</w:t>
      </w:r>
      <w:r w:rsidRPr="00D61E7E">
        <w:rPr>
          <w:rFonts w:ascii="Times New Roman" w:hAnsi="Times New Roman" w:cs="Times New Roman"/>
          <w:sz w:val="28"/>
          <w:szCs w:val="28"/>
          <w:lang w:val="es-ES"/>
        </w:rPr>
        <w:t xml:space="preserve"> En particular, los ponentes señalaron que entre las principales barreras regulatorias que los encuestados describieron se encuentran los trámites antes las </w:t>
      </w:r>
      <w:r w:rsidRPr="00D61E7E">
        <w:rPr>
          <w:rFonts w:ascii="Times New Roman" w:hAnsi="Times New Roman" w:cs="Times New Roman"/>
          <w:sz w:val="28"/>
          <w:szCs w:val="28"/>
          <w:lang w:val="es-ES"/>
        </w:rPr>
        <w:t>c</w:t>
      </w:r>
      <w:r w:rsidRPr="00D61E7E">
        <w:rPr>
          <w:rFonts w:ascii="Times New Roman" w:hAnsi="Times New Roman" w:cs="Times New Roman"/>
          <w:sz w:val="28"/>
          <w:szCs w:val="28"/>
          <w:lang w:val="es-ES"/>
        </w:rPr>
        <w:t xml:space="preserve">ámaras de </w:t>
      </w:r>
      <w:r w:rsidRPr="00D61E7E">
        <w:rPr>
          <w:rFonts w:ascii="Times New Roman" w:hAnsi="Times New Roman" w:cs="Times New Roman"/>
          <w:sz w:val="28"/>
          <w:szCs w:val="28"/>
          <w:lang w:val="es-ES"/>
        </w:rPr>
        <w:t>c</w:t>
      </w:r>
      <w:r w:rsidRPr="00D61E7E">
        <w:rPr>
          <w:rFonts w:ascii="Times New Roman" w:hAnsi="Times New Roman" w:cs="Times New Roman"/>
          <w:sz w:val="28"/>
          <w:szCs w:val="28"/>
          <w:lang w:val="es-ES"/>
        </w:rPr>
        <w:t xml:space="preserve">omercio y trámites </w:t>
      </w:r>
      <w:r w:rsidRPr="00D61E7E">
        <w:rPr>
          <w:rFonts w:ascii="Times New Roman" w:hAnsi="Times New Roman" w:cs="Times New Roman"/>
          <w:sz w:val="28"/>
          <w:szCs w:val="28"/>
          <w:lang w:val="es-ES"/>
        </w:rPr>
        <w:t>aduaneras</w:t>
      </w:r>
      <w:r w:rsidRPr="00D61E7E">
        <w:rPr>
          <w:rFonts w:ascii="Times New Roman" w:hAnsi="Times New Roman" w:cs="Times New Roman"/>
          <w:sz w:val="28"/>
          <w:szCs w:val="28"/>
          <w:lang w:val="es-ES"/>
        </w:rPr>
        <w:t xml:space="preserve"> para exportaciones e importaciones. </w:t>
      </w:r>
    </w:p>
    <w:p w:rsidR="002441E8" w:rsidRPr="00D61E7E" w:rsidRDefault="00D61E7E" w:rsidP="002441E8">
      <w:pPr>
        <w:pStyle w:val="Prrafodelista"/>
        <w:spacing w:before="100" w:beforeAutospacing="1" w:after="100" w:afterAutospacing="1"/>
        <w:ind w:left="0"/>
        <w:rPr>
          <w:rFonts w:ascii="Times New Roman" w:hAnsi="Times New Roman" w:cs="Times New Roman"/>
          <w:sz w:val="28"/>
          <w:szCs w:val="28"/>
          <w:lang w:val="es-ES"/>
        </w:rPr>
      </w:pPr>
    </w:p>
    <w:p w:rsidR="006A59E5" w:rsidRPr="00D61E7E" w:rsidRDefault="00D61E7E" w:rsidP="002441E8">
      <w:pPr>
        <w:pStyle w:val="Prrafodelista"/>
        <w:numPr>
          <w:ilvl w:val="0"/>
          <w:numId w:val="3"/>
        </w:numPr>
        <w:spacing w:before="100" w:beforeAutospacing="1" w:after="100" w:afterAutospacing="1"/>
        <w:rPr>
          <w:rFonts w:ascii="Times New Roman" w:hAnsi="Times New Roman" w:cs="Times New Roman"/>
          <w:sz w:val="28"/>
          <w:szCs w:val="28"/>
          <w:lang w:val="es-ES"/>
        </w:rPr>
      </w:pPr>
      <w:r w:rsidRPr="00D61E7E">
        <w:rPr>
          <w:rFonts w:ascii="Times New Roman" w:hAnsi="Times New Roman" w:cs="Times New Roman"/>
          <w:sz w:val="28"/>
          <w:szCs w:val="28"/>
          <w:lang w:val="es-ES"/>
        </w:rPr>
        <w:t>A su vez, en los informes para segundo debate en las plenarias de Senado</w:t>
      </w:r>
      <w:r w:rsidRPr="00D61E7E">
        <w:rPr>
          <w:rStyle w:val="Refdenotaalpie"/>
          <w:rFonts w:ascii="Times New Roman" w:hAnsi="Times New Roman" w:cs="Times New Roman"/>
          <w:sz w:val="28"/>
          <w:szCs w:val="28"/>
          <w:lang w:val="es-ES"/>
        </w:rPr>
        <w:footnoteReference w:id="42"/>
      </w:r>
      <w:r w:rsidRPr="00D61E7E">
        <w:rPr>
          <w:rFonts w:ascii="Times New Roman" w:hAnsi="Times New Roman" w:cs="Times New Roman"/>
          <w:sz w:val="28"/>
          <w:szCs w:val="28"/>
          <w:lang w:val="es-ES"/>
        </w:rPr>
        <w:t xml:space="preserve"> y Cámara de Representantes</w:t>
      </w:r>
      <w:r w:rsidRPr="00D61E7E">
        <w:rPr>
          <w:rStyle w:val="Refdenotaalpie"/>
          <w:rFonts w:ascii="Times New Roman" w:hAnsi="Times New Roman" w:cs="Times New Roman"/>
          <w:sz w:val="28"/>
          <w:szCs w:val="28"/>
          <w:lang w:val="es-ES"/>
        </w:rPr>
        <w:footnoteReference w:id="43"/>
      </w:r>
      <w:r w:rsidRPr="00D61E7E">
        <w:rPr>
          <w:rFonts w:ascii="Times New Roman" w:hAnsi="Times New Roman" w:cs="Times New Roman"/>
          <w:sz w:val="28"/>
          <w:szCs w:val="28"/>
          <w:lang w:val="es-ES"/>
        </w:rPr>
        <w:t xml:space="preserve"> los respectivos ponentes destacaron que el capítulo que contiene los artículos demandados </w:t>
      </w:r>
      <w:r w:rsidRPr="00D61E7E">
        <w:rPr>
          <w:rFonts w:ascii="Times New Roman" w:hAnsi="Times New Roman" w:cs="Times New Roman"/>
          <w:sz w:val="28"/>
          <w:szCs w:val="28"/>
          <w:lang w:val="es-ES"/>
        </w:rPr>
        <w:t>tiene</w:t>
      </w:r>
      <w:r w:rsidRPr="00D61E7E">
        <w:rPr>
          <w:rFonts w:ascii="Times New Roman" w:hAnsi="Times New Roman" w:cs="Times New Roman"/>
          <w:sz w:val="28"/>
          <w:szCs w:val="28"/>
          <w:lang w:val="es-ES"/>
        </w:rPr>
        <w:t xml:space="preserve"> como objetivo fomen</w:t>
      </w:r>
      <w:r w:rsidRPr="00D61E7E">
        <w:rPr>
          <w:rFonts w:ascii="Times New Roman" w:hAnsi="Times New Roman" w:cs="Times New Roman"/>
          <w:sz w:val="28"/>
          <w:szCs w:val="28"/>
          <w:lang w:val="es-ES"/>
        </w:rPr>
        <w:t>tar un orden institucional en torno al emprendimiento y desarrollo empresarial que optimice la gestión de recursos y se adapte a las realidades de desarrollo económico de los emprendimientos</w:t>
      </w:r>
      <w:r w:rsidRPr="00D61E7E">
        <w:rPr>
          <w:rFonts w:ascii="Times New Roman" w:hAnsi="Times New Roman" w:cs="Times New Roman"/>
          <w:sz w:val="28"/>
          <w:szCs w:val="28"/>
          <w:lang w:val="es-ES"/>
        </w:rPr>
        <w:t>.</w:t>
      </w:r>
    </w:p>
    <w:p w:rsidR="009F7D31" w:rsidRPr="00D61E7E" w:rsidRDefault="00D61E7E" w:rsidP="009F7D31">
      <w:pPr>
        <w:pStyle w:val="Prrafodelista"/>
        <w:spacing w:before="100" w:beforeAutospacing="1" w:after="100" w:afterAutospacing="1"/>
        <w:ind w:left="0"/>
        <w:rPr>
          <w:rFonts w:ascii="Times New Roman" w:hAnsi="Times New Roman" w:cs="Times New Roman"/>
          <w:sz w:val="28"/>
          <w:szCs w:val="28"/>
          <w:lang w:val="es-ES"/>
        </w:rPr>
      </w:pPr>
    </w:p>
    <w:p w:rsidR="00816055" w:rsidRPr="00D61E7E" w:rsidRDefault="00D61E7E" w:rsidP="001103EF">
      <w:pPr>
        <w:pStyle w:val="Prrafodelista"/>
        <w:numPr>
          <w:ilvl w:val="0"/>
          <w:numId w:val="3"/>
        </w:numPr>
        <w:spacing w:before="100" w:beforeAutospacing="1" w:after="100" w:afterAutospacing="1"/>
        <w:rPr>
          <w:rFonts w:ascii="Times New Roman" w:hAnsi="Times New Roman" w:cs="Times New Roman"/>
          <w:sz w:val="28"/>
          <w:lang w:val="es-ES"/>
        </w:rPr>
      </w:pPr>
      <w:r w:rsidRPr="00D61E7E">
        <w:rPr>
          <w:rFonts w:ascii="Times New Roman" w:hAnsi="Times New Roman" w:cs="Times New Roman"/>
          <w:sz w:val="28"/>
          <w:szCs w:val="28"/>
          <w:lang w:val="es-ES"/>
        </w:rPr>
        <w:t xml:space="preserve">Por otra parte, </w:t>
      </w:r>
      <w:r w:rsidRPr="00D61E7E">
        <w:rPr>
          <w:rFonts w:ascii="Times New Roman" w:hAnsi="Times New Roman" w:cs="Times New Roman"/>
          <w:sz w:val="28"/>
          <w:szCs w:val="28"/>
          <w:lang w:val="es-ES"/>
        </w:rPr>
        <w:t xml:space="preserve">el artículo </w:t>
      </w:r>
      <w:r w:rsidRPr="00D61E7E">
        <w:rPr>
          <w:rFonts w:ascii="Times New Roman" w:hAnsi="Times New Roman" w:cs="Times New Roman"/>
          <w:sz w:val="28"/>
          <w:szCs w:val="28"/>
          <w:lang w:val="es-ES"/>
        </w:rPr>
        <w:t xml:space="preserve">70 </w:t>
      </w:r>
      <w:r w:rsidRPr="00D61E7E">
        <w:rPr>
          <w:rFonts w:ascii="Times New Roman" w:hAnsi="Times New Roman" w:cs="Times New Roman"/>
          <w:sz w:val="28"/>
          <w:szCs w:val="28"/>
          <w:lang w:val="es-ES"/>
        </w:rPr>
        <w:t xml:space="preserve">fue incluido y aprobado como un </w:t>
      </w:r>
      <w:r w:rsidRPr="00D61E7E">
        <w:rPr>
          <w:rFonts w:ascii="Times New Roman" w:hAnsi="Times New Roman" w:cs="Times New Roman"/>
          <w:sz w:val="28"/>
          <w:szCs w:val="28"/>
          <w:lang w:val="es-ES"/>
        </w:rPr>
        <w:t>artículo nuevo en el segundo debate en la plenaria de la Cámara de Representantes</w:t>
      </w:r>
      <w:r w:rsidRPr="00D61E7E">
        <w:rPr>
          <w:rStyle w:val="Refdenotaalpie"/>
          <w:rFonts w:ascii="Times New Roman" w:hAnsi="Times New Roman" w:cs="Times New Roman"/>
          <w:sz w:val="28"/>
          <w:szCs w:val="28"/>
          <w:lang w:val="es-ES"/>
        </w:rPr>
        <w:footnoteReference w:id="44"/>
      </w:r>
      <w:r w:rsidRPr="00D61E7E">
        <w:rPr>
          <w:rFonts w:ascii="Times New Roman" w:hAnsi="Times New Roman" w:cs="Times New Roman"/>
          <w:sz w:val="28"/>
          <w:szCs w:val="28"/>
          <w:lang w:val="es-ES"/>
        </w:rPr>
        <w:t xml:space="preserve">. </w:t>
      </w:r>
      <w:r w:rsidRPr="00D61E7E">
        <w:rPr>
          <w:rFonts w:ascii="Times New Roman" w:hAnsi="Times New Roman" w:cs="Times New Roman"/>
          <w:sz w:val="28"/>
          <w:szCs w:val="28"/>
          <w:lang w:val="es-ES"/>
        </w:rPr>
        <w:t>Como justificación de dicha proposición aditiva</w:t>
      </w:r>
      <w:r w:rsidRPr="00D61E7E">
        <w:rPr>
          <w:rStyle w:val="Refdenotaalpie"/>
          <w:rFonts w:ascii="Times New Roman" w:hAnsi="Times New Roman" w:cs="Times New Roman"/>
          <w:sz w:val="28"/>
          <w:szCs w:val="28"/>
          <w:lang w:val="es-ES"/>
        </w:rPr>
        <w:footnoteReference w:id="45"/>
      </w:r>
      <w:r w:rsidRPr="00D61E7E">
        <w:rPr>
          <w:rFonts w:ascii="Times New Roman" w:hAnsi="Times New Roman" w:cs="Times New Roman"/>
          <w:sz w:val="28"/>
          <w:szCs w:val="28"/>
          <w:lang w:val="es-ES"/>
        </w:rPr>
        <w:t>, se señaló que la Superintendencia de Sociedades acumula una experiencia en la inspección y vigilancia de actividades comer</w:t>
      </w:r>
      <w:r w:rsidRPr="00D61E7E">
        <w:rPr>
          <w:rFonts w:ascii="Times New Roman" w:hAnsi="Times New Roman" w:cs="Times New Roman"/>
          <w:sz w:val="28"/>
          <w:szCs w:val="28"/>
          <w:lang w:val="es-ES"/>
        </w:rPr>
        <w:t>ciales y su gobierno corporativo que la hace l</w:t>
      </w:r>
      <w:r w:rsidRPr="00D61E7E">
        <w:rPr>
          <w:rFonts w:ascii="Times New Roman" w:hAnsi="Times New Roman" w:cs="Times New Roman"/>
          <w:sz w:val="28"/>
          <w:szCs w:val="28"/>
          <w:lang w:val="es-ES"/>
        </w:rPr>
        <w:t>a</w:t>
      </w:r>
      <w:r w:rsidRPr="00D61E7E">
        <w:rPr>
          <w:rFonts w:ascii="Times New Roman" w:hAnsi="Times New Roman" w:cs="Times New Roman"/>
          <w:sz w:val="28"/>
          <w:szCs w:val="28"/>
          <w:lang w:val="es-ES"/>
        </w:rPr>
        <w:t xml:space="preserve"> entidad más idónea, en términos de eficiencia y armonía regulatoria, para acompañar los procesos de actividad mercantil de los emprendedores, en especial aquellos que impliquen una interacción con las Cámaras</w:t>
      </w:r>
      <w:r w:rsidRPr="00D61E7E">
        <w:rPr>
          <w:rFonts w:ascii="Times New Roman" w:hAnsi="Times New Roman" w:cs="Times New Roman"/>
          <w:sz w:val="28"/>
          <w:szCs w:val="28"/>
          <w:lang w:val="es-ES"/>
        </w:rPr>
        <w:t xml:space="preserve"> de Comercio como quiera que estas entidades privadas, por mandato legal, cumplen una importante función pública como lo es la administración del registro mercantil. </w:t>
      </w:r>
      <w:r w:rsidRPr="00D61E7E">
        <w:rPr>
          <w:rFonts w:ascii="Times New Roman" w:hAnsi="Times New Roman" w:cs="Times New Roman"/>
          <w:sz w:val="28"/>
          <w:szCs w:val="28"/>
          <w:lang w:val="es-ES"/>
        </w:rPr>
        <w:t>A su vez, el artículo 73</w:t>
      </w:r>
      <w:r w:rsidRPr="00D61E7E">
        <w:rPr>
          <w:rFonts w:ascii="Times New Roman" w:hAnsi="Times New Roman" w:cs="Times New Roman"/>
          <w:sz w:val="28"/>
          <w:szCs w:val="28"/>
          <w:lang w:val="es-ES"/>
        </w:rPr>
        <w:t xml:space="preserve"> fue incluido y aprobado como un artículo nuevo en el segundo deba</w:t>
      </w:r>
      <w:r w:rsidRPr="00D61E7E">
        <w:rPr>
          <w:rFonts w:ascii="Times New Roman" w:hAnsi="Times New Roman" w:cs="Times New Roman"/>
          <w:sz w:val="28"/>
          <w:szCs w:val="28"/>
          <w:lang w:val="es-ES"/>
        </w:rPr>
        <w:t>te en la plenaria del Senado</w:t>
      </w:r>
      <w:r w:rsidRPr="00D61E7E">
        <w:rPr>
          <w:rStyle w:val="Refdenotaalpie"/>
          <w:rFonts w:ascii="Times New Roman" w:hAnsi="Times New Roman" w:cs="Times New Roman"/>
          <w:sz w:val="28"/>
          <w:szCs w:val="28"/>
          <w:lang w:val="es-ES"/>
        </w:rPr>
        <w:footnoteReference w:id="46"/>
      </w:r>
      <w:r w:rsidRPr="00D61E7E">
        <w:rPr>
          <w:rFonts w:ascii="Times New Roman" w:hAnsi="Times New Roman" w:cs="Times New Roman"/>
          <w:sz w:val="28"/>
          <w:szCs w:val="28"/>
          <w:lang w:val="es-ES"/>
        </w:rPr>
        <w:t xml:space="preserve">. </w:t>
      </w:r>
      <w:r w:rsidRPr="00D61E7E">
        <w:rPr>
          <w:rFonts w:ascii="Times New Roman" w:hAnsi="Times New Roman" w:cs="Times New Roman"/>
          <w:sz w:val="28"/>
          <w:szCs w:val="28"/>
          <w:lang w:val="es-ES"/>
        </w:rPr>
        <w:t>Como justificación a dicha proposición</w:t>
      </w:r>
      <w:r w:rsidRPr="00D61E7E">
        <w:rPr>
          <w:rStyle w:val="Refdenotaalpie"/>
          <w:rFonts w:ascii="Times New Roman" w:hAnsi="Times New Roman" w:cs="Times New Roman"/>
          <w:sz w:val="28"/>
          <w:szCs w:val="28"/>
          <w:lang w:val="es-ES"/>
        </w:rPr>
        <w:footnoteReference w:id="47"/>
      </w:r>
      <w:r w:rsidRPr="00D61E7E">
        <w:rPr>
          <w:rFonts w:ascii="Times New Roman" w:hAnsi="Times New Roman" w:cs="Times New Roman"/>
          <w:sz w:val="28"/>
          <w:szCs w:val="28"/>
          <w:lang w:val="es-ES"/>
        </w:rPr>
        <w:t xml:space="preserve">, se señaló que </w:t>
      </w:r>
      <w:r w:rsidRPr="00D61E7E">
        <w:rPr>
          <w:rFonts w:ascii="Times New Roman" w:hAnsi="Times New Roman" w:cs="Times New Roman"/>
          <w:sz w:val="28"/>
          <w:szCs w:val="28"/>
          <w:lang w:val="es-ES"/>
        </w:rPr>
        <w:t xml:space="preserve">la norma busca modernizar los procedimientos de la DIAN, adecuar el Estatuto Tributario a las nuevas realidades empresariales y promover la eficiencia en la administración pública. </w:t>
      </w:r>
      <w:r w:rsidRPr="00D61E7E">
        <w:rPr>
          <w:rFonts w:ascii="Times New Roman" w:hAnsi="Times New Roman" w:cs="Times New Roman"/>
          <w:sz w:val="28"/>
          <w:szCs w:val="28"/>
          <w:lang w:val="es-ES"/>
        </w:rPr>
        <w:t xml:space="preserve">Finalmente, en el informe de conciliación </w:t>
      </w:r>
      <w:r w:rsidRPr="00D61E7E">
        <w:rPr>
          <w:rFonts w:ascii="Times New Roman" w:hAnsi="Times New Roman" w:cs="Times New Roman"/>
          <w:sz w:val="28"/>
          <w:szCs w:val="28"/>
          <w:lang w:val="es-ES"/>
        </w:rPr>
        <w:t>los dos artículos fueron incluido</w:t>
      </w:r>
      <w:r w:rsidRPr="00D61E7E">
        <w:rPr>
          <w:rFonts w:ascii="Times New Roman" w:hAnsi="Times New Roman" w:cs="Times New Roman"/>
          <w:sz w:val="28"/>
          <w:szCs w:val="28"/>
          <w:lang w:val="es-ES"/>
        </w:rPr>
        <w:t>s de manera definitiva</w:t>
      </w:r>
      <w:r w:rsidRPr="00D61E7E">
        <w:rPr>
          <w:rStyle w:val="Refdenotaalpie"/>
          <w:rFonts w:ascii="Times New Roman" w:hAnsi="Times New Roman" w:cs="Times New Roman"/>
          <w:sz w:val="28"/>
          <w:szCs w:val="28"/>
          <w:lang w:val="es-ES"/>
        </w:rPr>
        <w:footnoteReference w:id="48"/>
      </w:r>
      <w:r w:rsidRPr="00D61E7E">
        <w:rPr>
          <w:rFonts w:ascii="Times New Roman" w:hAnsi="Times New Roman" w:cs="Times New Roman"/>
          <w:sz w:val="28"/>
          <w:szCs w:val="28"/>
          <w:lang w:val="es-ES"/>
        </w:rPr>
        <w:t xml:space="preserve">. </w:t>
      </w:r>
    </w:p>
    <w:p w:rsidR="002A44DB" w:rsidRPr="00D61E7E" w:rsidRDefault="00D61E7E" w:rsidP="002A44DB">
      <w:pPr>
        <w:pStyle w:val="Prrafodelista"/>
        <w:spacing w:before="100" w:beforeAutospacing="1" w:after="100" w:afterAutospacing="1"/>
        <w:ind w:left="0"/>
        <w:rPr>
          <w:rFonts w:ascii="Times New Roman" w:hAnsi="Times New Roman" w:cs="Times New Roman"/>
          <w:sz w:val="28"/>
          <w:szCs w:val="28"/>
          <w:lang w:val="es-ES"/>
        </w:rPr>
      </w:pPr>
    </w:p>
    <w:p w:rsidR="002A44DB" w:rsidRPr="00D61E7E" w:rsidRDefault="00D61E7E" w:rsidP="002A44DB">
      <w:pPr>
        <w:pStyle w:val="Prrafodelista"/>
        <w:numPr>
          <w:ilvl w:val="0"/>
          <w:numId w:val="3"/>
        </w:numPr>
        <w:spacing w:before="100" w:beforeAutospacing="1" w:after="100" w:afterAutospacing="1"/>
        <w:rPr>
          <w:rFonts w:ascii="Times New Roman" w:hAnsi="Times New Roman" w:cs="Times New Roman"/>
          <w:sz w:val="28"/>
          <w:lang w:val="es-ES"/>
        </w:rPr>
      </w:pPr>
      <w:r w:rsidRPr="00D61E7E">
        <w:rPr>
          <w:rFonts w:ascii="Times New Roman" w:hAnsi="Times New Roman" w:cs="Times New Roman"/>
          <w:sz w:val="28"/>
          <w:szCs w:val="28"/>
          <w:lang w:val="es-ES"/>
        </w:rPr>
        <w:t xml:space="preserve">Hechas estas precisiones sobre el procedimiento legislativo, la Corte pasa ahora a analizar de forma individual si los artículos demandados observan o no el principio de unidad de materia. </w:t>
      </w:r>
    </w:p>
    <w:p w:rsidR="002A44DB" w:rsidRPr="00D61E7E" w:rsidRDefault="00D61E7E" w:rsidP="002A44DB">
      <w:pPr>
        <w:pStyle w:val="Prrafodelista"/>
        <w:rPr>
          <w:rFonts w:ascii="Times New Roman" w:hAnsi="Times New Roman" w:cs="Times New Roman"/>
          <w:sz w:val="28"/>
          <w:szCs w:val="28"/>
          <w:lang w:val="es-ES"/>
        </w:rPr>
      </w:pPr>
    </w:p>
    <w:p w:rsidR="002A44DB" w:rsidRPr="00D61E7E" w:rsidRDefault="00D61E7E" w:rsidP="002A44DB">
      <w:pPr>
        <w:pStyle w:val="Prrafodelista"/>
        <w:spacing w:before="100" w:beforeAutospacing="1" w:after="100" w:afterAutospacing="1"/>
        <w:ind w:left="0"/>
        <w:rPr>
          <w:rFonts w:ascii="Times New Roman" w:hAnsi="Times New Roman" w:cs="Times New Roman"/>
          <w:b/>
          <w:bCs/>
          <w:sz w:val="28"/>
          <w:szCs w:val="28"/>
          <w:lang w:val="es-ES"/>
        </w:rPr>
      </w:pPr>
      <w:r w:rsidRPr="00D61E7E">
        <w:rPr>
          <w:rFonts w:ascii="Times New Roman" w:hAnsi="Times New Roman" w:cs="Times New Roman"/>
          <w:b/>
          <w:bCs/>
          <w:sz w:val="28"/>
          <w:szCs w:val="28"/>
          <w:lang w:val="es-ES"/>
        </w:rPr>
        <w:t xml:space="preserve">Análisis de unidad de materia del </w:t>
      </w:r>
      <w:r w:rsidRPr="00D61E7E">
        <w:rPr>
          <w:rFonts w:ascii="Times New Roman" w:hAnsi="Times New Roman" w:cs="Times New Roman"/>
          <w:b/>
          <w:bCs/>
          <w:sz w:val="28"/>
          <w:szCs w:val="28"/>
          <w:lang w:val="es-ES"/>
        </w:rPr>
        <w:t>artículo 70</w:t>
      </w:r>
    </w:p>
    <w:p w:rsidR="00816055" w:rsidRPr="00D61E7E" w:rsidRDefault="00D61E7E" w:rsidP="00816055">
      <w:pPr>
        <w:pStyle w:val="Prrafodelista"/>
        <w:rPr>
          <w:rFonts w:ascii="Times New Roman" w:hAnsi="Times New Roman" w:cs="Times New Roman"/>
          <w:bCs/>
          <w:sz w:val="28"/>
          <w:szCs w:val="28"/>
          <w:lang w:val="es-ES"/>
        </w:rPr>
      </w:pPr>
    </w:p>
    <w:p w:rsidR="00BD37F7" w:rsidRPr="00D61E7E" w:rsidRDefault="00D61E7E" w:rsidP="00BD37F7">
      <w:pPr>
        <w:pStyle w:val="Prrafodelista"/>
        <w:numPr>
          <w:ilvl w:val="0"/>
          <w:numId w:val="3"/>
        </w:numPr>
        <w:spacing w:before="100" w:beforeAutospacing="1" w:after="100" w:afterAutospacing="1"/>
        <w:rPr>
          <w:rFonts w:ascii="Times New Roman" w:hAnsi="Times New Roman" w:cs="Times New Roman"/>
          <w:sz w:val="28"/>
          <w:lang w:val="es-ES"/>
        </w:rPr>
      </w:pPr>
      <w:r w:rsidRPr="00D61E7E">
        <w:rPr>
          <w:rFonts w:ascii="Times New Roman" w:hAnsi="Times New Roman" w:cs="Times New Roman"/>
          <w:bCs/>
          <w:sz w:val="28"/>
          <w:szCs w:val="28"/>
          <w:lang w:val="es-ES"/>
        </w:rPr>
        <w:t xml:space="preserve">En relación con el artículo 70, </w:t>
      </w:r>
      <w:r w:rsidRPr="00D61E7E">
        <w:rPr>
          <w:rFonts w:ascii="Times New Roman" w:hAnsi="Times New Roman" w:cs="Times New Roman"/>
          <w:bCs/>
          <w:sz w:val="28"/>
          <w:szCs w:val="28"/>
          <w:lang w:val="es-ES"/>
        </w:rPr>
        <w:t xml:space="preserve">la Sala verifica que en este caso se cumplen todos los criterios que ha usado la Corte para juzgar el cumplimiento de este principio </w:t>
      </w:r>
      <w:r w:rsidRPr="00D61E7E">
        <w:rPr>
          <w:rFonts w:ascii="Times New Roman" w:hAnsi="Times New Roman" w:cs="Times New Roman"/>
          <w:bCs/>
          <w:sz w:val="28"/>
          <w:szCs w:val="28"/>
          <w:lang w:val="es-ES"/>
        </w:rPr>
        <w:t>por las siguientes razones.</w:t>
      </w:r>
      <w:r w:rsidRPr="00D61E7E">
        <w:rPr>
          <w:rFonts w:ascii="Times New Roman" w:hAnsi="Times New Roman" w:cs="Times New Roman"/>
          <w:bCs/>
          <w:sz w:val="28"/>
          <w:szCs w:val="28"/>
          <w:lang w:val="es-ES"/>
        </w:rPr>
        <w:t xml:space="preserve"> </w:t>
      </w:r>
      <w:r w:rsidRPr="00D61E7E">
        <w:rPr>
          <w:rFonts w:ascii="Times New Roman" w:hAnsi="Times New Roman" w:cs="Times New Roman"/>
          <w:bCs/>
          <w:sz w:val="28"/>
          <w:szCs w:val="28"/>
          <w:lang w:val="es-ES"/>
        </w:rPr>
        <w:t xml:space="preserve">Primero, existe </w:t>
      </w:r>
      <w:r w:rsidRPr="00D61E7E">
        <w:rPr>
          <w:rFonts w:ascii="Times New Roman" w:hAnsi="Times New Roman" w:cs="Times New Roman"/>
          <w:b/>
          <w:sz w:val="28"/>
          <w:szCs w:val="28"/>
          <w:lang w:val="es-ES"/>
        </w:rPr>
        <w:t>conexidad temática</w:t>
      </w:r>
      <w:r w:rsidRPr="00D61E7E">
        <w:rPr>
          <w:rFonts w:ascii="Times New Roman" w:hAnsi="Times New Roman" w:cs="Times New Roman"/>
          <w:bCs/>
          <w:sz w:val="28"/>
          <w:szCs w:val="28"/>
          <w:lang w:val="es-ES"/>
        </w:rPr>
        <w:t xml:space="preserve"> pues </w:t>
      </w:r>
      <w:r w:rsidRPr="00D61E7E">
        <w:rPr>
          <w:rFonts w:ascii="Times New Roman" w:hAnsi="Times New Roman" w:cs="Times New Roman"/>
          <w:sz w:val="28"/>
          <w:szCs w:val="28"/>
          <w:lang w:val="es-ES"/>
        </w:rPr>
        <w:t>l</w:t>
      </w:r>
      <w:r w:rsidRPr="00D61E7E">
        <w:rPr>
          <w:rFonts w:ascii="Times New Roman" w:hAnsi="Times New Roman" w:cs="Times New Roman"/>
          <w:sz w:val="28"/>
          <w:szCs w:val="28"/>
        </w:rPr>
        <w:t xml:space="preserve">a reasignación de funciones regulatorias a la Superintendencia de Sociedades no solo optimiza los procedimientos de </w:t>
      </w:r>
      <w:r w:rsidRPr="00D61E7E">
        <w:rPr>
          <w:rFonts w:ascii="Times New Roman" w:hAnsi="Times New Roman" w:cs="Times New Roman"/>
          <w:sz w:val="28"/>
          <w:szCs w:val="28"/>
        </w:rPr>
        <w:t>supervisión,</w:t>
      </w:r>
      <w:r w:rsidRPr="00D61E7E">
        <w:rPr>
          <w:rFonts w:ascii="Times New Roman" w:hAnsi="Times New Roman" w:cs="Times New Roman"/>
          <w:sz w:val="28"/>
          <w:szCs w:val="28"/>
        </w:rPr>
        <w:t xml:space="preserve"> sino que también implica un paso significativo hacia la reducción de la burocracia que frecuentemente obstaculiza la actividad </w:t>
      </w:r>
      <w:r w:rsidRPr="00D61E7E">
        <w:rPr>
          <w:rFonts w:ascii="Times New Roman" w:hAnsi="Times New Roman" w:cs="Times New Roman"/>
          <w:sz w:val="28"/>
          <w:szCs w:val="28"/>
        </w:rPr>
        <w:t>empresarial. Al centralizar la supervisión y el control de las cámaras de comercio en una entidad con vasta experiencia y competencia técnica, se facilita un proceso más ágil y menos oneroso para los empresarios, especialmente beneficioso para las pequeñas</w:t>
      </w:r>
      <w:r w:rsidRPr="00D61E7E">
        <w:rPr>
          <w:rFonts w:ascii="Times New Roman" w:hAnsi="Times New Roman" w:cs="Times New Roman"/>
          <w:sz w:val="28"/>
          <w:szCs w:val="28"/>
        </w:rPr>
        <w:t xml:space="preserve"> y medianas empresas.</w:t>
      </w:r>
    </w:p>
    <w:p w:rsidR="00BD37F7" w:rsidRPr="00D61E7E" w:rsidRDefault="00D61E7E" w:rsidP="00BD37F7">
      <w:pPr>
        <w:pStyle w:val="Prrafodelista"/>
        <w:spacing w:before="100" w:beforeAutospacing="1" w:after="100" w:afterAutospacing="1"/>
        <w:ind w:left="0"/>
        <w:rPr>
          <w:rFonts w:ascii="Times New Roman" w:hAnsi="Times New Roman" w:cs="Times New Roman"/>
          <w:sz w:val="28"/>
          <w:lang w:val="es-ES"/>
        </w:rPr>
      </w:pPr>
    </w:p>
    <w:p w:rsidR="00BD37F7" w:rsidRPr="00D61E7E" w:rsidRDefault="00D61E7E" w:rsidP="00BD37F7">
      <w:pPr>
        <w:pStyle w:val="Prrafodelista"/>
        <w:numPr>
          <w:ilvl w:val="0"/>
          <w:numId w:val="3"/>
        </w:numPr>
        <w:spacing w:before="100" w:beforeAutospacing="1" w:after="100" w:afterAutospacing="1"/>
        <w:rPr>
          <w:rFonts w:ascii="Times New Roman" w:hAnsi="Times New Roman" w:cs="Times New Roman"/>
          <w:sz w:val="28"/>
          <w:szCs w:val="28"/>
          <w:lang w:val="es-ES"/>
        </w:rPr>
      </w:pPr>
      <w:r w:rsidRPr="00D61E7E">
        <w:rPr>
          <w:rFonts w:ascii="Times New Roman" w:hAnsi="Times New Roman" w:cs="Times New Roman"/>
          <w:sz w:val="28"/>
          <w:szCs w:val="28"/>
        </w:rPr>
        <w:t>La Superintendencia de Sociedades, con su amplio conocimiento en el ámbito del derecho comercial y la supervisión empresarial, se posiciona como una entidad clave para la vigilancia de las prácticas empresariales, especialmente de la</w:t>
      </w:r>
      <w:r w:rsidRPr="00D61E7E">
        <w:rPr>
          <w:rFonts w:ascii="Times New Roman" w:hAnsi="Times New Roman" w:cs="Times New Roman"/>
          <w:sz w:val="28"/>
          <w:szCs w:val="28"/>
        </w:rPr>
        <w:t>s pequeñas y medianas empresas. Este enfoque en el artículo busca no solo especializar sino también tecnificar el marco institucional regulatorio, con el objetivo de hacerlo más eficiente y alineado con las necesidades específicas de los emprendedores. Est</w:t>
      </w:r>
      <w:r w:rsidRPr="00D61E7E">
        <w:rPr>
          <w:rFonts w:ascii="Times New Roman" w:hAnsi="Times New Roman" w:cs="Times New Roman"/>
          <w:sz w:val="28"/>
          <w:szCs w:val="28"/>
        </w:rPr>
        <w:t>a transformación se orienta a proporcionar un entorno regulatorio más intuitivo y accesible, que facilite la gestión empresarial y promueva un desarrollo más ágil y sostenible de nuevas empresas en el país.</w:t>
      </w:r>
    </w:p>
    <w:p w:rsidR="00BD37F7" w:rsidRPr="00D61E7E" w:rsidRDefault="00D61E7E" w:rsidP="00BD37F7">
      <w:pPr>
        <w:pStyle w:val="Prrafodelista"/>
        <w:rPr>
          <w:rFonts w:ascii="Times New Roman" w:hAnsi="Times New Roman" w:cs="Times New Roman"/>
          <w:sz w:val="28"/>
          <w:szCs w:val="28"/>
          <w:lang w:val="es-ES"/>
        </w:rPr>
      </w:pPr>
    </w:p>
    <w:p w:rsidR="00BD37F7" w:rsidRPr="00D61E7E" w:rsidRDefault="00D61E7E" w:rsidP="00BD37F7">
      <w:pPr>
        <w:pStyle w:val="Prrafodelista"/>
        <w:numPr>
          <w:ilvl w:val="0"/>
          <w:numId w:val="3"/>
        </w:numPr>
        <w:spacing w:before="100" w:beforeAutospacing="1" w:after="100" w:afterAutospacing="1"/>
        <w:rPr>
          <w:rFonts w:ascii="Times New Roman" w:hAnsi="Times New Roman" w:cs="Times New Roman"/>
          <w:sz w:val="28"/>
          <w:szCs w:val="28"/>
        </w:rPr>
      </w:pPr>
      <w:r w:rsidRPr="00D61E7E">
        <w:rPr>
          <w:rFonts w:ascii="Times New Roman" w:hAnsi="Times New Roman" w:cs="Times New Roman"/>
          <w:sz w:val="28"/>
          <w:szCs w:val="28"/>
        </w:rPr>
        <w:t>Durante sus intervenciones en el proceso, la Uni</w:t>
      </w:r>
      <w:r w:rsidRPr="00D61E7E">
        <w:rPr>
          <w:rFonts w:ascii="Times New Roman" w:hAnsi="Times New Roman" w:cs="Times New Roman"/>
          <w:sz w:val="28"/>
          <w:szCs w:val="28"/>
        </w:rPr>
        <w:t>versidad Externado de Colombia, la Universidad del Norte, el Ministerio de Comercio, Industria y Turismo, y la Superintendencia de Industria y Comercio destacaron que la Superintendencia de Sociedades tiene una comprensión detallada de las dinámicas del de</w:t>
      </w:r>
      <w:r w:rsidRPr="00D61E7E">
        <w:rPr>
          <w:rFonts w:ascii="Times New Roman" w:hAnsi="Times New Roman" w:cs="Times New Roman"/>
          <w:sz w:val="28"/>
          <w:szCs w:val="28"/>
        </w:rPr>
        <w:t xml:space="preserve">sarrollo empresarial en Colombia. Esta familiaridad se sustenta legal y orgánicamente en  disposiciones como la Ley 222 de 1995 y el Decreto Único Reglamentario 1074 de 2015 del Sector de Comercio, Industria y Comercio. </w:t>
      </w:r>
    </w:p>
    <w:p w:rsidR="00BD37F7" w:rsidRPr="00D61E7E" w:rsidRDefault="00D61E7E" w:rsidP="00BD37F7">
      <w:pPr>
        <w:pStyle w:val="Prrafodelista"/>
        <w:rPr>
          <w:rFonts w:ascii="Times New Roman" w:hAnsi="Times New Roman" w:cs="Times New Roman"/>
          <w:sz w:val="28"/>
          <w:szCs w:val="28"/>
        </w:rPr>
      </w:pPr>
    </w:p>
    <w:p w:rsidR="00BD37F7" w:rsidRPr="00D61E7E" w:rsidRDefault="00D61E7E" w:rsidP="00BD37F7">
      <w:pPr>
        <w:pStyle w:val="Prrafodelista"/>
        <w:numPr>
          <w:ilvl w:val="0"/>
          <w:numId w:val="3"/>
        </w:numPr>
        <w:spacing w:before="100" w:beforeAutospacing="1" w:after="100" w:afterAutospacing="1"/>
        <w:rPr>
          <w:rFonts w:ascii="Times New Roman" w:hAnsi="Times New Roman" w:cs="Times New Roman"/>
          <w:sz w:val="28"/>
          <w:szCs w:val="28"/>
        </w:rPr>
      </w:pPr>
      <w:r w:rsidRPr="00D61E7E">
        <w:rPr>
          <w:rFonts w:ascii="Times New Roman" w:hAnsi="Times New Roman" w:cs="Times New Roman"/>
          <w:sz w:val="28"/>
          <w:szCs w:val="28"/>
        </w:rPr>
        <w:t>Por otra parte, el carácter especi</w:t>
      </w:r>
      <w:r w:rsidRPr="00D61E7E">
        <w:rPr>
          <w:rFonts w:ascii="Times New Roman" w:hAnsi="Times New Roman" w:cs="Times New Roman"/>
          <w:sz w:val="28"/>
          <w:szCs w:val="28"/>
        </w:rPr>
        <w:t>alizado</w:t>
      </w:r>
      <w:r w:rsidRPr="00D61E7E">
        <w:rPr>
          <w:rFonts w:ascii="Times New Roman" w:hAnsi="Times New Roman" w:cs="Times New Roman"/>
          <w:sz w:val="28"/>
          <w:szCs w:val="28"/>
          <w:lang w:val="es-ES"/>
        </w:rPr>
        <w:t xml:space="preserve"> de la Superintendencia de Sociedad se manifiesta en las funciones críticas que desempeña, conforme a lo establecido en los artículos 115, 116, 150 y 211 de la Constitución. Esta entidad está profundamente involucrada en la inspección</w:t>
      </w:r>
      <w:r w:rsidRPr="00D61E7E">
        <w:rPr>
          <w:rFonts w:ascii="Times New Roman" w:hAnsi="Times New Roman" w:cs="Times New Roman"/>
          <w:sz w:val="28"/>
          <w:szCs w:val="28"/>
          <w:lang w:val="es-ES"/>
        </w:rPr>
        <w:t>,</w:t>
      </w:r>
      <w:r w:rsidRPr="00D61E7E">
        <w:rPr>
          <w:rFonts w:ascii="Times New Roman" w:hAnsi="Times New Roman" w:cs="Times New Roman"/>
          <w:sz w:val="28"/>
          <w:szCs w:val="28"/>
          <w:lang w:val="es-ES"/>
        </w:rPr>
        <w:t xml:space="preserve"> </w:t>
      </w:r>
      <w:r w:rsidRPr="00D61E7E">
        <w:rPr>
          <w:rFonts w:ascii="Times New Roman" w:hAnsi="Times New Roman" w:cs="Times New Roman"/>
          <w:sz w:val="28"/>
          <w:szCs w:val="28"/>
          <w:lang w:val="es-ES"/>
        </w:rPr>
        <w:t>vigilancia</w:t>
      </w:r>
      <w:r w:rsidRPr="00D61E7E">
        <w:rPr>
          <w:rFonts w:ascii="Times New Roman" w:hAnsi="Times New Roman" w:cs="Times New Roman"/>
          <w:sz w:val="28"/>
          <w:szCs w:val="28"/>
          <w:lang w:val="es-ES"/>
        </w:rPr>
        <w:t xml:space="preserve"> y control</w:t>
      </w:r>
      <w:r w:rsidRPr="00D61E7E">
        <w:rPr>
          <w:rFonts w:ascii="Times New Roman" w:hAnsi="Times New Roman" w:cs="Times New Roman"/>
          <w:sz w:val="28"/>
          <w:szCs w:val="28"/>
          <w:lang w:val="es-ES"/>
        </w:rPr>
        <w:t xml:space="preserve"> en materia de derecho societario, contabilidad y buenas prácticas de gobierno corporativo</w:t>
      </w:r>
      <w:r w:rsidRPr="00D61E7E">
        <w:rPr>
          <w:rStyle w:val="Refdenotaalpie"/>
          <w:rFonts w:ascii="Times New Roman" w:hAnsi="Times New Roman" w:cs="Times New Roman"/>
          <w:sz w:val="28"/>
          <w:szCs w:val="28"/>
          <w:lang w:val="es-ES"/>
        </w:rPr>
        <w:footnoteReference w:id="49"/>
      </w:r>
      <w:r w:rsidRPr="00D61E7E">
        <w:rPr>
          <w:rFonts w:ascii="Times New Roman" w:hAnsi="Times New Roman" w:cs="Times New Roman"/>
          <w:sz w:val="28"/>
          <w:szCs w:val="28"/>
          <w:lang w:val="es-ES"/>
        </w:rPr>
        <w:t>. Estas competencias garantizan que la Superintendencia no solo regula</w:t>
      </w:r>
      <w:r w:rsidRPr="00D61E7E">
        <w:rPr>
          <w:rFonts w:ascii="Times New Roman" w:hAnsi="Times New Roman" w:cs="Times New Roman"/>
          <w:sz w:val="28"/>
          <w:szCs w:val="28"/>
          <w:lang w:val="es-ES"/>
        </w:rPr>
        <w:t>,</w:t>
      </w:r>
      <w:r w:rsidRPr="00D61E7E">
        <w:rPr>
          <w:rFonts w:ascii="Times New Roman" w:hAnsi="Times New Roman" w:cs="Times New Roman"/>
          <w:sz w:val="28"/>
          <w:szCs w:val="28"/>
          <w:lang w:val="es-ES"/>
        </w:rPr>
        <w:t xml:space="preserve"> sino que también proporciona un marco de apoyo integral que comprende las realidade</w:t>
      </w:r>
      <w:r w:rsidRPr="00D61E7E">
        <w:rPr>
          <w:rFonts w:ascii="Times New Roman" w:hAnsi="Times New Roman" w:cs="Times New Roman"/>
          <w:sz w:val="28"/>
          <w:szCs w:val="28"/>
          <w:lang w:val="es-ES"/>
        </w:rPr>
        <w:t>s y desafíos del ecosistema emprendedor en Colombia.</w:t>
      </w:r>
    </w:p>
    <w:p w:rsidR="00BD37F7" w:rsidRPr="00D61E7E" w:rsidRDefault="00D61E7E" w:rsidP="00BD37F7">
      <w:pPr>
        <w:pStyle w:val="Prrafodelista"/>
        <w:rPr>
          <w:rFonts w:ascii="Times New Roman" w:hAnsi="Times New Roman" w:cs="Times New Roman"/>
          <w:sz w:val="28"/>
        </w:rPr>
      </w:pPr>
    </w:p>
    <w:p w:rsidR="00BD37F7" w:rsidRPr="00D61E7E" w:rsidRDefault="00D61E7E" w:rsidP="00BD37F7">
      <w:pPr>
        <w:pStyle w:val="Prrafodelista"/>
        <w:numPr>
          <w:ilvl w:val="0"/>
          <w:numId w:val="3"/>
        </w:numPr>
        <w:spacing w:before="100" w:beforeAutospacing="1" w:after="100" w:afterAutospacing="1"/>
        <w:rPr>
          <w:rFonts w:ascii="Times New Roman" w:hAnsi="Times New Roman" w:cs="Times New Roman"/>
          <w:sz w:val="28"/>
          <w:szCs w:val="28"/>
          <w:lang w:val="es-ES"/>
        </w:rPr>
      </w:pPr>
      <w:r w:rsidRPr="00D61E7E">
        <w:rPr>
          <w:rFonts w:ascii="Times New Roman" w:hAnsi="Times New Roman" w:cs="Times New Roman"/>
          <w:sz w:val="28"/>
          <w:szCs w:val="28"/>
          <w:lang w:val="es-ES"/>
        </w:rPr>
        <w:t>Adicionalmente, la experiencia de la Superintendencia en resolver conflictos corporativos y manejar procesos de insolvencia y reorganización empresarial es especialmente valiosa. Esta especialización pe</w:t>
      </w:r>
      <w:r w:rsidRPr="00D61E7E">
        <w:rPr>
          <w:rFonts w:ascii="Times New Roman" w:hAnsi="Times New Roman" w:cs="Times New Roman"/>
          <w:sz w:val="28"/>
          <w:szCs w:val="28"/>
          <w:lang w:val="es-ES"/>
        </w:rPr>
        <w:t>rmite a la entidad administrar de manera efectiva situaciones complejas que involucran la reestructuración y liquidación de empresas en apuros financieros, adaptándose a las necesidades y ciclos específicos de cada proyecto de emprendimiento. Tal como lo d</w:t>
      </w:r>
      <w:r w:rsidRPr="00D61E7E">
        <w:rPr>
          <w:rFonts w:ascii="Times New Roman" w:hAnsi="Times New Roman" w:cs="Times New Roman"/>
          <w:sz w:val="28"/>
          <w:szCs w:val="28"/>
          <w:lang w:val="es-ES"/>
        </w:rPr>
        <w:t>estacaron los intervinientes, la Superintendencia actúa activamente en el acompañamiento de las empresas no solo para fomentar su crecimiento y estabilidad, sino también para gestionar ordenadamente su cierre si es necesario, lo que demuestra una expertici</w:t>
      </w:r>
      <w:r w:rsidRPr="00D61E7E">
        <w:rPr>
          <w:rFonts w:ascii="Times New Roman" w:hAnsi="Times New Roman" w:cs="Times New Roman"/>
          <w:sz w:val="28"/>
          <w:szCs w:val="28"/>
          <w:lang w:val="es-ES"/>
        </w:rPr>
        <w:t xml:space="preserve">a </w:t>
      </w:r>
      <w:r w:rsidRPr="00D61E7E">
        <w:rPr>
          <w:rFonts w:ascii="Times New Roman" w:hAnsi="Times New Roman" w:cs="Times New Roman"/>
          <w:sz w:val="28"/>
          <w:szCs w:val="28"/>
          <w:lang w:val="es-ES"/>
        </w:rPr>
        <w:t xml:space="preserve">acumulada en la aplicación de la legislación empresarial del país. </w:t>
      </w:r>
    </w:p>
    <w:p w:rsidR="00A336EE" w:rsidRPr="00D61E7E" w:rsidRDefault="00D61E7E" w:rsidP="00A336EE">
      <w:pPr>
        <w:pStyle w:val="Prrafodelista"/>
        <w:rPr>
          <w:rFonts w:ascii="Times New Roman" w:hAnsi="Times New Roman" w:cs="Times New Roman"/>
          <w:sz w:val="28"/>
          <w:szCs w:val="28"/>
          <w:lang w:val="es-ES"/>
        </w:rPr>
      </w:pPr>
    </w:p>
    <w:p w:rsidR="00A336EE" w:rsidRPr="00D61E7E" w:rsidRDefault="00D61E7E" w:rsidP="00A336EE">
      <w:pPr>
        <w:pStyle w:val="Prrafodelista"/>
        <w:numPr>
          <w:ilvl w:val="0"/>
          <w:numId w:val="3"/>
        </w:numPr>
        <w:spacing w:before="100" w:beforeAutospacing="1" w:after="100" w:afterAutospacing="1"/>
        <w:rPr>
          <w:rFonts w:ascii="Times New Roman" w:hAnsi="Times New Roman" w:cs="Times New Roman"/>
          <w:sz w:val="28"/>
          <w:szCs w:val="28"/>
          <w:lang w:val="es-ES"/>
        </w:rPr>
      </w:pPr>
      <w:r w:rsidRPr="00D61E7E">
        <w:rPr>
          <w:rFonts w:ascii="Times New Roman" w:hAnsi="Times New Roman" w:cs="Times New Roman"/>
          <w:sz w:val="28"/>
          <w:szCs w:val="28"/>
          <w:lang w:val="es-ES"/>
        </w:rPr>
        <w:t xml:space="preserve">Por estas razones, además, no son de recibo los argumentos presentados por el señor López Molina según la cual </w:t>
      </w:r>
      <w:r w:rsidRPr="00D61E7E">
        <w:rPr>
          <w:rFonts w:ascii="Times New Roman" w:hAnsi="Times New Roman" w:cs="Times New Roman"/>
          <w:bCs/>
          <w:sz w:val="28"/>
          <w:szCs w:val="28"/>
          <w:lang w:val="es-ES"/>
        </w:rPr>
        <w:t xml:space="preserve">el segundo y tercer inciso de la norma, que se refieren a que el Gobierno </w:t>
      </w:r>
      <w:r w:rsidRPr="00D61E7E">
        <w:rPr>
          <w:rFonts w:ascii="Times New Roman" w:hAnsi="Times New Roman" w:cs="Times New Roman"/>
          <w:bCs/>
          <w:sz w:val="28"/>
          <w:szCs w:val="28"/>
          <w:lang w:val="es-ES"/>
        </w:rPr>
        <w:t>Nacional proporcionará los recursos para la transición de funciones y establecerá la tarifa o contribución que deberán pagar las Cámaras de Comercio a la Superintendencia de Sociedades, no tienen una relación temática con el emprendimiento. Estos incisos s</w:t>
      </w:r>
      <w:r w:rsidRPr="00D61E7E">
        <w:rPr>
          <w:rFonts w:ascii="Times New Roman" w:hAnsi="Times New Roman" w:cs="Times New Roman"/>
          <w:bCs/>
          <w:sz w:val="28"/>
          <w:szCs w:val="28"/>
          <w:lang w:val="es-ES"/>
        </w:rPr>
        <w:t xml:space="preserve">on fundamentales para asegurar que la transferencia de competencias se realice de manera efectiva y sin afectar la supervisión continua </w:t>
      </w:r>
      <w:r w:rsidRPr="00D61E7E">
        <w:rPr>
          <w:rFonts w:ascii="Times New Roman" w:hAnsi="Times New Roman" w:cs="Times New Roman"/>
          <w:bCs/>
          <w:sz w:val="28"/>
          <w:szCs w:val="28"/>
          <w:lang w:val="es-ES"/>
        </w:rPr>
        <w:t>a</w:t>
      </w:r>
      <w:r w:rsidRPr="00D61E7E">
        <w:rPr>
          <w:rFonts w:ascii="Times New Roman" w:hAnsi="Times New Roman" w:cs="Times New Roman"/>
          <w:bCs/>
          <w:sz w:val="28"/>
          <w:szCs w:val="28"/>
          <w:lang w:val="es-ES"/>
        </w:rPr>
        <w:t xml:space="preserve"> las cámaras de comercio, lo cual es crucial para crear un entorno regulatorio estable y predecible que beneficie a los emprendedores. La provisión de recursos y la estructuración de tarifas garantizan que la Superintendencia de Sociedades pueda asumir est</w:t>
      </w:r>
      <w:r w:rsidRPr="00D61E7E">
        <w:rPr>
          <w:rFonts w:ascii="Times New Roman" w:hAnsi="Times New Roman" w:cs="Times New Roman"/>
          <w:bCs/>
          <w:sz w:val="28"/>
          <w:szCs w:val="28"/>
          <w:lang w:val="es-ES"/>
        </w:rPr>
        <w:t xml:space="preserve">as nuevas funciones sin interrupciones, </w:t>
      </w:r>
      <w:r w:rsidRPr="00D61E7E">
        <w:rPr>
          <w:rFonts w:ascii="Times New Roman" w:hAnsi="Times New Roman" w:cs="Times New Roman"/>
          <w:bCs/>
          <w:sz w:val="28"/>
          <w:szCs w:val="28"/>
          <w:lang w:val="es-ES"/>
        </w:rPr>
        <w:t xml:space="preserve">lo que facilita </w:t>
      </w:r>
      <w:r w:rsidRPr="00D61E7E">
        <w:rPr>
          <w:rFonts w:ascii="Times New Roman" w:hAnsi="Times New Roman" w:cs="Times New Roman"/>
          <w:bCs/>
          <w:sz w:val="28"/>
          <w:szCs w:val="28"/>
          <w:lang w:val="es-ES"/>
        </w:rPr>
        <w:t>un ambiente favorable para el emprendimiento al mantener un sistema de registro mercantil y supervisión eficiente y confiable. Por ello, a diferencia de lo argumentado por el demandante, la Corte sí e</w:t>
      </w:r>
      <w:r w:rsidRPr="00D61E7E">
        <w:rPr>
          <w:rFonts w:ascii="Times New Roman" w:hAnsi="Times New Roman" w:cs="Times New Roman"/>
          <w:bCs/>
          <w:sz w:val="28"/>
          <w:szCs w:val="28"/>
          <w:lang w:val="es-ES"/>
        </w:rPr>
        <w:t>ncuentra que existe una conexidad temática entre estos incisos y la temática de la norma. Además, la Sala precisa que esta consideración no guarda relación con el cargo inadmitido que, como se explicó al inicio de esta providencia, se refiere a la supuesta</w:t>
      </w:r>
      <w:r w:rsidRPr="00D61E7E">
        <w:rPr>
          <w:rFonts w:ascii="Times New Roman" w:hAnsi="Times New Roman" w:cs="Times New Roman"/>
          <w:bCs/>
          <w:sz w:val="28"/>
          <w:szCs w:val="28"/>
          <w:lang w:val="es-ES"/>
        </w:rPr>
        <w:t xml:space="preserve"> vulneración del principio de certeza y legalidad tributaria.  </w:t>
      </w:r>
    </w:p>
    <w:p w:rsidR="00BD37F7" w:rsidRPr="00D61E7E" w:rsidRDefault="00D61E7E" w:rsidP="00BD37F7">
      <w:pPr>
        <w:pStyle w:val="Prrafodelista"/>
        <w:spacing w:before="100" w:beforeAutospacing="1" w:after="100" w:afterAutospacing="1"/>
        <w:ind w:left="0"/>
        <w:rPr>
          <w:rFonts w:ascii="Times New Roman" w:hAnsi="Times New Roman" w:cs="Times New Roman"/>
          <w:sz w:val="28"/>
          <w:szCs w:val="28"/>
          <w:lang w:val="es-ES"/>
        </w:rPr>
      </w:pPr>
    </w:p>
    <w:p w:rsidR="008E0E92" w:rsidRPr="00D61E7E" w:rsidRDefault="00D61E7E" w:rsidP="00BD37F7">
      <w:pPr>
        <w:pStyle w:val="Prrafodelista"/>
        <w:numPr>
          <w:ilvl w:val="0"/>
          <w:numId w:val="3"/>
        </w:numPr>
        <w:spacing w:before="100" w:beforeAutospacing="1" w:after="100" w:afterAutospacing="1"/>
        <w:rPr>
          <w:rFonts w:ascii="Times New Roman" w:hAnsi="Times New Roman" w:cs="Times New Roman"/>
          <w:b/>
          <w:bCs/>
          <w:sz w:val="28"/>
          <w:szCs w:val="28"/>
          <w:lang w:val="es-ES"/>
        </w:rPr>
      </w:pPr>
      <w:r w:rsidRPr="00D61E7E">
        <w:rPr>
          <w:rFonts w:ascii="Times New Roman" w:hAnsi="Times New Roman" w:cs="Times New Roman"/>
          <w:sz w:val="28"/>
          <w:szCs w:val="28"/>
          <w:lang w:val="es-ES"/>
        </w:rPr>
        <w:t xml:space="preserve">Segundo, existe </w:t>
      </w:r>
      <w:r w:rsidRPr="00D61E7E">
        <w:rPr>
          <w:rFonts w:ascii="Times New Roman" w:hAnsi="Times New Roman" w:cs="Times New Roman"/>
          <w:b/>
          <w:bCs/>
          <w:sz w:val="28"/>
          <w:szCs w:val="28"/>
          <w:lang w:val="es-ES"/>
        </w:rPr>
        <w:t xml:space="preserve">conexidad causal </w:t>
      </w:r>
      <w:r w:rsidRPr="00D61E7E">
        <w:rPr>
          <w:rFonts w:ascii="Times New Roman" w:hAnsi="Times New Roman" w:cs="Times New Roman"/>
          <w:sz w:val="28"/>
          <w:szCs w:val="28"/>
          <w:lang w:val="es-ES"/>
        </w:rPr>
        <w:t>entre el artículo 70 y la Ley 2</w:t>
      </w:r>
      <w:r w:rsidRPr="00D61E7E">
        <w:rPr>
          <w:rFonts w:ascii="Times New Roman" w:hAnsi="Times New Roman" w:cs="Times New Roman"/>
          <w:sz w:val="28"/>
          <w:szCs w:val="28"/>
          <w:lang w:val="es-ES"/>
        </w:rPr>
        <w:t>0</w:t>
      </w:r>
      <w:r w:rsidRPr="00D61E7E">
        <w:rPr>
          <w:rFonts w:ascii="Times New Roman" w:hAnsi="Times New Roman" w:cs="Times New Roman"/>
          <w:sz w:val="28"/>
          <w:szCs w:val="28"/>
          <w:lang w:val="es-ES"/>
        </w:rPr>
        <w:t xml:space="preserve">69 de 2020 pues, como se explicó en el acápite anterior, durante el proceso legislativo previo a la expedición de dicha norma </w:t>
      </w:r>
      <w:r w:rsidRPr="00D61E7E">
        <w:rPr>
          <w:rFonts w:ascii="Times New Roman" w:hAnsi="Times New Roman" w:cs="Times New Roman"/>
          <w:sz w:val="28"/>
          <w:szCs w:val="28"/>
          <w:lang w:val="es-ES"/>
        </w:rPr>
        <w:t>el Congreso identificó la necesidad de fortalecer la supervisión de las cámaras de comercio y otros entes reguladores para que estos se adaptaran mejor a las necesidades del ecosistema empresarial colombiano. Así, el Congreso, a partir de un análisis de lo</w:t>
      </w:r>
      <w:r w:rsidRPr="00D61E7E">
        <w:rPr>
          <w:rFonts w:ascii="Times New Roman" w:hAnsi="Times New Roman" w:cs="Times New Roman"/>
          <w:sz w:val="28"/>
          <w:szCs w:val="28"/>
          <w:lang w:val="es-ES"/>
        </w:rPr>
        <w:t>s retos que enfrentaban los emprendedores y pequeños empresarios en el país, quienes frecuentemente se veían obstaculizados por procedimientos regulatorios ineficientes o desactualizados, encontró que la transferencia de competencias de la Superintendencia</w:t>
      </w:r>
      <w:r w:rsidRPr="00D61E7E">
        <w:rPr>
          <w:rFonts w:ascii="Times New Roman" w:hAnsi="Times New Roman" w:cs="Times New Roman"/>
          <w:sz w:val="28"/>
          <w:szCs w:val="28"/>
          <w:lang w:val="es-ES"/>
        </w:rPr>
        <w:t xml:space="preserve"> de Industrial y Comerio a la Superintendencia de Sociedades era </w:t>
      </w:r>
      <w:r w:rsidRPr="00D61E7E">
        <w:rPr>
          <w:rFonts w:ascii="Times New Roman" w:hAnsi="Times New Roman" w:cs="Times New Roman"/>
          <w:sz w:val="28"/>
          <w:szCs w:val="28"/>
          <w:lang w:val="es-ES"/>
        </w:rPr>
        <w:t xml:space="preserve">una medida razonable y conducente para fortalecer el emprendimiento. </w:t>
      </w:r>
      <w:r w:rsidRPr="00D61E7E">
        <w:rPr>
          <w:rFonts w:ascii="Times New Roman" w:hAnsi="Times New Roman" w:cs="Times New Roman"/>
          <w:sz w:val="28"/>
          <w:szCs w:val="28"/>
          <w:lang w:val="es-ES"/>
        </w:rPr>
        <w:t xml:space="preserve">La respuesta legislativa, articulada a través del artículo 70, fue diseñada para abordar estos desafíos directamente, </w:t>
      </w:r>
      <w:r w:rsidRPr="00D61E7E">
        <w:rPr>
          <w:rFonts w:ascii="Times New Roman" w:hAnsi="Times New Roman" w:cs="Times New Roman"/>
          <w:sz w:val="28"/>
          <w:szCs w:val="28"/>
          <w:lang w:val="es-ES"/>
        </w:rPr>
        <w:t>al b</w:t>
      </w:r>
      <w:r w:rsidRPr="00D61E7E">
        <w:rPr>
          <w:rFonts w:ascii="Times New Roman" w:hAnsi="Times New Roman" w:cs="Times New Roman"/>
          <w:sz w:val="28"/>
          <w:szCs w:val="28"/>
          <w:lang w:val="es-ES"/>
        </w:rPr>
        <w:t xml:space="preserve">uscar </w:t>
      </w:r>
      <w:r w:rsidRPr="00D61E7E">
        <w:rPr>
          <w:rFonts w:ascii="Times New Roman" w:hAnsi="Times New Roman" w:cs="Times New Roman"/>
          <w:sz w:val="28"/>
          <w:szCs w:val="28"/>
          <w:lang w:val="es-ES"/>
        </w:rPr>
        <w:t>una integración más eficaz y dinámica de las cámaras de comercio en el soporte al emprendimiento.</w:t>
      </w:r>
    </w:p>
    <w:p w:rsidR="008E0E92" w:rsidRPr="00D61E7E" w:rsidRDefault="00D61E7E" w:rsidP="008E0E92">
      <w:pPr>
        <w:pStyle w:val="Prrafodelista"/>
        <w:rPr>
          <w:rFonts w:ascii="Times New Roman" w:hAnsi="Times New Roman" w:cs="Times New Roman"/>
          <w:sz w:val="28"/>
          <w:szCs w:val="28"/>
          <w:lang w:val="es-ES"/>
        </w:rPr>
      </w:pPr>
    </w:p>
    <w:p w:rsidR="00BD37F7" w:rsidRPr="00D61E7E" w:rsidRDefault="00D61E7E" w:rsidP="00BD37F7">
      <w:pPr>
        <w:pStyle w:val="Prrafodelista"/>
        <w:numPr>
          <w:ilvl w:val="0"/>
          <w:numId w:val="3"/>
        </w:numPr>
        <w:spacing w:before="100" w:beforeAutospacing="1" w:after="100" w:afterAutospacing="1"/>
        <w:rPr>
          <w:rFonts w:ascii="Times New Roman" w:hAnsi="Times New Roman" w:cs="Times New Roman"/>
          <w:sz w:val="28"/>
          <w:szCs w:val="28"/>
          <w:lang w:val="es-ES"/>
        </w:rPr>
      </w:pPr>
      <w:r w:rsidRPr="00D61E7E">
        <w:rPr>
          <w:rFonts w:ascii="Times New Roman" w:hAnsi="Times New Roman" w:cs="Times New Roman"/>
          <w:sz w:val="28"/>
          <w:szCs w:val="28"/>
          <w:lang w:val="es-ES"/>
        </w:rPr>
        <w:t>Por lo tanto, existe una conexidad causal entre el artículo 70 y la Ley 2</w:t>
      </w:r>
      <w:r w:rsidRPr="00D61E7E">
        <w:rPr>
          <w:rFonts w:ascii="Times New Roman" w:hAnsi="Times New Roman" w:cs="Times New Roman"/>
          <w:sz w:val="28"/>
          <w:szCs w:val="28"/>
          <w:lang w:val="es-ES"/>
        </w:rPr>
        <w:t>0</w:t>
      </w:r>
      <w:r w:rsidRPr="00D61E7E">
        <w:rPr>
          <w:rFonts w:ascii="Times New Roman" w:hAnsi="Times New Roman" w:cs="Times New Roman"/>
          <w:sz w:val="28"/>
          <w:szCs w:val="28"/>
          <w:lang w:val="es-ES"/>
        </w:rPr>
        <w:t xml:space="preserve">69 toda vez que el cambio introducido por la norma </w:t>
      </w:r>
      <w:r w:rsidRPr="00D61E7E">
        <w:rPr>
          <w:rFonts w:ascii="Times New Roman" w:hAnsi="Times New Roman" w:cs="Times New Roman"/>
          <w:sz w:val="28"/>
          <w:szCs w:val="28"/>
          <w:lang w:val="es-ES"/>
        </w:rPr>
        <w:t xml:space="preserve">fue concebido </w:t>
      </w:r>
      <w:r w:rsidRPr="00D61E7E">
        <w:rPr>
          <w:rFonts w:ascii="Times New Roman" w:hAnsi="Times New Roman" w:cs="Times New Roman"/>
          <w:sz w:val="28"/>
          <w:szCs w:val="28"/>
          <w:lang w:val="es-ES"/>
        </w:rPr>
        <w:t xml:space="preserve">como una </w:t>
      </w:r>
      <w:r w:rsidRPr="00D61E7E">
        <w:rPr>
          <w:rFonts w:ascii="Times New Roman" w:hAnsi="Times New Roman" w:cs="Times New Roman"/>
          <w:sz w:val="28"/>
          <w:szCs w:val="28"/>
          <w:lang w:val="es-ES"/>
        </w:rPr>
        <w:t>herramienta para</w:t>
      </w:r>
      <w:r w:rsidRPr="00D61E7E">
        <w:rPr>
          <w:rFonts w:ascii="Times New Roman" w:hAnsi="Times New Roman" w:cs="Times New Roman"/>
          <w:sz w:val="28"/>
          <w:szCs w:val="28"/>
          <w:lang w:val="es-ES"/>
        </w:rPr>
        <w:t xml:space="preserve"> aprovechar la capacidad técnica y la experiencia de la Superintendencia</w:t>
      </w:r>
      <w:r w:rsidRPr="00D61E7E">
        <w:rPr>
          <w:rFonts w:ascii="Times New Roman" w:hAnsi="Times New Roman" w:cs="Times New Roman"/>
          <w:sz w:val="28"/>
          <w:szCs w:val="28"/>
          <w:lang w:val="es-ES"/>
        </w:rPr>
        <w:t xml:space="preserve"> de Sociedades</w:t>
      </w:r>
      <w:r w:rsidRPr="00D61E7E">
        <w:rPr>
          <w:rFonts w:ascii="Times New Roman" w:hAnsi="Times New Roman" w:cs="Times New Roman"/>
          <w:sz w:val="28"/>
          <w:szCs w:val="28"/>
          <w:lang w:val="es-ES"/>
        </w:rPr>
        <w:t xml:space="preserve"> en supervisión y regulación</w:t>
      </w:r>
      <w:r w:rsidRPr="00D61E7E">
        <w:rPr>
          <w:rFonts w:ascii="Times New Roman" w:hAnsi="Times New Roman" w:cs="Times New Roman"/>
          <w:sz w:val="28"/>
          <w:szCs w:val="28"/>
          <w:lang w:val="es-ES"/>
        </w:rPr>
        <w:t xml:space="preserve"> empresarial</w:t>
      </w:r>
      <w:r w:rsidRPr="00D61E7E">
        <w:rPr>
          <w:rFonts w:ascii="Times New Roman" w:hAnsi="Times New Roman" w:cs="Times New Roman"/>
          <w:sz w:val="28"/>
          <w:szCs w:val="28"/>
          <w:lang w:val="es-ES"/>
        </w:rPr>
        <w:t xml:space="preserve">. Al hacer esto, el </w:t>
      </w:r>
      <w:r w:rsidRPr="00D61E7E">
        <w:rPr>
          <w:rFonts w:ascii="Times New Roman" w:hAnsi="Times New Roman" w:cs="Times New Roman"/>
          <w:sz w:val="28"/>
          <w:szCs w:val="28"/>
          <w:lang w:val="es-ES"/>
        </w:rPr>
        <w:t>Legislador</w:t>
      </w:r>
      <w:r w:rsidRPr="00D61E7E">
        <w:rPr>
          <w:rFonts w:ascii="Times New Roman" w:hAnsi="Times New Roman" w:cs="Times New Roman"/>
          <w:sz w:val="28"/>
          <w:szCs w:val="28"/>
          <w:lang w:val="es-ES"/>
        </w:rPr>
        <w:t xml:space="preserve"> no solo buscaba mejorar la calidad y la respuesta de la supervisión, sino también asegurar que las cámaras de comercio pudieran funcionar como catalizadores efectivos del desarrollo empresarial, ofreciendo servicios que realmente respalden las iniciativas</w:t>
      </w:r>
      <w:r w:rsidRPr="00D61E7E">
        <w:rPr>
          <w:rFonts w:ascii="Times New Roman" w:hAnsi="Times New Roman" w:cs="Times New Roman"/>
          <w:sz w:val="28"/>
          <w:szCs w:val="28"/>
          <w:lang w:val="es-ES"/>
        </w:rPr>
        <w:t xml:space="preserve"> de emprendimiento y la creación de nuevas empresas.</w:t>
      </w:r>
    </w:p>
    <w:p w:rsidR="008E0E92" w:rsidRPr="00D61E7E" w:rsidRDefault="00D61E7E" w:rsidP="008E0E92">
      <w:pPr>
        <w:pStyle w:val="Prrafodelista"/>
        <w:rPr>
          <w:rFonts w:ascii="Times New Roman" w:hAnsi="Times New Roman" w:cs="Times New Roman"/>
          <w:sz w:val="28"/>
          <w:szCs w:val="28"/>
          <w:lang w:val="es-ES"/>
        </w:rPr>
      </w:pPr>
    </w:p>
    <w:p w:rsidR="00ED2867" w:rsidRPr="00D61E7E" w:rsidRDefault="00D61E7E" w:rsidP="00ED2867">
      <w:pPr>
        <w:pStyle w:val="Prrafodelista"/>
        <w:numPr>
          <w:ilvl w:val="0"/>
          <w:numId w:val="3"/>
        </w:numPr>
        <w:spacing w:before="100" w:beforeAutospacing="1" w:after="100" w:afterAutospacing="1"/>
        <w:rPr>
          <w:rFonts w:ascii="Times New Roman" w:hAnsi="Times New Roman" w:cs="Times New Roman"/>
          <w:sz w:val="28"/>
          <w:szCs w:val="28"/>
          <w:lang w:val="es-ES"/>
        </w:rPr>
      </w:pPr>
      <w:r w:rsidRPr="00D61E7E">
        <w:rPr>
          <w:rFonts w:ascii="Times New Roman" w:hAnsi="Times New Roman" w:cs="Times New Roman"/>
          <w:sz w:val="28"/>
          <w:szCs w:val="28"/>
          <w:lang w:val="es-ES"/>
        </w:rPr>
        <w:t xml:space="preserve">Tercero, existe una </w:t>
      </w:r>
      <w:r w:rsidRPr="00D61E7E">
        <w:rPr>
          <w:rFonts w:ascii="Times New Roman" w:hAnsi="Times New Roman" w:cs="Times New Roman"/>
          <w:b/>
          <w:bCs/>
          <w:sz w:val="28"/>
          <w:szCs w:val="28"/>
          <w:lang w:val="es-ES"/>
        </w:rPr>
        <w:t>conexión teleológica</w:t>
      </w:r>
      <w:r w:rsidRPr="00D61E7E">
        <w:rPr>
          <w:rFonts w:ascii="Times New Roman" w:hAnsi="Times New Roman" w:cs="Times New Roman"/>
          <w:sz w:val="28"/>
          <w:szCs w:val="28"/>
          <w:lang w:val="es-ES"/>
        </w:rPr>
        <w:t xml:space="preserve"> entre el artículo 70 y la Ley 2</w:t>
      </w:r>
      <w:r w:rsidRPr="00D61E7E">
        <w:rPr>
          <w:rFonts w:ascii="Times New Roman" w:hAnsi="Times New Roman" w:cs="Times New Roman"/>
          <w:sz w:val="28"/>
          <w:szCs w:val="28"/>
          <w:lang w:val="es-ES"/>
        </w:rPr>
        <w:t>0</w:t>
      </w:r>
      <w:r w:rsidRPr="00D61E7E">
        <w:rPr>
          <w:rFonts w:ascii="Times New Roman" w:hAnsi="Times New Roman" w:cs="Times New Roman"/>
          <w:sz w:val="28"/>
          <w:szCs w:val="28"/>
          <w:lang w:val="es-ES"/>
        </w:rPr>
        <w:t>69 de 2020</w:t>
      </w:r>
      <w:r w:rsidRPr="00D61E7E">
        <w:rPr>
          <w:rFonts w:ascii="Times New Roman" w:hAnsi="Times New Roman" w:cs="Times New Roman"/>
          <w:sz w:val="28"/>
          <w:szCs w:val="28"/>
          <w:lang w:val="es-ES"/>
        </w:rPr>
        <w:t>. La Corte considera que esa disposición y la ley están intrínsecamente ligados por una finalidad teleológica que busca</w:t>
      </w:r>
      <w:r w:rsidRPr="00D61E7E">
        <w:rPr>
          <w:rFonts w:ascii="Times New Roman" w:hAnsi="Times New Roman" w:cs="Times New Roman"/>
          <w:sz w:val="28"/>
          <w:szCs w:val="28"/>
          <w:lang w:val="es-ES"/>
        </w:rPr>
        <w:t xml:space="preserve"> no solo cumplir con objetivos específicos dentro del marco normativo, sino también contribuir a la creación de un entorno empresarial más ágil y moderno. Esta ley fue diseñada para modificar el marco institucional con el fin de fomentar el emprendimiento,</w:t>
      </w:r>
      <w:r w:rsidRPr="00D61E7E">
        <w:rPr>
          <w:rFonts w:ascii="Times New Roman" w:hAnsi="Times New Roman" w:cs="Times New Roman"/>
          <w:sz w:val="28"/>
          <w:szCs w:val="28"/>
          <w:lang w:val="es-ES"/>
        </w:rPr>
        <w:t xml:space="preserve"> un esfuerzo legislativo que implica acortar procedimientos y eliminar redundancias en las gestiones administrativas del Estado. Al reorganizar las funciones de inspección y vigilancia y asignarlas a una entidad con conocimiento profundo del panorama empre</w:t>
      </w:r>
      <w:r w:rsidRPr="00D61E7E">
        <w:rPr>
          <w:rFonts w:ascii="Times New Roman" w:hAnsi="Times New Roman" w:cs="Times New Roman"/>
          <w:sz w:val="28"/>
          <w:szCs w:val="28"/>
          <w:lang w:val="es-ES"/>
        </w:rPr>
        <w:t>sarial y comercial del país, la ley facilita que los emprendedores operen en un ambiente regulado más eficiente y adaptado a las dinámicas modernas del mercado.</w:t>
      </w:r>
    </w:p>
    <w:p w:rsidR="00ED2867" w:rsidRPr="00D61E7E" w:rsidRDefault="00D61E7E" w:rsidP="00ED2867">
      <w:pPr>
        <w:pStyle w:val="Prrafodelista"/>
        <w:rPr>
          <w:rFonts w:ascii="Times New Roman" w:hAnsi="Times New Roman" w:cs="Times New Roman"/>
          <w:sz w:val="28"/>
          <w:szCs w:val="28"/>
          <w:lang w:val="es-ES"/>
        </w:rPr>
      </w:pPr>
    </w:p>
    <w:p w:rsidR="00ED2867" w:rsidRPr="00D61E7E" w:rsidRDefault="00D61E7E" w:rsidP="00ED2867">
      <w:pPr>
        <w:pStyle w:val="Prrafodelista"/>
        <w:numPr>
          <w:ilvl w:val="0"/>
          <w:numId w:val="3"/>
        </w:numPr>
        <w:spacing w:before="100" w:beforeAutospacing="1" w:after="100" w:afterAutospacing="1"/>
        <w:rPr>
          <w:rFonts w:ascii="Times New Roman" w:hAnsi="Times New Roman" w:cs="Times New Roman"/>
          <w:sz w:val="28"/>
          <w:szCs w:val="28"/>
          <w:lang w:val="es-ES"/>
        </w:rPr>
      </w:pPr>
      <w:r w:rsidRPr="00D61E7E">
        <w:rPr>
          <w:rFonts w:ascii="Times New Roman" w:hAnsi="Times New Roman" w:cs="Times New Roman"/>
          <w:sz w:val="28"/>
          <w:szCs w:val="28"/>
          <w:lang w:val="es-ES"/>
        </w:rPr>
        <w:t>Este enfoque legislativo representa una adaptación estratégica a las necesidades del sector em</w:t>
      </w:r>
      <w:r w:rsidRPr="00D61E7E">
        <w:rPr>
          <w:rFonts w:ascii="Times New Roman" w:hAnsi="Times New Roman" w:cs="Times New Roman"/>
          <w:sz w:val="28"/>
          <w:szCs w:val="28"/>
          <w:lang w:val="es-ES"/>
        </w:rPr>
        <w:t>presarial, permitiendo que la supervisión y regulación de las actividades comerciales sea realizada por funcionarios que no solo entienden la lógica empresarial, sino que también poseen las competencias técnicas necesarias para evaluar y orientar adecuadam</w:t>
      </w:r>
      <w:r w:rsidRPr="00D61E7E">
        <w:rPr>
          <w:rFonts w:ascii="Times New Roman" w:hAnsi="Times New Roman" w:cs="Times New Roman"/>
          <w:sz w:val="28"/>
          <w:szCs w:val="28"/>
          <w:lang w:val="es-ES"/>
        </w:rPr>
        <w:t>ente el desarrollo empresarial. La transferencia de funciones de inspección y vigilancia a un órgano especializado en el ecosistema empresarial es un paso significativo hacia la simplificación de procesos administrativos, lo que a su vez se alinea con el o</w:t>
      </w:r>
      <w:r w:rsidRPr="00D61E7E">
        <w:rPr>
          <w:rFonts w:ascii="Times New Roman" w:hAnsi="Times New Roman" w:cs="Times New Roman"/>
          <w:sz w:val="28"/>
          <w:szCs w:val="28"/>
          <w:lang w:val="es-ES"/>
        </w:rPr>
        <w:t>bjetivo general de la ley de propiciar un marco propicio para el crecimiento y la innovación en el sector empresarial.</w:t>
      </w:r>
    </w:p>
    <w:p w:rsidR="00ED2867" w:rsidRPr="00D61E7E" w:rsidRDefault="00D61E7E" w:rsidP="00ED2867">
      <w:pPr>
        <w:pStyle w:val="Prrafodelista"/>
        <w:rPr>
          <w:rFonts w:ascii="Times New Roman" w:hAnsi="Times New Roman" w:cs="Times New Roman"/>
          <w:sz w:val="28"/>
          <w:szCs w:val="28"/>
          <w:lang w:val="es-ES"/>
        </w:rPr>
      </w:pPr>
    </w:p>
    <w:p w:rsidR="00ED2867" w:rsidRPr="00D61E7E" w:rsidRDefault="00D61E7E" w:rsidP="00ED2867">
      <w:pPr>
        <w:pStyle w:val="Prrafodelista"/>
        <w:numPr>
          <w:ilvl w:val="0"/>
          <w:numId w:val="3"/>
        </w:numPr>
        <w:spacing w:before="100" w:beforeAutospacing="1" w:after="100" w:afterAutospacing="1"/>
        <w:rPr>
          <w:rFonts w:ascii="Times New Roman" w:hAnsi="Times New Roman" w:cs="Times New Roman"/>
          <w:sz w:val="28"/>
          <w:szCs w:val="28"/>
          <w:lang w:val="es-ES"/>
        </w:rPr>
      </w:pPr>
      <w:r w:rsidRPr="00D61E7E">
        <w:rPr>
          <w:rFonts w:ascii="Times New Roman" w:hAnsi="Times New Roman" w:cs="Times New Roman"/>
          <w:sz w:val="28"/>
          <w:szCs w:val="28"/>
          <w:lang w:val="es-ES"/>
        </w:rPr>
        <w:t xml:space="preserve">Por último, para la Corte la </w:t>
      </w:r>
      <w:r w:rsidRPr="00D61E7E">
        <w:rPr>
          <w:rFonts w:ascii="Times New Roman" w:hAnsi="Times New Roman" w:cs="Times New Roman"/>
          <w:b/>
          <w:bCs/>
          <w:sz w:val="28"/>
          <w:szCs w:val="28"/>
          <w:lang w:val="es-ES"/>
        </w:rPr>
        <w:t>conexión sistemática</w:t>
      </w:r>
      <w:r w:rsidRPr="00D61E7E">
        <w:rPr>
          <w:rFonts w:ascii="Times New Roman" w:hAnsi="Times New Roman" w:cs="Times New Roman"/>
          <w:sz w:val="28"/>
          <w:szCs w:val="28"/>
          <w:lang w:val="es-ES"/>
        </w:rPr>
        <w:t xml:space="preserve"> del artículo 70 se materializa en la integración de su contenido dentro del Título IV </w:t>
      </w:r>
      <w:r w:rsidRPr="00D61E7E">
        <w:rPr>
          <w:rFonts w:ascii="Times New Roman" w:hAnsi="Times New Roman" w:cs="Times New Roman"/>
          <w:sz w:val="28"/>
          <w:szCs w:val="28"/>
          <w:lang w:val="es-ES"/>
        </w:rPr>
        <w:t xml:space="preserve">de la </w:t>
      </w:r>
      <w:r w:rsidRPr="00D61E7E">
        <w:rPr>
          <w:rFonts w:ascii="Times New Roman" w:hAnsi="Times New Roman" w:cs="Times New Roman"/>
          <w:sz w:val="28"/>
          <w:szCs w:val="28"/>
          <w:lang w:val="es-ES"/>
        </w:rPr>
        <w:t>Ley 2069 de 2020</w:t>
      </w:r>
      <w:r w:rsidRPr="00D61E7E">
        <w:rPr>
          <w:rFonts w:ascii="Times New Roman" w:hAnsi="Times New Roman" w:cs="Times New Roman"/>
          <w:sz w:val="28"/>
          <w:szCs w:val="28"/>
          <w:lang w:val="es-ES"/>
        </w:rPr>
        <w:t>, que se denomina "Marco Institucional". Esta sección engloba una serie de disposiciones que construyen un entorno regulatorio coherente y propicio para el emprendimiento y el desarrollo empresarial en Colombia. La inserción del artíc</w:t>
      </w:r>
      <w:r w:rsidRPr="00D61E7E">
        <w:rPr>
          <w:rFonts w:ascii="Times New Roman" w:hAnsi="Times New Roman" w:cs="Times New Roman"/>
          <w:sz w:val="28"/>
          <w:szCs w:val="28"/>
          <w:lang w:val="es-ES"/>
        </w:rPr>
        <w:t>ulo en este título no es aleatoria; se ubica de manera sistemática y ordenada junto con otras normas que siguen la misma visión legislativa y se orientan hacia el mismo conjunto de objetivos. Así, el artículo 70 se convierte en una pieza clave dentro de la</w:t>
      </w:r>
      <w:r w:rsidRPr="00D61E7E">
        <w:rPr>
          <w:rFonts w:ascii="Times New Roman" w:hAnsi="Times New Roman" w:cs="Times New Roman"/>
          <w:sz w:val="28"/>
          <w:szCs w:val="28"/>
          <w:lang w:val="es-ES"/>
        </w:rPr>
        <w:t xml:space="preserve"> estructura legislativa que busca mejorar la competitividad y la productividad de las empresas en el país.</w:t>
      </w:r>
    </w:p>
    <w:p w:rsidR="00ED2867" w:rsidRPr="00D61E7E" w:rsidRDefault="00D61E7E" w:rsidP="00ED2867">
      <w:pPr>
        <w:pStyle w:val="Prrafodelista"/>
        <w:rPr>
          <w:rFonts w:ascii="Times New Roman" w:hAnsi="Times New Roman" w:cs="Times New Roman"/>
          <w:sz w:val="28"/>
          <w:szCs w:val="28"/>
          <w:lang w:val="es-ES"/>
        </w:rPr>
      </w:pPr>
    </w:p>
    <w:p w:rsidR="009621FA" w:rsidRPr="00D61E7E" w:rsidRDefault="00D61E7E" w:rsidP="009621FA">
      <w:pPr>
        <w:pStyle w:val="Prrafodelista"/>
        <w:numPr>
          <w:ilvl w:val="0"/>
          <w:numId w:val="3"/>
        </w:numPr>
        <w:tabs>
          <w:tab w:val="left" w:pos="709"/>
        </w:tabs>
        <w:rPr>
          <w:rFonts w:ascii="Times New Roman" w:hAnsi="Times New Roman" w:cs="Times New Roman"/>
          <w:bCs/>
          <w:sz w:val="28"/>
          <w:szCs w:val="28"/>
          <w:lang w:val="es-ES"/>
        </w:rPr>
      </w:pPr>
      <w:r w:rsidRPr="00D61E7E">
        <w:rPr>
          <w:rFonts w:ascii="Times New Roman" w:hAnsi="Times New Roman" w:cs="Times New Roman"/>
          <w:bCs/>
          <w:sz w:val="28"/>
          <w:szCs w:val="28"/>
          <w:lang w:val="es-ES"/>
        </w:rPr>
        <w:t xml:space="preserve">En dicha sección, </w:t>
      </w:r>
      <w:r w:rsidRPr="00D61E7E">
        <w:rPr>
          <w:rFonts w:ascii="Times New Roman" w:hAnsi="Times New Roman" w:cs="Times New Roman"/>
          <w:bCs/>
          <w:sz w:val="28"/>
          <w:szCs w:val="28"/>
          <w:lang w:val="es-ES"/>
        </w:rPr>
        <w:t xml:space="preserve">el Legislador previó varias disposiciones que </w:t>
      </w:r>
      <w:r w:rsidRPr="00D61E7E">
        <w:rPr>
          <w:rFonts w:ascii="Times New Roman" w:hAnsi="Times New Roman" w:cs="Times New Roman"/>
          <w:sz w:val="28"/>
          <w:szCs w:val="28"/>
          <w:lang w:val="es-ES"/>
        </w:rPr>
        <w:t xml:space="preserve">abordan una variedad de temas centrados en el fomento del emprendimiento y el </w:t>
      </w:r>
      <w:r w:rsidRPr="00D61E7E">
        <w:rPr>
          <w:rFonts w:ascii="Times New Roman" w:hAnsi="Times New Roman" w:cs="Times New Roman"/>
          <w:sz w:val="28"/>
          <w:szCs w:val="28"/>
          <w:lang w:val="es-ES"/>
        </w:rPr>
        <w:t>desarrollo empresarial en Colombia. En primer lugar, se establece un marco institucional para promover un entorno propicio para el emprendimiento y la competitividad empresarial. Esto incluye medidas para optimizar la gestión de recursos e incentivar una v</w:t>
      </w:r>
      <w:r w:rsidRPr="00D61E7E">
        <w:rPr>
          <w:rFonts w:ascii="Times New Roman" w:hAnsi="Times New Roman" w:cs="Times New Roman"/>
          <w:sz w:val="28"/>
          <w:szCs w:val="28"/>
          <w:lang w:val="es-ES"/>
        </w:rPr>
        <w:t>isión integral del ecosistema empresarial.</w:t>
      </w:r>
      <w:r w:rsidRPr="00D61E7E">
        <w:rPr>
          <w:rFonts w:ascii="Times New Roman" w:hAnsi="Times New Roman" w:cs="Times New Roman"/>
          <w:bCs/>
          <w:sz w:val="28"/>
          <w:szCs w:val="28"/>
          <w:lang w:val="es-ES"/>
        </w:rPr>
        <w:t xml:space="preserve"> </w:t>
      </w:r>
      <w:r w:rsidRPr="00D61E7E">
        <w:rPr>
          <w:rFonts w:ascii="Times New Roman" w:hAnsi="Times New Roman" w:cs="Times New Roman"/>
          <w:sz w:val="28"/>
          <w:szCs w:val="28"/>
          <w:lang w:val="es-ES"/>
        </w:rPr>
        <w:t>En segundo lugar, se fortalece el rol de iNNpulsa Colombia como entidad líder en la identificación, acompañamiento y promoción de emprendedores. Se busca potenciar su capacidad para facilitar el desarrollo, la com</w:t>
      </w:r>
      <w:r w:rsidRPr="00D61E7E">
        <w:rPr>
          <w:rFonts w:ascii="Times New Roman" w:hAnsi="Times New Roman" w:cs="Times New Roman"/>
          <w:sz w:val="28"/>
          <w:szCs w:val="28"/>
          <w:lang w:val="es-ES"/>
        </w:rPr>
        <w:t>petitividad y la productividad de las empresas colombianas, brindando apoyo integral a través de programas y recursos específicos. Por último,</w:t>
      </w:r>
      <w:r w:rsidRPr="00D61E7E">
        <w:rPr>
          <w:rFonts w:ascii="Times New Roman" w:hAnsi="Times New Roman" w:cs="Times New Roman"/>
          <w:sz w:val="28"/>
          <w:szCs w:val="28"/>
          <w:lang w:val="es-ES"/>
        </w:rPr>
        <w:t xml:space="preserve"> en tercer lugar,</w:t>
      </w:r>
      <w:r w:rsidRPr="00D61E7E">
        <w:rPr>
          <w:rFonts w:ascii="Times New Roman" w:hAnsi="Times New Roman" w:cs="Times New Roman"/>
          <w:sz w:val="28"/>
          <w:szCs w:val="28"/>
          <w:lang w:val="es-ES"/>
        </w:rPr>
        <w:t xml:space="preserve"> se enfatiza la importancia de la coordinación entre todas las instancias de discusión y apoyo a </w:t>
      </w:r>
      <w:r w:rsidRPr="00D61E7E">
        <w:rPr>
          <w:rFonts w:ascii="Times New Roman" w:hAnsi="Times New Roman" w:cs="Times New Roman"/>
          <w:sz w:val="28"/>
          <w:szCs w:val="28"/>
          <w:lang w:val="es-ES"/>
        </w:rPr>
        <w:t xml:space="preserve">las micro, pequeñas y medianas empresas en el Sistema Nacional de Competitividad e Innovación. </w:t>
      </w:r>
    </w:p>
    <w:p w:rsidR="009621FA" w:rsidRPr="00D61E7E" w:rsidRDefault="00D61E7E" w:rsidP="009621FA">
      <w:pPr>
        <w:pStyle w:val="Prrafodelista"/>
        <w:rPr>
          <w:rFonts w:ascii="Times New Roman" w:hAnsi="Times New Roman" w:cs="Times New Roman"/>
          <w:sz w:val="28"/>
          <w:szCs w:val="28"/>
          <w:lang w:val="es-ES"/>
        </w:rPr>
      </w:pPr>
    </w:p>
    <w:p w:rsidR="009621FA" w:rsidRPr="00D61E7E" w:rsidRDefault="00D61E7E" w:rsidP="009621FA">
      <w:pPr>
        <w:pStyle w:val="Prrafodelista"/>
        <w:numPr>
          <w:ilvl w:val="0"/>
          <w:numId w:val="3"/>
        </w:numPr>
        <w:tabs>
          <w:tab w:val="left" w:pos="709"/>
        </w:tabs>
        <w:rPr>
          <w:rFonts w:ascii="Times New Roman" w:hAnsi="Times New Roman" w:cs="Times New Roman"/>
          <w:bCs/>
          <w:sz w:val="28"/>
          <w:szCs w:val="28"/>
          <w:lang w:val="es-ES"/>
        </w:rPr>
      </w:pPr>
      <w:r w:rsidRPr="00D61E7E">
        <w:rPr>
          <w:rFonts w:ascii="Times New Roman" w:hAnsi="Times New Roman" w:cs="Times New Roman"/>
          <w:sz w:val="28"/>
          <w:szCs w:val="28"/>
          <w:lang w:val="es-ES"/>
        </w:rPr>
        <w:t>En otras palab</w:t>
      </w:r>
      <w:r w:rsidRPr="00D61E7E">
        <w:rPr>
          <w:rFonts w:ascii="Times New Roman" w:hAnsi="Times New Roman" w:cs="Times New Roman"/>
          <w:sz w:val="28"/>
          <w:szCs w:val="28"/>
          <w:lang w:val="es-ES"/>
        </w:rPr>
        <w:t>r</w:t>
      </w:r>
      <w:r w:rsidRPr="00D61E7E">
        <w:rPr>
          <w:rFonts w:ascii="Times New Roman" w:hAnsi="Times New Roman" w:cs="Times New Roman"/>
          <w:sz w:val="28"/>
          <w:szCs w:val="28"/>
          <w:lang w:val="es-ES"/>
        </w:rPr>
        <w:t xml:space="preserve">as, el título </w:t>
      </w:r>
      <w:r w:rsidRPr="00D61E7E">
        <w:rPr>
          <w:rFonts w:ascii="Times New Roman" w:hAnsi="Times New Roman" w:cs="Times New Roman"/>
          <w:sz w:val="28"/>
          <w:szCs w:val="28"/>
          <w:lang w:val="es-ES"/>
        </w:rPr>
        <w:t>busca optimizar los recursos y esfuerzos para impulsar el crecimiento y la sostenibilidad de las empresas</w:t>
      </w:r>
      <w:r w:rsidRPr="00D61E7E">
        <w:rPr>
          <w:rFonts w:ascii="Times New Roman" w:hAnsi="Times New Roman" w:cs="Times New Roman"/>
          <w:sz w:val="28"/>
          <w:szCs w:val="28"/>
          <w:lang w:val="es-ES"/>
        </w:rPr>
        <w:t xml:space="preserve"> con el fin de promover</w:t>
      </w:r>
      <w:r w:rsidRPr="00D61E7E">
        <w:rPr>
          <w:rFonts w:ascii="Times New Roman" w:hAnsi="Times New Roman" w:cs="Times New Roman"/>
          <w:sz w:val="28"/>
          <w:szCs w:val="28"/>
          <w:lang w:val="es-ES"/>
        </w:rPr>
        <w:t xml:space="preserve"> u</w:t>
      </w:r>
      <w:r w:rsidRPr="00D61E7E">
        <w:rPr>
          <w:rFonts w:ascii="Times New Roman" w:hAnsi="Times New Roman" w:cs="Times New Roman"/>
          <w:sz w:val="28"/>
          <w:szCs w:val="28"/>
          <w:lang w:val="es-ES"/>
        </w:rPr>
        <w:t>n ambiente favorable para el emprendimiento y la innovación en el país.</w:t>
      </w:r>
      <w:r w:rsidRPr="00D61E7E">
        <w:rPr>
          <w:rFonts w:ascii="Times New Roman" w:hAnsi="Times New Roman" w:cs="Times New Roman"/>
          <w:bCs/>
          <w:sz w:val="28"/>
          <w:szCs w:val="28"/>
          <w:lang w:val="es-ES"/>
        </w:rPr>
        <w:t xml:space="preserve"> En ese sentido, </w:t>
      </w:r>
      <w:r w:rsidRPr="00D61E7E">
        <w:rPr>
          <w:rFonts w:ascii="Times New Roman" w:hAnsi="Times New Roman" w:cs="Times New Roman"/>
          <w:bCs/>
          <w:sz w:val="28"/>
          <w:szCs w:val="28"/>
          <w:lang w:val="es-ES"/>
        </w:rPr>
        <w:t xml:space="preserve">resulta </w:t>
      </w:r>
      <w:r w:rsidRPr="00D61E7E">
        <w:rPr>
          <w:rFonts w:ascii="Times New Roman" w:hAnsi="Times New Roman" w:cs="Times New Roman"/>
          <w:bCs/>
          <w:sz w:val="28"/>
          <w:szCs w:val="28"/>
          <w:lang w:val="es-ES"/>
        </w:rPr>
        <w:t>razonable que el Legislador opte por transferir ciertas competencias a una entidad especializada en el mundo societario, como lo es la Superintendencia de Socie</w:t>
      </w:r>
      <w:r w:rsidRPr="00D61E7E">
        <w:rPr>
          <w:rFonts w:ascii="Times New Roman" w:hAnsi="Times New Roman" w:cs="Times New Roman"/>
          <w:bCs/>
          <w:sz w:val="28"/>
          <w:szCs w:val="28"/>
          <w:lang w:val="es-ES"/>
        </w:rPr>
        <w:t>dades</w:t>
      </w:r>
      <w:r w:rsidRPr="00D61E7E">
        <w:rPr>
          <w:rFonts w:ascii="Times New Roman" w:hAnsi="Times New Roman" w:cs="Times New Roman"/>
          <w:bCs/>
          <w:sz w:val="28"/>
          <w:szCs w:val="28"/>
          <w:lang w:val="es-ES"/>
        </w:rPr>
        <w:t>.</w:t>
      </w:r>
    </w:p>
    <w:p w:rsidR="009621FA" w:rsidRPr="00D61E7E" w:rsidRDefault="00D61E7E" w:rsidP="009621FA">
      <w:pPr>
        <w:pStyle w:val="Prrafodelista"/>
        <w:rPr>
          <w:rFonts w:ascii="Times New Roman" w:hAnsi="Times New Roman" w:cs="Times New Roman"/>
          <w:bCs/>
          <w:sz w:val="28"/>
          <w:szCs w:val="28"/>
          <w:lang w:val="es-ES"/>
        </w:rPr>
      </w:pPr>
    </w:p>
    <w:p w:rsidR="009621FA" w:rsidRPr="00D61E7E" w:rsidRDefault="00D61E7E" w:rsidP="009621FA">
      <w:pPr>
        <w:pStyle w:val="Prrafodelista"/>
        <w:numPr>
          <w:ilvl w:val="0"/>
          <w:numId w:val="3"/>
        </w:numPr>
        <w:tabs>
          <w:tab w:val="left" w:pos="709"/>
        </w:tabs>
        <w:rPr>
          <w:rFonts w:ascii="Times New Roman" w:hAnsi="Times New Roman" w:cs="Times New Roman"/>
          <w:bCs/>
          <w:sz w:val="28"/>
          <w:szCs w:val="28"/>
          <w:lang w:val="es-ES"/>
        </w:rPr>
      </w:pPr>
      <w:r w:rsidRPr="00D61E7E">
        <w:rPr>
          <w:rFonts w:ascii="Times New Roman" w:hAnsi="Times New Roman" w:cs="Times New Roman"/>
          <w:bCs/>
          <w:sz w:val="28"/>
          <w:szCs w:val="28"/>
          <w:lang w:val="es-ES"/>
        </w:rPr>
        <w:t xml:space="preserve">En conclusión, </w:t>
      </w:r>
      <w:r w:rsidRPr="00D61E7E">
        <w:rPr>
          <w:rFonts w:ascii="Times New Roman" w:hAnsi="Times New Roman" w:cs="Times New Roman"/>
          <w:sz w:val="28"/>
          <w:szCs w:val="28"/>
        </w:rPr>
        <w:t>el artículo 70 de la Ley 2</w:t>
      </w:r>
      <w:r w:rsidRPr="00D61E7E">
        <w:rPr>
          <w:rFonts w:ascii="Times New Roman" w:hAnsi="Times New Roman" w:cs="Times New Roman"/>
          <w:sz w:val="28"/>
          <w:szCs w:val="28"/>
        </w:rPr>
        <w:t>0</w:t>
      </w:r>
      <w:r w:rsidRPr="00D61E7E">
        <w:rPr>
          <w:rFonts w:ascii="Times New Roman" w:hAnsi="Times New Roman" w:cs="Times New Roman"/>
          <w:sz w:val="28"/>
          <w:szCs w:val="28"/>
        </w:rPr>
        <w:t>69 de 2020 tiene una conexidad temática, causal, teleológica y sistemática con los objetivos generales de la ley. Esta disposición, al reasignar funciones regulatorias a la Superintendencia de Sociedades, s</w:t>
      </w:r>
      <w:r w:rsidRPr="00D61E7E">
        <w:rPr>
          <w:rFonts w:ascii="Times New Roman" w:hAnsi="Times New Roman" w:cs="Times New Roman"/>
          <w:sz w:val="28"/>
          <w:szCs w:val="28"/>
        </w:rPr>
        <w:t xml:space="preserve">e alinea temáticamente con el propósito de la ley de optimizar la estructura de supervisión empresarial, facilitando un entorno más ágil para las pequeñas y medianas empresas. Causalmente, responde a la necesidad identificada por el Congreso de fortalecer </w:t>
      </w:r>
      <w:r w:rsidRPr="00D61E7E">
        <w:rPr>
          <w:rFonts w:ascii="Times New Roman" w:hAnsi="Times New Roman" w:cs="Times New Roman"/>
          <w:sz w:val="28"/>
          <w:szCs w:val="28"/>
        </w:rPr>
        <w:t>la supervisión para adaptarse mejor a las dinámicas del ecosistema empresarial colombiano. Teleológicamente, apunta a simplificar el marco regulatorio, haciéndolo más eficiente y menos oneroso, lo que a su vez contribuye directamente a los fines legislativ</w:t>
      </w:r>
      <w:r w:rsidRPr="00D61E7E">
        <w:rPr>
          <w:rFonts w:ascii="Times New Roman" w:hAnsi="Times New Roman" w:cs="Times New Roman"/>
          <w:sz w:val="28"/>
          <w:szCs w:val="28"/>
        </w:rPr>
        <w:t>os de fomentar un entorno favorable para el emprendimiento y desarrollo empresarial. Finalmente, su inclusión es sistemática y coherente dentro del marco legislativo de la Ley 2</w:t>
      </w:r>
      <w:r w:rsidRPr="00D61E7E">
        <w:rPr>
          <w:rFonts w:ascii="Times New Roman" w:hAnsi="Times New Roman" w:cs="Times New Roman"/>
          <w:sz w:val="28"/>
          <w:szCs w:val="28"/>
        </w:rPr>
        <w:t>0</w:t>
      </w:r>
      <w:r w:rsidRPr="00D61E7E">
        <w:rPr>
          <w:rFonts w:ascii="Times New Roman" w:hAnsi="Times New Roman" w:cs="Times New Roman"/>
          <w:sz w:val="28"/>
          <w:szCs w:val="28"/>
        </w:rPr>
        <w:t>69, insertándose adecuadamente en un título que busca consolidar y mejorar las</w:t>
      </w:r>
      <w:r w:rsidRPr="00D61E7E">
        <w:rPr>
          <w:rFonts w:ascii="Times New Roman" w:hAnsi="Times New Roman" w:cs="Times New Roman"/>
          <w:sz w:val="28"/>
          <w:szCs w:val="28"/>
        </w:rPr>
        <w:t xml:space="preserve"> condiciones para el crecimiento empresarial en Colombia.</w:t>
      </w:r>
    </w:p>
    <w:p w:rsidR="009621FA" w:rsidRPr="00D61E7E" w:rsidRDefault="00D61E7E" w:rsidP="009621FA">
      <w:pPr>
        <w:pStyle w:val="Prrafodelista"/>
        <w:rPr>
          <w:rFonts w:ascii="Times New Roman" w:hAnsi="Times New Roman" w:cs="Times New Roman"/>
          <w:b/>
          <w:bCs/>
          <w:sz w:val="28"/>
          <w:szCs w:val="28"/>
          <w:lang w:val="es-ES"/>
        </w:rPr>
      </w:pPr>
    </w:p>
    <w:p w:rsidR="009621FA" w:rsidRPr="00D61E7E" w:rsidRDefault="00D61E7E" w:rsidP="009621FA">
      <w:pPr>
        <w:pStyle w:val="Prrafodelista"/>
        <w:tabs>
          <w:tab w:val="left" w:pos="709"/>
        </w:tabs>
        <w:ind w:left="0"/>
        <w:rPr>
          <w:rFonts w:ascii="Times New Roman" w:hAnsi="Times New Roman" w:cs="Times New Roman"/>
          <w:b/>
          <w:bCs/>
          <w:sz w:val="28"/>
          <w:szCs w:val="28"/>
          <w:lang w:val="es-ES"/>
        </w:rPr>
      </w:pPr>
      <w:r w:rsidRPr="00D61E7E">
        <w:rPr>
          <w:rFonts w:ascii="Times New Roman" w:hAnsi="Times New Roman" w:cs="Times New Roman"/>
          <w:b/>
          <w:bCs/>
          <w:sz w:val="28"/>
          <w:szCs w:val="28"/>
          <w:lang w:val="es-ES"/>
        </w:rPr>
        <w:t>Análisis de unidad de materia del artículo 73</w:t>
      </w:r>
    </w:p>
    <w:p w:rsidR="009621FA" w:rsidRPr="00D61E7E" w:rsidRDefault="00D61E7E" w:rsidP="009621FA">
      <w:pPr>
        <w:pStyle w:val="Prrafodelista"/>
        <w:tabs>
          <w:tab w:val="left" w:pos="709"/>
        </w:tabs>
        <w:ind w:left="0"/>
        <w:rPr>
          <w:rFonts w:ascii="Times New Roman" w:hAnsi="Times New Roman" w:cs="Times New Roman"/>
          <w:b/>
          <w:bCs/>
          <w:sz w:val="28"/>
          <w:szCs w:val="28"/>
          <w:lang w:val="es-ES"/>
        </w:rPr>
      </w:pPr>
    </w:p>
    <w:p w:rsidR="009621FA" w:rsidRPr="00D61E7E" w:rsidRDefault="00D61E7E" w:rsidP="009621FA">
      <w:pPr>
        <w:pStyle w:val="Prrafodelista"/>
        <w:numPr>
          <w:ilvl w:val="0"/>
          <w:numId w:val="3"/>
        </w:numPr>
        <w:tabs>
          <w:tab w:val="left" w:pos="709"/>
        </w:tabs>
        <w:rPr>
          <w:rFonts w:ascii="Times New Roman" w:hAnsi="Times New Roman" w:cs="Times New Roman"/>
          <w:sz w:val="28"/>
          <w:szCs w:val="28"/>
        </w:rPr>
      </w:pPr>
      <w:r w:rsidRPr="00D61E7E">
        <w:rPr>
          <w:rFonts w:ascii="Times New Roman" w:hAnsi="Times New Roman" w:cs="Times New Roman"/>
          <w:sz w:val="28"/>
          <w:szCs w:val="28"/>
        </w:rPr>
        <w:t>De la misma manera que el artículo 70 previamente analizado, el artículo 73 cumple con los estándares de conexidad por lo que, a diferencia de lo sostenido por el actor, su contenido no vulnera el principio de unidad de materia. En primer lugar, el artícul</w:t>
      </w:r>
      <w:r w:rsidRPr="00D61E7E">
        <w:rPr>
          <w:rFonts w:ascii="Times New Roman" w:hAnsi="Times New Roman" w:cs="Times New Roman"/>
          <w:sz w:val="28"/>
          <w:szCs w:val="28"/>
        </w:rPr>
        <w:t xml:space="preserve">o tiene </w:t>
      </w:r>
      <w:r w:rsidRPr="00D61E7E">
        <w:rPr>
          <w:rFonts w:ascii="Times New Roman" w:hAnsi="Times New Roman" w:cs="Times New Roman"/>
          <w:b/>
          <w:bCs/>
          <w:sz w:val="28"/>
          <w:szCs w:val="28"/>
        </w:rPr>
        <w:t>conexidad temática</w:t>
      </w:r>
      <w:r w:rsidRPr="00D61E7E">
        <w:rPr>
          <w:rFonts w:ascii="Times New Roman" w:hAnsi="Times New Roman" w:cs="Times New Roman"/>
          <w:sz w:val="28"/>
          <w:szCs w:val="28"/>
        </w:rPr>
        <w:t xml:space="preserve"> con la </w:t>
      </w:r>
      <w:r w:rsidRPr="00D61E7E">
        <w:rPr>
          <w:rFonts w:ascii="Times New Roman" w:hAnsi="Times New Roman" w:cs="Times New Roman"/>
          <w:sz w:val="28"/>
          <w:szCs w:val="28"/>
        </w:rPr>
        <w:t>Ley 2069 de 2020</w:t>
      </w:r>
      <w:r w:rsidRPr="00D61E7E">
        <w:rPr>
          <w:rFonts w:ascii="Times New Roman" w:hAnsi="Times New Roman" w:cs="Times New Roman"/>
          <w:sz w:val="28"/>
          <w:szCs w:val="28"/>
        </w:rPr>
        <w:t xml:space="preserve">. Esto, pues promueve la modernización y la eficiencia en los procedimientos administrativos tributarios al introducir la virtualidad como una regla permanente en los procesos de inspección </w:t>
      </w:r>
      <w:r w:rsidRPr="00D61E7E">
        <w:rPr>
          <w:rFonts w:ascii="Times New Roman" w:hAnsi="Times New Roman" w:cs="Times New Roman"/>
          <w:sz w:val="28"/>
          <w:szCs w:val="28"/>
        </w:rPr>
        <w:t>fiscal</w:t>
      </w:r>
      <w:r w:rsidRPr="00D61E7E">
        <w:rPr>
          <w:rStyle w:val="Refdenotaalpie"/>
          <w:rFonts w:ascii="Times New Roman" w:hAnsi="Times New Roman" w:cs="Times New Roman"/>
          <w:sz w:val="28"/>
          <w:szCs w:val="28"/>
        </w:rPr>
        <w:footnoteReference w:id="50"/>
      </w:r>
      <w:r w:rsidRPr="00D61E7E">
        <w:rPr>
          <w:rFonts w:ascii="Times New Roman" w:hAnsi="Times New Roman" w:cs="Times New Roman"/>
          <w:sz w:val="28"/>
          <w:szCs w:val="28"/>
        </w:rPr>
        <w:t xml:space="preserve">. </w:t>
      </w:r>
    </w:p>
    <w:p w:rsidR="009621FA" w:rsidRPr="00D61E7E" w:rsidRDefault="00D61E7E" w:rsidP="009621FA">
      <w:pPr>
        <w:pStyle w:val="Prrafodelista"/>
        <w:tabs>
          <w:tab w:val="left" w:pos="709"/>
        </w:tabs>
        <w:ind w:left="0"/>
        <w:rPr>
          <w:rFonts w:ascii="Times New Roman" w:hAnsi="Times New Roman" w:cs="Times New Roman"/>
          <w:sz w:val="28"/>
          <w:szCs w:val="28"/>
        </w:rPr>
      </w:pPr>
    </w:p>
    <w:p w:rsidR="009621FA" w:rsidRPr="00D61E7E" w:rsidRDefault="00D61E7E" w:rsidP="009621FA">
      <w:pPr>
        <w:pStyle w:val="Prrafodelista"/>
        <w:numPr>
          <w:ilvl w:val="0"/>
          <w:numId w:val="3"/>
        </w:numPr>
        <w:tabs>
          <w:tab w:val="left" w:pos="709"/>
        </w:tabs>
        <w:rPr>
          <w:rFonts w:ascii="Times New Roman" w:hAnsi="Times New Roman" w:cs="Times New Roman"/>
          <w:sz w:val="28"/>
          <w:szCs w:val="28"/>
        </w:rPr>
      </w:pPr>
      <w:r w:rsidRPr="00D61E7E">
        <w:rPr>
          <w:rFonts w:ascii="Times New Roman" w:hAnsi="Times New Roman" w:cs="Times New Roman"/>
          <w:sz w:val="28"/>
          <w:szCs w:val="28"/>
        </w:rPr>
        <w:t xml:space="preserve">Así, </w:t>
      </w:r>
      <w:r w:rsidRPr="00D61E7E">
        <w:rPr>
          <w:rFonts w:ascii="Times New Roman" w:hAnsi="Times New Roman" w:cs="Times New Roman"/>
          <w:sz w:val="28"/>
          <w:szCs w:val="28"/>
        </w:rPr>
        <w:t>para la Corte, el artículo 73 apunta a simplificar las interacciones de las empresas con la DIAN, una medida esencial para un entorno empresarial competitivo. Para el Tribunal, la virtualización de procedimientos administrativos es un pilar dentro de la le</w:t>
      </w:r>
      <w:r w:rsidRPr="00D61E7E">
        <w:rPr>
          <w:rFonts w:ascii="Times New Roman" w:hAnsi="Times New Roman" w:cs="Times New Roman"/>
          <w:sz w:val="28"/>
          <w:szCs w:val="28"/>
        </w:rPr>
        <w:t xml:space="preserve">y, ya que refleja la necesidad de actualizar y adaptar las estructuras gubernamentales a las exigencias del mercado y a las tecnologías de la información, factores determinantes para el éxito de los emprendimientos. </w:t>
      </w:r>
    </w:p>
    <w:p w:rsidR="009621FA" w:rsidRPr="00D61E7E" w:rsidRDefault="00D61E7E" w:rsidP="009621FA">
      <w:pPr>
        <w:pStyle w:val="Prrafodelista"/>
        <w:rPr>
          <w:rFonts w:ascii="Times New Roman" w:hAnsi="Times New Roman" w:cs="Times New Roman"/>
          <w:sz w:val="28"/>
          <w:szCs w:val="28"/>
        </w:rPr>
      </w:pPr>
    </w:p>
    <w:p w:rsidR="009621FA" w:rsidRPr="00D61E7E" w:rsidRDefault="00D61E7E" w:rsidP="009621FA">
      <w:pPr>
        <w:pStyle w:val="Prrafodelista"/>
        <w:numPr>
          <w:ilvl w:val="0"/>
          <w:numId w:val="3"/>
        </w:numPr>
        <w:tabs>
          <w:tab w:val="left" w:pos="709"/>
        </w:tabs>
        <w:rPr>
          <w:rFonts w:ascii="Times New Roman" w:hAnsi="Times New Roman" w:cs="Times New Roman"/>
          <w:sz w:val="28"/>
          <w:szCs w:val="28"/>
        </w:rPr>
      </w:pPr>
      <w:r w:rsidRPr="00D61E7E">
        <w:rPr>
          <w:rFonts w:ascii="Times New Roman" w:hAnsi="Times New Roman" w:cs="Times New Roman"/>
          <w:sz w:val="28"/>
          <w:szCs w:val="28"/>
        </w:rPr>
        <w:t xml:space="preserve">En ese sentido, aunque el alcance de </w:t>
      </w:r>
      <w:r w:rsidRPr="00D61E7E">
        <w:rPr>
          <w:rFonts w:ascii="Times New Roman" w:hAnsi="Times New Roman" w:cs="Times New Roman"/>
          <w:sz w:val="28"/>
          <w:szCs w:val="28"/>
        </w:rPr>
        <w:t>la norma es amplio, pues no solo cobija a las pequeñas y medianas empresas sino en general a todos los contribuyentes, esta circunstancia no desconoce per se la unidad de materia pues es claro que genera un beneficio identificable y directo para los empren</w:t>
      </w:r>
      <w:r w:rsidRPr="00D61E7E">
        <w:rPr>
          <w:rFonts w:ascii="Times New Roman" w:hAnsi="Times New Roman" w:cs="Times New Roman"/>
          <w:sz w:val="28"/>
          <w:szCs w:val="28"/>
        </w:rPr>
        <w:t>dedores quienes, por su actividad económica, tienen un contacto frecuente y regular con la administración tributaria. Esta circunstancia hace que se respeten las reglas jurisprudenciales sobre conexidad temática pues se constata una relación directa y conc</w:t>
      </w:r>
      <w:r w:rsidRPr="00D61E7E">
        <w:rPr>
          <w:rFonts w:ascii="Times New Roman" w:hAnsi="Times New Roman" w:cs="Times New Roman"/>
          <w:sz w:val="28"/>
          <w:szCs w:val="28"/>
        </w:rPr>
        <w:t>reta entre las mejoras de los procesos administrativos de la DIAN con un ambiente que propicie la consolidación de los esfuerzos emprendedores de las personas naturales o jurídicas.</w:t>
      </w:r>
    </w:p>
    <w:p w:rsidR="000D6B6A" w:rsidRPr="00D61E7E" w:rsidRDefault="00D61E7E" w:rsidP="000D6B6A">
      <w:pPr>
        <w:pStyle w:val="Prrafodelista"/>
        <w:rPr>
          <w:rFonts w:ascii="Times New Roman" w:hAnsi="Times New Roman" w:cs="Times New Roman"/>
          <w:sz w:val="28"/>
          <w:szCs w:val="28"/>
        </w:rPr>
      </w:pPr>
    </w:p>
    <w:p w:rsidR="000D6B6A" w:rsidRPr="00D61E7E" w:rsidRDefault="00D61E7E" w:rsidP="000D6B6A">
      <w:pPr>
        <w:pStyle w:val="Prrafodelista"/>
        <w:numPr>
          <w:ilvl w:val="0"/>
          <w:numId w:val="3"/>
        </w:numPr>
        <w:tabs>
          <w:tab w:val="left" w:pos="709"/>
        </w:tabs>
        <w:rPr>
          <w:rFonts w:ascii="Times New Roman" w:hAnsi="Times New Roman" w:cs="Times New Roman"/>
          <w:sz w:val="28"/>
          <w:szCs w:val="28"/>
        </w:rPr>
      </w:pPr>
      <w:r w:rsidRPr="00D61E7E">
        <w:rPr>
          <w:rFonts w:ascii="Times New Roman" w:hAnsi="Times New Roman" w:cs="Times New Roman"/>
          <w:sz w:val="28"/>
          <w:szCs w:val="28"/>
        </w:rPr>
        <w:t>La Sala no desconoce que se trata de una medida sobre inclusiva ya que no</w:t>
      </w:r>
      <w:r w:rsidRPr="00D61E7E">
        <w:rPr>
          <w:rFonts w:ascii="Times New Roman" w:hAnsi="Times New Roman" w:cs="Times New Roman"/>
          <w:sz w:val="28"/>
          <w:szCs w:val="28"/>
        </w:rPr>
        <w:t xml:space="preserve"> solo afecta al entorno emprendedor sino a los contribuyentes en general. Sin embargo, dicha sobre inclusividad no desconoce el principio de unidad de materia por tres razones.</w:t>
      </w:r>
      <w:r w:rsidRPr="00D61E7E">
        <w:rPr>
          <w:rFonts w:ascii="Times New Roman" w:hAnsi="Times New Roman" w:cs="Times New Roman"/>
          <w:sz w:val="28"/>
          <w:szCs w:val="28"/>
          <w:lang w:val="es-ES"/>
        </w:rPr>
        <w:t xml:space="preserve"> Esto, pues en lugar de limitar los beneficios solo a un segmento del mercado, l</w:t>
      </w:r>
      <w:r w:rsidRPr="00D61E7E">
        <w:rPr>
          <w:rFonts w:ascii="Times New Roman" w:hAnsi="Times New Roman" w:cs="Times New Roman"/>
          <w:sz w:val="28"/>
          <w:szCs w:val="28"/>
          <w:lang w:val="es-ES"/>
        </w:rPr>
        <w:t xml:space="preserve">a norma extiende sus ventajas a todos los contribuyentes, lo cual es particularmente valioso en un contexto económico donde todos los actores requieren eficiencia y simplificación administrativa para prosperar. Es importante señalar que, por la naturaleza </w:t>
      </w:r>
      <w:r w:rsidRPr="00D61E7E">
        <w:rPr>
          <w:rFonts w:ascii="Times New Roman" w:hAnsi="Times New Roman" w:cs="Times New Roman"/>
          <w:sz w:val="28"/>
          <w:szCs w:val="28"/>
          <w:lang w:val="es-ES"/>
        </w:rPr>
        <w:t>del emprendimiento, cualquier contribuyente tiene el potencial de crear una pequeña o mediana empresa por lo que dicha universalidad hace que sea razonable no solo volver permanente una norma que tenía una vocación transitoria sino extenderla a un universo</w:t>
      </w:r>
      <w:r w:rsidRPr="00D61E7E">
        <w:rPr>
          <w:rFonts w:ascii="Times New Roman" w:hAnsi="Times New Roman" w:cs="Times New Roman"/>
          <w:sz w:val="28"/>
          <w:szCs w:val="28"/>
          <w:lang w:val="es-ES"/>
        </w:rPr>
        <w:t xml:space="preserve"> general de ciudadanos. </w:t>
      </w:r>
    </w:p>
    <w:p w:rsidR="000D6B6A" w:rsidRPr="00D61E7E" w:rsidRDefault="00D61E7E" w:rsidP="000D6B6A">
      <w:pPr>
        <w:pStyle w:val="Prrafodelista"/>
        <w:rPr>
          <w:rFonts w:ascii="Times New Roman" w:hAnsi="Times New Roman" w:cs="Times New Roman"/>
          <w:sz w:val="28"/>
          <w:szCs w:val="28"/>
          <w:lang w:val="es-ES"/>
        </w:rPr>
      </w:pPr>
    </w:p>
    <w:p w:rsidR="000D6B6A" w:rsidRPr="00D61E7E" w:rsidRDefault="00D61E7E" w:rsidP="000D6B6A">
      <w:pPr>
        <w:pStyle w:val="Prrafodelista"/>
        <w:numPr>
          <w:ilvl w:val="0"/>
          <w:numId w:val="3"/>
        </w:numPr>
        <w:tabs>
          <w:tab w:val="left" w:pos="709"/>
        </w:tabs>
        <w:rPr>
          <w:rFonts w:ascii="Times New Roman" w:hAnsi="Times New Roman" w:cs="Times New Roman"/>
          <w:sz w:val="28"/>
          <w:szCs w:val="28"/>
        </w:rPr>
      </w:pPr>
      <w:r w:rsidRPr="00D61E7E">
        <w:rPr>
          <w:rFonts w:ascii="Times New Roman" w:hAnsi="Times New Roman" w:cs="Times New Roman"/>
          <w:sz w:val="28"/>
          <w:szCs w:val="28"/>
          <w:lang w:val="es-ES"/>
        </w:rPr>
        <w:t>Así las cosas, la generalidad de la norma asegura que los beneficios de modernización y eficiencia en los procedimientos administrativos tributarios sean accesibles universalmente, lo cual contribuye a la creación de un entorno em</w:t>
      </w:r>
      <w:r w:rsidRPr="00D61E7E">
        <w:rPr>
          <w:rFonts w:ascii="Times New Roman" w:hAnsi="Times New Roman" w:cs="Times New Roman"/>
          <w:sz w:val="28"/>
          <w:szCs w:val="28"/>
          <w:lang w:val="es-ES"/>
        </w:rPr>
        <w:t>presarial más equitativo y competitivo. Esto es especialmente importante en una economía diversa donde distintos tipos de emprendimientos enfrentan retos comunes relacionados con la fiscalidad y la contabilidad. Al incluir a todos los contribuyentes, la no</w:t>
      </w:r>
      <w:r w:rsidRPr="00D61E7E">
        <w:rPr>
          <w:rFonts w:ascii="Times New Roman" w:hAnsi="Times New Roman" w:cs="Times New Roman"/>
          <w:sz w:val="28"/>
          <w:szCs w:val="28"/>
          <w:lang w:val="es-ES"/>
        </w:rPr>
        <w:t xml:space="preserve">rma promueve un campo de juego nivelado donde todos los actores económicos pueden beneficiarse de las mejoras en la administración tributaria, sin importar el tipo de actividad emprendedora. </w:t>
      </w:r>
    </w:p>
    <w:p w:rsidR="000D6B6A" w:rsidRPr="00D61E7E" w:rsidRDefault="00D61E7E" w:rsidP="000D6B6A">
      <w:pPr>
        <w:pStyle w:val="Prrafodelista"/>
        <w:rPr>
          <w:rFonts w:ascii="Times New Roman" w:hAnsi="Times New Roman" w:cs="Times New Roman"/>
          <w:sz w:val="28"/>
          <w:szCs w:val="28"/>
        </w:rPr>
      </w:pPr>
    </w:p>
    <w:p w:rsidR="000D6B6A" w:rsidRPr="00D61E7E" w:rsidRDefault="00D61E7E" w:rsidP="000D6B6A">
      <w:pPr>
        <w:pStyle w:val="Prrafodelista"/>
        <w:numPr>
          <w:ilvl w:val="0"/>
          <w:numId w:val="3"/>
        </w:numPr>
        <w:tabs>
          <w:tab w:val="left" w:pos="709"/>
        </w:tabs>
        <w:rPr>
          <w:rFonts w:ascii="Times New Roman" w:hAnsi="Times New Roman" w:cs="Times New Roman"/>
          <w:bCs/>
          <w:sz w:val="28"/>
          <w:szCs w:val="28"/>
          <w:lang w:val="es-ES"/>
        </w:rPr>
      </w:pPr>
      <w:r w:rsidRPr="00D61E7E">
        <w:rPr>
          <w:rFonts w:ascii="Times New Roman" w:hAnsi="Times New Roman" w:cs="Times New Roman"/>
          <w:bCs/>
          <w:sz w:val="28"/>
          <w:szCs w:val="28"/>
          <w:lang w:val="es-ES"/>
        </w:rPr>
        <w:t xml:space="preserve">Como lo advirtió la DIAN en su intervención, la virtualidad en </w:t>
      </w:r>
      <w:r w:rsidRPr="00D61E7E">
        <w:rPr>
          <w:rFonts w:ascii="Times New Roman" w:hAnsi="Times New Roman" w:cs="Times New Roman"/>
          <w:bCs/>
          <w:sz w:val="28"/>
          <w:szCs w:val="28"/>
          <w:lang w:val="es-ES"/>
        </w:rPr>
        <w:t>los</w:t>
      </w:r>
      <w:r w:rsidRPr="00D61E7E">
        <w:rPr>
          <w:rFonts w:ascii="Times New Roman" w:hAnsi="Times New Roman" w:cs="Times New Roman"/>
          <w:bCs/>
          <w:sz w:val="28"/>
          <w:szCs w:val="28"/>
          <w:lang w:val="es-ES"/>
        </w:rPr>
        <w:t xml:space="preserve"> medios de prueba</w:t>
      </w:r>
      <w:r w:rsidRPr="00D61E7E">
        <w:rPr>
          <w:rFonts w:ascii="Times New Roman" w:hAnsi="Times New Roman" w:cs="Times New Roman"/>
          <w:bCs/>
          <w:sz w:val="28"/>
          <w:szCs w:val="28"/>
          <w:lang w:val="es-ES"/>
        </w:rPr>
        <w:t xml:space="preserve"> de inspección tributario y</w:t>
      </w:r>
      <w:r w:rsidRPr="00D61E7E">
        <w:rPr>
          <w:rFonts w:ascii="Times New Roman" w:hAnsi="Times New Roman" w:cs="Times New Roman"/>
          <w:bCs/>
          <w:sz w:val="28"/>
          <w:szCs w:val="28"/>
          <w:lang w:val="es-ES"/>
        </w:rPr>
        <w:t xml:space="preserve"> contable y las visitas administrativas tributarias y cambiarias</w:t>
      </w:r>
      <w:r w:rsidRPr="00D61E7E">
        <w:rPr>
          <w:rFonts w:ascii="Times New Roman" w:hAnsi="Times New Roman" w:cs="Times New Roman"/>
          <w:bCs/>
          <w:sz w:val="28"/>
          <w:szCs w:val="28"/>
          <w:lang w:val="es-ES"/>
        </w:rPr>
        <w:t xml:space="preserve"> permiten una mayor eficiencia en la actividad de la dirección lo que redunda en un mayor beneficio para los contribuyentes, especialmente aquell</w:t>
      </w:r>
      <w:r w:rsidRPr="00D61E7E">
        <w:rPr>
          <w:rFonts w:ascii="Times New Roman" w:hAnsi="Times New Roman" w:cs="Times New Roman"/>
          <w:bCs/>
          <w:sz w:val="28"/>
          <w:szCs w:val="28"/>
          <w:lang w:val="es-ES"/>
        </w:rPr>
        <w:t>os que, por su actividad económica y empresarial, tienen una relación más habitual y permanentes con la entidad. Al incluir una norma que vuelve permanente la disposición que habilitó las actuaciones virtuales es indudable que se garantiza estabilidad en u</w:t>
      </w:r>
      <w:r w:rsidRPr="00D61E7E">
        <w:rPr>
          <w:rFonts w:ascii="Times New Roman" w:hAnsi="Times New Roman" w:cs="Times New Roman"/>
          <w:bCs/>
          <w:sz w:val="28"/>
          <w:szCs w:val="28"/>
          <w:lang w:val="es-ES"/>
        </w:rPr>
        <w:t xml:space="preserve">na medida que ha beneficiado la eficacia en la administración pública y ha hecho más accesible la interacción de los ciudadanos en general, y los emprendedores en particular, con el Estado. </w:t>
      </w:r>
    </w:p>
    <w:p w:rsidR="000D6B6A" w:rsidRPr="00D61E7E" w:rsidRDefault="00D61E7E" w:rsidP="000D6B6A">
      <w:pPr>
        <w:pStyle w:val="Prrafodelista"/>
        <w:rPr>
          <w:rFonts w:ascii="Times New Roman" w:hAnsi="Times New Roman" w:cs="Times New Roman"/>
          <w:bCs/>
          <w:sz w:val="28"/>
          <w:szCs w:val="28"/>
          <w:lang w:val="es-ES"/>
        </w:rPr>
      </w:pPr>
    </w:p>
    <w:p w:rsidR="000D6B6A" w:rsidRPr="00D61E7E" w:rsidRDefault="00D61E7E" w:rsidP="000D6B6A">
      <w:pPr>
        <w:pStyle w:val="Prrafodelista"/>
        <w:numPr>
          <w:ilvl w:val="0"/>
          <w:numId w:val="3"/>
        </w:numPr>
        <w:tabs>
          <w:tab w:val="left" w:pos="709"/>
        </w:tabs>
        <w:rPr>
          <w:rFonts w:ascii="Times New Roman" w:hAnsi="Times New Roman" w:cs="Times New Roman"/>
          <w:bCs/>
          <w:sz w:val="28"/>
          <w:szCs w:val="28"/>
          <w:lang w:val="es-ES"/>
        </w:rPr>
      </w:pPr>
      <w:r w:rsidRPr="00D61E7E">
        <w:rPr>
          <w:rFonts w:ascii="Times New Roman" w:hAnsi="Times New Roman" w:cs="Times New Roman"/>
          <w:bCs/>
          <w:sz w:val="28"/>
          <w:szCs w:val="28"/>
          <w:lang w:val="es-ES"/>
        </w:rPr>
        <w:t>En su intervención, la dirección de impuestos explicó de forma g</w:t>
      </w:r>
      <w:r w:rsidRPr="00D61E7E">
        <w:rPr>
          <w:rFonts w:ascii="Times New Roman" w:hAnsi="Times New Roman" w:cs="Times New Roman"/>
          <w:bCs/>
          <w:sz w:val="28"/>
          <w:szCs w:val="28"/>
          <w:lang w:val="es-ES"/>
        </w:rPr>
        <w:t>eneral como la implementación de procesos virtuales al interior de la entidad, en particular a partir de las medidas de emergencia adoptadas por el Gobierno Nacional para enfrentar la pandemia de la COVID 19, ha transformado significativamente la manera en</w:t>
      </w:r>
      <w:r w:rsidRPr="00D61E7E">
        <w:rPr>
          <w:rFonts w:ascii="Times New Roman" w:hAnsi="Times New Roman" w:cs="Times New Roman"/>
          <w:bCs/>
          <w:sz w:val="28"/>
          <w:szCs w:val="28"/>
          <w:lang w:val="es-ES"/>
        </w:rPr>
        <w:t xml:space="preserve"> que tanto los ciudadanos como las empresas interactúan con la entidad, lo que ha presentado una mejora en la eficiencia y accesibilidad de los servicios tributarios y aduaneros en el país. Esta digitalización ha facilitado la gestión de obligaciones fisca</w:t>
      </w:r>
      <w:r w:rsidRPr="00D61E7E">
        <w:rPr>
          <w:rFonts w:ascii="Times New Roman" w:hAnsi="Times New Roman" w:cs="Times New Roman"/>
          <w:bCs/>
          <w:sz w:val="28"/>
          <w:szCs w:val="28"/>
          <w:lang w:val="es-ES"/>
        </w:rPr>
        <w:t xml:space="preserve">les lo que redunda en una mayor transparencia. La disponibilidad de servicios en línea ha eliminado las barreras físicas y temporales, lo que optimiza el tiempo de los contribuyentes y las capacidades institucionales de la DIAN. </w:t>
      </w:r>
    </w:p>
    <w:p w:rsidR="000D6B6A" w:rsidRPr="00D61E7E" w:rsidRDefault="00D61E7E" w:rsidP="000D6B6A">
      <w:pPr>
        <w:pStyle w:val="Prrafodelista"/>
        <w:tabs>
          <w:tab w:val="left" w:pos="709"/>
        </w:tabs>
        <w:ind w:left="0"/>
        <w:rPr>
          <w:rFonts w:ascii="Times New Roman" w:hAnsi="Times New Roman" w:cs="Times New Roman"/>
          <w:bCs/>
          <w:sz w:val="28"/>
          <w:szCs w:val="28"/>
          <w:lang w:val="es-ES"/>
        </w:rPr>
      </w:pPr>
    </w:p>
    <w:p w:rsidR="000D6B6A" w:rsidRPr="00D61E7E" w:rsidRDefault="00D61E7E" w:rsidP="000D6B6A">
      <w:pPr>
        <w:pStyle w:val="Prrafodelista"/>
        <w:numPr>
          <w:ilvl w:val="0"/>
          <w:numId w:val="3"/>
        </w:numPr>
        <w:tabs>
          <w:tab w:val="left" w:pos="709"/>
        </w:tabs>
        <w:rPr>
          <w:rFonts w:ascii="Times New Roman" w:hAnsi="Times New Roman" w:cs="Times New Roman"/>
          <w:sz w:val="28"/>
          <w:szCs w:val="28"/>
        </w:rPr>
      </w:pPr>
      <w:r w:rsidRPr="00D61E7E">
        <w:rPr>
          <w:rFonts w:ascii="Times New Roman" w:hAnsi="Times New Roman" w:cs="Times New Roman"/>
          <w:bCs/>
          <w:sz w:val="28"/>
          <w:szCs w:val="28"/>
          <w:lang w:val="es-ES"/>
        </w:rPr>
        <w:t>Una medida como la inclui</w:t>
      </w:r>
      <w:r w:rsidRPr="00D61E7E">
        <w:rPr>
          <w:rFonts w:ascii="Times New Roman" w:hAnsi="Times New Roman" w:cs="Times New Roman"/>
          <w:bCs/>
          <w:sz w:val="28"/>
          <w:szCs w:val="28"/>
          <w:lang w:val="es-ES"/>
        </w:rPr>
        <w:t>da en el artículo demandado, además, permite que la dirección de impuestos pueda tener información precisa y actual sobre los emprendimientos en Colombia, lo que mejora su proceso de toma de decisiones. La capacidad para recolectar y procesar grandes volúm</w:t>
      </w:r>
      <w:r w:rsidRPr="00D61E7E">
        <w:rPr>
          <w:rFonts w:ascii="Times New Roman" w:hAnsi="Times New Roman" w:cs="Times New Roman"/>
          <w:bCs/>
          <w:sz w:val="28"/>
          <w:szCs w:val="28"/>
          <w:lang w:val="es-ES"/>
        </w:rPr>
        <w:t>enes de datos de manera eficiente permite mejorar la fiscalización</w:t>
      </w:r>
      <w:r w:rsidRPr="00D61E7E">
        <w:rPr>
          <w:rFonts w:ascii="Times New Roman" w:hAnsi="Times New Roman" w:cs="Times New Roman"/>
          <w:bCs/>
          <w:sz w:val="28"/>
          <w:szCs w:val="28"/>
          <w:lang w:val="es-ES"/>
        </w:rPr>
        <w:t>,</w:t>
      </w:r>
      <w:r w:rsidRPr="00D61E7E">
        <w:rPr>
          <w:rFonts w:ascii="Times New Roman" w:hAnsi="Times New Roman" w:cs="Times New Roman"/>
          <w:bCs/>
          <w:sz w:val="28"/>
          <w:szCs w:val="28"/>
          <w:lang w:val="es-ES"/>
        </w:rPr>
        <w:t xml:space="preserve"> y el control contable y aduanero. Esto, sin duda es pertinente para la promoción empresarial del país, un ejercicio dinámico y cambiante que requiere de ciertos incentivos para su consolid</w:t>
      </w:r>
      <w:r w:rsidRPr="00D61E7E">
        <w:rPr>
          <w:rFonts w:ascii="Times New Roman" w:hAnsi="Times New Roman" w:cs="Times New Roman"/>
          <w:bCs/>
          <w:sz w:val="28"/>
          <w:szCs w:val="28"/>
          <w:lang w:val="es-ES"/>
        </w:rPr>
        <w:t>ación</w:t>
      </w:r>
    </w:p>
    <w:p w:rsidR="000D6B6A" w:rsidRPr="00D61E7E" w:rsidRDefault="00D61E7E" w:rsidP="000D6B6A">
      <w:pPr>
        <w:pStyle w:val="Prrafodelista"/>
        <w:rPr>
          <w:rFonts w:ascii="Times New Roman" w:hAnsi="Times New Roman" w:cs="Times New Roman"/>
          <w:sz w:val="28"/>
          <w:szCs w:val="28"/>
        </w:rPr>
      </w:pPr>
    </w:p>
    <w:p w:rsidR="000D6B6A" w:rsidRPr="00D61E7E" w:rsidRDefault="00D61E7E" w:rsidP="000D6B6A">
      <w:pPr>
        <w:pStyle w:val="Prrafodelista"/>
        <w:numPr>
          <w:ilvl w:val="0"/>
          <w:numId w:val="3"/>
        </w:numPr>
        <w:tabs>
          <w:tab w:val="left" w:pos="709"/>
        </w:tabs>
        <w:rPr>
          <w:rFonts w:ascii="Times New Roman" w:hAnsi="Times New Roman" w:cs="Times New Roman"/>
          <w:sz w:val="28"/>
          <w:szCs w:val="28"/>
          <w:lang w:val="es-ES"/>
        </w:rPr>
      </w:pPr>
      <w:r w:rsidRPr="00D61E7E">
        <w:rPr>
          <w:rFonts w:ascii="Times New Roman" w:hAnsi="Times New Roman" w:cs="Times New Roman"/>
          <w:sz w:val="28"/>
          <w:szCs w:val="28"/>
        </w:rPr>
        <w:t xml:space="preserve">A su vez, el artículo 73 guarda </w:t>
      </w:r>
      <w:r w:rsidRPr="00D61E7E">
        <w:rPr>
          <w:rFonts w:ascii="Times New Roman" w:hAnsi="Times New Roman" w:cs="Times New Roman"/>
          <w:b/>
          <w:bCs/>
          <w:sz w:val="28"/>
          <w:szCs w:val="28"/>
        </w:rPr>
        <w:t>conexidad causal</w:t>
      </w:r>
      <w:r w:rsidRPr="00D61E7E">
        <w:rPr>
          <w:rFonts w:ascii="Times New Roman" w:hAnsi="Times New Roman" w:cs="Times New Roman"/>
          <w:sz w:val="28"/>
          <w:szCs w:val="28"/>
        </w:rPr>
        <w:t xml:space="preserve"> con la </w:t>
      </w:r>
      <w:r w:rsidRPr="00D61E7E">
        <w:rPr>
          <w:rFonts w:ascii="Times New Roman" w:hAnsi="Times New Roman" w:cs="Times New Roman"/>
          <w:sz w:val="28"/>
          <w:szCs w:val="28"/>
        </w:rPr>
        <w:t>Ley 2069 de 2020</w:t>
      </w:r>
      <w:r w:rsidRPr="00D61E7E">
        <w:rPr>
          <w:rFonts w:ascii="Times New Roman" w:hAnsi="Times New Roman" w:cs="Times New Roman"/>
          <w:sz w:val="28"/>
          <w:szCs w:val="28"/>
        </w:rPr>
        <w:t xml:space="preserve"> ya que, al igual que en el artículo 70, el Congreso identificó de forma oportuna las barreras para el emprendimiento derivadas de los procesos administrativos ante el Estado. A</w:t>
      </w:r>
      <w:r w:rsidRPr="00D61E7E">
        <w:rPr>
          <w:rFonts w:ascii="Times New Roman" w:hAnsi="Times New Roman" w:cs="Times New Roman"/>
          <w:sz w:val="28"/>
          <w:szCs w:val="28"/>
        </w:rPr>
        <w:t xml:space="preserve">sí, como se explicó en el capítulo de trámite legislativo, el Legislador identificó </w:t>
      </w:r>
      <w:r w:rsidRPr="00D61E7E">
        <w:rPr>
          <w:rFonts w:ascii="Times New Roman" w:hAnsi="Times New Roman" w:cs="Times New Roman"/>
          <w:sz w:val="28"/>
          <w:szCs w:val="28"/>
          <w:lang w:val="es-ES"/>
        </w:rPr>
        <w:t xml:space="preserve">los trámites </w:t>
      </w:r>
      <w:r w:rsidRPr="00D61E7E">
        <w:rPr>
          <w:rFonts w:ascii="Times New Roman" w:hAnsi="Times New Roman" w:cs="Times New Roman"/>
          <w:sz w:val="28"/>
          <w:szCs w:val="28"/>
          <w:lang w:val="es-ES"/>
        </w:rPr>
        <w:t xml:space="preserve">ante el Estado como un </w:t>
      </w:r>
      <w:r w:rsidRPr="00D61E7E">
        <w:rPr>
          <w:rFonts w:ascii="Times New Roman" w:hAnsi="Times New Roman" w:cs="Times New Roman"/>
          <w:sz w:val="28"/>
          <w:szCs w:val="28"/>
          <w:lang w:val="es-ES"/>
        </w:rPr>
        <w:t xml:space="preserve">impedimentos significativo para el desarrollo empresarial. </w:t>
      </w:r>
      <w:r w:rsidRPr="00D61E7E">
        <w:rPr>
          <w:rFonts w:ascii="Times New Roman" w:hAnsi="Times New Roman" w:cs="Times New Roman"/>
          <w:sz w:val="28"/>
          <w:szCs w:val="28"/>
          <w:lang w:val="es-ES"/>
        </w:rPr>
        <w:t>Por ello, l</w:t>
      </w:r>
      <w:r w:rsidRPr="00D61E7E">
        <w:rPr>
          <w:rFonts w:ascii="Times New Roman" w:hAnsi="Times New Roman" w:cs="Times New Roman"/>
          <w:sz w:val="28"/>
          <w:szCs w:val="28"/>
          <w:lang w:val="es-ES"/>
        </w:rPr>
        <w:t xml:space="preserve">a </w:t>
      </w:r>
      <w:r w:rsidRPr="00D61E7E">
        <w:rPr>
          <w:rFonts w:ascii="Times New Roman" w:hAnsi="Times New Roman" w:cs="Times New Roman"/>
          <w:sz w:val="28"/>
          <w:szCs w:val="28"/>
          <w:lang w:val="es-ES"/>
        </w:rPr>
        <w:t>Ley 2069 de 2020</w:t>
      </w:r>
      <w:r w:rsidRPr="00D61E7E">
        <w:rPr>
          <w:rFonts w:ascii="Times New Roman" w:hAnsi="Times New Roman" w:cs="Times New Roman"/>
          <w:sz w:val="28"/>
          <w:szCs w:val="28"/>
          <w:lang w:val="es-ES"/>
        </w:rPr>
        <w:t xml:space="preserve"> se expidió con el propósito de superar estos obstáculos al agilizar y</w:t>
      </w:r>
      <w:r w:rsidRPr="00D61E7E">
        <w:rPr>
          <w:rFonts w:ascii="Times New Roman" w:hAnsi="Times New Roman" w:cs="Times New Roman"/>
          <w:sz w:val="28"/>
          <w:szCs w:val="28"/>
          <w:lang w:val="es-ES"/>
        </w:rPr>
        <w:t xml:space="preserve"> </w:t>
      </w:r>
      <w:r w:rsidRPr="00D61E7E">
        <w:rPr>
          <w:rFonts w:ascii="Times New Roman" w:hAnsi="Times New Roman" w:cs="Times New Roman"/>
          <w:sz w:val="28"/>
          <w:szCs w:val="28"/>
          <w:lang w:val="es-ES"/>
        </w:rPr>
        <w:t>modernizar los procedimientos tributarios y aduaneros, lo que se traduce</w:t>
      </w:r>
      <w:r w:rsidRPr="00D61E7E">
        <w:rPr>
          <w:rFonts w:ascii="Times New Roman" w:hAnsi="Times New Roman" w:cs="Times New Roman"/>
          <w:sz w:val="28"/>
          <w:szCs w:val="28"/>
          <w:lang w:val="es-ES"/>
        </w:rPr>
        <w:t xml:space="preserve"> </w:t>
      </w:r>
      <w:r w:rsidRPr="00D61E7E">
        <w:rPr>
          <w:rFonts w:ascii="Times New Roman" w:hAnsi="Times New Roman" w:cs="Times New Roman"/>
          <w:sz w:val="28"/>
          <w:szCs w:val="28"/>
          <w:lang w:val="es-ES"/>
        </w:rPr>
        <w:t xml:space="preserve">en la virtualización de </w:t>
      </w:r>
      <w:r w:rsidRPr="00D61E7E">
        <w:rPr>
          <w:rFonts w:ascii="Times New Roman" w:hAnsi="Times New Roman" w:cs="Times New Roman"/>
          <w:sz w:val="28"/>
          <w:szCs w:val="28"/>
          <w:lang w:val="es-ES"/>
        </w:rPr>
        <w:t>estos</w:t>
      </w:r>
      <w:r w:rsidRPr="00D61E7E">
        <w:rPr>
          <w:rFonts w:ascii="Times New Roman" w:hAnsi="Times New Roman" w:cs="Times New Roman"/>
          <w:sz w:val="28"/>
          <w:szCs w:val="28"/>
          <w:lang w:val="es-ES"/>
        </w:rPr>
        <w:t>. Así, para la Sala Plena, el artículo 73</w:t>
      </w:r>
      <w:r w:rsidRPr="00D61E7E">
        <w:rPr>
          <w:rFonts w:ascii="Times New Roman" w:hAnsi="Times New Roman" w:cs="Times New Roman"/>
          <w:sz w:val="28"/>
          <w:szCs w:val="28"/>
          <w:lang w:val="es-ES"/>
        </w:rPr>
        <w:t xml:space="preserve"> </w:t>
      </w:r>
      <w:r w:rsidRPr="00D61E7E">
        <w:rPr>
          <w:rFonts w:ascii="Times New Roman" w:hAnsi="Times New Roman" w:cs="Times New Roman"/>
          <w:sz w:val="28"/>
          <w:szCs w:val="28"/>
          <w:lang w:val="es-ES"/>
        </w:rPr>
        <w:t>atiende a la causa directa de la lentitud</w:t>
      </w:r>
      <w:r w:rsidRPr="00D61E7E">
        <w:rPr>
          <w:rFonts w:ascii="Times New Roman" w:hAnsi="Times New Roman" w:cs="Times New Roman"/>
          <w:sz w:val="28"/>
          <w:szCs w:val="28"/>
          <w:lang w:val="es-ES"/>
        </w:rPr>
        <w:t xml:space="preserve"> y complejidad en los procesos</w:t>
      </w:r>
      <w:r w:rsidRPr="00D61E7E">
        <w:rPr>
          <w:rFonts w:ascii="Times New Roman" w:hAnsi="Times New Roman" w:cs="Times New Roman"/>
          <w:sz w:val="28"/>
          <w:szCs w:val="28"/>
          <w:lang w:val="es-ES"/>
        </w:rPr>
        <w:t xml:space="preserve"> </w:t>
      </w:r>
      <w:r w:rsidRPr="00D61E7E">
        <w:rPr>
          <w:rFonts w:ascii="Times New Roman" w:hAnsi="Times New Roman" w:cs="Times New Roman"/>
          <w:sz w:val="28"/>
          <w:szCs w:val="28"/>
          <w:lang w:val="es-ES"/>
        </w:rPr>
        <w:t>administrativos, y ofrece una solución digital que se alinea con las</w:t>
      </w:r>
      <w:r w:rsidRPr="00D61E7E">
        <w:rPr>
          <w:rFonts w:ascii="Times New Roman" w:hAnsi="Times New Roman" w:cs="Times New Roman"/>
          <w:sz w:val="28"/>
          <w:szCs w:val="28"/>
          <w:lang w:val="es-ES"/>
        </w:rPr>
        <w:t xml:space="preserve"> </w:t>
      </w:r>
      <w:r w:rsidRPr="00D61E7E">
        <w:rPr>
          <w:rFonts w:ascii="Times New Roman" w:hAnsi="Times New Roman" w:cs="Times New Roman"/>
          <w:sz w:val="28"/>
          <w:szCs w:val="28"/>
          <w:lang w:val="es-ES"/>
        </w:rPr>
        <w:t>prácticas modernas de gestión empresarial.</w:t>
      </w:r>
    </w:p>
    <w:p w:rsidR="00195166" w:rsidRPr="00D61E7E" w:rsidRDefault="00D61E7E" w:rsidP="00195166">
      <w:pPr>
        <w:pStyle w:val="Prrafodelista"/>
        <w:rPr>
          <w:rFonts w:ascii="Times New Roman" w:hAnsi="Times New Roman" w:cs="Times New Roman"/>
          <w:sz w:val="28"/>
          <w:szCs w:val="28"/>
          <w:lang w:val="es-ES"/>
        </w:rPr>
      </w:pPr>
    </w:p>
    <w:p w:rsidR="00195166" w:rsidRPr="00D61E7E" w:rsidRDefault="00D61E7E" w:rsidP="00195166">
      <w:pPr>
        <w:pStyle w:val="Prrafodelista"/>
        <w:numPr>
          <w:ilvl w:val="0"/>
          <w:numId w:val="3"/>
        </w:numPr>
        <w:tabs>
          <w:tab w:val="left" w:pos="709"/>
        </w:tabs>
        <w:rPr>
          <w:rFonts w:ascii="Times New Roman" w:hAnsi="Times New Roman" w:cs="Times New Roman"/>
          <w:sz w:val="28"/>
          <w:szCs w:val="28"/>
          <w:lang w:val="es-ES"/>
        </w:rPr>
      </w:pPr>
      <w:r w:rsidRPr="00D61E7E">
        <w:rPr>
          <w:rFonts w:ascii="Times New Roman" w:hAnsi="Times New Roman" w:cs="Times New Roman"/>
          <w:sz w:val="28"/>
          <w:szCs w:val="28"/>
          <w:lang w:val="es-ES"/>
        </w:rPr>
        <w:t xml:space="preserve">Con todo, para el Tribunal el artículo 73 de la </w:t>
      </w:r>
      <w:r w:rsidRPr="00D61E7E">
        <w:rPr>
          <w:rFonts w:ascii="Times New Roman" w:hAnsi="Times New Roman" w:cs="Times New Roman"/>
          <w:sz w:val="28"/>
          <w:szCs w:val="28"/>
          <w:lang w:val="es-ES"/>
        </w:rPr>
        <w:t>Ley 2069 de 2020</w:t>
      </w:r>
      <w:r w:rsidRPr="00D61E7E">
        <w:rPr>
          <w:rFonts w:ascii="Times New Roman" w:hAnsi="Times New Roman" w:cs="Times New Roman"/>
          <w:sz w:val="28"/>
          <w:szCs w:val="28"/>
          <w:lang w:val="es-ES"/>
        </w:rPr>
        <w:t xml:space="preserve"> es una respuesta legislativa conducente para at</w:t>
      </w:r>
      <w:r w:rsidRPr="00D61E7E">
        <w:rPr>
          <w:rFonts w:ascii="Times New Roman" w:hAnsi="Times New Roman" w:cs="Times New Roman"/>
          <w:sz w:val="28"/>
          <w:szCs w:val="28"/>
          <w:lang w:val="es-ES"/>
        </w:rPr>
        <w:t>ender los desafíos identificados en los trámites administrativos estatales que afectan al sector empresarial colombiano. Durante el proceso de trámite legislativo, se reconoció que los procedimientos administrativos tradicionales ante el Estado representab</w:t>
      </w:r>
      <w:r w:rsidRPr="00D61E7E">
        <w:rPr>
          <w:rFonts w:ascii="Times New Roman" w:hAnsi="Times New Roman" w:cs="Times New Roman"/>
          <w:sz w:val="28"/>
          <w:szCs w:val="28"/>
          <w:lang w:val="es-ES"/>
        </w:rPr>
        <w:t>an un obstáculo considerable para el crecimiento y la eficiencia empresarial, particularmente para los nuevos emprendimientos y las pequeñas empresas que a menudo carecen de los recursos necesarios para navegar por estos sistemas complejos y lentos. Al imp</w:t>
      </w:r>
      <w:r w:rsidRPr="00D61E7E">
        <w:rPr>
          <w:rFonts w:ascii="Times New Roman" w:hAnsi="Times New Roman" w:cs="Times New Roman"/>
          <w:sz w:val="28"/>
          <w:szCs w:val="28"/>
          <w:lang w:val="es-ES"/>
        </w:rPr>
        <w:t>lementar soluciones que simplifican y modernizan estos procesos, el artículo 73 facilita directamente la operación y expansión de las empresas dentro del mercado colombiano.</w:t>
      </w:r>
    </w:p>
    <w:p w:rsidR="00195166" w:rsidRPr="00D61E7E" w:rsidRDefault="00D61E7E" w:rsidP="00195166">
      <w:pPr>
        <w:pStyle w:val="Prrafodelista"/>
        <w:rPr>
          <w:rFonts w:ascii="Times New Roman" w:hAnsi="Times New Roman" w:cs="Times New Roman"/>
          <w:sz w:val="28"/>
          <w:szCs w:val="28"/>
          <w:lang w:val="es-ES"/>
        </w:rPr>
      </w:pPr>
    </w:p>
    <w:p w:rsidR="00195166" w:rsidRPr="00D61E7E" w:rsidRDefault="00D61E7E" w:rsidP="00195166">
      <w:pPr>
        <w:pStyle w:val="Prrafodelista"/>
        <w:numPr>
          <w:ilvl w:val="0"/>
          <w:numId w:val="3"/>
        </w:numPr>
        <w:tabs>
          <w:tab w:val="left" w:pos="709"/>
        </w:tabs>
        <w:rPr>
          <w:rFonts w:ascii="Times New Roman" w:hAnsi="Times New Roman" w:cs="Times New Roman"/>
          <w:sz w:val="28"/>
          <w:szCs w:val="28"/>
          <w:lang w:val="es-ES"/>
        </w:rPr>
      </w:pPr>
      <w:r w:rsidRPr="00D61E7E">
        <w:rPr>
          <w:rFonts w:ascii="Times New Roman" w:hAnsi="Times New Roman" w:cs="Times New Roman"/>
          <w:sz w:val="28"/>
          <w:szCs w:val="28"/>
          <w:lang w:val="es-ES"/>
        </w:rPr>
        <w:t>Este enfoque de modernización se manifiesta en la virtualización de los procedimi</w:t>
      </w:r>
      <w:r w:rsidRPr="00D61E7E">
        <w:rPr>
          <w:rFonts w:ascii="Times New Roman" w:hAnsi="Times New Roman" w:cs="Times New Roman"/>
          <w:sz w:val="28"/>
          <w:szCs w:val="28"/>
          <w:lang w:val="es-ES"/>
        </w:rPr>
        <w:t>entos tributarios y aduaneros, permitiendo que las interacciones con la DIAN y otras entidades se realicen de manera digital. Esta transformación no solo reduce significativamente el tiempo y el esfuerzo requerido para cumplir con las obligaciones tributar</w:t>
      </w:r>
      <w:r w:rsidRPr="00D61E7E">
        <w:rPr>
          <w:rFonts w:ascii="Times New Roman" w:hAnsi="Times New Roman" w:cs="Times New Roman"/>
          <w:sz w:val="28"/>
          <w:szCs w:val="28"/>
          <w:lang w:val="es-ES"/>
        </w:rPr>
        <w:t>ias y aduaneras, sino que también minimiza los errores humanos asociados con el procesamiento manual de documentos. Al hacer que estos procesos sean más rápidos y menos propensos a errores, el artículo 73 no solo aborda la lentitud y complejidad inherentes</w:t>
      </w:r>
      <w:r w:rsidRPr="00D61E7E">
        <w:rPr>
          <w:rFonts w:ascii="Times New Roman" w:hAnsi="Times New Roman" w:cs="Times New Roman"/>
          <w:sz w:val="28"/>
          <w:szCs w:val="28"/>
          <w:lang w:val="es-ES"/>
        </w:rPr>
        <w:t xml:space="preserve"> a los sistemas antiguos, sino que también mejora la transparencia y la confiabilidad de las transacciones empresariales.</w:t>
      </w:r>
    </w:p>
    <w:p w:rsidR="00195166" w:rsidRPr="00D61E7E" w:rsidRDefault="00D61E7E" w:rsidP="00195166">
      <w:pPr>
        <w:pStyle w:val="Prrafodelista"/>
        <w:rPr>
          <w:rFonts w:ascii="Times New Roman" w:hAnsi="Times New Roman" w:cs="Times New Roman"/>
          <w:sz w:val="28"/>
          <w:szCs w:val="28"/>
          <w:lang w:val="es-ES"/>
        </w:rPr>
      </w:pPr>
    </w:p>
    <w:p w:rsidR="00195166" w:rsidRPr="00D61E7E" w:rsidRDefault="00D61E7E" w:rsidP="00195166">
      <w:pPr>
        <w:pStyle w:val="Prrafodelista"/>
        <w:numPr>
          <w:ilvl w:val="0"/>
          <w:numId w:val="3"/>
        </w:numPr>
        <w:tabs>
          <w:tab w:val="left" w:pos="709"/>
        </w:tabs>
        <w:rPr>
          <w:rFonts w:ascii="Times New Roman" w:hAnsi="Times New Roman" w:cs="Times New Roman"/>
          <w:sz w:val="28"/>
          <w:szCs w:val="28"/>
          <w:lang w:val="es-ES"/>
        </w:rPr>
      </w:pPr>
      <w:r w:rsidRPr="00D61E7E">
        <w:rPr>
          <w:rFonts w:ascii="Times New Roman" w:hAnsi="Times New Roman" w:cs="Times New Roman"/>
          <w:sz w:val="28"/>
          <w:szCs w:val="28"/>
          <w:lang w:val="es-ES"/>
        </w:rPr>
        <w:t>Además, la digitalización establecida por el artículo 73 se alinea con las tendencias globales de gestión empresarial, donde la efici</w:t>
      </w:r>
      <w:r w:rsidRPr="00D61E7E">
        <w:rPr>
          <w:rFonts w:ascii="Times New Roman" w:hAnsi="Times New Roman" w:cs="Times New Roman"/>
          <w:sz w:val="28"/>
          <w:szCs w:val="28"/>
          <w:lang w:val="es-ES"/>
        </w:rPr>
        <w:t>encia y la agilidad son primordiales. En un mundo cada vez más digital, la capacidad de una economía para adaptar sus estructuras administrativas y hacerlas accesibles electrónicamente no es solo una cuestión de conveniencia, sino una necesidad competitiva</w:t>
      </w:r>
      <w:r w:rsidRPr="00D61E7E">
        <w:rPr>
          <w:rFonts w:ascii="Times New Roman" w:hAnsi="Times New Roman" w:cs="Times New Roman"/>
          <w:sz w:val="28"/>
          <w:szCs w:val="28"/>
          <w:lang w:val="es-ES"/>
        </w:rPr>
        <w:t>. Al estar en sintonía con estas prácticas modernas, Colombia no solo facilita un entorno más amigable para los negocios locales, sino que también se posiciona como un destino atractivo para la inversión extranjera y las empresas internacionales que valora</w:t>
      </w:r>
      <w:r w:rsidRPr="00D61E7E">
        <w:rPr>
          <w:rFonts w:ascii="Times New Roman" w:hAnsi="Times New Roman" w:cs="Times New Roman"/>
          <w:sz w:val="28"/>
          <w:szCs w:val="28"/>
          <w:lang w:val="es-ES"/>
        </w:rPr>
        <w:t>n la eficiencia y la modernización administrativa.</w:t>
      </w:r>
    </w:p>
    <w:p w:rsidR="00195166" w:rsidRPr="00D61E7E" w:rsidRDefault="00D61E7E" w:rsidP="00195166">
      <w:pPr>
        <w:pStyle w:val="Prrafodelista"/>
        <w:rPr>
          <w:rFonts w:ascii="Times New Roman" w:hAnsi="Times New Roman" w:cs="Times New Roman"/>
          <w:sz w:val="28"/>
          <w:szCs w:val="28"/>
          <w:lang w:val="es-ES"/>
        </w:rPr>
      </w:pPr>
    </w:p>
    <w:p w:rsidR="00195166" w:rsidRPr="00D61E7E" w:rsidRDefault="00D61E7E" w:rsidP="00195166">
      <w:pPr>
        <w:pStyle w:val="Prrafodelista"/>
        <w:numPr>
          <w:ilvl w:val="0"/>
          <w:numId w:val="3"/>
        </w:numPr>
        <w:tabs>
          <w:tab w:val="left" w:pos="709"/>
        </w:tabs>
        <w:rPr>
          <w:rFonts w:ascii="Times New Roman" w:hAnsi="Times New Roman" w:cs="Times New Roman"/>
          <w:sz w:val="28"/>
          <w:szCs w:val="28"/>
          <w:lang w:val="es-ES"/>
        </w:rPr>
      </w:pPr>
      <w:r w:rsidRPr="00D61E7E">
        <w:rPr>
          <w:rFonts w:ascii="Times New Roman" w:hAnsi="Times New Roman" w:cs="Times New Roman"/>
          <w:sz w:val="28"/>
          <w:szCs w:val="28"/>
          <w:lang w:val="es-ES"/>
        </w:rPr>
        <w:t xml:space="preserve">La Sala Plena también encuentre que se configura en este caso una </w:t>
      </w:r>
      <w:r w:rsidRPr="00D61E7E">
        <w:rPr>
          <w:rFonts w:ascii="Times New Roman" w:hAnsi="Times New Roman" w:cs="Times New Roman"/>
          <w:b/>
          <w:bCs/>
          <w:sz w:val="28"/>
          <w:szCs w:val="28"/>
          <w:lang w:val="es-ES"/>
        </w:rPr>
        <w:t xml:space="preserve">conexidad teleológica </w:t>
      </w:r>
      <w:r w:rsidRPr="00D61E7E">
        <w:rPr>
          <w:rFonts w:ascii="Times New Roman" w:hAnsi="Times New Roman" w:cs="Times New Roman"/>
          <w:sz w:val="28"/>
          <w:szCs w:val="28"/>
          <w:lang w:val="es-ES"/>
        </w:rPr>
        <w:t xml:space="preserve">entre el artículo 73 y la </w:t>
      </w:r>
      <w:r w:rsidRPr="00D61E7E">
        <w:rPr>
          <w:rFonts w:ascii="Times New Roman" w:hAnsi="Times New Roman" w:cs="Times New Roman"/>
          <w:sz w:val="28"/>
          <w:szCs w:val="28"/>
          <w:lang w:val="es-ES"/>
        </w:rPr>
        <w:t>Ley 2069 de 2020</w:t>
      </w:r>
      <w:r w:rsidRPr="00D61E7E">
        <w:rPr>
          <w:rFonts w:ascii="Times New Roman" w:hAnsi="Times New Roman" w:cs="Times New Roman"/>
          <w:sz w:val="28"/>
          <w:szCs w:val="28"/>
          <w:lang w:val="es-ES"/>
        </w:rPr>
        <w:t xml:space="preserve">. El Tribunal resalta que el artículo en cuestión exhibe un fin coherente </w:t>
      </w:r>
      <w:r w:rsidRPr="00D61E7E">
        <w:rPr>
          <w:rFonts w:ascii="Times New Roman" w:hAnsi="Times New Roman" w:cs="Times New Roman"/>
          <w:sz w:val="28"/>
          <w:szCs w:val="28"/>
          <w:lang w:val="es-ES"/>
        </w:rPr>
        <w:t xml:space="preserve">con los objetivos de la </w:t>
      </w:r>
      <w:r w:rsidRPr="00D61E7E">
        <w:rPr>
          <w:rFonts w:ascii="Times New Roman" w:hAnsi="Times New Roman" w:cs="Times New Roman"/>
          <w:sz w:val="28"/>
          <w:szCs w:val="28"/>
          <w:lang w:val="es-ES"/>
        </w:rPr>
        <w:t>Ley 2069 de 2020</w:t>
      </w:r>
      <w:r w:rsidRPr="00D61E7E">
        <w:rPr>
          <w:rFonts w:ascii="Times New Roman" w:hAnsi="Times New Roman" w:cs="Times New Roman"/>
          <w:sz w:val="28"/>
          <w:szCs w:val="28"/>
          <w:lang w:val="es-ES"/>
        </w:rPr>
        <w:t>. Esto, pues la finalidad de dicha disposición no es otra que la de asegurar un manejo más eficiente y accesible de los procesos tributarios, una meta que se alinea con el propósito global de la ley de fomentar el em</w:t>
      </w:r>
      <w:r w:rsidRPr="00D61E7E">
        <w:rPr>
          <w:rFonts w:ascii="Times New Roman" w:hAnsi="Times New Roman" w:cs="Times New Roman"/>
          <w:sz w:val="28"/>
          <w:szCs w:val="28"/>
          <w:lang w:val="es-ES"/>
        </w:rPr>
        <w:t>prendimiento sostenible y la estabilidad económica. La implementación de procesos virtuales busca beneficiar a los contribuyentes y, en particular, a los emprendedores, quienes se favorecen de una interacción más fluida y menos burocrática con las entidade</w:t>
      </w:r>
      <w:r w:rsidRPr="00D61E7E">
        <w:rPr>
          <w:rFonts w:ascii="Times New Roman" w:hAnsi="Times New Roman" w:cs="Times New Roman"/>
          <w:sz w:val="28"/>
          <w:szCs w:val="28"/>
          <w:lang w:val="es-ES"/>
        </w:rPr>
        <w:t>s estatales.</w:t>
      </w:r>
    </w:p>
    <w:p w:rsidR="00195166" w:rsidRPr="00D61E7E" w:rsidRDefault="00D61E7E" w:rsidP="00195166">
      <w:pPr>
        <w:pStyle w:val="Prrafodelista"/>
        <w:rPr>
          <w:rFonts w:ascii="Times New Roman" w:hAnsi="Times New Roman" w:cs="Times New Roman"/>
          <w:sz w:val="28"/>
          <w:szCs w:val="28"/>
          <w:lang w:val="es-ES"/>
        </w:rPr>
      </w:pPr>
    </w:p>
    <w:p w:rsidR="00195166" w:rsidRPr="00D61E7E" w:rsidRDefault="00D61E7E" w:rsidP="00195166">
      <w:pPr>
        <w:pStyle w:val="Prrafodelista"/>
        <w:numPr>
          <w:ilvl w:val="0"/>
          <w:numId w:val="3"/>
        </w:numPr>
        <w:tabs>
          <w:tab w:val="left" w:pos="709"/>
        </w:tabs>
        <w:rPr>
          <w:rFonts w:ascii="Times New Roman" w:hAnsi="Times New Roman" w:cs="Times New Roman"/>
          <w:sz w:val="28"/>
          <w:szCs w:val="28"/>
          <w:lang w:val="es-ES"/>
        </w:rPr>
      </w:pPr>
      <w:r w:rsidRPr="00D61E7E">
        <w:rPr>
          <w:rFonts w:ascii="Times New Roman" w:hAnsi="Times New Roman" w:cs="Times New Roman"/>
          <w:sz w:val="28"/>
          <w:szCs w:val="28"/>
          <w:lang w:val="es-ES"/>
        </w:rPr>
        <w:t>Al hacer estos procesos más accesibles y evitar su ralentización, el artículo permite a los empresarios concentrar más recursos en innovar y expandir sus negocios en lugar de navegar por complejidades burocráticas. Esta mejora en la infraestructura adminis</w:t>
      </w:r>
      <w:r w:rsidRPr="00D61E7E">
        <w:rPr>
          <w:rFonts w:ascii="Times New Roman" w:hAnsi="Times New Roman" w:cs="Times New Roman"/>
          <w:sz w:val="28"/>
          <w:szCs w:val="28"/>
          <w:lang w:val="es-ES"/>
        </w:rPr>
        <w:t>trativa no solo acelera las transacciones y reduce los costos operativos, sino que también establece un precedente positivo para futuras reformas legislativas orientadas a fortalecer el ecosistema emprendedor en Colombia. En conjunto, estos elementos demue</w:t>
      </w:r>
      <w:r w:rsidRPr="00D61E7E">
        <w:rPr>
          <w:rFonts w:ascii="Times New Roman" w:hAnsi="Times New Roman" w:cs="Times New Roman"/>
          <w:sz w:val="28"/>
          <w:szCs w:val="28"/>
          <w:lang w:val="es-ES"/>
        </w:rPr>
        <w:t xml:space="preserve">stran cómo el artículo 73 contribuye de manera concreta y significativa a los objetivos de la </w:t>
      </w:r>
      <w:r w:rsidRPr="00D61E7E">
        <w:rPr>
          <w:rFonts w:ascii="Times New Roman" w:hAnsi="Times New Roman" w:cs="Times New Roman"/>
          <w:sz w:val="28"/>
          <w:szCs w:val="28"/>
          <w:lang w:val="es-ES"/>
        </w:rPr>
        <w:t>Ley 2069 de 2020</w:t>
      </w:r>
      <w:r w:rsidRPr="00D61E7E">
        <w:rPr>
          <w:rFonts w:ascii="Times New Roman" w:hAnsi="Times New Roman" w:cs="Times New Roman"/>
          <w:sz w:val="28"/>
          <w:szCs w:val="28"/>
          <w:lang w:val="es-ES"/>
        </w:rPr>
        <w:t>, haciendo eco de su propósito de facilitar un entorno más propicio para la estabilidad y el crecimiento económico a largo plazo.</w:t>
      </w:r>
    </w:p>
    <w:p w:rsidR="00195166" w:rsidRPr="00D61E7E" w:rsidRDefault="00D61E7E" w:rsidP="00195166">
      <w:pPr>
        <w:pStyle w:val="Prrafodelista"/>
        <w:rPr>
          <w:rFonts w:ascii="Times New Roman" w:hAnsi="Times New Roman" w:cs="Times New Roman"/>
          <w:sz w:val="28"/>
          <w:szCs w:val="28"/>
          <w:lang w:val="es-ES"/>
        </w:rPr>
      </w:pPr>
    </w:p>
    <w:p w:rsidR="00984474" w:rsidRPr="00D61E7E" w:rsidRDefault="00D61E7E" w:rsidP="00984474">
      <w:pPr>
        <w:pStyle w:val="Prrafodelista"/>
        <w:numPr>
          <w:ilvl w:val="0"/>
          <w:numId w:val="3"/>
        </w:numPr>
        <w:tabs>
          <w:tab w:val="left" w:pos="709"/>
        </w:tabs>
        <w:rPr>
          <w:rFonts w:ascii="Times New Roman" w:hAnsi="Times New Roman" w:cs="Times New Roman"/>
          <w:sz w:val="28"/>
          <w:szCs w:val="28"/>
          <w:lang w:val="es-ES"/>
        </w:rPr>
      </w:pPr>
      <w:r w:rsidRPr="00D61E7E">
        <w:rPr>
          <w:rFonts w:ascii="Times New Roman" w:hAnsi="Times New Roman" w:cs="Times New Roman"/>
          <w:sz w:val="28"/>
          <w:szCs w:val="28"/>
          <w:lang w:val="es-ES"/>
        </w:rPr>
        <w:t xml:space="preserve">Por último, la </w:t>
      </w:r>
      <w:r w:rsidRPr="00D61E7E">
        <w:rPr>
          <w:rFonts w:ascii="Times New Roman" w:hAnsi="Times New Roman" w:cs="Times New Roman"/>
          <w:sz w:val="28"/>
          <w:szCs w:val="28"/>
          <w:lang w:val="es-ES"/>
        </w:rPr>
        <w:t xml:space="preserve">Corte concluye que también se materializa una </w:t>
      </w:r>
      <w:r w:rsidRPr="00D61E7E">
        <w:rPr>
          <w:rFonts w:ascii="Times New Roman" w:hAnsi="Times New Roman" w:cs="Times New Roman"/>
          <w:b/>
          <w:bCs/>
          <w:sz w:val="28"/>
          <w:szCs w:val="28"/>
          <w:lang w:val="es-ES"/>
        </w:rPr>
        <w:t>conexidad sistemática</w:t>
      </w:r>
      <w:r w:rsidRPr="00D61E7E">
        <w:rPr>
          <w:rFonts w:ascii="Times New Roman" w:hAnsi="Times New Roman" w:cs="Times New Roman"/>
          <w:sz w:val="28"/>
          <w:szCs w:val="28"/>
          <w:lang w:val="es-ES"/>
        </w:rPr>
        <w:t>. Esto, por cuanto que, al igual que el artículo 70, esta disposición se encuentra dentro del título que aborda el marco institucional del emprendimiento, en consonancia con las otras dispo</w:t>
      </w:r>
      <w:r w:rsidRPr="00D61E7E">
        <w:rPr>
          <w:rFonts w:ascii="Times New Roman" w:hAnsi="Times New Roman" w:cs="Times New Roman"/>
          <w:sz w:val="28"/>
          <w:szCs w:val="28"/>
          <w:lang w:val="es-ES"/>
        </w:rPr>
        <w:t xml:space="preserve">siciones de la ley. La ubicación sistemática del artículo refuerza la intención legislativa de ofrecer un conjunto cohesivo de normas que abogan por la eficiencia, la tecnificación y la simplificación de los trámites para los emprendedores, respaldando el </w:t>
      </w:r>
      <w:r w:rsidRPr="00D61E7E">
        <w:rPr>
          <w:rFonts w:ascii="Times New Roman" w:hAnsi="Times New Roman" w:cs="Times New Roman"/>
          <w:sz w:val="28"/>
          <w:szCs w:val="28"/>
          <w:lang w:val="es-ES"/>
        </w:rPr>
        <w:t>crecimiento económico y la innovación en el país.</w:t>
      </w:r>
    </w:p>
    <w:p w:rsidR="00984474" w:rsidRPr="00D61E7E" w:rsidRDefault="00D61E7E" w:rsidP="00984474">
      <w:pPr>
        <w:pStyle w:val="Prrafodelista"/>
        <w:rPr>
          <w:rFonts w:ascii="Times New Roman" w:hAnsi="Times New Roman" w:cs="Times New Roman"/>
          <w:sz w:val="28"/>
        </w:rPr>
      </w:pPr>
    </w:p>
    <w:p w:rsidR="00984474" w:rsidRPr="00D61E7E" w:rsidRDefault="00D61E7E" w:rsidP="004B12EC">
      <w:pPr>
        <w:pStyle w:val="Prrafodelista"/>
        <w:numPr>
          <w:ilvl w:val="0"/>
          <w:numId w:val="3"/>
        </w:numPr>
        <w:tabs>
          <w:tab w:val="left" w:pos="709"/>
        </w:tabs>
        <w:ind w:right="178"/>
        <w:rPr>
          <w:rFonts w:ascii="Times New Roman" w:hAnsi="Times New Roman" w:cs="Times New Roman"/>
          <w:sz w:val="28"/>
          <w:szCs w:val="28"/>
          <w:lang w:val="es-ES"/>
        </w:rPr>
      </w:pPr>
      <w:r w:rsidRPr="00D61E7E">
        <w:rPr>
          <w:rFonts w:ascii="Times New Roman" w:hAnsi="Times New Roman" w:cs="Times New Roman"/>
          <w:sz w:val="28"/>
          <w:szCs w:val="28"/>
        </w:rPr>
        <w:t xml:space="preserve">En resumen, el artículo 73 de la </w:t>
      </w:r>
      <w:r w:rsidRPr="00D61E7E">
        <w:rPr>
          <w:rFonts w:ascii="Times New Roman" w:hAnsi="Times New Roman" w:cs="Times New Roman"/>
          <w:sz w:val="28"/>
          <w:szCs w:val="28"/>
        </w:rPr>
        <w:t>Ley 2069 de 2020</w:t>
      </w:r>
      <w:r w:rsidRPr="00D61E7E">
        <w:rPr>
          <w:rFonts w:ascii="Times New Roman" w:hAnsi="Times New Roman" w:cs="Times New Roman"/>
          <w:sz w:val="28"/>
          <w:szCs w:val="28"/>
        </w:rPr>
        <w:t xml:space="preserve"> cumple con los criterios de conexidad establecidos por la jurisprudencia por lo que no vulnera el principio de unidad de materia. Dicha norma, al introducir la virtualización permanente en los procesos de inspección</w:t>
      </w:r>
      <w:r w:rsidRPr="00D61E7E">
        <w:rPr>
          <w:rFonts w:ascii="Times New Roman" w:hAnsi="Times New Roman" w:cs="Times New Roman"/>
          <w:sz w:val="28"/>
          <w:szCs w:val="28"/>
        </w:rPr>
        <w:t xml:space="preserve"> fiscal</w:t>
      </w:r>
      <w:r w:rsidRPr="00D61E7E">
        <w:rPr>
          <w:rFonts w:ascii="Times New Roman" w:hAnsi="Times New Roman" w:cs="Times New Roman"/>
          <w:sz w:val="28"/>
          <w:szCs w:val="28"/>
        </w:rPr>
        <w:t>, no solo promueve la modernizaci</w:t>
      </w:r>
      <w:r w:rsidRPr="00D61E7E">
        <w:rPr>
          <w:rFonts w:ascii="Times New Roman" w:hAnsi="Times New Roman" w:cs="Times New Roman"/>
          <w:sz w:val="28"/>
          <w:szCs w:val="28"/>
        </w:rPr>
        <w:t>ón y eficiencia necesarias dentro de los procedimientos administrativos tributarios, sino que también apunta a simplificar significativamente las interacciones de las empresas con la DIAN. Esta simplificación facilita un entorno empresarial más competitivo</w:t>
      </w:r>
      <w:r w:rsidRPr="00D61E7E">
        <w:rPr>
          <w:rFonts w:ascii="Times New Roman" w:hAnsi="Times New Roman" w:cs="Times New Roman"/>
          <w:sz w:val="28"/>
          <w:szCs w:val="28"/>
        </w:rPr>
        <w:t xml:space="preserve"> y menos burocrático, lo que a su vez fomenta el emprendimiento. </w:t>
      </w:r>
    </w:p>
    <w:p w:rsidR="00984474" w:rsidRPr="00D61E7E" w:rsidRDefault="00D61E7E" w:rsidP="00984474">
      <w:pPr>
        <w:pStyle w:val="Prrafodelista"/>
        <w:tabs>
          <w:tab w:val="left" w:pos="709"/>
        </w:tabs>
        <w:ind w:left="0" w:right="178"/>
        <w:rPr>
          <w:rFonts w:ascii="Times New Roman" w:hAnsi="Times New Roman" w:cs="Times New Roman"/>
          <w:sz w:val="28"/>
          <w:szCs w:val="28"/>
          <w:lang w:val="es-ES"/>
        </w:rPr>
      </w:pPr>
    </w:p>
    <w:p w:rsidR="00D413B7" w:rsidRPr="00D61E7E" w:rsidRDefault="00D61E7E" w:rsidP="00F97DD1">
      <w:pPr>
        <w:jc w:val="both"/>
        <w:rPr>
          <w:rFonts w:ascii="Times New Roman" w:hAnsi="Times New Roman" w:cs="Times New Roman"/>
          <w:sz w:val="28"/>
          <w:szCs w:val="28"/>
          <w:lang w:val="es-ES"/>
        </w:rPr>
      </w:pPr>
      <w:r w:rsidRPr="00D61E7E">
        <w:rPr>
          <w:rFonts w:ascii="Times New Roman" w:hAnsi="Times New Roman" w:cs="Times New Roman"/>
          <w:b/>
          <w:bCs/>
          <w:sz w:val="28"/>
          <w:szCs w:val="28"/>
          <w:lang w:val="es-ES"/>
        </w:rPr>
        <w:t>V. DECISIÓN</w:t>
      </w:r>
    </w:p>
    <w:p w:rsidR="00D413B7" w:rsidRPr="00D61E7E" w:rsidRDefault="00D61E7E" w:rsidP="00F97DD1">
      <w:pPr>
        <w:ind w:right="49"/>
        <w:jc w:val="both"/>
        <w:rPr>
          <w:rFonts w:ascii="Times New Roman" w:hAnsi="Times New Roman" w:cs="Times New Roman"/>
          <w:sz w:val="28"/>
          <w:szCs w:val="28"/>
          <w:lang w:val="es-ES"/>
        </w:rPr>
      </w:pPr>
    </w:p>
    <w:p w:rsidR="008257D8" w:rsidRPr="00D61E7E" w:rsidRDefault="00D61E7E" w:rsidP="00F97DD1">
      <w:pPr>
        <w:ind w:right="49"/>
        <w:jc w:val="both"/>
        <w:rPr>
          <w:rFonts w:ascii="Times New Roman" w:hAnsi="Times New Roman" w:cs="Times New Roman"/>
          <w:sz w:val="28"/>
          <w:szCs w:val="28"/>
          <w:lang w:val="es-ES"/>
        </w:rPr>
      </w:pPr>
      <w:r w:rsidRPr="00D61E7E">
        <w:rPr>
          <w:rFonts w:ascii="Times New Roman" w:hAnsi="Times New Roman" w:cs="Times New Roman"/>
          <w:sz w:val="28"/>
          <w:szCs w:val="28"/>
          <w:lang w:val="es-ES"/>
        </w:rPr>
        <w:t>En mérito de lo expuesto, la Sala Plena de la Corte Constitucional, administrando justicia en nombre del pueblo y por mandato de la Constitución,</w:t>
      </w:r>
    </w:p>
    <w:p w:rsidR="008257D8" w:rsidRPr="00D61E7E" w:rsidRDefault="00D61E7E" w:rsidP="00F97DD1">
      <w:pPr>
        <w:ind w:right="49"/>
        <w:jc w:val="both"/>
        <w:rPr>
          <w:rFonts w:ascii="Times New Roman" w:hAnsi="Times New Roman" w:cs="Times New Roman"/>
          <w:sz w:val="28"/>
          <w:szCs w:val="28"/>
          <w:lang w:val="es-ES"/>
        </w:rPr>
      </w:pPr>
    </w:p>
    <w:p w:rsidR="00D413B7" w:rsidRPr="00D61E7E" w:rsidRDefault="00D61E7E" w:rsidP="006954A4">
      <w:pPr>
        <w:ind w:right="49"/>
        <w:jc w:val="center"/>
        <w:rPr>
          <w:rFonts w:ascii="Times New Roman" w:hAnsi="Times New Roman" w:cs="Times New Roman"/>
          <w:b/>
          <w:bCs/>
          <w:sz w:val="28"/>
          <w:szCs w:val="28"/>
          <w:lang w:val="es-ES"/>
        </w:rPr>
      </w:pPr>
      <w:r w:rsidRPr="00D61E7E">
        <w:rPr>
          <w:rFonts w:ascii="Times New Roman" w:hAnsi="Times New Roman" w:cs="Times New Roman"/>
          <w:b/>
          <w:bCs/>
          <w:sz w:val="28"/>
          <w:szCs w:val="28"/>
          <w:lang w:val="es-ES"/>
        </w:rPr>
        <w:t>RESUELVE</w:t>
      </w:r>
    </w:p>
    <w:p w:rsidR="00D413B7" w:rsidRPr="00D61E7E" w:rsidRDefault="00D61E7E" w:rsidP="00F97DD1">
      <w:pPr>
        <w:ind w:right="49"/>
        <w:jc w:val="both"/>
        <w:rPr>
          <w:rFonts w:ascii="Times New Roman" w:hAnsi="Times New Roman" w:cs="Times New Roman"/>
          <w:b/>
          <w:bCs/>
          <w:sz w:val="28"/>
          <w:szCs w:val="28"/>
          <w:lang w:val="es-ES"/>
        </w:rPr>
      </w:pPr>
    </w:p>
    <w:p w:rsidR="00D413B7" w:rsidRPr="00D61E7E" w:rsidRDefault="00D61E7E">
      <w:pPr>
        <w:ind w:right="49"/>
        <w:jc w:val="both"/>
        <w:rPr>
          <w:rFonts w:ascii="Times New Roman" w:hAnsi="Times New Roman" w:cs="Times New Roman"/>
          <w:sz w:val="28"/>
          <w:szCs w:val="28"/>
          <w:lang w:val="es-ES"/>
        </w:rPr>
      </w:pPr>
      <w:r w:rsidRPr="00D61E7E">
        <w:rPr>
          <w:rFonts w:ascii="Times New Roman" w:hAnsi="Times New Roman" w:cs="Times New Roman"/>
          <w:b/>
          <w:bCs/>
          <w:sz w:val="28"/>
          <w:szCs w:val="28"/>
          <w:lang w:val="es-ES"/>
        </w:rPr>
        <w:t>Ú</w:t>
      </w:r>
      <w:r w:rsidRPr="00D61E7E">
        <w:rPr>
          <w:rFonts w:ascii="Times New Roman" w:hAnsi="Times New Roman" w:cs="Times New Roman"/>
          <w:b/>
          <w:bCs/>
          <w:sz w:val="28"/>
          <w:szCs w:val="28"/>
          <w:lang w:val="es-ES"/>
        </w:rPr>
        <w:t>nico</w:t>
      </w:r>
      <w:r w:rsidRPr="00D61E7E">
        <w:rPr>
          <w:rFonts w:ascii="Times New Roman" w:hAnsi="Times New Roman" w:cs="Times New Roman"/>
          <w:b/>
          <w:bCs/>
          <w:sz w:val="28"/>
          <w:szCs w:val="28"/>
          <w:lang w:val="es-ES"/>
        </w:rPr>
        <w:t>. DECLARAR EXE</w:t>
      </w:r>
      <w:r w:rsidRPr="00D61E7E">
        <w:rPr>
          <w:rFonts w:ascii="Times New Roman" w:hAnsi="Times New Roman" w:cs="Times New Roman"/>
          <w:b/>
          <w:bCs/>
          <w:sz w:val="28"/>
          <w:szCs w:val="28"/>
          <w:lang w:val="es-ES"/>
        </w:rPr>
        <w:t xml:space="preserve">QUIBLES </w:t>
      </w:r>
      <w:r w:rsidRPr="00D61E7E">
        <w:rPr>
          <w:rFonts w:ascii="Times New Roman" w:hAnsi="Times New Roman" w:cs="Times New Roman"/>
          <w:sz w:val="28"/>
          <w:szCs w:val="28"/>
          <w:lang w:val="es-ES"/>
        </w:rPr>
        <w:t>los artículos 7</w:t>
      </w:r>
      <w:r w:rsidRPr="00D61E7E">
        <w:rPr>
          <w:rFonts w:ascii="Times New Roman" w:hAnsi="Times New Roman" w:cs="Times New Roman"/>
          <w:sz w:val="28"/>
          <w:szCs w:val="28"/>
          <w:lang w:val="es-ES"/>
        </w:rPr>
        <w:t xml:space="preserve">0 y </w:t>
      </w:r>
      <w:r w:rsidRPr="00D61E7E">
        <w:rPr>
          <w:rFonts w:ascii="Times New Roman" w:hAnsi="Times New Roman" w:cs="Times New Roman"/>
          <w:sz w:val="28"/>
          <w:szCs w:val="28"/>
          <w:lang w:val="es-ES"/>
        </w:rPr>
        <w:t>73</w:t>
      </w:r>
      <w:r w:rsidRPr="00D61E7E">
        <w:rPr>
          <w:rFonts w:ascii="Times New Roman" w:hAnsi="Times New Roman" w:cs="Times New Roman"/>
          <w:sz w:val="28"/>
          <w:szCs w:val="28"/>
          <w:lang w:val="es-ES"/>
        </w:rPr>
        <w:t xml:space="preserve"> </w:t>
      </w:r>
      <w:r w:rsidRPr="00D61E7E">
        <w:rPr>
          <w:rFonts w:ascii="Times New Roman" w:hAnsi="Times New Roman" w:cs="Times New Roman"/>
          <w:sz w:val="28"/>
          <w:szCs w:val="28"/>
          <w:lang w:val="es-ES"/>
        </w:rPr>
        <w:t xml:space="preserve">de la </w:t>
      </w:r>
      <w:r w:rsidRPr="00D61E7E">
        <w:rPr>
          <w:rFonts w:ascii="Times New Roman" w:hAnsi="Times New Roman" w:cs="Times New Roman"/>
          <w:sz w:val="28"/>
          <w:szCs w:val="28"/>
          <w:lang w:val="es-ES"/>
        </w:rPr>
        <w:t>Ley 2069 de 2020</w:t>
      </w:r>
      <w:r w:rsidRPr="00D61E7E">
        <w:rPr>
          <w:rFonts w:ascii="Times New Roman" w:hAnsi="Times New Roman" w:cs="Times New Roman"/>
          <w:sz w:val="28"/>
          <w:szCs w:val="28"/>
          <w:lang w:val="es-ES"/>
        </w:rPr>
        <w:t xml:space="preserve"> por el cargo de desconocimiento del principio de unidad de materia contenido en los artículos 158 y 169 de la Constitución Política.</w:t>
      </w:r>
    </w:p>
    <w:p w:rsidR="00D413B7" w:rsidRPr="00D61E7E" w:rsidRDefault="00D61E7E" w:rsidP="00F97DD1">
      <w:pPr>
        <w:ind w:right="49"/>
        <w:jc w:val="both"/>
        <w:rPr>
          <w:rFonts w:ascii="Times New Roman" w:hAnsi="Times New Roman" w:cs="Times New Roman"/>
          <w:b/>
          <w:bCs/>
          <w:sz w:val="28"/>
          <w:szCs w:val="28"/>
          <w:lang w:val="es-ES"/>
        </w:rPr>
      </w:pPr>
    </w:p>
    <w:p w:rsidR="0002790A" w:rsidRPr="00D61E7E" w:rsidRDefault="00D61E7E" w:rsidP="00F80A41">
      <w:pPr>
        <w:ind w:right="49"/>
        <w:jc w:val="both"/>
        <w:rPr>
          <w:rFonts w:ascii="Times New Roman" w:hAnsi="Times New Roman" w:cs="Times New Roman"/>
          <w:sz w:val="28"/>
          <w:szCs w:val="28"/>
          <w:shd w:val="clear" w:color="auto" w:fill="FFFFFF"/>
          <w:lang w:val="es-ES"/>
        </w:rPr>
      </w:pPr>
      <w:r w:rsidRPr="00D61E7E">
        <w:rPr>
          <w:rFonts w:ascii="Times New Roman" w:hAnsi="Times New Roman" w:cs="Times New Roman"/>
          <w:sz w:val="28"/>
          <w:szCs w:val="28"/>
          <w:shd w:val="clear" w:color="auto" w:fill="FFFFFF"/>
          <w:lang w:val="es-ES"/>
        </w:rPr>
        <w:t>Notifíquese, comuníquese y cúmplase.</w:t>
      </w:r>
    </w:p>
    <w:p w:rsidR="00AD7A04" w:rsidRPr="00D61E7E" w:rsidRDefault="00D61E7E" w:rsidP="00F80A41">
      <w:pPr>
        <w:ind w:right="49"/>
        <w:jc w:val="both"/>
        <w:rPr>
          <w:rFonts w:ascii="Times New Roman" w:hAnsi="Times New Roman" w:cs="Times New Roman"/>
          <w:sz w:val="28"/>
          <w:szCs w:val="28"/>
          <w:shd w:val="clear" w:color="auto" w:fill="FFFFFF"/>
          <w:lang w:val="es-ES"/>
        </w:rPr>
      </w:pPr>
    </w:p>
    <w:p w:rsidR="00AD7A04" w:rsidRPr="00D61E7E" w:rsidRDefault="00D61E7E" w:rsidP="00F80A41">
      <w:pPr>
        <w:ind w:right="49"/>
        <w:jc w:val="both"/>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r w:rsidRPr="00D61E7E">
        <w:rPr>
          <w:rFonts w:ascii="Times New Roman" w:hAnsi="Times New Roman" w:cs="Times New Roman"/>
          <w:sz w:val="28"/>
          <w:szCs w:val="28"/>
          <w:shd w:val="clear" w:color="auto" w:fill="FFFFFF"/>
          <w:lang w:val="es-ES"/>
        </w:rPr>
        <w:t>JOSE FERNANDO REYES CUARTAS</w:t>
      </w:r>
    </w:p>
    <w:p w:rsidR="00AD7A04" w:rsidRPr="00D61E7E" w:rsidRDefault="00D61E7E" w:rsidP="00AD7A04">
      <w:pPr>
        <w:ind w:right="49"/>
        <w:jc w:val="center"/>
        <w:rPr>
          <w:rFonts w:ascii="Times New Roman" w:hAnsi="Times New Roman" w:cs="Times New Roman"/>
          <w:sz w:val="28"/>
          <w:szCs w:val="28"/>
          <w:shd w:val="clear" w:color="auto" w:fill="FFFFFF"/>
          <w:lang w:val="es-ES"/>
        </w:rPr>
      </w:pPr>
      <w:r w:rsidRPr="00D61E7E">
        <w:rPr>
          <w:rFonts w:ascii="Times New Roman" w:hAnsi="Times New Roman" w:cs="Times New Roman"/>
          <w:sz w:val="28"/>
          <w:szCs w:val="28"/>
          <w:shd w:val="clear" w:color="auto" w:fill="FFFFFF"/>
          <w:lang w:val="es-ES"/>
        </w:rPr>
        <w:t>Presidente</w:t>
      </w: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r w:rsidRPr="00D61E7E">
        <w:rPr>
          <w:rFonts w:ascii="Times New Roman" w:hAnsi="Times New Roman" w:cs="Times New Roman"/>
          <w:sz w:val="28"/>
          <w:szCs w:val="28"/>
          <w:shd w:val="clear" w:color="auto" w:fill="FFFFFF"/>
          <w:lang w:val="es-ES"/>
        </w:rPr>
        <w:t>NATALIA ÁNGEL CABO</w:t>
      </w:r>
    </w:p>
    <w:p w:rsidR="00AD7A04" w:rsidRPr="00D61E7E" w:rsidRDefault="00D61E7E" w:rsidP="00AD7A04">
      <w:pPr>
        <w:ind w:right="49"/>
        <w:jc w:val="center"/>
        <w:rPr>
          <w:rFonts w:ascii="Times New Roman" w:hAnsi="Times New Roman" w:cs="Times New Roman"/>
          <w:sz w:val="28"/>
          <w:szCs w:val="28"/>
          <w:shd w:val="clear" w:color="auto" w:fill="FFFFFF"/>
          <w:lang w:val="es-ES"/>
        </w:rPr>
      </w:pPr>
      <w:r w:rsidRPr="00D61E7E">
        <w:rPr>
          <w:rFonts w:ascii="Times New Roman" w:hAnsi="Times New Roman" w:cs="Times New Roman"/>
          <w:sz w:val="28"/>
          <w:szCs w:val="28"/>
          <w:shd w:val="clear" w:color="auto" w:fill="FFFFFF"/>
          <w:lang w:val="es-ES"/>
        </w:rPr>
        <w:t>Magistrada</w:t>
      </w: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r w:rsidRPr="00D61E7E">
        <w:rPr>
          <w:rFonts w:ascii="Times New Roman" w:hAnsi="Times New Roman" w:cs="Times New Roman"/>
          <w:sz w:val="28"/>
          <w:szCs w:val="28"/>
          <w:shd w:val="clear" w:color="auto" w:fill="FFFFFF"/>
          <w:lang w:val="es-ES"/>
        </w:rPr>
        <w:t>JUAN CARLOS CORTÉS GONZÁLEZ</w:t>
      </w:r>
    </w:p>
    <w:p w:rsidR="00AD7A04" w:rsidRPr="00D61E7E" w:rsidRDefault="00D61E7E" w:rsidP="00AD7A04">
      <w:pPr>
        <w:ind w:right="49"/>
        <w:jc w:val="center"/>
        <w:rPr>
          <w:rFonts w:ascii="Times New Roman" w:hAnsi="Times New Roman" w:cs="Times New Roman"/>
          <w:sz w:val="28"/>
          <w:szCs w:val="28"/>
          <w:shd w:val="clear" w:color="auto" w:fill="FFFFFF"/>
          <w:lang w:val="es-ES"/>
        </w:rPr>
      </w:pPr>
      <w:r w:rsidRPr="00D61E7E">
        <w:rPr>
          <w:rFonts w:ascii="Times New Roman" w:hAnsi="Times New Roman" w:cs="Times New Roman"/>
          <w:sz w:val="28"/>
          <w:szCs w:val="28"/>
          <w:shd w:val="clear" w:color="auto" w:fill="FFFFFF"/>
          <w:lang w:val="es-ES"/>
        </w:rPr>
        <w:t>Magistrado</w:t>
      </w: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r w:rsidRPr="00D61E7E">
        <w:rPr>
          <w:rFonts w:ascii="Times New Roman" w:hAnsi="Times New Roman" w:cs="Times New Roman"/>
          <w:sz w:val="28"/>
          <w:szCs w:val="28"/>
          <w:shd w:val="clear" w:color="auto" w:fill="FFFFFF"/>
          <w:lang w:val="es-ES"/>
        </w:rPr>
        <w:t>DIANA FAJARDO RIVERA</w:t>
      </w:r>
    </w:p>
    <w:p w:rsidR="00AD7A04" w:rsidRPr="00D61E7E" w:rsidRDefault="00D61E7E" w:rsidP="00AD7A04">
      <w:pPr>
        <w:ind w:right="49"/>
        <w:jc w:val="center"/>
        <w:rPr>
          <w:rFonts w:ascii="Times New Roman" w:hAnsi="Times New Roman" w:cs="Times New Roman"/>
          <w:sz w:val="28"/>
          <w:szCs w:val="28"/>
          <w:shd w:val="clear" w:color="auto" w:fill="FFFFFF"/>
          <w:lang w:val="es-ES"/>
        </w:rPr>
      </w:pPr>
      <w:r w:rsidRPr="00D61E7E">
        <w:rPr>
          <w:rFonts w:ascii="Times New Roman" w:hAnsi="Times New Roman" w:cs="Times New Roman"/>
          <w:sz w:val="28"/>
          <w:szCs w:val="28"/>
          <w:shd w:val="clear" w:color="auto" w:fill="FFFFFF"/>
          <w:lang w:val="es-ES"/>
        </w:rPr>
        <w:t>Magistrada</w:t>
      </w:r>
    </w:p>
    <w:p w:rsidR="00AD7A04" w:rsidRPr="00D61E7E" w:rsidRDefault="00D61E7E" w:rsidP="00AD7A04">
      <w:pPr>
        <w:ind w:right="49"/>
        <w:jc w:val="center"/>
        <w:rPr>
          <w:rFonts w:ascii="Times New Roman" w:hAnsi="Times New Roman" w:cs="Times New Roman"/>
          <w:sz w:val="28"/>
          <w:szCs w:val="28"/>
          <w:shd w:val="clear" w:color="auto" w:fill="FFFFFF"/>
          <w:lang w:val="es-ES"/>
        </w:rPr>
      </w:pPr>
      <w:r w:rsidRPr="00D61E7E">
        <w:rPr>
          <w:rFonts w:ascii="Times New Roman" w:hAnsi="Times New Roman" w:cs="Times New Roman"/>
          <w:sz w:val="28"/>
          <w:szCs w:val="28"/>
          <w:shd w:val="clear" w:color="auto" w:fill="FFFFFF"/>
          <w:lang w:val="es-ES"/>
        </w:rPr>
        <w:t>Con salvamento parcial de voto</w:t>
      </w: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r w:rsidRPr="00D61E7E">
        <w:rPr>
          <w:rFonts w:ascii="Times New Roman" w:hAnsi="Times New Roman" w:cs="Times New Roman"/>
          <w:sz w:val="28"/>
          <w:szCs w:val="28"/>
          <w:shd w:val="clear" w:color="auto" w:fill="FFFFFF"/>
          <w:lang w:val="es-ES"/>
        </w:rPr>
        <w:t>VLADIMIR FERNÁNDEZ ANDRADE</w:t>
      </w:r>
    </w:p>
    <w:p w:rsidR="00AD7A04" w:rsidRPr="00D61E7E" w:rsidRDefault="00D61E7E" w:rsidP="00AD7A04">
      <w:pPr>
        <w:ind w:right="49"/>
        <w:jc w:val="center"/>
        <w:rPr>
          <w:rFonts w:ascii="Times New Roman" w:hAnsi="Times New Roman" w:cs="Times New Roman"/>
          <w:sz w:val="28"/>
          <w:szCs w:val="28"/>
          <w:shd w:val="clear" w:color="auto" w:fill="FFFFFF"/>
          <w:lang w:val="es-ES"/>
        </w:rPr>
      </w:pPr>
      <w:r w:rsidRPr="00D61E7E">
        <w:rPr>
          <w:rFonts w:ascii="Times New Roman" w:hAnsi="Times New Roman" w:cs="Times New Roman"/>
          <w:sz w:val="28"/>
          <w:szCs w:val="28"/>
          <w:shd w:val="clear" w:color="auto" w:fill="FFFFFF"/>
          <w:lang w:val="es-ES"/>
        </w:rPr>
        <w:t>Magistrado</w:t>
      </w: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r w:rsidRPr="00D61E7E">
        <w:rPr>
          <w:rFonts w:ascii="Times New Roman" w:hAnsi="Times New Roman" w:cs="Times New Roman"/>
          <w:sz w:val="28"/>
          <w:szCs w:val="28"/>
          <w:shd w:val="clear" w:color="auto" w:fill="FFFFFF"/>
          <w:lang w:val="es-ES"/>
        </w:rPr>
        <w:t>JORGE ENRIQUE IBÁÑEZ NAJAR</w:t>
      </w:r>
    </w:p>
    <w:p w:rsidR="00AD7A04" w:rsidRPr="00D61E7E" w:rsidRDefault="00D61E7E" w:rsidP="00AD7A04">
      <w:pPr>
        <w:ind w:right="49"/>
        <w:jc w:val="center"/>
        <w:rPr>
          <w:rFonts w:ascii="Times New Roman" w:hAnsi="Times New Roman" w:cs="Times New Roman"/>
          <w:sz w:val="28"/>
          <w:szCs w:val="28"/>
          <w:shd w:val="clear" w:color="auto" w:fill="FFFFFF"/>
          <w:lang w:val="es-ES"/>
        </w:rPr>
      </w:pPr>
      <w:r w:rsidRPr="00D61E7E">
        <w:rPr>
          <w:rFonts w:ascii="Times New Roman" w:hAnsi="Times New Roman" w:cs="Times New Roman"/>
          <w:sz w:val="28"/>
          <w:szCs w:val="28"/>
          <w:shd w:val="clear" w:color="auto" w:fill="FFFFFF"/>
          <w:lang w:val="es-ES"/>
        </w:rPr>
        <w:t>Magistrado</w:t>
      </w:r>
    </w:p>
    <w:p w:rsidR="00AD7A04" w:rsidRPr="00D61E7E" w:rsidRDefault="00D61E7E" w:rsidP="00AD7A04">
      <w:pPr>
        <w:ind w:right="49"/>
        <w:jc w:val="center"/>
        <w:rPr>
          <w:rFonts w:ascii="Times New Roman" w:hAnsi="Times New Roman" w:cs="Times New Roman"/>
          <w:sz w:val="28"/>
          <w:szCs w:val="28"/>
          <w:shd w:val="clear" w:color="auto" w:fill="FFFFFF"/>
          <w:lang w:val="es-ES"/>
        </w:rPr>
      </w:pPr>
      <w:r w:rsidRPr="00D61E7E">
        <w:rPr>
          <w:rFonts w:ascii="Times New Roman" w:hAnsi="Times New Roman" w:cs="Times New Roman"/>
          <w:sz w:val="28"/>
          <w:szCs w:val="28"/>
          <w:shd w:val="clear" w:color="auto" w:fill="FFFFFF"/>
          <w:lang w:val="es-ES"/>
        </w:rPr>
        <w:t>Con salvamento parcial</w:t>
      </w:r>
      <w:r w:rsidRPr="00D61E7E">
        <w:rPr>
          <w:rFonts w:ascii="Times New Roman" w:hAnsi="Times New Roman" w:cs="Times New Roman"/>
          <w:sz w:val="28"/>
          <w:szCs w:val="28"/>
          <w:shd w:val="clear" w:color="auto" w:fill="FFFFFF"/>
          <w:lang w:val="es-ES"/>
        </w:rPr>
        <w:t xml:space="preserve"> de voto</w:t>
      </w: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r w:rsidRPr="00D61E7E">
        <w:rPr>
          <w:rFonts w:ascii="Times New Roman" w:hAnsi="Times New Roman" w:cs="Times New Roman"/>
          <w:sz w:val="28"/>
          <w:szCs w:val="28"/>
          <w:shd w:val="clear" w:color="auto" w:fill="FFFFFF"/>
          <w:lang w:val="es-ES"/>
        </w:rPr>
        <w:t>ANTONIO JOSÉ LIZARAZO OCAMPO</w:t>
      </w:r>
    </w:p>
    <w:p w:rsidR="00AD7A04" w:rsidRPr="00D61E7E" w:rsidRDefault="00D61E7E" w:rsidP="00AD7A04">
      <w:pPr>
        <w:ind w:right="49"/>
        <w:jc w:val="center"/>
        <w:rPr>
          <w:rFonts w:ascii="Times New Roman" w:hAnsi="Times New Roman" w:cs="Times New Roman"/>
          <w:sz w:val="28"/>
          <w:szCs w:val="28"/>
          <w:shd w:val="clear" w:color="auto" w:fill="FFFFFF"/>
          <w:lang w:val="es-ES"/>
        </w:rPr>
      </w:pPr>
      <w:r w:rsidRPr="00D61E7E">
        <w:rPr>
          <w:rFonts w:ascii="Times New Roman" w:hAnsi="Times New Roman" w:cs="Times New Roman"/>
          <w:sz w:val="28"/>
          <w:szCs w:val="28"/>
          <w:shd w:val="clear" w:color="auto" w:fill="FFFFFF"/>
          <w:lang w:val="es-ES"/>
        </w:rPr>
        <w:t>Magistrado</w:t>
      </w: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r w:rsidRPr="00D61E7E">
        <w:rPr>
          <w:rFonts w:ascii="Times New Roman" w:hAnsi="Times New Roman" w:cs="Times New Roman"/>
          <w:sz w:val="28"/>
          <w:szCs w:val="28"/>
          <w:shd w:val="clear" w:color="auto" w:fill="FFFFFF"/>
          <w:lang w:val="es-ES"/>
        </w:rPr>
        <w:t>PAOLA ANDREA MENESES MOSQUERA</w:t>
      </w:r>
    </w:p>
    <w:p w:rsidR="00AD7A04" w:rsidRPr="00D61E7E" w:rsidRDefault="00D61E7E" w:rsidP="00AD7A04">
      <w:pPr>
        <w:ind w:right="49"/>
        <w:jc w:val="center"/>
        <w:rPr>
          <w:rFonts w:ascii="Times New Roman" w:hAnsi="Times New Roman" w:cs="Times New Roman"/>
          <w:sz w:val="28"/>
          <w:szCs w:val="28"/>
          <w:shd w:val="clear" w:color="auto" w:fill="FFFFFF"/>
          <w:lang w:val="es-ES"/>
        </w:rPr>
      </w:pPr>
      <w:r w:rsidRPr="00D61E7E">
        <w:rPr>
          <w:rFonts w:ascii="Times New Roman" w:hAnsi="Times New Roman" w:cs="Times New Roman"/>
          <w:sz w:val="28"/>
          <w:szCs w:val="28"/>
          <w:shd w:val="clear" w:color="auto" w:fill="FFFFFF"/>
          <w:lang w:val="es-ES"/>
        </w:rPr>
        <w:t>Magistrada</w:t>
      </w: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r w:rsidRPr="00D61E7E">
        <w:rPr>
          <w:rFonts w:ascii="Times New Roman" w:hAnsi="Times New Roman" w:cs="Times New Roman"/>
          <w:sz w:val="28"/>
          <w:szCs w:val="28"/>
          <w:shd w:val="clear" w:color="auto" w:fill="FFFFFF"/>
          <w:lang w:val="es-ES"/>
        </w:rPr>
        <w:t>CRISTINA PARDO SCHLESINGER</w:t>
      </w:r>
    </w:p>
    <w:p w:rsidR="00AD7A04" w:rsidRPr="00D61E7E" w:rsidRDefault="00D61E7E" w:rsidP="00AD7A04">
      <w:pPr>
        <w:ind w:right="49"/>
        <w:jc w:val="center"/>
        <w:rPr>
          <w:rFonts w:ascii="Times New Roman" w:hAnsi="Times New Roman" w:cs="Times New Roman"/>
          <w:sz w:val="28"/>
          <w:szCs w:val="28"/>
          <w:shd w:val="clear" w:color="auto" w:fill="FFFFFF"/>
          <w:lang w:val="es-ES"/>
        </w:rPr>
      </w:pPr>
      <w:r w:rsidRPr="00D61E7E">
        <w:rPr>
          <w:rFonts w:ascii="Times New Roman" w:hAnsi="Times New Roman" w:cs="Times New Roman"/>
          <w:sz w:val="28"/>
          <w:szCs w:val="28"/>
          <w:shd w:val="clear" w:color="auto" w:fill="FFFFFF"/>
          <w:lang w:val="es-ES"/>
        </w:rPr>
        <w:t>Magistrada</w:t>
      </w:r>
    </w:p>
    <w:p w:rsidR="00AD7A04" w:rsidRPr="00D61E7E" w:rsidRDefault="00D61E7E" w:rsidP="00AD7A04">
      <w:pPr>
        <w:ind w:right="49"/>
        <w:jc w:val="center"/>
        <w:rPr>
          <w:rFonts w:ascii="Times New Roman" w:hAnsi="Times New Roman" w:cs="Times New Roman"/>
          <w:sz w:val="28"/>
          <w:szCs w:val="28"/>
          <w:shd w:val="clear" w:color="auto" w:fill="FFFFFF"/>
          <w:lang w:val="es-ES"/>
        </w:rPr>
      </w:pPr>
      <w:r w:rsidRPr="00D61E7E">
        <w:rPr>
          <w:rFonts w:ascii="Times New Roman" w:hAnsi="Times New Roman" w:cs="Times New Roman"/>
          <w:sz w:val="28"/>
          <w:szCs w:val="28"/>
          <w:shd w:val="clear" w:color="auto" w:fill="FFFFFF"/>
          <w:lang w:val="es-ES"/>
        </w:rPr>
        <w:t>Con salvamento Parcial de Voto</w:t>
      </w: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p>
    <w:p w:rsidR="00AD7A04" w:rsidRPr="00D61E7E" w:rsidRDefault="00D61E7E" w:rsidP="00AD7A04">
      <w:pPr>
        <w:ind w:right="49"/>
        <w:jc w:val="center"/>
        <w:rPr>
          <w:rFonts w:ascii="Times New Roman" w:hAnsi="Times New Roman" w:cs="Times New Roman"/>
          <w:sz w:val="28"/>
          <w:szCs w:val="28"/>
          <w:shd w:val="clear" w:color="auto" w:fill="FFFFFF"/>
          <w:lang w:val="es-ES"/>
        </w:rPr>
      </w:pPr>
      <w:r w:rsidRPr="00D61E7E">
        <w:rPr>
          <w:rFonts w:ascii="Times New Roman" w:hAnsi="Times New Roman" w:cs="Times New Roman"/>
          <w:sz w:val="28"/>
          <w:szCs w:val="28"/>
          <w:shd w:val="clear" w:color="auto" w:fill="FFFFFF"/>
          <w:lang w:val="es-ES"/>
        </w:rPr>
        <w:t>ANDREA LILIANA ROMERO LOPEZ</w:t>
      </w:r>
    </w:p>
    <w:p w:rsidR="00AD7A04" w:rsidRPr="00D61E7E" w:rsidRDefault="00D61E7E" w:rsidP="00AD7A04">
      <w:pPr>
        <w:ind w:right="49"/>
        <w:jc w:val="center"/>
        <w:rPr>
          <w:rFonts w:ascii="Times New Roman" w:hAnsi="Times New Roman" w:cs="Times New Roman"/>
          <w:sz w:val="28"/>
          <w:szCs w:val="28"/>
          <w:shd w:val="clear" w:color="auto" w:fill="FFFFFF"/>
          <w:lang w:val="es-ES"/>
        </w:rPr>
      </w:pPr>
      <w:r w:rsidRPr="00D61E7E">
        <w:rPr>
          <w:rFonts w:ascii="Times New Roman" w:hAnsi="Times New Roman" w:cs="Times New Roman"/>
          <w:sz w:val="28"/>
          <w:szCs w:val="28"/>
          <w:shd w:val="clear" w:color="auto" w:fill="FFFFFF"/>
          <w:lang w:val="es-ES"/>
        </w:rPr>
        <w:t>Secretaria General</w:t>
      </w:r>
    </w:p>
    <w:p w:rsidR="00841E79" w:rsidRPr="00D61E7E" w:rsidRDefault="00D61E7E" w:rsidP="00963AB1">
      <w:pPr>
        <w:tabs>
          <w:tab w:val="left" w:pos="709"/>
        </w:tabs>
        <w:overflowPunct w:val="0"/>
        <w:autoSpaceDE w:val="0"/>
        <w:autoSpaceDN w:val="0"/>
        <w:adjustRightInd w:val="0"/>
        <w:spacing w:after="0" w:line="240" w:lineRule="auto"/>
        <w:ind w:left="709" w:right="51" w:hanging="709"/>
        <w:jc w:val="center"/>
        <w:textAlignment w:val="baseline"/>
        <w:outlineLvl w:val="0"/>
        <w:rPr>
          <w:rFonts w:ascii="Times New Roman" w:hAnsi="Times New Roman" w:cs="Times New Roman"/>
          <w:b/>
          <w:color w:val="000000"/>
          <w:sz w:val="28"/>
          <w:szCs w:val="28"/>
          <w:lang w:eastAsia="es-ES"/>
        </w:rPr>
      </w:pPr>
    </w:p>
    <w:p w:rsidR="00841E79" w:rsidRPr="00D61E7E" w:rsidRDefault="00D61E7E" w:rsidP="00963AB1">
      <w:pPr>
        <w:tabs>
          <w:tab w:val="left" w:pos="709"/>
        </w:tabs>
        <w:overflowPunct w:val="0"/>
        <w:autoSpaceDE w:val="0"/>
        <w:autoSpaceDN w:val="0"/>
        <w:adjustRightInd w:val="0"/>
        <w:spacing w:after="0" w:line="240" w:lineRule="auto"/>
        <w:ind w:left="709" w:right="51" w:hanging="709"/>
        <w:jc w:val="center"/>
        <w:textAlignment w:val="baseline"/>
        <w:outlineLvl w:val="0"/>
        <w:rPr>
          <w:rFonts w:ascii="Times New Roman" w:hAnsi="Times New Roman" w:cs="Times New Roman"/>
          <w:b/>
          <w:color w:val="000000"/>
          <w:sz w:val="28"/>
          <w:szCs w:val="28"/>
          <w:lang w:eastAsia="es-ES"/>
        </w:rPr>
      </w:pPr>
    </w:p>
    <w:p w:rsidR="00841E79" w:rsidRPr="00D61E7E" w:rsidRDefault="00D61E7E" w:rsidP="00963AB1">
      <w:pPr>
        <w:tabs>
          <w:tab w:val="left" w:pos="709"/>
        </w:tabs>
        <w:overflowPunct w:val="0"/>
        <w:autoSpaceDE w:val="0"/>
        <w:autoSpaceDN w:val="0"/>
        <w:adjustRightInd w:val="0"/>
        <w:spacing w:after="0" w:line="240" w:lineRule="auto"/>
        <w:ind w:left="709" w:right="51" w:hanging="709"/>
        <w:jc w:val="center"/>
        <w:textAlignment w:val="baseline"/>
        <w:outlineLvl w:val="0"/>
        <w:rPr>
          <w:rFonts w:ascii="Times New Roman" w:hAnsi="Times New Roman" w:cs="Times New Roman"/>
          <w:b/>
          <w:color w:val="000000"/>
          <w:sz w:val="28"/>
          <w:szCs w:val="28"/>
          <w:lang w:eastAsia="es-ES"/>
        </w:rPr>
      </w:pPr>
    </w:p>
    <w:p w:rsidR="005A1331" w:rsidRPr="00D61E7E" w:rsidRDefault="00D61E7E" w:rsidP="00963AB1">
      <w:pPr>
        <w:tabs>
          <w:tab w:val="left" w:pos="709"/>
        </w:tabs>
        <w:overflowPunct w:val="0"/>
        <w:autoSpaceDE w:val="0"/>
        <w:autoSpaceDN w:val="0"/>
        <w:adjustRightInd w:val="0"/>
        <w:spacing w:after="0" w:line="240" w:lineRule="auto"/>
        <w:ind w:left="709" w:right="51" w:hanging="709"/>
        <w:jc w:val="center"/>
        <w:textAlignment w:val="baseline"/>
        <w:outlineLvl w:val="0"/>
        <w:rPr>
          <w:rFonts w:ascii="Times New Roman" w:hAnsi="Times New Roman" w:cs="Times New Roman"/>
          <w:b/>
          <w:color w:val="000000"/>
          <w:sz w:val="28"/>
          <w:szCs w:val="28"/>
          <w:lang w:eastAsia="es-ES"/>
        </w:rPr>
      </w:pPr>
      <w:r w:rsidRPr="00D61E7E">
        <w:rPr>
          <w:rFonts w:ascii="Times New Roman" w:hAnsi="Times New Roman" w:cs="Times New Roman"/>
          <w:b/>
          <w:color w:val="000000"/>
          <w:sz w:val="28"/>
          <w:szCs w:val="28"/>
          <w:lang w:eastAsia="es-ES"/>
        </w:rPr>
        <w:t xml:space="preserve">SALVAMENTO PARCIAL DE VOTO DE LAS MAGISTRADAS </w:t>
      </w:r>
    </w:p>
    <w:p w:rsidR="005A1331" w:rsidRPr="00D61E7E" w:rsidRDefault="00D61E7E" w:rsidP="00963AB1">
      <w:pPr>
        <w:tabs>
          <w:tab w:val="left" w:pos="709"/>
        </w:tabs>
        <w:overflowPunct w:val="0"/>
        <w:autoSpaceDE w:val="0"/>
        <w:autoSpaceDN w:val="0"/>
        <w:adjustRightInd w:val="0"/>
        <w:spacing w:after="0" w:line="240" w:lineRule="auto"/>
        <w:ind w:left="709" w:right="51" w:hanging="709"/>
        <w:jc w:val="center"/>
        <w:textAlignment w:val="baseline"/>
        <w:outlineLvl w:val="0"/>
        <w:rPr>
          <w:rFonts w:ascii="Times New Roman" w:hAnsi="Times New Roman" w:cs="Times New Roman"/>
          <w:b/>
          <w:color w:val="000000"/>
          <w:sz w:val="28"/>
          <w:szCs w:val="28"/>
          <w:lang w:eastAsia="es-ES"/>
        </w:rPr>
      </w:pPr>
      <w:r w:rsidRPr="00D61E7E">
        <w:rPr>
          <w:rFonts w:ascii="Times New Roman" w:hAnsi="Times New Roman" w:cs="Times New Roman"/>
          <w:b/>
          <w:color w:val="000000"/>
          <w:sz w:val="28"/>
          <w:szCs w:val="28"/>
          <w:lang w:eastAsia="es-ES"/>
        </w:rPr>
        <w:t xml:space="preserve">DIANA FAJARDO </w:t>
      </w:r>
      <w:r w:rsidRPr="00D61E7E">
        <w:rPr>
          <w:rFonts w:ascii="Times New Roman" w:hAnsi="Times New Roman" w:cs="Times New Roman"/>
          <w:b/>
          <w:color w:val="000000"/>
          <w:sz w:val="28"/>
          <w:szCs w:val="28"/>
          <w:lang w:eastAsia="es-ES"/>
        </w:rPr>
        <w:t xml:space="preserve">RIVERA </w:t>
      </w:r>
      <w:r w:rsidRPr="00D61E7E">
        <w:rPr>
          <w:rFonts w:ascii="Times New Roman" w:hAnsi="Times New Roman" w:cs="Times New Roman"/>
          <w:b/>
          <w:color w:val="000000"/>
          <w:sz w:val="28"/>
          <w:szCs w:val="28"/>
          <w:lang w:eastAsia="es-ES"/>
        </w:rPr>
        <w:t xml:space="preserve">Y </w:t>
      </w:r>
    </w:p>
    <w:p w:rsidR="005A1331" w:rsidRPr="00D61E7E" w:rsidRDefault="00D61E7E" w:rsidP="00963AB1">
      <w:pPr>
        <w:tabs>
          <w:tab w:val="left" w:pos="709"/>
        </w:tabs>
        <w:overflowPunct w:val="0"/>
        <w:autoSpaceDE w:val="0"/>
        <w:autoSpaceDN w:val="0"/>
        <w:adjustRightInd w:val="0"/>
        <w:spacing w:after="0" w:line="240" w:lineRule="auto"/>
        <w:ind w:left="709" w:right="51" w:hanging="709"/>
        <w:jc w:val="center"/>
        <w:textAlignment w:val="baseline"/>
        <w:outlineLvl w:val="0"/>
        <w:rPr>
          <w:rFonts w:ascii="Times New Roman" w:hAnsi="Times New Roman" w:cs="Times New Roman"/>
          <w:b/>
          <w:color w:val="000000"/>
          <w:sz w:val="28"/>
          <w:szCs w:val="28"/>
          <w:lang w:eastAsia="es-ES"/>
        </w:rPr>
      </w:pPr>
      <w:r w:rsidRPr="00D61E7E">
        <w:rPr>
          <w:rFonts w:ascii="Times New Roman" w:hAnsi="Times New Roman" w:cs="Times New Roman"/>
          <w:b/>
          <w:color w:val="000000"/>
          <w:sz w:val="28"/>
          <w:szCs w:val="28"/>
          <w:lang w:eastAsia="es-ES"/>
        </w:rPr>
        <w:t xml:space="preserve">CRISTINA PARDO SCHLESINGER </w:t>
      </w:r>
    </w:p>
    <w:p w:rsidR="008D0842" w:rsidRPr="00D61E7E" w:rsidRDefault="00D61E7E" w:rsidP="00963AB1">
      <w:pPr>
        <w:tabs>
          <w:tab w:val="left" w:pos="709"/>
        </w:tabs>
        <w:overflowPunct w:val="0"/>
        <w:autoSpaceDE w:val="0"/>
        <w:autoSpaceDN w:val="0"/>
        <w:adjustRightInd w:val="0"/>
        <w:spacing w:after="0" w:line="240" w:lineRule="auto"/>
        <w:ind w:left="709" w:right="51" w:hanging="709"/>
        <w:jc w:val="center"/>
        <w:textAlignment w:val="baseline"/>
        <w:outlineLvl w:val="0"/>
        <w:rPr>
          <w:rFonts w:ascii="Times New Roman" w:hAnsi="Times New Roman" w:cs="Times New Roman"/>
          <w:b/>
          <w:color w:val="000000"/>
          <w:sz w:val="28"/>
          <w:szCs w:val="28"/>
          <w:lang w:eastAsia="es-ES"/>
        </w:rPr>
      </w:pPr>
      <w:r w:rsidRPr="00D61E7E">
        <w:rPr>
          <w:rFonts w:ascii="Times New Roman" w:hAnsi="Times New Roman" w:cs="Times New Roman"/>
          <w:b/>
          <w:color w:val="000000"/>
          <w:sz w:val="28"/>
          <w:szCs w:val="28"/>
          <w:lang w:eastAsia="es-ES"/>
        </w:rPr>
        <w:t>A LA SENTENCIA C-113</w:t>
      </w:r>
      <w:r w:rsidRPr="00D61E7E">
        <w:rPr>
          <w:rFonts w:ascii="Times New Roman" w:hAnsi="Times New Roman" w:cs="Times New Roman"/>
          <w:b/>
          <w:color w:val="000000"/>
          <w:sz w:val="28"/>
          <w:szCs w:val="28"/>
          <w:lang w:eastAsia="es-ES"/>
        </w:rPr>
        <w:t>/</w:t>
      </w:r>
      <w:r w:rsidRPr="00D61E7E">
        <w:rPr>
          <w:rFonts w:ascii="Times New Roman" w:hAnsi="Times New Roman" w:cs="Times New Roman"/>
          <w:b/>
          <w:color w:val="000000"/>
          <w:sz w:val="28"/>
          <w:szCs w:val="28"/>
          <w:lang w:eastAsia="es-ES"/>
        </w:rPr>
        <w:t>24</w:t>
      </w:r>
    </w:p>
    <w:p w:rsidR="008D0842" w:rsidRPr="00D61E7E" w:rsidRDefault="00D61E7E" w:rsidP="00963AB1">
      <w:pPr>
        <w:spacing w:after="0" w:line="240" w:lineRule="auto"/>
        <w:ind w:left="3119"/>
        <w:jc w:val="both"/>
        <w:rPr>
          <w:rFonts w:ascii="Times New Roman" w:hAnsi="Times New Roman" w:cs="Times New Roman"/>
          <w:sz w:val="28"/>
          <w:szCs w:val="28"/>
        </w:rPr>
      </w:pPr>
    </w:p>
    <w:p w:rsidR="005A1331" w:rsidRPr="00D61E7E" w:rsidRDefault="00D61E7E" w:rsidP="00963AB1">
      <w:pPr>
        <w:spacing w:after="0" w:line="240" w:lineRule="auto"/>
        <w:ind w:left="3119"/>
        <w:jc w:val="both"/>
        <w:rPr>
          <w:rFonts w:ascii="Times New Roman" w:hAnsi="Times New Roman" w:cs="Times New Roman"/>
          <w:sz w:val="28"/>
          <w:szCs w:val="28"/>
        </w:rPr>
      </w:pPr>
    </w:p>
    <w:p w:rsidR="008D0842" w:rsidRPr="00D61E7E" w:rsidRDefault="00D61E7E" w:rsidP="00963AB1">
      <w:pPr>
        <w:spacing w:after="0" w:line="240" w:lineRule="auto"/>
        <w:ind w:left="3119"/>
        <w:jc w:val="both"/>
        <w:rPr>
          <w:rFonts w:ascii="Times New Roman" w:hAnsi="Times New Roman" w:cs="Times New Roman"/>
          <w:sz w:val="28"/>
          <w:szCs w:val="28"/>
        </w:rPr>
      </w:pPr>
      <w:r w:rsidRPr="00D61E7E">
        <w:rPr>
          <w:rFonts w:ascii="Times New Roman" w:hAnsi="Times New Roman" w:cs="Times New Roman"/>
          <w:sz w:val="28"/>
          <w:szCs w:val="28"/>
        </w:rPr>
        <w:t>Expediente: D-1</w:t>
      </w:r>
      <w:r w:rsidRPr="00D61E7E">
        <w:rPr>
          <w:rFonts w:ascii="Times New Roman" w:hAnsi="Times New Roman" w:cs="Times New Roman"/>
          <w:sz w:val="28"/>
          <w:szCs w:val="28"/>
        </w:rPr>
        <w:t>5.</w:t>
      </w:r>
      <w:r w:rsidRPr="00D61E7E">
        <w:rPr>
          <w:rFonts w:ascii="Times New Roman" w:hAnsi="Times New Roman" w:cs="Times New Roman"/>
          <w:sz w:val="28"/>
          <w:szCs w:val="28"/>
        </w:rPr>
        <w:t>125</w:t>
      </w:r>
    </w:p>
    <w:p w:rsidR="008D0842" w:rsidRPr="00D61E7E" w:rsidRDefault="00D61E7E" w:rsidP="00963AB1">
      <w:pPr>
        <w:spacing w:after="0" w:line="240" w:lineRule="auto"/>
        <w:ind w:left="3119"/>
        <w:jc w:val="both"/>
        <w:rPr>
          <w:rFonts w:ascii="Times New Roman" w:hAnsi="Times New Roman" w:cs="Times New Roman"/>
          <w:sz w:val="28"/>
          <w:szCs w:val="28"/>
        </w:rPr>
      </w:pPr>
    </w:p>
    <w:p w:rsidR="00767408" w:rsidRPr="00D61E7E" w:rsidRDefault="00D61E7E" w:rsidP="00963AB1">
      <w:pPr>
        <w:spacing w:after="0" w:line="240" w:lineRule="auto"/>
        <w:ind w:left="3119"/>
        <w:jc w:val="both"/>
        <w:rPr>
          <w:rFonts w:ascii="Times New Roman" w:hAnsi="Times New Roman" w:cs="Times New Roman"/>
          <w:sz w:val="28"/>
          <w:szCs w:val="28"/>
        </w:rPr>
      </w:pPr>
      <w:r w:rsidRPr="00D61E7E">
        <w:rPr>
          <w:rFonts w:ascii="Times New Roman" w:hAnsi="Times New Roman" w:cs="Times New Roman"/>
          <w:sz w:val="28"/>
          <w:szCs w:val="28"/>
        </w:rPr>
        <w:t xml:space="preserve">Asunto: </w:t>
      </w:r>
      <w:r w:rsidRPr="00D61E7E">
        <w:rPr>
          <w:rFonts w:ascii="Times New Roman" w:hAnsi="Times New Roman" w:cs="Times New Roman"/>
          <w:sz w:val="28"/>
          <w:szCs w:val="28"/>
        </w:rPr>
        <w:t>d</w:t>
      </w:r>
      <w:r w:rsidRPr="00D61E7E">
        <w:rPr>
          <w:rFonts w:ascii="Times New Roman" w:hAnsi="Times New Roman" w:cs="Times New Roman"/>
          <w:sz w:val="28"/>
          <w:szCs w:val="28"/>
        </w:rPr>
        <w:t xml:space="preserve">emanda de inconstitucionalidad en contra </w:t>
      </w:r>
      <w:r w:rsidRPr="00D61E7E">
        <w:rPr>
          <w:rFonts w:ascii="Times New Roman" w:hAnsi="Times New Roman" w:cs="Times New Roman"/>
          <w:sz w:val="28"/>
          <w:szCs w:val="28"/>
        </w:rPr>
        <w:t>de los artículos 70 y 73 de la Ley 2069 de 2020.</w:t>
      </w:r>
    </w:p>
    <w:p w:rsidR="002E6525" w:rsidRPr="00D61E7E" w:rsidRDefault="00D61E7E" w:rsidP="00963AB1">
      <w:pPr>
        <w:spacing w:after="0" w:line="240" w:lineRule="auto"/>
        <w:ind w:left="3119"/>
        <w:jc w:val="both"/>
        <w:rPr>
          <w:rFonts w:ascii="Times New Roman" w:hAnsi="Times New Roman" w:cs="Times New Roman"/>
          <w:sz w:val="28"/>
          <w:szCs w:val="28"/>
        </w:rPr>
      </w:pPr>
    </w:p>
    <w:p w:rsidR="002E6525" w:rsidRPr="00D61E7E" w:rsidRDefault="00D61E7E" w:rsidP="00963AB1">
      <w:pPr>
        <w:spacing w:after="0" w:line="240" w:lineRule="auto"/>
        <w:ind w:left="3119"/>
        <w:jc w:val="both"/>
        <w:rPr>
          <w:rFonts w:ascii="Times New Roman" w:hAnsi="Times New Roman" w:cs="Times New Roman"/>
          <w:sz w:val="28"/>
          <w:szCs w:val="28"/>
        </w:rPr>
      </w:pPr>
      <w:r w:rsidRPr="00D61E7E">
        <w:rPr>
          <w:rFonts w:ascii="Times New Roman" w:hAnsi="Times New Roman" w:cs="Times New Roman"/>
          <w:sz w:val="28"/>
          <w:szCs w:val="28"/>
        </w:rPr>
        <w:t>Magistrad</w:t>
      </w:r>
      <w:r w:rsidRPr="00D61E7E">
        <w:rPr>
          <w:rFonts w:ascii="Times New Roman" w:hAnsi="Times New Roman" w:cs="Times New Roman"/>
          <w:sz w:val="28"/>
          <w:szCs w:val="28"/>
        </w:rPr>
        <w:t>a</w:t>
      </w:r>
      <w:r w:rsidRPr="00D61E7E">
        <w:rPr>
          <w:rFonts w:ascii="Times New Roman" w:hAnsi="Times New Roman" w:cs="Times New Roman"/>
          <w:sz w:val="28"/>
          <w:szCs w:val="28"/>
        </w:rPr>
        <w:t xml:space="preserve"> </w:t>
      </w:r>
      <w:r w:rsidRPr="00D61E7E">
        <w:rPr>
          <w:rFonts w:ascii="Times New Roman" w:hAnsi="Times New Roman" w:cs="Times New Roman"/>
          <w:sz w:val="28"/>
          <w:szCs w:val="28"/>
        </w:rPr>
        <w:t>ponente</w:t>
      </w:r>
      <w:r w:rsidRPr="00D61E7E">
        <w:rPr>
          <w:rFonts w:ascii="Times New Roman" w:hAnsi="Times New Roman" w:cs="Times New Roman"/>
          <w:sz w:val="28"/>
          <w:szCs w:val="28"/>
        </w:rPr>
        <w:t xml:space="preserve">: </w:t>
      </w:r>
    </w:p>
    <w:p w:rsidR="008D0842" w:rsidRPr="00D61E7E" w:rsidRDefault="00D61E7E" w:rsidP="00963AB1">
      <w:pPr>
        <w:spacing w:after="0" w:line="240" w:lineRule="auto"/>
        <w:ind w:left="3119"/>
        <w:jc w:val="both"/>
        <w:rPr>
          <w:rFonts w:ascii="Times New Roman" w:hAnsi="Times New Roman" w:cs="Times New Roman"/>
          <w:sz w:val="28"/>
          <w:szCs w:val="28"/>
        </w:rPr>
      </w:pPr>
      <w:r w:rsidRPr="00D61E7E">
        <w:rPr>
          <w:rFonts w:ascii="Times New Roman" w:hAnsi="Times New Roman" w:cs="Times New Roman"/>
          <w:sz w:val="28"/>
          <w:szCs w:val="28"/>
        </w:rPr>
        <w:t>Natalia Ángel Cabo</w:t>
      </w:r>
    </w:p>
    <w:p w:rsidR="00577506" w:rsidRPr="00D61E7E" w:rsidRDefault="00D61E7E" w:rsidP="00963AB1">
      <w:pPr>
        <w:spacing w:after="0" w:line="240" w:lineRule="auto"/>
        <w:jc w:val="both"/>
        <w:rPr>
          <w:rFonts w:ascii="Times New Roman" w:hAnsi="Times New Roman" w:cs="Times New Roman"/>
          <w:sz w:val="28"/>
          <w:szCs w:val="28"/>
        </w:rPr>
      </w:pPr>
    </w:p>
    <w:p w:rsidR="00F22649" w:rsidRPr="00D61E7E" w:rsidRDefault="00D61E7E" w:rsidP="00963AB1">
      <w:pPr>
        <w:spacing w:after="0" w:line="240" w:lineRule="auto"/>
        <w:jc w:val="both"/>
        <w:rPr>
          <w:rFonts w:ascii="Times New Roman" w:hAnsi="Times New Roman" w:cs="Times New Roman"/>
          <w:sz w:val="28"/>
          <w:szCs w:val="28"/>
        </w:rPr>
      </w:pPr>
    </w:p>
    <w:p w:rsidR="00F22649" w:rsidRPr="00D61E7E" w:rsidRDefault="00D61E7E" w:rsidP="00963AB1">
      <w:pPr>
        <w:pStyle w:val="Prrafodelista"/>
        <w:numPr>
          <w:ilvl w:val="0"/>
          <w:numId w:val="5"/>
        </w:numPr>
        <w:shd w:val="clear" w:color="auto" w:fill="FFFFFF"/>
        <w:spacing w:after="0" w:line="240" w:lineRule="auto"/>
        <w:ind w:left="0" w:firstLine="0"/>
        <w:rPr>
          <w:rFonts w:ascii="Times New Roman" w:hAnsi="Times New Roman" w:cs="Times New Roman"/>
          <w:sz w:val="28"/>
          <w:szCs w:val="28"/>
        </w:rPr>
      </w:pPr>
      <w:r w:rsidRPr="00D61E7E">
        <w:rPr>
          <w:rFonts w:ascii="Times New Roman" w:hAnsi="Times New Roman" w:cs="Times New Roman"/>
          <w:sz w:val="28"/>
          <w:szCs w:val="28"/>
        </w:rPr>
        <w:t xml:space="preserve">Con el debido respeto por las decisiones de la </w:t>
      </w:r>
      <w:r w:rsidRPr="00D61E7E">
        <w:rPr>
          <w:rFonts w:ascii="Times New Roman" w:hAnsi="Times New Roman" w:cs="Times New Roman"/>
          <w:sz w:val="28"/>
          <w:szCs w:val="28"/>
        </w:rPr>
        <w:t>Sala Plena de la Corte Constitucional</w:t>
      </w:r>
      <w:r w:rsidRPr="00D61E7E">
        <w:rPr>
          <w:rFonts w:ascii="Times New Roman" w:hAnsi="Times New Roman" w:cs="Times New Roman"/>
          <w:sz w:val="28"/>
          <w:szCs w:val="28"/>
        </w:rPr>
        <w:t xml:space="preserve">, salvamos parcialmente nuestro voto a la Sentencia C- 113 de 2024. En concreto, discrepamos del análisis realizado por la </w:t>
      </w:r>
      <w:r w:rsidRPr="00D61E7E">
        <w:rPr>
          <w:rFonts w:ascii="Times New Roman" w:hAnsi="Times New Roman" w:cs="Times New Roman"/>
          <w:sz w:val="28"/>
          <w:szCs w:val="28"/>
        </w:rPr>
        <w:t>mayoría</w:t>
      </w:r>
      <w:r w:rsidRPr="00D61E7E">
        <w:rPr>
          <w:rFonts w:ascii="Times New Roman" w:hAnsi="Times New Roman" w:cs="Times New Roman"/>
          <w:sz w:val="28"/>
          <w:szCs w:val="28"/>
        </w:rPr>
        <w:t xml:space="preserve"> en torno</w:t>
      </w:r>
      <w:r w:rsidRPr="00D61E7E">
        <w:rPr>
          <w:rFonts w:ascii="Times New Roman" w:hAnsi="Times New Roman" w:cs="Times New Roman"/>
          <w:sz w:val="28"/>
          <w:szCs w:val="28"/>
        </w:rPr>
        <w:t xml:space="preserve"> a la satisfacción del principio de unidad de materia para el caso del artículo 73 de la Ley 2069 de 2020</w:t>
      </w:r>
      <w:r w:rsidRPr="00D61E7E">
        <w:rPr>
          <w:rStyle w:val="Refdenotaalpie"/>
          <w:rFonts w:ascii="Times New Roman" w:hAnsi="Times New Roman" w:cs="Times New Roman"/>
          <w:sz w:val="28"/>
          <w:szCs w:val="28"/>
        </w:rPr>
        <w:footnoteReference w:id="51"/>
      </w:r>
      <w:r w:rsidRPr="00D61E7E">
        <w:rPr>
          <w:rFonts w:ascii="Times New Roman" w:hAnsi="Times New Roman" w:cs="Times New Roman"/>
          <w:sz w:val="28"/>
          <w:szCs w:val="28"/>
        </w:rPr>
        <w:t xml:space="preserve"> </w:t>
      </w:r>
      <w:r w:rsidRPr="00D61E7E">
        <w:rPr>
          <w:rFonts w:ascii="Times New Roman" w:hAnsi="Times New Roman" w:cs="Times New Roman"/>
          <w:sz w:val="28"/>
          <w:szCs w:val="28"/>
        </w:rPr>
        <w:t xml:space="preserve">que </w:t>
      </w:r>
      <w:r w:rsidRPr="00D61E7E">
        <w:rPr>
          <w:rFonts w:ascii="Times New Roman" w:hAnsi="Times New Roman" w:cs="Times New Roman"/>
          <w:sz w:val="28"/>
          <w:szCs w:val="28"/>
        </w:rPr>
        <w:t xml:space="preserve">se </w:t>
      </w:r>
      <w:r w:rsidRPr="00D61E7E">
        <w:rPr>
          <w:rFonts w:ascii="Times New Roman" w:hAnsi="Times New Roman" w:cs="Times New Roman"/>
          <w:sz w:val="28"/>
          <w:szCs w:val="28"/>
        </w:rPr>
        <w:t>refiere a la virtualización de las inspecciones tributarias y contables y las visitas administrativas</w:t>
      </w:r>
      <w:r w:rsidRPr="00D61E7E">
        <w:rPr>
          <w:rFonts w:ascii="Times New Roman" w:hAnsi="Times New Roman" w:cs="Times New Roman"/>
          <w:sz w:val="28"/>
          <w:szCs w:val="28"/>
        </w:rPr>
        <w:t xml:space="preserve"> realizadas en el marco de procesos de fi</w:t>
      </w:r>
      <w:r w:rsidRPr="00D61E7E">
        <w:rPr>
          <w:rFonts w:ascii="Times New Roman" w:hAnsi="Times New Roman" w:cs="Times New Roman"/>
          <w:sz w:val="28"/>
          <w:szCs w:val="28"/>
        </w:rPr>
        <w:t>scalización tributaria</w:t>
      </w:r>
      <w:r w:rsidRPr="00D61E7E">
        <w:rPr>
          <w:rFonts w:ascii="Times New Roman" w:hAnsi="Times New Roman" w:cs="Times New Roman"/>
          <w:sz w:val="28"/>
          <w:szCs w:val="28"/>
        </w:rPr>
        <w:t xml:space="preserve"> y aduanera</w:t>
      </w:r>
      <w:r w:rsidRPr="00D61E7E">
        <w:rPr>
          <w:rFonts w:ascii="Times New Roman" w:hAnsi="Times New Roman" w:cs="Times New Roman"/>
          <w:sz w:val="28"/>
          <w:szCs w:val="28"/>
        </w:rPr>
        <w:t>. En nuestro criterio, esta disposición legal desconoció el principio de unidad de materia establecido en el artículo 158 de la Constitución, por lo que, la Sala Plena debió declarar su inexequibilidad.</w:t>
      </w:r>
    </w:p>
    <w:p w:rsidR="00F22649" w:rsidRPr="00D61E7E" w:rsidRDefault="00D61E7E" w:rsidP="00963AB1">
      <w:pPr>
        <w:pStyle w:val="Prrafodelista"/>
        <w:shd w:val="clear" w:color="auto" w:fill="FFFFFF"/>
        <w:spacing w:after="0" w:line="240" w:lineRule="auto"/>
        <w:ind w:left="0"/>
        <w:rPr>
          <w:rFonts w:ascii="Times New Roman" w:hAnsi="Times New Roman" w:cs="Times New Roman"/>
          <w:sz w:val="28"/>
          <w:szCs w:val="28"/>
        </w:rPr>
      </w:pPr>
    </w:p>
    <w:p w:rsidR="005E13C3" w:rsidRPr="00D61E7E" w:rsidRDefault="00D61E7E" w:rsidP="00963AB1">
      <w:pPr>
        <w:pStyle w:val="Prrafodelista"/>
        <w:numPr>
          <w:ilvl w:val="0"/>
          <w:numId w:val="5"/>
        </w:numPr>
        <w:shd w:val="clear" w:color="auto" w:fill="FFFFFF"/>
        <w:spacing w:after="0" w:line="240" w:lineRule="auto"/>
        <w:ind w:left="0" w:firstLine="0"/>
        <w:rPr>
          <w:rFonts w:ascii="Times New Roman" w:hAnsi="Times New Roman" w:cs="Times New Roman"/>
          <w:sz w:val="28"/>
          <w:szCs w:val="28"/>
        </w:rPr>
      </w:pPr>
      <w:r w:rsidRPr="00D61E7E">
        <w:rPr>
          <w:rFonts w:ascii="Times New Roman" w:hAnsi="Times New Roman" w:cs="Times New Roman"/>
          <w:sz w:val="28"/>
          <w:szCs w:val="28"/>
        </w:rPr>
        <w:t xml:space="preserve">Consideramos que la </w:t>
      </w:r>
      <w:r w:rsidRPr="00D61E7E">
        <w:rPr>
          <w:rFonts w:ascii="Times New Roman" w:hAnsi="Times New Roman" w:cs="Times New Roman"/>
          <w:sz w:val="28"/>
          <w:szCs w:val="28"/>
        </w:rPr>
        <w:t>mayoría</w:t>
      </w:r>
      <w:r w:rsidRPr="00D61E7E">
        <w:rPr>
          <w:rFonts w:ascii="Times New Roman" w:hAnsi="Times New Roman" w:cs="Times New Roman"/>
          <w:sz w:val="28"/>
          <w:szCs w:val="28"/>
        </w:rPr>
        <w:t xml:space="preserve"> </w:t>
      </w:r>
      <w:r w:rsidRPr="00D61E7E">
        <w:rPr>
          <w:rFonts w:ascii="Times New Roman" w:hAnsi="Times New Roman" w:cs="Times New Roman"/>
          <w:sz w:val="28"/>
          <w:szCs w:val="28"/>
        </w:rPr>
        <w:t xml:space="preserve">debió </w:t>
      </w:r>
      <w:r w:rsidRPr="00D61E7E">
        <w:rPr>
          <w:rFonts w:ascii="Times New Roman" w:hAnsi="Times New Roman" w:cs="Times New Roman"/>
          <w:sz w:val="28"/>
          <w:szCs w:val="28"/>
        </w:rPr>
        <w:t>adelantar</w:t>
      </w:r>
      <w:r w:rsidRPr="00D61E7E">
        <w:rPr>
          <w:rFonts w:ascii="Times New Roman" w:hAnsi="Times New Roman" w:cs="Times New Roman"/>
          <w:sz w:val="28"/>
          <w:szCs w:val="28"/>
        </w:rPr>
        <w:t xml:space="preserve"> un análisis diferente al desarrollado </w:t>
      </w:r>
      <w:r w:rsidRPr="00D61E7E">
        <w:rPr>
          <w:rFonts w:ascii="Times New Roman" w:hAnsi="Times New Roman" w:cs="Times New Roman"/>
          <w:sz w:val="28"/>
          <w:szCs w:val="28"/>
        </w:rPr>
        <w:t>en la sentencia</w:t>
      </w:r>
      <w:r w:rsidRPr="00D61E7E">
        <w:rPr>
          <w:rFonts w:ascii="Times New Roman" w:hAnsi="Times New Roman" w:cs="Times New Roman"/>
          <w:sz w:val="28"/>
          <w:szCs w:val="28"/>
        </w:rPr>
        <w:t xml:space="preserve">. Así, para decidir si el artículo 73 de la Ley 2069 de 2020 desconocía o no el principio de unidad de materia </w:t>
      </w:r>
      <w:r w:rsidRPr="00D61E7E">
        <w:rPr>
          <w:rFonts w:ascii="Times New Roman" w:hAnsi="Times New Roman" w:cs="Times New Roman"/>
          <w:sz w:val="28"/>
          <w:szCs w:val="28"/>
        </w:rPr>
        <w:t xml:space="preserve">era necesario </w:t>
      </w:r>
      <w:r w:rsidRPr="00D61E7E">
        <w:rPr>
          <w:rFonts w:ascii="Times New Roman" w:hAnsi="Times New Roman" w:cs="Times New Roman"/>
          <w:sz w:val="28"/>
          <w:szCs w:val="28"/>
        </w:rPr>
        <w:t xml:space="preserve">avanzar en </w:t>
      </w:r>
      <w:r w:rsidRPr="00D61E7E">
        <w:rPr>
          <w:rFonts w:ascii="Times New Roman" w:hAnsi="Times New Roman" w:cs="Times New Roman"/>
          <w:sz w:val="28"/>
          <w:szCs w:val="28"/>
        </w:rPr>
        <w:t xml:space="preserve">el análisis de los tres presupuestos decantados por la jurisprudencia de esta Corte, desde una mirada que tuviera en </w:t>
      </w:r>
      <w:r w:rsidRPr="00D61E7E">
        <w:rPr>
          <w:rFonts w:ascii="Times New Roman" w:hAnsi="Times New Roman" w:cs="Times New Roman"/>
          <w:sz w:val="28"/>
          <w:szCs w:val="28"/>
        </w:rPr>
        <w:t>cuenta las premisas que se señalan a continuación.</w:t>
      </w:r>
      <w:r w:rsidRPr="00D61E7E">
        <w:rPr>
          <w:rFonts w:ascii="Times New Roman" w:hAnsi="Times New Roman" w:cs="Times New Roman"/>
          <w:sz w:val="28"/>
          <w:szCs w:val="28"/>
        </w:rPr>
        <w:t xml:space="preserve"> </w:t>
      </w:r>
    </w:p>
    <w:p w:rsidR="005E13C3" w:rsidRPr="00D61E7E" w:rsidRDefault="00D61E7E" w:rsidP="005E13C3">
      <w:pPr>
        <w:pStyle w:val="Prrafodelista"/>
        <w:shd w:val="clear" w:color="auto" w:fill="FFFFFF"/>
        <w:spacing w:after="0" w:line="240" w:lineRule="auto"/>
        <w:ind w:left="0"/>
        <w:rPr>
          <w:rFonts w:ascii="Times New Roman" w:hAnsi="Times New Roman" w:cs="Times New Roman"/>
          <w:sz w:val="28"/>
          <w:szCs w:val="28"/>
        </w:rPr>
      </w:pPr>
    </w:p>
    <w:p w:rsidR="00F22649" w:rsidRPr="00D61E7E" w:rsidRDefault="00D61E7E" w:rsidP="00963AB1">
      <w:pPr>
        <w:pStyle w:val="Prrafodelista"/>
        <w:numPr>
          <w:ilvl w:val="0"/>
          <w:numId w:val="5"/>
        </w:numPr>
        <w:shd w:val="clear" w:color="auto" w:fill="FFFFFF"/>
        <w:spacing w:after="0" w:line="240" w:lineRule="auto"/>
        <w:ind w:left="0" w:firstLine="0"/>
        <w:rPr>
          <w:rFonts w:ascii="Times New Roman" w:hAnsi="Times New Roman" w:cs="Times New Roman"/>
          <w:sz w:val="28"/>
          <w:szCs w:val="28"/>
        </w:rPr>
      </w:pPr>
      <w:r w:rsidRPr="00D61E7E">
        <w:rPr>
          <w:rFonts w:ascii="Times New Roman" w:hAnsi="Times New Roman" w:cs="Times New Roman"/>
          <w:sz w:val="28"/>
          <w:szCs w:val="28"/>
        </w:rPr>
        <w:t>Primero,</w:t>
      </w:r>
      <w:r w:rsidRPr="00D61E7E">
        <w:rPr>
          <w:rFonts w:ascii="Times New Roman" w:hAnsi="Times New Roman" w:cs="Times New Roman"/>
          <w:sz w:val="28"/>
          <w:szCs w:val="28"/>
        </w:rPr>
        <w:t xml:space="preserve"> </w:t>
      </w:r>
      <w:r w:rsidRPr="00D61E7E">
        <w:rPr>
          <w:rFonts w:ascii="Times New Roman" w:hAnsi="Times New Roman" w:cs="Times New Roman"/>
          <w:sz w:val="28"/>
          <w:szCs w:val="28"/>
        </w:rPr>
        <w:t>dado que e</w:t>
      </w:r>
      <w:r w:rsidRPr="00D61E7E">
        <w:rPr>
          <w:rFonts w:ascii="Times New Roman" w:hAnsi="Times New Roman" w:cs="Times New Roman"/>
          <w:sz w:val="28"/>
          <w:szCs w:val="28"/>
        </w:rPr>
        <w:t>l núcleo temático de la Ley 2069 de 2020</w:t>
      </w:r>
      <w:r w:rsidRPr="00D61E7E">
        <w:rPr>
          <w:rFonts w:ascii="Times New Roman" w:hAnsi="Times New Roman" w:cs="Times New Roman"/>
          <w:sz w:val="28"/>
          <w:szCs w:val="28"/>
        </w:rPr>
        <w:t xml:space="preserve"> </w:t>
      </w:r>
      <w:r w:rsidRPr="00D61E7E">
        <w:rPr>
          <w:rFonts w:ascii="Times New Roman" w:hAnsi="Times New Roman" w:cs="Times New Roman"/>
          <w:sz w:val="28"/>
          <w:szCs w:val="28"/>
        </w:rPr>
        <w:t>versa sobre el</w:t>
      </w:r>
      <w:r w:rsidRPr="00D61E7E">
        <w:rPr>
          <w:rFonts w:ascii="Times New Roman" w:hAnsi="Times New Roman" w:cs="Times New Roman"/>
          <w:sz w:val="28"/>
          <w:szCs w:val="28"/>
        </w:rPr>
        <w:t xml:space="preserve"> establecimi</w:t>
      </w:r>
      <w:r w:rsidRPr="00D61E7E">
        <w:rPr>
          <w:rFonts w:ascii="Times New Roman" w:hAnsi="Times New Roman" w:cs="Times New Roman"/>
          <w:sz w:val="28"/>
          <w:szCs w:val="28"/>
        </w:rPr>
        <w:t>ento de</w:t>
      </w:r>
      <w:r w:rsidRPr="00D61E7E">
        <w:rPr>
          <w:rFonts w:ascii="Times New Roman" w:hAnsi="Times New Roman" w:cs="Times New Roman"/>
          <w:sz w:val="28"/>
          <w:szCs w:val="28"/>
        </w:rPr>
        <w:t xml:space="preserve"> medidas para impulsa</w:t>
      </w:r>
      <w:r w:rsidRPr="00D61E7E">
        <w:rPr>
          <w:rFonts w:ascii="Times New Roman" w:hAnsi="Times New Roman" w:cs="Times New Roman"/>
          <w:sz w:val="28"/>
          <w:szCs w:val="28"/>
        </w:rPr>
        <w:t>r el emprendimiento empresarial, los eventuales asuntos tributarios regulados en esta, necesariamente, deberían haber tenido</w:t>
      </w:r>
      <w:r w:rsidRPr="00D61E7E">
        <w:rPr>
          <w:rFonts w:ascii="Times New Roman" w:hAnsi="Times New Roman" w:cs="Times New Roman"/>
          <w:sz w:val="28"/>
          <w:szCs w:val="28"/>
        </w:rPr>
        <w:t xml:space="preserve"> una conexidad estrecha con </w:t>
      </w:r>
      <w:r w:rsidRPr="00D61E7E">
        <w:rPr>
          <w:rFonts w:ascii="Times New Roman" w:hAnsi="Times New Roman" w:cs="Times New Roman"/>
          <w:sz w:val="28"/>
          <w:szCs w:val="28"/>
        </w:rPr>
        <w:t xml:space="preserve">la promoción de </w:t>
      </w:r>
      <w:r w:rsidRPr="00D61E7E">
        <w:rPr>
          <w:rFonts w:ascii="Times New Roman" w:hAnsi="Times New Roman" w:cs="Times New Roman"/>
          <w:sz w:val="28"/>
          <w:szCs w:val="28"/>
        </w:rPr>
        <w:t>las empresas</w:t>
      </w:r>
      <w:r w:rsidRPr="00D61E7E">
        <w:rPr>
          <w:rFonts w:ascii="Times New Roman" w:hAnsi="Times New Roman" w:cs="Times New Roman"/>
          <w:sz w:val="28"/>
          <w:szCs w:val="28"/>
        </w:rPr>
        <w:t>. Segundo,</w:t>
      </w:r>
      <w:r w:rsidRPr="00D61E7E">
        <w:rPr>
          <w:rFonts w:ascii="Times New Roman" w:hAnsi="Times New Roman" w:cs="Times New Roman"/>
          <w:sz w:val="28"/>
          <w:szCs w:val="28"/>
        </w:rPr>
        <w:t xml:space="preserve"> </w:t>
      </w:r>
      <w:r w:rsidRPr="00D61E7E">
        <w:rPr>
          <w:rFonts w:ascii="Times New Roman" w:hAnsi="Times New Roman" w:cs="Times New Roman"/>
          <w:sz w:val="28"/>
          <w:szCs w:val="28"/>
        </w:rPr>
        <w:t xml:space="preserve">el </w:t>
      </w:r>
      <w:r w:rsidRPr="00D61E7E">
        <w:rPr>
          <w:rFonts w:ascii="Times New Roman" w:hAnsi="Times New Roman" w:cs="Times New Roman"/>
          <w:sz w:val="28"/>
          <w:szCs w:val="28"/>
        </w:rPr>
        <w:t xml:space="preserve">artículo 73 </w:t>
      </w:r>
      <w:r w:rsidRPr="00D61E7E">
        <w:rPr>
          <w:rFonts w:ascii="Times New Roman" w:hAnsi="Times New Roman" w:cs="Times New Roman"/>
          <w:sz w:val="28"/>
          <w:szCs w:val="28"/>
        </w:rPr>
        <w:t>de la Ley 2069 de 2020</w:t>
      </w:r>
      <w:r w:rsidRPr="00D61E7E">
        <w:rPr>
          <w:rFonts w:ascii="Times New Roman" w:hAnsi="Times New Roman" w:cs="Times New Roman"/>
          <w:sz w:val="28"/>
          <w:szCs w:val="28"/>
        </w:rPr>
        <w:t xml:space="preserve"> no incluye dentro de su alcance una medida directa dirigida a promover dicho emprendimiento empresarial puesto que</w:t>
      </w:r>
      <w:r w:rsidRPr="00D61E7E">
        <w:rPr>
          <w:rFonts w:ascii="Times New Roman" w:hAnsi="Times New Roman" w:cs="Times New Roman"/>
          <w:sz w:val="28"/>
          <w:szCs w:val="28"/>
        </w:rPr>
        <w:t xml:space="preserve"> su</w:t>
      </w:r>
      <w:r w:rsidRPr="00D61E7E">
        <w:rPr>
          <w:rFonts w:ascii="Times New Roman" w:hAnsi="Times New Roman" w:cs="Times New Roman"/>
          <w:sz w:val="28"/>
          <w:szCs w:val="28"/>
        </w:rPr>
        <w:t xml:space="preserve"> cobertura </w:t>
      </w:r>
      <w:r w:rsidRPr="00D61E7E">
        <w:rPr>
          <w:rFonts w:ascii="Times New Roman" w:hAnsi="Times New Roman" w:cs="Times New Roman"/>
          <w:sz w:val="28"/>
          <w:szCs w:val="28"/>
        </w:rPr>
        <w:t xml:space="preserve">es </w:t>
      </w:r>
      <w:r w:rsidRPr="00D61E7E">
        <w:rPr>
          <w:rFonts w:ascii="Times New Roman" w:hAnsi="Times New Roman" w:cs="Times New Roman"/>
          <w:sz w:val="28"/>
          <w:szCs w:val="28"/>
        </w:rPr>
        <w:t>mucho más general y amplia, extendiendo sus efectos a todos los contribuyentes, sean o no empresas. Con ello, fácilmente</w:t>
      </w:r>
      <w:r w:rsidRPr="00D61E7E">
        <w:rPr>
          <w:rFonts w:ascii="Times New Roman" w:hAnsi="Times New Roman" w:cs="Times New Roman"/>
          <w:sz w:val="28"/>
          <w:szCs w:val="28"/>
        </w:rPr>
        <w:t>,</w:t>
      </w:r>
      <w:r w:rsidRPr="00D61E7E">
        <w:rPr>
          <w:rFonts w:ascii="Times New Roman" w:hAnsi="Times New Roman" w:cs="Times New Roman"/>
          <w:sz w:val="28"/>
          <w:szCs w:val="28"/>
        </w:rPr>
        <w:t xml:space="preserve"> se</w:t>
      </w:r>
      <w:r w:rsidRPr="00D61E7E">
        <w:rPr>
          <w:rFonts w:ascii="Times New Roman" w:hAnsi="Times New Roman" w:cs="Times New Roman"/>
          <w:sz w:val="28"/>
          <w:szCs w:val="28"/>
        </w:rPr>
        <w:t xml:space="preserve"> hubiese podido concluir </w:t>
      </w:r>
      <w:r w:rsidRPr="00D61E7E">
        <w:rPr>
          <w:rFonts w:ascii="Times New Roman" w:hAnsi="Times New Roman" w:cs="Times New Roman"/>
          <w:sz w:val="28"/>
          <w:szCs w:val="28"/>
        </w:rPr>
        <w:t>la inexistencia de una</w:t>
      </w:r>
      <w:r w:rsidRPr="00D61E7E">
        <w:rPr>
          <w:rFonts w:ascii="Times New Roman" w:hAnsi="Times New Roman" w:cs="Times New Roman"/>
          <w:sz w:val="28"/>
          <w:szCs w:val="28"/>
        </w:rPr>
        <w:t xml:space="preserve"> conexidad entre e</w:t>
      </w:r>
      <w:r w:rsidRPr="00D61E7E">
        <w:rPr>
          <w:rFonts w:ascii="Times New Roman" w:hAnsi="Times New Roman" w:cs="Times New Roman"/>
          <w:sz w:val="28"/>
          <w:szCs w:val="28"/>
        </w:rPr>
        <w:t>l artículo 73 demandado</w:t>
      </w:r>
      <w:r w:rsidRPr="00D61E7E">
        <w:rPr>
          <w:rFonts w:ascii="Times New Roman" w:hAnsi="Times New Roman" w:cs="Times New Roman"/>
          <w:sz w:val="28"/>
          <w:szCs w:val="28"/>
        </w:rPr>
        <w:t xml:space="preserve"> con los objetivos generales perseguidos por</w:t>
      </w:r>
      <w:r w:rsidRPr="00D61E7E">
        <w:rPr>
          <w:rFonts w:ascii="Times New Roman" w:hAnsi="Times New Roman" w:cs="Times New Roman"/>
          <w:sz w:val="28"/>
          <w:szCs w:val="28"/>
        </w:rPr>
        <w:t xml:space="preserve"> la Ley 2069 de 2020 en la que se encuentra contenido</w:t>
      </w:r>
      <w:r w:rsidRPr="00D61E7E">
        <w:rPr>
          <w:rFonts w:ascii="Times New Roman" w:hAnsi="Times New Roman" w:cs="Times New Roman"/>
          <w:sz w:val="28"/>
          <w:szCs w:val="28"/>
        </w:rPr>
        <w:t>.</w:t>
      </w:r>
      <w:r w:rsidRPr="00D61E7E">
        <w:rPr>
          <w:rFonts w:ascii="Times New Roman" w:hAnsi="Times New Roman" w:cs="Times New Roman"/>
          <w:sz w:val="28"/>
          <w:szCs w:val="28"/>
        </w:rPr>
        <w:t xml:space="preserve"> </w:t>
      </w:r>
    </w:p>
    <w:p w:rsidR="00F22649" w:rsidRPr="00D61E7E" w:rsidRDefault="00D61E7E" w:rsidP="00963AB1">
      <w:pPr>
        <w:pStyle w:val="Prrafodelista"/>
        <w:shd w:val="clear" w:color="auto" w:fill="FFFFFF"/>
        <w:spacing w:after="0" w:line="240" w:lineRule="auto"/>
        <w:ind w:left="0"/>
        <w:rPr>
          <w:rFonts w:ascii="Times New Roman" w:hAnsi="Times New Roman" w:cs="Times New Roman"/>
          <w:sz w:val="28"/>
          <w:szCs w:val="28"/>
        </w:rPr>
      </w:pPr>
    </w:p>
    <w:p w:rsidR="00F22649" w:rsidRPr="00D61E7E" w:rsidRDefault="00D61E7E" w:rsidP="00963AB1">
      <w:pPr>
        <w:pStyle w:val="Prrafodelista"/>
        <w:numPr>
          <w:ilvl w:val="0"/>
          <w:numId w:val="5"/>
        </w:numPr>
        <w:shd w:val="clear" w:color="auto" w:fill="FFFFFF"/>
        <w:spacing w:after="0" w:line="240" w:lineRule="auto"/>
        <w:ind w:left="0" w:firstLine="0"/>
        <w:rPr>
          <w:rFonts w:ascii="Times New Roman" w:hAnsi="Times New Roman" w:cs="Times New Roman"/>
          <w:sz w:val="28"/>
          <w:szCs w:val="28"/>
        </w:rPr>
      </w:pPr>
      <w:r w:rsidRPr="00D61E7E">
        <w:rPr>
          <w:rFonts w:ascii="Times New Roman" w:hAnsi="Times New Roman" w:cs="Times New Roman"/>
          <w:sz w:val="28"/>
          <w:szCs w:val="28"/>
        </w:rPr>
        <w:t xml:space="preserve">A continuación, desarrollamos cada uno de estos aspectos. </w:t>
      </w:r>
    </w:p>
    <w:p w:rsidR="00F22649" w:rsidRPr="00D61E7E" w:rsidRDefault="00D61E7E" w:rsidP="00963AB1">
      <w:pPr>
        <w:pStyle w:val="Prrafodelista"/>
        <w:spacing w:line="240" w:lineRule="auto"/>
        <w:rPr>
          <w:rFonts w:ascii="Times New Roman" w:hAnsi="Times New Roman" w:cs="Times New Roman"/>
          <w:sz w:val="28"/>
          <w:szCs w:val="28"/>
        </w:rPr>
      </w:pPr>
    </w:p>
    <w:p w:rsidR="00F22649" w:rsidRPr="00D61E7E" w:rsidRDefault="00D61E7E" w:rsidP="00963AB1">
      <w:pPr>
        <w:pStyle w:val="Prrafodelista"/>
        <w:numPr>
          <w:ilvl w:val="0"/>
          <w:numId w:val="5"/>
        </w:numPr>
        <w:shd w:val="clear" w:color="auto" w:fill="FFFFFF"/>
        <w:spacing w:after="0" w:line="240" w:lineRule="auto"/>
        <w:ind w:left="0" w:firstLine="0"/>
        <w:rPr>
          <w:rFonts w:ascii="Times New Roman" w:hAnsi="Times New Roman" w:cs="Times New Roman"/>
          <w:sz w:val="28"/>
          <w:szCs w:val="28"/>
        </w:rPr>
      </w:pPr>
      <w:r w:rsidRPr="00D61E7E">
        <w:rPr>
          <w:rFonts w:ascii="Times New Roman" w:hAnsi="Times New Roman" w:cs="Times New Roman"/>
          <w:sz w:val="28"/>
          <w:szCs w:val="28"/>
        </w:rPr>
        <w:t xml:space="preserve">En </w:t>
      </w:r>
      <w:r w:rsidRPr="00D61E7E">
        <w:rPr>
          <w:rFonts w:ascii="Times New Roman" w:hAnsi="Times New Roman" w:cs="Times New Roman"/>
          <w:b/>
          <w:bCs/>
          <w:i/>
          <w:iCs/>
          <w:sz w:val="28"/>
          <w:szCs w:val="28"/>
        </w:rPr>
        <w:t>primer lugar</w:t>
      </w:r>
      <w:r w:rsidRPr="00D61E7E">
        <w:rPr>
          <w:rFonts w:ascii="Times New Roman" w:hAnsi="Times New Roman" w:cs="Times New Roman"/>
          <w:sz w:val="28"/>
          <w:szCs w:val="28"/>
        </w:rPr>
        <w:t>, sobre el núcleo temático de la Ley 2069 de 202</w:t>
      </w:r>
      <w:r w:rsidRPr="00D61E7E">
        <w:rPr>
          <w:rFonts w:ascii="Times New Roman" w:hAnsi="Times New Roman" w:cs="Times New Roman"/>
          <w:sz w:val="28"/>
          <w:szCs w:val="28"/>
        </w:rPr>
        <w:t>0</w:t>
      </w:r>
      <w:r w:rsidRPr="00D61E7E">
        <w:rPr>
          <w:rFonts w:ascii="Times New Roman" w:hAnsi="Times New Roman" w:cs="Times New Roman"/>
          <w:sz w:val="28"/>
          <w:szCs w:val="28"/>
        </w:rPr>
        <w:t xml:space="preserve">, </w:t>
      </w:r>
      <w:r w:rsidRPr="00D61E7E">
        <w:rPr>
          <w:rFonts w:ascii="Times New Roman" w:hAnsi="Times New Roman" w:cs="Times New Roman"/>
          <w:sz w:val="28"/>
          <w:szCs w:val="28"/>
        </w:rPr>
        <w:t xml:space="preserve">consideramos </w:t>
      </w:r>
      <w:r w:rsidRPr="00D61E7E">
        <w:rPr>
          <w:rFonts w:ascii="Times New Roman" w:hAnsi="Times New Roman" w:cs="Times New Roman"/>
          <w:sz w:val="28"/>
          <w:szCs w:val="28"/>
        </w:rPr>
        <w:t>que para valorar el respeto del principio de unidad de materia resultaba pertinente revisar antecedentes legislativos</w:t>
      </w:r>
      <w:r w:rsidRPr="00D61E7E">
        <w:rPr>
          <w:rFonts w:ascii="Times New Roman" w:hAnsi="Times New Roman" w:cs="Times New Roman"/>
          <w:sz w:val="28"/>
          <w:szCs w:val="28"/>
        </w:rPr>
        <w:t xml:space="preserve"> </w:t>
      </w:r>
      <w:r w:rsidRPr="00D61E7E">
        <w:rPr>
          <w:rFonts w:ascii="Times New Roman" w:hAnsi="Times New Roman" w:cs="Times New Roman"/>
          <w:sz w:val="28"/>
          <w:szCs w:val="28"/>
        </w:rPr>
        <w:t xml:space="preserve">de esta ley </w:t>
      </w:r>
      <w:r w:rsidRPr="00D61E7E">
        <w:rPr>
          <w:rFonts w:ascii="Times New Roman" w:hAnsi="Times New Roman" w:cs="Times New Roman"/>
          <w:sz w:val="28"/>
          <w:szCs w:val="28"/>
        </w:rPr>
        <w:t>que</w:t>
      </w:r>
      <w:r w:rsidRPr="00D61E7E">
        <w:rPr>
          <w:rFonts w:ascii="Times New Roman" w:hAnsi="Times New Roman" w:cs="Times New Roman"/>
          <w:sz w:val="28"/>
          <w:szCs w:val="28"/>
        </w:rPr>
        <w:t xml:space="preserve"> </w:t>
      </w:r>
      <w:r w:rsidRPr="00D61E7E">
        <w:rPr>
          <w:rFonts w:ascii="Times New Roman" w:hAnsi="Times New Roman" w:cs="Times New Roman"/>
          <w:sz w:val="28"/>
          <w:szCs w:val="28"/>
        </w:rPr>
        <w:t>da</w:t>
      </w:r>
      <w:r w:rsidRPr="00D61E7E">
        <w:rPr>
          <w:rFonts w:ascii="Times New Roman" w:hAnsi="Times New Roman" w:cs="Times New Roman"/>
          <w:sz w:val="28"/>
          <w:szCs w:val="28"/>
        </w:rPr>
        <w:t xml:space="preserve">ban cuenta de que, aunque en su </w:t>
      </w:r>
      <w:r w:rsidRPr="00D61E7E">
        <w:rPr>
          <w:rFonts w:ascii="Times New Roman" w:hAnsi="Times New Roman" w:cs="Times New Roman"/>
          <w:sz w:val="28"/>
          <w:szCs w:val="28"/>
        </w:rPr>
        <w:t>trámite se d</w:t>
      </w:r>
      <w:r w:rsidRPr="00D61E7E">
        <w:rPr>
          <w:rFonts w:ascii="Times New Roman" w:hAnsi="Times New Roman" w:cs="Times New Roman"/>
          <w:sz w:val="28"/>
          <w:szCs w:val="28"/>
        </w:rPr>
        <w:t xml:space="preserve">iscutieron algunos asuntos de naturaleza tributaria, estos estaban directamente enfocados a las empresas y a su emprendimiento, al ser este, precisamente, el </w:t>
      </w:r>
      <w:r w:rsidRPr="00D61E7E">
        <w:rPr>
          <w:rFonts w:ascii="Times New Roman" w:hAnsi="Times New Roman" w:cs="Times New Roman"/>
          <w:sz w:val="28"/>
          <w:szCs w:val="28"/>
        </w:rPr>
        <w:t>núcleo</w:t>
      </w:r>
      <w:r w:rsidRPr="00D61E7E">
        <w:rPr>
          <w:rFonts w:ascii="Times New Roman" w:hAnsi="Times New Roman" w:cs="Times New Roman"/>
          <w:sz w:val="28"/>
          <w:szCs w:val="28"/>
        </w:rPr>
        <w:t xml:space="preserve"> temático de la Ley 2060 de 2020</w:t>
      </w:r>
      <w:r w:rsidRPr="00D61E7E">
        <w:rPr>
          <w:rFonts w:ascii="Times New Roman" w:hAnsi="Times New Roman" w:cs="Times New Roman"/>
          <w:sz w:val="28"/>
          <w:szCs w:val="28"/>
        </w:rPr>
        <w:t xml:space="preserve">. Por ejemplo, </w:t>
      </w:r>
      <w:r w:rsidRPr="00D61E7E">
        <w:rPr>
          <w:rFonts w:ascii="Times New Roman" w:hAnsi="Times New Roman" w:cs="Times New Roman"/>
          <w:sz w:val="28"/>
          <w:szCs w:val="28"/>
        </w:rPr>
        <w:t>en la</w:t>
      </w:r>
      <w:r w:rsidRPr="00D61E7E">
        <w:rPr>
          <w:rFonts w:ascii="Times New Roman" w:hAnsi="Times New Roman" w:cs="Times New Roman"/>
          <w:sz w:val="28"/>
          <w:szCs w:val="28"/>
        </w:rPr>
        <w:t xml:space="preserve"> Gaceta 942 del 18 de septiembre de 2020</w:t>
      </w:r>
      <w:r w:rsidRPr="00D61E7E">
        <w:rPr>
          <w:rFonts w:ascii="Times New Roman" w:hAnsi="Times New Roman" w:cs="Times New Roman"/>
          <w:sz w:val="28"/>
          <w:szCs w:val="28"/>
        </w:rPr>
        <w:t xml:space="preserve"> – mencionada únicamente en un pie de página</w:t>
      </w:r>
      <w:r w:rsidRPr="00D61E7E">
        <w:rPr>
          <w:rStyle w:val="Refdenotaalpie"/>
          <w:rFonts w:ascii="Times New Roman" w:hAnsi="Times New Roman" w:cs="Times New Roman"/>
          <w:sz w:val="28"/>
          <w:szCs w:val="28"/>
        </w:rPr>
        <w:footnoteReference w:id="52"/>
      </w:r>
      <w:r w:rsidRPr="00D61E7E">
        <w:rPr>
          <w:rFonts w:ascii="Times New Roman" w:hAnsi="Times New Roman" w:cs="Times New Roman"/>
          <w:sz w:val="28"/>
          <w:szCs w:val="28"/>
        </w:rPr>
        <w:t xml:space="preserve"> de la Sentencia C-113 de 2024 </w:t>
      </w:r>
      <w:r w:rsidRPr="00D61E7E">
        <w:rPr>
          <w:rFonts w:ascii="Times New Roman" w:hAnsi="Times New Roman" w:cs="Times New Roman"/>
          <w:sz w:val="28"/>
          <w:szCs w:val="28"/>
        </w:rPr>
        <w:t>–</w:t>
      </w:r>
      <w:r w:rsidRPr="00D61E7E">
        <w:rPr>
          <w:rFonts w:ascii="Times New Roman" w:hAnsi="Times New Roman" w:cs="Times New Roman"/>
          <w:sz w:val="28"/>
          <w:szCs w:val="28"/>
        </w:rPr>
        <w:t>, en donde se puntualiza</w:t>
      </w:r>
      <w:r w:rsidRPr="00D61E7E">
        <w:rPr>
          <w:rFonts w:ascii="Times New Roman" w:hAnsi="Times New Roman" w:cs="Times New Roman"/>
          <w:sz w:val="28"/>
          <w:szCs w:val="28"/>
        </w:rPr>
        <w:t>ron</w:t>
      </w:r>
      <w:r w:rsidRPr="00D61E7E">
        <w:rPr>
          <w:rFonts w:ascii="Times New Roman" w:hAnsi="Times New Roman" w:cs="Times New Roman"/>
          <w:sz w:val="28"/>
          <w:szCs w:val="28"/>
        </w:rPr>
        <w:t xml:space="preserve"> las barreras de las empresas en torno a procedimientos tributarios o cambiarios</w:t>
      </w:r>
      <w:r w:rsidRPr="00D61E7E">
        <w:rPr>
          <w:rFonts w:ascii="Times New Roman" w:hAnsi="Times New Roman" w:cs="Times New Roman"/>
          <w:sz w:val="28"/>
          <w:szCs w:val="28"/>
        </w:rPr>
        <w:t xml:space="preserve">, se </w:t>
      </w:r>
      <w:r w:rsidRPr="00D61E7E">
        <w:rPr>
          <w:rFonts w:ascii="Times New Roman" w:hAnsi="Times New Roman" w:cs="Times New Roman"/>
          <w:sz w:val="28"/>
          <w:szCs w:val="28"/>
        </w:rPr>
        <w:t>indicó lo siguiente</w:t>
      </w:r>
      <w:r w:rsidRPr="00D61E7E">
        <w:rPr>
          <w:rFonts w:ascii="Times New Roman" w:hAnsi="Times New Roman" w:cs="Times New Roman"/>
          <w:sz w:val="28"/>
          <w:szCs w:val="28"/>
        </w:rPr>
        <w:t xml:space="preserve">: </w:t>
      </w:r>
    </w:p>
    <w:p w:rsidR="00F22649" w:rsidRPr="00D61E7E" w:rsidRDefault="00D61E7E" w:rsidP="00963AB1">
      <w:pPr>
        <w:pStyle w:val="Prrafodelista"/>
        <w:shd w:val="clear" w:color="auto" w:fill="FFFFFF"/>
        <w:spacing w:after="0" w:line="240" w:lineRule="auto"/>
        <w:ind w:left="0"/>
        <w:rPr>
          <w:rFonts w:ascii="Times New Roman" w:hAnsi="Times New Roman" w:cs="Times New Roman"/>
          <w:sz w:val="28"/>
          <w:szCs w:val="28"/>
        </w:rPr>
      </w:pPr>
    </w:p>
    <w:p w:rsidR="00F22649" w:rsidRPr="00D61E7E" w:rsidRDefault="00D61E7E" w:rsidP="008D11A1">
      <w:pPr>
        <w:spacing w:after="0" w:line="240" w:lineRule="auto"/>
        <w:ind w:left="283" w:right="-36"/>
        <w:jc w:val="both"/>
        <w:rPr>
          <w:rFonts w:ascii="Times New Roman" w:hAnsi="Times New Roman" w:cs="Times New Roman"/>
          <w:sz w:val="28"/>
          <w:szCs w:val="26"/>
        </w:rPr>
      </w:pPr>
      <w:r w:rsidRPr="00D61E7E">
        <w:rPr>
          <w:rFonts w:ascii="Times New Roman" w:hAnsi="Times New Roman" w:cs="Times New Roman"/>
          <w:sz w:val="28"/>
          <w:szCs w:val="26"/>
        </w:rPr>
        <w:t xml:space="preserve">“[C]on respecto al ámbito tributario se </w:t>
      </w:r>
      <w:r w:rsidRPr="00D61E7E">
        <w:rPr>
          <w:rFonts w:ascii="Times New Roman" w:hAnsi="Times New Roman" w:cs="Times New Roman"/>
          <w:sz w:val="28"/>
          <w:szCs w:val="26"/>
        </w:rPr>
        <w:t>encuentran los siguientes obstáculos: i) la operación de la retención en la fuente por IVA de 15% a empresas grandes y responsabilidad de las PYMES de declarar y pagar el 85% restante; ii) la limitación al uso de efectivo para pagos deducibles de impuestos</w:t>
      </w:r>
      <w:r w:rsidRPr="00D61E7E">
        <w:rPr>
          <w:rFonts w:ascii="Times New Roman" w:hAnsi="Times New Roman" w:cs="Times New Roman"/>
          <w:sz w:val="28"/>
          <w:szCs w:val="26"/>
        </w:rPr>
        <w:t>; iii) los trámites de presentación de información exógena (medios magnéticos) ante la DIAN; iv) el calendario tributario establecido por la DIAN, el cual no corresponde con los retos que deben enfrentar las empresas en materia de liquidez y v) las altas t</w:t>
      </w:r>
      <w:r w:rsidRPr="00D61E7E">
        <w:rPr>
          <w:rFonts w:ascii="Times New Roman" w:hAnsi="Times New Roman" w:cs="Times New Roman"/>
          <w:sz w:val="28"/>
          <w:szCs w:val="26"/>
        </w:rPr>
        <w:t>arifas nominales de tributación sobre la renta empresarial para las mipymes operación. Algunas de estas mismas preocupaciones les afectan en relación con los fiscos territoriales</w:t>
      </w:r>
      <w:r w:rsidRPr="00D61E7E">
        <w:rPr>
          <w:rStyle w:val="Refdenotaalpie"/>
          <w:rFonts w:ascii="Times New Roman" w:hAnsi="Times New Roman" w:cs="Times New Roman"/>
          <w:sz w:val="28"/>
          <w:szCs w:val="26"/>
        </w:rPr>
        <w:footnoteReference w:id="53"/>
      </w:r>
      <w:r w:rsidRPr="00D61E7E">
        <w:rPr>
          <w:rFonts w:ascii="Times New Roman" w:hAnsi="Times New Roman" w:cs="Times New Roman"/>
          <w:sz w:val="28"/>
          <w:szCs w:val="26"/>
        </w:rPr>
        <w:t>”.</w:t>
      </w:r>
    </w:p>
    <w:p w:rsidR="00F22649" w:rsidRPr="00D61E7E" w:rsidRDefault="00D61E7E" w:rsidP="00963AB1">
      <w:pPr>
        <w:pStyle w:val="Prrafodelista"/>
        <w:shd w:val="clear" w:color="auto" w:fill="FFFFFF"/>
        <w:spacing w:after="0" w:line="240" w:lineRule="auto"/>
        <w:ind w:left="0"/>
        <w:rPr>
          <w:rFonts w:ascii="Times New Roman" w:hAnsi="Times New Roman" w:cs="Times New Roman"/>
          <w:sz w:val="28"/>
          <w:szCs w:val="28"/>
        </w:rPr>
      </w:pPr>
    </w:p>
    <w:p w:rsidR="00F22649" w:rsidRPr="00D61E7E" w:rsidRDefault="00D61E7E" w:rsidP="00963AB1">
      <w:pPr>
        <w:pStyle w:val="Prrafodelista"/>
        <w:numPr>
          <w:ilvl w:val="0"/>
          <w:numId w:val="5"/>
        </w:numPr>
        <w:shd w:val="clear" w:color="auto" w:fill="FFFFFF"/>
        <w:spacing w:after="0" w:line="240" w:lineRule="auto"/>
        <w:ind w:left="0" w:firstLine="0"/>
        <w:rPr>
          <w:rFonts w:ascii="Times New Roman" w:hAnsi="Times New Roman" w:cs="Times New Roman"/>
          <w:sz w:val="28"/>
          <w:szCs w:val="28"/>
        </w:rPr>
      </w:pPr>
      <w:r w:rsidRPr="00D61E7E">
        <w:rPr>
          <w:rFonts w:ascii="Times New Roman" w:hAnsi="Times New Roman" w:cs="Times New Roman"/>
          <w:sz w:val="28"/>
          <w:szCs w:val="28"/>
        </w:rPr>
        <w:t xml:space="preserve">La anterior justificación </w:t>
      </w:r>
      <w:r w:rsidRPr="00D61E7E">
        <w:rPr>
          <w:rFonts w:ascii="Times New Roman" w:hAnsi="Times New Roman" w:cs="Times New Roman"/>
          <w:sz w:val="28"/>
          <w:szCs w:val="28"/>
        </w:rPr>
        <w:t>permite inferir que</w:t>
      </w:r>
      <w:r w:rsidRPr="00D61E7E">
        <w:rPr>
          <w:rFonts w:ascii="Times New Roman" w:hAnsi="Times New Roman" w:cs="Times New Roman"/>
          <w:sz w:val="28"/>
          <w:szCs w:val="28"/>
        </w:rPr>
        <w:t xml:space="preserve"> las dificultades reportadas</w:t>
      </w:r>
      <w:r w:rsidRPr="00D61E7E">
        <w:rPr>
          <w:rFonts w:ascii="Times New Roman" w:hAnsi="Times New Roman" w:cs="Times New Roman"/>
          <w:sz w:val="28"/>
          <w:szCs w:val="28"/>
        </w:rPr>
        <w:t xml:space="preserve"> por las empresas tienen una naturaleza diferente a la de los medios de prueba sobre los que versa el artículo 73 de la Ley 2069 de 2020</w:t>
      </w:r>
      <w:r w:rsidRPr="00D61E7E">
        <w:rPr>
          <w:rFonts w:ascii="Times New Roman" w:hAnsi="Times New Roman" w:cs="Times New Roman"/>
          <w:sz w:val="28"/>
          <w:szCs w:val="28"/>
        </w:rPr>
        <w:t xml:space="preserve">. En efecto, los problemas advertidos </w:t>
      </w:r>
      <w:r w:rsidRPr="00D61E7E">
        <w:rPr>
          <w:rFonts w:ascii="Times New Roman" w:hAnsi="Times New Roman" w:cs="Times New Roman"/>
          <w:sz w:val="28"/>
          <w:szCs w:val="28"/>
        </w:rPr>
        <w:t>en los antecedentes legislativos s</w:t>
      </w:r>
      <w:r w:rsidRPr="00D61E7E">
        <w:rPr>
          <w:rFonts w:ascii="Times New Roman" w:hAnsi="Times New Roman" w:cs="Times New Roman"/>
          <w:sz w:val="28"/>
          <w:szCs w:val="28"/>
        </w:rPr>
        <w:t>e refieren a aspectos operativos como las estrec</w:t>
      </w:r>
      <w:r w:rsidRPr="00D61E7E">
        <w:rPr>
          <w:rFonts w:ascii="Times New Roman" w:hAnsi="Times New Roman" w:cs="Times New Roman"/>
          <w:sz w:val="28"/>
          <w:szCs w:val="28"/>
        </w:rPr>
        <w:t xml:space="preserve">has fechas fijadas en el calendario tributario de la </w:t>
      </w:r>
      <w:r w:rsidRPr="00D61E7E">
        <w:rPr>
          <w:rFonts w:ascii="Times New Roman" w:hAnsi="Times New Roman" w:cs="Times New Roman"/>
          <w:sz w:val="28"/>
          <w:szCs w:val="28"/>
        </w:rPr>
        <w:t>Dirección de Impuestos y Aduanas Nacionales (</w:t>
      </w:r>
      <w:r w:rsidRPr="00D61E7E">
        <w:rPr>
          <w:rFonts w:ascii="Times New Roman" w:hAnsi="Times New Roman" w:cs="Times New Roman"/>
          <w:sz w:val="28"/>
          <w:szCs w:val="28"/>
        </w:rPr>
        <w:t>DIAN</w:t>
      </w:r>
      <w:r w:rsidRPr="00D61E7E">
        <w:rPr>
          <w:rFonts w:ascii="Times New Roman" w:hAnsi="Times New Roman" w:cs="Times New Roman"/>
          <w:sz w:val="28"/>
          <w:szCs w:val="28"/>
        </w:rPr>
        <w:t>)</w:t>
      </w:r>
      <w:r w:rsidRPr="00D61E7E">
        <w:rPr>
          <w:rFonts w:ascii="Times New Roman" w:hAnsi="Times New Roman" w:cs="Times New Roman"/>
          <w:sz w:val="28"/>
          <w:szCs w:val="28"/>
        </w:rPr>
        <w:t xml:space="preserve"> que no consultan </w:t>
      </w:r>
      <w:r w:rsidRPr="00D61E7E">
        <w:rPr>
          <w:rFonts w:ascii="Times New Roman" w:hAnsi="Times New Roman" w:cs="Times New Roman"/>
          <w:sz w:val="28"/>
          <w:szCs w:val="28"/>
        </w:rPr>
        <w:t>los retos y dinámicas de las empresas</w:t>
      </w:r>
      <w:r w:rsidRPr="00D61E7E">
        <w:rPr>
          <w:rFonts w:ascii="Times New Roman" w:hAnsi="Times New Roman" w:cs="Times New Roman"/>
          <w:sz w:val="28"/>
          <w:szCs w:val="28"/>
        </w:rPr>
        <w:t>; o incluso, aspectos sustantivos como las altas tasas de tributación de las mipymes</w:t>
      </w:r>
      <w:r w:rsidRPr="00D61E7E">
        <w:rPr>
          <w:rFonts w:ascii="Times New Roman" w:hAnsi="Times New Roman" w:cs="Times New Roman"/>
          <w:sz w:val="28"/>
          <w:szCs w:val="28"/>
        </w:rPr>
        <w:t xml:space="preserve"> o la tarifa d</w:t>
      </w:r>
      <w:r w:rsidRPr="00D61E7E">
        <w:rPr>
          <w:rFonts w:ascii="Times New Roman" w:hAnsi="Times New Roman" w:cs="Times New Roman"/>
          <w:sz w:val="28"/>
          <w:szCs w:val="28"/>
        </w:rPr>
        <w:t xml:space="preserve">e la retención en la fuente por el impuesto a las ventas (IVA), aplicable a las </w:t>
      </w:r>
      <w:r w:rsidRPr="00D61E7E">
        <w:rPr>
          <w:rFonts w:ascii="Times New Roman" w:hAnsi="Times New Roman" w:cs="Times New Roman"/>
          <w:sz w:val="28"/>
          <w:szCs w:val="28"/>
        </w:rPr>
        <w:t>p</w:t>
      </w:r>
      <w:r w:rsidRPr="00D61E7E">
        <w:rPr>
          <w:rFonts w:ascii="Times New Roman" w:hAnsi="Times New Roman" w:cs="Times New Roman"/>
          <w:sz w:val="28"/>
          <w:szCs w:val="28"/>
        </w:rPr>
        <w:t>ymes</w:t>
      </w:r>
      <w:r w:rsidRPr="00D61E7E">
        <w:rPr>
          <w:rFonts w:ascii="Times New Roman" w:hAnsi="Times New Roman" w:cs="Times New Roman"/>
          <w:sz w:val="28"/>
          <w:szCs w:val="28"/>
        </w:rPr>
        <w:t>. Así las cosas, es claro que t</w:t>
      </w:r>
      <w:r w:rsidRPr="00D61E7E">
        <w:rPr>
          <w:rFonts w:ascii="Times New Roman" w:hAnsi="Times New Roman" w:cs="Times New Roman"/>
          <w:sz w:val="28"/>
          <w:szCs w:val="28"/>
        </w:rPr>
        <w:t>odos estos</w:t>
      </w:r>
      <w:r w:rsidRPr="00D61E7E">
        <w:rPr>
          <w:rFonts w:ascii="Times New Roman" w:hAnsi="Times New Roman" w:cs="Times New Roman"/>
          <w:sz w:val="28"/>
          <w:szCs w:val="28"/>
        </w:rPr>
        <w:t xml:space="preserve"> corresponden a </w:t>
      </w:r>
      <w:r w:rsidRPr="00D61E7E">
        <w:rPr>
          <w:rFonts w:ascii="Times New Roman" w:hAnsi="Times New Roman" w:cs="Times New Roman"/>
          <w:sz w:val="28"/>
          <w:szCs w:val="28"/>
        </w:rPr>
        <w:t>aspectos que podrían tener una relación directa con el desempeño de las empresas y, de alguna manera,</w:t>
      </w:r>
      <w:r w:rsidRPr="00D61E7E">
        <w:rPr>
          <w:rFonts w:ascii="Times New Roman" w:hAnsi="Times New Roman" w:cs="Times New Roman"/>
          <w:sz w:val="28"/>
          <w:szCs w:val="28"/>
        </w:rPr>
        <w:t xml:space="preserve"> promover su emprendimiento.</w:t>
      </w:r>
      <w:r w:rsidRPr="00D61E7E">
        <w:rPr>
          <w:rFonts w:ascii="Times New Roman" w:hAnsi="Times New Roman" w:cs="Times New Roman"/>
          <w:sz w:val="28"/>
          <w:szCs w:val="28"/>
        </w:rPr>
        <w:t xml:space="preserve"> </w:t>
      </w:r>
    </w:p>
    <w:p w:rsidR="00F22649" w:rsidRPr="00D61E7E" w:rsidRDefault="00D61E7E" w:rsidP="00963AB1">
      <w:pPr>
        <w:pStyle w:val="Prrafodelista"/>
        <w:shd w:val="clear" w:color="auto" w:fill="FFFFFF"/>
        <w:spacing w:after="0" w:line="240" w:lineRule="auto"/>
        <w:ind w:left="0"/>
        <w:rPr>
          <w:rFonts w:ascii="Times New Roman" w:hAnsi="Times New Roman" w:cs="Times New Roman"/>
          <w:sz w:val="28"/>
          <w:szCs w:val="28"/>
        </w:rPr>
      </w:pPr>
    </w:p>
    <w:p w:rsidR="00F22649" w:rsidRPr="00D61E7E" w:rsidRDefault="00D61E7E" w:rsidP="00963AB1">
      <w:pPr>
        <w:pStyle w:val="Prrafodelista"/>
        <w:numPr>
          <w:ilvl w:val="0"/>
          <w:numId w:val="5"/>
        </w:numPr>
        <w:shd w:val="clear" w:color="auto" w:fill="FFFFFF"/>
        <w:spacing w:after="0" w:line="240" w:lineRule="auto"/>
        <w:ind w:left="0" w:firstLine="0"/>
        <w:rPr>
          <w:rFonts w:ascii="Times New Roman" w:hAnsi="Times New Roman" w:cs="Times New Roman"/>
          <w:sz w:val="28"/>
          <w:szCs w:val="28"/>
        </w:rPr>
      </w:pPr>
      <w:r w:rsidRPr="00D61E7E">
        <w:rPr>
          <w:rFonts w:ascii="Times New Roman" w:hAnsi="Times New Roman" w:cs="Times New Roman"/>
          <w:sz w:val="28"/>
          <w:szCs w:val="28"/>
        </w:rPr>
        <w:t>Con todo,</w:t>
      </w:r>
      <w:r w:rsidRPr="00D61E7E">
        <w:rPr>
          <w:rFonts w:ascii="Times New Roman" w:hAnsi="Times New Roman" w:cs="Times New Roman"/>
          <w:sz w:val="28"/>
          <w:szCs w:val="28"/>
        </w:rPr>
        <w:t xml:space="preserve"> </w:t>
      </w:r>
      <w:r w:rsidRPr="00D61E7E">
        <w:rPr>
          <w:rFonts w:ascii="Times New Roman" w:hAnsi="Times New Roman" w:cs="Times New Roman"/>
          <w:sz w:val="28"/>
          <w:szCs w:val="28"/>
        </w:rPr>
        <w:t>no es posible predicar lo mismo respecto del citado artículo 73 de la Ley 2069 de 2020, puesto que</w:t>
      </w:r>
      <w:r w:rsidRPr="00D61E7E">
        <w:rPr>
          <w:rFonts w:ascii="Times New Roman" w:hAnsi="Times New Roman" w:cs="Times New Roman"/>
          <w:sz w:val="28"/>
          <w:szCs w:val="28"/>
        </w:rPr>
        <w:t>, como expondremos con mayor detalle al analizar el segundo punto, su alcance no encaja dentro del propósito de la Le</w:t>
      </w:r>
      <w:r w:rsidRPr="00D61E7E">
        <w:rPr>
          <w:rFonts w:ascii="Times New Roman" w:hAnsi="Times New Roman" w:cs="Times New Roman"/>
          <w:sz w:val="28"/>
          <w:szCs w:val="28"/>
        </w:rPr>
        <w:t>y 2069 de 2020, dirigido a promover el emprendimiento empresarial.</w:t>
      </w:r>
      <w:r w:rsidRPr="00D61E7E">
        <w:rPr>
          <w:rFonts w:ascii="Times New Roman" w:hAnsi="Times New Roman" w:cs="Times New Roman"/>
          <w:sz w:val="28"/>
          <w:szCs w:val="28"/>
        </w:rPr>
        <w:t xml:space="preserve"> En otras palabras, </w:t>
      </w:r>
      <w:r w:rsidRPr="00D61E7E">
        <w:rPr>
          <w:rFonts w:ascii="Times New Roman" w:hAnsi="Times New Roman" w:cs="Times New Roman"/>
          <w:sz w:val="28"/>
          <w:szCs w:val="28"/>
        </w:rPr>
        <w:t>no era posible concluir que dentro de los propósitos de la Ley 2069 de 2020 se encontraba la virtualización de los medios de prueba practicados en procesos de fiscalizaci</w:t>
      </w:r>
      <w:r w:rsidRPr="00D61E7E">
        <w:rPr>
          <w:rFonts w:ascii="Times New Roman" w:hAnsi="Times New Roman" w:cs="Times New Roman"/>
          <w:sz w:val="28"/>
          <w:szCs w:val="28"/>
        </w:rPr>
        <w:t>ón tributaria y aduanera</w:t>
      </w:r>
      <w:r w:rsidRPr="00D61E7E">
        <w:rPr>
          <w:rFonts w:ascii="Times New Roman" w:hAnsi="Times New Roman" w:cs="Times New Roman"/>
          <w:sz w:val="28"/>
          <w:szCs w:val="28"/>
        </w:rPr>
        <w:t xml:space="preserve"> porque</w:t>
      </w:r>
      <w:r w:rsidRPr="00D61E7E">
        <w:rPr>
          <w:rFonts w:ascii="Times New Roman" w:hAnsi="Times New Roman" w:cs="Times New Roman"/>
          <w:sz w:val="28"/>
          <w:szCs w:val="28"/>
        </w:rPr>
        <w:t xml:space="preserve"> al momento de hacer referencia a las barreras en procesos tributarios y aduane</w:t>
      </w:r>
      <w:r w:rsidRPr="00D61E7E">
        <w:rPr>
          <w:rFonts w:ascii="Times New Roman" w:hAnsi="Times New Roman" w:cs="Times New Roman"/>
          <w:sz w:val="28"/>
          <w:szCs w:val="28"/>
        </w:rPr>
        <w:t>ros, las empresas solo mencionaron</w:t>
      </w:r>
      <w:r w:rsidRPr="00D61E7E">
        <w:rPr>
          <w:rFonts w:ascii="Times New Roman" w:hAnsi="Times New Roman" w:cs="Times New Roman"/>
          <w:sz w:val="28"/>
          <w:szCs w:val="28"/>
        </w:rPr>
        <w:t xml:space="preserve"> trámites o </w:t>
      </w:r>
      <w:r w:rsidRPr="00D61E7E">
        <w:rPr>
          <w:rFonts w:ascii="Times New Roman" w:hAnsi="Times New Roman" w:cs="Times New Roman"/>
          <w:sz w:val="28"/>
          <w:szCs w:val="28"/>
        </w:rPr>
        <w:t>aspectos sustantivos</w:t>
      </w:r>
      <w:r w:rsidRPr="00D61E7E">
        <w:rPr>
          <w:rFonts w:ascii="Times New Roman" w:hAnsi="Times New Roman" w:cs="Times New Roman"/>
          <w:sz w:val="28"/>
          <w:szCs w:val="28"/>
        </w:rPr>
        <w:t xml:space="preserve"> que aplican exclusivamente a estas y no al universo de contribuyentes, como suc</w:t>
      </w:r>
      <w:r w:rsidRPr="00D61E7E">
        <w:rPr>
          <w:rFonts w:ascii="Times New Roman" w:hAnsi="Times New Roman" w:cs="Times New Roman"/>
          <w:sz w:val="28"/>
          <w:szCs w:val="28"/>
        </w:rPr>
        <w:t xml:space="preserve">ede con el artículo 73 de la Ley 2069 de 2020. </w:t>
      </w:r>
    </w:p>
    <w:p w:rsidR="00F22649" w:rsidRPr="00D61E7E" w:rsidRDefault="00D61E7E" w:rsidP="00963AB1">
      <w:pPr>
        <w:pStyle w:val="Prrafodelista"/>
        <w:spacing w:line="240" w:lineRule="auto"/>
        <w:rPr>
          <w:rFonts w:ascii="Times New Roman" w:hAnsi="Times New Roman" w:cs="Times New Roman"/>
          <w:sz w:val="28"/>
          <w:szCs w:val="28"/>
        </w:rPr>
      </w:pPr>
    </w:p>
    <w:p w:rsidR="00F22649" w:rsidRPr="00D61E7E" w:rsidRDefault="00D61E7E" w:rsidP="00963AB1">
      <w:pPr>
        <w:pStyle w:val="Prrafodelista"/>
        <w:numPr>
          <w:ilvl w:val="0"/>
          <w:numId w:val="5"/>
        </w:numPr>
        <w:shd w:val="clear" w:color="auto" w:fill="FFFFFF"/>
        <w:spacing w:after="0" w:line="240" w:lineRule="auto"/>
        <w:ind w:left="0" w:firstLine="0"/>
        <w:rPr>
          <w:rFonts w:ascii="Times New Roman" w:hAnsi="Times New Roman" w:cs="Times New Roman"/>
          <w:sz w:val="28"/>
          <w:szCs w:val="28"/>
        </w:rPr>
      </w:pPr>
      <w:r w:rsidRPr="00D61E7E">
        <w:rPr>
          <w:rFonts w:ascii="Times New Roman" w:hAnsi="Times New Roman" w:cs="Times New Roman"/>
          <w:sz w:val="28"/>
          <w:szCs w:val="28"/>
        </w:rPr>
        <w:t xml:space="preserve">En </w:t>
      </w:r>
      <w:r w:rsidRPr="00D61E7E">
        <w:rPr>
          <w:rFonts w:ascii="Times New Roman" w:hAnsi="Times New Roman" w:cs="Times New Roman"/>
          <w:b/>
          <w:bCs/>
          <w:i/>
          <w:iCs/>
          <w:sz w:val="28"/>
          <w:szCs w:val="28"/>
        </w:rPr>
        <w:t>segundo lugar</w:t>
      </w:r>
      <w:r w:rsidRPr="00D61E7E">
        <w:rPr>
          <w:rFonts w:ascii="Times New Roman" w:hAnsi="Times New Roman" w:cs="Times New Roman"/>
          <w:sz w:val="28"/>
          <w:szCs w:val="28"/>
        </w:rPr>
        <w:t xml:space="preserve">, en la </w:t>
      </w:r>
      <w:r w:rsidRPr="00D61E7E">
        <w:rPr>
          <w:rFonts w:ascii="Times New Roman" w:hAnsi="Times New Roman" w:cs="Times New Roman"/>
          <w:sz w:val="28"/>
          <w:szCs w:val="28"/>
        </w:rPr>
        <w:t>Sentencia C-113 de 2024</w:t>
      </w:r>
      <w:r w:rsidRPr="00D61E7E">
        <w:rPr>
          <w:rFonts w:ascii="Times New Roman" w:hAnsi="Times New Roman" w:cs="Times New Roman"/>
          <w:sz w:val="28"/>
          <w:szCs w:val="28"/>
        </w:rPr>
        <w:t xml:space="preserve"> no se </w:t>
      </w:r>
      <w:r w:rsidRPr="00D61E7E">
        <w:rPr>
          <w:rFonts w:ascii="Times New Roman" w:hAnsi="Times New Roman" w:cs="Times New Roman"/>
          <w:sz w:val="28"/>
          <w:szCs w:val="28"/>
        </w:rPr>
        <w:t xml:space="preserve">caracterizó, de manera precisa, el </w:t>
      </w:r>
      <w:r w:rsidRPr="00D61E7E">
        <w:rPr>
          <w:rFonts w:ascii="Times New Roman" w:hAnsi="Times New Roman" w:cs="Times New Roman"/>
          <w:i/>
          <w:iCs/>
          <w:sz w:val="28"/>
          <w:szCs w:val="28"/>
        </w:rPr>
        <w:t>alcance</w:t>
      </w:r>
      <w:r w:rsidRPr="00D61E7E">
        <w:rPr>
          <w:rFonts w:ascii="Times New Roman" w:hAnsi="Times New Roman" w:cs="Times New Roman"/>
          <w:sz w:val="28"/>
          <w:szCs w:val="28"/>
        </w:rPr>
        <w:t xml:space="preserve"> y la </w:t>
      </w:r>
      <w:r w:rsidRPr="00D61E7E">
        <w:rPr>
          <w:rFonts w:ascii="Times New Roman" w:hAnsi="Times New Roman" w:cs="Times New Roman"/>
          <w:i/>
          <w:iCs/>
          <w:sz w:val="28"/>
          <w:szCs w:val="28"/>
        </w:rPr>
        <w:t xml:space="preserve">finalidad </w:t>
      </w:r>
      <w:r w:rsidRPr="00D61E7E">
        <w:rPr>
          <w:rFonts w:ascii="Times New Roman" w:hAnsi="Times New Roman" w:cs="Times New Roman"/>
          <w:sz w:val="28"/>
          <w:szCs w:val="28"/>
        </w:rPr>
        <w:t xml:space="preserve">del artículo 73 de la Ley 2069 de 2020. </w:t>
      </w:r>
      <w:r w:rsidRPr="00D61E7E">
        <w:rPr>
          <w:rFonts w:ascii="Times New Roman" w:hAnsi="Times New Roman" w:cs="Times New Roman"/>
          <w:sz w:val="28"/>
          <w:szCs w:val="28"/>
        </w:rPr>
        <w:t xml:space="preserve">La </w:t>
      </w:r>
      <w:r w:rsidRPr="00D61E7E">
        <w:rPr>
          <w:rFonts w:ascii="Times New Roman" w:hAnsi="Times New Roman" w:cs="Times New Roman"/>
          <w:sz w:val="28"/>
          <w:szCs w:val="28"/>
        </w:rPr>
        <w:t xml:space="preserve">específica </w:t>
      </w:r>
      <w:r w:rsidRPr="00D61E7E">
        <w:rPr>
          <w:rFonts w:ascii="Times New Roman" w:hAnsi="Times New Roman" w:cs="Times New Roman"/>
          <w:sz w:val="28"/>
          <w:szCs w:val="28"/>
        </w:rPr>
        <w:t xml:space="preserve">delimitación de estos dos aspectos era indispensable </w:t>
      </w:r>
      <w:r w:rsidRPr="00D61E7E">
        <w:rPr>
          <w:rFonts w:ascii="Times New Roman" w:hAnsi="Times New Roman" w:cs="Times New Roman"/>
          <w:sz w:val="28"/>
          <w:szCs w:val="28"/>
        </w:rPr>
        <w:t>para validar si el contenido de esta norma encaja</w:t>
      </w:r>
      <w:r w:rsidRPr="00D61E7E">
        <w:rPr>
          <w:rFonts w:ascii="Times New Roman" w:hAnsi="Times New Roman" w:cs="Times New Roman"/>
          <w:sz w:val="28"/>
          <w:szCs w:val="28"/>
        </w:rPr>
        <w:t xml:space="preserve">ba o no </w:t>
      </w:r>
      <w:r w:rsidRPr="00D61E7E">
        <w:rPr>
          <w:rFonts w:ascii="Times New Roman" w:hAnsi="Times New Roman" w:cs="Times New Roman"/>
          <w:sz w:val="28"/>
          <w:szCs w:val="28"/>
        </w:rPr>
        <w:t>dentro de los propósitos generales perseguidos por la Ley 2069 de 2020.</w:t>
      </w:r>
    </w:p>
    <w:p w:rsidR="00F22649" w:rsidRPr="00D61E7E" w:rsidRDefault="00D61E7E" w:rsidP="00963AB1">
      <w:pPr>
        <w:pStyle w:val="Prrafodelista"/>
        <w:spacing w:line="240" w:lineRule="auto"/>
        <w:rPr>
          <w:rFonts w:ascii="Times New Roman" w:hAnsi="Times New Roman" w:cs="Times New Roman"/>
          <w:sz w:val="28"/>
          <w:szCs w:val="28"/>
        </w:rPr>
      </w:pPr>
    </w:p>
    <w:p w:rsidR="00F22649" w:rsidRPr="00D61E7E" w:rsidRDefault="00D61E7E" w:rsidP="00963AB1">
      <w:pPr>
        <w:pStyle w:val="Prrafodelista"/>
        <w:numPr>
          <w:ilvl w:val="0"/>
          <w:numId w:val="5"/>
        </w:numPr>
        <w:shd w:val="clear" w:color="auto" w:fill="FFFFFF"/>
        <w:spacing w:after="0" w:line="240" w:lineRule="auto"/>
        <w:ind w:left="0" w:firstLine="0"/>
        <w:rPr>
          <w:rFonts w:ascii="Times New Roman" w:hAnsi="Times New Roman" w:cs="Times New Roman"/>
          <w:sz w:val="28"/>
          <w:szCs w:val="28"/>
        </w:rPr>
      </w:pPr>
      <w:r w:rsidRPr="00D61E7E">
        <w:rPr>
          <w:rFonts w:ascii="Times New Roman" w:hAnsi="Times New Roman" w:cs="Times New Roman"/>
          <w:sz w:val="28"/>
          <w:szCs w:val="28"/>
        </w:rPr>
        <w:t xml:space="preserve">De un lado, es claro que el artículo 73 tiene un </w:t>
      </w:r>
      <w:r w:rsidRPr="00D61E7E">
        <w:rPr>
          <w:rFonts w:ascii="Times New Roman" w:hAnsi="Times New Roman" w:cs="Times New Roman"/>
          <w:i/>
          <w:iCs/>
          <w:sz w:val="28"/>
          <w:szCs w:val="28"/>
        </w:rPr>
        <w:t>alcance general</w:t>
      </w:r>
      <w:r w:rsidRPr="00D61E7E">
        <w:rPr>
          <w:rFonts w:ascii="Times New Roman" w:hAnsi="Times New Roman" w:cs="Times New Roman"/>
          <w:sz w:val="28"/>
          <w:szCs w:val="28"/>
        </w:rPr>
        <w:t xml:space="preserve">, a </w:t>
      </w:r>
      <w:r w:rsidRPr="00D61E7E">
        <w:rPr>
          <w:rFonts w:ascii="Times New Roman" w:hAnsi="Times New Roman" w:cs="Times New Roman"/>
          <w:sz w:val="28"/>
          <w:szCs w:val="28"/>
        </w:rPr>
        <w:t>diferencia de lo que sucede con el resto de la Ley 2069 de 2020</w:t>
      </w:r>
      <w:r w:rsidRPr="00D61E7E">
        <w:rPr>
          <w:rFonts w:ascii="Times New Roman" w:hAnsi="Times New Roman" w:cs="Times New Roman"/>
          <w:sz w:val="28"/>
          <w:szCs w:val="28"/>
        </w:rPr>
        <w:t>. En efe</w:t>
      </w:r>
      <w:r w:rsidRPr="00D61E7E">
        <w:rPr>
          <w:rFonts w:ascii="Times New Roman" w:hAnsi="Times New Roman" w:cs="Times New Roman"/>
          <w:sz w:val="28"/>
          <w:szCs w:val="28"/>
        </w:rPr>
        <w:t>c</w:t>
      </w:r>
      <w:r w:rsidRPr="00D61E7E">
        <w:rPr>
          <w:rFonts w:ascii="Times New Roman" w:hAnsi="Times New Roman" w:cs="Times New Roman"/>
          <w:sz w:val="28"/>
          <w:szCs w:val="28"/>
        </w:rPr>
        <w:t>to, esta</w:t>
      </w:r>
      <w:r w:rsidRPr="00D61E7E">
        <w:rPr>
          <w:rFonts w:ascii="Times New Roman" w:hAnsi="Times New Roman" w:cs="Times New Roman"/>
          <w:sz w:val="28"/>
          <w:szCs w:val="28"/>
        </w:rPr>
        <w:t xml:space="preserve"> ley en su objeto </w:t>
      </w:r>
      <w:r w:rsidRPr="00D61E7E">
        <w:rPr>
          <w:rFonts w:ascii="Times New Roman" w:hAnsi="Times New Roman" w:cs="Times New Roman"/>
          <w:sz w:val="28"/>
          <w:szCs w:val="28"/>
        </w:rPr>
        <w:t>(</w:t>
      </w:r>
      <w:r w:rsidRPr="00D61E7E">
        <w:rPr>
          <w:rFonts w:ascii="Times New Roman" w:hAnsi="Times New Roman" w:cs="Times New Roman"/>
          <w:sz w:val="28"/>
          <w:szCs w:val="28"/>
        </w:rPr>
        <w:t xml:space="preserve">regulado en el </w:t>
      </w:r>
      <w:r w:rsidRPr="00D61E7E">
        <w:rPr>
          <w:rFonts w:ascii="Times New Roman" w:hAnsi="Times New Roman" w:cs="Times New Roman"/>
          <w:sz w:val="28"/>
          <w:szCs w:val="28"/>
        </w:rPr>
        <w:t>artículo 1</w:t>
      </w:r>
      <w:r w:rsidRPr="00D61E7E">
        <w:rPr>
          <w:rStyle w:val="Refdenotaalpie"/>
          <w:rFonts w:ascii="Times New Roman" w:hAnsi="Times New Roman" w:cs="Times New Roman"/>
          <w:sz w:val="28"/>
          <w:szCs w:val="28"/>
        </w:rPr>
        <w:footnoteReference w:id="54"/>
      </w:r>
      <w:r w:rsidRPr="00D61E7E">
        <w:rPr>
          <w:rFonts w:ascii="Times New Roman" w:hAnsi="Times New Roman" w:cs="Times New Roman"/>
          <w:sz w:val="28"/>
          <w:szCs w:val="28"/>
        </w:rPr>
        <w:t xml:space="preserve">) </w:t>
      </w:r>
      <w:r w:rsidRPr="00D61E7E">
        <w:rPr>
          <w:rFonts w:ascii="Times New Roman" w:hAnsi="Times New Roman" w:cs="Times New Roman"/>
          <w:sz w:val="28"/>
          <w:szCs w:val="28"/>
        </w:rPr>
        <w:t xml:space="preserve">sí señala expresamente que sus destinatarias son las “empresas”; mientras que, el artículo 73 tiene efectos sobre </w:t>
      </w:r>
      <w:r w:rsidRPr="00D61E7E">
        <w:rPr>
          <w:rFonts w:ascii="Times New Roman" w:hAnsi="Times New Roman" w:cs="Times New Roman"/>
          <w:sz w:val="28"/>
          <w:szCs w:val="28"/>
        </w:rPr>
        <w:t xml:space="preserve">todos </w:t>
      </w:r>
      <w:r w:rsidRPr="00D61E7E">
        <w:rPr>
          <w:rFonts w:ascii="Times New Roman" w:hAnsi="Times New Roman" w:cs="Times New Roman"/>
          <w:sz w:val="28"/>
          <w:szCs w:val="28"/>
        </w:rPr>
        <w:t>los contr</w:t>
      </w:r>
      <w:r w:rsidRPr="00D61E7E">
        <w:rPr>
          <w:rFonts w:ascii="Times New Roman" w:hAnsi="Times New Roman" w:cs="Times New Roman"/>
          <w:sz w:val="28"/>
          <w:szCs w:val="28"/>
        </w:rPr>
        <w:t>ibuyentes de cualquier tributo nacional o territorial</w:t>
      </w:r>
      <w:r w:rsidRPr="00D61E7E">
        <w:rPr>
          <w:rFonts w:ascii="Times New Roman" w:hAnsi="Times New Roman" w:cs="Times New Roman"/>
          <w:sz w:val="28"/>
          <w:szCs w:val="28"/>
        </w:rPr>
        <w:t xml:space="preserve"> </w:t>
      </w:r>
      <w:r w:rsidRPr="00D61E7E">
        <w:rPr>
          <w:rFonts w:ascii="Times New Roman" w:hAnsi="Times New Roman" w:cs="Times New Roman"/>
          <w:sz w:val="28"/>
          <w:szCs w:val="28"/>
        </w:rPr>
        <w:t xml:space="preserve">que sean </w:t>
      </w:r>
      <w:r w:rsidRPr="00D61E7E">
        <w:rPr>
          <w:rFonts w:ascii="Times New Roman" w:hAnsi="Times New Roman" w:cs="Times New Roman"/>
          <w:sz w:val="28"/>
          <w:szCs w:val="28"/>
        </w:rPr>
        <w:t xml:space="preserve">sometidos a un procedimiento tributario </w:t>
      </w:r>
      <w:r w:rsidRPr="00D61E7E">
        <w:rPr>
          <w:rFonts w:ascii="Times New Roman" w:hAnsi="Times New Roman" w:cs="Times New Roman"/>
          <w:sz w:val="28"/>
          <w:szCs w:val="28"/>
        </w:rPr>
        <w:t xml:space="preserve">o aduanero </w:t>
      </w:r>
      <w:r w:rsidRPr="00D61E7E">
        <w:rPr>
          <w:rFonts w:ascii="Times New Roman" w:hAnsi="Times New Roman" w:cs="Times New Roman"/>
          <w:sz w:val="28"/>
          <w:szCs w:val="28"/>
        </w:rPr>
        <w:t xml:space="preserve">y a las pruebas previstas en el </w:t>
      </w:r>
      <w:r w:rsidRPr="00D61E7E">
        <w:rPr>
          <w:rFonts w:ascii="Times New Roman" w:hAnsi="Times New Roman" w:cs="Times New Roman"/>
          <w:sz w:val="28"/>
          <w:szCs w:val="28"/>
        </w:rPr>
        <w:t>mismo</w:t>
      </w:r>
      <w:r w:rsidRPr="00D61E7E">
        <w:rPr>
          <w:rFonts w:ascii="Times New Roman" w:hAnsi="Times New Roman" w:cs="Times New Roman"/>
          <w:sz w:val="28"/>
          <w:szCs w:val="28"/>
        </w:rPr>
        <w:t>;</w:t>
      </w:r>
      <w:r w:rsidRPr="00D61E7E">
        <w:rPr>
          <w:rFonts w:ascii="Times New Roman" w:hAnsi="Times New Roman" w:cs="Times New Roman"/>
          <w:sz w:val="28"/>
          <w:szCs w:val="28"/>
        </w:rPr>
        <w:t xml:space="preserve"> situación que </w:t>
      </w:r>
      <w:r w:rsidRPr="00D61E7E">
        <w:rPr>
          <w:rFonts w:ascii="Times New Roman" w:hAnsi="Times New Roman" w:cs="Times New Roman"/>
          <w:sz w:val="28"/>
          <w:szCs w:val="28"/>
        </w:rPr>
        <w:t>implic</w:t>
      </w:r>
      <w:r w:rsidRPr="00D61E7E">
        <w:rPr>
          <w:rFonts w:ascii="Times New Roman" w:hAnsi="Times New Roman" w:cs="Times New Roman"/>
          <w:sz w:val="28"/>
          <w:szCs w:val="28"/>
        </w:rPr>
        <w:t>a que</w:t>
      </w:r>
      <w:r w:rsidRPr="00D61E7E">
        <w:rPr>
          <w:rFonts w:ascii="Times New Roman" w:hAnsi="Times New Roman" w:cs="Times New Roman"/>
          <w:sz w:val="28"/>
          <w:szCs w:val="28"/>
        </w:rPr>
        <w:t xml:space="preserve"> dicha norma</w:t>
      </w:r>
      <w:r w:rsidRPr="00D61E7E">
        <w:rPr>
          <w:rFonts w:ascii="Times New Roman" w:hAnsi="Times New Roman" w:cs="Times New Roman"/>
          <w:sz w:val="28"/>
          <w:szCs w:val="28"/>
        </w:rPr>
        <w:t xml:space="preserve"> </w:t>
      </w:r>
      <w:r w:rsidRPr="00D61E7E">
        <w:rPr>
          <w:rFonts w:ascii="Times New Roman" w:hAnsi="Times New Roman" w:cs="Times New Roman"/>
          <w:sz w:val="28"/>
          <w:szCs w:val="28"/>
        </w:rPr>
        <w:t>tenga una naturaleza</w:t>
      </w:r>
      <w:r w:rsidRPr="00D61E7E">
        <w:rPr>
          <w:rFonts w:ascii="Times New Roman" w:hAnsi="Times New Roman" w:cs="Times New Roman"/>
          <w:sz w:val="28"/>
          <w:szCs w:val="28"/>
        </w:rPr>
        <w:t xml:space="preserve"> </w:t>
      </w:r>
      <w:r w:rsidRPr="00D61E7E">
        <w:rPr>
          <w:rFonts w:ascii="Times New Roman" w:hAnsi="Times New Roman" w:cs="Times New Roman"/>
          <w:i/>
          <w:iCs/>
          <w:sz w:val="28"/>
          <w:szCs w:val="28"/>
        </w:rPr>
        <w:t>sobre inclusiva</w:t>
      </w:r>
      <w:r w:rsidRPr="00D61E7E">
        <w:rPr>
          <w:rFonts w:ascii="Times New Roman" w:hAnsi="Times New Roman" w:cs="Times New Roman"/>
          <w:sz w:val="28"/>
          <w:szCs w:val="28"/>
        </w:rPr>
        <w:t xml:space="preserve">. </w:t>
      </w:r>
      <w:r w:rsidRPr="00D61E7E">
        <w:rPr>
          <w:rFonts w:ascii="Times New Roman" w:hAnsi="Times New Roman" w:cs="Times New Roman"/>
          <w:sz w:val="28"/>
          <w:szCs w:val="28"/>
        </w:rPr>
        <w:t xml:space="preserve">La Sentencia C-113 de 2024 reconoce dicha </w:t>
      </w:r>
      <w:r w:rsidRPr="00D61E7E">
        <w:rPr>
          <w:rFonts w:ascii="Times New Roman" w:hAnsi="Times New Roman" w:cs="Times New Roman"/>
          <w:i/>
          <w:iCs/>
          <w:sz w:val="28"/>
          <w:szCs w:val="28"/>
        </w:rPr>
        <w:t xml:space="preserve">sobre inclusividad </w:t>
      </w:r>
      <w:r w:rsidRPr="00D61E7E">
        <w:rPr>
          <w:rFonts w:ascii="Times New Roman" w:hAnsi="Times New Roman" w:cs="Times New Roman"/>
          <w:sz w:val="28"/>
          <w:szCs w:val="28"/>
        </w:rPr>
        <w:t xml:space="preserve">(párrafos 86 y 87), pero descarta su relevancia de cara al análisis del principio de unidad de materia, con base en argumentos sobre los cuales tenemos algunas discrepancias que se expondrán más </w:t>
      </w:r>
      <w:r w:rsidRPr="00D61E7E">
        <w:rPr>
          <w:rFonts w:ascii="Times New Roman" w:hAnsi="Times New Roman" w:cs="Times New Roman"/>
          <w:sz w:val="28"/>
          <w:szCs w:val="28"/>
        </w:rPr>
        <w:t>adelante.</w:t>
      </w:r>
    </w:p>
    <w:p w:rsidR="00F22649" w:rsidRPr="00D61E7E" w:rsidRDefault="00D61E7E" w:rsidP="00963AB1">
      <w:pPr>
        <w:pStyle w:val="Prrafodelista"/>
        <w:spacing w:line="240" w:lineRule="auto"/>
        <w:rPr>
          <w:rFonts w:ascii="Times New Roman" w:hAnsi="Times New Roman" w:cs="Times New Roman"/>
          <w:sz w:val="28"/>
          <w:szCs w:val="28"/>
        </w:rPr>
      </w:pPr>
    </w:p>
    <w:p w:rsidR="00694DE0" w:rsidRPr="00D61E7E" w:rsidRDefault="00D61E7E" w:rsidP="003F6EFD">
      <w:pPr>
        <w:pStyle w:val="Prrafodelista"/>
        <w:numPr>
          <w:ilvl w:val="0"/>
          <w:numId w:val="5"/>
        </w:numPr>
        <w:shd w:val="clear" w:color="auto" w:fill="FFFFFF"/>
        <w:spacing w:after="0" w:line="240" w:lineRule="auto"/>
        <w:ind w:left="0" w:firstLine="0"/>
        <w:rPr>
          <w:rFonts w:ascii="Times New Roman" w:hAnsi="Times New Roman" w:cs="Times New Roman"/>
          <w:sz w:val="28"/>
          <w:szCs w:val="28"/>
        </w:rPr>
      </w:pPr>
      <w:r w:rsidRPr="00D61E7E">
        <w:rPr>
          <w:rFonts w:ascii="Times New Roman" w:hAnsi="Times New Roman" w:cs="Times New Roman"/>
          <w:sz w:val="28"/>
          <w:szCs w:val="28"/>
        </w:rPr>
        <w:t xml:space="preserve">De otro lado, </w:t>
      </w:r>
      <w:r w:rsidRPr="00D61E7E">
        <w:rPr>
          <w:rFonts w:ascii="Times New Roman" w:hAnsi="Times New Roman" w:cs="Times New Roman"/>
          <w:sz w:val="28"/>
          <w:szCs w:val="28"/>
        </w:rPr>
        <w:t xml:space="preserve">es </w:t>
      </w:r>
      <w:r w:rsidRPr="00D61E7E">
        <w:rPr>
          <w:rFonts w:ascii="Times New Roman" w:hAnsi="Times New Roman" w:cs="Times New Roman"/>
          <w:sz w:val="28"/>
          <w:szCs w:val="28"/>
        </w:rPr>
        <w:t>e</w:t>
      </w:r>
      <w:r w:rsidRPr="00D61E7E">
        <w:rPr>
          <w:rFonts w:ascii="Times New Roman" w:hAnsi="Times New Roman" w:cs="Times New Roman"/>
          <w:sz w:val="28"/>
          <w:szCs w:val="28"/>
        </w:rPr>
        <w:t>vidente</w:t>
      </w:r>
      <w:r w:rsidRPr="00D61E7E">
        <w:rPr>
          <w:rFonts w:ascii="Times New Roman" w:hAnsi="Times New Roman" w:cs="Times New Roman"/>
          <w:sz w:val="28"/>
          <w:szCs w:val="28"/>
        </w:rPr>
        <w:t xml:space="preserve"> que </w:t>
      </w:r>
      <w:r w:rsidRPr="00D61E7E">
        <w:rPr>
          <w:rFonts w:ascii="Times New Roman" w:hAnsi="Times New Roman" w:cs="Times New Roman"/>
          <w:sz w:val="28"/>
          <w:szCs w:val="28"/>
        </w:rPr>
        <w:t xml:space="preserve">el artículo 73 de la Ley 2069 de 2020 </w:t>
      </w:r>
      <w:r w:rsidRPr="00D61E7E">
        <w:rPr>
          <w:rFonts w:ascii="Times New Roman" w:hAnsi="Times New Roman" w:cs="Times New Roman"/>
          <w:sz w:val="28"/>
          <w:szCs w:val="28"/>
        </w:rPr>
        <w:t xml:space="preserve">tiene por </w:t>
      </w:r>
      <w:r w:rsidRPr="00D61E7E">
        <w:rPr>
          <w:rFonts w:ascii="Times New Roman" w:hAnsi="Times New Roman" w:cs="Times New Roman"/>
          <w:i/>
          <w:iCs/>
          <w:sz w:val="28"/>
          <w:szCs w:val="28"/>
        </w:rPr>
        <w:t>finalidad</w:t>
      </w:r>
      <w:r w:rsidRPr="00D61E7E">
        <w:rPr>
          <w:rFonts w:ascii="Times New Roman" w:hAnsi="Times New Roman" w:cs="Times New Roman"/>
          <w:sz w:val="28"/>
          <w:szCs w:val="28"/>
        </w:rPr>
        <w:t xml:space="preserve"> extender</w:t>
      </w:r>
      <w:r w:rsidRPr="00D61E7E">
        <w:rPr>
          <w:rFonts w:ascii="Times New Roman" w:hAnsi="Times New Roman" w:cs="Times New Roman"/>
          <w:sz w:val="28"/>
          <w:szCs w:val="28"/>
        </w:rPr>
        <w:t xml:space="preserve"> los efectos de los artículos 5, 6, 7, y 8 del Decreto Legislativo 807 de 2020</w:t>
      </w:r>
      <w:r w:rsidRPr="00D61E7E">
        <w:rPr>
          <w:rStyle w:val="Refdenotaalpie"/>
          <w:rFonts w:ascii="Times New Roman" w:hAnsi="Times New Roman" w:cs="Times New Roman"/>
          <w:sz w:val="28"/>
          <w:szCs w:val="28"/>
        </w:rPr>
        <w:footnoteReference w:id="55"/>
      </w:r>
      <w:r w:rsidRPr="00D61E7E">
        <w:rPr>
          <w:rFonts w:ascii="Times New Roman" w:hAnsi="Times New Roman" w:cs="Times New Roman"/>
          <w:sz w:val="28"/>
          <w:szCs w:val="28"/>
        </w:rPr>
        <w:t xml:space="preserve">. Este último </w:t>
      </w:r>
      <w:r w:rsidRPr="00D61E7E">
        <w:rPr>
          <w:rFonts w:ascii="Times New Roman" w:hAnsi="Times New Roman" w:cs="Times New Roman"/>
          <w:sz w:val="28"/>
          <w:szCs w:val="28"/>
        </w:rPr>
        <w:t xml:space="preserve">fue emitido en el marco del estado de emergencia económica, social y ecológica por Covid-19 </w:t>
      </w:r>
      <w:r w:rsidRPr="00D61E7E">
        <w:rPr>
          <w:rFonts w:ascii="Times New Roman" w:hAnsi="Times New Roman" w:cs="Times New Roman"/>
          <w:sz w:val="28"/>
          <w:szCs w:val="28"/>
        </w:rPr>
        <w:t>con el fin de</w:t>
      </w:r>
      <w:r w:rsidRPr="00D61E7E">
        <w:rPr>
          <w:rFonts w:ascii="Times New Roman" w:hAnsi="Times New Roman" w:cs="Times New Roman"/>
          <w:sz w:val="28"/>
          <w:szCs w:val="28"/>
        </w:rPr>
        <w:t xml:space="preserve"> evitar </w:t>
      </w:r>
      <w:r w:rsidRPr="00D61E7E">
        <w:rPr>
          <w:rFonts w:ascii="Times New Roman" w:hAnsi="Times New Roman" w:cs="Times New Roman"/>
          <w:sz w:val="28"/>
          <w:szCs w:val="28"/>
        </w:rPr>
        <w:t>la practica presencial de</w:t>
      </w:r>
      <w:r w:rsidRPr="00D61E7E">
        <w:rPr>
          <w:rFonts w:ascii="Times New Roman" w:hAnsi="Times New Roman" w:cs="Times New Roman"/>
          <w:sz w:val="28"/>
          <w:szCs w:val="28"/>
        </w:rPr>
        <w:t xml:space="preserve"> </w:t>
      </w:r>
      <w:r w:rsidRPr="00D61E7E">
        <w:rPr>
          <w:rFonts w:ascii="Times New Roman" w:hAnsi="Times New Roman" w:cs="Times New Roman"/>
          <w:sz w:val="28"/>
          <w:szCs w:val="28"/>
        </w:rPr>
        <w:t xml:space="preserve">inspecciones </w:t>
      </w:r>
      <w:r w:rsidRPr="00D61E7E">
        <w:rPr>
          <w:rFonts w:ascii="Times New Roman" w:hAnsi="Times New Roman" w:cs="Times New Roman"/>
          <w:sz w:val="28"/>
          <w:szCs w:val="28"/>
        </w:rPr>
        <w:t xml:space="preserve">tributarias y contables </w:t>
      </w:r>
      <w:r w:rsidRPr="00D61E7E">
        <w:rPr>
          <w:rFonts w:ascii="Times New Roman" w:hAnsi="Times New Roman" w:cs="Times New Roman"/>
          <w:sz w:val="28"/>
          <w:szCs w:val="28"/>
        </w:rPr>
        <w:t>y</w:t>
      </w:r>
      <w:r w:rsidRPr="00D61E7E">
        <w:rPr>
          <w:rFonts w:ascii="Times New Roman" w:hAnsi="Times New Roman" w:cs="Times New Roman"/>
          <w:sz w:val="28"/>
          <w:szCs w:val="28"/>
        </w:rPr>
        <w:t xml:space="preserve"> de</w:t>
      </w:r>
      <w:r w:rsidRPr="00D61E7E">
        <w:rPr>
          <w:rFonts w:ascii="Times New Roman" w:hAnsi="Times New Roman" w:cs="Times New Roman"/>
          <w:sz w:val="28"/>
          <w:szCs w:val="28"/>
        </w:rPr>
        <w:t xml:space="preserve"> visitas administrativas realizadas en el marco de procesos de fiscalización</w:t>
      </w:r>
      <w:r w:rsidRPr="00D61E7E">
        <w:rPr>
          <w:rFonts w:ascii="Times New Roman" w:hAnsi="Times New Roman" w:cs="Times New Roman"/>
          <w:sz w:val="28"/>
          <w:szCs w:val="28"/>
        </w:rPr>
        <w:t xml:space="preserve"> tributaria y aduanera</w:t>
      </w:r>
      <w:r w:rsidRPr="00D61E7E">
        <w:rPr>
          <w:rFonts w:ascii="Times New Roman" w:hAnsi="Times New Roman" w:cs="Times New Roman"/>
          <w:sz w:val="28"/>
          <w:szCs w:val="28"/>
        </w:rPr>
        <w:t xml:space="preserve"> y así,</w:t>
      </w:r>
      <w:r w:rsidRPr="00D61E7E">
        <w:rPr>
          <w:rFonts w:ascii="Times New Roman" w:hAnsi="Times New Roman" w:cs="Times New Roman"/>
          <w:sz w:val="28"/>
          <w:szCs w:val="28"/>
        </w:rPr>
        <w:t xml:space="preserve"> contrarrestar los contagios, como una forma de materializar el principio de </w:t>
      </w:r>
      <w:r w:rsidRPr="00D61E7E">
        <w:rPr>
          <w:rFonts w:ascii="Times New Roman" w:hAnsi="Times New Roman" w:cs="Times New Roman"/>
          <w:i/>
          <w:iCs/>
          <w:sz w:val="28"/>
          <w:szCs w:val="28"/>
        </w:rPr>
        <w:t>eficiencia administrativa</w:t>
      </w:r>
      <w:r w:rsidRPr="00D61E7E">
        <w:rPr>
          <w:rFonts w:ascii="Times New Roman" w:hAnsi="Times New Roman" w:cs="Times New Roman"/>
          <w:sz w:val="28"/>
          <w:szCs w:val="28"/>
        </w:rPr>
        <w:t xml:space="preserve"> en favor de todos los contribuyentes. </w:t>
      </w:r>
    </w:p>
    <w:p w:rsidR="00694DE0" w:rsidRPr="00D61E7E" w:rsidRDefault="00D61E7E" w:rsidP="00694DE0">
      <w:pPr>
        <w:pStyle w:val="Prrafodelista"/>
        <w:rPr>
          <w:rFonts w:ascii="Times New Roman" w:hAnsi="Times New Roman" w:cs="Times New Roman"/>
          <w:sz w:val="28"/>
          <w:szCs w:val="28"/>
        </w:rPr>
      </w:pPr>
    </w:p>
    <w:p w:rsidR="00F22649" w:rsidRPr="00D61E7E" w:rsidRDefault="00D61E7E" w:rsidP="003F6EFD">
      <w:pPr>
        <w:pStyle w:val="Prrafodelista"/>
        <w:numPr>
          <w:ilvl w:val="0"/>
          <w:numId w:val="5"/>
        </w:numPr>
        <w:shd w:val="clear" w:color="auto" w:fill="FFFFFF"/>
        <w:spacing w:after="0" w:line="240" w:lineRule="auto"/>
        <w:ind w:left="0" w:firstLine="0"/>
        <w:rPr>
          <w:rFonts w:ascii="Times New Roman" w:hAnsi="Times New Roman" w:cs="Times New Roman"/>
          <w:sz w:val="28"/>
          <w:szCs w:val="28"/>
        </w:rPr>
      </w:pPr>
      <w:r w:rsidRPr="00D61E7E">
        <w:rPr>
          <w:rFonts w:ascii="Times New Roman" w:hAnsi="Times New Roman" w:cs="Times New Roman"/>
          <w:sz w:val="28"/>
          <w:szCs w:val="28"/>
        </w:rPr>
        <w:t xml:space="preserve">Ello </w:t>
      </w:r>
      <w:r w:rsidRPr="00D61E7E">
        <w:rPr>
          <w:rFonts w:ascii="Times New Roman" w:hAnsi="Times New Roman" w:cs="Times New Roman"/>
          <w:sz w:val="28"/>
          <w:szCs w:val="28"/>
        </w:rPr>
        <w:t xml:space="preserve">se </w:t>
      </w:r>
      <w:r w:rsidRPr="00D61E7E">
        <w:rPr>
          <w:rFonts w:ascii="Times New Roman" w:hAnsi="Times New Roman" w:cs="Times New Roman"/>
          <w:sz w:val="28"/>
          <w:szCs w:val="28"/>
        </w:rPr>
        <w:t>resaltó</w:t>
      </w:r>
      <w:r w:rsidRPr="00D61E7E">
        <w:rPr>
          <w:rFonts w:ascii="Times New Roman" w:hAnsi="Times New Roman" w:cs="Times New Roman"/>
          <w:sz w:val="28"/>
          <w:szCs w:val="28"/>
        </w:rPr>
        <w:t xml:space="preserve"> en la Sentencia C-394 de 2020</w:t>
      </w:r>
      <w:r w:rsidRPr="00D61E7E">
        <w:rPr>
          <w:rStyle w:val="Refdenotaalpie"/>
          <w:rFonts w:ascii="Times New Roman" w:hAnsi="Times New Roman" w:cs="Times New Roman"/>
          <w:sz w:val="28"/>
          <w:szCs w:val="28"/>
        </w:rPr>
        <w:footnoteReference w:id="56"/>
      </w:r>
      <w:r w:rsidRPr="00D61E7E">
        <w:rPr>
          <w:rFonts w:ascii="Times New Roman" w:hAnsi="Times New Roman" w:cs="Times New Roman"/>
          <w:sz w:val="28"/>
          <w:szCs w:val="28"/>
        </w:rPr>
        <w:t xml:space="preserve"> que </w:t>
      </w:r>
      <w:r w:rsidRPr="00D61E7E">
        <w:rPr>
          <w:rFonts w:ascii="Times New Roman" w:hAnsi="Times New Roman" w:cs="Times New Roman"/>
          <w:sz w:val="28"/>
          <w:szCs w:val="28"/>
        </w:rPr>
        <w:t xml:space="preserve">efectúo </w:t>
      </w:r>
      <w:r w:rsidRPr="00D61E7E">
        <w:rPr>
          <w:rFonts w:ascii="Times New Roman" w:hAnsi="Times New Roman" w:cs="Times New Roman"/>
          <w:sz w:val="28"/>
          <w:szCs w:val="28"/>
        </w:rPr>
        <w:t xml:space="preserve">el escrutinio constitucional </w:t>
      </w:r>
      <w:r w:rsidRPr="00D61E7E">
        <w:rPr>
          <w:rFonts w:ascii="Times New Roman" w:hAnsi="Times New Roman" w:cs="Times New Roman"/>
          <w:sz w:val="28"/>
          <w:szCs w:val="28"/>
        </w:rPr>
        <w:t>del Decreto Legislativo 807 de 2020</w:t>
      </w:r>
      <w:r w:rsidRPr="00D61E7E">
        <w:rPr>
          <w:rFonts w:ascii="Times New Roman" w:hAnsi="Times New Roman" w:cs="Times New Roman"/>
          <w:sz w:val="28"/>
          <w:szCs w:val="28"/>
        </w:rPr>
        <w:t xml:space="preserve"> </w:t>
      </w:r>
      <w:r w:rsidRPr="00D61E7E">
        <w:rPr>
          <w:rFonts w:ascii="Times New Roman" w:hAnsi="Times New Roman" w:cs="Times New Roman"/>
          <w:sz w:val="28"/>
          <w:szCs w:val="28"/>
        </w:rPr>
        <w:t>(</w:t>
      </w:r>
      <w:r w:rsidRPr="00D61E7E">
        <w:rPr>
          <w:rFonts w:ascii="Times New Roman" w:hAnsi="Times New Roman" w:cs="Times New Roman"/>
          <w:sz w:val="28"/>
          <w:szCs w:val="28"/>
        </w:rPr>
        <w:t>regulado a su vez por</w:t>
      </w:r>
      <w:r w:rsidRPr="00D61E7E">
        <w:rPr>
          <w:rFonts w:ascii="Times New Roman" w:hAnsi="Times New Roman" w:cs="Times New Roman"/>
          <w:sz w:val="28"/>
          <w:szCs w:val="28"/>
        </w:rPr>
        <w:t xml:space="preserve"> la Resolución 79 del 24 de julio de 2020</w:t>
      </w:r>
      <w:r w:rsidRPr="00D61E7E">
        <w:rPr>
          <w:rStyle w:val="Refdenotaalpie"/>
          <w:rFonts w:ascii="Times New Roman" w:hAnsi="Times New Roman" w:cs="Times New Roman"/>
          <w:sz w:val="28"/>
          <w:szCs w:val="28"/>
        </w:rPr>
        <w:footnoteReference w:id="57"/>
      </w:r>
      <w:r w:rsidRPr="00D61E7E">
        <w:rPr>
          <w:rFonts w:ascii="Times New Roman" w:hAnsi="Times New Roman" w:cs="Times New Roman"/>
          <w:sz w:val="28"/>
          <w:szCs w:val="28"/>
        </w:rPr>
        <w:t xml:space="preserve"> </w:t>
      </w:r>
      <w:r w:rsidRPr="00D61E7E">
        <w:rPr>
          <w:rFonts w:ascii="Times New Roman" w:hAnsi="Times New Roman" w:cs="Times New Roman"/>
          <w:sz w:val="28"/>
          <w:szCs w:val="28"/>
        </w:rPr>
        <w:t>de</w:t>
      </w:r>
      <w:r w:rsidRPr="00D61E7E">
        <w:rPr>
          <w:rFonts w:ascii="Times New Roman" w:hAnsi="Times New Roman" w:cs="Times New Roman"/>
          <w:sz w:val="28"/>
          <w:szCs w:val="28"/>
        </w:rPr>
        <w:t xml:space="preserve"> la DIAN), en la que se indicó que la virtualización en la práctica de </w:t>
      </w:r>
      <w:r w:rsidRPr="00D61E7E">
        <w:rPr>
          <w:rFonts w:ascii="Times New Roman" w:hAnsi="Times New Roman" w:cs="Times New Roman"/>
          <w:sz w:val="28"/>
          <w:szCs w:val="28"/>
        </w:rPr>
        <w:t xml:space="preserve">tales </w:t>
      </w:r>
      <w:r w:rsidRPr="00D61E7E">
        <w:rPr>
          <w:rFonts w:ascii="Times New Roman" w:hAnsi="Times New Roman" w:cs="Times New Roman"/>
          <w:sz w:val="28"/>
          <w:szCs w:val="28"/>
        </w:rPr>
        <w:t xml:space="preserve">pruebas también maximizaba la </w:t>
      </w:r>
      <w:r w:rsidRPr="00D61E7E">
        <w:rPr>
          <w:rFonts w:ascii="Times New Roman" w:hAnsi="Times New Roman" w:cs="Times New Roman"/>
          <w:i/>
          <w:iCs/>
          <w:sz w:val="28"/>
          <w:szCs w:val="28"/>
        </w:rPr>
        <w:t>eficiencia admini</w:t>
      </w:r>
      <w:r w:rsidRPr="00D61E7E">
        <w:rPr>
          <w:rFonts w:ascii="Times New Roman" w:hAnsi="Times New Roman" w:cs="Times New Roman"/>
          <w:i/>
          <w:iCs/>
          <w:sz w:val="28"/>
          <w:szCs w:val="28"/>
        </w:rPr>
        <w:t>strativa</w:t>
      </w:r>
      <w:r w:rsidRPr="00D61E7E">
        <w:rPr>
          <w:rFonts w:ascii="Times New Roman" w:hAnsi="Times New Roman" w:cs="Times New Roman"/>
          <w:sz w:val="28"/>
          <w:szCs w:val="28"/>
        </w:rPr>
        <w:t xml:space="preserve">, </w:t>
      </w:r>
      <w:r w:rsidRPr="00D61E7E">
        <w:rPr>
          <w:rFonts w:ascii="Times New Roman" w:hAnsi="Times New Roman" w:cs="Times New Roman"/>
          <w:sz w:val="28"/>
          <w:szCs w:val="28"/>
        </w:rPr>
        <w:t>produciendo</w:t>
      </w:r>
      <w:r w:rsidRPr="00D61E7E">
        <w:rPr>
          <w:rFonts w:ascii="Times New Roman" w:hAnsi="Times New Roman" w:cs="Times New Roman"/>
          <w:sz w:val="28"/>
          <w:szCs w:val="28"/>
        </w:rPr>
        <w:t xml:space="preserve"> </w:t>
      </w:r>
      <w:r w:rsidRPr="00D61E7E">
        <w:rPr>
          <w:rFonts w:ascii="Times New Roman" w:hAnsi="Times New Roman" w:cs="Times New Roman"/>
          <w:sz w:val="28"/>
          <w:szCs w:val="28"/>
        </w:rPr>
        <w:t xml:space="preserve">beneficios </w:t>
      </w:r>
      <w:r w:rsidRPr="00D61E7E">
        <w:rPr>
          <w:rFonts w:ascii="Times New Roman" w:hAnsi="Times New Roman" w:cs="Times New Roman"/>
          <w:iCs/>
          <w:sz w:val="28"/>
          <w:szCs w:val="28"/>
        </w:rPr>
        <w:t>en general</w:t>
      </w:r>
      <w:r w:rsidRPr="00D61E7E">
        <w:rPr>
          <w:rFonts w:ascii="Times New Roman" w:hAnsi="Times New Roman" w:cs="Times New Roman"/>
          <w:sz w:val="28"/>
          <w:szCs w:val="28"/>
        </w:rPr>
        <w:t xml:space="preserve"> a la Administración Tributaria y a todos los contribuyentes.</w:t>
      </w:r>
      <w:r w:rsidRPr="00D61E7E">
        <w:rPr>
          <w:rFonts w:ascii="Times New Roman" w:hAnsi="Times New Roman" w:cs="Times New Roman"/>
          <w:sz w:val="28"/>
          <w:szCs w:val="28"/>
        </w:rPr>
        <w:t xml:space="preserve"> En otras palabras, la misma exposición de motivos del Decreto </w:t>
      </w:r>
      <w:r w:rsidRPr="00D61E7E">
        <w:rPr>
          <w:rFonts w:ascii="Times New Roman" w:hAnsi="Times New Roman" w:cs="Times New Roman"/>
          <w:sz w:val="28"/>
          <w:szCs w:val="28"/>
        </w:rPr>
        <w:t xml:space="preserve">Legislativo </w:t>
      </w:r>
      <w:r w:rsidRPr="00D61E7E">
        <w:rPr>
          <w:rFonts w:ascii="Times New Roman" w:hAnsi="Times New Roman" w:cs="Times New Roman"/>
          <w:sz w:val="28"/>
          <w:szCs w:val="28"/>
        </w:rPr>
        <w:t xml:space="preserve">807 de 2020 que instituyó por primera vez la virtualidad en la práctica de </w:t>
      </w:r>
      <w:r w:rsidRPr="00D61E7E">
        <w:rPr>
          <w:rFonts w:ascii="Times New Roman" w:hAnsi="Times New Roman" w:cs="Times New Roman"/>
          <w:sz w:val="28"/>
          <w:szCs w:val="28"/>
        </w:rPr>
        <w:t>la</w:t>
      </w:r>
      <w:r w:rsidRPr="00D61E7E">
        <w:rPr>
          <w:rFonts w:ascii="Times New Roman" w:hAnsi="Times New Roman" w:cs="Times New Roman"/>
          <w:sz w:val="28"/>
          <w:szCs w:val="28"/>
        </w:rPr>
        <w:t xml:space="preserve">s pruebas de inspección </w:t>
      </w:r>
      <w:r w:rsidRPr="00D61E7E">
        <w:rPr>
          <w:rFonts w:ascii="Times New Roman" w:hAnsi="Times New Roman" w:cs="Times New Roman"/>
          <w:sz w:val="28"/>
          <w:szCs w:val="28"/>
        </w:rPr>
        <w:t xml:space="preserve">tributaria y contable </w:t>
      </w:r>
      <w:r w:rsidRPr="00D61E7E">
        <w:rPr>
          <w:rFonts w:ascii="Times New Roman" w:hAnsi="Times New Roman" w:cs="Times New Roman"/>
          <w:sz w:val="28"/>
          <w:szCs w:val="28"/>
        </w:rPr>
        <w:t xml:space="preserve">y visita administrativa en materia tributaria y aduanera, así como </w:t>
      </w:r>
      <w:r w:rsidRPr="00D61E7E">
        <w:rPr>
          <w:rFonts w:ascii="Times New Roman" w:hAnsi="Times New Roman" w:cs="Times New Roman"/>
          <w:sz w:val="28"/>
          <w:szCs w:val="28"/>
        </w:rPr>
        <w:t>el Decre</w:t>
      </w:r>
      <w:r w:rsidRPr="00D61E7E">
        <w:rPr>
          <w:rFonts w:ascii="Times New Roman" w:hAnsi="Times New Roman" w:cs="Times New Roman"/>
          <w:sz w:val="28"/>
          <w:szCs w:val="28"/>
        </w:rPr>
        <w:t>to 79 de 2020 que lo reglamentó</w:t>
      </w:r>
      <w:r w:rsidRPr="00D61E7E">
        <w:rPr>
          <w:rFonts w:ascii="Times New Roman" w:hAnsi="Times New Roman" w:cs="Times New Roman"/>
          <w:sz w:val="28"/>
          <w:szCs w:val="28"/>
        </w:rPr>
        <w:t>,</w:t>
      </w:r>
      <w:r w:rsidRPr="00D61E7E">
        <w:rPr>
          <w:rFonts w:ascii="Times New Roman" w:hAnsi="Times New Roman" w:cs="Times New Roman"/>
          <w:sz w:val="28"/>
          <w:szCs w:val="28"/>
        </w:rPr>
        <w:t xml:space="preserve"> son coincidentes en indicar que su finalidad no era la de</w:t>
      </w:r>
      <w:r w:rsidRPr="00D61E7E">
        <w:rPr>
          <w:rFonts w:ascii="Times New Roman" w:hAnsi="Times New Roman" w:cs="Times New Roman"/>
          <w:sz w:val="28"/>
          <w:szCs w:val="28"/>
        </w:rPr>
        <w:t xml:space="preserve"> promover el emprendimiento</w:t>
      </w:r>
      <w:r w:rsidRPr="00D61E7E">
        <w:rPr>
          <w:rFonts w:ascii="Times New Roman" w:hAnsi="Times New Roman" w:cs="Times New Roman"/>
          <w:sz w:val="28"/>
          <w:szCs w:val="28"/>
        </w:rPr>
        <w:t>,</w:t>
      </w:r>
      <w:r w:rsidRPr="00D61E7E">
        <w:rPr>
          <w:rFonts w:ascii="Times New Roman" w:hAnsi="Times New Roman" w:cs="Times New Roman"/>
          <w:sz w:val="28"/>
          <w:szCs w:val="28"/>
        </w:rPr>
        <w:t xml:space="preserve"> sino facilitar la labor de la DIAN y maximizar la eficiencia administrativa.</w:t>
      </w:r>
    </w:p>
    <w:p w:rsidR="00F22649" w:rsidRPr="00D61E7E" w:rsidRDefault="00D61E7E" w:rsidP="00687B13">
      <w:pPr>
        <w:pStyle w:val="Prrafodelista"/>
        <w:tabs>
          <w:tab w:val="left" w:pos="3759"/>
        </w:tabs>
        <w:spacing w:line="240" w:lineRule="auto"/>
        <w:rPr>
          <w:rFonts w:ascii="Times New Roman" w:hAnsi="Times New Roman" w:cs="Times New Roman"/>
          <w:sz w:val="28"/>
          <w:szCs w:val="28"/>
        </w:rPr>
      </w:pPr>
      <w:r w:rsidRPr="00D61E7E">
        <w:rPr>
          <w:rFonts w:ascii="Times New Roman" w:hAnsi="Times New Roman" w:cs="Times New Roman"/>
          <w:sz w:val="28"/>
          <w:szCs w:val="28"/>
        </w:rPr>
        <w:tab/>
      </w:r>
    </w:p>
    <w:p w:rsidR="00C802FE" w:rsidRPr="00D61E7E" w:rsidRDefault="00D61E7E" w:rsidP="00C802FE">
      <w:pPr>
        <w:pStyle w:val="Prrafodelista"/>
        <w:numPr>
          <w:ilvl w:val="0"/>
          <w:numId w:val="5"/>
        </w:numPr>
        <w:shd w:val="clear" w:color="auto" w:fill="FFFFFF"/>
        <w:spacing w:after="0" w:line="240" w:lineRule="auto"/>
        <w:ind w:left="0" w:firstLine="0"/>
        <w:rPr>
          <w:rFonts w:ascii="Times New Roman" w:hAnsi="Times New Roman" w:cs="Times New Roman"/>
          <w:sz w:val="28"/>
          <w:szCs w:val="28"/>
        </w:rPr>
      </w:pPr>
      <w:r w:rsidRPr="00D61E7E">
        <w:rPr>
          <w:rFonts w:ascii="Times New Roman" w:hAnsi="Times New Roman" w:cs="Times New Roman"/>
          <w:sz w:val="28"/>
          <w:szCs w:val="28"/>
        </w:rPr>
        <w:t xml:space="preserve">Con base en los anteriores elementos, al </w:t>
      </w:r>
      <w:r w:rsidRPr="00D61E7E">
        <w:rPr>
          <w:rFonts w:ascii="Times New Roman" w:hAnsi="Times New Roman" w:cs="Times New Roman"/>
          <w:sz w:val="28"/>
          <w:szCs w:val="28"/>
        </w:rPr>
        <w:t xml:space="preserve">llegar al </w:t>
      </w:r>
      <w:r w:rsidRPr="00D61E7E">
        <w:rPr>
          <w:rFonts w:ascii="Times New Roman" w:hAnsi="Times New Roman" w:cs="Times New Roman"/>
          <w:b/>
          <w:bCs/>
          <w:i/>
          <w:iCs/>
          <w:sz w:val="28"/>
          <w:szCs w:val="28"/>
        </w:rPr>
        <w:t>tercer punto</w:t>
      </w:r>
      <w:r w:rsidRPr="00D61E7E">
        <w:rPr>
          <w:rFonts w:ascii="Times New Roman" w:hAnsi="Times New Roman" w:cs="Times New Roman"/>
          <w:sz w:val="28"/>
          <w:szCs w:val="28"/>
        </w:rPr>
        <w:t xml:space="preserve"> y </w:t>
      </w:r>
      <w:r w:rsidRPr="00D61E7E">
        <w:rPr>
          <w:rFonts w:ascii="Times New Roman" w:hAnsi="Times New Roman" w:cs="Times New Roman"/>
          <w:sz w:val="28"/>
          <w:szCs w:val="28"/>
        </w:rPr>
        <w:t xml:space="preserve">efectuar </w:t>
      </w:r>
      <w:r w:rsidRPr="00D61E7E">
        <w:rPr>
          <w:rFonts w:ascii="Times New Roman" w:hAnsi="Times New Roman" w:cs="Times New Roman"/>
          <w:sz w:val="28"/>
          <w:szCs w:val="28"/>
        </w:rPr>
        <w:t>el análisis de conexidad</w:t>
      </w:r>
      <w:r w:rsidRPr="00D61E7E">
        <w:rPr>
          <w:rFonts w:ascii="Times New Roman" w:hAnsi="Times New Roman" w:cs="Times New Roman"/>
          <w:sz w:val="28"/>
          <w:szCs w:val="28"/>
        </w:rPr>
        <w:t xml:space="preserve">, estimamos que la </w:t>
      </w:r>
      <w:r w:rsidRPr="00D61E7E">
        <w:rPr>
          <w:rFonts w:ascii="Times New Roman" w:hAnsi="Times New Roman" w:cs="Times New Roman"/>
          <w:sz w:val="28"/>
          <w:szCs w:val="28"/>
        </w:rPr>
        <w:t>mayo</w:t>
      </w:r>
      <w:r w:rsidRPr="00D61E7E">
        <w:rPr>
          <w:rFonts w:ascii="Times New Roman" w:hAnsi="Times New Roman" w:cs="Times New Roman"/>
          <w:sz w:val="28"/>
          <w:szCs w:val="28"/>
        </w:rPr>
        <w:t>r</w:t>
      </w:r>
      <w:r w:rsidRPr="00D61E7E">
        <w:rPr>
          <w:rFonts w:ascii="Times New Roman" w:hAnsi="Times New Roman" w:cs="Times New Roman"/>
          <w:sz w:val="28"/>
          <w:szCs w:val="28"/>
        </w:rPr>
        <w:t>ía de la Sala</w:t>
      </w:r>
      <w:r w:rsidRPr="00D61E7E">
        <w:rPr>
          <w:rFonts w:ascii="Times New Roman" w:hAnsi="Times New Roman" w:cs="Times New Roman"/>
          <w:sz w:val="28"/>
          <w:szCs w:val="28"/>
        </w:rPr>
        <w:t xml:space="preserve"> debió concluir con una </w:t>
      </w:r>
      <w:r w:rsidRPr="00D61E7E">
        <w:rPr>
          <w:rFonts w:ascii="Times New Roman" w:hAnsi="Times New Roman" w:cs="Times New Roman"/>
          <w:sz w:val="28"/>
          <w:szCs w:val="28"/>
        </w:rPr>
        <w:t xml:space="preserve">decisión de </w:t>
      </w:r>
      <w:r w:rsidRPr="00D61E7E">
        <w:rPr>
          <w:rFonts w:ascii="Times New Roman" w:hAnsi="Times New Roman" w:cs="Times New Roman"/>
          <w:sz w:val="28"/>
          <w:szCs w:val="28"/>
        </w:rPr>
        <w:t>inexequibilidad del artículo 73 de la Ley 2069 de 2020</w:t>
      </w:r>
      <w:r w:rsidRPr="00D61E7E">
        <w:rPr>
          <w:rFonts w:ascii="Times New Roman" w:hAnsi="Times New Roman" w:cs="Times New Roman"/>
          <w:sz w:val="28"/>
          <w:szCs w:val="28"/>
        </w:rPr>
        <w:t>,</w:t>
      </w:r>
      <w:r w:rsidRPr="00D61E7E">
        <w:rPr>
          <w:rFonts w:ascii="Times New Roman" w:hAnsi="Times New Roman" w:cs="Times New Roman"/>
          <w:sz w:val="28"/>
        </w:rPr>
        <w:t xml:space="preserve"> </w:t>
      </w:r>
      <w:r w:rsidRPr="00D61E7E">
        <w:rPr>
          <w:rFonts w:ascii="Times New Roman" w:hAnsi="Times New Roman" w:cs="Times New Roman"/>
          <w:sz w:val="28"/>
          <w:szCs w:val="28"/>
        </w:rPr>
        <w:t>por las siguientes</w:t>
      </w:r>
      <w:r w:rsidRPr="00D61E7E">
        <w:rPr>
          <w:rFonts w:ascii="Times New Roman" w:hAnsi="Times New Roman" w:cs="Times New Roman"/>
          <w:sz w:val="28"/>
          <w:szCs w:val="28"/>
        </w:rPr>
        <w:t xml:space="preserve"> </w:t>
      </w:r>
      <w:r w:rsidRPr="00D61E7E">
        <w:rPr>
          <w:rFonts w:ascii="Times New Roman" w:hAnsi="Times New Roman" w:cs="Times New Roman"/>
          <w:sz w:val="28"/>
          <w:szCs w:val="28"/>
        </w:rPr>
        <w:t>cuatro razones.</w:t>
      </w:r>
    </w:p>
    <w:p w:rsidR="00C802FE" w:rsidRPr="00D61E7E" w:rsidRDefault="00D61E7E" w:rsidP="00C802FE">
      <w:pPr>
        <w:pStyle w:val="Prrafodelista"/>
        <w:shd w:val="clear" w:color="auto" w:fill="FFFFFF"/>
        <w:spacing w:after="0" w:line="240" w:lineRule="auto"/>
        <w:ind w:left="0"/>
        <w:rPr>
          <w:rFonts w:ascii="Times New Roman" w:hAnsi="Times New Roman" w:cs="Times New Roman"/>
          <w:sz w:val="28"/>
          <w:szCs w:val="28"/>
        </w:rPr>
      </w:pPr>
    </w:p>
    <w:p w:rsidR="00C802FE" w:rsidRPr="00D61E7E" w:rsidRDefault="00D61E7E" w:rsidP="00C802FE">
      <w:pPr>
        <w:pStyle w:val="Prrafodelista"/>
        <w:numPr>
          <w:ilvl w:val="0"/>
          <w:numId w:val="5"/>
        </w:numPr>
        <w:shd w:val="clear" w:color="auto" w:fill="FFFFFF"/>
        <w:spacing w:after="0" w:line="240" w:lineRule="auto"/>
        <w:ind w:left="0" w:firstLine="0"/>
        <w:rPr>
          <w:rFonts w:ascii="Times New Roman" w:hAnsi="Times New Roman" w:cs="Times New Roman"/>
          <w:sz w:val="28"/>
          <w:szCs w:val="28"/>
        </w:rPr>
      </w:pPr>
      <w:r w:rsidRPr="00D61E7E">
        <w:rPr>
          <w:rFonts w:ascii="Times New Roman" w:hAnsi="Times New Roman" w:cs="Times New Roman"/>
          <w:sz w:val="28"/>
          <w:szCs w:val="28"/>
        </w:rPr>
        <w:t xml:space="preserve">Primero, </w:t>
      </w:r>
      <w:r w:rsidRPr="00D61E7E">
        <w:rPr>
          <w:rFonts w:ascii="Times New Roman" w:hAnsi="Times New Roman" w:cs="Times New Roman"/>
          <w:sz w:val="28"/>
          <w:szCs w:val="28"/>
        </w:rPr>
        <w:t>l</w:t>
      </w:r>
      <w:r w:rsidRPr="00D61E7E">
        <w:rPr>
          <w:rFonts w:ascii="Times New Roman" w:hAnsi="Times New Roman" w:cs="Times New Roman"/>
          <w:sz w:val="28"/>
          <w:szCs w:val="28"/>
        </w:rPr>
        <w:t xml:space="preserve">os destinatarios del artículo 73 y la Ley 2069 de 2020 que lo contiene, son diferentes. </w:t>
      </w:r>
      <w:r w:rsidRPr="00D61E7E">
        <w:rPr>
          <w:rFonts w:ascii="Times New Roman" w:hAnsi="Times New Roman" w:cs="Times New Roman"/>
          <w:sz w:val="28"/>
          <w:szCs w:val="28"/>
        </w:rPr>
        <w:t>Por una parte,</w:t>
      </w:r>
      <w:r w:rsidRPr="00D61E7E">
        <w:rPr>
          <w:rFonts w:ascii="Times New Roman" w:hAnsi="Times New Roman" w:cs="Times New Roman"/>
          <w:sz w:val="28"/>
          <w:szCs w:val="28"/>
        </w:rPr>
        <w:t xml:space="preserve"> aquellos receptores de los artículos 5 al 8 del Dec</w:t>
      </w:r>
      <w:r w:rsidRPr="00D61E7E">
        <w:rPr>
          <w:rFonts w:ascii="Times New Roman" w:hAnsi="Times New Roman" w:cs="Times New Roman"/>
          <w:sz w:val="28"/>
          <w:szCs w:val="28"/>
        </w:rPr>
        <w:t>reto 807 de 2020, cuyos efectos fueron extendidos con el artículo 73, no fueron las empresas en particular, sino los contribuyentes en general contra quienes se estuviese adelantando un pro</w:t>
      </w:r>
      <w:r w:rsidRPr="00D61E7E">
        <w:rPr>
          <w:rFonts w:ascii="Times New Roman" w:hAnsi="Times New Roman" w:cs="Times New Roman"/>
          <w:sz w:val="28"/>
          <w:szCs w:val="28"/>
        </w:rPr>
        <w:t>ceso de fiscalización tributario</w:t>
      </w:r>
      <w:r w:rsidRPr="00D61E7E">
        <w:rPr>
          <w:rFonts w:ascii="Times New Roman" w:hAnsi="Times New Roman" w:cs="Times New Roman"/>
          <w:sz w:val="28"/>
          <w:szCs w:val="28"/>
        </w:rPr>
        <w:t xml:space="preserve"> o </w:t>
      </w:r>
      <w:r w:rsidRPr="00D61E7E">
        <w:rPr>
          <w:rFonts w:ascii="Times New Roman" w:hAnsi="Times New Roman" w:cs="Times New Roman"/>
          <w:sz w:val="28"/>
          <w:szCs w:val="28"/>
        </w:rPr>
        <w:t>aduanero</w:t>
      </w:r>
      <w:r w:rsidRPr="00D61E7E">
        <w:rPr>
          <w:rFonts w:ascii="Times New Roman" w:hAnsi="Times New Roman" w:cs="Times New Roman"/>
          <w:sz w:val="28"/>
          <w:szCs w:val="28"/>
        </w:rPr>
        <w:t>, con independencia de s</w:t>
      </w:r>
      <w:r w:rsidRPr="00D61E7E">
        <w:rPr>
          <w:rFonts w:ascii="Times New Roman" w:hAnsi="Times New Roman" w:cs="Times New Roman"/>
          <w:sz w:val="28"/>
          <w:szCs w:val="28"/>
        </w:rPr>
        <w:t xml:space="preserve">i son empresas o no; mientras que, </w:t>
      </w:r>
      <w:r w:rsidRPr="00D61E7E">
        <w:rPr>
          <w:rFonts w:ascii="Times New Roman" w:hAnsi="Times New Roman" w:cs="Times New Roman"/>
          <w:sz w:val="28"/>
          <w:szCs w:val="28"/>
        </w:rPr>
        <w:t xml:space="preserve">se reitera, </w:t>
      </w:r>
      <w:r w:rsidRPr="00D61E7E">
        <w:rPr>
          <w:rFonts w:ascii="Times New Roman" w:hAnsi="Times New Roman" w:cs="Times New Roman"/>
          <w:sz w:val="28"/>
          <w:szCs w:val="28"/>
        </w:rPr>
        <w:t>la Ley 2069 de 2020 en su artículo 1 si precisó que su propósito es adoptar medidas a favor de las empresas.</w:t>
      </w:r>
    </w:p>
    <w:p w:rsidR="00C802FE" w:rsidRPr="00D61E7E" w:rsidRDefault="00D61E7E" w:rsidP="00C802FE">
      <w:pPr>
        <w:pStyle w:val="Prrafodelista"/>
        <w:shd w:val="clear" w:color="auto" w:fill="FFFFFF"/>
        <w:spacing w:after="0" w:line="240" w:lineRule="auto"/>
        <w:ind w:left="0"/>
        <w:rPr>
          <w:rFonts w:ascii="Times New Roman" w:hAnsi="Times New Roman" w:cs="Times New Roman"/>
          <w:sz w:val="28"/>
          <w:szCs w:val="28"/>
        </w:rPr>
      </w:pPr>
    </w:p>
    <w:p w:rsidR="00C802FE" w:rsidRPr="00D61E7E" w:rsidRDefault="00D61E7E" w:rsidP="00C802FE">
      <w:pPr>
        <w:pStyle w:val="Prrafodelista"/>
        <w:numPr>
          <w:ilvl w:val="0"/>
          <w:numId w:val="5"/>
        </w:numPr>
        <w:shd w:val="clear" w:color="auto" w:fill="FFFFFF"/>
        <w:spacing w:after="0" w:line="240" w:lineRule="auto"/>
        <w:ind w:left="0" w:firstLine="0"/>
        <w:rPr>
          <w:rFonts w:ascii="Times New Roman" w:hAnsi="Times New Roman" w:cs="Times New Roman"/>
          <w:sz w:val="28"/>
          <w:szCs w:val="28"/>
        </w:rPr>
      </w:pPr>
      <w:r w:rsidRPr="00D61E7E">
        <w:rPr>
          <w:rFonts w:ascii="Times New Roman" w:hAnsi="Times New Roman" w:cs="Times New Roman"/>
          <w:sz w:val="28"/>
          <w:szCs w:val="28"/>
        </w:rPr>
        <w:t>Como lo indicamos previamente,</w:t>
      </w:r>
      <w:r w:rsidRPr="00D61E7E">
        <w:rPr>
          <w:rFonts w:ascii="Times New Roman" w:hAnsi="Times New Roman" w:cs="Times New Roman"/>
          <w:sz w:val="28"/>
          <w:szCs w:val="28"/>
        </w:rPr>
        <w:t xml:space="preserve"> no compartimos los argumentos esbozados en la Sentencia C-113 de 202</w:t>
      </w:r>
      <w:r w:rsidRPr="00D61E7E">
        <w:rPr>
          <w:rFonts w:ascii="Times New Roman" w:hAnsi="Times New Roman" w:cs="Times New Roman"/>
          <w:sz w:val="28"/>
          <w:szCs w:val="28"/>
        </w:rPr>
        <w:t xml:space="preserve">4 para refutar la relevancia del carácter sobre inclusivo de la disposición acusada. En esencia, se argumentó que la </w:t>
      </w:r>
      <w:r w:rsidRPr="00D61E7E">
        <w:rPr>
          <w:rFonts w:ascii="Times New Roman" w:hAnsi="Times New Roman" w:cs="Times New Roman"/>
          <w:i/>
          <w:iCs/>
          <w:sz w:val="28"/>
          <w:szCs w:val="28"/>
        </w:rPr>
        <w:t>sobre inclusividad</w:t>
      </w:r>
      <w:r w:rsidRPr="00D61E7E">
        <w:rPr>
          <w:rFonts w:ascii="Times New Roman" w:hAnsi="Times New Roman" w:cs="Times New Roman"/>
          <w:sz w:val="28"/>
          <w:szCs w:val="28"/>
        </w:rPr>
        <w:t xml:space="preserve"> no desconoce el principio de unidad de materia porque (i) la extensión de los beneficios probatorios dispensada por el a</w:t>
      </w:r>
      <w:r w:rsidRPr="00D61E7E">
        <w:rPr>
          <w:rFonts w:ascii="Times New Roman" w:hAnsi="Times New Roman" w:cs="Times New Roman"/>
          <w:sz w:val="28"/>
          <w:szCs w:val="28"/>
        </w:rPr>
        <w:t xml:space="preserve">rtículo 73 de la Ley 2069 de 2020 </w:t>
      </w:r>
      <w:r w:rsidRPr="00D61E7E">
        <w:rPr>
          <w:rFonts w:ascii="Times New Roman" w:hAnsi="Times New Roman" w:cs="Times New Roman"/>
          <w:sz w:val="28"/>
          <w:szCs w:val="28"/>
        </w:rPr>
        <w:t>cobija a</w:t>
      </w:r>
      <w:r w:rsidRPr="00D61E7E">
        <w:rPr>
          <w:rFonts w:ascii="Times New Roman" w:hAnsi="Times New Roman" w:cs="Times New Roman"/>
          <w:sz w:val="28"/>
          <w:szCs w:val="28"/>
        </w:rPr>
        <w:t xml:space="preserve"> todos los contribuyentes y no solo a los empresarios</w:t>
      </w:r>
      <w:r w:rsidRPr="00D61E7E">
        <w:rPr>
          <w:rFonts w:ascii="Times New Roman" w:hAnsi="Times New Roman" w:cs="Times New Roman"/>
          <w:sz w:val="28"/>
          <w:szCs w:val="28"/>
        </w:rPr>
        <w:t xml:space="preserve">, lo cual, </w:t>
      </w:r>
      <w:r w:rsidRPr="00D61E7E">
        <w:rPr>
          <w:rFonts w:ascii="Times New Roman" w:hAnsi="Times New Roman" w:cs="Times New Roman"/>
          <w:sz w:val="28"/>
          <w:szCs w:val="28"/>
        </w:rPr>
        <w:t>es un aspecto valioso “en un contexto económico donde todos los actores requieren eficiencia y simplificación administrativa para prosperar</w:t>
      </w:r>
      <w:r w:rsidRPr="00D61E7E">
        <w:rPr>
          <w:rStyle w:val="Refdenotaalpie"/>
          <w:rFonts w:ascii="Times New Roman" w:hAnsi="Times New Roman" w:cs="Times New Roman"/>
          <w:sz w:val="28"/>
          <w:szCs w:val="28"/>
        </w:rPr>
        <w:footnoteReference w:id="58"/>
      </w:r>
      <w:r w:rsidRPr="00D61E7E">
        <w:rPr>
          <w:rFonts w:ascii="Times New Roman" w:hAnsi="Times New Roman" w:cs="Times New Roman"/>
          <w:sz w:val="28"/>
          <w:szCs w:val="28"/>
        </w:rPr>
        <w:t xml:space="preserve">”; (ii) </w:t>
      </w:r>
      <w:r w:rsidRPr="00D61E7E">
        <w:rPr>
          <w:rFonts w:ascii="Times New Roman" w:hAnsi="Times New Roman" w:cs="Times New Roman"/>
          <w:sz w:val="28"/>
          <w:szCs w:val="28"/>
        </w:rPr>
        <w:t>sumado al hecho que, “la generalidad de la norma asegura que los beneficios de modernización en los procedimientos administrativos tributarios sean accesibles universalmente, contribuye</w:t>
      </w:r>
      <w:r w:rsidRPr="00D61E7E">
        <w:rPr>
          <w:rFonts w:ascii="Times New Roman" w:hAnsi="Times New Roman" w:cs="Times New Roman"/>
          <w:sz w:val="28"/>
          <w:szCs w:val="28"/>
        </w:rPr>
        <w:t>ndo</w:t>
      </w:r>
      <w:r w:rsidRPr="00D61E7E">
        <w:rPr>
          <w:rFonts w:ascii="Times New Roman" w:hAnsi="Times New Roman" w:cs="Times New Roman"/>
          <w:sz w:val="28"/>
          <w:szCs w:val="28"/>
        </w:rPr>
        <w:t xml:space="preserve"> a la creación de un entorno empresarial más equitativo y competitiv</w:t>
      </w:r>
      <w:r w:rsidRPr="00D61E7E">
        <w:rPr>
          <w:rFonts w:ascii="Times New Roman" w:hAnsi="Times New Roman" w:cs="Times New Roman"/>
          <w:sz w:val="28"/>
          <w:szCs w:val="28"/>
        </w:rPr>
        <w:t>o”</w:t>
      </w:r>
      <w:r w:rsidRPr="00D61E7E">
        <w:rPr>
          <w:rFonts w:ascii="Times New Roman" w:hAnsi="Times New Roman" w:cs="Times New Roman"/>
          <w:sz w:val="28"/>
          <w:szCs w:val="28"/>
        </w:rPr>
        <w:t>;</w:t>
      </w:r>
      <w:r w:rsidRPr="00D61E7E">
        <w:rPr>
          <w:rFonts w:ascii="Times New Roman" w:hAnsi="Times New Roman" w:cs="Times New Roman"/>
          <w:sz w:val="28"/>
          <w:szCs w:val="28"/>
        </w:rPr>
        <w:t xml:space="preserve"> y, además (iii), en la medida en que </w:t>
      </w:r>
      <w:r w:rsidRPr="00D61E7E">
        <w:rPr>
          <w:rFonts w:ascii="Times New Roman" w:hAnsi="Times New Roman" w:cs="Times New Roman"/>
          <w:bCs/>
          <w:sz w:val="28"/>
          <w:szCs w:val="28"/>
          <w:lang w:val="es-ES"/>
        </w:rPr>
        <w:t xml:space="preserve">la virtualidad promueve una mayor eficiencia en la actividad de la DIAN, generando beneficios para los contribuyentes en general, y para las empresas en particular. </w:t>
      </w:r>
    </w:p>
    <w:p w:rsidR="00C802FE" w:rsidRPr="00D61E7E" w:rsidRDefault="00D61E7E" w:rsidP="00C802FE">
      <w:pPr>
        <w:pStyle w:val="Prrafodelista"/>
        <w:shd w:val="clear" w:color="auto" w:fill="FFFFFF"/>
        <w:spacing w:after="0" w:line="240" w:lineRule="auto"/>
        <w:ind w:left="0"/>
        <w:rPr>
          <w:rFonts w:ascii="Times New Roman" w:hAnsi="Times New Roman" w:cs="Times New Roman"/>
          <w:sz w:val="28"/>
          <w:szCs w:val="28"/>
        </w:rPr>
      </w:pPr>
    </w:p>
    <w:p w:rsidR="00C802FE" w:rsidRPr="00D61E7E" w:rsidRDefault="00D61E7E" w:rsidP="00C802FE">
      <w:pPr>
        <w:pStyle w:val="Prrafodelista"/>
        <w:numPr>
          <w:ilvl w:val="0"/>
          <w:numId w:val="5"/>
        </w:numPr>
        <w:shd w:val="clear" w:color="auto" w:fill="FFFFFF"/>
        <w:spacing w:after="0" w:line="240" w:lineRule="auto"/>
        <w:ind w:left="0" w:firstLine="0"/>
        <w:rPr>
          <w:rFonts w:ascii="Times New Roman" w:hAnsi="Times New Roman" w:cs="Times New Roman"/>
          <w:sz w:val="28"/>
          <w:szCs w:val="28"/>
        </w:rPr>
      </w:pPr>
      <w:r w:rsidRPr="00D61E7E">
        <w:rPr>
          <w:rFonts w:ascii="Times New Roman" w:hAnsi="Times New Roman" w:cs="Times New Roman"/>
          <w:sz w:val="28"/>
          <w:szCs w:val="28"/>
        </w:rPr>
        <w:t>Pese a que reconocemos la razonabilidad de los a</w:t>
      </w:r>
      <w:r w:rsidRPr="00D61E7E">
        <w:rPr>
          <w:rFonts w:ascii="Times New Roman" w:hAnsi="Times New Roman" w:cs="Times New Roman"/>
          <w:sz w:val="28"/>
          <w:szCs w:val="28"/>
        </w:rPr>
        <w:t xml:space="preserve">rgumentos expuestos, no los </w:t>
      </w:r>
      <w:r w:rsidRPr="00D61E7E">
        <w:rPr>
          <w:rFonts w:ascii="Times New Roman" w:hAnsi="Times New Roman" w:cs="Times New Roman"/>
          <w:sz w:val="28"/>
          <w:szCs w:val="28"/>
        </w:rPr>
        <w:t xml:space="preserve">acompañamos </w:t>
      </w:r>
      <w:r w:rsidRPr="00D61E7E">
        <w:rPr>
          <w:rFonts w:ascii="Times New Roman" w:hAnsi="Times New Roman" w:cs="Times New Roman"/>
          <w:sz w:val="28"/>
          <w:szCs w:val="28"/>
        </w:rPr>
        <w:t xml:space="preserve">puesto que ninguno de estos logra rebatir el carácter general de la disposición acusada, pero además tampoco justifica porque el nuevo criterio de la </w:t>
      </w:r>
      <w:r w:rsidRPr="00D61E7E">
        <w:rPr>
          <w:rFonts w:ascii="Times New Roman" w:hAnsi="Times New Roman" w:cs="Times New Roman"/>
          <w:i/>
          <w:iCs/>
          <w:sz w:val="28"/>
          <w:szCs w:val="28"/>
        </w:rPr>
        <w:t>sobre inclusividad</w:t>
      </w:r>
      <w:r w:rsidRPr="00D61E7E">
        <w:rPr>
          <w:rFonts w:ascii="Times New Roman" w:hAnsi="Times New Roman" w:cs="Times New Roman"/>
          <w:sz w:val="28"/>
          <w:szCs w:val="28"/>
        </w:rPr>
        <w:t xml:space="preserve"> no supone una lesión del principio de unidad de</w:t>
      </w:r>
      <w:r w:rsidRPr="00D61E7E">
        <w:rPr>
          <w:rFonts w:ascii="Times New Roman" w:hAnsi="Times New Roman" w:cs="Times New Roman"/>
          <w:sz w:val="28"/>
          <w:szCs w:val="28"/>
        </w:rPr>
        <w:t xml:space="preserve"> materia. En nuestra opinión la permisión de una </w:t>
      </w:r>
      <w:r w:rsidRPr="00D61E7E">
        <w:rPr>
          <w:rFonts w:ascii="Times New Roman" w:hAnsi="Times New Roman" w:cs="Times New Roman"/>
          <w:i/>
          <w:sz w:val="28"/>
          <w:szCs w:val="28"/>
        </w:rPr>
        <w:t xml:space="preserve">sobre inclusividad </w:t>
      </w:r>
      <w:r w:rsidRPr="00D61E7E">
        <w:rPr>
          <w:rFonts w:ascii="Times New Roman" w:hAnsi="Times New Roman" w:cs="Times New Roman"/>
          <w:sz w:val="28"/>
          <w:szCs w:val="28"/>
        </w:rPr>
        <w:t xml:space="preserve">en los análisis sobre </w:t>
      </w:r>
      <w:r w:rsidRPr="00D61E7E">
        <w:rPr>
          <w:rFonts w:ascii="Times New Roman" w:hAnsi="Times New Roman" w:cs="Times New Roman"/>
          <w:sz w:val="28"/>
          <w:szCs w:val="28"/>
        </w:rPr>
        <w:t>el principio de</w:t>
      </w:r>
      <w:r w:rsidRPr="00D61E7E">
        <w:rPr>
          <w:rFonts w:ascii="Times New Roman" w:hAnsi="Times New Roman" w:cs="Times New Roman"/>
          <w:sz w:val="28"/>
          <w:szCs w:val="28"/>
        </w:rPr>
        <w:t xml:space="preserve"> unidad de materia que debe </w:t>
      </w:r>
      <w:r w:rsidRPr="00D61E7E">
        <w:rPr>
          <w:rFonts w:ascii="Times New Roman" w:hAnsi="Times New Roman" w:cs="Times New Roman"/>
          <w:sz w:val="28"/>
          <w:szCs w:val="28"/>
        </w:rPr>
        <w:t>acatar</w:t>
      </w:r>
      <w:r w:rsidRPr="00D61E7E">
        <w:rPr>
          <w:rFonts w:ascii="Times New Roman" w:hAnsi="Times New Roman" w:cs="Times New Roman"/>
          <w:sz w:val="28"/>
          <w:szCs w:val="28"/>
        </w:rPr>
        <w:t xml:space="preserve"> el Congreso</w:t>
      </w:r>
      <w:r w:rsidRPr="00D61E7E">
        <w:rPr>
          <w:rFonts w:ascii="Times New Roman" w:hAnsi="Times New Roman" w:cs="Times New Roman"/>
          <w:sz w:val="28"/>
          <w:szCs w:val="28"/>
        </w:rPr>
        <w:t>,</w:t>
      </w:r>
      <w:r w:rsidRPr="00D61E7E">
        <w:rPr>
          <w:rFonts w:ascii="Times New Roman" w:hAnsi="Times New Roman" w:cs="Times New Roman"/>
          <w:sz w:val="28"/>
          <w:szCs w:val="28"/>
        </w:rPr>
        <w:t xml:space="preserve"> podría abrir la puerta a una flexibilidad considerable en el trámite legislativo. </w:t>
      </w:r>
    </w:p>
    <w:p w:rsidR="00C802FE" w:rsidRPr="00D61E7E" w:rsidRDefault="00D61E7E" w:rsidP="00C802FE">
      <w:pPr>
        <w:pStyle w:val="Prrafodelista"/>
        <w:shd w:val="clear" w:color="auto" w:fill="FFFFFF"/>
        <w:spacing w:after="0" w:line="240" w:lineRule="auto"/>
        <w:ind w:left="0"/>
        <w:rPr>
          <w:rFonts w:ascii="Times New Roman" w:hAnsi="Times New Roman" w:cs="Times New Roman"/>
          <w:sz w:val="28"/>
          <w:szCs w:val="28"/>
        </w:rPr>
      </w:pPr>
    </w:p>
    <w:p w:rsidR="00C802FE" w:rsidRPr="00D61E7E" w:rsidRDefault="00D61E7E" w:rsidP="00C802FE">
      <w:pPr>
        <w:pStyle w:val="Prrafodelista"/>
        <w:numPr>
          <w:ilvl w:val="0"/>
          <w:numId w:val="5"/>
        </w:numPr>
        <w:shd w:val="clear" w:color="auto" w:fill="FFFFFF"/>
        <w:spacing w:after="0" w:line="240" w:lineRule="auto"/>
        <w:ind w:left="0" w:firstLine="0"/>
        <w:rPr>
          <w:rFonts w:ascii="Times New Roman" w:hAnsi="Times New Roman" w:cs="Times New Roman"/>
          <w:sz w:val="28"/>
          <w:szCs w:val="28"/>
        </w:rPr>
      </w:pPr>
      <w:r w:rsidRPr="00D61E7E">
        <w:rPr>
          <w:rFonts w:ascii="Times New Roman" w:hAnsi="Times New Roman" w:cs="Times New Roman"/>
          <w:sz w:val="28"/>
          <w:szCs w:val="28"/>
        </w:rPr>
        <w:t>En segundo lugar, l</w:t>
      </w:r>
      <w:r w:rsidRPr="00D61E7E">
        <w:rPr>
          <w:rFonts w:ascii="Times New Roman" w:hAnsi="Times New Roman" w:cs="Times New Roman"/>
          <w:sz w:val="28"/>
          <w:szCs w:val="28"/>
        </w:rPr>
        <w:t>os medios de prueba previstos en el artículo 73 de la Ley 2069 de 2020 no son un trámite al que accedan las empresas voluntariamente, sino que corresponden a pruebas decretadas por la administración tributaria en el marco de su función fiscalizadora. Por e</w:t>
      </w:r>
      <w:r w:rsidRPr="00D61E7E">
        <w:rPr>
          <w:rFonts w:ascii="Times New Roman" w:hAnsi="Times New Roman" w:cs="Times New Roman"/>
          <w:sz w:val="28"/>
          <w:szCs w:val="28"/>
        </w:rPr>
        <w:t>sa misma razón, no es posible considerar que el hecho que estas pruebas se realicen de manera virtual trae consigo el levantamiento de un “obstáculo para la consolidación del modelo emprendedor”, cuando se trata de medios probatorios objetivos que proceden</w:t>
      </w:r>
      <w:r w:rsidRPr="00D61E7E">
        <w:rPr>
          <w:rFonts w:ascii="Times New Roman" w:hAnsi="Times New Roman" w:cs="Times New Roman"/>
          <w:sz w:val="28"/>
          <w:szCs w:val="28"/>
        </w:rPr>
        <w:t xml:space="preserve"> cuando la administración tributaria adelanta un proceso de </w:t>
      </w:r>
      <w:r w:rsidRPr="00D61E7E">
        <w:rPr>
          <w:rFonts w:ascii="Times New Roman" w:hAnsi="Times New Roman" w:cs="Times New Roman"/>
          <w:sz w:val="28"/>
          <w:szCs w:val="28"/>
        </w:rPr>
        <w:t xml:space="preserve">fiscalización. </w:t>
      </w:r>
    </w:p>
    <w:p w:rsidR="00C802FE" w:rsidRPr="00D61E7E" w:rsidRDefault="00D61E7E" w:rsidP="00C802FE">
      <w:pPr>
        <w:pStyle w:val="Prrafodelista"/>
        <w:shd w:val="clear" w:color="auto" w:fill="FFFFFF"/>
        <w:spacing w:after="0" w:line="240" w:lineRule="auto"/>
        <w:ind w:left="0"/>
        <w:rPr>
          <w:rFonts w:ascii="Times New Roman" w:hAnsi="Times New Roman" w:cs="Times New Roman"/>
          <w:sz w:val="28"/>
          <w:szCs w:val="28"/>
        </w:rPr>
      </w:pPr>
    </w:p>
    <w:p w:rsidR="00C802FE" w:rsidRPr="00D61E7E" w:rsidRDefault="00D61E7E" w:rsidP="00C802FE">
      <w:pPr>
        <w:pStyle w:val="Prrafodelista"/>
        <w:numPr>
          <w:ilvl w:val="0"/>
          <w:numId w:val="5"/>
        </w:numPr>
        <w:shd w:val="clear" w:color="auto" w:fill="FFFFFF"/>
        <w:spacing w:after="0" w:line="240" w:lineRule="auto"/>
        <w:ind w:left="0" w:firstLine="0"/>
        <w:rPr>
          <w:rFonts w:ascii="Times New Roman" w:hAnsi="Times New Roman" w:cs="Times New Roman"/>
          <w:sz w:val="28"/>
          <w:szCs w:val="28"/>
        </w:rPr>
      </w:pPr>
      <w:r w:rsidRPr="00D61E7E">
        <w:rPr>
          <w:rFonts w:ascii="Times New Roman" w:hAnsi="Times New Roman" w:cs="Times New Roman"/>
          <w:sz w:val="28"/>
          <w:szCs w:val="28"/>
        </w:rPr>
        <w:t>Como tercer punto, e</w:t>
      </w:r>
      <w:r w:rsidRPr="00D61E7E">
        <w:rPr>
          <w:rFonts w:ascii="Times New Roman" w:hAnsi="Times New Roman" w:cs="Times New Roman"/>
          <w:sz w:val="28"/>
          <w:szCs w:val="28"/>
        </w:rPr>
        <w:t>l artículo 73 y la Ley 2069 de 2020 que lo contiene, tuvieron motivos o causas diferentes, como se indicó previamente.</w:t>
      </w:r>
      <w:r w:rsidRPr="00D61E7E">
        <w:rPr>
          <w:rFonts w:ascii="Times New Roman" w:hAnsi="Times New Roman" w:cs="Times New Roman"/>
          <w:sz w:val="28"/>
          <w:szCs w:val="28"/>
        </w:rPr>
        <w:t xml:space="preserve"> </w:t>
      </w:r>
      <w:r w:rsidRPr="00D61E7E">
        <w:rPr>
          <w:rFonts w:ascii="Times New Roman" w:hAnsi="Times New Roman" w:cs="Times New Roman"/>
          <w:sz w:val="28"/>
          <w:szCs w:val="28"/>
        </w:rPr>
        <w:t>E</w:t>
      </w:r>
      <w:r w:rsidRPr="00D61E7E">
        <w:rPr>
          <w:rFonts w:ascii="Times New Roman" w:hAnsi="Times New Roman" w:cs="Times New Roman"/>
          <w:sz w:val="28"/>
          <w:szCs w:val="28"/>
        </w:rPr>
        <w:t>nfatizamos en que en los antecedentes l</w:t>
      </w:r>
      <w:r w:rsidRPr="00D61E7E">
        <w:rPr>
          <w:rFonts w:ascii="Times New Roman" w:hAnsi="Times New Roman" w:cs="Times New Roman"/>
          <w:sz w:val="28"/>
          <w:szCs w:val="28"/>
        </w:rPr>
        <w:t xml:space="preserve">egislativos </w:t>
      </w:r>
      <w:r w:rsidRPr="00D61E7E">
        <w:rPr>
          <w:rFonts w:ascii="Times New Roman" w:hAnsi="Times New Roman" w:cs="Times New Roman"/>
          <w:sz w:val="28"/>
          <w:szCs w:val="28"/>
        </w:rPr>
        <w:t xml:space="preserve">de la Ley 2069 de 2020 </w:t>
      </w:r>
      <w:r w:rsidRPr="00D61E7E">
        <w:rPr>
          <w:rFonts w:ascii="Times New Roman" w:hAnsi="Times New Roman" w:cs="Times New Roman"/>
          <w:sz w:val="28"/>
          <w:szCs w:val="28"/>
        </w:rPr>
        <w:t>no se evidenció ninguna referencia a la necesidad de establecer una flexibilidad probatoria en materia tributaria</w:t>
      </w:r>
      <w:r w:rsidRPr="00D61E7E">
        <w:rPr>
          <w:rFonts w:ascii="Times New Roman" w:hAnsi="Times New Roman" w:cs="Times New Roman"/>
          <w:sz w:val="28"/>
          <w:szCs w:val="28"/>
        </w:rPr>
        <w:t xml:space="preserve"> o aduanera</w:t>
      </w:r>
      <w:r w:rsidRPr="00D61E7E">
        <w:rPr>
          <w:rFonts w:ascii="Times New Roman" w:hAnsi="Times New Roman" w:cs="Times New Roman"/>
          <w:sz w:val="28"/>
          <w:szCs w:val="28"/>
        </w:rPr>
        <w:t>, no solo a favor de los empresarios, sino de todos los contribuyentes</w:t>
      </w:r>
      <w:r w:rsidRPr="00D61E7E">
        <w:rPr>
          <w:rFonts w:ascii="Times New Roman" w:hAnsi="Times New Roman" w:cs="Times New Roman"/>
          <w:sz w:val="28"/>
          <w:szCs w:val="28"/>
        </w:rPr>
        <w:t xml:space="preserve">. En lugar de ello, </w:t>
      </w:r>
      <w:r w:rsidRPr="00D61E7E">
        <w:rPr>
          <w:rFonts w:ascii="Times New Roman" w:hAnsi="Times New Roman" w:cs="Times New Roman"/>
          <w:sz w:val="28"/>
          <w:szCs w:val="28"/>
        </w:rPr>
        <w:t>como se</w:t>
      </w:r>
      <w:r w:rsidRPr="00D61E7E">
        <w:rPr>
          <w:rFonts w:ascii="Times New Roman" w:hAnsi="Times New Roman" w:cs="Times New Roman"/>
          <w:sz w:val="28"/>
          <w:szCs w:val="28"/>
        </w:rPr>
        <w:t xml:space="preserve"> indicó previamente, l</w:t>
      </w:r>
      <w:r w:rsidRPr="00D61E7E">
        <w:rPr>
          <w:rFonts w:ascii="Times New Roman" w:hAnsi="Times New Roman" w:cs="Times New Roman"/>
          <w:sz w:val="28"/>
          <w:szCs w:val="28"/>
        </w:rPr>
        <w:t xml:space="preserve">a </w:t>
      </w:r>
      <w:r w:rsidRPr="00D61E7E">
        <w:rPr>
          <w:rFonts w:ascii="Times New Roman" w:hAnsi="Times New Roman" w:cs="Times New Roman"/>
          <w:sz w:val="28"/>
          <w:szCs w:val="28"/>
        </w:rPr>
        <w:t>mención</w:t>
      </w:r>
      <w:r w:rsidRPr="00D61E7E">
        <w:rPr>
          <w:rFonts w:ascii="Times New Roman" w:hAnsi="Times New Roman" w:cs="Times New Roman"/>
          <w:sz w:val="28"/>
          <w:szCs w:val="28"/>
        </w:rPr>
        <w:t xml:space="preserve"> a los trámites tributarios </w:t>
      </w:r>
      <w:r w:rsidRPr="00D61E7E">
        <w:rPr>
          <w:rFonts w:ascii="Times New Roman" w:hAnsi="Times New Roman" w:cs="Times New Roman"/>
          <w:sz w:val="28"/>
          <w:szCs w:val="28"/>
        </w:rPr>
        <w:t xml:space="preserve">y aduaneros </w:t>
      </w:r>
      <w:r w:rsidRPr="00D61E7E">
        <w:rPr>
          <w:rFonts w:ascii="Times New Roman" w:hAnsi="Times New Roman" w:cs="Times New Roman"/>
          <w:sz w:val="28"/>
          <w:szCs w:val="28"/>
        </w:rPr>
        <w:t xml:space="preserve">que han traído consigo dificultades a las empresas </w:t>
      </w:r>
      <w:r w:rsidRPr="00D61E7E">
        <w:rPr>
          <w:rFonts w:ascii="Times New Roman" w:hAnsi="Times New Roman" w:cs="Times New Roman"/>
          <w:sz w:val="28"/>
          <w:szCs w:val="28"/>
        </w:rPr>
        <w:t>no guarda relación con</w:t>
      </w:r>
      <w:r w:rsidRPr="00D61E7E">
        <w:rPr>
          <w:rFonts w:ascii="Times New Roman" w:hAnsi="Times New Roman" w:cs="Times New Roman"/>
          <w:sz w:val="28"/>
          <w:szCs w:val="28"/>
        </w:rPr>
        <w:t xml:space="preserve"> los medios de prueba sobre los que versa el artículo 73 de la Ley 2069 de 2020. </w:t>
      </w:r>
    </w:p>
    <w:p w:rsidR="00C802FE" w:rsidRPr="00D61E7E" w:rsidRDefault="00D61E7E" w:rsidP="00C802FE">
      <w:pPr>
        <w:pStyle w:val="Prrafodelista"/>
        <w:shd w:val="clear" w:color="auto" w:fill="FFFFFF"/>
        <w:spacing w:after="0" w:line="240" w:lineRule="auto"/>
        <w:ind w:left="0"/>
        <w:rPr>
          <w:rFonts w:ascii="Times New Roman" w:hAnsi="Times New Roman" w:cs="Times New Roman"/>
          <w:sz w:val="28"/>
          <w:szCs w:val="28"/>
        </w:rPr>
      </w:pPr>
    </w:p>
    <w:p w:rsidR="00C802FE" w:rsidRPr="00D61E7E" w:rsidRDefault="00D61E7E" w:rsidP="00C802FE">
      <w:pPr>
        <w:pStyle w:val="Prrafodelista"/>
        <w:numPr>
          <w:ilvl w:val="0"/>
          <w:numId w:val="5"/>
        </w:numPr>
        <w:shd w:val="clear" w:color="auto" w:fill="FFFFFF"/>
        <w:spacing w:after="0" w:line="240" w:lineRule="auto"/>
        <w:ind w:left="0" w:firstLine="0"/>
        <w:rPr>
          <w:rFonts w:ascii="Times New Roman" w:hAnsi="Times New Roman" w:cs="Times New Roman"/>
          <w:sz w:val="28"/>
          <w:szCs w:val="28"/>
        </w:rPr>
      </w:pPr>
      <w:r w:rsidRPr="00D61E7E">
        <w:rPr>
          <w:rFonts w:ascii="Times New Roman" w:hAnsi="Times New Roman" w:cs="Times New Roman"/>
          <w:sz w:val="28"/>
          <w:szCs w:val="28"/>
        </w:rPr>
        <w:t>En esa línea, una cosa difere</w:t>
      </w:r>
      <w:r w:rsidRPr="00D61E7E">
        <w:rPr>
          <w:rFonts w:ascii="Times New Roman" w:hAnsi="Times New Roman" w:cs="Times New Roman"/>
          <w:sz w:val="28"/>
          <w:szCs w:val="28"/>
        </w:rPr>
        <w:t xml:space="preserve">nte seria la flexibilización o la implementación de un canal virtual para adelantar algún trámite </w:t>
      </w:r>
      <w:r w:rsidRPr="00D61E7E">
        <w:rPr>
          <w:rFonts w:ascii="Times New Roman" w:hAnsi="Times New Roman" w:cs="Times New Roman"/>
          <w:sz w:val="28"/>
          <w:szCs w:val="28"/>
        </w:rPr>
        <w:t>aduanero</w:t>
      </w:r>
      <w:r w:rsidRPr="00D61E7E">
        <w:rPr>
          <w:rFonts w:ascii="Times New Roman" w:hAnsi="Times New Roman" w:cs="Times New Roman"/>
          <w:sz w:val="28"/>
          <w:szCs w:val="28"/>
        </w:rPr>
        <w:t xml:space="preserve"> o tributario como el registro de la información exógena por parte de las empresas, así como el cargue de algún formulario de actualización que deban </w:t>
      </w:r>
      <w:r w:rsidRPr="00D61E7E">
        <w:rPr>
          <w:rFonts w:ascii="Times New Roman" w:hAnsi="Times New Roman" w:cs="Times New Roman"/>
          <w:sz w:val="28"/>
          <w:szCs w:val="28"/>
        </w:rPr>
        <w:t>adelantar las empresas o incluso algún cambio en las fechas de pago de tributos de empresas de menor tamaño (que, por ejemplo, corresponde a una de las sugerencias que sí está en la exposición de motivos de la Ley 2269 de 2020). En estos tres ejemplos</w:t>
      </w:r>
      <w:r w:rsidRPr="00D61E7E">
        <w:rPr>
          <w:rFonts w:ascii="Times New Roman" w:hAnsi="Times New Roman" w:cs="Times New Roman"/>
          <w:sz w:val="28"/>
          <w:szCs w:val="28"/>
        </w:rPr>
        <w:t>,</w:t>
      </w:r>
      <w:r w:rsidRPr="00D61E7E">
        <w:rPr>
          <w:rFonts w:ascii="Times New Roman" w:hAnsi="Times New Roman" w:cs="Times New Roman"/>
          <w:sz w:val="28"/>
          <w:szCs w:val="28"/>
        </w:rPr>
        <w:t xml:space="preserve"> los</w:t>
      </w:r>
      <w:r w:rsidRPr="00D61E7E">
        <w:rPr>
          <w:rFonts w:ascii="Times New Roman" w:hAnsi="Times New Roman" w:cs="Times New Roman"/>
          <w:sz w:val="28"/>
          <w:szCs w:val="28"/>
        </w:rPr>
        <w:t xml:space="preserve"> </w:t>
      </w:r>
      <w:r w:rsidRPr="00D61E7E">
        <w:rPr>
          <w:rFonts w:ascii="Times New Roman" w:hAnsi="Times New Roman" w:cs="Times New Roman"/>
          <w:i/>
          <w:iCs/>
          <w:sz w:val="28"/>
          <w:szCs w:val="28"/>
        </w:rPr>
        <w:t xml:space="preserve">destinarios </w:t>
      </w:r>
      <w:r w:rsidRPr="00D61E7E">
        <w:rPr>
          <w:rFonts w:ascii="Times New Roman" w:hAnsi="Times New Roman" w:cs="Times New Roman"/>
          <w:sz w:val="28"/>
          <w:szCs w:val="28"/>
        </w:rPr>
        <w:t>de la disposición acusada son particulares (las empresas) y</w:t>
      </w:r>
      <w:r w:rsidRPr="00D61E7E">
        <w:rPr>
          <w:rFonts w:ascii="Times New Roman" w:hAnsi="Times New Roman" w:cs="Times New Roman"/>
          <w:sz w:val="28"/>
          <w:szCs w:val="28"/>
        </w:rPr>
        <w:t>,</w:t>
      </w:r>
      <w:r w:rsidRPr="00D61E7E">
        <w:rPr>
          <w:rFonts w:ascii="Times New Roman" w:hAnsi="Times New Roman" w:cs="Times New Roman"/>
          <w:sz w:val="28"/>
          <w:szCs w:val="28"/>
        </w:rPr>
        <w:t xml:space="preserve"> además</w:t>
      </w:r>
      <w:r w:rsidRPr="00D61E7E">
        <w:rPr>
          <w:rFonts w:ascii="Times New Roman" w:hAnsi="Times New Roman" w:cs="Times New Roman"/>
          <w:sz w:val="28"/>
          <w:szCs w:val="28"/>
        </w:rPr>
        <w:t>,</w:t>
      </w:r>
      <w:r w:rsidRPr="00D61E7E">
        <w:rPr>
          <w:rFonts w:ascii="Times New Roman" w:hAnsi="Times New Roman" w:cs="Times New Roman"/>
          <w:sz w:val="28"/>
          <w:szCs w:val="28"/>
        </w:rPr>
        <w:t xml:space="preserve"> la </w:t>
      </w:r>
      <w:r w:rsidRPr="00D61E7E">
        <w:rPr>
          <w:rFonts w:ascii="Times New Roman" w:hAnsi="Times New Roman" w:cs="Times New Roman"/>
          <w:i/>
          <w:iCs/>
          <w:sz w:val="28"/>
          <w:szCs w:val="28"/>
        </w:rPr>
        <w:t xml:space="preserve">finalidad </w:t>
      </w:r>
      <w:r w:rsidRPr="00D61E7E">
        <w:rPr>
          <w:rFonts w:ascii="Times New Roman" w:hAnsi="Times New Roman" w:cs="Times New Roman"/>
          <w:sz w:val="28"/>
          <w:szCs w:val="28"/>
        </w:rPr>
        <w:t>también lo es: promover su emprendimiento a través de la flexibilización de trámites ordinarios que deban</w:t>
      </w:r>
      <w:r w:rsidRPr="00D61E7E">
        <w:rPr>
          <w:rFonts w:ascii="Times New Roman" w:hAnsi="Times New Roman" w:cs="Times New Roman"/>
          <w:sz w:val="28"/>
          <w:szCs w:val="28"/>
        </w:rPr>
        <w:t xml:space="preserve"> realizar</w:t>
      </w:r>
      <w:r w:rsidRPr="00D61E7E">
        <w:rPr>
          <w:rFonts w:ascii="Times New Roman" w:hAnsi="Times New Roman" w:cs="Times New Roman"/>
          <w:sz w:val="28"/>
          <w:szCs w:val="28"/>
        </w:rPr>
        <w:t>.</w:t>
      </w:r>
    </w:p>
    <w:p w:rsidR="00C802FE" w:rsidRPr="00D61E7E" w:rsidRDefault="00D61E7E" w:rsidP="00C802FE">
      <w:pPr>
        <w:pStyle w:val="Prrafodelista"/>
        <w:shd w:val="clear" w:color="auto" w:fill="FFFFFF"/>
        <w:spacing w:after="0" w:line="240" w:lineRule="auto"/>
        <w:ind w:left="0"/>
        <w:rPr>
          <w:rFonts w:ascii="Times New Roman" w:hAnsi="Times New Roman" w:cs="Times New Roman"/>
          <w:sz w:val="28"/>
          <w:szCs w:val="28"/>
        </w:rPr>
      </w:pPr>
    </w:p>
    <w:p w:rsidR="008D58AB" w:rsidRPr="00D61E7E" w:rsidRDefault="00D61E7E" w:rsidP="00C802FE">
      <w:pPr>
        <w:pStyle w:val="Prrafodelista"/>
        <w:numPr>
          <w:ilvl w:val="0"/>
          <w:numId w:val="5"/>
        </w:numPr>
        <w:shd w:val="clear" w:color="auto" w:fill="FFFFFF"/>
        <w:spacing w:after="0" w:line="240" w:lineRule="auto"/>
        <w:ind w:left="0" w:firstLine="0"/>
        <w:rPr>
          <w:rFonts w:ascii="Times New Roman" w:hAnsi="Times New Roman" w:cs="Times New Roman"/>
          <w:sz w:val="28"/>
          <w:szCs w:val="28"/>
        </w:rPr>
      </w:pPr>
      <w:r w:rsidRPr="00D61E7E">
        <w:rPr>
          <w:rFonts w:ascii="Times New Roman" w:hAnsi="Times New Roman" w:cs="Times New Roman"/>
          <w:sz w:val="28"/>
          <w:szCs w:val="28"/>
        </w:rPr>
        <w:t>En cuarto lugar, t</w:t>
      </w:r>
      <w:r w:rsidRPr="00D61E7E">
        <w:rPr>
          <w:rFonts w:ascii="Times New Roman" w:hAnsi="Times New Roman" w:cs="Times New Roman"/>
          <w:sz w:val="28"/>
          <w:szCs w:val="28"/>
        </w:rPr>
        <w:t xml:space="preserve">al como se menciona en la </w:t>
      </w:r>
      <w:r w:rsidRPr="00D61E7E">
        <w:rPr>
          <w:rFonts w:ascii="Times New Roman" w:hAnsi="Times New Roman" w:cs="Times New Roman"/>
          <w:sz w:val="28"/>
          <w:szCs w:val="28"/>
        </w:rPr>
        <w:t>Sentencia C-113 de 2024, e</w:t>
      </w:r>
      <w:r w:rsidRPr="00D61E7E">
        <w:rPr>
          <w:rFonts w:ascii="Times New Roman" w:hAnsi="Times New Roman" w:cs="Times New Roman"/>
          <w:sz w:val="28"/>
          <w:szCs w:val="28"/>
        </w:rPr>
        <w:t>l artículo 73 no fue previsto en el texto inicial de la Ley 2069 de 2020, sino que surgió de una proposición en el</w:t>
      </w:r>
      <w:r w:rsidRPr="00D61E7E">
        <w:rPr>
          <w:rFonts w:ascii="Times New Roman" w:hAnsi="Times New Roman" w:cs="Times New Roman"/>
          <w:sz w:val="28"/>
          <w:szCs w:val="28"/>
        </w:rPr>
        <w:t xml:space="preserve"> marco de la plenaria en Senado. Luego</w:t>
      </w:r>
      <w:r w:rsidRPr="00D61E7E">
        <w:rPr>
          <w:rFonts w:ascii="Times New Roman" w:hAnsi="Times New Roman" w:cs="Times New Roman"/>
          <w:sz w:val="28"/>
          <w:szCs w:val="28"/>
        </w:rPr>
        <w:t xml:space="preserve">, no es claro si en realidad desde el momento inicial que se emitió la ley se </w:t>
      </w:r>
      <w:r w:rsidRPr="00D61E7E">
        <w:rPr>
          <w:rFonts w:ascii="Times New Roman" w:hAnsi="Times New Roman" w:cs="Times New Roman"/>
          <w:sz w:val="28"/>
          <w:szCs w:val="28"/>
        </w:rPr>
        <w:t>pensó en que una de las medidas para fortalecer el emprendimiento de las empresas sería la virtualización de algunos medios de prueba aplicados por las administraciones tributarias a todos sus contribuyentes en general.</w:t>
      </w:r>
      <w:r w:rsidRPr="00D61E7E">
        <w:rPr>
          <w:rFonts w:ascii="Times New Roman" w:hAnsi="Times New Roman" w:cs="Times New Roman"/>
          <w:sz w:val="28"/>
          <w:szCs w:val="28"/>
        </w:rPr>
        <w:t xml:space="preserve"> </w:t>
      </w:r>
    </w:p>
    <w:p w:rsidR="0094197E" w:rsidRPr="00D61E7E" w:rsidRDefault="00D61E7E" w:rsidP="0094197E">
      <w:pPr>
        <w:pStyle w:val="Prrafodelista"/>
        <w:spacing w:after="0" w:line="240" w:lineRule="auto"/>
        <w:rPr>
          <w:rFonts w:ascii="Times New Roman" w:hAnsi="Times New Roman" w:cs="Times New Roman"/>
          <w:sz w:val="28"/>
          <w:szCs w:val="28"/>
        </w:rPr>
      </w:pPr>
    </w:p>
    <w:p w:rsidR="008D58AB" w:rsidRPr="00D61E7E" w:rsidRDefault="00D61E7E" w:rsidP="00963AB1">
      <w:pPr>
        <w:pStyle w:val="Prrafodelista"/>
        <w:numPr>
          <w:ilvl w:val="0"/>
          <w:numId w:val="5"/>
        </w:numPr>
        <w:shd w:val="clear" w:color="auto" w:fill="FFFFFF"/>
        <w:spacing w:after="0" w:line="240" w:lineRule="auto"/>
        <w:ind w:left="0" w:firstLine="0"/>
        <w:rPr>
          <w:rFonts w:ascii="Times New Roman" w:hAnsi="Times New Roman" w:cs="Times New Roman"/>
          <w:sz w:val="28"/>
          <w:szCs w:val="28"/>
        </w:rPr>
      </w:pPr>
      <w:r w:rsidRPr="00D61E7E">
        <w:rPr>
          <w:rFonts w:ascii="Times New Roman" w:hAnsi="Times New Roman" w:cs="Times New Roman"/>
          <w:sz w:val="28"/>
          <w:szCs w:val="28"/>
        </w:rPr>
        <w:t>Por último, estimamos importante d</w:t>
      </w:r>
      <w:r w:rsidRPr="00D61E7E">
        <w:rPr>
          <w:rFonts w:ascii="Times New Roman" w:hAnsi="Times New Roman" w:cs="Times New Roman"/>
          <w:sz w:val="28"/>
          <w:szCs w:val="28"/>
        </w:rPr>
        <w:t>estacar que una situación relativamente similar se analizó en la Sentencia C-390 de 2023</w:t>
      </w:r>
      <w:r w:rsidRPr="00D61E7E">
        <w:rPr>
          <w:rStyle w:val="Refdenotaalpie"/>
          <w:rFonts w:ascii="Times New Roman" w:hAnsi="Times New Roman" w:cs="Times New Roman"/>
          <w:sz w:val="28"/>
          <w:szCs w:val="28"/>
        </w:rPr>
        <w:footnoteReference w:id="59"/>
      </w:r>
      <w:r w:rsidRPr="00D61E7E">
        <w:rPr>
          <w:rFonts w:ascii="Times New Roman" w:hAnsi="Times New Roman" w:cs="Times New Roman"/>
          <w:sz w:val="28"/>
          <w:szCs w:val="28"/>
        </w:rPr>
        <w:t xml:space="preserve"> </w:t>
      </w:r>
      <w:r w:rsidRPr="00D61E7E">
        <w:rPr>
          <w:rFonts w:ascii="Times New Roman" w:hAnsi="Times New Roman" w:cs="Times New Roman"/>
          <w:sz w:val="28"/>
          <w:szCs w:val="28"/>
        </w:rPr>
        <w:t>en la que la Corte declaró la inexequibilidad de una disposición normativa de la Ley 2277 de 2022</w:t>
      </w:r>
      <w:r w:rsidRPr="00D61E7E">
        <w:rPr>
          <w:rStyle w:val="Refdenotaalpie"/>
          <w:rFonts w:ascii="Times New Roman" w:hAnsi="Times New Roman" w:cs="Times New Roman"/>
          <w:sz w:val="28"/>
          <w:szCs w:val="28"/>
        </w:rPr>
        <w:footnoteReference w:id="60"/>
      </w:r>
      <w:r w:rsidRPr="00D61E7E">
        <w:rPr>
          <w:rFonts w:ascii="Times New Roman" w:hAnsi="Times New Roman" w:cs="Times New Roman"/>
          <w:sz w:val="28"/>
          <w:szCs w:val="28"/>
        </w:rPr>
        <w:t xml:space="preserve"> </w:t>
      </w:r>
      <w:r w:rsidRPr="00D61E7E">
        <w:rPr>
          <w:rFonts w:ascii="Times New Roman" w:hAnsi="Times New Roman" w:cs="Times New Roman"/>
          <w:sz w:val="28"/>
          <w:szCs w:val="28"/>
        </w:rPr>
        <w:t>que prorrogaba</w:t>
      </w:r>
      <w:r w:rsidRPr="00D61E7E">
        <w:rPr>
          <w:rFonts w:ascii="Times New Roman" w:hAnsi="Times New Roman" w:cs="Times New Roman"/>
          <w:sz w:val="28"/>
          <w:szCs w:val="28"/>
        </w:rPr>
        <w:t xml:space="preserve"> los </w:t>
      </w:r>
      <w:r w:rsidRPr="00D61E7E">
        <w:rPr>
          <w:rFonts w:ascii="Times New Roman" w:hAnsi="Times New Roman" w:cs="Times New Roman"/>
          <w:sz w:val="28"/>
          <w:szCs w:val="28"/>
        </w:rPr>
        <w:t>d</w:t>
      </w:r>
      <w:r w:rsidRPr="00D61E7E">
        <w:rPr>
          <w:rFonts w:ascii="Times New Roman" w:hAnsi="Times New Roman" w:cs="Times New Roman"/>
          <w:sz w:val="28"/>
          <w:szCs w:val="28"/>
        </w:rPr>
        <w:t xml:space="preserve">ecretos </w:t>
      </w:r>
      <w:r w:rsidRPr="00D61E7E">
        <w:rPr>
          <w:rFonts w:ascii="Times New Roman" w:hAnsi="Times New Roman" w:cs="Times New Roman"/>
          <w:sz w:val="28"/>
          <w:szCs w:val="28"/>
        </w:rPr>
        <w:t>l</w:t>
      </w:r>
      <w:r w:rsidRPr="00D61E7E">
        <w:rPr>
          <w:rFonts w:ascii="Times New Roman" w:hAnsi="Times New Roman" w:cs="Times New Roman"/>
          <w:sz w:val="28"/>
          <w:szCs w:val="28"/>
        </w:rPr>
        <w:t>egislativos 560 y 772</w:t>
      </w:r>
      <w:r w:rsidRPr="00D61E7E">
        <w:rPr>
          <w:rFonts w:ascii="Times New Roman" w:hAnsi="Times New Roman" w:cs="Times New Roman"/>
          <w:sz w:val="28"/>
          <w:szCs w:val="28"/>
        </w:rPr>
        <w:t xml:space="preserve"> </w:t>
      </w:r>
      <w:r w:rsidRPr="00D61E7E">
        <w:rPr>
          <w:rFonts w:ascii="Times New Roman" w:hAnsi="Times New Roman" w:cs="Times New Roman"/>
          <w:sz w:val="28"/>
          <w:szCs w:val="28"/>
        </w:rPr>
        <w:t xml:space="preserve">de 2020 en los </w:t>
      </w:r>
      <w:r w:rsidRPr="00D61E7E">
        <w:rPr>
          <w:rFonts w:ascii="Times New Roman" w:hAnsi="Times New Roman" w:cs="Times New Roman"/>
          <w:sz w:val="28"/>
          <w:szCs w:val="28"/>
        </w:rPr>
        <w:t>que el Gobierno estableció normas dirigidas a proteger la preservación de las empresas a través de su reorganización</w:t>
      </w:r>
      <w:r w:rsidRPr="00D61E7E">
        <w:rPr>
          <w:rFonts w:ascii="Times New Roman" w:hAnsi="Times New Roman" w:cs="Times New Roman"/>
          <w:sz w:val="28"/>
          <w:szCs w:val="28"/>
        </w:rPr>
        <w:t xml:space="preserve"> y</w:t>
      </w:r>
      <w:r w:rsidRPr="00D61E7E">
        <w:rPr>
          <w:rFonts w:ascii="Times New Roman" w:hAnsi="Times New Roman" w:cs="Times New Roman"/>
          <w:sz w:val="28"/>
          <w:szCs w:val="28"/>
        </w:rPr>
        <w:t xml:space="preserve"> a facilitar su liquidación cuando su recuperación no era posible. </w:t>
      </w:r>
      <w:r w:rsidRPr="00D61E7E">
        <w:rPr>
          <w:rFonts w:ascii="Times New Roman" w:hAnsi="Times New Roman" w:cs="Times New Roman"/>
          <w:sz w:val="28"/>
          <w:szCs w:val="28"/>
        </w:rPr>
        <w:t xml:space="preserve">La Corte encontró </w:t>
      </w:r>
      <w:r w:rsidRPr="00D61E7E">
        <w:rPr>
          <w:rFonts w:ascii="Times New Roman" w:hAnsi="Times New Roman" w:cs="Times New Roman"/>
          <w:sz w:val="28"/>
          <w:szCs w:val="28"/>
        </w:rPr>
        <w:t xml:space="preserve">que la prolongación de </w:t>
      </w:r>
      <w:r w:rsidRPr="00D61E7E">
        <w:rPr>
          <w:rFonts w:ascii="Times New Roman" w:hAnsi="Times New Roman" w:cs="Times New Roman"/>
          <w:sz w:val="28"/>
          <w:szCs w:val="28"/>
        </w:rPr>
        <w:t xml:space="preserve">tales </w:t>
      </w:r>
      <w:r w:rsidRPr="00D61E7E">
        <w:rPr>
          <w:rFonts w:ascii="Times New Roman" w:hAnsi="Times New Roman" w:cs="Times New Roman"/>
          <w:sz w:val="28"/>
          <w:szCs w:val="28"/>
        </w:rPr>
        <w:t>decretos legislativos en</w:t>
      </w:r>
      <w:r w:rsidRPr="00D61E7E">
        <w:rPr>
          <w:rFonts w:ascii="Times New Roman" w:hAnsi="Times New Roman" w:cs="Times New Roman"/>
          <w:sz w:val="28"/>
          <w:szCs w:val="28"/>
        </w:rPr>
        <w:t xml:space="preserve"> una ley de ca</w:t>
      </w:r>
      <w:r w:rsidRPr="00D61E7E">
        <w:rPr>
          <w:rFonts w:ascii="Times New Roman" w:hAnsi="Times New Roman" w:cs="Times New Roman"/>
          <w:sz w:val="28"/>
          <w:szCs w:val="28"/>
        </w:rPr>
        <w:t>rácter eminentemente tributario</w:t>
      </w:r>
      <w:r w:rsidRPr="00D61E7E">
        <w:rPr>
          <w:rFonts w:ascii="Times New Roman" w:hAnsi="Times New Roman" w:cs="Times New Roman"/>
          <w:sz w:val="28"/>
          <w:szCs w:val="28"/>
        </w:rPr>
        <w:t xml:space="preserve"> resulta</w:t>
      </w:r>
      <w:r w:rsidRPr="00D61E7E">
        <w:rPr>
          <w:rFonts w:ascii="Times New Roman" w:hAnsi="Times New Roman" w:cs="Times New Roman"/>
          <w:sz w:val="28"/>
          <w:szCs w:val="28"/>
        </w:rPr>
        <w:t>ba</w:t>
      </w:r>
      <w:r w:rsidRPr="00D61E7E">
        <w:rPr>
          <w:rFonts w:ascii="Times New Roman" w:hAnsi="Times New Roman" w:cs="Times New Roman"/>
          <w:sz w:val="28"/>
          <w:szCs w:val="28"/>
        </w:rPr>
        <w:t xml:space="preserve"> </w:t>
      </w:r>
      <w:r w:rsidRPr="00D61E7E">
        <w:rPr>
          <w:rFonts w:ascii="Times New Roman" w:hAnsi="Times New Roman" w:cs="Times New Roman"/>
          <w:sz w:val="28"/>
          <w:szCs w:val="28"/>
        </w:rPr>
        <w:t>violatoria</w:t>
      </w:r>
      <w:r w:rsidRPr="00D61E7E">
        <w:rPr>
          <w:rFonts w:ascii="Times New Roman" w:hAnsi="Times New Roman" w:cs="Times New Roman"/>
          <w:sz w:val="28"/>
          <w:szCs w:val="28"/>
        </w:rPr>
        <w:t xml:space="preserve"> del principio de unidad de materia que consagran los artículos 158 y 169 de la Constit</w:t>
      </w:r>
      <w:r w:rsidRPr="00D61E7E">
        <w:rPr>
          <w:rFonts w:ascii="Times New Roman" w:hAnsi="Times New Roman" w:cs="Times New Roman"/>
          <w:sz w:val="28"/>
          <w:szCs w:val="28"/>
        </w:rPr>
        <w:t>ución Política, pues no se logró</w:t>
      </w:r>
      <w:r w:rsidRPr="00D61E7E">
        <w:rPr>
          <w:rFonts w:ascii="Times New Roman" w:hAnsi="Times New Roman" w:cs="Times New Roman"/>
          <w:sz w:val="28"/>
          <w:szCs w:val="28"/>
        </w:rPr>
        <w:t xml:space="preserve"> identificar qué tipo de relación podrían </w:t>
      </w:r>
      <w:r w:rsidRPr="00D61E7E">
        <w:rPr>
          <w:rFonts w:ascii="Times New Roman" w:hAnsi="Times New Roman" w:cs="Times New Roman"/>
          <w:sz w:val="28"/>
          <w:szCs w:val="28"/>
        </w:rPr>
        <w:t xml:space="preserve">tener </w:t>
      </w:r>
      <w:r w:rsidRPr="00D61E7E">
        <w:rPr>
          <w:rFonts w:ascii="Times New Roman" w:hAnsi="Times New Roman" w:cs="Times New Roman"/>
          <w:sz w:val="28"/>
          <w:szCs w:val="28"/>
        </w:rPr>
        <w:t>dichas normas con la re</w:t>
      </w:r>
      <w:r w:rsidRPr="00D61E7E">
        <w:rPr>
          <w:rFonts w:ascii="Times New Roman" w:hAnsi="Times New Roman" w:cs="Times New Roman"/>
          <w:sz w:val="28"/>
          <w:szCs w:val="28"/>
        </w:rPr>
        <w:t>forma tributaria de la Ley 2277</w:t>
      </w:r>
      <w:r w:rsidRPr="00D61E7E">
        <w:rPr>
          <w:rFonts w:ascii="Times New Roman" w:hAnsi="Times New Roman" w:cs="Times New Roman"/>
          <w:sz w:val="28"/>
          <w:szCs w:val="28"/>
        </w:rPr>
        <w:t xml:space="preserve"> de 2022</w:t>
      </w:r>
      <w:r w:rsidRPr="00D61E7E">
        <w:rPr>
          <w:rFonts w:ascii="Times New Roman" w:hAnsi="Times New Roman" w:cs="Times New Roman"/>
          <w:sz w:val="28"/>
          <w:szCs w:val="28"/>
        </w:rPr>
        <w:t>.</w:t>
      </w:r>
    </w:p>
    <w:p w:rsidR="008D58AB" w:rsidRPr="00D61E7E" w:rsidRDefault="00D61E7E" w:rsidP="00963AB1">
      <w:pPr>
        <w:pStyle w:val="Prrafodelista"/>
        <w:shd w:val="clear" w:color="auto" w:fill="FFFFFF"/>
        <w:spacing w:after="0" w:line="240" w:lineRule="auto"/>
        <w:ind w:left="0"/>
        <w:rPr>
          <w:rFonts w:ascii="Times New Roman" w:hAnsi="Times New Roman" w:cs="Times New Roman"/>
          <w:sz w:val="28"/>
          <w:szCs w:val="28"/>
        </w:rPr>
      </w:pPr>
    </w:p>
    <w:p w:rsidR="00803B05" w:rsidRPr="00D61E7E" w:rsidRDefault="00D61E7E" w:rsidP="00963AB1">
      <w:pPr>
        <w:pStyle w:val="Prrafodelista"/>
        <w:numPr>
          <w:ilvl w:val="0"/>
          <w:numId w:val="5"/>
        </w:numPr>
        <w:shd w:val="clear" w:color="auto" w:fill="FFFFFF"/>
        <w:spacing w:after="0" w:line="240" w:lineRule="auto"/>
        <w:ind w:left="0" w:firstLine="0"/>
        <w:rPr>
          <w:rFonts w:ascii="Times New Roman" w:hAnsi="Times New Roman" w:cs="Times New Roman"/>
          <w:sz w:val="28"/>
          <w:szCs w:val="28"/>
        </w:rPr>
      </w:pPr>
      <w:r w:rsidRPr="00D61E7E">
        <w:rPr>
          <w:rFonts w:ascii="Times New Roman" w:hAnsi="Times New Roman" w:cs="Times New Roman"/>
          <w:sz w:val="28"/>
          <w:szCs w:val="28"/>
        </w:rPr>
        <w:t xml:space="preserve">En los términos anteriores </w:t>
      </w:r>
      <w:r w:rsidRPr="00D61E7E">
        <w:rPr>
          <w:rFonts w:ascii="Times New Roman" w:hAnsi="Times New Roman" w:cs="Times New Roman"/>
          <w:sz w:val="28"/>
          <w:szCs w:val="28"/>
        </w:rPr>
        <w:t>expresamos</w:t>
      </w:r>
      <w:r w:rsidRPr="00D61E7E">
        <w:rPr>
          <w:rFonts w:ascii="Times New Roman" w:hAnsi="Times New Roman" w:cs="Times New Roman"/>
          <w:sz w:val="28"/>
          <w:szCs w:val="28"/>
        </w:rPr>
        <w:t xml:space="preserve"> las razones de </w:t>
      </w:r>
      <w:r w:rsidRPr="00D61E7E">
        <w:rPr>
          <w:rFonts w:ascii="Times New Roman" w:hAnsi="Times New Roman" w:cs="Times New Roman"/>
          <w:sz w:val="28"/>
          <w:szCs w:val="28"/>
        </w:rPr>
        <w:t>nuestra</w:t>
      </w:r>
      <w:r w:rsidRPr="00D61E7E">
        <w:rPr>
          <w:rFonts w:ascii="Times New Roman" w:hAnsi="Times New Roman" w:cs="Times New Roman"/>
          <w:sz w:val="28"/>
          <w:szCs w:val="28"/>
        </w:rPr>
        <w:t xml:space="preserve"> discrepancia. </w:t>
      </w:r>
    </w:p>
    <w:p w:rsidR="00803B05" w:rsidRPr="00D61E7E" w:rsidRDefault="00D61E7E" w:rsidP="00963AB1">
      <w:pPr>
        <w:spacing w:after="0" w:line="240" w:lineRule="auto"/>
        <w:jc w:val="both"/>
        <w:rPr>
          <w:rFonts w:ascii="Times New Roman" w:hAnsi="Times New Roman" w:cs="Times New Roman"/>
          <w:sz w:val="28"/>
          <w:szCs w:val="28"/>
        </w:rPr>
      </w:pPr>
    </w:p>
    <w:p w:rsidR="00B92B1F" w:rsidRPr="00D61E7E" w:rsidRDefault="00D61E7E" w:rsidP="00477B2E">
      <w:pPr>
        <w:spacing w:after="0" w:line="240" w:lineRule="auto"/>
        <w:jc w:val="both"/>
        <w:rPr>
          <w:rFonts w:ascii="Times New Roman" w:hAnsi="Times New Roman" w:cs="Times New Roman"/>
          <w:sz w:val="28"/>
          <w:szCs w:val="28"/>
        </w:rPr>
      </w:pPr>
      <w:r w:rsidRPr="00D61E7E">
        <w:rPr>
          <w:rFonts w:ascii="Times New Roman" w:hAnsi="Times New Roman" w:cs="Times New Roman"/>
          <w:sz w:val="28"/>
          <w:szCs w:val="28"/>
        </w:rPr>
        <w:t>Fecha ut supra,</w:t>
      </w:r>
    </w:p>
    <w:p w:rsidR="00BB209F" w:rsidRPr="00D61E7E" w:rsidRDefault="00D61E7E" w:rsidP="00477B2E">
      <w:pPr>
        <w:spacing w:after="0" w:line="240" w:lineRule="auto"/>
        <w:jc w:val="both"/>
        <w:rPr>
          <w:rFonts w:ascii="Times New Roman" w:hAnsi="Times New Roman" w:cs="Times New Roman"/>
          <w:sz w:val="28"/>
          <w:szCs w:val="28"/>
        </w:rPr>
      </w:pPr>
    </w:p>
    <w:p w:rsidR="00BB209F" w:rsidRPr="00D61E7E" w:rsidRDefault="00D61E7E" w:rsidP="00477B2E">
      <w:pPr>
        <w:spacing w:after="0" w:line="240" w:lineRule="auto"/>
        <w:jc w:val="both"/>
        <w:rPr>
          <w:rFonts w:ascii="Times New Roman" w:hAnsi="Times New Roman" w:cs="Times New Roman"/>
          <w:sz w:val="28"/>
          <w:szCs w:val="28"/>
        </w:rPr>
      </w:pPr>
    </w:p>
    <w:p w:rsidR="005A1331" w:rsidRPr="00D61E7E" w:rsidRDefault="00D61E7E" w:rsidP="00477B2E">
      <w:pPr>
        <w:spacing w:after="0" w:line="240" w:lineRule="auto"/>
        <w:jc w:val="both"/>
        <w:rPr>
          <w:rFonts w:ascii="Times New Roman" w:hAnsi="Times New Roman" w:cs="Times New Roman"/>
          <w:sz w:val="28"/>
          <w:szCs w:val="28"/>
        </w:rPr>
      </w:pPr>
    </w:p>
    <w:p w:rsidR="00BB209F" w:rsidRPr="00D61E7E" w:rsidRDefault="00D61E7E" w:rsidP="00BB209F">
      <w:pPr>
        <w:spacing w:after="0" w:line="240" w:lineRule="auto"/>
        <w:jc w:val="center"/>
        <w:rPr>
          <w:rFonts w:ascii="Times New Roman" w:hAnsi="Times New Roman" w:cs="Times New Roman"/>
          <w:b/>
          <w:bCs/>
          <w:sz w:val="28"/>
          <w:szCs w:val="28"/>
        </w:rPr>
      </w:pPr>
      <w:r w:rsidRPr="00D61E7E">
        <w:rPr>
          <w:rFonts w:ascii="Times New Roman" w:hAnsi="Times New Roman" w:cs="Times New Roman"/>
          <w:b/>
          <w:bCs/>
          <w:sz w:val="28"/>
          <w:szCs w:val="28"/>
        </w:rPr>
        <w:t>DIANA FAJARDO RIVERA</w:t>
      </w:r>
    </w:p>
    <w:p w:rsidR="00BB209F" w:rsidRPr="00D61E7E" w:rsidRDefault="00D61E7E" w:rsidP="00BB209F">
      <w:pPr>
        <w:spacing w:after="0" w:line="240" w:lineRule="auto"/>
        <w:jc w:val="center"/>
        <w:rPr>
          <w:rFonts w:ascii="Times New Roman" w:hAnsi="Times New Roman" w:cs="Times New Roman"/>
          <w:b/>
          <w:bCs/>
          <w:sz w:val="28"/>
          <w:szCs w:val="28"/>
        </w:rPr>
      </w:pPr>
      <w:r w:rsidRPr="00D61E7E">
        <w:rPr>
          <w:rFonts w:ascii="Times New Roman" w:hAnsi="Times New Roman" w:cs="Times New Roman"/>
          <w:b/>
          <w:bCs/>
          <w:sz w:val="28"/>
          <w:szCs w:val="28"/>
        </w:rPr>
        <w:t>Magistrada</w:t>
      </w:r>
    </w:p>
    <w:p w:rsidR="00BB209F" w:rsidRPr="00D61E7E" w:rsidRDefault="00D61E7E" w:rsidP="00BB209F">
      <w:pPr>
        <w:spacing w:after="0" w:line="240" w:lineRule="auto"/>
        <w:jc w:val="center"/>
        <w:rPr>
          <w:rFonts w:ascii="Times New Roman" w:hAnsi="Times New Roman" w:cs="Times New Roman"/>
          <w:b/>
          <w:bCs/>
          <w:sz w:val="28"/>
          <w:szCs w:val="28"/>
        </w:rPr>
      </w:pPr>
    </w:p>
    <w:p w:rsidR="00BB209F" w:rsidRPr="00D61E7E" w:rsidRDefault="00D61E7E" w:rsidP="00BB209F">
      <w:pPr>
        <w:spacing w:after="0" w:line="240" w:lineRule="auto"/>
        <w:jc w:val="center"/>
        <w:rPr>
          <w:rFonts w:ascii="Times New Roman" w:hAnsi="Times New Roman" w:cs="Times New Roman"/>
          <w:b/>
          <w:bCs/>
          <w:sz w:val="28"/>
          <w:szCs w:val="28"/>
        </w:rPr>
      </w:pPr>
    </w:p>
    <w:p w:rsidR="00BB209F" w:rsidRPr="00D61E7E" w:rsidRDefault="00D61E7E" w:rsidP="00BB209F">
      <w:pPr>
        <w:spacing w:after="0" w:line="240" w:lineRule="auto"/>
        <w:jc w:val="center"/>
        <w:rPr>
          <w:rFonts w:ascii="Times New Roman" w:hAnsi="Times New Roman" w:cs="Times New Roman"/>
          <w:b/>
          <w:bCs/>
          <w:sz w:val="28"/>
          <w:szCs w:val="28"/>
        </w:rPr>
      </w:pPr>
    </w:p>
    <w:p w:rsidR="00BB209F" w:rsidRPr="00D61E7E" w:rsidRDefault="00D61E7E" w:rsidP="00BB209F">
      <w:pPr>
        <w:spacing w:after="0" w:line="240" w:lineRule="auto"/>
        <w:jc w:val="center"/>
        <w:rPr>
          <w:rFonts w:ascii="Times New Roman" w:hAnsi="Times New Roman" w:cs="Times New Roman"/>
          <w:b/>
          <w:bCs/>
          <w:sz w:val="28"/>
          <w:szCs w:val="28"/>
        </w:rPr>
      </w:pPr>
      <w:r w:rsidRPr="00D61E7E">
        <w:rPr>
          <w:rFonts w:ascii="Times New Roman" w:hAnsi="Times New Roman" w:cs="Times New Roman"/>
          <w:b/>
          <w:bCs/>
          <w:sz w:val="28"/>
          <w:szCs w:val="28"/>
        </w:rPr>
        <w:t>CRISTINA PARDO SCHLESINGER</w:t>
      </w:r>
    </w:p>
    <w:p w:rsidR="00BB209F" w:rsidRPr="00D61E7E" w:rsidRDefault="00D61E7E" w:rsidP="00BB209F">
      <w:pPr>
        <w:spacing w:after="0" w:line="240" w:lineRule="auto"/>
        <w:jc w:val="center"/>
        <w:rPr>
          <w:rFonts w:ascii="Times New Roman" w:hAnsi="Times New Roman" w:cs="Times New Roman"/>
          <w:b/>
          <w:bCs/>
          <w:sz w:val="28"/>
          <w:szCs w:val="28"/>
        </w:rPr>
      </w:pPr>
      <w:r w:rsidRPr="00D61E7E">
        <w:rPr>
          <w:rFonts w:ascii="Times New Roman" w:hAnsi="Times New Roman" w:cs="Times New Roman"/>
          <w:b/>
          <w:bCs/>
          <w:sz w:val="28"/>
          <w:szCs w:val="28"/>
        </w:rPr>
        <w:t>Magistrada</w:t>
      </w:r>
    </w:p>
    <w:sectPr w:rsidR="00BB209F" w:rsidRPr="00D61E7E">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61E7E">
      <w:pPr>
        <w:spacing w:after="0" w:line="240" w:lineRule="auto"/>
      </w:pPr>
      <w:r>
        <w:separator/>
      </w:r>
    </w:p>
  </w:endnote>
  <w:endnote w:type="continuationSeparator" w:id="0">
    <w:p w:rsidR="00000000" w:rsidRDefault="00D61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61E7E">
      <w:pPr>
        <w:spacing w:after="0" w:line="240" w:lineRule="auto"/>
      </w:pPr>
      <w:r>
        <w:separator/>
      </w:r>
    </w:p>
  </w:footnote>
  <w:footnote w:type="continuationSeparator" w:id="0">
    <w:p w:rsidR="00000000" w:rsidRDefault="00D61E7E">
      <w:pPr>
        <w:spacing w:after="0" w:line="240" w:lineRule="auto"/>
      </w:pPr>
      <w:r>
        <w:continuationSeparator/>
      </w:r>
    </w:p>
  </w:footnote>
  <w:footnote w:id="1">
    <w:p w:rsidR="00D95E2E" w:rsidRPr="009A374E" w:rsidRDefault="00D61E7E" w:rsidP="00F416DC">
      <w:pPr>
        <w:pStyle w:val="Textonotapie"/>
        <w:contextualSpacing/>
        <w:rPr>
          <w:rFonts w:ascii="Times New Roman" w:hAnsi="Times New Roman" w:cs="Times New Roman"/>
        </w:rPr>
      </w:pPr>
      <w:r w:rsidRPr="009A374E">
        <w:rPr>
          <w:rStyle w:val="Refdenotaalpie"/>
          <w:rFonts w:ascii="Times New Roman" w:hAnsi="Times New Roman" w:cs="Times New Roman"/>
        </w:rPr>
        <w:footnoteRef/>
      </w:r>
      <w:r w:rsidRPr="009A374E">
        <w:rPr>
          <w:rFonts w:ascii="Times New Roman" w:hAnsi="Times New Roman" w:cs="Times New Roman"/>
        </w:rPr>
        <w:t xml:space="preserve"> “Por medio de la cual se impulsa el emprendimiento en Colombia”.</w:t>
      </w:r>
    </w:p>
  </w:footnote>
  <w:footnote w:id="2">
    <w:p w:rsidR="00D95E2E" w:rsidRPr="009A374E" w:rsidRDefault="00D61E7E" w:rsidP="00F416DC">
      <w:pPr>
        <w:pStyle w:val="Textonotapie"/>
        <w:rPr>
          <w:rFonts w:ascii="Times New Roman" w:hAnsi="Times New Roman" w:cs="Times New Roman"/>
          <w:lang w:val="es-ES"/>
        </w:rPr>
      </w:pPr>
      <w:r w:rsidRPr="009A374E">
        <w:rPr>
          <w:rStyle w:val="Refdenotaalpie"/>
          <w:rFonts w:ascii="Times New Roman" w:hAnsi="Times New Roman" w:cs="Times New Roman"/>
        </w:rPr>
        <w:footnoteRef/>
      </w:r>
      <w:r w:rsidRPr="009A374E">
        <w:rPr>
          <w:rFonts w:ascii="Times New Roman" w:hAnsi="Times New Roman" w:cs="Times New Roman"/>
        </w:rPr>
        <w:t xml:space="preserve"> </w:t>
      </w:r>
      <w:r w:rsidRPr="009A374E">
        <w:rPr>
          <w:rFonts w:ascii="Times New Roman" w:hAnsi="Times New Roman" w:cs="Times New Roman"/>
          <w:lang w:val="es-ES"/>
        </w:rPr>
        <w:t xml:space="preserve">Expediente digital D-15125. Demanda de inconstitucionalidad, folio 8. </w:t>
      </w:r>
    </w:p>
  </w:footnote>
  <w:footnote w:id="3">
    <w:p w:rsidR="00D95E2E" w:rsidRPr="009A374E" w:rsidRDefault="00D61E7E" w:rsidP="00F416DC">
      <w:pPr>
        <w:pStyle w:val="Textonotapie"/>
        <w:rPr>
          <w:rFonts w:ascii="Times New Roman" w:hAnsi="Times New Roman" w:cs="Times New Roman"/>
          <w:lang w:val="es-ES"/>
        </w:rPr>
      </w:pPr>
      <w:r w:rsidRPr="009A374E">
        <w:rPr>
          <w:rStyle w:val="Refdenotaalpie"/>
          <w:rFonts w:ascii="Times New Roman" w:hAnsi="Times New Roman" w:cs="Times New Roman"/>
        </w:rPr>
        <w:footnoteRef/>
      </w:r>
      <w:r w:rsidRPr="009A374E">
        <w:rPr>
          <w:rFonts w:ascii="Times New Roman" w:hAnsi="Times New Roman" w:cs="Times New Roman"/>
        </w:rPr>
        <w:t xml:space="preserve"> </w:t>
      </w:r>
      <w:r w:rsidRPr="009A374E">
        <w:rPr>
          <w:rFonts w:ascii="Times New Roman" w:hAnsi="Times New Roman" w:cs="Times New Roman"/>
          <w:lang w:val="es-ES"/>
        </w:rPr>
        <w:t xml:space="preserve">Ibid., folio 8. </w:t>
      </w:r>
    </w:p>
  </w:footnote>
  <w:footnote w:id="4">
    <w:p w:rsidR="00D95E2E" w:rsidRPr="009A374E" w:rsidRDefault="00D61E7E" w:rsidP="00F97DD1">
      <w:pPr>
        <w:pStyle w:val="centrado"/>
        <w:spacing w:before="0" w:beforeAutospacing="0" w:after="0" w:afterAutospacing="0"/>
        <w:ind w:right="49"/>
        <w:contextualSpacing/>
        <w:jc w:val="both"/>
        <w:rPr>
          <w:rFonts w:eastAsiaTheme="minorHAnsi"/>
          <w:color w:val="000000" w:themeColor="text1"/>
          <w:sz w:val="20"/>
          <w:szCs w:val="20"/>
          <w:lang w:eastAsia="es-ES"/>
        </w:rPr>
      </w:pPr>
      <w:r w:rsidRPr="009A374E">
        <w:rPr>
          <w:rStyle w:val="Refdenotaalpie"/>
          <w:sz w:val="20"/>
          <w:szCs w:val="20"/>
        </w:rPr>
        <w:footnoteRef/>
      </w:r>
      <w:r w:rsidRPr="009A374E">
        <w:rPr>
          <w:sz w:val="20"/>
          <w:szCs w:val="20"/>
        </w:rPr>
        <w:t xml:space="preserve"> “</w:t>
      </w:r>
      <w:r w:rsidRPr="009A374E">
        <w:rPr>
          <w:rFonts w:eastAsiaTheme="minorHAnsi"/>
          <w:color w:val="000000" w:themeColor="text1"/>
          <w:sz w:val="20"/>
          <w:szCs w:val="20"/>
          <w:lang w:eastAsia="es-ES"/>
        </w:rPr>
        <w:t>El Gobierno nacional garantizará los recursos técnicos, administrativos, financieros y humanos para el traslado de tales funciones y establecerá la tarifa o contribución que por concepto del servicio administrativo de supervisión deberán pagar, las cámaras</w:t>
      </w:r>
      <w:r w:rsidRPr="009A374E">
        <w:rPr>
          <w:rFonts w:eastAsiaTheme="minorHAnsi"/>
          <w:color w:val="000000" w:themeColor="text1"/>
          <w:sz w:val="20"/>
          <w:szCs w:val="20"/>
          <w:lang w:eastAsia="es-ES"/>
        </w:rPr>
        <w:t xml:space="preserve"> de comercio a la Superintendencia de Sociedades, de conformidad con los recursos necesarias para tal fin y su presupuesto, la cual será recaudada por la Superintendencia de Sociedades”. </w:t>
      </w:r>
    </w:p>
  </w:footnote>
  <w:footnote w:id="5">
    <w:p w:rsidR="00D95E2E" w:rsidRPr="009A374E" w:rsidRDefault="00D61E7E" w:rsidP="00F416DC">
      <w:pPr>
        <w:pStyle w:val="Textonotapie"/>
        <w:rPr>
          <w:rFonts w:ascii="Times New Roman" w:hAnsi="Times New Roman" w:cs="Times New Roman"/>
        </w:rPr>
      </w:pPr>
      <w:r w:rsidRPr="009A374E">
        <w:rPr>
          <w:rStyle w:val="Refdenotaalpie"/>
          <w:rFonts w:ascii="Times New Roman" w:hAnsi="Times New Roman" w:cs="Times New Roman"/>
        </w:rPr>
        <w:footnoteRef/>
      </w:r>
      <w:r w:rsidRPr="009A374E">
        <w:rPr>
          <w:rFonts w:ascii="Times New Roman" w:hAnsi="Times New Roman" w:cs="Times New Roman"/>
        </w:rPr>
        <w:t xml:space="preserve"> Ibid., folio 8. </w:t>
      </w:r>
    </w:p>
  </w:footnote>
  <w:footnote w:id="6">
    <w:p w:rsidR="00D95E2E" w:rsidRPr="009A374E" w:rsidRDefault="00D61E7E" w:rsidP="00F416DC">
      <w:pPr>
        <w:pStyle w:val="Textonotapie"/>
        <w:rPr>
          <w:rFonts w:ascii="Times New Roman" w:hAnsi="Times New Roman" w:cs="Times New Roman"/>
        </w:rPr>
      </w:pPr>
      <w:r w:rsidRPr="009A374E">
        <w:rPr>
          <w:rStyle w:val="Refdenotaalpie"/>
          <w:rFonts w:ascii="Times New Roman" w:hAnsi="Times New Roman" w:cs="Times New Roman"/>
        </w:rPr>
        <w:footnoteRef/>
      </w:r>
      <w:r w:rsidRPr="009A374E">
        <w:rPr>
          <w:rFonts w:ascii="Times New Roman" w:hAnsi="Times New Roman" w:cs="Times New Roman"/>
        </w:rPr>
        <w:t xml:space="preserve"> Ibid., folio 32. </w:t>
      </w:r>
    </w:p>
  </w:footnote>
  <w:footnote w:id="7">
    <w:p w:rsidR="00D95E2E" w:rsidRPr="009A374E" w:rsidRDefault="00D61E7E" w:rsidP="00F416DC">
      <w:pPr>
        <w:pStyle w:val="Textonotapie"/>
        <w:rPr>
          <w:rFonts w:ascii="Times New Roman" w:hAnsi="Times New Roman" w:cs="Times New Roman"/>
        </w:rPr>
      </w:pPr>
      <w:r w:rsidRPr="009A374E">
        <w:rPr>
          <w:rStyle w:val="Refdenotaalpie"/>
          <w:rFonts w:ascii="Times New Roman" w:hAnsi="Times New Roman" w:cs="Times New Roman"/>
        </w:rPr>
        <w:footnoteRef/>
      </w:r>
      <w:r w:rsidRPr="009A374E">
        <w:rPr>
          <w:rFonts w:ascii="Times New Roman" w:hAnsi="Times New Roman" w:cs="Times New Roman"/>
        </w:rPr>
        <w:t xml:space="preserve"> Ibid., folio 34. </w:t>
      </w:r>
    </w:p>
  </w:footnote>
  <w:footnote w:id="8">
    <w:p w:rsidR="00D95E2E" w:rsidRPr="009A374E" w:rsidRDefault="00D61E7E" w:rsidP="00F416DC">
      <w:pPr>
        <w:pStyle w:val="Textonotapie"/>
        <w:rPr>
          <w:rFonts w:ascii="Times New Roman" w:hAnsi="Times New Roman" w:cs="Times New Roman"/>
          <w:lang w:val="es-ES"/>
        </w:rPr>
      </w:pPr>
      <w:r w:rsidRPr="009A374E">
        <w:rPr>
          <w:rStyle w:val="Refdenotaalpie"/>
          <w:rFonts w:ascii="Times New Roman" w:hAnsi="Times New Roman" w:cs="Times New Roman"/>
        </w:rPr>
        <w:footnoteRef/>
      </w:r>
      <w:r w:rsidRPr="009A374E">
        <w:rPr>
          <w:rFonts w:ascii="Times New Roman" w:hAnsi="Times New Roman" w:cs="Times New Roman"/>
        </w:rPr>
        <w:t xml:space="preserve"> </w:t>
      </w:r>
      <w:r w:rsidRPr="009A374E">
        <w:rPr>
          <w:rFonts w:ascii="Times New Roman" w:hAnsi="Times New Roman" w:cs="Times New Roman"/>
          <w:lang w:val="es-ES"/>
        </w:rPr>
        <w:t>En la c</w:t>
      </w:r>
      <w:r w:rsidRPr="009A374E">
        <w:rPr>
          <w:rFonts w:ascii="Times New Roman" w:hAnsi="Times New Roman" w:cs="Times New Roman"/>
          <w:lang w:val="es-ES"/>
        </w:rPr>
        <w:t>onclusión del acápite de su intervención donde cuestiona la aptitud de la demanda, la SIC plantea que el cargo no es claro, pertinente y suficiente. Sin embargo, una vez analizado en detalle el memorial, la Sala Plena encuentra que en realidad todos los ar</w:t>
      </w:r>
      <w:r w:rsidRPr="009A374E">
        <w:rPr>
          <w:rFonts w:ascii="Times New Roman" w:hAnsi="Times New Roman" w:cs="Times New Roman"/>
          <w:lang w:val="es-ES"/>
        </w:rPr>
        <w:t>gumentos presentados por la entidad se circunscriben a cuestionar la claridad del cargo, no así su pertinencia y suficiencia. Por esa razón, solo se hace referencia al argumento realmente expuesto por la superintendencia de acuerdo con los términos de su i</w:t>
      </w:r>
      <w:r w:rsidRPr="009A374E">
        <w:rPr>
          <w:rFonts w:ascii="Times New Roman" w:hAnsi="Times New Roman" w:cs="Times New Roman"/>
          <w:lang w:val="es-ES"/>
        </w:rPr>
        <w:t xml:space="preserve">ntervención. </w:t>
      </w:r>
    </w:p>
  </w:footnote>
  <w:footnote w:id="9">
    <w:p w:rsidR="00D95E2E" w:rsidRPr="009A374E" w:rsidRDefault="00D61E7E">
      <w:pPr>
        <w:pStyle w:val="Textonotapie"/>
        <w:rPr>
          <w:rFonts w:ascii="Times New Roman" w:hAnsi="Times New Roman" w:cs="Times New Roman"/>
          <w:lang w:val="es-ES"/>
        </w:rPr>
      </w:pPr>
      <w:r w:rsidRPr="009A374E">
        <w:rPr>
          <w:rStyle w:val="Refdenotaalpie"/>
          <w:rFonts w:ascii="Times New Roman" w:hAnsi="Times New Roman" w:cs="Times New Roman"/>
        </w:rPr>
        <w:footnoteRef/>
      </w:r>
      <w:r w:rsidRPr="009A374E">
        <w:rPr>
          <w:rFonts w:ascii="Times New Roman" w:hAnsi="Times New Roman" w:cs="Times New Roman"/>
        </w:rPr>
        <w:t xml:space="preserve"> </w:t>
      </w:r>
      <w:r w:rsidRPr="009A374E">
        <w:rPr>
          <w:rFonts w:ascii="Times New Roman" w:hAnsi="Times New Roman" w:cs="Times New Roman"/>
          <w:lang w:val="es-ES"/>
        </w:rPr>
        <w:t>La estructura de este capítulo sigue el modelo de análisis desarrollado en la sentencia C-227 de 2023 con ponencia de la magistrada sustanciadora.</w:t>
      </w:r>
    </w:p>
  </w:footnote>
  <w:footnote w:id="10">
    <w:p w:rsidR="00D95E2E" w:rsidRPr="009A374E" w:rsidRDefault="00D61E7E" w:rsidP="00F416DC">
      <w:pPr>
        <w:pStyle w:val="Textonotapie"/>
        <w:ind w:right="-93"/>
        <w:rPr>
          <w:rFonts w:ascii="Times New Roman" w:hAnsi="Times New Roman" w:cs="Times New Roman"/>
        </w:rPr>
      </w:pPr>
      <w:r w:rsidRPr="009A374E">
        <w:rPr>
          <w:rStyle w:val="Refdenotaalpie"/>
          <w:rFonts w:ascii="Times New Roman" w:hAnsi="Times New Roman" w:cs="Times New Roman"/>
        </w:rPr>
        <w:footnoteRef/>
      </w:r>
      <w:r w:rsidRPr="009A374E">
        <w:rPr>
          <w:rFonts w:ascii="Times New Roman" w:hAnsi="Times New Roman" w:cs="Times New Roman"/>
        </w:rPr>
        <w:t xml:space="preserve"> Sentencia C-025 de 2020. En esa ocasión, la Corte se inhibió por ineptitud sustantiva de la</w:t>
      </w:r>
      <w:r w:rsidRPr="009A374E">
        <w:rPr>
          <w:rFonts w:ascii="Times New Roman" w:hAnsi="Times New Roman" w:cs="Times New Roman"/>
        </w:rPr>
        <w:t xml:space="preserve"> demanda. En particular, en ese caso la Corte concluyó que los cuestionamientos contenidos en la acción pública de inconstitucionalidad no cumplieron con los requisitos de claridad, certeza, pertinencia y especificidad. </w:t>
      </w:r>
    </w:p>
  </w:footnote>
  <w:footnote w:id="11">
    <w:p w:rsidR="00D95E2E" w:rsidRPr="009A374E" w:rsidRDefault="00D61E7E" w:rsidP="00F416DC">
      <w:pPr>
        <w:pStyle w:val="Textonotapie"/>
        <w:ind w:right="-93"/>
        <w:rPr>
          <w:rFonts w:ascii="Times New Roman" w:hAnsi="Times New Roman" w:cs="Times New Roman"/>
          <w:lang w:val="es-ES"/>
        </w:rPr>
      </w:pPr>
      <w:r w:rsidRPr="009A374E">
        <w:rPr>
          <w:rStyle w:val="Refdenotaalpie"/>
          <w:rFonts w:ascii="Times New Roman" w:hAnsi="Times New Roman" w:cs="Times New Roman"/>
        </w:rPr>
        <w:footnoteRef/>
      </w:r>
      <w:r w:rsidRPr="009A374E">
        <w:rPr>
          <w:rFonts w:ascii="Times New Roman" w:hAnsi="Times New Roman" w:cs="Times New Roman"/>
        </w:rPr>
        <w:t xml:space="preserve"> </w:t>
      </w:r>
      <w:r w:rsidRPr="009A374E">
        <w:rPr>
          <w:rFonts w:ascii="Times New Roman" w:hAnsi="Times New Roman" w:cs="Times New Roman"/>
          <w:lang w:val="es-ES"/>
        </w:rPr>
        <w:t xml:space="preserve">En ambas providencias, esta Corporación se inhibió para proferir decisión de fondo sobre el artículo 51 de la Ley 617 de 2002 y sobre la Ley 923 de 2004, respectivamente, por ineptitud sustantiva de las demandas.  </w:t>
      </w:r>
    </w:p>
  </w:footnote>
  <w:footnote w:id="12">
    <w:p w:rsidR="00D95E2E" w:rsidRPr="009A374E" w:rsidRDefault="00D61E7E" w:rsidP="00FE7573">
      <w:pPr>
        <w:pStyle w:val="Textonotapie"/>
        <w:rPr>
          <w:rFonts w:ascii="Times New Roman" w:hAnsi="Times New Roman" w:cs="Times New Roman"/>
        </w:rPr>
      </w:pPr>
      <w:r w:rsidRPr="009A374E">
        <w:rPr>
          <w:rStyle w:val="Refdenotaalpie"/>
          <w:rFonts w:ascii="Times New Roman" w:hAnsi="Times New Roman" w:cs="Times New Roman"/>
        </w:rPr>
        <w:footnoteRef/>
      </w:r>
      <w:r w:rsidRPr="009A374E">
        <w:rPr>
          <w:rFonts w:ascii="Times New Roman" w:hAnsi="Times New Roman" w:cs="Times New Roman"/>
        </w:rPr>
        <w:t xml:space="preserve"> En ambas sentencias, esta Corporación s</w:t>
      </w:r>
      <w:r w:rsidRPr="009A374E">
        <w:rPr>
          <w:rFonts w:ascii="Times New Roman" w:hAnsi="Times New Roman" w:cs="Times New Roman"/>
        </w:rPr>
        <w:t xml:space="preserve">e inhibió para proferir decisión de fondo sobre el artículo 51 de la Ley 617 de 2002 y sobre la Ley 923 de 2004, respectivamente, por ineptitud sustantiva de las demandas.  </w:t>
      </w:r>
    </w:p>
  </w:footnote>
  <w:footnote w:id="13">
    <w:p w:rsidR="00D95E2E" w:rsidRPr="009A374E" w:rsidRDefault="00D61E7E" w:rsidP="006A40C5">
      <w:pPr>
        <w:pStyle w:val="Textonotapie"/>
        <w:ind w:right="-232"/>
        <w:rPr>
          <w:rFonts w:ascii="Times New Roman" w:hAnsi="Times New Roman" w:cs="Times New Roman"/>
          <w:lang w:val="es-ES"/>
        </w:rPr>
      </w:pPr>
      <w:r w:rsidRPr="009A374E">
        <w:rPr>
          <w:rStyle w:val="Refdenotaalpie"/>
          <w:rFonts w:ascii="Times New Roman" w:hAnsi="Times New Roman" w:cs="Times New Roman"/>
        </w:rPr>
        <w:footnoteRef/>
      </w:r>
      <w:r w:rsidRPr="009A374E">
        <w:rPr>
          <w:rFonts w:ascii="Times New Roman" w:hAnsi="Times New Roman" w:cs="Times New Roman"/>
        </w:rPr>
        <w:t xml:space="preserve"> </w:t>
      </w:r>
      <w:r w:rsidRPr="009A374E">
        <w:rPr>
          <w:rFonts w:ascii="Times New Roman" w:hAnsi="Times New Roman" w:cs="Times New Roman"/>
          <w:lang w:val="es-ES"/>
        </w:rPr>
        <w:t>Ver, por ejemplo, la Sentencia C-292 de 2019 en la que esta Corporación se inhib</w:t>
      </w:r>
      <w:r w:rsidRPr="009A374E">
        <w:rPr>
          <w:rFonts w:ascii="Times New Roman" w:hAnsi="Times New Roman" w:cs="Times New Roman"/>
          <w:lang w:val="es-ES"/>
        </w:rPr>
        <w:t xml:space="preserve">ió para pronunciarse de fondo sobre el artículo 12 de la Ley 1341 de 2009, </w:t>
      </w:r>
      <w:r w:rsidRPr="009A374E">
        <w:rPr>
          <w:rFonts w:ascii="Times New Roman" w:hAnsi="Times New Roman" w:cs="Times New Roman"/>
        </w:rPr>
        <w:t>modificado</w:t>
      </w:r>
      <w:r w:rsidRPr="009A374E">
        <w:rPr>
          <w:rFonts w:ascii="Times New Roman" w:hAnsi="Times New Roman" w:cs="Times New Roman"/>
          <w:lang w:val="es-ES"/>
        </w:rPr>
        <w:t xml:space="preserve"> por el artículo 1753 de 2015, norma relacionada con el plazo y la renovación de los permisos para el uso del espectro electro radioeléctrico. </w:t>
      </w:r>
    </w:p>
  </w:footnote>
  <w:footnote w:id="14">
    <w:p w:rsidR="00D95E2E" w:rsidRPr="009A374E" w:rsidRDefault="00D61E7E" w:rsidP="006A40C5">
      <w:pPr>
        <w:pStyle w:val="Textonotapie"/>
        <w:ind w:right="-232"/>
        <w:rPr>
          <w:rFonts w:ascii="Times New Roman" w:hAnsi="Times New Roman" w:cs="Times New Roman"/>
          <w:lang w:val="es-ES"/>
        </w:rPr>
      </w:pPr>
      <w:r w:rsidRPr="009A374E">
        <w:rPr>
          <w:rStyle w:val="Refdenotaalpie"/>
          <w:rFonts w:ascii="Times New Roman" w:hAnsi="Times New Roman" w:cs="Times New Roman"/>
        </w:rPr>
        <w:footnoteRef/>
      </w:r>
      <w:r w:rsidRPr="009A374E">
        <w:rPr>
          <w:rFonts w:ascii="Times New Roman" w:hAnsi="Times New Roman" w:cs="Times New Roman"/>
        </w:rPr>
        <w:t xml:space="preserve"> </w:t>
      </w:r>
      <w:r w:rsidRPr="009A374E">
        <w:rPr>
          <w:rFonts w:ascii="Times New Roman" w:hAnsi="Times New Roman" w:cs="Times New Roman"/>
          <w:lang w:val="es-ES"/>
        </w:rPr>
        <w:t xml:space="preserve">Constitución Política de </w:t>
      </w:r>
      <w:r w:rsidRPr="009A374E">
        <w:rPr>
          <w:rFonts w:ascii="Times New Roman" w:hAnsi="Times New Roman" w:cs="Times New Roman"/>
          <w:lang w:val="es-ES"/>
        </w:rPr>
        <w:t>Colombia, art. 241-4. Al respecto, se puede consultar, entre otras, la Sentencia C-331 de 2022, relacionada con el régimen de carrera administrativa de la Dirección de Impuestos y Aduanas Nacionales. En esa ocasión, la Sala Plena concluyó que varios de los</w:t>
      </w:r>
      <w:r w:rsidRPr="009A374E">
        <w:rPr>
          <w:rFonts w:ascii="Times New Roman" w:hAnsi="Times New Roman" w:cs="Times New Roman"/>
          <w:lang w:val="es-ES"/>
        </w:rPr>
        <w:t xml:space="preserve"> cargos admitidos en el auto admisorio de la </w:t>
      </w:r>
      <w:r w:rsidRPr="009A374E">
        <w:rPr>
          <w:rFonts w:ascii="Times New Roman" w:hAnsi="Times New Roman" w:cs="Times New Roman"/>
        </w:rPr>
        <w:t>demanda</w:t>
      </w:r>
      <w:r w:rsidRPr="009A374E">
        <w:rPr>
          <w:rFonts w:ascii="Times New Roman" w:hAnsi="Times New Roman" w:cs="Times New Roman"/>
          <w:lang w:val="es-ES"/>
        </w:rPr>
        <w:t xml:space="preserve"> eran ineptos y, por lo tanto, se declaró inhibida para emitir un pronunciamiento de fondo frente a dichos cuestionamientos. </w:t>
      </w:r>
    </w:p>
  </w:footnote>
  <w:footnote w:id="15">
    <w:p w:rsidR="00D95E2E" w:rsidRPr="009A374E" w:rsidRDefault="00D61E7E">
      <w:pPr>
        <w:pStyle w:val="Textonotapie"/>
        <w:rPr>
          <w:rFonts w:ascii="Times New Roman" w:hAnsi="Times New Roman" w:cs="Times New Roman"/>
          <w:lang w:val="es-ES_tradnl"/>
        </w:rPr>
      </w:pPr>
      <w:r w:rsidRPr="009A374E">
        <w:rPr>
          <w:rStyle w:val="Refdenotaalpie"/>
          <w:rFonts w:ascii="Times New Roman" w:hAnsi="Times New Roman" w:cs="Times New Roman"/>
        </w:rPr>
        <w:footnoteRef/>
      </w:r>
      <w:r w:rsidRPr="009A374E">
        <w:rPr>
          <w:rFonts w:ascii="Times New Roman" w:hAnsi="Times New Roman" w:cs="Times New Roman"/>
        </w:rPr>
        <w:t xml:space="preserve"> Ver, por ejemplo,  la Sentencia C-284 de 201</w:t>
      </w:r>
      <w:r>
        <w:rPr>
          <w:rFonts w:ascii="Times New Roman" w:hAnsi="Times New Roman" w:cs="Times New Roman"/>
        </w:rPr>
        <w:t>4</w:t>
      </w:r>
      <w:r w:rsidRPr="009A374E">
        <w:rPr>
          <w:rFonts w:ascii="Times New Roman" w:hAnsi="Times New Roman" w:cs="Times New Roman"/>
        </w:rPr>
        <w:t xml:space="preserve">, C-091 de 2022 y C-110 de </w:t>
      </w:r>
      <w:r w:rsidRPr="009A374E">
        <w:rPr>
          <w:rFonts w:ascii="Times New Roman" w:hAnsi="Times New Roman" w:cs="Times New Roman"/>
        </w:rPr>
        <w:t>2023.</w:t>
      </w:r>
    </w:p>
  </w:footnote>
  <w:footnote w:id="16">
    <w:p w:rsidR="00D95E2E" w:rsidRPr="009A374E" w:rsidRDefault="00D61E7E">
      <w:pPr>
        <w:pStyle w:val="Textonotapie"/>
        <w:rPr>
          <w:rFonts w:ascii="Times New Roman" w:hAnsi="Times New Roman" w:cs="Times New Roman"/>
          <w:lang w:val="es-ES_tradnl"/>
        </w:rPr>
      </w:pPr>
      <w:r w:rsidRPr="009A374E">
        <w:rPr>
          <w:rStyle w:val="Refdenotaalpie"/>
          <w:rFonts w:ascii="Times New Roman" w:hAnsi="Times New Roman" w:cs="Times New Roman"/>
        </w:rPr>
        <w:footnoteRef/>
      </w:r>
      <w:r w:rsidRPr="009A374E">
        <w:rPr>
          <w:rFonts w:ascii="Times New Roman" w:hAnsi="Times New Roman" w:cs="Times New Roman"/>
        </w:rPr>
        <w:t xml:space="preserve"> Sentencia C-110 de 2023.</w:t>
      </w:r>
    </w:p>
  </w:footnote>
  <w:footnote w:id="17">
    <w:p w:rsidR="00D95E2E" w:rsidRPr="009A374E" w:rsidRDefault="00D61E7E">
      <w:pPr>
        <w:pStyle w:val="Textonotapie"/>
        <w:rPr>
          <w:rFonts w:ascii="Times New Roman" w:hAnsi="Times New Roman" w:cs="Times New Roman"/>
        </w:rPr>
      </w:pPr>
      <w:r w:rsidRPr="009A374E">
        <w:rPr>
          <w:rStyle w:val="Refdenotaalpie"/>
          <w:rFonts w:ascii="Times New Roman" w:hAnsi="Times New Roman" w:cs="Times New Roman"/>
        </w:rPr>
        <w:footnoteRef/>
      </w:r>
      <w:r w:rsidRPr="009A374E">
        <w:rPr>
          <w:rFonts w:ascii="Times New Roman" w:hAnsi="Times New Roman" w:cs="Times New Roman"/>
        </w:rPr>
        <w:t xml:space="preserve"> Ibid. </w:t>
      </w:r>
    </w:p>
  </w:footnote>
  <w:footnote w:id="18">
    <w:p w:rsidR="00D95E2E" w:rsidRPr="009A374E" w:rsidRDefault="00D61E7E" w:rsidP="00F416DC">
      <w:pPr>
        <w:pStyle w:val="Textonotapie"/>
        <w:rPr>
          <w:rFonts w:ascii="Times New Roman" w:hAnsi="Times New Roman" w:cs="Times New Roman"/>
          <w:lang w:val="es-ES"/>
        </w:rPr>
      </w:pPr>
      <w:r w:rsidRPr="009A374E">
        <w:rPr>
          <w:rStyle w:val="Refdenotaalpie"/>
          <w:rFonts w:ascii="Times New Roman" w:hAnsi="Times New Roman" w:cs="Times New Roman"/>
        </w:rPr>
        <w:footnoteRef/>
      </w:r>
      <w:r w:rsidRPr="009A374E">
        <w:rPr>
          <w:rFonts w:ascii="Times New Roman" w:hAnsi="Times New Roman" w:cs="Times New Roman"/>
        </w:rPr>
        <w:t xml:space="preserve"> </w:t>
      </w:r>
      <w:r w:rsidRPr="009A374E">
        <w:rPr>
          <w:rFonts w:ascii="Times New Roman" w:hAnsi="Times New Roman" w:cs="Times New Roman"/>
          <w:lang w:val="es-ES"/>
        </w:rPr>
        <w:t xml:space="preserve">La estructura de este capítulo sigue el modelo de análisis desarrollado en la sentencia C-015 de 2024 con ponencia de la magistrada sustanciadora. </w:t>
      </w:r>
    </w:p>
  </w:footnote>
  <w:footnote w:id="19">
    <w:p w:rsidR="00D95E2E" w:rsidRPr="009A374E" w:rsidRDefault="00D61E7E" w:rsidP="006A40C5">
      <w:pPr>
        <w:pStyle w:val="Prrafodelista"/>
        <w:tabs>
          <w:tab w:val="left" w:pos="709"/>
        </w:tabs>
        <w:ind w:left="0"/>
        <w:rPr>
          <w:rFonts w:ascii="Times New Roman" w:hAnsi="Times New Roman" w:cs="Times New Roman"/>
          <w:sz w:val="20"/>
          <w:szCs w:val="20"/>
        </w:rPr>
      </w:pPr>
      <w:r w:rsidRPr="009A374E">
        <w:rPr>
          <w:rStyle w:val="Refdenotaalpie"/>
          <w:rFonts w:ascii="Times New Roman" w:hAnsi="Times New Roman" w:cs="Times New Roman"/>
          <w:sz w:val="20"/>
          <w:szCs w:val="20"/>
        </w:rPr>
        <w:footnoteRef/>
      </w:r>
      <w:r w:rsidRPr="009A374E">
        <w:rPr>
          <w:rFonts w:ascii="Times New Roman" w:hAnsi="Times New Roman" w:cs="Times New Roman"/>
          <w:sz w:val="20"/>
          <w:szCs w:val="20"/>
        </w:rPr>
        <w:t xml:space="preserve"> </w:t>
      </w:r>
      <w:r w:rsidRPr="009A374E">
        <w:rPr>
          <w:rFonts w:ascii="Times New Roman" w:hAnsi="Times New Roman" w:cs="Times New Roman"/>
          <w:sz w:val="20"/>
          <w:szCs w:val="20"/>
          <w:shd w:val="clear" w:color="auto" w:fill="FFFFFF"/>
        </w:rPr>
        <w:t>Sobre el título, la Corte ha indica</w:t>
      </w:r>
      <w:r w:rsidRPr="009A374E">
        <w:rPr>
          <w:rFonts w:ascii="Times New Roman" w:hAnsi="Times New Roman" w:cs="Times New Roman"/>
          <w:sz w:val="20"/>
          <w:szCs w:val="20"/>
          <w:shd w:val="clear" w:color="auto" w:fill="FFFFFF"/>
        </w:rPr>
        <w:t>do</w:t>
      </w:r>
      <w:r w:rsidRPr="009A374E">
        <w:rPr>
          <w:rFonts w:ascii="Times New Roman" w:hAnsi="Times New Roman" w:cs="Times New Roman"/>
          <w:sz w:val="20"/>
          <w:szCs w:val="20"/>
          <w:shd w:val="clear" w:color="auto" w:fill="FFFFFF"/>
        </w:rPr>
        <w:t xml:space="preserve"> que es un elemento orien</w:t>
      </w:r>
      <w:r w:rsidRPr="009A374E">
        <w:rPr>
          <w:rFonts w:ascii="Times New Roman" w:hAnsi="Times New Roman" w:cs="Times New Roman"/>
          <w:sz w:val="20"/>
          <w:szCs w:val="20"/>
          <w:shd w:val="clear" w:color="auto" w:fill="FFFFFF"/>
        </w:rPr>
        <w:t>tador, en el que se pueden señalar de manera general los temas que serán objeto de regulación. Sin embargo, también ha insistido en que no es posible exigir que en él se haga una referencia completa a todas las normas que integran una determinada ley.  Por</w:t>
      </w:r>
      <w:r w:rsidRPr="009A374E">
        <w:rPr>
          <w:rFonts w:ascii="Times New Roman" w:hAnsi="Times New Roman" w:cs="Times New Roman"/>
          <w:sz w:val="20"/>
          <w:szCs w:val="20"/>
          <w:shd w:val="clear" w:color="auto" w:fill="FFFFFF"/>
        </w:rPr>
        <w:t xml:space="preserve"> lo general, se entiende, que el título acude a frases omnicomprensivas</w:t>
      </w:r>
      <w:r w:rsidRPr="009A374E">
        <w:rPr>
          <w:rFonts w:ascii="Times New Roman" w:hAnsi="Times New Roman" w:cs="Times New Roman"/>
          <w:sz w:val="20"/>
          <w:szCs w:val="20"/>
          <w:shd w:val="clear" w:color="auto" w:fill="FFFFFF"/>
        </w:rPr>
        <w:t xml:space="preserve"> cuando se incluyen los distintos asuntos que hubiesen sido regulados con fórmulas como </w:t>
      </w:r>
      <w:r w:rsidRPr="009A374E">
        <w:rPr>
          <w:rFonts w:ascii="Times New Roman" w:hAnsi="Times New Roman" w:cs="Times New Roman"/>
          <w:i/>
          <w:iCs/>
          <w:sz w:val="20"/>
          <w:szCs w:val="20"/>
          <w:shd w:val="clear" w:color="auto" w:fill="FFFFFF"/>
        </w:rPr>
        <w:t xml:space="preserve">"y se dictan otras disposiciones”. </w:t>
      </w:r>
      <w:r w:rsidRPr="009A374E">
        <w:rPr>
          <w:rFonts w:ascii="Times New Roman" w:hAnsi="Times New Roman" w:cs="Times New Roman"/>
          <w:sz w:val="20"/>
          <w:szCs w:val="20"/>
          <w:shd w:val="clear" w:color="auto" w:fill="FFFFFF"/>
        </w:rPr>
        <w:t>Véase, Sentencia C-152 del 2023.</w:t>
      </w:r>
    </w:p>
  </w:footnote>
  <w:footnote w:id="20">
    <w:p w:rsidR="00D95E2E" w:rsidRPr="009A374E" w:rsidRDefault="00D61E7E" w:rsidP="00F416DC">
      <w:pPr>
        <w:pStyle w:val="Textonotapie"/>
        <w:rPr>
          <w:rFonts w:ascii="Times New Roman" w:hAnsi="Times New Roman" w:cs="Times New Roman"/>
        </w:rPr>
      </w:pPr>
      <w:r w:rsidRPr="009A374E">
        <w:rPr>
          <w:rStyle w:val="Refdenotaalpie"/>
          <w:rFonts w:ascii="Times New Roman" w:hAnsi="Times New Roman" w:cs="Times New Roman"/>
        </w:rPr>
        <w:footnoteRef/>
      </w:r>
      <w:r w:rsidRPr="009A374E">
        <w:rPr>
          <w:rFonts w:ascii="Times New Roman" w:hAnsi="Times New Roman" w:cs="Times New Roman"/>
        </w:rPr>
        <w:t xml:space="preserve"> Sentencia C-080 de 2023.</w:t>
      </w:r>
    </w:p>
  </w:footnote>
  <w:footnote w:id="21">
    <w:p w:rsidR="00D95E2E" w:rsidRPr="009A374E" w:rsidRDefault="00D61E7E" w:rsidP="00F416DC">
      <w:pPr>
        <w:pStyle w:val="Textonotapie"/>
        <w:rPr>
          <w:rFonts w:ascii="Times New Roman" w:hAnsi="Times New Roman" w:cs="Times New Roman"/>
          <w:lang w:val="es-ES_tradnl"/>
        </w:rPr>
      </w:pPr>
      <w:r w:rsidRPr="009A374E">
        <w:rPr>
          <w:rStyle w:val="Refdenotaalpie"/>
          <w:rFonts w:ascii="Times New Roman" w:hAnsi="Times New Roman" w:cs="Times New Roman"/>
        </w:rPr>
        <w:footnoteRef/>
      </w:r>
      <w:r w:rsidRPr="009A374E">
        <w:rPr>
          <w:rFonts w:ascii="Times New Roman" w:hAnsi="Times New Roman" w:cs="Times New Roman"/>
        </w:rPr>
        <w:t xml:space="preserve"> </w:t>
      </w:r>
      <w:r w:rsidRPr="009A374E">
        <w:rPr>
          <w:rFonts w:ascii="Times New Roman" w:hAnsi="Times New Roman" w:cs="Times New Roman"/>
          <w:lang w:val="es-ES_tradnl"/>
        </w:rPr>
        <w:t>Sentencia C-683 de 2014.</w:t>
      </w:r>
    </w:p>
  </w:footnote>
  <w:footnote w:id="22">
    <w:p w:rsidR="00D95E2E" w:rsidRPr="009A374E" w:rsidRDefault="00D61E7E" w:rsidP="00F416DC">
      <w:pPr>
        <w:pStyle w:val="Textonotapie"/>
        <w:rPr>
          <w:rFonts w:ascii="Times New Roman" w:hAnsi="Times New Roman" w:cs="Times New Roman"/>
          <w:lang w:val="es-ES_tradnl"/>
        </w:rPr>
      </w:pPr>
      <w:r w:rsidRPr="009A374E">
        <w:rPr>
          <w:rStyle w:val="Refdenotaalpie"/>
          <w:rFonts w:ascii="Times New Roman" w:hAnsi="Times New Roman" w:cs="Times New Roman"/>
        </w:rPr>
        <w:footnoteRef/>
      </w:r>
      <w:r w:rsidRPr="009A374E">
        <w:rPr>
          <w:rFonts w:ascii="Times New Roman" w:hAnsi="Times New Roman" w:cs="Times New Roman"/>
        </w:rPr>
        <w:t xml:space="preserve"> </w:t>
      </w:r>
      <w:r w:rsidRPr="009A374E">
        <w:rPr>
          <w:rFonts w:ascii="Times New Roman" w:hAnsi="Times New Roman" w:cs="Times New Roman"/>
          <w:shd w:val="clear" w:color="auto" w:fill="FFFFFF"/>
        </w:rPr>
        <w:t>Sentencia C-475 de 2006 y C-138 de 2007.</w:t>
      </w:r>
    </w:p>
  </w:footnote>
  <w:footnote w:id="23">
    <w:p w:rsidR="00D95E2E" w:rsidRPr="009A374E" w:rsidRDefault="00D61E7E" w:rsidP="00F416DC">
      <w:pPr>
        <w:pStyle w:val="Textonotapie"/>
        <w:ind w:right="-93"/>
        <w:rPr>
          <w:rFonts w:ascii="Times New Roman" w:hAnsi="Times New Roman" w:cs="Times New Roman"/>
        </w:rPr>
      </w:pPr>
      <w:r w:rsidRPr="009A374E">
        <w:rPr>
          <w:rStyle w:val="Refdenotaalpie"/>
          <w:rFonts w:ascii="Times New Roman" w:hAnsi="Times New Roman" w:cs="Times New Roman"/>
        </w:rPr>
        <w:footnoteRef/>
      </w:r>
      <w:r w:rsidRPr="009A374E">
        <w:rPr>
          <w:rFonts w:ascii="Times New Roman" w:hAnsi="Times New Roman" w:cs="Times New Roman"/>
        </w:rPr>
        <w:t xml:space="preserve"> Sentencia C-025 de 1993.</w:t>
      </w:r>
    </w:p>
  </w:footnote>
  <w:footnote w:id="24">
    <w:p w:rsidR="00D95E2E" w:rsidRPr="009A374E" w:rsidRDefault="00D61E7E" w:rsidP="00F416DC">
      <w:pPr>
        <w:pStyle w:val="Textonotapie"/>
        <w:rPr>
          <w:rFonts w:ascii="Times New Roman" w:hAnsi="Times New Roman" w:cs="Times New Roman"/>
        </w:rPr>
      </w:pPr>
      <w:r w:rsidRPr="009A374E">
        <w:rPr>
          <w:rStyle w:val="Refdenotaalpie"/>
          <w:rFonts w:ascii="Times New Roman" w:hAnsi="Times New Roman" w:cs="Times New Roman"/>
        </w:rPr>
        <w:footnoteRef/>
      </w:r>
      <w:r w:rsidRPr="009A374E">
        <w:rPr>
          <w:rFonts w:ascii="Times New Roman" w:hAnsi="Times New Roman" w:cs="Times New Roman"/>
        </w:rPr>
        <w:t xml:space="preserve"> Ver Sentencias </w:t>
      </w:r>
      <w:r w:rsidRPr="009A374E">
        <w:rPr>
          <w:rStyle w:val="normaltextrun"/>
          <w:rFonts w:ascii="Times New Roman" w:hAnsi="Times New Roman" w:cs="Times New Roman"/>
          <w:bdr w:val="none" w:sz="0" w:space="0" w:color="auto" w:frame="1"/>
          <w:lang w:val="es-MX"/>
        </w:rPr>
        <w:t>C-475 de 2006 y C-138 de 2007</w:t>
      </w:r>
    </w:p>
  </w:footnote>
  <w:footnote w:id="25">
    <w:p w:rsidR="00D95E2E" w:rsidRPr="009A374E" w:rsidRDefault="00D61E7E" w:rsidP="00F416DC">
      <w:pPr>
        <w:pStyle w:val="Textonotapie"/>
        <w:ind w:right="-93"/>
        <w:rPr>
          <w:rFonts w:ascii="Times New Roman" w:hAnsi="Times New Roman" w:cs="Times New Roman"/>
        </w:rPr>
      </w:pPr>
      <w:r w:rsidRPr="009A374E">
        <w:rPr>
          <w:rStyle w:val="Refdenotaalpie"/>
          <w:rFonts w:ascii="Times New Roman" w:hAnsi="Times New Roman" w:cs="Times New Roman"/>
        </w:rPr>
        <w:footnoteRef/>
      </w:r>
      <w:r w:rsidRPr="009A374E">
        <w:rPr>
          <w:rFonts w:ascii="Times New Roman" w:hAnsi="Times New Roman" w:cs="Times New Roman"/>
        </w:rPr>
        <w:t xml:space="preserve"> </w:t>
      </w:r>
      <w:r w:rsidRPr="009A374E">
        <w:rPr>
          <w:rFonts w:ascii="Times New Roman" w:hAnsi="Times New Roman" w:cs="Times New Roman"/>
          <w:shd w:val="clear" w:color="auto" w:fill="FFFFFF"/>
        </w:rPr>
        <w:t>Las citas textuales corresponden a la Sentencia C-162 de 2021.</w:t>
      </w:r>
    </w:p>
  </w:footnote>
  <w:footnote w:id="26">
    <w:p w:rsidR="00D95E2E" w:rsidRPr="009A374E" w:rsidRDefault="00D61E7E" w:rsidP="00F416DC">
      <w:pPr>
        <w:pStyle w:val="Textonotapie"/>
        <w:rPr>
          <w:rFonts w:ascii="Times New Roman" w:hAnsi="Times New Roman" w:cs="Times New Roman"/>
        </w:rPr>
      </w:pPr>
      <w:r w:rsidRPr="009A374E">
        <w:rPr>
          <w:rStyle w:val="Refdenotaalpie"/>
          <w:rFonts w:ascii="Times New Roman" w:hAnsi="Times New Roman" w:cs="Times New Roman"/>
        </w:rPr>
        <w:footnoteRef/>
      </w:r>
      <w:r w:rsidRPr="009A374E">
        <w:rPr>
          <w:rFonts w:ascii="Times New Roman" w:hAnsi="Times New Roman" w:cs="Times New Roman"/>
        </w:rPr>
        <w:t xml:space="preserve"> Ver Sentencias C-896 de 2012 y C-353 de 2017.</w:t>
      </w:r>
    </w:p>
  </w:footnote>
  <w:footnote w:id="27">
    <w:p w:rsidR="00D95E2E" w:rsidRPr="009A374E" w:rsidRDefault="00D61E7E" w:rsidP="00F416DC">
      <w:pPr>
        <w:pStyle w:val="Textonotapie"/>
        <w:ind w:right="-93"/>
        <w:rPr>
          <w:rFonts w:ascii="Times New Roman" w:hAnsi="Times New Roman" w:cs="Times New Roman"/>
        </w:rPr>
      </w:pPr>
      <w:r w:rsidRPr="009A374E">
        <w:rPr>
          <w:rStyle w:val="Refdenotaalpie"/>
          <w:rFonts w:ascii="Times New Roman" w:hAnsi="Times New Roman" w:cs="Times New Roman"/>
        </w:rPr>
        <w:footnoteRef/>
      </w:r>
      <w:r w:rsidRPr="009A374E">
        <w:rPr>
          <w:rFonts w:ascii="Times New Roman" w:hAnsi="Times New Roman" w:cs="Times New Roman"/>
        </w:rPr>
        <w:t xml:space="preserve"> Sentencia C-212 de 2022.</w:t>
      </w:r>
    </w:p>
  </w:footnote>
  <w:footnote w:id="28">
    <w:p w:rsidR="00D95E2E" w:rsidRPr="009A374E" w:rsidRDefault="00D61E7E" w:rsidP="00F416DC">
      <w:pPr>
        <w:pStyle w:val="Textonotapie"/>
        <w:ind w:right="-93"/>
        <w:rPr>
          <w:rFonts w:ascii="Times New Roman" w:hAnsi="Times New Roman" w:cs="Times New Roman"/>
        </w:rPr>
      </w:pPr>
      <w:r w:rsidRPr="009A374E">
        <w:rPr>
          <w:rStyle w:val="Refdenotaalpie"/>
          <w:rFonts w:ascii="Times New Roman" w:hAnsi="Times New Roman" w:cs="Times New Roman"/>
        </w:rPr>
        <w:footnoteRef/>
      </w:r>
      <w:r w:rsidRPr="009A374E">
        <w:rPr>
          <w:rFonts w:ascii="Times New Roman" w:hAnsi="Times New Roman" w:cs="Times New Roman"/>
        </w:rPr>
        <w:t xml:space="preserve"> Sentencia C-212 de 2022.</w:t>
      </w:r>
    </w:p>
  </w:footnote>
  <w:footnote w:id="29">
    <w:p w:rsidR="00D95E2E" w:rsidRPr="009A374E" w:rsidRDefault="00D61E7E" w:rsidP="00F416DC">
      <w:pPr>
        <w:pStyle w:val="Textonotapie"/>
        <w:ind w:right="-93"/>
        <w:rPr>
          <w:rFonts w:ascii="Times New Roman" w:hAnsi="Times New Roman" w:cs="Times New Roman"/>
        </w:rPr>
      </w:pPr>
      <w:r w:rsidRPr="009A374E">
        <w:rPr>
          <w:rStyle w:val="Refdenotaalpie"/>
          <w:rFonts w:ascii="Times New Roman" w:hAnsi="Times New Roman" w:cs="Times New Roman"/>
        </w:rPr>
        <w:footnoteRef/>
      </w:r>
      <w:r w:rsidRPr="009A374E">
        <w:rPr>
          <w:rFonts w:ascii="Times New Roman" w:hAnsi="Times New Roman" w:cs="Times New Roman"/>
        </w:rPr>
        <w:t xml:space="preserve"> Ver Sentencias C-852 de 2005 y C-353 de 2017.</w:t>
      </w:r>
    </w:p>
  </w:footnote>
  <w:footnote w:id="30">
    <w:p w:rsidR="00D95E2E" w:rsidRPr="009A374E" w:rsidRDefault="00D61E7E" w:rsidP="00F416DC">
      <w:pPr>
        <w:pStyle w:val="Textonotapie"/>
        <w:ind w:right="-93"/>
        <w:rPr>
          <w:rFonts w:ascii="Times New Roman" w:hAnsi="Times New Roman" w:cs="Times New Roman"/>
        </w:rPr>
      </w:pPr>
      <w:r w:rsidRPr="009A374E">
        <w:rPr>
          <w:rStyle w:val="Refdenotaalpie"/>
          <w:rFonts w:ascii="Times New Roman" w:hAnsi="Times New Roman" w:cs="Times New Roman"/>
        </w:rPr>
        <w:footnoteRef/>
      </w:r>
      <w:r w:rsidRPr="009A374E">
        <w:rPr>
          <w:rFonts w:ascii="Times New Roman" w:hAnsi="Times New Roman" w:cs="Times New Roman"/>
        </w:rPr>
        <w:t xml:space="preserve"> Sentencia C-896 de 2012.</w:t>
      </w:r>
    </w:p>
  </w:footnote>
  <w:footnote w:id="31">
    <w:p w:rsidR="00D95E2E" w:rsidRPr="009A374E" w:rsidRDefault="00D61E7E" w:rsidP="00F416DC">
      <w:pPr>
        <w:pStyle w:val="Textonotapie"/>
        <w:ind w:right="-93"/>
        <w:rPr>
          <w:rFonts w:ascii="Times New Roman" w:hAnsi="Times New Roman" w:cs="Times New Roman"/>
        </w:rPr>
      </w:pPr>
      <w:r w:rsidRPr="009A374E">
        <w:rPr>
          <w:rStyle w:val="Refdenotaalpie"/>
          <w:rFonts w:ascii="Times New Roman" w:hAnsi="Times New Roman" w:cs="Times New Roman"/>
        </w:rPr>
        <w:footnoteRef/>
      </w:r>
      <w:r w:rsidRPr="009A374E">
        <w:rPr>
          <w:rFonts w:ascii="Times New Roman" w:hAnsi="Times New Roman" w:cs="Times New Roman"/>
        </w:rPr>
        <w:t xml:space="preserve"> Sentencia C-896 de 2012.</w:t>
      </w:r>
    </w:p>
  </w:footnote>
  <w:footnote w:id="32">
    <w:p w:rsidR="00D95E2E" w:rsidRPr="009A374E" w:rsidRDefault="00D61E7E" w:rsidP="00F416DC">
      <w:pPr>
        <w:pStyle w:val="Textonotapie"/>
        <w:rPr>
          <w:rFonts w:ascii="Times New Roman" w:hAnsi="Times New Roman" w:cs="Times New Roman"/>
          <w:lang w:val="es-ES"/>
        </w:rPr>
      </w:pPr>
      <w:r w:rsidRPr="009A374E">
        <w:rPr>
          <w:rStyle w:val="Refdenotaalpie"/>
          <w:rFonts w:ascii="Times New Roman" w:hAnsi="Times New Roman" w:cs="Times New Roman"/>
        </w:rPr>
        <w:footnoteRef/>
      </w:r>
      <w:r w:rsidRPr="009A374E">
        <w:rPr>
          <w:rFonts w:ascii="Times New Roman" w:hAnsi="Times New Roman" w:cs="Times New Roman"/>
        </w:rPr>
        <w:t xml:space="preserve"> </w:t>
      </w:r>
      <w:r>
        <w:rPr>
          <w:rFonts w:ascii="Times New Roman" w:hAnsi="Times New Roman" w:cs="Times New Roman"/>
          <w:lang w:val="es-ES"/>
        </w:rPr>
        <w:t>Ley 2069 de 2020</w:t>
      </w:r>
      <w:r w:rsidRPr="009A374E">
        <w:rPr>
          <w:rFonts w:ascii="Times New Roman" w:hAnsi="Times New Roman" w:cs="Times New Roman"/>
          <w:lang w:val="es-ES"/>
        </w:rPr>
        <w:t xml:space="preserve">. Artículo 1. </w:t>
      </w:r>
    </w:p>
  </w:footnote>
  <w:footnote w:id="33">
    <w:p w:rsidR="00D95E2E" w:rsidRPr="009A374E" w:rsidRDefault="00D61E7E" w:rsidP="00F416DC">
      <w:pPr>
        <w:pStyle w:val="Textonotapie"/>
        <w:rPr>
          <w:rFonts w:ascii="Times New Roman" w:hAnsi="Times New Roman" w:cs="Times New Roman"/>
          <w:lang w:val="es-ES"/>
        </w:rPr>
      </w:pPr>
      <w:r w:rsidRPr="009A374E">
        <w:rPr>
          <w:rStyle w:val="Refdenotaalpie"/>
          <w:rFonts w:ascii="Times New Roman" w:hAnsi="Times New Roman" w:cs="Times New Roman"/>
        </w:rPr>
        <w:footnoteRef/>
      </w:r>
      <w:r w:rsidRPr="009A374E">
        <w:rPr>
          <w:rFonts w:ascii="Times New Roman" w:hAnsi="Times New Roman" w:cs="Times New Roman"/>
        </w:rPr>
        <w:t xml:space="preserve"> </w:t>
      </w:r>
      <w:r w:rsidRPr="009A374E">
        <w:rPr>
          <w:rFonts w:ascii="Times New Roman" w:hAnsi="Times New Roman" w:cs="Times New Roman"/>
          <w:lang w:val="es-ES"/>
        </w:rPr>
        <w:t xml:space="preserve">Gaceta del Congreso de la República 670 de 2020, p. 8. </w:t>
      </w:r>
    </w:p>
  </w:footnote>
  <w:footnote w:id="34">
    <w:p w:rsidR="00D95E2E" w:rsidRPr="009A374E" w:rsidRDefault="00D61E7E" w:rsidP="00F416DC">
      <w:pPr>
        <w:pStyle w:val="Textonotapie"/>
        <w:rPr>
          <w:rFonts w:ascii="Times New Roman" w:hAnsi="Times New Roman" w:cs="Times New Roman"/>
          <w:lang w:val="es-ES"/>
        </w:rPr>
      </w:pPr>
      <w:r w:rsidRPr="009A374E">
        <w:rPr>
          <w:rStyle w:val="Refdenotaalpie"/>
          <w:rFonts w:ascii="Times New Roman" w:hAnsi="Times New Roman" w:cs="Times New Roman"/>
        </w:rPr>
        <w:footnoteRef/>
      </w:r>
      <w:r w:rsidRPr="009A374E">
        <w:rPr>
          <w:rFonts w:ascii="Times New Roman" w:hAnsi="Times New Roman" w:cs="Times New Roman"/>
        </w:rPr>
        <w:t xml:space="preserve"> </w:t>
      </w:r>
      <w:r w:rsidRPr="009A374E">
        <w:rPr>
          <w:rFonts w:ascii="Times New Roman" w:hAnsi="Times New Roman" w:cs="Times New Roman"/>
          <w:lang w:val="es-ES"/>
        </w:rPr>
        <w:t xml:space="preserve">Ibidem, p. 9. </w:t>
      </w:r>
    </w:p>
  </w:footnote>
  <w:footnote w:id="35">
    <w:p w:rsidR="00D95E2E" w:rsidRPr="009A374E" w:rsidRDefault="00D61E7E" w:rsidP="00F416DC">
      <w:pPr>
        <w:pStyle w:val="Textonotapie"/>
        <w:rPr>
          <w:rFonts w:ascii="Times New Roman" w:hAnsi="Times New Roman" w:cs="Times New Roman"/>
          <w:lang w:val="es-ES"/>
        </w:rPr>
      </w:pPr>
      <w:r w:rsidRPr="009A374E">
        <w:rPr>
          <w:rStyle w:val="Refdenotaalpie"/>
          <w:rFonts w:ascii="Times New Roman" w:hAnsi="Times New Roman" w:cs="Times New Roman"/>
        </w:rPr>
        <w:footnoteRef/>
      </w:r>
      <w:r w:rsidRPr="009A374E">
        <w:rPr>
          <w:rFonts w:ascii="Times New Roman" w:hAnsi="Times New Roman" w:cs="Times New Roman"/>
        </w:rPr>
        <w:t xml:space="preserve"> </w:t>
      </w:r>
      <w:r w:rsidRPr="009A374E">
        <w:rPr>
          <w:rFonts w:ascii="Times New Roman" w:hAnsi="Times New Roman" w:cs="Times New Roman"/>
          <w:lang w:val="es-ES"/>
        </w:rPr>
        <w:t xml:space="preserve">Ibidem, p. 10. </w:t>
      </w:r>
    </w:p>
  </w:footnote>
  <w:footnote w:id="36">
    <w:p w:rsidR="00D95E2E" w:rsidRPr="009A374E" w:rsidRDefault="00D61E7E" w:rsidP="00F416DC">
      <w:pPr>
        <w:pStyle w:val="Textonotapie"/>
        <w:rPr>
          <w:rFonts w:ascii="Times New Roman" w:hAnsi="Times New Roman" w:cs="Times New Roman"/>
          <w:lang w:val="es-ES"/>
        </w:rPr>
      </w:pPr>
      <w:r w:rsidRPr="009A374E">
        <w:rPr>
          <w:rStyle w:val="Refdenotaalpie"/>
          <w:rFonts w:ascii="Times New Roman" w:hAnsi="Times New Roman" w:cs="Times New Roman"/>
        </w:rPr>
        <w:footnoteRef/>
      </w:r>
      <w:r w:rsidRPr="009A374E">
        <w:rPr>
          <w:rFonts w:ascii="Times New Roman" w:hAnsi="Times New Roman" w:cs="Times New Roman"/>
        </w:rPr>
        <w:t xml:space="preserve"> Ibidem, p. 11. </w:t>
      </w:r>
    </w:p>
  </w:footnote>
  <w:footnote w:id="37">
    <w:p w:rsidR="00D95E2E" w:rsidRPr="009A374E" w:rsidRDefault="00D61E7E" w:rsidP="00F416DC">
      <w:pPr>
        <w:pStyle w:val="Textonotapie"/>
        <w:rPr>
          <w:rFonts w:ascii="Times New Roman" w:hAnsi="Times New Roman" w:cs="Times New Roman"/>
          <w:lang w:val="es-ES"/>
        </w:rPr>
      </w:pPr>
      <w:r w:rsidRPr="009A374E">
        <w:rPr>
          <w:rStyle w:val="Refdenotaalpie"/>
          <w:rFonts w:ascii="Times New Roman" w:hAnsi="Times New Roman" w:cs="Times New Roman"/>
        </w:rPr>
        <w:footnoteRef/>
      </w:r>
      <w:r w:rsidRPr="009A374E">
        <w:rPr>
          <w:rFonts w:ascii="Times New Roman" w:hAnsi="Times New Roman" w:cs="Times New Roman"/>
        </w:rPr>
        <w:t xml:space="preserve"> Ibidem, p. 11.</w:t>
      </w:r>
    </w:p>
  </w:footnote>
  <w:footnote w:id="38">
    <w:p w:rsidR="00D95E2E" w:rsidRPr="009A374E" w:rsidRDefault="00D61E7E" w:rsidP="00F416DC">
      <w:pPr>
        <w:pStyle w:val="Textonotapie"/>
        <w:rPr>
          <w:rFonts w:ascii="Times New Roman" w:hAnsi="Times New Roman" w:cs="Times New Roman"/>
          <w:lang w:val="es-ES"/>
        </w:rPr>
      </w:pPr>
      <w:r w:rsidRPr="009A374E">
        <w:rPr>
          <w:rStyle w:val="Refdenotaalpie"/>
          <w:rFonts w:ascii="Times New Roman" w:hAnsi="Times New Roman" w:cs="Times New Roman"/>
        </w:rPr>
        <w:footnoteRef/>
      </w:r>
      <w:r w:rsidRPr="009A374E">
        <w:rPr>
          <w:rFonts w:ascii="Times New Roman" w:hAnsi="Times New Roman" w:cs="Times New Roman"/>
        </w:rPr>
        <w:t xml:space="preserve"> Ibidem, p. 11.</w:t>
      </w:r>
    </w:p>
  </w:footnote>
  <w:footnote w:id="39">
    <w:p w:rsidR="00D95E2E" w:rsidRPr="009A374E" w:rsidRDefault="00D61E7E" w:rsidP="00F416DC">
      <w:pPr>
        <w:pStyle w:val="Textonotapie"/>
        <w:rPr>
          <w:rFonts w:ascii="Times New Roman" w:hAnsi="Times New Roman" w:cs="Times New Roman"/>
          <w:lang w:val="es-ES"/>
        </w:rPr>
      </w:pPr>
      <w:r w:rsidRPr="009A374E">
        <w:rPr>
          <w:rStyle w:val="Refdenotaalpie"/>
          <w:rFonts w:ascii="Times New Roman" w:hAnsi="Times New Roman" w:cs="Times New Roman"/>
        </w:rPr>
        <w:footnoteRef/>
      </w:r>
      <w:r w:rsidRPr="009A374E">
        <w:rPr>
          <w:rFonts w:ascii="Times New Roman" w:hAnsi="Times New Roman" w:cs="Times New Roman"/>
        </w:rPr>
        <w:t xml:space="preserve"> Ibidem, p. 11. </w:t>
      </w:r>
    </w:p>
  </w:footnote>
  <w:footnote w:id="40">
    <w:p w:rsidR="00D95E2E" w:rsidRPr="009A374E" w:rsidRDefault="00D61E7E" w:rsidP="00F416DC">
      <w:pPr>
        <w:pStyle w:val="Textonotapie"/>
        <w:rPr>
          <w:rFonts w:ascii="Times New Roman" w:hAnsi="Times New Roman" w:cs="Times New Roman"/>
          <w:lang w:val="es-ES"/>
        </w:rPr>
      </w:pPr>
      <w:r w:rsidRPr="009A374E">
        <w:rPr>
          <w:rStyle w:val="Refdenotaalpie"/>
          <w:rFonts w:ascii="Times New Roman" w:hAnsi="Times New Roman" w:cs="Times New Roman"/>
        </w:rPr>
        <w:footnoteRef/>
      </w:r>
      <w:r w:rsidRPr="009A374E">
        <w:rPr>
          <w:rFonts w:ascii="Times New Roman" w:hAnsi="Times New Roman" w:cs="Times New Roman"/>
        </w:rPr>
        <w:t xml:space="preserve"> </w:t>
      </w:r>
      <w:r w:rsidRPr="009A374E">
        <w:rPr>
          <w:rFonts w:ascii="Times New Roman" w:hAnsi="Times New Roman" w:cs="Times New Roman"/>
          <w:lang w:val="es-ES"/>
        </w:rPr>
        <w:t xml:space="preserve">Esto por cuanto el proyecto de ley fue radicado por el Gobierno Nacional en cabeza del Ministro de Comercio, Industria y Comercio con mensaje de urgencia ante el Congreso de la República. </w:t>
      </w:r>
    </w:p>
  </w:footnote>
  <w:footnote w:id="41">
    <w:p w:rsidR="00D95E2E" w:rsidRPr="009A374E" w:rsidRDefault="00D61E7E" w:rsidP="00D074A8">
      <w:pPr>
        <w:pStyle w:val="Textonotapie"/>
        <w:rPr>
          <w:rFonts w:ascii="Times New Roman" w:hAnsi="Times New Roman" w:cs="Times New Roman"/>
          <w:lang w:val="es-ES"/>
        </w:rPr>
      </w:pPr>
      <w:r w:rsidRPr="009A374E">
        <w:rPr>
          <w:rStyle w:val="Refdenotaalpie"/>
          <w:rFonts w:ascii="Times New Roman" w:hAnsi="Times New Roman" w:cs="Times New Roman"/>
        </w:rPr>
        <w:footnoteRef/>
      </w:r>
      <w:r w:rsidRPr="009A374E">
        <w:rPr>
          <w:rFonts w:ascii="Times New Roman" w:hAnsi="Times New Roman" w:cs="Times New Roman"/>
        </w:rPr>
        <w:t xml:space="preserve"> </w:t>
      </w:r>
      <w:r w:rsidRPr="009A374E">
        <w:rPr>
          <w:rFonts w:ascii="Times New Roman" w:hAnsi="Times New Roman" w:cs="Times New Roman"/>
          <w:lang w:val="es-ES"/>
        </w:rPr>
        <w:t xml:space="preserve">Gaceta del Congreso de la República 942 de 2020, p. 10. </w:t>
      </w:r>
    </w:p>
  </w:footnote>
  <w:footnote w:id="42">
    <w:p w:rsidR="00D95E2E" w:rsidRPr="009A374E" w:rsidRDefault="00D61E7E" w:rsidP="00D074A8">
      <w:pPr>
        <w:pStyle w:val="Textonotapie"/>
        <w:rPr>
          <w:rFonts w:ascii="Times New Roman" w:hAnsi="Times New Roman" w:cs="Times New Roman"/>
        </w:rPr>
      </w:pPr>
      <w:r w:rsidRPr="009A374E">
        <w:rPr>
          <w:rStyle w:val="Refdenotaalpie"/>
          <w:rFonts w:ascii="Times New Roman" w:hAnsi="Times New Roman" w:cs="Times New Roman"/>
        </w:rPr>
        <w:footnoteRef/>
      </w:r>
      <w:r w:rsidRPr="009A374E">
        <w:rPr>
          <w:rFonts w:ascii="Times New Roman" w:hAnsi="Times New Roman" w:cs="Times New Roman"/>
        </w:rPr>
        <w:t xml:space="preserve"> Gaceta</w:t>
      </w:r>
      <w:r w:rsidRPr="009A374E">
        <w:rPr>
          <w:rFonts w:ascii="Times New Roman" w:hAnsi="Times New Roman" w:cs="Times New Roman"/>
        </w:rPr>
        <w:t xml:space="preserve"> del Congreso de la República 1334 de 2020, p. 11. </w:t>
      </w:r>
    </w:p>
  </w:footnote>
  <w:footnote w:id="43">
    <w:p w:rsidR="00D95E2E" w:rsidRPr="009A374E" w:rsidRDefault="00D61E7E" w:rsidP="00D074A8">
      <w:pPr>
        <w:pStyle w:val="Textonotapie"/>
        <w:rPr>
          <w:rFonts w:ascii="Times New Roman" w:hAnsi="Times New Roman" w:cs="Times New Roman"/>
          <w:lang w:val="es-ES"/>
        </w:rPr>
      </w:pPr>
      <w:r w:rsidRPr="009A374E">
        <w:rPr>
          <w:rStyle w:val="Refdenotaalpie"/>
          <w:rFonts w:ascii="Times New Roman" w:hAnsi="Times New Roman" w:cs="Times New Roman"/>
        </w:rPr>
        <w:footnoteRef/>
      </w:r>
      <w:r w:rsidRPr="009A374E">
        <w:rPr>
          <w:rFonts w:ascii="Times New Roman" w:hAnsi="Times New Roman" w:cs="Times New Roman"/>
        </w:rPr>
        <w:t xml:space="preserve"> Gaceta del Congreso de la República 1337 de 2020, p, </w:t>
      </w:r>
      <w:r w:rsidRPr="009A374E">
        <w:rPr>
          <w:rFonts w:ascii="Times New Roman" w:hAnsi="Times New Roman" w:cs="Times New Roman"/>
          <w:lang w:val="es-ES"/>
        </w:rPr>
        <w:t xml:space="preserve">1. </w:t>
      </w:r>
    </w:p>
  </w:footnote>
  <w:footnote w:id="44">
    <w:p w:rsidR="00D95E2E" w:rsidRPr="009A374E" w:rsidRDefault="00D61E7E" w:rsidP="00D074A8">
      <w:pPr>
        <w:pStyle w:val="Textonotapie"/>
        <w:rPr>
          <w:rFonts w:ascii="Times New Roman" w:hAnsi="Times New Roman" w:cs="Times New Roman"/>
          <w:lang w:val="es-ES"/>
        </w:rPr>
      </w:pPr>
      <w:r w:rsidRPr="009A374E">
        <w:rPr>
          <w:rStyle w:val="Refdenotaalpie"/>
          <w:rFonts w:ascii="Times New Roman" w:hAnsi="Times New Roman" w:cs="Times New Roman"/>
        </w:rPr>
        <w:footnoteRef/>
      </w:r>
      <w:r w:rsidRPr="009A374E">
        <w:rPr>
          <w:rFonts w:ascii="Times New Roman" w:hAnsi="Times New Roman" w:cs="Times New Roman"/>
        </w:rPr>
        <w:t xml:space="preserve"> </w:t>
      </w:r>
      <w:r w:rsidRPr="009A374E">
        <w:rPr>
          <w:rFonts w:ascii="Times New Roman" w:hAnsi="Times New Roman" w:cs="Times New Roman"/>
          <w:lang w:val="es-ES"/>
        </w:rPr>
        <w:t xml:space="preserve">Gaceta del Congreso de la República 1543 de 2020, p. 14. </w:t>
      </w:r>
    </w:p>
  </w:footnote>
  <w:footnote w:id="45">
    <w:p w:rsidR="00D95E2E" w:rsidRPr="009A374E" w:rsidRDefault="00D61E7E" w:rsidP="00D074A8">
      <w:pPr>
        <w:pStyle w:val="Textonotapie"/>
        <w:rPr>
          <w:rFonts w:ascii="Times New Roman" w:hAnsi="Times New Roman" w:cs="Times New Roman"/>
        </w:rPr>
      </w:pPr>
      <w:r w:rsidRPr="009A374E">
        <w:rPr>
          <w:rStyle w:val="Refdenotaalpie"/>
          <w:rFonts w:ascii="Times New Roman" w:hAnsi="Times New Roman" w:cs="Times New Roman"/>
        </w:rPr>
        <w:footnoteRef/>
      </w:r>
      <w:r w:rsidRPr="009A374E">
        <w:rPr>
          <w:rFonts w:ascii="Times New Roman" w:hAnsi="Times New Roman" w:cs="Times New Roman"/>
        </w:rPr>
        <w:t xml:space="preserve"> La proposición aditiva fue presentada por el represente César Augusto Lorduy Maldon</w:t>
      </w:r>
      <w:r w:rsidRPr="009A374E">
        <w:rPr>
          <w:rFonts w:ascii="Times New Roman" w:hAnsi="Times New Roman" w:cs="Times New Roman"/>
        </w:rPr>
        <w:t xml:space="preserve">ado. (Acta de proposiciones presentada en el segundo debate de la Cámara de Representantes, p. 77 a 87. </w:t>
      </w:r>
    </w:p>
  </w:footnote>
  <w:footnote w:id="46">
    <w:p w:rsidR="00D95E2E" w:rsidRPr="009A374E" w:rsidRDefault="00D61E7E" w:rsidP="00D074A8">
      <w:pPr>
        <w:pStyle w:val="Textonotapie"/>
        <w:rPr>
          <w:rFonts w:ascii="Times New Roman" w:hAnsi="Times New Roman" w:cs="Times New Roman"/>
        </w:rPr>
      </w:pPr>
      <w:r w:rsidRPr="009A374E">
        <w:rPr>
          <w:rStyle w:val="Refdenotaalpie"/>
          <w:rFonts w:ascii="Times New Roman" w:hAnsi="Times New Roman" w:cs="Times New Roman"/>
        </w:rPr>
        <w:footnoteRef/>
      </w:r>
      <w:r w:rsidRPr="009A374E">
        <w:rPr>
          <w:rFonts w:ascii="Times New Roman" w:hAnsi="Times New Roman" w:cs="Times New Roman"/>
        </w:rPr>
        <w:t xml:space="preserve"> </w:t>
      </w:r>
      <w:r w:rsidRPr="009A374E">
        <w:rPr>
          <w:rFonts w:ascii="Times New Roman" w:hAnsi="Times New Roman" w:cs="Times New Roman"/>
          <w:lang w:val="es-ES"/>
        </w:rPr>
        <w:t>Gaceta del Congreso de la República 1489 de 2020.</w:t>
      </w:r>
    </w:p>
  </w:footnote>
  <w:footnote w:id="47">
    <w:p w:rsidR="00D95E2E" w:rsidRPr="009A374E" w:rsidRDefault="00D61E7E" w:rsidP="00D074A8">
      <w:pPr>
        <w:pStyle w:val="Textonotapie"/>
      </w:pPr>
      <w:r w:rsidRPr="009A374E">
        <w:rPr>
          <w:rStyle w:val="Refdenotaalpie"/>
        </w:rPr>
        <w:footnoteRef/>
      </w:r>
      <w:r w:rsidRPr="009A374E">
        <w:t xml:space="preserve"> </w:t>
      </w:r>
      <w:r w:rsidRPr="009A374E">
        <w:rPr>
          <w:rFonts w:ascii="Times New Roman" w:hAnsi="Times New Roman" w:cs="Times New Roman"/>
        </w:rPr>
        <w:t>La proposición aditiva fue presentada por los senadores Fernando Nicolás Araujo Rumé y Ciro Aleja</w:t>
      </w:r>
      <w:r w:rsidRPr="009A374E">
        <w:rPr>
          <w:rFonts w:ascii="Times New Roman" w:hAnsi="Times New Roman" w:cs="Times New Roman"/>
        </w:rPr>
        <w:t xml:space="preserve">ndro Ramírez Cortés. (Acta de proposiciones presentada en el segundo debate del Senado de la República, p. 1. </w:t>
      </w:r>
    </w:p>
  </w:footnote>
  <w:footnote w:id="48">
    <w:p w:rsidR="00D95E2E" w:rsidRPr="009A374E" w:rsidRDefault="00D61E7E" w:rsidP="00D074A8">
      <w:pPr>
        <w:pStyle w:val="Textonotapie"/>
        <w:rPr>
          <w:rFonts w:ascii="Times New Roman" w:hAnsi="Times New Roman" w:cs="Times New Roman"/>
          <w:lang w:val="es-ES"/>
        </w:rPr>
      </w:pPr>
      <w:r w:rsidRPr="009A374E">
        <w:rPr>
          <w:rStyle w:val="Refdenotaalpie"/>
          <w:rFonts w:ascii="Times New Roman" w:hAnsi="Times New Roman" w:cs="Times New Roman"/>
        </w:rPr>
        <w:footnoteRef/>
      </w:r>
      <w:r w:rsidRPr="009A374E">
        <w:rPr>
          <w:rFonts w:ascii="Times New Roman" w:hAnsi="Times New Roman" w:cs="Times New Roman"/>
        </w:rPr>
        <w:t xml:space="preserve"> </w:t>
      </w:r>
      <w:r w:rsidRPr="009A374E">
        <w:rPr>
          <w:rFonts w:ascii="Times New Roman" w:hAnsi="Times New Roman" w:cs="Times New Roman"/>
          <w:lang w:val="es-ES"/>
        </w:rPr>
        <w:t>Gaceta del Congreso de la República 1490 de 2020.</w:t>
      </w:r>
    </w:p>
  </w:footnote>
  <w:footnote w:id="49">
    <w:p w:rsidR="007342FD" w:rsidRPr="007342FD" w:rsidRDefault="00D61E7E">
      <w:pPr>
        <w:pStyle w:val="Textonotapie"/>
        <w:rPr>
          <w:rFonts w:ascii="Times New Roman" w:hAnsi="Times New Roman" w:cs="Times New Roman"/>
          <w:lang w:val="es-ES"/>
        </w:rPr>
      </w:pPr>
      <w:r w:rsidRPr="00A2751B">
        <w:rPr>
          <w:rStyle w:val="Refdenotaalpie"/>
          <w:rFonts w:ascii="Times New Roman" w:hAnsi="Times New Roman" w:cs="Times New Roman"/>
        </w:rPr>
        <w:footnoteRef/>
      </w:r>
      <w:r w:rsidRPr="00A2751B">
        <w:rPr>
          <w:rFonts w:ascii="Times New Roman" w:hAnsi="Times New Roman" w:cs="Times New Roman"/>
        </w:rPr>
        <w:t xml:space="preserve"> De acuerdo. lo dispuesto en la Ley 222 de 1995, la Ley 1437 de 2011, el Decreto 1074 de 2015 y el Decreto 326 de 2023, entre otras normas, las funciones de la Superintendencia de Sociedades sobre las sociedades comerciales se dividen en inspección, vigila</w:t>
      </w:r>
      <w:r w:rsidRPr="00A2751B">
        <w:rPr>
          <w:rFonts w:ascii="Times New Roman" w:hAnsi="Times New Roman" w:cs="Times New Roman"/>
        </w:rPr>
        <w:t xml:space="preserve">ncia y control. La inspección permite solicitar, confirmar y analizar información sobre la situación de sociedades </w:t>
      </w:r>
      <w:r>
        <w:rPr>
          <w:rFonts w:ascii="Times New Roman" w:hAnsi="Times New Roman" w:cs="Times New Roman"/>
        </w:rPr>
        <w:t>vigiladas</w:t>
      </w:r>
      <w:r w:rsidRPr="00A2751B">
        <w:rPr>
          <w:rFonts w:ascii="Times New Roman" w:hAnsi="Times New Roman" w:cs="Times New Roman"/>
        </w:rPr>
        <w:t>. La vigilancia asegura que estas sociedades cumplan con la ley y sus estatutos, realizando visitas, corrigiendo irregularidades, au</w:t>
      </w:r>
      <w:r w:rsidRPr="00A2751B">
        <w:rPr>
          <w:rFonts w:ascii="Times New Roman" w:hAnsi="Times New Roman" w:cs="Times New Roman"/>
        </w:rPr>
        <w:t>torizando reformas estatutarias y la emisión de acciones, y decretando disoluciones y liquidaciones. El control implica ordenar correctivos necesarios para subsanar situaciones críticas de cualquier sociedad comercial no supervisada por otra superintendenc</w:t>
      </w:r>
      <w:r w:rsidRPr="00A2751B">
        <w:rPr>
          <w:rFonts w:ascii="Times New Roman" w:hAnsi="Times New Roman" w:cs="Times New Roman"/>
        </w:rPr>
        <w:t>ia, autorizando reformas, otorgamientos de garantías, enajenaciones de bienes y convocando procesos de insolvencia, siendo esta función temporal y sin implicar coadministración.</w:t>
      </w:r>
    </w:p>
  </w:footnote>
  <w:footnote w:id="50">
    <w:p w:rsidR="00E05CD8" w:rsidRPr="0018763C" w:rsidRDefault="00D61E7E" w:rsidP="00E05CD8">
      <w:pPr>
        <w:pStyle w:val="Textonotapie"/>
        <w:rPr>
          <w:rFonts w:ascii="Times New Roman" w:hAnsi="Times New Roman" w:cs="Times New Roman"/>
        </w:rPr>
      </w:pPr>
      <w:r w:rsidRPr="0018763C">
        <w:rPr>
          <w:rStyle w:val="Refdenotaalpie"/>
          <w:rFonts w:ascii="Times New Roman" w:hAnsi="Times New Roman" w:cs="Times New Roman"/>
        </w:rPr>
        <w:footnoteRef/>
      </w:r>
      <w:r w:rsidRPr="0018763C">
        <w:rPr>
          <w:rFonts w:ascii="Times New Roman" w:hAnsi="Times New Roman" w:cs="Times New Roman"/>
        </w:rPr>
        <w:t xml:space="preserve"> </w:t>
      </w:r>
      <w:r w:rsidRPr="0018763C">
        <w:rPr>
          <w:rFonts w:ascii="Times New Roman" w:hAnsi="Times New Roman" w:cs="Times New Roman"/>
          <w:lang w:val="es-ES"/>
        </w:rPr>
        <w:t xml:space="preserve">Como lo recordó la Sección Cuarta del Consejo de Estado en la sentencia del </w:t>
      </w:r>
      <w:r w:rsidRPr="0018763C">
        <w:rPr>
          <w:rFonts w:ascii="Times New Roman" w:hAnsi="Times New Roman" w:cs="Times New Roman"/>
          <w:lang w:val="es-ES"/>
        </w:rPr>
        <w:t>15 de abril de 2010, e</w:t>
      </w:r>
      <w:r w:rsidRPr="0018763C">
        <w:rPr>
          <w:rFonts w:ascii="Times New Roman" w:hAnsi="Times New Roman" w:cs="Times New Roman"/>
        </w:rPr>
        <w:t>l título VI del Estatuto Tributario regula el régimen probatorio en materia tributaria y especifica los medios de prueba que puede utilizar la administración. Estos medios incluyen la inspección tributaria, la inspección contable y la</w:t>
      </w:r>
      <w:r w:rsidRPr="0018763C">
        <w:rPr>
          <w:rFonts w:ascii="Times New Roman" w:hAnsi="Times New Roman" w:cs="Times New Roman"/>
        </w:rPr>
        <w:t xml:space="preserve"> facultad de registro. El artículo 779 del estatuto define la inspección tributaria como un medio de prueba mediante el cual la autoridad tributaria verifica directamente los hechos relevantes para un proceso y comprueba su existencia, características y ci</w:t>
      </w:r>
      <w:r w:rsidRPr="0018763C">
        <w:rPr>
          <w:rFonts w:ascii="Times New Roman" w:hAnsi="Times New Roman" w:cs="Times New Roman"/>
        </w:rPr>
        <w:t>rcunstancias. Durante esta inspección, la administración puede utilizar todos los medios de prueba autorizados por la legislación tributaria</w:t>
      </w:r>
      <w:r>
        <w:rPr>
          <w:rFonts w:ascii="Times New Roman" w:hAnsi="Times New Roman" w:cs="Times New Roman"/>
        </w:rPr>
        <w:t xml:space="preserve"> </w:t>
      </w:r>
      <w:r w:rsidRPr="0018763C">
        <w:rPr>
          <w:rFonts w:ascii="Times New Roman" w:hAnsi="Times New Roman" w:cs="Times New Roman"/>
        </w:rPr>
        <w:t xml:space="preserve">siempre que respete los procedimientos específicos. En particular, el artículo 782 del </w:t>
      </w:r>
      <w:r>
        <w:rPr>
          <w:rFonts w:ascii="Times New Roman" w:hAnsi="Times New Roman" w:cs="Times New Roman"/>
        </w:rPr>
        <w:t>estatuto</w:t>
      </w:r>
      <w:r w:rsidRPr="0018763C">
        <w:rPr>
          <w:rFonts w:ascii="Times New Roman" w:hAnsi="Times New Roman" w:cs="Times New Roman"/>
        </w:rPr>
        <w:t xml:space="preserve"> regula la inspecció</w:t>
      </w:r>
      <w:r w:rsidRPr="0018763C">
        <w:rPr>
          <w:rFonts w:ascii="Times New Roman" w:hAnsi="Times New Roman" w:cs="Times New Roman"/>
        </w:rPr>
        <w:t>n contable, cuyo objetivo es verificar la exactitud de las declaraciones, la existencia de hechos gravados o no, y el cumplimiento de obligaciones formales. Esta diligencia produce un acta firmada por los funcionarios y las partes intervinientes, presumién</w:t>
      </w:r>
      <w:r w:rsidRPr="0018763C">
        <w:rPr>
          <w:rFonts w:ascii="Times New Roman" w:hAnsi="Times New Roman" w:cs="Times New Roman"/>
        </w:rPr>
        <w:t>dose que los datos consignados en ella provienen fielmente de los libros de contabilidad, salvo que el contribuyente demuestre su inconformidad.</w:t>
      </w:r>
    </w:p>
    <w:p w:rsidR="00E05CD8" w:rsidRPr="00E05CD8" w:rsidRDefault="00D61E7E" w:rsidP="00E05CD8">
      <w:pPr>
        <w:pStyle w:val="Textonotapie"/>
        <w:jc w:val="left"/>
        <w:rPr>
          <w:rFonts w:ascii="Times New Roman" w:hAnsi="Times New Roman" w:cs="Times New Roman"/>
          <w:lang w:val="es-ES"/>
        </w:rPr>
      </w:pPr>
    </w:p>
  </w:footnote>
  <w:footnote w:id="51">
    <w:p w:rsidR="00F22649" w:rsidRPr="00697F89" w:rsidRDefault="00D61E7E" w:rsidP="00D73ECD">
      <w:pPr>
        <w:pStyle w:val="Textonotapie"/>
        <w:rPr>
          <w:rFonts w:ascii="Times New Roman" w:hAnsi="Times New Roman"/>
          <w:i/>
          <w:sz w:val="21"/>
          <w:szCs w:val="21"/>
        </w:rPr>
      </w:pPr>
      <w:r w:rsidRPr="00F21D56">
        <w:rPr>
          <w:rStyle w:val="Refdenotaalpie"/>
          <w:rFonts w:ascii="Times New Roman" w:hAnsi="Times New Roman"/>
          <w:sz w:val="21"/>
          <w:szCs w:val="21"/>
        </w:rPr>
        <w:footnoteRef/>
      </w:r>
      <w:r w:rsidRPr="00F21D56">
        <w:rPr>
          <w:rFonts w:ascii="Times New Roman" w:hAnsi="Times New Roman"/>
          <w:sz w:val="21"/>
          <w:szCs w:val="21"/>
        </w:rPr>
        <w:t xml:space="preserve"> </w:t>
      </w:r>
      <w:r w:rsidRPr="0045195E">
        <w:rPr>
          <w:rFonts w:ascii="Times New Roman" w:hAnsi="Times New Roman"/>
          <w:iCs/>
          <w:sz w:val="21"/>
          <w:szCs w:val="21"/>
        </w:rPr>
        <w:t>“Por medio de la cual se impulsa el emprendimiento en Colombia”</w:t>
      </w:r>
      <w:r w:rsidRPr="0045195E">
        <w:rPr>
          <w:rFonts w:ascii="Times New Roman" w:hAnsi="Times New Roman"/>
          <w:iCs/>
          <w:sz w:val="21"/>
          <w:szCs w:val="21"/>
        </w:rPr>
        <w:t>.</w:t>
      </w:r>
    </w:p>
    <w:p w:rsidR="00AC4C26" w:rsidRDefault="00AC4C26" w:rsidP="00D73ECD">
      <w:pPr>
        <w:pStyle w:val="Textonotapie"/>
      </w:pPr>
    </w:p>
  </w:footnote>
  <w:footnote w:id="52">
    <w:p w:rsidR="00AC4C26" w:rsidRDefault="00D61E7E" w:rsidP="00D73ECD">
      <w:pPr>
        <w:pStyle w:val="Textonotapie"/>
      </w:pPr>
      <w:r>
        <w:rPr>
          <w:rStyle w:val="Refdenotaalpie"/>
        </w:rPr>
        <w:footnoteRef/>
      </w:r>
      <w:r>
        <w:t xml:space="preserve"> </w:t>
      </w:r>
      <w:r w:rsidRPr="00F22649">
        <w:rPr>
          <w:rFonts w:ascii="Times New Roman" w:hAnsi="Times New Roman"/>
          <w:sz w:val="21"/>
          <w:szCs w:val="21"/>
          <w:lang w:val="es-ES"/>
        </w:rPr>
        <w:t>Este corresponde al píe de página 41.</w:t>
      </w:r>
    </w:p>
  </w:footnote>
  <w:footnote w:id="53">
    <w:p w:rsidR="00AC4C26" w:rsidRDefault="00D61E7E" w:rsidP="00D73ECD">
      <w:pPr>
        <w:pStyle w:val="Textonotapie"/>
      </w:pPr>
      <w:r w:rsidRPr="00F22649">
        <w:rPr>
          <w:rStyle w:val="Refdenotaalpie"/>
          <w:rFonts w:ascii="Times New Roman" w:hAnsi="Times New Roman"/>
          <w:sz w:val="21"/>
          <w:szCs w:val="21"/>
        </w:rPr>
        <w:footnoteRef/>
      </w:r>
      <w:r w:rsidRPr="00F22649">
        <w:rPr>
          <w:rFonts w:ascii="Times New Roman" w:hAnsi="Times New Roman"/>
          <w:sz w:val="21"/>
          <w:szCs w:val="21"/>
        </w:rPr>
        <w:t xml:space="preserve"> </w:t>
      </w:r>
      <w:r w:rsidRPr="00F22649">
        <w:rPr>
          <w:rFonts w:ascii="Times New Roman" w:hAnsi="Times New Roman"/>
          <w:sz w:val="21"/>
          <w:szCs w:val="21"/>
          <w:lang w:val="es-ES"/>
        </w:rPr>
        <w:t xml:space="preserve">CONGRESO DE LA REPÚBLICA. Gaceta 942 del 18 de septiembre de 2020, p. 10. </w:t>
      </w:r>
    </w:p>
  </w:footnote>
  <w:footnote w:id="54">
    <w:p w:rsidR="00AC4C26" w:rsidRDefault="00D61E7E" w:rsidP="00D73ECD">
      <w:pPr>
        <w:pStyle w:val="Textonotapie"/>
      </w:pPr>
      <w:r w:rsidRPr="00F22649">
        <w:rPr>
          <w:rStyle w:val="Refdenotaalpie"/>
          <w:rFonts w:ascii="Times New Roman" w:hAnsi="Times New Roman"/>
          <w:sz w:val="21"/>
          <w:szCs w:val="21"/>
        </w:rPr>
        <w:footnoteRef/>
      </w:r>
      <w:r w:rsidRPr="00F22649">
        <w:rPr>
          <w:rFonts w:ascii="Times New Roman" w:hAnsi="Times New Roman"/>
          <w:sz w:val="21"/>
          <w:szCs w:val="21"/>
        </w:rPr>
        <w:t xml:space="preserve"> </w:t>
      </w:r>
      <w:bookmarkStart w:id="5" w:name="1"/>
      <w:bookmarkEnd w:id="5"/>
      <w:r>
        <w:rPr>
          <w:rFonts w:ascii="Times New Roman" w:hAnsi="Times New Roman"/>
          <w:sz w:val="21"/>
          <w:szCs w:val="21"/>
        </w:rPr>
        <w:t>“</w:t>
      </w:r>
      <w:r w:rsidRPr="00F22649">
        <w:rPr>
          <w:rFonts w:ascii="Times New Roman" w:hAnsi="Times New Roman"/>
          <w:b/>
          <w:bCs/>
          <w:sz w:val="21"/>
          <w:szCs w:val="21"/>
        </w:rPr>
        <w:t>Artículo 1. Objeto</w:t>
      </w:r>
      <w:r w:rsidRPr="00F22649">
        <w:rPr>
          <w:rFonts w:ascii="Times New Roman" w:hAnsi="Times New Roman"/>
          <w:b/>
          <w:bCs/>
          <w:sz w:val="21"/>
          <w:szCs w:val="21"/>
        </w:rPr>
        <w:t>. </w:t>
      </w:r>
      <w:r w:rsidRPr="00F22649">
        <w:rPr>
          <w:rFonts w:ascii="Times New Roman" w:hAnsi="Times New Roman"/>
          <w:sz w:val="21"/>
          <w:szCs w:val="21"/>
        </w:rPr>
        <w:t xml:space="preserve">La presente Ley tiene por objeto establecer un </w:t>
      </w:r>
      <w:r w:rsidRPr="0045195E">
        <w:rPr>
          <w:rFonts w:ascii="Times New Roman" w:hAnsi="Times New Roman"/>
          <w:sz w:val="21"/>
          <w:szCs w:val="21"/>
        </w:rPr>
        <w:t xml:space="preserve">marco regulatorio que propicie el emprendimiento y el crecimiento, consolidación y sostenibilidad de las </w:t>
      </w:r>
      <w:r w:rsidRPr="0045195E">
        <w:rPr>
          <w:rFonts w:ascii="Times New Roman" w:hAnsi="Times New Roman"/>
          <w:b/>
          <w:bCs/>
          <w:sz w:val="21"/>
          <w:szCs w:val="21"/>
        </w:rPr>
        <w:t>empres</w:t>
      </w:r>
      <w:r w:rsidRPr="0045195E">
        <w:rPr>
          <w:rFonts w:ascii="Times New Roman" w:hAnsi="Times New Roman"/>
          <w:b/>
          <w:bCs/>
          <w:sz w:val="21"/>
          <w:szCs w:val="21"/>
        </w:rPr>
        <w:t>as</w:t>
      </w:r>
      <w:r w:rsidRPr="00B0242D">
        <w:rPr>
          <w:rFonts w:ascii="Times New Roman" w:hAnsi="Times New Roman"/>
          <w:b/>
          <w:bCs/>
          <w:sz w:val="21"/>
          <w:szCs w:val="21"/>
        </w:rPr>
        <w:t>,</w:t>
      </w:r>
      <w:r w:rsidRPr="00B0242D">
        <w:rPr>
          <w:rFonts w:ascii="Times New Roman" w:hAnsi="Times New Roman"/>
          <w:sz w:val="21"/>
          <w:szCs w:val="21"/>
        </w:rPr>
        <w:t xml:space="preserve"> con el fin de aumentar el bienestar social y generar equidad</w:t>
      </w:r>
      <w:r>
        <w:rPr>
          <w:rFonts w:ascii="Times New Roman" w:hAnsi="Times New Roman"/>
          <w:sz w:val="21"/>
          <w:szCs w:val="21"/>
        </w:rPr>
        <w:t>”</w:t>
      </w:r>
      <w:r w:rsidRPr="00B0242D">
        <w:rPr>
          <w:rFonts w:ascii="Times New Roman" w:hAnsi="Times New Roman"/>
          <w:sz w:val="21"/>
          <w:szCs w:val="21"/>
        </w:rPr>
        <w:t>.</w:t>
      </w:r>
    </w:p>
  </w:footnote>
  <w:footnote w:id="55">
    <w:p w:rsidR="00AC4C26" w:rsidRDefault="00D61E7E" w:rsidP="00D73ECD">
      <w:pPr>
        <w:pStyle w:val="Textonotapie"/>
      </w:pPr>
      <w:r>
        <w:rPr>
          <w:rStyle w:val="Refdenotaalpie"/>
        </w:rPr>
        <w:footnoteRef/>
      </w:r>
      <w:r>
        <w:t xml:space="preserve"> </w:t>
      </w:r>
      <w:r w:rsidRPr="0045195E">
        <w:rPr>
          <w:rFonts w:ascii="Times New Roman" w:hAnsi="Times New Roman"/>
          <w:sz w:val="21"/>
          <w:szCs w:val="21"/>
        </w:rPr>
        <w:t>“Por el cual se adoptan medidas tributarias y de control cambiario transitorias en el marco del Estado de Emergencia Económica, Social y Ecológica declarada mediante el Decreto </w:t>
      </w:r>
      <w:hyperlink r:id="rId1" w:anchor="INICIO" w:history="1">
        <w:r w:rsidRPr="0045195E">
          <w:rPr>
            <w:rStyle w:val="Hipervnculo"/>
            <w:rFonts w:ascii="Times New Roman" w:hAnsi="Times New Roman"/>
            <w:color w:val="auto"/>
            <w:sz w:val="21"/>
            <w:szCs w:val="21"/>
            <w:u w:val="none"/>
          </w:rPr>
          <w:t>637</w:t>
        </w:r>
      </w:hyperlink>
      <w:r w:rsidRPr="0045195E">
        <w:rPr>
          <w:rFonts w:ascii="Times New Roman" w:hAnsi="Times New Roman"/>
          <w:sz w:val="21"/>
          <w:szCs w:val="21"/>
        </w:rPr>
        <w:t> del 6 de mayo de 2020”</w:t>
      </w:r>
      <w:r w:rsidRPr="0045195E">
        <w:rPr>
          <w:rFonts w:ascii="Times New Roman" w:hAnsi="Times New Roman"/>
          <w:sz w:val="21"/>
          <w:szCs w:val="21"/>
        </w:rPr>
        <w:t>.</w:t>
      </w:r>
    </w:p>
  </w:footnote>
  <w:footnote w:id="56">
    <w:p w:rsidR="00AC4C26" w:rsidRDefault="00D61E7E" w:rsidP="00D73ECD">
      <w:pPr>
        <w:pStyle w:val="Textonotapie"/>
      </w:pPr>
      <w:r w:rsidRPr="00F22649">
        <w:rPr>
          <w:rStyle w:val="Refdenotaalpie"/>
          <w:rFonts w:ascii="Times New Roman" w:hAnsi="Times New Roman"/>
          <w:sz w:val="21"/>
          <w:szCs w:val="21"/>
        </w:rPr>
        <w:footnoteRef/>
      </w:r>
      <w:r w:rsidRPr="00F22649">
        <w:rPr>
          <w:rFonts w:ascii="Times New Roman" w:hAnsi="Times New Roman"/>
          <w:sz w:val="21"/>
          <w:szCs w:val="21"/>
        </w:rPr>
        <w:t xml:space="preserve"> </w:t>
      </w:r>
      <w:r w:rsidRPr="00F22649">
        <w:rPr>
          <w:rFonts w:ascii="Times New Roman" w:hAnsi="Times New Roman"/>
          <w:sz w:val="21"/>
          <w:szCs w:val="21"/>
          <w:lang w:val="es-ES"/>
        </w:rPr>
        <w:t xml:space="preserve">Sentencia C-394 de 2020. M.P. Alejandro Linares Cantillo. </w:t>
      </w:r>
      <w:r w:rsidRPr="005E13C3">
        <w:rPr>
          <w:rFonts w:ascii="Times New Roman" w:hAnsi="Times New Roman"/>
          <w:sz w:val="21"/>
          <w:szCs w:val="21"/>
          <w:lang w:val="it-IT"/>
        </w:rPr>
        <w:t xml:space="preserve">SVP. Cristina Pardo Schlesinger. </w:t>
      </w:r>
    </w:p>
  </w:footnote>
  <w:footnote w:id="57">
    <w:p w:rsidR="00AC4C26" w:rsidRDefault="00D61E7E" w:rsidP="00D73ECD">
      <w:pPr>
        <w:pStyle w:val="Textonotapie"/>
        <w:ind w:right="-57"/>
      </w:pPr>
      <w:r w:rsidRPr="00F22649">
        <w:rPr>
          <w:rStyle w:val="Refdenotaalpie"/>
          <w:rFonts w:ascii="Times New Roman" w:hAnsi="Times New Roman"/>
          <w:sz w:val="21"/>
          <w:szCs w:val="21"/>
        </w:rPr>
        <w:footnoteRef/>
      </w:r>
      <w:r w:rsidRPr="005E13C3">
        <w:rPr>
          <w:rFonts w:ascii="Times New Roman" w:hAnsi="Times New Roman"/>
          <w:sz w:val="21"/>
          <w:szCs w:val="21"/>
          <w:lang w:val="it-IT"/>
        </w:rPr>
        <w:t xml:space="preserve"> DIAN. </w:t>
      </w:r>
      <w:r w:rsidRPr="00F22649">
        <w:rPr>
          <w:rFonts w:ascii="Times New Roman" w:hAnsi="Times New Roman"/>
          <w:sz w:val="21"/>
          <w:szCs w:val="21"/>
        </w:rPr>
        <w:t xml:space="preserve">Resolución 79 del 24 de julio de 2020. </w:t>
      </w:r>
      <w:r w:rsidRPr="0045195E">
        <w:rPr>
          <w:rFonts w:ascii="Times New Roman" w:hAnsi="Times New Roman"/>
          <w:iCs/>
          <w:sz w:val="21"/>
          <w:szCs w:val="21"/>
        </w:rPr>
        <w:t>“Por la cual se adoptan medidas transitorias para la realización de los medios de prueba virtuales en materia tributaria y de control cambiario en virtud de lo dispuesto en el Decreto Legislativo 807 de 04 de junio de</w:t>
      </w:r>
      <w:r w:rsidRPr="0045195E">
        <w:rPr>
          <w:rFonts w:ascii="Times New Roman" w:hAnsi="Times New Roman"/>
          <w:iCs/>
          <w:sz w:val="21"/>
          <w:szCs w:val="21"/>
        </w:rPr>
        <w:t xml:space="preserve"> 2020”.</w:t>
      </w:r>
      <w:r w:rsidRPr="00F22649">
        <w:rPr>
          <w:rFonts w:ascii="Times New Roman" w:hAnsi="Times New Roman"/>
          <w:sz w:val="21"/>
          <w:szCs w:val="21"/>
        </w:rPr>
        <w:t xml:space="preserve"> En el considerando segundo de esta </w:t>
      </w:r>
      <w:r>
        <w:rPr>
          <w:rFonts w:ascii="Times New Roman" w:hAnsi="Times New Roman"/>
          <w:sz w:val="21"/>
          <w:szCs w:val="21"/>
        </w:rPr>
        <w:t>r</w:t>
      </w:r>
      <w:r w:rsidRPr="00F22649">
        <w:rPr>
          <w:rFonts w:ascii="Times New Roman" w:hAnsi="Times New Roman"/>
          <w:sz w:val="21"/>
          <w:szCs w:val="21"/>
        </w:rPr>
        <w:t xml:space="preserve">esolución se indicó lo siguiente: </w:t>
      </w:r>
      <w:r w:rsidRPr="008D11A1">
        <w:rPr>
          <w:rFonts w:ascii="Times New Roman" w:hAnsi="Times New Roman"/>
          <w:sz w:val="21"/>
          <w:szCs w:val="21"/>
        </w:rPr>
        <w:t>“</w:t>
      </w:r>
      <w:r w:rsidRPr="0045195E">
        <w:rPr>
          <w:rFonts w:ascii="Times New Roman" w:hAnsi="Times New Roman"/>
          <w:sz w:val="21"/>
          <w:szCs w:val="21"/>
        </w:rPr>
        <w:t>Que el artículo 9 del Decreto Ley 2106 de 2019 establece que las autoridades deberán integrarse y hacer uso del modelo de Servicios Digitales para lograr un mayor nivel de efici</w:t>
      </w:r>
      <w:r w:rsidRPr="0045195E">
        <w:rPr>
          <w:rFonts w:ascii="Times New Roman" w:hAnsi="Times New Roman"/>
          <w:sz w:val="21"/>
          <w:szCs w:val="21"/>
        </w:rPr>
        <w:t>encia en la Administración Pública y tener una adecuada interacción con los ciudadanos y usuarios</w:t>
      </w:r>
      <w:r w:rsidRPr="0045195E">
        <w:rPr>
          <w:rFonts w:ascii="Times New Roman" w:hAnsi="Times New Roman"/>
          <w:sz w:val="21"/>
          <w:szCs w:val="21"/>
        </w:rPr>
        <w:t>”</w:t>
      </w:r>
      <w:r w:rsidRPr="0045195E">
        <w:rPr>
          <w:rFonts w:ascii="Times New Roman" w:hAnsi="Times New Roman"/>
          <w:sz w:val="21"/>
          <w:szCs w:val="21"/>
        </w:rPr>
        <w:t>.</w:t>
      </w:r>
      <w:r w:rsidRPr="0094197E">
        <w:rPr>
          <w:rFonts w:ascii="Times New Roman" w:hAnsi="Times New Roman"/>
          <w:i/>
          <w:sz w:val="21"/>
          <w:szCs w:val="21"/>
          <w:u w:val="single"/>
        </w:rPr>
        <w:t xml:space="preserve"> </w:t>
      </w:r>
    </w:p>
  </w:footnote>
  <w:footnote w:id="58">
    <w:p w:rsidR="00AC4C26" w:rsidRDefault="00D61E7E" w:rsidP="00D73ECD">
      <w:pPr>
        <w:pStyle w:val="Textonotapie"/>
      </w:pPr>
      <w:r w:rsidRPr="00F22649">
        <w:rPr>
          <w:rStyle w:val="Refdenotaalpie"/>
          <w:rFonts w:ascii="Times New Roman" w:hAnsi="Times New Roman"/>
          <w:sz w:val="21"/>
          <w:szCs w:val="21"/>
        </w:rPr>
        <w:footnoteRef/>
      </w:r>
      <w:r w:rsidRPr="00F22649">
        <w:rPr>
          <w:rFonts w:ascii="Times New Roman" w:hAnsi="Times New Roman"/>
          <w:sz w:val="21"/>
          <w:szCs w:val="21"/>
        </w:rPr>
        <w:t xml:space="preserve"> Párrafo 87. </w:t>
      </w:r>
    </w:p>
  </w:footnote>
  <w:footnote w:id="59">
    <w:p w:rsidR="00AC4C26" w:rsidRDefault="00D61E7E" w:rsidP="00D73ECD">
      <w:pPr>
        <w:pStyle w:val="Textonotapie"/>
      </w:pPr>
      <w:r w:rsidRPr="00F22649">
        <w:rPr>
          <w:rStyle w:val="Refdenotaalpie"/>
          <w:rFonts w:ascii="Times New Roman" w:hAnsi="Times New Roman"/>
          <w:sz w:val="21"/>
          <w:szCs w:val="21"/>
        </w:rPr>
        <w:footnoteRef/>
      </w:r>
      <w:r w:rsidRPr="00F22649">
        <w:rPr>
          <w:rFonts w:ascii="Times New Roman" w:hAnsi="Times New Roman"/>
          <w:sz w:val="21"/>
          <w:szCs w:val="21"/>
        </w:rPr>
        <w:t xml:space="preserve"> </w:t>
      </w:r>
      <w:r w:rsidRPr="00F22649">
        <w:rPr>
          <w:rFonts w:ascii="Times New Roman" w:hAnsi="Times New Roman"/>
          <w:sz w:val="21"/>
          <w:szCs w:val="21"/>
          <w:lang w:val="es-ES"/>
        </w:rPr>
        <w:t xml:space="preserve">Sentencia C- 390 de 2023. M.P Cristina Pardo Schlesinger. </w:t>
      </w:r>
    </w:p>
  </w:footnote>
  <w:footnote w:id="60">
    <w:p w:rsidR="00AC4C26" w:rsidRDefault="00D61E7E" w:rsidP="00D73ECD">
      <w:pPr>
        <w:pStyle w:val="Textonotapie"/>
      </w:pPr>
      <w:r w:rsidRPr="00F22649">
        <w:rPr>
          <w:rStyle w:val="Refdenotaalpie"/>
          <w:rFonts w:ascii="Times New Roman" w:hAnsi="Times New Roman"/>
          <w:sz w:val="21"/>
          <w:szCs w:val="21"/>
        </w:rPr>
        <w:footnoteRef/>
      </w:r>
      <w:r w:rsidRPr="00F22649">
        <w:rPr>
          <w:rFonts w:ascii="Times New Roman" w:hAnsi="Times New Roman"/>
          <w:sz w:val="21"/>
          <w:szCs w:val="21"/>
        </w:rPr>
        <w:t xml:space="preserve"> </w:t>
      </w:r>
      <w:r w:rsidRPr="00F22649">
        <w:rPr>
          <w:rFonts w:ascii="Times New Roman" w:hAnsi="Times New Roman"/>
          <w:i/>
          <w:iCs/>
          <w:sz w:val="21"/>
          <w:szCs w:val="21"/>
        </w:rPr>
        <w:t xml:space="preserve">“Por medio de la cual se adopta una reforma tributaria para la igualdad y la </w:t>
      </w:r>
      <w:r w:rsidRPr="00F22649">
        <w:rPr>
          <w:rFonts w:ascii="Times New Roman" w:hAnsi="Times New Roman"/>
          <w:i/>
          <w:iCs/>
          <w:sz w:val="21"/>
          <w:szCs w:val="21"/>
        </w:rPr>
        <w:t>justicia social y se dictan otras disposiciones.”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AA2252"/>
    <w:multiLevelType w:val="hybridMultilevel"/>
    <w:tmpl w:val="5456D674"/>
    <w:lvl w:ilvl="0" w:tplc="B8E48518">
      <w:start w:val="5"/>
      <w:numFmt w:val="decimal"/>
      <w:lvlText w:val="%1."/>
      <w:lvlJc w:val="left"/>
      <w:pPr>
        <w:ind w:left="0" w:firstLine="0"/>
      </w:pPr>
      <w:rPr>
        <w:rFonts w:ascii="Times New Roman" w:hAnsi="Times New Roman" w:cs="Times New Roman" w:hint="default"/>
        <w:b w:val="0"/>
        <w:bCs w:val="0"/>
        <w:sz w:val="28"/>
        <w:szCs w:val="28"/>
        <w:lang w:val="es-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73B6723"/>
    <w:multiLevelType w:val="hybridMultilevel"/>
    <w:tmpl w:val="8AE610D0"/>
    <w:lvl w:ilvl="0" w:tplc="3B1AA1D2">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5087130E"/>
    <w:multiLevelType w:val="hybridMultilevel"/>
    <w:tmpl w:val="8932A2CA"/>
    <w:lvl w:ilvl="0" w:tplc="37C8801E">
      <w:start w:val="4"/>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35212D"/>
    <w:multiLevelType w:val="hybridMultilevel"/>
    <w:tmpl w:val="F190BE1A"/>
    <w:lvl w:ilvl="0" w:tplc="1A4E90B4">
      <w:start w:val="1"/>
      <w:numFmt w:val="decimal"/>
      <w:lvlText w:val="§%1."/>
      <w:lvlJc w:val="left"/>
      <w:pPr>
        <w:ind w:left="720" w:hanging="360"/>
      </w:pPr>
      <w:rPr>
        <w:rFonts w:cs="Times New Roman" w:hint="default"/>
      </w:rPr>
    </w:lvl>
    <w:lvl w:ilvl="1" w:tplc="5BF2BE12">
      <w:start w:val="1"/>
      <w:numFmt w:val="lowerRoman"/>
      <w:lvlText w:val="(%2)"/>
      <w:lvlJc w:val="left"/>
      <w:pPr>
        <w:ind w:left="1800" w:hanging="720"/>
      </w:pPr>
      <w:rPr>
        <w:rFonts w:cs="Times New Roman" w:hint="default"/>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 w15:restartNumberingAfterBreak="0">
    <w:nsid w:val="71587E07"/>
    <w:multiLevelType w:val="hybridMultilevel"/>
    <w:tmpl w:val="C05C21F8"/>
    <w:lvl w:ilvl="0" w:tplc="F5E4EDE0">
      <w:start w:val="1"/>
      <w:numFmt w:val="decimal"/>
      <w:lvlText w:val="%1."/>
      <w:lvlJc w:val="left"/>
      <w:pPr>
        <w:ind w:left="360" w:hanging="360"/>
      </w:pPr>
      <w:rPr>
        <w:rFonts w:ascii="Times New Roman" w:hAnsi="Times New Roman" w:cs="Times New Roman" w:hint="default"/>
        <w:b w:val="0"/>
        <w:sz w:val="28"/>
        <w:szCs w:val="28"/>
        <w:vertAlign w:val="baseline"/>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3DFF"/>
    <w:rsid w:val="00393DFF"/>
    <w:rsid w:val="00AC4C26"/>
    <w:rsid w:val="00D61E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C05B3ED5-CE95-4B95-8C52-A28E72280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BB7D5D"/>
    <w:pPr>
      <w:keepNext/>
      <w:keepLines/>
      <w:spacing w:before="240"/>
      <w:jc w:val="both"/>
      <w:outlineLvl w:val="0"/>
    </w:pPr>
    <w:rPr>
      <w:rFonts w:asciiTheme="majorHAnsi" w:eastAsiaTheme="majorEastAsia" w:hAnsiTheme="majorHAnsi" w:cstheme="majorBidi"/>
      <w:color w:val="2E74B5" w:themeColor="accent1" w:themeShade="BF"/>
      <w:sz w:val="32"/>
      <w:szCs w:val="32"/>
      <w:lang w:val="es-ES"/>
    </w:rPr>
  </w:style>
  <w:style w:type="paragraph" w:styleId="Ttulo2">
    <w:name w:val="heading 2"/>
    <w:basedOn w:val="Normal"/>
    <w:next w:val="Normal"/>
    <w:link w:val="Ttulo2Car"/>
    <w:uiPriority w:val="9"/>
    <w:semiHidden/>
    <w:unhideWhenUsed/>
    <w:qFormat/>
    <w:rsid w:val="00BB7D5D"/>
    <w:pPr>
      <w:keepNext/>
      <w:keepLines/>
      <w:spacing w:before="40"/>
      <w:jc w:val="both"/>
      <w:outlineLvl w:val="1"/>
    </w:pPr>
    <w:rPr>
      <w:rFonts w:asciiTheme="majorHAnsi" w:eastAsiaTheme="majorEastAsia" w:hAnsiTheme="majorHAnsi" w:cstheme="majorBidi"/>
      <w:color w:val="2E74B5" w:themeColor="accent1" w:themeShade="BF"/>
      <w:sz w:val="26"/>
      <w:szCs w:val="26"/>
      <w:lang w:val="es-ES"/>
    </w:rPr>
  </w:style>
  <w:style w:type="paragraph" w:styleId="Ttulo3">
    <w:name w:val="heading 3"/>
    <w:basedOn w:val="Normal"/>
    <w:next w:val="Normal"/>
    <w:link w:val="Ttulo3Car"/>
    <w:uiPriority w:val="9"/>
    <w:unhideWhenUsed/>
    <w:qFormat/>
    <w:rsid w:val="00BB7D5D"/>
    <w:pPr>
      <w:keepNext/>
      <w:keepLines/>
      <w:spacing w:before="40"/>
      <w:jc w:val="both"/>
      <w:outlineLvl w:val="2"/>
    </w:pPr>
    <w:rPr>
      <w:rFonts w:asciiTheme="majorHAnsi" w:eastAsiaTheme="majorEastAsia" w:hAnsiTheme="majorHAnsi" w:cstheme="majorBidi"/>
      <w:color w:val="1F4D78" w:themeColor="accent1" w:themeShade="7F"/>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lorful List - Accent 11,Ha,List Paragraph1,lp1,Lista vistosa - Énfasis 11,List Paragraph2,Párrafo de lista1,Segundo nivel de viñetas,Segundo nivel de vi–etas,titulo 3,Bullets,Párrafo de lista2,Dot pt,Footnote,List1,F5 List Paragraph,B"/>
    <w:basedOn w:val="Normal"/>
    <w:link w:val="PrrafodelistaCar"/>
    <w:uiPriority w:val="34"/>
    <w:qFormat/>
    <w:rsid w:val="00D00A8B"/>
    <w:pPr>
      <w:ind w:left="720"/>
      <w:contextualSpacing/>
      <w:jc w:val="both"/>
    </w:pPr>
    <w:rPr>
      <w:rFonts w:eastAsiaTheme="minorHAnsi"/>
    </w:rPr>
  </w:style>
  <w:style w:type="character" w:styleId="Refdecomentario">
    <w:name w:val="annotation reference"/>
    <w:basedOn w:val="Fuentedeprrafopredeter"/>
    <w:uiPriority w:val="99"/>
    <w:semiHidden/>
    <w:unhideWhenUsed/>
    <w:rsid w:val="00FE714A"/>
    <w:rPr>
      <w:sz w:val="16"/>
      <w:szCs w:val="16"/>
    </w:rPr>
  </w:style>
  <w:style w:type="paragraph" w:styleId="Textocomentario">
    <w:name w:val="annotation text"/>
    <w:basedOn w:val="Normal"/>
    <w:link w:val="TextocomentarioCar"/>
    <w:uiPriority w:val="99"/>
    <w:unhideWhenUsed/>
    <w:rsid w:val="00FE714A"/>
    <w:pPr>
      <w:jc w:val="both"/>
    </w:pPr>
    <w:rPr>
      <w:rFonts w:eastAsiaTheme="minorHAnsi"/>
      <w:sz w:val="20"/>
      <w:szCs w:val="20"/>
    </w:rPr>
  </w:style>
  <w:style w:type="character" w:customStyle="1" w:styleId="TextocomentarioCar">
    <w:name w:val="Texto comentario Car"/>
    <w:basedOn w:val="Fuentedeprrafopredeter"/>
    <w:link w:val="Textocomentario"/>
    <w:uiPriority w:val="99"/>
    <w:rsid w:val="00FE714A"/>
    <w:rPr>
      <w:sz w:val="20"/>
      <w:szCs w:val="20"/>
    </w:rPr>
  </w:style>
  <w:style w:type="paragraph" w:styleId="Asuntodelcomentario">
    <w:name w:val="annotation subject"/>
    <w:basedOn w:val="Textocomentario"/>
    <w:next w:val="Textocomentario"/>
    <w:link w:val="AsuntodelcomentarioCar"/>
    <w:uiPriority w:val="99"/>
    <w:semiHidden/>
    <w:unhideWhenUsed/>
    <w:rsid w:val="00FE714A"/>
    <w:rPr>
      <w:b/>
      <w:bCs/>
    </w:rPr>
  </w:style>
  <w:style w:type="character" w:customStyle="1" w:styleId="AsuntodelcomentarioCar">
    <w:name w:val="Asunto del comentario Car"/>
    <w:basedOn w:val="TextocomentarioCar"/>
    <w:link w:val="Asuntodelcomentario"/>
    <w:uiPriority w:val="99"/>
    <w:semiHidden/>
    <w:rsid w:val="00FE714A"/>
    <w:rPr>
      <w:b/>
      <w:bCs/>
      <w:sz w:val="20"/>
      <w:szCs w:val="20"/>
    </w:rPr>
  </w:style>
  <w:style w:type="paragraph" w:styleId="Textodeglobo">
    <w:name w:val="Balloon Text"/>
    <w:basedOn w:val="Normal"/>
    <w:link w:val="TextodegloboCar"/>
    <w:uiPriority w:val="99"/>
    <w:unhideWhenUsed/>
    <w:rsid w:val="00FE714A"/>
    <w:pPr>
      <w:jc w:val="both"/>
    </w:pPr>
    <w:rPr>
      <w:rFonts w:ascii="Segoe UI" w:eastAsiaTheme="minorHAnsi" w:hAnsi="Segoe UI" w:cs="Segoe UI"/>
      <w:sz w:val="18"/>
      <w:szCs w:val="18"/>
    </w:rPr>
  </w:style>
  <w:style w:type="character" w:customStyle="1" w:styleId="TextodegloboCar">
    <w:name w:val="Texto de globo Car"/>
    <w:basedOn w:val="Fuentedeprrafopredeter"/>
    <w:link w:val="Textodeglobo"/>
    <w:uiPriority w:val="99"/>
    <w:rsid w:val="00FE714A"/>
    <w:rPr>
      <w:rFonts w:ascii="Segoe UI" w:hAnsi="Segoe UI" w:cs="Segoe UI"/>
      <w:sz w:val="18"/>
      <w:szCs w:val="18"/>
    </w:r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Footnote Te,FC,Ref"/>
    <w:basedOn w:val="Normal"/>
    <w:link w:val="TextonotapieCar"/>
    <w:uiPriority w:val="99"/>
    <w:unhideWhenUsed/>
    <w:qFormat/>
    <w:rsid w:val="00CB7ED7"/>
    <w:pPr>
      <w:jc w:val="both"/>
    </w:pPr>
    <w:rPr>
      <w:rFonts w:eastAsiaTheme="minorHAnsi"/>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r Car,Footnote Text Char Char Char Char Char Char Char Char Car,FC Car"/>
    <w:basedOn w:val="Fuentedeprrafopredeter"/>
    <w:link w:val="Textonotapie"/>
    <w:uiPriority w:val="99"/>
    <w:qFormat/>
    <w:rsid w:val="00CB7ED7"/>
    <w:rPr>
      <w:sz w:val="20"/>
      <w:szCs w:val="20"/>
    </w:rPr>
  </w:style>
  <w:style w:type="character" w:styleId="Refdenotaalpie">
    <w:name w:val="footnote reference"/>
    <w:aliases w:val="Texto de nota al pie,referencia nota al pie,Footnotes refss,Ref. de nota al pie 2,Fago Fußnotenzeichen,Appel note de bas de page,Texto nota pie Car2,Footnote Text Char Char Char Char Char Car1,Footnote Text Char Char Char Char Car1,f"/>
    <w:basedOn w:val="Fuentedeprrafopredeter"/>
    <w:link w:val="4GChar"/>
    <w:uiPriority w:val="99"/>
    <w:unhideWhenUsed/>
    <w:qFormat/>
    <w:rsid w:val="00CB7ED7"/>
    <w:rPr>
      <w:vertAlign w:val="superscript"/>
    </w:rPr>
  </w:style>
  <w:style w:type="paragraph" w:styleId="Encabezado">
    <w:name w:val="header"/>
    <w:basedOn w:val="Normal"/>
    <w:link w:val="EncabezadoCar"/>
    <w:uiPriority w:val="99"/>
    <w:unhideWhenUsed/>
    <w:rsid w:val="00AC0E36"/>
    <w:pPr>
      <w:tabs>
        <w:tab w:val="center" w:pos="4419"/>
        <w:tab w:val="right" w:pos="8838"/>
      </w:tabs>
      <w:jc w:val="both"/>
    </w:pPr>
    <w:rPr>
      <w:rFonts w:eastAsiaTheme="minorHAnsi"/>
    </w:rPr>
  </w:style>
  <w:style w:type="character" w:customStyle="1" w:styleId="EncabezadoCar">
    <w:name w:val="Encabezado Car"/>
    <w:basedOn w:val="Fuentedeprrafopredeter"/>
    <w:link w:val="Encabezado"/>
    <w:uiPriority w:val="99"/>
    <w:rsid w:val="00AC0E36"/>
  </w:style>
  <w:style w:type="paragraph" w:styleId="Piedepgina">
    <w:name w:val="footer"/>
    <w:basedOn w:val="Normal"/>
    <w:link w:val="PiedepginaCar"/>
    <w:uiPriority w:val="99"/>
    <w:unhideWhenUsed/>
    <w:rsid w:val="00AC0E36"/>
    <w:pPr>
      <w:tabs>
        <w:tab w:val="center" w:pos="4419"/>
        <w:tab w:val="right" w:pos="8838"/>
      </w:tabs>
      <w:jc w:val="both"/>
    </w:pPr>
    <w:rPr>
      <w:rFonts w:eastAsiaTheme="minorHAnsi"/>
    </w:rPr>
  </w:style>
  <w:style w:type="character" w:customStyle="1" w:styleId="PiedepginaCar">
    <w:name w:val="Pie de página Car"/>
    <w:basedOn w:val="Fuentedeprrafopredeter"/>
    <w:link w:val="Piedepgina"/>
    <w:uiPriority w:val="99"/>
    <w:rsid w:val="00AC0E36"/>
  </w:style>
  <w:style w:type="character" w:styleId="Hipervnculo">
    <w:name w:val="Hyperlink"/>
    <w:basedOn w:val="Fuentedeprrafopredeter"/>
    <w:uiPriority w:val="99"/>
    <w:unhideWhenUsed/>
    <w:rsid w:val="00F47F45"/>
    <w:rPr>
      <w:color w:val="0563C1" w:themeColor="hyperlink"/>
      <w:u w:val="single"/>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957F5D"/>
    <w:pPr>
      <w:jc w:val="both"/>
    </w:pPr>
    <w:rPr>
      <w:rFonts w:eastAsiaTheme="minorHAnsi"/>
      <w:vertAlign w:val="superscript"/>
    </w:rPr>
  </w:style>
  <w:style w:type="paragraph" w:styleId="Sinespaciado">
    <w:name w:val="No Spacing"/>
    <w:link w:val="SinespaciadoCar"/>
    <w:uiPriority w:val="1"/>
    <w:qFormat/>
    <w:rsid w:val="007C435D"/>
    <w:pPr>
      <w:pBdr>
        <w:top w:val="nil"/>
        <w:left w:val="nil"/>
        <w:bottom w:val="nil"/>
        <w:right w:val="nil"/>
        <w:between w:val="nil"/>
        <w:bar w:val="nil"/>
      </w:pBdr>
    </w:pPr>
    <w:rPr>
      <w:rFonts w:ascii="Calibri" w:eastAsia="Calibri" w:hAnsi="Calibri" w:cs="Times New Roman"/>
      <w:color w:val="000000"/>
      <w:u w:color="000000"/>
      <w:lang w:val="es-ES_tradnl"/>
    </w:rPr>
  </w:style>
  <w:style w:type="character" w:customStyle="1" w:styleId="SinespaciadoCar">
    <w:name w:val="Sin espaciado Car"/>
    <w:link w:val="Sinespaciado"/>
    <w:uiPriority w:val="1"/>
    <w:rsid w:val="007C435D"/>
    <w:rPr>
      <w:rFonts w:ascii="Calibri" w:eastAsia="Calibri" w:hAnsi="Calibri" w:cs="Times New Roman"/>
      <w:color w:val="000000"/>
      <w:u w:color="000000"/>
      <w:lang w:val="es-ES_tradnl" w:eastAsia="es-CO"/>
    </w:rPr>
  </w:style>
  <w:style w:type="paragraph" w:styleId="Revisin">
    <w:name w:val="Revision"/>
    <w:hidden/>
    <w:uiPriority w:val="99"/>
    <w:semiHidden/>
    <w:rsid w:val="00871543"/>
  </w:style>
  <w:style w:type="paragraph" w:styleId="Ttulo">
    <w:name w:val="Title"/>
    <w:basedOn w:val="Normal"/>
    <w:next w:val="Normal"/>
    <w:link w:val="TtuloCar"/>
    <w:uiPriority w:val="10"/>
    <w:qFormat/>
    <w:rsid w:val="005E293A"/>
    <w:pPr>
      <w:autoSpaceDE w:val="0"/>
      <w:autoSpaceDN w:val="0"/>
      <w:adjustRightInd w:val="0"/>
      <w:ind w:left="708" w:right="49" w:hanging="708"/>
      <w:jc w:val="center"/>
      <w:outlineLvl w:val="0"/>
    </w:pPr>
    <w:rPr>
      <w:b/>
      <w:bCs/>
      <w:color w:val="000000" w:themeColor="text1"/>
      <w:sz w:val="28"/>
      <w:szCs w:val="28"/>
      <w:lang w:val="es-ES_tradnl" w:eastAsia="es-ES"/>
    </w:rPr>
  </w:style>
  <w:style w:type="character" w:customStyle="1" w:styleId="TtuloCar">
    <w:name w:val="Título Car"/>
    <w:basedOn w:val="Fuentedeprrafopredeter"/>
    <w:link w:val="Ttulo"/>
    <w:uiPriority w:val="10"/>
    <w:rsid w:val="005E293A"/>
    <w:rPr>
      <w:rFonts w:ascii="Times New Roman" w:eastAsia="Times New Roman" w:hAnsi="Times New Roman" w:cs="Times New Roman"/>
      <w:b/>
      <w:bCs/>
      <w:color w:val="000000" w:themeColor="text1"/>
      <w:sz w:val="28"/>
      <w:szCs w:val="28"/>
      <w:lang w:val="es-ES_tradnl" w:eastAsia="es-ES"/>
    </w:rPr>
  </w:style>
  <w:style w:type="paragraph" w:styleId="NormalWeb">
    <w:name w:val="Normal (Web)"/>
    <w:basedOn w:val="Normal"/>
    <w:uiPriority w:val="99"/>
    <w:unhideWhenUsed/>
    <w:rsid w:val="007911AB"/>
    <w:pPr>
      <w:spacing w:before="100" w:beforeAutospacing="1" w:after="100" w:afterAutospacing="1"/>
      <w:jc w:val="both"/>
    </w:pPr>
    <w:rPr>
      <w:lang w:bidi="bo-CN"/>
    </w:rPr>
  </w:style>
  <w:style w:type="paragraph" w:customStyle="1" w:styleId="Refdenotaalpie2">
    <w:name w:val="Ref. de nota al pie2"/>
    <w:aliases w:val="Pie de pagina"/>
    <w:basedOn w:val="Normal"/>
    <w:uiPriority w:val="99"/>
    <w:qFormat/>
    <w:rsid w:val="006773AE"/>
    <w:pPr>
      <w:spacing w:line="240" w:lineRule="exact"/>
      <w:jc w:val="both"/>
    </w:pPr>
    <w:rPr>
      <w:rFonts w:eastAsiaTheme="minorHAnsi"/>
      <w:vertAlign w:val="superscript"/>
      <w:lang w:val="es-ES"/>
    </w:rPr>
  </w:style>
  <w:style w:type="table" w:styleId="Tablaconcuadrcula">
    <w:name w:val="Table Grid"/>
    <w:basedOn w:val="Tablanormal"/>
    <w:uiPriority w:val="39"/>
    <w:rsid w:val="009E39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FE6DEA"/>
    <w:rPr>
      <w:b/>
      <w:bCs/>
    </w:rPr>
  </w:style>
  <w:style w:type="character" w:styleId="nfasis">
    <w:name w:val="Emphasis"/>
    <w:basedOn w:val="Fuentedeprrafopredeter"/>
    <w:uiPriority w:val="20"/>
    <w:qFormat/>
    <w:rsid w:val="00906D0A"/>
    <w:rPr>
      <w:i/>
      <w:iCs/>
    </w:rPr>
  </w:style>
  <w:style w:type="character" w:customStyle="1" w:styleId="Ttulo1Car">
    <w:name w:val="Título 1 Car"/>
    <w:basedOn w:val="Fuentedeprrafopredeter"/>
    <w:link w:val="Ttulo1"/>
    <w:uiPriority w:val="9"/>
    <w:rsid w:val="00BB7D5D"/>
    <w:rPr>
      <w:rFonts w:asciiTheme="majorHAnsi" w:eastAsiaTheme="majorEastAsia" w:hAnsiTheme="majorHAnsi" w:cstheme="majorBidi"/>
      <w:color w:val="2E74B5" w:themeColor="accent1" w:themeShade="BF"/>
      <w:sz w:val="32"/>
      <w:szCs w:val="32"/>
      <w:lang w:val="es-ES"/>
    </w:rPr>
  </w:style>
  <w:style w:type="character" w:customStyle="1" w:styleId="Ttulo2Car">
    <w:name w:val="Título 2 Car"/>
    <w:basedOn w:val="Fuentedeprrafopredeter"/>
    <w:link w:val="Ttulo2"/>
    <w:uiPriority w:val="9"/>
    <w:semiHidden/>
    <w:rsid w:val="00BB7D5D"/>
    <w:rPr>
      <w:rFonts w:asciiTheme="majorHAnsi" w:eastAsiaTheme="majorEastAsia" w:hAnsiTheme="majorHAnsi" w:cstheme="majorBidi"/>
      <w:color w:val="2E74B5" w:themeColor="accent1" w:themeShade="BF"/>
      <w:sz w:val="26"/>
      <w:szCs w:val="26"/>
      <w:lang w:val="es-ES"/>
    </w:rPr>
  </w:style>
  <w:style w:type="character" w:customStyle="1" w:styleId="Ttulo3Car">
    <w:name w:val="Título 3 Car"/>
    <w:basedOn w:val="Fuentedeprrafopredeter"/>
    <w:link w:val="Ttulo3"/>
    <w:uiPriority w:val="9"/>
    <w:rsid w:val="00BB7D5D"/>
    <w:rPr>
      <w:rFonts w:asciiTheme="majorHAnsi" w:eastAsiaTheme="majorEastAsia" w:hAnsiTheme="majorHAnsi" w:cstheme="majorBidi"/>
      <w:color w:val="1F4D78" w:themeColor="accent1" w:themeShade="7F"/>
      <w:sz w:val="24"/>
      <w:szCs w:val="24"/>
      <w:lang w:eastAsia="es-ES"/>
    </w:rPr>
  </w:style>
  <w:style w:type="character" w:customStyle="1" w:styleId="PrrafodelistaCar">
    <w:name w:val="Párrafo de lista Car"/>
    <w:aliases w:val="Colorful List - Accent 11 Car,Ha Car,List Paragraph1 Car,lp1 Car,Lista vistosa - Énfasis 11 Car,List Paragraph2 Car,Párrafo de lista1 Car,Segundo nivel de viñetas Car,Segundo nivel de vi–etas Car,titulo 3 Car,Bullets Car,Dot pt Car"/>
    <w:link w:val="Prrafodelista"/>
    <w:uiPriority w:val="34"/>
    <w:qFormat/>
    <w:locked/>
    <w:rsid w:val="00BB7D5D"/>
  </w:style>
  <w:style w:type="paragraph" w:styleId="Textoindependiente">
    <w:name w:val="Body Text"/>
    <w:basedOn w:val="Normal"/>
    <w:link w:val="TextoindependienteCar"/>
    <w:rsid w:val="00BB7D5D"/>
    <w:pPr>
      <w:jc w:val="both"/>
    </w:pPr>
  </w:style>
  <w:style w:type="character" w:customStyle="1" w:styleId="TextoindependienteCar">
    <w:name w:val="Texto independiente Car"/>
    <w:basedOn w:val="Fuentedeprrafopredeter"/>
    <w:link w:val="Textoindependiente"/>
    <w:rsid w:val="00BB7D5D"/>
    <w:rPr>
      <w:rFonts w:ascii="Times New Roman" w:eastAsia="Times New Roman" w:hAnsi="Times New Roman" w:cs="Times New Roman"/>
      <w:sz w:val="24"/>
      <w:szCs w:val="24"/>
      <w:lang w:val="en-US"/>
    </w:rPr>
  </w:style>
  <w:style w:type="paragraph" w:customStyle="1" w:styleId="Sinespaciado1">
    <w:name w:val="Sin espaciado1"/>
    <w:uiPriority w:val="99"/>
    <w:qFormat/>
    <w:rsid w:val="00BB7D5D"/>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unhideWhenUsed/>
    <w:rsid w:val="00BB7D5D"/>
    <w:pPr>
      <w:spacing w:before="240" w:after="240"/>
      <w:jc w:val="both"/>
    </w:pPr>
    <w:rPr>
      <w:sz w:val="18"/>
      <w:szCs w:val="18"/>
      <w:lang w:val="es-ES"/>
    </w:rPr>
  </w:style>
  <w:style w:type="character" w:customStyle="1" w:styleId="Textoindependiente2Car">
    <w:name w:val="Texto independiente 2 Car"/>
    <w:basedOn w:val="Fuentedeprrafopredeter"/>
    <w:link w:val="Textoindependiente2"/>
    <w:uiPriority w:val="99"/>
    <w:rsid w:val="00BB7D5D"/>
    <w:rPr>
      <w:rFonts w:ascii="Times New Roman" w:eastAsia="Times New Roman" w:hAnsi="Times New Roman" w:cs="Times New Roman"/>
      <w:sz w:val="18"/>
      <w:szCs w:val="18"/>
      <w:lang w:val="es-ES"/>
    </w:rPr>
  </w:style>
  <w:style w:type="character" w:styleId="Nmerodepgina">
    <w:name w:val="page number"/>
    <w:basedOn w:val="Fuentedeprrafopredeter"/>
    <w:uiPriority w:val="99"/>
    <w:semiHidden/>
    <w:unhideWhenUsed/>
    <w:rsid w:val="00BB7D5D"/>
  </w:style>
  <w:style w:type="paragraph" w:styleId="Cita">
    <w:name w:val="Quote"/>
    <w:basedOn w:val="Normal"/>
    <w:next w:val="Normal"/>
    <w:link w:val="CitaCar"/>
    <w:uiPriority w:val="29"/>
    <w:qFormat/>
    <w:rsid w:val="00BB7D5D"/>
    <w:pPr>
      <w:tabs>
        <w:tab w:val="left" w:pos="8505"/>
      </w:tabs>
      <w:autoSpaceDE w:val="0"/>
      <w:autoSpaceDN w:val="0"/>
      <w:ind w:left="567"/>
      <w:jc w:val="both"/>
    </w:pPr>
    <w:rPr>
      <w:rFonts w:asciiTheme="majorHAnsi" w:hAnsiTheme="majorHAnsi"/>
      <w:i/>
      <w:iCs/>
      <w:color w:val="000000" w:themeColor="text1"/>
      <w:sz w:val="20"/>
      <w:lang w:val="es-ES_tradnl"/>
    </w:rPr>
  </w:style>
  <w:style w:type="character" w:customStyle="1" w:styleId="CitaCar">
    <w:name w:val="Cita Car"/>
    <w:basedOn w:val="Fuentedeprrafopredeter"/>
    <w:link w:val="Cita"/>
    <w:uiPriority w:val="29"/>
    <w:rsid w:val="00BB7D5D"/>
    <w:rPr>
      <w:rFonts w:asciiTheme="majorHAnsi" w:eastAsia="Times New Roman" w:hAnsiTheme="majorHAnsi"/>
      <w:i/>
      <w:iCs/>
      <w:color w:val="000000" w:themeColor="text1"/>
      <w:sz w:val="20"/>
      <w:lang w:val="es-ES_tradnl"/>
    </w:rPr>
  </w:style>
  <w:style w:type="paragraph" w:customStyle="1" w:styleId="CuerpoA">
    <w:name w:val="Cuerpo A"/>
    <w:rsid w:val="009E161B"/>
    <w:pPr>
      <w:pBdr>
        <w:top w:val="none" w:sz="96" w:space="31" w:color="FFFFFF" w:frame="1"/>
        <w:left w:val="none" w:sz="96" w:space="31" w:color="FFFFFF" w:frame="1"/>
        <w:bottom w:val="none" w:sz="96" w:space="31" w:color="FFFFFF" w:frame="1"/>
        <w:right w:val="none" w:sz="96" w:space="31" w:color="FFFFFF" w:frame="1"/>
      </w:pBdr>
    </w:pPr>
    <w:rPr>
      <w:rFonts w:ascii="Times New Roman" w:eastAsia="Arial Unicode MS" w:hAnsi="Arial Unicode MS" w:cs="Arial Unicode MS"/>
      <w:color w:val="000000"/>
      <w:sz w:val="24"/>
      <w:szCs w:val="24"/>
      <w:u w:color="000000"/>
      <w:lang w:val="es-ES_tradnl" w:eastAsia="es-ES"/>
    </w:rPr>
  </w:style>
  <w:style w:type="character" w:customStyle="1" w:styleId="apple-converted-space">
    <w:name w:val="apple-converted-space"/>
    <w:basedOn w:val="Fuentedeprrafopredeter"/>
    <w:rsid w:val="007D555F"/>
  </w:style>
  <w:style w:type="character" w:customStyle="1" w:styleId="baj">
    <w:name w:val="b_aj"/>
    <w:basedOn w:val="Fuentedeprrafopredeter"/>
    <w:rsid w:val="007D555F"/>
  </w:style>
  <w:style w:type="table" w:customStyle="1" w:styleId="Tablaconcuadrcula1">
    <w:name w:val="Tabla con cuadrícula1"/>
    <w:basedOn w:val="Tablanormal"/>
    <w:next w:val="Tablaconcuadrcula"/>
    <w:uiPriority w:val="39"/>
    <w:rsid w:val="00EE17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AE06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pervnculo1">
    <w:name w:val="Hipervínculo1"/>
    <w:basedOn w:val="Fuentedeprrafopredeter"/>
    <w:uiPriority w:val="99"/>
    <w:unhideWhenUsed/>
    <w:rsid w:val="00374BA8"/>
    <w:rPr>
      <w:color w:val="0563C1"/>
      <w:u w:val="single"/>
    </w:rPr>
  </w:style>
  <w:style w:type="character" w:customStyle="1" w:styleId="Mencinsinresolver1">
    <w:name w:val="Mención sin resolver1"/>
    <w:basedOn w:val="Fuentedeprrafopredeter"/>
    <w:uiPriority w:val="99"/>
    <w:semiHidden/>
    <w:unhideWhenUsed/>
    <w:rsid w:val="00D23A48"/>
    <w:rPr>
      <w:color w:val="605E5C"/>
      <w:shd w:val="clear" w:color="auto" w:fill="E1DFDD"/>
    </w:rPr>
  </w:style>
  <w:style w:type="paragraph" w:customStyle="1" w:styleId="centrado">
    <w:name w:val="centrado"/>
    <w:basedOn w:val="Normal"/>
    <w:rsid w:val="003E2C55"/>
    <w:pPr>
      <w:spacing w:before="100" w:beforeAutospacing="1" w:after="100" w:afterAutospacing="1"/>
    </w:pPr>
  </w:style>
  <w:style w:type="character" w:customStyle="1" w:styleId="cf01">
    <w:name w:val="cf01"/>
    <w:basedOn w:val="Fuentedeprrafopredeter"/>
    <w:rsid w:val="00D93205"/>
    <w:rPr>
      <w:rFonts w:ascii="Segoe UI" w:hAnsi="Segoe UI" w:cs="Segoe UI" w:hint="default"/>
      <w:sz w:val="18"/>
      <w:szCs w:val="18"/>
    </w:rPr>
  </w:style>
  <w:style w:type="character" w:customStyle="1" w:styleId="cf11">
    <w:name w:val="cf11"/>
    <w:basedOn w:val="Fuentedeprrafopredeter"/>
    <w:rsid w:val="00D93205"/>
    <w:rPr>
      <w:rFonts w:ascii="Segoe UI" w:hAnsi="Segoe UI" w:cs="Segoe UI" w:hint="default"/>
      <w:sz w:val="18"/>
      <w:szCs w:val="18"/>
    </w:rPr>
  </w:style>
  <w:style w:type="character" w:customStyle="1" w:styleId="cf21">
    <w:name w:val="cf21"/>
    <w:basedOn w:val="Fuentedeprrafopredeter"/>
    <w:rsid w:val="00D93205"/>
    <w:rPr>
      <w:rFonts w:ascii="Segoe UI" w:hAnsi="Segoe UI" w:cs="Segoe UI" w:hint="default"/>
      <w:b/>
      <w:bCs/>
      <w:sz w:val="18"/>
      <w:szCs w:val="18"/>
    </w:rPr>
  </w:style>
  <w:style w:type="character" w:customStyle="1" w:styleId="scxw258232893">
    <w:name w:val="scxw258232893"/>
    <w:basedOn w:val="Fuentedeprrafopredeter"/>
    <w:rsid w:val="004918DF"/>
  </w:style>
  <w:style w:type="character" w:customStyle="1" w:styleId="normaltextrun">
    <w:name w:val="normaltextrun"/>
    <w:basedOn w:val="Fuentedeprrafopredeter"/>
    <w:rsid w:val="004918DF"/>
  </w:style>
  <w:style w:type="paragraph" w:customStyle="1" w:styleId="paragraph">
    <w:name w:val="paragraph"/>
    <w:basedOn w:val="Normal"/>
    <w:rsid w:val="00EA4481"/>
    <w:pPr>
      <w:spacing w:before="100" w:beforeAutospacing="1" w:after="100" w:afterAutospacing="1"/>
    </w:pPr>
    <w:rPr>
      <w:lang w:eastAsia="es-MX"/>
    </w:rPr>
  </w:style>
  <w:style w:type="character" w:customStyle="1" w:styleId="eop">
    <w:name w:val="eop"/>
    <w:basedOn w:val="Fuentedeprrafopredeter"/>
    <w:rsid w:val="00EA4481"/>
  </w:style>
  <w:style w:type="paragraph" w:styleId="Textonotaalfinal">
    <w:name w:val="endnote text"/>
    <w:basedOn w:val="Normal"/>
    <w:link w:val="TextonotaalfinalCar"/>
    <w:uiPriority w:val="99"/>
    <w:semiHidden/>
    <w:unhideWhenUsed/>
    <w:rsid w:val="00CA139E"/>
    <w:pPr>
      <w:jc w:val="both"/>
    </w:pPr>
    <w:rPr>
      <w:rFonts w:eastAsiaTheme="minorHAnsi"/>
      <w:sz w:val="20"/>
      <w:szCs w:val="20"/>
    </w:rPr>
  </w:style>
  <w:style w:type="character" w:customStyle="1" w:styleId="TextonotaalfinalCar">
    <w:name w:val="Texto nota al final Car"/>
    <w:basedOn w:val="Fuentedeprrafopredeter"/>
    <w:link w:val="Textonotaalfinal"/>
    <w:uiPriority w:val="99"/>
    <w:semiHidden/>
    <w:rsid w:val="00CA139E"/>
    <w:rPr>
      <w:sz w:val="20"/>
      <w:szCs w:val="20"/>
    </w:rPr>
  </w:style>
  <w:style w:type="character" w:styleId="Refdenotaalfinal">
    <w:name w:val="endnote reference"/>
    <w:basedOn w:val="Fuentedeprrafopredeter"/>
    <w:uiPriority w:val="99"/>
    <w:semiHidden/>
    <w:unhideWhenUsed/>
    <w:rsid w:val="00CA139E"/>
    <w:rPr>
      <w:vertAlign w:val="superscript"/>
    </w:rPr>
  </w:style>
  <w:style w:type="paragraph" w:customStyle="1" w:styleId="Default">
    <w:name w:val="Default"/>
    <w:rsid w:val="00940245"/>
    <w:pPr>
      <w:autoSpaceDE w:val="0"/>
      <w:autoSpaceDN w:val="0"/>
      <w:adjustRightInd w:val="0"/>
    </w:pPr>
    <w:rPr>
      <w:rFonts w:ascii="Arial" w:hAnsi="Arial" w:cs="Arial"/>
      <w:color w:val="000000"/>
      <w:sz w:val="24"/>
      <w:szCs w:val="24"/>
      <w:lang w:val="en-US"/>
    </w:rPr>
  </w:style>
  <w:style w:type="paragraph" w:customStyle="1" w:styleId="Piedepagina">
    <w:name w:val="Pie de pagina"/>
    <w:aliases w:val="Ref. de nota al pie2"/>
    <w:basedOn w:val="Normal"/>
    <w:uiPriority w:val="99"/>
    <w:rsid w:val="00F22649"/>
    <w:pPr>
      <w:spacing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secretariasenado.gov.co/senado/basedoc/decreto_0637_2020.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15489</Words>
  <Characters>85193</Characters>
  <Application>Microsoft Office Word</Application>
  <DocSecurity>0</DocSecurity>
  <Lines>709</Lines>
  <Paragraphs>200</Paragraphs>
  <ScaleCrop>false</ScaleCrop>
  <Company/>
  <LinksUpToDate>false</LinksUpToDate>
  <CharactersWithSpaces>100482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2024-08-21T14:15:00Z</dcterms:created>
  <dcterms:modified xsi:type="dcterms:W3CDTF">2024-08-21T14:15:00Z</dcterms:modified>
</cp:coreProperties>
</file>