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2.bin" ContentType="image/jpe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5383" w:rsidRPr="00E00F43" w:rsidRDefault="00190088">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E00F43">
        <w:rPr>
          <w:rFonts w:ascii="Times New Roman" w:hAnsi="Times New Roman" w:cs="Times New Roman"/>
          <w:sz w:val="28"/>
          <w:szCs w:val="24"/>
        </w:rPr>
        <w:t xml:space="preserve"> </w:t>
      </w:r>
    </w:p>
    <w:p w:rsidR="00D65383" w:rsidRPr="00E00F43" w:rsidRDefault="00D65383">
      <w:pPr>
        <w:widowControl w:val="0"/>
        <w:autoSpaceDE w:val="0"/>
        <w:autoSpaceDN w:val="0"/>
        <w:adjustRightInd w:val="0"/>
        <w:spacing w:after="0" w:line="240" w:lineRule="auto"/>
        <w:rPr>
          <w:rFonts w:ascii="Times New Roman" w:hAnsi="Times New Roman" w:cs="Times New Roman"/>
          <w:sz w:val="28"/>
          <w:szCs w:val="28"/>
        </w:rPr>
      </w:pPr>
    </w:p>
    <w:p w:rsidR="00D65383" w:rsidRPr="00E00F43" w:rsidRDefault="00190088">
      <w:pPr>
        <w:widowControl w:val="0"/>
        <w:autoSpaceDE w:val="0"/>
        <w:autoSpaceDN w:val="0"/>
        <w:adjustRightInd w:val="0"/>
        <w:spacing w:after="0" w:line="240" w:lineRule="auto"/>
        <w:jc w:val="center"/>
        <w:rPr>
          <w:rFonts w:ascii="Times New Roman" w:hAnsi="Times New Roman" w:cs="Times New Roman"/>
          <w:b/>
          <w:bCs/>
          <w:sz w:val="28"/>
          <w:szCs w:val="28"/>
        </w:rPr>
      </w:pPr>
      <w:r w:rsidRPr="00E00F43">
        <w:rPr>
          <w:rFonts w:ascii="Times New Roman" w:hAnsi="Times New Roman" w:cs="Times New Roman"/>
          <w:b/>
          <w:bCs/>
          <w:sz w:val="28"/>
          <w:szCs w:val="28"/>
        </w:rPr>
        <w:t xml:space="preserve">TEMAS-SUBTEMAS </w:t>
      </w:r>
    </w:p>
    <w:p w:rsidR="00D65383" w:rsidRPr="00E00F43" w:rsidRDefault="00D65383">
      <w:pPr>
        <w:widowControl w:val="0"/>
        <w:autoSpaceDE w:val="0"/>
        <w:autoSpaceDN w:val="0"/>
        <w:adjustRightInd w:val="0"/>
        <w:spacing w:after="0" w:line="240" w:lineRule="auto"/>
        <w:jc w:val="center"/>
        <w:rPr>
          <w:rFonts w:ascii="Times New Roman" w:hAnsi="Times New Roman" w:cs="Times New Roman"/>
          <w:b/>
          <w:bCs/>
          <w:sz w:val="28"/>
          <w:szCs w:val="28"/>
        </w:rPr>
      </w:pPr>
    </w:p>
    <w:p w:rsidR="00D65383" w:rsidRPr="00E00F43" w:rsidRDefault="00190088">
      <w:pPr>
        <w:widowControl w:val="0"/>
        <w:autoSpaceDE w:val="0"/>
        <w:autoSpaceDN w:val="0"/>
        <w:adjustRightInd w:val="0"/>
        <w:spacing w:after="0" w:line="240" w:lineRule="auto"/>
        <w:jc w:val="center"/>
        <w:rPr>
          <w:rFonts w:ascii="Times New Roman" w:hAnsi="Times New Roman" w:cs="Times New Roman"/>
          <w:sz w:val="28"/>
          <w:szCs w:val="28"/>
        </w:rPr>
      </w:pPr>
      <w:r w:rsidRPr="00E00F43">
        <w:rPr>
          <w:rFonts w:ascii="Times New Roman" w:hAnsi="Times New Roman" w:cs="Times New Roman"/>
          <w:b/>
          <w:bCs/>
          <w:sz w:val="28"/>
          <w:szCs w:val="28"/>
        </w:rPr>
        <w:t xml:space="preserve">Sentencia C-115/24 </w:t>
      </w:r>
    </w:p>
    <w:p w:rsidR="00D65383" w:rsidRPr="00E00F43" w:rsidRDefault="00D65383">
      <w:pPr>
        <w:widowControl w:val="0"/>
        <w:autoSpaceDE w:val="0"/>
        <w:autoSpaceDN w:val="0"/>
        <w:adjustRightInd w:val="0"/>
        <w:spacing w:after="0" w:line="240" w:lineRule="auto"/>
        <w:jc w:val="both"/>
        <w:rPr>
          <w:rFonts w:ascii="Times New Roman" w:hAnsi="Times New Roman" w:cs="Times New Roman"/>
          <w:sz w:val="28"/>
          <w:szCs w:val="28"/>
        </w:rPr>
      </w:pPr>
    </w:p>
    <w:p w:rsidR="00D65383" w:rsidRPr="00E00F43" w:rsidRDefault="00190088">
      <w:pPr>
        <w:widowControl w:val="0"/>
        <w:autoSpaceDE w:val="0"/>
        <w:autoSpaceDN w:val="0"/>
        <w:adjustRightInd w:val="0"/>
        <w:spacing w:after="0" w:line="240" w:lineRule="auto"/>
        <w:jc w:val="both"/>
        <w:rPr>
          <w:rFonts w:ascii="Times New Roman" w:hAnsi="Times New Roman" w:cs="Times New Roman"/>
          <w:sz w:val="28"/>
          <w:szCs w:val="28"/>
        </w:rPr>
      </w:pPr>
      <w:r w:rsidRPr="00E00F43">
        <w:rPr>
          <w:rFonts w:ascii="Times New Roman" w:hAnsi="Times New Roman" w:cs="Times New Roman"/>
          <w:b/>
          <w:bCs/>
          <w:sz w:val="28"/>
          <w:szCs w:val="28"/>
        </w:rPr>
        <w:t>ACUERDO RELATIVO A LA ADOPCIÓN DE REGLAMENTOS TÉCNICOS ARMONIZADOS DE LAS NACIONES UNIDAS APLICABLES A LOS VEHÍCULOS DE RUEDAS Y LOS EQUIPOS Y PIEZAS QUE PUEDAN MONTARSE O UTILIZARSE EN ESTOS</w:t>
      </w:r>
      <w:r w:rsidRPr="00E00F43">
        <w:rPr>
          <w:rFonts w:ascii="Times New Roman" w:hAnsi="Times New Roman" w:cs="Times New Roman"/>
          <w:sz w:val="28"/>
          <w:szCs w:val="28"/>
        </w:rPr>
        <w:t xml:space="preserve">-Se ajusta a la Constitución Política </w:t>
      </w:r>
    </w:p>
    <w:p w:rsidR="00D65383" w:rsidRPr="00E00F43" w:rsidRDefault="00D65383">
      <w:pPr>
        <w:widowControl w:val="0"/>
        <w:autoSpaceDE w:val="0"/>
        <w:autoSpaceDN w:val="0"/>
        <w:adjustRightInd w:val="0"/>
        <w:spacing w:after="0" w:line="240" w:lineRule="auto"/>
        <w:jc w:val="both"/>
        <w:rPr>
          <w:rFonts w:ascii="Times New Roman" w:hAnsi="Times New Roman" w:cs="Times New Roman"/>
          <w:sz w:val="28"/>
          <w:szCs w:val="28"/>
        </w:rPr>
      </w:pPr>
    </w:p>
    <w:p w:rsidR="00D65383" w:rsidRPr="00E00F43" w:rsidRDefault="00190088">
      <w:pPr>
        <w:widowControl w:val="0"/>
        <w:autoSpaceDE w:val="0"/>
        <w:autoSpaceDN w:val="0"/>
        <w:adjustRightInd w:val="0"/>
        <w:spacing w:after="0" w:line="240" w:lineRule="auto"/>
        <w:jc w:val="both"/>
        <w:rPr>
          <w:rFonts w:ascii="Times New Roman" w:hAnsi="Times New Roman" w:cs="Times New Roman"/>
          <w:sz w:val="28"/>
          <w:szCs w:val="28"/>
        </w:rPr>
      </w:pPr>
      <w:r w:rsidRPr="00E00F43">
        <w:rPr>
          <w:rFonts w:ascii="Times New Roman" w:hAnsi="Times New Roman" w:cs="Times New Roman"/>
          <w:b/>
          <w:bCs/>
          <w:sz w:val="28"/>
          <w:szCs w:val="28"/>
        </w:rPr>
        <w:t>CONTROL DE CONSTITUCIONALIDAD DE LEY APROBATORIA DE TRATADO</w:t>
      </w:r>
      <w:r w:rsidRPr="00E00F43">
        <w:rPr>
          <w:rFonts w:ascii="Times New Roman" w:hAnsi="Times New Roman" w:cs="Times New Roman"/>
          <w:sz w:val="28"/>
          <w:szCs w:val="28"/>
        </w:rPr>
        <w:t xml:space="preserve">-Características </w:t>
      </w:r>
    </w:p>
    <w:p w:rsidR="00D65383" w:rsidRPr="00E00F43" w:rsidRDefault="00D65383">
      <w:pPr>
        <w:widowControl w:val="0"/>
        <w:autoSpaceDE w:val="0"/>
        <w:autoSpaceDN w:val="0"/>
        <w:adjustRightInd w:val="0"/>
        <w:spacing w:after="0" w:line="240" w:lineRule="auto"/>
        <w:jc w:val="both"/>
        <w:rPr>
          <w:rFonts w:ascii="Times New Roman" w:hAnsi="Times New Roman" w:cs="Times New Roman"/>
          <w:sz w:val="28"/>
          <w:szCs w:val="28"/>
        </w:rPr>
      </w:pPr>
    </w:p>
    <w:p w:rsidR="00D65383" w:rsidRPr="00E00F43" w:rsidRDefault="00190088">
      <w:pPr>
        <w:widowControl w:val="0"/>
        <w:autoSpaceDE w:val="0"/>
        <w:autoSpaceDN w:val="0"/>
        <w:adjustRightInd w:val="0"/>
        <w:spacing w:after="0" w:line="240" w:lineRule="auto"/>
        <w:jc w:val="both"/>
        <w:rPr>
          <w:rFonts w:ascii="Times New Roman" w:hAnsi="Times New Roman" w:cs="Times New Roman"/>
          <w:sz w:val="28"/>
          <w:szCs w:val="28"/>
        </w:rPr>
      </w:pPr>
      <w:r w:rsidRPr="00E00F43">
        <w:rPr>
          <w:rFonts w:ascii="Times New Roman" w:hAnsi="Times New Roman" w:cs="Times New Roman"/>
          <w:b/>
          <w:bCs/>
          <w:sz w:val="28"/>
          <w:szCs w:val="28"/>
        </w:rPr>
        <w:t>CONTROL DE CONSTITUCIONALIDAD EN MATERIA DE TRATADOS Y LEYES APROBATORIAS DE TRATADOS</w:t>
      </w:r>
      <w:r w:rsidRPr="00E00F43">
        <w:rPr>
          <w:rFonts w:ascii="Times New Roman" w:hAnsi="Times New Roman" w:cs="Times New Roman"/>
          <w:sz w:val="28"/>
          <w:szCs w:val="28"/>
        </w:rPr>
        <w:t xml:space="preserve">-Control formal y material </w:t>
      </w:r>
    </w:p>
    <w:p w:rsidR="00D65383" w:rsidRPr="00E00F43" w:rsidRDefault="00D65383">
      <w:pPr>
        <w:widowControl w:val="0"/>
        <w:autoSpaceDE w:val="0"/>
        <w:autoSpaceDN w:val="0"/>
        <w:adjustRightInd w:val="0"/>
        <w:spacing w:after="0" w:line="240" w:lineRule="auto"/>
        <w:jc w:val="both"/>
        <w:rPr>
          <w:rFonts w:ascii="Times New Roman" w:hAnsi="Times New Roman" w:cs="Times New Roman"/>
          <w:sz w:val="28"/>
          <w:szCs w:val="28"/>
        </w:rPr>
      </w:pPr>
    </w:p>
    <w:p w:rsidR="00D65383" w:rsidRPr="00E00F43" w:rsidRDefault="00190088">
      <w:pPr>
        <w:widowControl w:val="0"/>
        <w:autoSpaceDE w:val="0"/>
        <w:autoSpaceDN w:val="0"/>
        <w:adjustRightInd w:val="0"/>
        <w:spacing w:after="0" w:line="240" w:lineRule="auto"/>
        <w:jc w:val="both"/>
        <w:rPr>
          <w:rFonts w:ascii="Times New Roman" w:hAnsi="Times New Roman" w:cs="Times New Roman"/>
          <w:sz w:val="28"/>
          <w:szCs w:val="28"/>
        </w:rPr>
      </w:pPr>
      <w:r w:rsidRPr="00E00F43">
        <w:rPr>
          <w:rFonts w:ascii="Times New Roman" w:hAnsi="Times New Roman" w:cs="Times New Roman"/>
          <w:b/>
          <w:bCs/>
          <w:sz w:val="28"/>
          <w:szCs w:val="28"/>
        </w:rPr>
        <w:t>CONTROL FORMAL DE CONSTITUCIONALIDAD DE TRATADOS INTERNACIONALES Y LEYES APROBATORIAS DE TRATADOS</w:t>
      </w:r>
      <w:r w:rsidRPr="00E00F43">
        <w:rPr>
          <w:rFonts w:ascii="Times New Roman" w:hAnsi="Times New Roman" w:cs="Times New Roman"/>
          <w:sz w:val="28"/>
          <w:szCs w:val="28"/>
        </w:rPr>
        <w:t xml:space="preserve">-Aspectos que comprende </w:t>
      </w:r>
    </w:p>
    <w:p w:rsidR="00D65383" w:rsidRPr="00E00F43" w:rsidRDefault="00D65383">
      <w:pPr>
        <w:widowControl w:val="0"/>
        <w:autoSpaceDE w:val="0"/>
        <w:autoSpaceDN w:val="0"/>
        <w:adjustRightInd w:val="0"/>
        <w:spacing w:after="0" w:line="240" w:lineRule="auto"/>
        <w:jc w:val="both"/>
        <w:rPr>
          <w:rFonts w:ascii="Times New Roman" w:hAnsi="Times New Roman" w:cs="Times New Roman"/>
          <w:sz w:val="28"/>
          <w:szCs w:val="28"/>
        </w:rPr>
      </w:pPr>
    </w:p>
    <w:p w:rsidR="00D65383" w:rsidRPr="00E00F43" w:rsidRDefault="00190088">
      <w:pPr>
        <w:widowControl w:val="0"/>
        <w:autoSpaceDE w:val="0"/>
        <w:autoSpaceDN w:val="0"/>
        <w:adjustRightInd w:val="0"/>
        <w:spacing w:after="0" w:line="240" w:lineRule="auto"/>
        <w:jc w:val="both"/>
        <w:rPr>
          <w:rFonts w:ascii="Times New Roman" w:hAnsi="Times New Roman" w:cs="Times New Roman"/>
          <w:sz w:val="28"/>
          <w:szCs w:val="28"/>
        </w:rPr>
      </w:pPr>
      <w:r w:rsidRPr="00E00F43">
        <w:rPr>
          <w:rFonts w:ascii="Times New Roman" w:hAnsi="Times New Roman" w:cs="Times New Roman"/>
          <w:b/>
          <w:bCs/>
          <w:sz w:val="28"/>
          <w:szCs w:val="28"/>
        </w:rPr>
        <w:t>CONTROL DE CONSTITUCIONALIDAD DE TRATADO INTERNACIONAL Y LEY APROBATORIA</w:t>
      </w:r>
      <w:r w:rsidRPr="00E00F43">
        <w:rPr>
          <w:rFonts w:ascii="Times New Roman" w:hAnsi="Times New Roman" w:cs="Times New Roman"/>
          <w:sz w:val="28"/>
          <w:szCs w:val="28"/>
        </w:rPr>
        <w:t xml:space="preserve">-Negociación, celebración y aprobación ejecutiva </w:t>
      </w:r>
    </w:p>
    <w:p w:rsidR="00D65383" w:rsidRPr="00E00F43" w:rsidRDefault="00D65383">
      <w:pPr>
        <w:widowControl w:val="0"/>
        <w:autoSpaceDE w:val="0"/>
        <w:autoSpaceDN w:val="0"/>
        <w:adjustRightInd w:val="0"/>
        <w:spacing w:after="0" w:line="240" w:lineRule="auto"/>
        <w:jc w:val="both"/>
        <w:rPr>
          <w:rFonts w:ascii="Times New Roman" w:hAnsi="Times New Roman" w:cs="Times New Roman"/>
          <w:sz w:val="28"/>
          <w:szCs w:val="28"/>
        </w:rPr>
      </w:pPr>
    </w:p>
    <w:p w:rsidR="00D65383" w:rsidRPr="00E00F43" w:rsidRDefault="00190088">
      <w:pPr>
        <w:widowControl w:val="0"/>
        <w:autoSpaceDE w:val="0"/>
        <w:autoSpaceDN w:val="0"/>
        <w:adjustRightInd w:val="0"/>
        <w:spacing w:after="0" w:line="240" w:lineRule="auto"/>
        <w:jc w:val="both"/>
        <w:rPr>
          <w:rFonts w:ascii="Times New Roman" w:hAnsi="Times New Roman" w:cs="Times New Roman"/>
          <w:sz w:val="28"/>
          <w:szCs w:val="28"/>
        </w:rPr>
      </w:pPr>
      <w:r w:rsidRPr="00E00F43">
        <w:rPr>
          <w:rFonts w:ascii="Times New Roman" w:hAnsi="Times New Roman" w:cs="Times New Roman"/>
          <w:b/>
          <w:bCs/>
          <w:sz w:val="28"/>
          <w:szCs w:val="28"/>
        </w:rPr>
        <w:t>CONSULTA PREVIA DE COMUNIDADES Y GRUPOS ETNICOS</w:t>
      </w:r>
      <w:r w:rsidRPr="00E00F43">
        <w:rPr>
          <w:rFonts w:ascii="Times New Roman" w:hAnsi="Times New Roman" w:cs="Times New Roman"/>
          <w:sz w:val="28"/>
          <w:szCs w:val="28"/>
        </w:rPr>
        <w:t xml:space="preserve">-No se requiere cuando la normatividad no dispone intervención específica a los pueblos o comunidades étnicas </w:t>
      </w:r>
    </w:p>
    <w:p w:rsidR="00D65383" w:rsidRPr="00E00F43" w:rsidRDefault="00D65383">
      <w:pPr>
        <w:widowControl w:val="0"/>
        <w:autoSpaceDE w:val="0"/>
        <w:autoSpaceDN w:val="0"/>
        <w:adjustRightInd w:val="0"/>
        <w:spacing w:after="0" w:line="240" w:lineRule="auto"/>
        <w:jc w:val="both"/>
        <w:rPr>
          <w:rFonts w:ascii="Times New Roman" w:hAnsi="Times New Roman" w:cs="Times New Roman"/>
          <w:sz w:val="28"/>
          <w:szCs w:val="28"/>
        </w:rPr>
      </w:pPr>
    </w:p>
    <w:p w:rsidR="00D65383" w:rsidRPr="00E00F43" w:rsidRDefault="00190088">
      <w:pPr>
        <w:widowControl w:val="0"/>
        <w:autoSpaceDE w:val="0"/>
        <w:autoSpaceDN w:val="0"/>
        <w:adjustRightInd w:val="0"/>
        <w:spacing w:after="0" w:line="240" w:lineRule="auto"/>
        <w:jc w:val="both"/>
        <w:rPr>
          <w:rFonts w:ascii="Times New Roman" w:hAnsi="Times New Roman" w:cs="Times New Roman"/>
          <w:sz w:val="28"/>
          <w:szCs w:val="28"/>
        </w:rPr>
      </w:pPr>
      <w:r w:rsidRPr="00E00F43">
        <w:rPr>
          <w:rFonts w:ascii="Times New Roman" w:hAnsi="Times New Roman" w:cs="Times New Roman"/>
          <w:b/>
          <w:bCs/>
          <w:sz w:val="28"/>
          <w:szCs w:val="28"/>
        </w:rPr>
        <w:t>REQUISITO DE ANÁLISIS DE IMPACTO FISCAL EN PROYECTO DE LEY APROBATORIA DE TRATADO INTERNACIONAL QUE ORDENE GASTOS O CONTENGA BENEFICIOS TRIBUTARIOS</w:t>
      </w:r>
      <w:r w:rsidRPr="00E00F43">
        <w:rPr>
          <w:rFonts w:ascii="Times New Roman" w:hAnsi="Times New Roman" w:cs="Times New Roman"/>
          <w:sz w:val="28"/>
          <w:szCs w:val="28"/>
        </w:rPr>
        <w:t xml:space="preserve">-No es exigible </w:t>
      </w:r>
    </w:p>
    <w:p w:rsidR="00D65383" w:rsidRPr="00E00F43" w:rsidRDefault="00D65383">
      <w:pPr>
        <w:widowControl w:val="0"/>
        <w:autoSpaceDE w:val="0"/>
        <w:autoSpaceDN w:val="0"/>
        <w:adjustRightInd w:val="0"/>
        <w:spacing w:after="0" w:line="240" w:lineRule="auto"/>
        <w:jc w:val="both"/>
        <w:rPr>
          <w:rFonts w:ascii="Times New Roman" w:hAnsi="Times New Roman" w:cs="Times New Roman"/>
          <w:sz w:val="28"/>
          <w:szCs w:val="28"/>
        </w:rPr>
      </w:pPr>
    </w:p>
    <w:p w:rsidR="00D65383" w:rsidRPr="00E00F43" w:rsidRDefault="00190088">
      <w:pPr>
        <w:widowControl w:val="0"/>
        <w:autoSpaceDE w:val="0"/>
        <w:autoSpaceDN w:val="0"/>
        <w:adjustRightInd w:val="0"/>
        <w:spacing w:after="0" w:line="240" w:lineRule="auto"/>
        <w:jc w:val="both"/>
        <w:rPr>
          <w:rFonts w:ascii="Times New Roman" w:hAnsi="Times New Roman" w:cs="Times New Roman"/>
          <w:sz w:val="28"/>
          <w:szCs w:val="28"/>
        </w:rPr>
      </w:pPr>
      <w:r w:rsidRPr="00E00F43">
        <w:rPr>
          <w:rFonts w:ascii="Times New Roman" w:hAnsi="Times New Roman" w:cs="Times New Roman"/>
          <w:b/>
          <w:bCs/>
          <w:sz w:val="28"/>
          <w:szCs w:val="28"/>
        </w:rPr>
        <w:t>TRATADO INTERNACIONAL Y LEY APROBATORIA</w:t>
      </w:r>
      <w:r w:rsidRPr="00E00F43">
        <w:rPr>
          <w:rFonts w:ascii="Times New Roman" w:hAnsi="Times New Roman" w:cs="Times New Roman"/>
          <w:sz w:val="28"/>
          <w:szCs w:val="28"/>
        </w:rPr>
        <w:t xml:space="preserve">-Cumplimiento de requisitos constitucionales y legales en su trámite legislativo </w:t>
      </w:r>
    </w:p>
    <w:p w:rsidR="00D65383" w:rsidRPr="00E00F43" w:rsidRDefault="00D65383">
      <w:pPr>
        <w:widowControl w:val="0"/>
        <w:autoSpaceDE w:val="0"/>
        <w:autoSpaceDN w:val="0"/>
        <w:adjustRightInd w:val="0"/>
        <w:spacing w:after="0" w:line="240" w:lineRule="auto"/>
        <w:jc w:val="both"/>
        <w:rPr>
          <w:rFonts w:ascii="Times New Roman" w:hAnsi="Times New Roman" w:cs="Times New Roman"/>
          <w:sz w:val="28"/>
          <w:szCs w:val="28"/>
        </w:rPr>
      </w:pPr>
    </w:p>
    <w:p w:rsidR="00D65383" w:rsidRPr="00E00F43" w:rsidRDefault="00190088">
      <w:pPr>
        <w:widowControl w:val="0"/>
        <w:autoSpaceDE w:val="0"/>
        <w:autoSpaceDN w:val="0"/>
        <w:adjustRightInd w:val="0"/>
        <w:spacing w:after="0" w:line="240" w:lineRule="auto"/>
        <w:jc w:val="both"/>
        <w:rPr>
          <w:rFonts w:ascii="Times New Roman" w:hAnsi="Times New Roman" w:cs="Times New Roman"/>
          <w:sz w:val="28"/>
          <w:szCs w:val="28"/>
        </w:rPr>
      </w:pPr>
      <w:r w:rsidRPr="00E00F43">
        <w:rPr>
          <w:rFonts w:ascii="Times New Roman" w:hAnsi="Times New Roman" w:cs="Times New Roman"/>
          <w:b/>
          <w:bCs/>
          <w:sz w:val="28"/>
          <w:szCs w:val="28"/>
        </w:rPr>
        <w:t>TRATADO INTERNACIONAL Y LEY APROBATORIA</w:t>
      </w:r>
      <w:r w:rsidRPr="00E00F43">
        <w:rPr>
          <w:rFonts w:ascii="Times New Roman" w:hAnsi="Times New Roman" w:cs="Times New Roman"/>
          <w:sz w:val="28"/>
          <w:szCs w:val="28"/>
        </w:rPr>
        <w:t xml:space="preserve">-Principios de consecutividad e identidad flexible </w:t>
      </w:r>
    </w:p>
    <w:p w:rsidR="00D65383" w:rsidRPr="00E00F43" w:rsidRDefault="00D65383">
      <w:pPr>
        <w:widowControl w:val="0"/>
        <w:autoSpaceDE w:val="0"/>
        <w:autoSpaceDN w:val="0"/>
        <w:adjustRightInd w:val="0"/>
        <w:spacing w:after="0" w:line="240" w:lineRule="auto"/>
        <w:jc w:val="both"/>
        <w:rPr>
          <w:rFonts w:ascii="Times New Roman" w:hAnsi="Times New Roman" w:cs="Times New Roman"/>
          <w:sz w:val="28"/>
          <w:szCs w:val="28"/>
        </w:rPr>
      </w:pPr>
    </w:p>
    <w:p w:rsidR="00D65383" w:rsidRPr="00E00F43" w:rsidRDefault="00190088">
      <w:pPr>
        <w:widowControl w:val="0"/>
        <w:autoSpaceDE w:val="0"/>
        <w:autoSpaceDN w:val="0"/>
        <w:adjustRightInd w:val="0"/>
        <w:spacing w:after="0" w:line="240" w:lineRule="auto"/>
        <w:jc w:val="both"/>
        <w:rPr>
          <w:rFonts w:ascii="Times New Roman" w:hAnsi="Times New Roman" w:cs="Times New Roman"/>
          <w:sz w:val="28"/>
          <w:szCs w:val="28"/>
        </w:rPr>
      </w:pPr>
      <w:r w:rsidRPr="00E00F43">
        <w:rPr>
          <w:rFonts w:ascii="Times New Roman" w:hAnsi="Times New Roman" w:cs="Times New Roman"/>
          <w:b/>
          <w:bCs/>
          <w:sz w:val="28"/>
          <w:szCs w:val="28"/>
        </w:rPr>
        <w:t>TRATADO INTERNACIONAL Y LEY APROBATORIA</w:t>
      </w:r>
      <w:r w:rsidRPr="00E00F43">
        <w:rPr>
          <w:rFonts w:ascii="Times New Roman" w:hAnsi="Times New Roman" w:cs="Times New Roman"/>
          <w:sz w:val="28"/>
          <w:szCs w:val="28"/>
        </w:rPr>
        <w:t xml:space="preserve">-Control material </w:t>
      </w:r>
    </w:p>
    <w:p w:rsidR="00D65383" w:rsidRPr="00E00F43" w:rsidRDefault="00D65383">
      <w:pPr>
        <w:widowControl w:val="0"/>
        <w:autoSpaceDE w:val="0"/>
        <w:autoSpaceDN w:val="0"/>
        <w:adjustRightInd w:val="0"/>
        <w:spacing w:after="0" w:line="240" w:lineRule="auto"/>
        <w:jc w:val="both"/>
        <w:rPr>
          <w:rFonts w:ascii="Times New Roman" w:hAnsi="Times New Roman" w:cs="Times New Roman"/>
          <w:sz w:val="28"/>
          <w:szCs w:val="28"/>
        </w:rPr>
      </w:pPr>
    </w:p>
    <w:p w:rsidR="00D65383" w:rsidRPr="00E00F43" w:rsidRDefault="00190088">
      <w:pPr>
        <w:widowControl w:val="0"/>
        <w:autoSpaceDE w:val="0"/>
        <w:autoSpaceDN w:val="0"/>
        <w:adjustRightInd w:val="0"/>
        <w:spacing w:after="0" w:line="240" w:lineRule="auto"/>
        <w:jc w:val="both"/>
        <w:rPr>
          <w:rFonts w:ascii="Times New Roman" w:hAnsi="Times New Roman" w:cs="Times New Roman"/>
          <w:sz w:val="28"/>
          <w:szCs w:val="28"/>
        </w:rPr>
      </w:pPr>
      <w:r w:rsidRPr="00E00F43">
        <w:rPr>
          <w:rFonts w:ascii="Times New Roman" w:hAnsi="Times New Roman" w:cs="Times New Roman"/>
          <w:b/>
          <w:bCs/>
          <w:sz w:val="28"/>
          <w:szCs w:val="28"/>
        </w:rPr>
        <w:t>ACUERDO RELATIVO A LA ADOPCIÓN DE REGLAMENTOS TÉCNICOS ARMONIZADOS DE LAS NACIONES UNIDAS APLICABLES A LOS VEHÍCULOS DE RUEDAS Y LOS EQUIPOS Y PIEZAS QUE PUEDAN MONTARSE O UTILIZARSE EN ESTOS</w:t>
      </w:r>
      <w:r w:rsidRPr="00E00F43">
        <w:rPr>
          <w:rFonts w:ascii="Times New Roman" w:hAnsi="Times New Roman" w:cs="Times New Roman"/>
          <w:sz w:val="28"/>
          <w:szCs w:val="28"/>
        </w:rPr>
        <w:t xml:space="preserve">-finalidad </w:t>
      </w:r>
    </w:p>
    <w:p w:rsidR="00D65383" w:rsidRPr="00E00F43" w:rsidRDefault="00D65383">
      <w:pPr>
        <w:widowControl w:val="0"/>
        <w:autoSpaceDE w:val="0"/>
        <w:autoSpaceDN w:val="0"/>
        <w:adjustRightInd w:val="0"/>
        <w:spacing w:after="0" w:line="240" w:lineRule="auto"/>
        <w:jc w:val="both"/>
        <w:rPr>
          <w:rFonts w:ascii="Times New Roman" w:hAnsi="Times New Roman" w:cs="Times New Roman"/>
          <w:sz w:val="28"/>
          <w:szCs w:val="28"/>
        </w:rPr>
      </w:pPr>
    </w:p>
    <w:p w:rsidR="00D65383" w:rsidRPr="00E00F43" w:rsidRDefault="00E00F43">
      <w:pPr>
        <w:widowControl w:val="0"/>
        <w:autoSpaceDE w:val="0"/>
        <w:autoSpaceDN w:val="0"/>
        <w:adjustRightInd w:val="0"/>
        <w:spacing w:after="0" w:line="240" w:lineRule="auto"/>
        <w:jc w:val="both"/>
        <w:rPr>
          <w:rFonts w:ascii="Times New Roman" w:hAnsi="Times New Roman" w:cs="Times New Roman"/>
          <w:sz w:val="28"/>
        </w:rPr>
      </w:pPr>
      <w:r w:rsidRPr="00E00F43">
        <w:rPr>
          <w:rFonts w:ascii="Times New Roman" w:hAnsi="Times New Roman" w:cs="Times New Roman"/>
          <w:sz w:val="28"/>
          <w:szCs w:val="28"/>
        </w:rPr>
        <w:pict>
          <v:rect id="_x0000_i1025" style="width:0;height:1.5pt" o:hralign="center" o:hrstd="t" o:hr="t" fillcolor="#a0a0a0" stroked="f"/>
        </w:pict>
      </w:r>
    </w:p>
    <w:p w:rsidR="00D72FD1" w:rsidRPr="00E00F43" w:rsidRDefault="00E00F43" w:rsidP="00FE6FEC">
      <w:pPr>
        <w:pStyle w:val="Encabezado"/>
        <w:tabs>
          <w:tab w:val="clear" w:pos="4252"/>
          <w:tab w:val="clear" w:pos="8504"/>
        </w:tabs>
        <w:ind w:right="51"/>
        <w:jc w:val="center"/>
        <w:rPr>
          <w:rFonts w:ascii="Times New Roman" w:hAnsi="Times New Roman" w:cs="Times New Roman"/>
          <w:b/>
          <w:bCs/>
          <w:sz w:val="28"/>
          <w:szCs w:val="24"/>
          <w:lang w:val="es-ES"/>
        </w:rPr>
      </w:pPr>
      <w:bookmarkStart w:id="1" w:name="_Hlk67674108"/>
      <w:r w:rsidRPr="00E00F43">
        <w:rPr>
          <w:rFonts w:ascii="Times New Roman" w:hAnsi="Times New Roman" w:cs="Times New Roman"/>
          <w:b/>
          <w:bCs/>
          <w:sz w:val="28"/>
          <w:szCs w:val="24"/>
          <w:lang w:val="es-ES"/>
        </w:rPr>
        <w:t>REPÚBLICA DE COLOMBIA</w:t>
      </w:r>
    </w:p>
    <w:p w:rsidR="00D72FD1" w:rsidRPr="00E00F43" w:rsidRDefault="00E00F43" w:rsidP="00FE6FEC">
      <w:pPr>
        <w:pStyle w:val="Encabezado"/>
        <w:jc w:val="center"/>
        <w:rPr>
          <w:rFonts w:ascii="Times New Roman" w:hAnsi="Times New Roman" w:cs="Times New Roman"/>
          <w:b/>
          <w:bCs/>
          <w:sz w:val="28"/>
          <w:szCs w:val="24"/>
          <w:lang w:val="es-ES"/>
        </w:rPr>
      </w:pPr>
      <w:r w:rsidRPr="00E00F43">
        <w:rPr>
          <w:rFonts w:ascii="Times New Roman" w:hAnsi="Times New Roman" w:cs="Times New Roman"/>
          <w:b/>
          <w:bCs/>
          <w:noProof/>
          <w:sz w:val="28"/>
          <w:szCs w:val="24"/>
          <w:lang w:eastAsia="es-CO"/>
        </w:rPr>
        <w:drawing>
          <wp:inline distT="0" distB="0" distL="0" distR="0" wp14:anchorId="2370F659" wp14:editId="1DB6D96D">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D72FD1" w:rsidRPr="00E00F43" w:rsidRDefault="00E00F43" w:rsidP="00FE6FEC">
      <w:pPr>
        <w:pStyle w:val="Encabezado"/>
        <w:jc w:val="center"/>
        <w:rPr>
          <w:rFonts w:ascii="Times New Roman" w:hAnsi="Times New Roman" w:cs="Times New Roman"/>
          <w:b/>
          <w:bCs/>
          <w:sz w:val="28"/>
          <w:szCs w:val="24"/>
          <w:lang w:val="es-ES"/>
        </w:rPr>
      </w:pPr>
      <w:r w:rsidRPr="00E00F43">
        <w:rPr>
          <w:rFonts w:ascii="Times New Roman" w:hAnsi="Times New Roman" w:cs="Times New Roman"/>
          <w:b/>
          <w:bCs/>
          <w:sz w:val="28"/>
          <w:szCs w:val="24"/>
          <w:lang w:val="es-ES"/>
        </w:rPr>
        <w:t>CORTE CONSTITUCIONAL</w:t>
      </w:r>
    </w:p>
    <w:p w:rsidR="005B3F2C" w:rsidRPr="00E00F43" w:rsidRDefault="00E00F43" w:rsidP="00FE6FEC">
      <w:pPr>
        <w:pStyle w:val="Encabezado"/>
        <w:jc w:val="center"/>
        <w:rPr>
          <w:rFonts w:ascii="Times New Roman" w:hAnsi="Times New Roman" w:cs="Times New Roman"/>
          <w:b/>
          <w:bCs/>
          <w:sz w:val="28"/>
          <w:szCs w:val="24"/>
          <w:lang w:val="es-ES"/>
        </w:rPr>
      </w:pPr>
      <w:r w:rsidRPr="00E00F43">
        <w:rPr>
          <w:rFonts w:ascii="Times New Roman" w:hAnsi="Times New Roman" w:cs="Times New Roman"/>
          <w:b/>
          <w:bCs/>
          <w:sz w:val="28"/>
          <w:szCs w:val="24"/>
          <w:lang w:val="es-ES"/>
        </w:rPr>
        <w:t xml:space="preserve">Sala </w:t>
      </w:r>
      <w:r w:rsidRPr="00E00F43">
        <w:rPr>
          <w:rFonts w:ascii="Times New Roman" w:hAnsi="Times New Roman" w:cs="Times New Roman"/>
          <w:b/>
          <w:bCs/>
          <w:sz w:val="28"/>
          <w:szCs w:val="24"/>
          <w:lang w:val="es-ES"/>
        </w:rPr>
        <w:t>Plena</w:t>
      </w:r>
    </w:p>
    <w:p w:rsidR="007D4716" w:rsidRPr="00E00F43" w:rsidRDefault="00E00F43" w:rsidP="00352CE7">
      <w:pPr>
        <w:spacing w:after="0"/>
        <w:contextualSpacing/>
        <w:jc w:val="center"/>
        <w:rPr>
          <w:rFonts w:ascii="Times New Roman" w:eastAsia="Times New Roman" w:hAnsi="Times New Roman" w:cs="Times New Roman"/>
          <w:b/>
          <w:sz w:val="28"/>
          <w:lang w:val="es-ES" w:eastAsia="es-ES"/>
        </w:rPr>
      </w:pPr>
    </w:p>
    <w:p w:rsidR="007D4716" w:rsidRPr="00E00F43" w:rsidRDefault="00E00F43" w:rsidP="00352CE7">
      <w:pPr>
        <w:spacing w:after="0"/>
        <w:contextualSpacing/>
        <w:jc w:val="center"/>
        <w:rPr>
          <w:rFonts w:ascii="Times New Roman" w:eastAsia="Times New Roman" w:hAnsi="Times New Roman" w:cs="Times New Roman"/>
          <w:b/>
          <w:sz w:val="28"/>
          <w:szCs w:val="24"/>
          <w:lang w:val="es-ES" w:eastAsia="es-ES"/>
        </w:rPr>
      </w:pPr>
      <w:r w:rsidRPr="00E00F43">
        <w:rPr>
          <w:rFonts w:ascii="Times New Roman" w:eastAsia="Times New Roman" w:hAnsi="Times New Roman" w:cs="Times New Roman"/>
          <w:b/>
          <w:sz w:val="28"/>
          <w:szCs w:val="24"/>
          <w:lang w:val="es-ES" w:eastAsia="es-ES"/>
        </w:rPr>
        <w:t xml:space="preserve">SENTENCIA </w:t>
      </w:r>
      <w:r w:rsidRPr="00E00F43">
        <w:rPr>
          <w:rFonts w:ascii="Times New Roman" w:eastAsia="Times New Roman" w:hAnsi="Times New Roman" w:cs="Times New Roman"/>
          <w:b/>
          <w:sz w:val="28"/>
          <w:szCs w:val="24"/>
          <w:lang w:val="es-ES" w:eastAsia="es-ES"/>
        </w:rPr>
        <w:t>C-</w:t>
      </w:r>
      <w:r w:rsidRPr="00E00F43">
        <w:rPr>
          <w:rFonts w:ascii="Times New Roman" w:eastAsia="Times New Roman" w:hAnsi="Times New Roman" w:cs="Times New Roman"/>
          <w:b/>
          <w:sz w:val="28"/>
          <w:szCs w:val="24"/>
          <w:lang w:val="es-ES" w:eastAsia="es-ES"/>
        </w:rPr>
        <w:t>115</w:t>
      </w:r>
      <w:r w:rsidRPr="00E00F43">
        <w:rPr>
          <w:rFonts w:ascii="Times New Roman" w:eastAsia="Times New Roman" w:hAnsi="Times New Roman" w:cs="Times New Roman"/>
          <w:b/>
          <w:sz w:val="28"/>
          <w:szCs w:val="24"/>
          <w:lang w:val="es-ES" w:eastAsia="es-ES"/>
        </w:rPr>
        <w:t xml:space="preserve"> DE 2024</w:t>
      </w:r>
    </w:p>
    <w:p w:rsidR="007D4716" w:rsidRPr="00E00F43" w:rsidRDefault="00E00F43" w:rsidP="00352CE7">
      <w:pPr>
        <w:pStyle w:val="Encabezado2"/>
        <w:rPr>
          <w:rFonts w:ascii="Times New Roman" w:hAnsi="Times New Roman" w:cs="Times New Roman"/>
          <w:color w:val="000000" w:themeColor="text1"/>
          <w:sz w:val="28"/>
          <w:lang w:val="es-ES"/>
        </w:rPr>
      </w:pPr>
    </w:p>
    <w:p w:rsidR="00F46CAB" w:rsidRPr="00E00F43" w:rsidRDefault="00E00F43" w:rsidP="00F46CAB">
      <w:pPr>
        <w:spacing w:after="0"/>
        <w:ind w:left="3969"/>
        <w:rPr>
          <w:rFonts w:ascii="Times New Roman" w:hAnsi="Times New Roman" w:cs="Times New Roman"/>
          <w:sz w:val="28"/>
          <w:szCs w:val="24"/>
          <w:lang w:val="es-ES"/>
        </w:rPr>
      </w:pPr>
      <w:r w:rsidRPr="00E00F43">
        <w:rPr>
          <w:rFonts w:ascii="Times New Roman" w:hAnsi="Times New Roman" w:cs="Times New Roman"/>
          <w:b/>
          <w:bCs/>
          <w:sz w:val="28"/>
          <w:szCs w:val="24"/>
          <w:lang w:val="es-ES"/>
        </w:rPr>
        <w:t>Referencia</w:t>
      </w:r>
      <w:r w:rsidRPr="00E00F43">
        <w:rPr>
          <w:rFonts w:ascii="Times New Roman" w:hAnsi="Times New Roman" w:cs="Times New Roman"/>
          <w:sz w:val="28"/>
          <w:szCs w:val="24"/>
          <w:lang w:val="es-ES"/>
        </w:rPr>
        <w:t>: expediente LAT-491.</w:t>
      </w:r>
    </w:p>
    <w:p w:rsidR="00F46CAB" w:rsidRPr="00E00F43" w:rsidRDefault="00E00F43" w:rsidP="00F46CAB">
      <w:pPr>
        <w:spacing w:after="0"/>
        <w:ind w:left="3969"/>
        <w:rPr>
          <w:rFonts w:ascii="Times New Roman" w:hAnsi="Times New Roman" w:cs="Times New Roman"/>
          <w:sz w:val="28"/>
          <w:szCs w:val="24"/>
          <w:lang w:val="es-ES"/>
        </w:rPr>
      </w:pPr>
    </w:p>
    <w:p w:rsidR="00F46CAB" w:rsidRPr="00E00F43" w:rsidRDefault="00E00F43" w:rsidP="00F46CAB">
      <w:pPr>
        <w:spacing w:after="0"/>
        <w:ind w:left="3969"/>
        <w:rPr>
          <w:rFonts w:ascii="Times New Roman" w:hAnsi="Times New Roman" w:cs="Times New Roman"/>
          <w:sz w:val="28"/>
          <w:szCs w:val="24"/>
          <w:lang w:val="es-ES"/>
        </w:rPr>
      </w:pPr>
      <w:r w:rsidRPr="00E00F43">
        <w:rPr>
          <w:rFonts w:ascii="Times New Roman" w:hAnsi="Times New Roman" w:cs="Times New Roman"/>
          <w:b/>
          <w:bCs/>
          <w:sz w:val="28"/>
          <w:szCs w:val="24"/>
          <w:lang w:val="es-ES"/>
        </w:rPr>
        <w:t>Asunto:</w:t>
      </w:r>
      <w:r w:rsidRPr="00E00F43">
        <w:rPr>
          <w:rFonts w:ascii="Times New Roman" w:hAnsi="Times New Roman" w:cs="Times New Roman"/>
          <w:sz w:val="28"/>
          <w:szCs w:val="24"/>
          <w:lang w:val="es-ES"/>
        </w:rPr>
        <w:t xml:space="preserve"> revisión oficiosa de la Ley 2290 del 13 de febrero de 2023, </w:t>
      </w:r>
      <w:r w:rsidRPr="00E00F43">
        <w:rPr>
          <w:rFonts w:ascii="Times New Roman" w:hAnsi="Times New Roman" w:cs="Times New Roman"/>
          <w:sz w:val="28"/>
          <w:szCs w:val="24"/>
          <w:lang w:val="es-ES"/>
        </w:rPr>
        <w:t>p</w:t>
      </w:r>
      <w:r w:rsidRPr="00E00F43">
        <w:rPr>
          <w:rFonts w:ascii="Times New Roman" w:hAnsi="Times New Roman" w:cs="Times New Roman"/>
          <w:sz w:val="28"/>
          <w:szCs w:val="24"/>
          <w:lang w:val="es-ES"/>
        </w:rPr>
        <w:t xml:space="preserve">or medio de la cual se aprueba el </w:t>
      </w:r>
      <w:r w:rsidRPr="00E00F43">
        <w:rPr>
          <w:rFonts w:ascii="Times New Roman" w:hAnsi="Times New Roman" w:cs="Times New Roman"/>
          <w:sz w:val="28"/>
          <w:szCs w:val="24"/>
          <w:lang w:val="es-ES"/>
        </w:rPr>
        <w:t>‘</w:t>
      </w:r>
      <w:r w:rsidRPr="00E00F43">
        <w:rPr>
          <w:rFonts w:ascii="Times New Roman" w:hAnsi="Times New Roman" w:cs="Times New Roman"/>
          <w:sz w:val="28"/>
          <w:szCs w:val="24"/>
          <w:lang w:val="es-ES"/>
        </w:rPr>
        <w:t xml:space="preserve">Acuerdo Relativo a la Adopción de </w:t>
      </w:r>
      <w:r w:rsidRPr="00E00F43">
        <w:rPr>
          <w:rFonts w:ascii="Times New Roman" w:hAnsi="Times New Roman" w:cs="Times New Roman"/>
          <w:sz w:val="28"/>
          <w:szCs w:val="24"/>
          <w:lang w:val="es-ES"/>
        </w:rPr>
        <w:t>Reglamentos Técnicos Armonizados de las Naciones Unidas aplicables a los vehículos de ruedas y los equipos y piezas que puedan montarse o utilizarse en estos, y sobre las condiciones de reconocimiento recíproco de las homologaciones concedidas conforme a d</w:t>
      </w:r>
      <w:r w:rsidRPr="00E00F43">
        <w:rPr>
          <w:rFonts w:ascii="Times New Roman" w:hAnsi="Times New Roman" w:cs="Times New Roman"/>
          <w:sz w:val="28"/>
          <w:szCs w:val="24"/>
          <w:lang w:val="es-ES"/>
        </w:rPr>
        <w:t>ichos reglamentos de las Naciones Unidas</w:t>
      </w:r>
      <w:r w:rsidRPr="00E00F43">
        <w:rPr>
          <w:rFonts w:ascii="Times New Roman" w:hAnsi="Times New Roman" w:cs="Times New Roman"/>
          <w:sz w:val="28"/>
          <w:szCs w:val="24"/>
          <w:lang w:val="es-ES"/>
        </w:rPr>
        <w:t>’</w:t>
      </w:r>
      <w:r w:rsidRPr="00E00F43">
        <w:rPr>
          <w:rFonts w:ascii="Times New Roman" w:hAnsi="Times New Roman" w:cs="Times New Roman"/>
          <w:sz w:val="28"/>
          <w:szCs w:val="24"/>
          <w:lang w:val="es-ES"/>
        </w:rPr>
        <w:t>, suscrito en Ginebra, el 20 de marzo de 1958.</w:t>
      </w:r>
    </w:p>
    <w:p w:rsidR="00D72FD1" w:rsidRPr="00E00F43" w:rsidRDefault="00E00F43" w:rsidP="00352CE7">
      <w:pPr>
        <w:spacing w:after="0"/>
        <w:ind w:left="3969"/>
        <w:rPr>
          <w:rFonts w:ascii="Times New Roman" w:hAnsi="Times New Roman" w:cs="Times New Roman"/>
          <w:sz w:val="28"/>
          <w:szCs w:val="24"/>
          <w:lang w:val="es-ES"/>
        </w:rPr>
      </w:pPr>
    </w:p>
    <w:p w:rsidR="00D72FD1" w:rsidRPr="00E00F43" w:rsidRDefault="00E00F43" w:rsidP="00352CE7">
      <w:pPr>
        <w:spacing w:after="0"/>
        <w:ind w:left="3969"/>
        <w:rPr>
          <w:rFonts w:ascii="Times New Roman" w:hAnsi="Times New Roman" w:cs="Times New Roman"/>
          <w:sz w:val="28"/>
          <w:szCs w:val="24"/>
          <w:lang w:val="es-ES"/>
        </w:rPr>
      </w:pPr>
      <w:r w:rsidRPr="00E00F43">
        <w:rPr>
          <w:rFonts w:ascii="Times New Roman" w:hAnsi="Times New Roman" w:cs="Times New Roman"/>
          <w:b/>
          <w:bCs/>
          <w:sz w:val="28"/>
          <w:szCs w:val="24"/>
          <w:lang w:val="es-ES"/>
        </w:rPr>
        <w:t>Magistrada ponente</w:t>
      </w:r>
      <w:r w:rsidRPr="00E00F43">
        <w:rPr>
          <w:rFonts w:ascii="Times New Roman" w:hAnsi="Times New Roman" w:cs="Times New Roman"/>
          <w:sz w:val="28"/>
          <w:szCs w:val="24"/>
          <w:lang w:val="es-ES"/>
        </w:rPr>
        <w:t>:</w:t>
      </w:r>
    </w:p>
    <w:p w:rsidR="00C4469C" w:rsidRPr="00E00F43" w:rsidRDefault="00E00F43" w:rsidP="00352CE7">
      <w:pPr>
        <w:spacing w:after="0"/>
        <w:ind w:left="3969"/>
        <w:rPr>
          <w:rFonts w:ascii="Times New Roman" w:hAnsi="Times New Roman" w:cs="Times New Roman"/>
          <w:sz w:val="28"/>
          <w:szCs w:val="24"/>
          <w:lang w:val="es-ES"/>
        </w:rPr>
      </w:pPr>
      <w:r w:rsidRPr="00E00F43">
        <w:rPr>
          <w:rFonts w:ascii="Times New Roman" w:hAnsi="Times New Roman" w:cs="Times New Roman"/>
          <w:sz w:val="28"/>
          <w:szCs w:val="24"/>
          <w:lang w:val="es-ES"/>
        </w:rPr>
        <w:t>Diana Fajardo Rivera</w:t>
      </w:r>
    </w:p>
    <w:p w:rsidR="00D72FD1" w:rsidRPr="00E00F43" w:rsidRDefault="00E00F43" w:rsidP="00352CE7">
      <w:pPr>
        <w:spacing w:after="0"/>
        <w:ind w:left="3969"/>
        <w:rPr>
          <w:rFonts w:ascii="Times New Roman" w:hAnsi="Times New Roman" w:cs="Times New Roman"/>
          <w:sz w:val="28"/>
          <w:szCs w:val="24"/>
          <w:lang w:val="es-ES"/>
        </w:rPr>
      </w:pPr>
    </w:p>
    <w:p w:rsidR="007D4716" w:rsidRPr="00E00F43" w:rsidRDefault="00E00F43" w:rsidP="00352CE7">
      <w:pPr>
        <w:spacing w:after="0"/>
        <w:contextualSpacing/>
        <w:rPr>
          <w:rFonts w:ascii="Times New Roman" w:hAnsi="Times New Roman" w:cs="Times New Roman"/>
          <w:sz w:val="28"/>
          <w:szCs w:val="24"/>
          <w:lang w:val="es-ES"/>
        </w:rPr>
      </w:pPr>
      <w:r w:rsidRPr="00E00F43">
        <w:rPr>
          <w:rFonts w:ascii="Times New Roman" w:hAnsi="Times New Roman" w:cs="Times New Roman"/>
          <w:sz w:val="28"/>
          <w:szCs w:val="24"/>
          <w:lang w:val="es-ES"/>
        </w:rPr>
        <w:t>Bogotá D. C.,</w:t>
      </w:r>
      <w:r w:rsidRPr="00E00F43">
        <w:rPr>
          <w:rFonts w:ascii="Times New Roman" w:hAnsi="Times New Roman" w:cs="Times New Roman"/>
          <w:sz w:val="28"/>
          <w:szCs w:val="24"/>
          <w:lang w:val="es-ES"/>
        </w:rPr>
        <w:t xml:space="preserve"> </w:t>
      </w:r>
      <w:r w:rsidRPr="00E00F43">
        <w:rPr>
          <w:rFonts w:ascii="Times New Roman" w:hAnsi="Times New Roman" w:cs="Times New Roman"/>
          <w:sz w:val="28"/>
          <w:szCs w:val="24"/>
          <w:lang w:val="es-ES"/>
        </w:rPr>
        <w:t>once</w:t>
      </w:r>
      <w:r w:rsidRPr="00E00F43">
        <w:rPr>
          <w:rFonts w:ascii="Times New Roman" w:hAnsi="Times New Roman" w:cs="Times New Roman"/>
          <w:sz w:val="28"/>
          <w:szCs w:val="24"/>
          <w:lang w:val="es-ES"/>
        </w:rPr>
        <w:t xml:space="preserve"> </w:t>
      </w:r>
      <w:r w:rsidRPr="00E00F43">
        <w:rPr>
          <w:rFonts w:ascii="Times New Roman" w:hAnsi="Times New Roman" w:cs="Times New Roman"/>
          <w:sz w:val="28"/>
          <w:szCs w:val="24"/>
          <w:lang w:val="es-ES"/>
        </w:rPr>
        <w:t>(</w:t>
      </w:r>
      <w:r w:rsidRPr="00E00F43">
        <w:rPr>
          <w:rFonts w:ascii="Times New Roman" w:hAnsi="Times New Roman" w:cs="Times New Roman"/>
          <w:sz w:val="28"/>
          <w:szCs w:val="24"/>
          <w:lang w:val="es-ES"/>
        </w:rPr>
        <w:t>11</w:t>
      </w:r>
      <w:r w:rsidRPr="00E00F43">
        <w:rPr>
          <w:rFonts w:ascii="Times New Roman" w:hAnsi="Times New Roman" w:cs="Times New Roman"/>
          <w:sz w:val="28"/>
          <w:szCs w:val="24"/>
          <w:lang w:val="es-ES"/>
        </w:rPr>
        <w:t xml:space="preserve">) de </w:t>
      </w:r>
      <w:r w:rsidRPr="00E00F43">
        <w:rPr>
          <w:rFonts w:ascii="Times New Roman" w:hAnsi="Times New Roman" w:cs="Times New Roman"/>
          <w:sz w:val="28"/>
          <w:szCs w:val="24"/>
          <w:lang w:val="es-ES"/>
        </w:rPr>
        <w:t>abril</w:t>
      </w:r>
      <w:r w:rsidRPr="00E00F43">
        <w:rPr>
          <w:rFonts w:ascii="Times New Roman" w:hAnsi="Times New Roman" w:cs="Times New Roman"/>
          <w:sz w:val="28"/>
          <w:szCs w:val="24"/>
          <w:lang w:val="es-ES"/>
        </w:rPr>
        <w:t xml:space="preserve"> </w:t>
      </w:r>
      <w:r w:rsidRPr="00E00F43">
        <w:rPr>
          <w:rFonts w:ascii="Times New Roman" w:hAnsi="Times New Roman" w:cs="Times New Roman"/>
          <w:sz w:val="28"/>
          <w:szCs w:val="24"/>
          <w:lang w:val="es-ES"/>
        </w:rPr>
        <w:t>de</w:t>
      </w:r>
      <w:r w:rsidRPr="00E00F43">
        <w:rPr>
          <w:rFonts w:ascii="Times New Roman" w:hAnsi="Times New Roman" w:cs="Times New Roman"/>
          <w:sz w:val="28"/>
          <w:szCs w:val="24"/>
          <w:lang w:val="es-ES"/>
        </w:rPr>
        <w:t xml:space="preserve"> dos mil veinti</w:t>
      </w:r>
      <w:r w:rsidRPr="00E00F43">
        <w:rPr>
          <w:rFonts w:ascii="Times New Roman" w:hAnsi="Times New Roman" w:cs="Times New Roman"/>
          <w:sz w:val="28"/>
          <w:szCs w:val="24"/>
          <w:lang w:val="es-ES"/>
        </w:rPr>
        <w:t>cuatro</w:t>
      </w:r>
      <w:r w:rsidRPr="00E00F43">
        <w:rPr>
          <w:rFonts w:ascii="Times New Roman" w:hAnsi="Times New Roman" w:cs="Times New Roman"/>
          <w:sz w:val="28"/>
          <w:szCs w:val="24"/>
          <w:lang w:val="es-ES"/>
        </w:rPr>
        <w:t xml:space="preserve"> </w:t>
      </w:r>
      <w:r w:rsidRPr="00E00F43">
        <w:rPr>
          <w:rFonts w:ascii="Times New Roman" w:hAnsi="Times New Roman" w:cs="Times New Roman"/>
          <w:sz w:val="28"/>
          <w:szCs w:val="24"/>
          <w:lang w:val="es-ES"/>
        </w:rPr>
        <w:t>(202</w:t>
      </w:r>
      <w:r w:rsidRPr="00E00F43">
        <w:rPr>
          <w:rFonts w:ascii="Times New Roman" w:hAnsi="Times New Roman" w:cs="Times New Roman"/>
          <w:sz w:val="28"/>
          <w:szCs w:val="24"/>
          <w:lang w:val="es-ES"/>
        </w:rPr>
        <w:t>4</w:t>
      </w:r>
      <w:r w:rsidRPr="00E00F43">
        <w:rPr>
          <w:rFonts w:ascii="Times New Roman" w:hAnsi="Times New Roman" w:cs="Times New Roman"/>
          <w:sz w:val="28"/>
          <w:szCs w:val="24"/>
          <w:lang w:val="es-ES"/>
        </w:rPr>
        <w:t>)</w:t>
      </w:r>
      <w:r w:rsidRPr="00E00F43">
        <w:rPr>
          <w:rFonts w:ascii="Times New Roman" w:hAnsi="Times New Roman" w:cs="Times New Roman"/>
          <w:sz w:val="28"/>
          <w:szCs w:val="24"/>
          <w:lang w:val="es-ES"/>
        </w:rPr>
        <w:t>.</w:t>
      </w:r>
    </w:p>
    <w:p w:rsidR="007D4716" w:rsidRPr="00E00F43" w:rsidRDefault="00E00F43" w:rsidP="00352CE7">
      <w:pPr>
        <w:spacing w:after="0"/>
        <w:contextualSpacing/>
        <w:rPr>
          <w:rFonts w:ascii="Times New Roman" w:hAnsi="Times New Roman" w:cs="Times New Roman"/>
          <w:sz w:val="28"/>
          <w:szCs w:val="24"/>
          <w:lang w:val="es-ES"/>
        </w:rPr>
      </w:pPr>
    </w:p>
    <w:p w:rsidR="00F46CAB" w:rsidRPr="00E00F43" w:rsidRDefault="00E00F43" w:rsidP="00F46CAB">
      <w:pPr>
        <w:spacing w:after="0"/>
        <w:contextualSpacing/>
        <w:rPr>
          <w:rFonts w:ascii="Times New Roman" w:eastAsia="Times New Roman" w:hAnsi="Times New Roman" w:cs="Times New Roman"/>
          <w:sz w:val="28"/>
          <w:szCs w:val="24"/>
          <w:lang w:val="es-ES" w:eastAsia="es-ES"/>
        </w:rPr>
      </w:pPr>
      <w:r w:rsidRPr="00E00F43">
        <w:rPr>
          <w:rFonts w:ascii="Times New Roman" w:eastAsia="Times New Roman" w:hAnsi="Times New Roman" w:cs="Times New Roman"/>
          <w:sz w:val="28"/>
          <w:szCs w:val="24"/>
          <w:lang w:val="es-ES" w:eastAsia="es-ES"/>
        </w:rPr>
        <w:t xml:space="preserve">La Sala Plena de la Corte Constitucional, en ejercicio de </w:t>
      </w:r>
      <w:r w:rsidRPr="00E00F43">
        <w:rPr>
          <w:rFonts w:ascii="Times New Roman" w:eastAsia="Times New Roman" w:hAnsi="Times New Roman" w:cs="Times New Roman"/>
          <w:sz w:val="28"/>
          <w:szCs w:val="24"/>
          <w:lang w:val="es-ES" w:eastAsia="es-ES"/>
        </w:rPr>
        <w:t>sus atribuciones constitucionales y de los requisitos y trámites establecidos en el Decreto Ley 2067 de 1991, ha proferido la siguiente</w:t>
      </w:r>
    </w:p>
    <w:p w:rsidR="007D4716" w:rsidRPr="00E00F43" w:rsidRDefault="00E00F43" w:rsidP="00352CE7">
      <w:pPr>
        <w:spacing w:after="0"/>
        <w:contextualSpacing/>
        <w:rPr>
          <w:rFonts w:ascii="Times New Roman" w:hAnsi="Times New Roman" w:cs="Times New Roman"/>
          <w:sz w:val="28"/>
          <w:szCs w:val="24"/>
          <w:lang w:val="es-ES"/>
        </w:rPr>
      </w:pPr>
      <w:r w:rsidRPr="00E00F43">
        <w:rPr>
          <w:rFonts w:ascii="Times New Roman" w:hAnsi="Times New Roman" w:cs="Times New Roman"/>
          <w:sz w:val="28"/>
          <w:szCs w:val="24"/>
          <w:lang w:val="es-ES"/>
        </w:rPr>
        <w:t xml:space="preserve"> </w:t>
      </w:r>
    </w:p>
    <w:p w:rsidR="007D4716" w:rsidRPr="00E00F43" w:rsidRDefault="00E00F43" w:rsidP="00352CE7">
      <w:pPr>
        <w:spacing w:after="0"/>
        <w:contextualSpacing/>
        <w:jc w:val="center"/>
        <w:rPr>
          <w:rStyle w:val="Ttulodellibro"/>
          <w:rFonts w:cs="Times New Roman"/>
          <w:szCs w:val="24"/>
          <w:lang w:val="es-ES"/>
        </w:rPr>
      </w:pPr>
      <w:r w:rsidRPr="00E00F43">
        <w:rPr>
          <w:rStyle w:val="Ttulodellibro"/>
          <w:rFonts w:cs="Times New Roman"/>
          <w:szCs w:val="24"/>
          <w:lang w:val="es-ES"/>
        </w:rPr>
        <w:t>SENTENCIA</w:t>
      </w:r>
    </w:p>
    <w:p w:rsidR="00C819D6" w:rsidRPr="00E00F43" w:rsidRDefault="00E00F43" w:rsidP="00C819D6">
      <w:pPr>
        <w:pStyle w:val="Prrafodelista"/>
        <w:tabs>
          <w:tab w:val="left" w:pos="284"/>
        </w:tabs>
        <w:ind w:left="0"/>
        <w:contextualSpacing/>
        <w:rPr>
          <w:rFonts w:ascii="Times New Roman" w:eastAsia="Calibri" w:hAnsi="Times New Roman" w:cs="Times New Roman"/>
          <w:sz w:val="28"/>
          <w:szCs w:val="24"/>
          <w:lang w:val="es-ES" w:eastAsia="en-US"/>
        </w:rPr>
      </w:pPr>
    </w:p>
    <w:p w:rsidR="001B411F" w:rsidRPr="00E00F43" w:rsidRDefault="00E00F43" w:rsidP="001B411F">
      <w:pPr>
        <w:pStyle w:val="Prrafodelista"/>
        <w:tabs>
          <w:tab w:val="left" w:pos="284"/>
          <w:tab w:val="left" w:pos="426"/>
        </w:tabs>
        <w:ind w:left="0"/>
        <w:contextualSpacing/>
        <w:rPr>
          <w:rFonts w:ascii="Times New Roman" w:eastAsiaTheme="minorEastAsia" w:hAnsi="Times New Roman" w:cs="Times New Roman"/>
          <w:sz w:val="28"/>
          <w:szCs w:val="24"/>
          <w:lang w:val="es-ES" w:eastAsia="en-US"/>
        </w:rPr>
      </w:pPr>
      <w:r w:rsidRPr="00E00F43">
        <w:rPr>
          <w:rFonts w:ascii="Times New Roman" w:eastAsiaTheme="minorEastAsia" w:hAnsi="Times New Roman" w:cs="Times New Roman"/>
          <w:sz w:val="28"/>
          <w:szCs w:val="24"/>
          <w:lang w:val="es-ES" w:eastAsia="en-US"/>
        </w:rPr>
        <w:t xml:space="preserve">Dentro del proceso de revisión de constitucionalidad de la Ley 2290 del 13 de febrero de 2023, </w:t>
      </w:r>
      <w:r w:rsidRPr="00E00F43">
        <w:rPr>
          <w:rFonts w:ascii="Times New Roman" w:eastAsiaTheme="minorEastAsia" w:hAnsi="Times New Roman" w:cs="Times New Roman"/>
          <w:sz w:val="28"/>
          <w:szCs w:val="24"/>
          <w:lang w:val="es-ES" w:eastAsia="en-US"/>
        </w:rPr>
        <w:t>p</w:t>
      </w:r>
      <w:r w:rsidRPr="00E00F43">
        <w:rPr>
          <w:rFonts w:ascii="Times New Roman" w:eastAsiaTheme="minorEastAsia" w:hAnsi="Times New Roman" w:cs="Times New Roman"/>
          <w:sz w:val="28"/>
          <w:szCs w:val="24"/>
          <w:lang w:val="es-ES" w:eastAsia="en-US"/>
        </w:rPr>
        <w:t>or medio de</w:t>
      </w:r>
      <w:r w:rsidRPr="00E00F43">
        <w:rPr>
          <w:rFonts w:ascii="Times New Roman" w:eastAsiaTheme="minorEastAsia" w:hAnsi="Times New Roman" w:cs="Times New Roman"/>
          <w:sz w:val="28"/>
          <w:szCs w:val="24"/>
          <w:lang w:val="es-ES" w:eastAsia="en-US"/>
        </w:rPr>
        <w:t xml:space="preserve"> la cual se aprueba el ‘Acuerdo Relativo a la Adopción de Reglamentos Técnicos Armonizados de las Naciones Unidas aplicables a los vehículos de ruedas y los equipos y piezas que puedan montarse o utilizarse en estos, y sobre las condiciones de reconocimien</w:t>
      </w:r>
      <w:r w:rsidRPr="00E00F43">
        <w:rPr>
          <w:rFonts w:ascii="Times New Roman" w:eastAsiaTheme="minorEastAsia" w:hAnsi="Times New Roman" w:cs="Times New Roman"/>
          <w:sz w:val="28"/>
          <w:szCs w:val="24"/>
          <w:lang w:val="es-ES" w:eastAsia="en-US"/>
        </w:rPr>
        <w:t>to recíproco de las homologaciones concedidas conforme a dichos reglamentos de las Naciones Unidas’, suscrito en Ginebra, el 20 de marzo de 1958.</w:t>
      </w:r>
    </w:p>
    <w:p w:rsidR="00402B2B" w:rsidRPr="00E00F43" w:rsidRDefault="00E00F43" w:rsidP="001B411F">
      <w:pPr>
        <w:pStyle w:val="Prrafodelista"/>
        <w:tabs>
          <w:tab w:val="left" w:pos="284"/>
          <w:tab w:val="left" w:pos="426"/>
        </w:tabs>
        <w:ind w:left="0"/>
        <w:contextualSpacing/>
        <w:rPr>
          <w:rFonts w:ascii="Times New Roman" w:eastAsiaTheme="minorEastAsia" w:hAnsi="Times New Roman" w:cs="Times New Roman"/>
          <w:sz w:val="28"/>
          <w:szCs w:val="24"/>
          <w:lang w:val="es-ES" w:eastAsia="en-US"/>
        </w:rPr>
      </w:pPr>
    </w:p>
    <w:p w:rsidR="00402B2B" w:rsidRPr="00E00F43" w:rsidRDefault="00E00F43" w:rsidP="00076EDF">
      <w:pPr>
        <w:tabs>
          <w:tab w:val="left" w:pos="284"/>
          <w:tab w:val="left" w:pos="426"/>
        </w:tabs>
        <w:spacing w:after="0"/>
        <w:contextualSpacing/>
        <w:rPr>
          <w:rFonts w:ascii="Times New Roman" w:eastAsia="SimSun" w:hAnsi="Times New Roman" w:cs="Times New Roman"/>
          <w:b/>
          <w:bCs/>
          <w:sz w:val="28"/>
          <w:szCs w:val="24"/>
          <w:lang w:val="es-ES" w:eastAsia="zh-CN"/>
        </w:rPr>
      </w:pPr>
      <w:r w:rsidRPr="00E00F43">
        <w:rPr>
          <w:rFonts w:ascii="Times New Roman" w:eastAsia="SimSun" w:hAnsi="Times New Roman" w:cs="Times New Roman"/>
          <w:b/>
          <w:bCs/>
          <w:sz w:val="28"/>
          <w:szCs w:val="24"/>
          <w:lang w:val="es-ES" w:eastAsia="zh-CN"/>
        </w:rPr>
        <w:t>S</w:t>
      </w:r>
      <w:r w:rsidRPr="00E00F43">
        <w:rPr>
          <w:rFonts w:ascii="Times New Roman" w:eastAsia="SimSun" w:hAnsi="Times New Roman" w:cs="Times New Roman"/>
          <w:b/>
          <w:bCs/>
          <w:sz w:val="28"/>
          <w:szCs w:val="24"/>
          <w:lang w:val="es-ES" w:eastAsia="zh-CN"/>
        </w:rPr>
        <w:t>Í</w:t>
      </w:r>
      <w:r w:rsidRPr="00E00F43">
        <w:rPr>
          <w:rFonts w:ascii="Times New Roman" w:eastAsia="SimSun" w:hAnsi="Times New Roman" w:cs="Times New Roman"/>
          <w:b/>
          <w:bCs/>
          <w:sz w:val="28"/>
          <w:szCs w:val="24"/>
          <w:lang w:val="es-ES" w:eastAsia="zh-CN"/>
        </w:rPr>
        <w:t>NTESIS DE LA DECISIÓN</w:t>
      </w:r>
    </w:p>
    <w:p w:rsidR="00273227" w:rsidRPr="00E00F43" w:rsidRDefault="00E00F43" w:rsidP="00273227">
      <w:pPr>
        <w:pStyle w:val="Prrafodelista"/>
        <w:tabs>
          <w:tab w:val="left" w:pos="426"/>
        </w:tabs>
        <w:ind w:left="0"/>
        <w:rPr>
          <w:rFonts w:ascii="Times New Roman" w:hAnsi="Times New Roman" w:cs="Times New Roman"/>
          <w:sz w:val="28"/>
          <w:lang w:val="es-ES"/>
        </w:rPr>
      </w:pPr>
    </w:p>
    <w:p w:rsidR="00D479C8" w:rsidRPr="00E00F43" w:rsidRDefault="00E00F43">
      <w:pPr>
        <w:pStyle w:val="Prrafodelista"/>
        <w:numPr>
          <w:ilvl w:val="0"/>
          <w:numId w:val="2"/>
        </w:numPr>
        <w:tabs>
          <w:tab w:val="left" w:pos="284"/>
          <w:tab w:val="left" w:pos="426"/>
        </w:tabs>
        <w:ind w:left="0" w:firstLine="0"/>
        <w:contextualSpacing/>
        <w:rPr>
          <w:rFonts w:ascii="Times New Roman" w:hAnsi="Times New Roman" w:cs="Times New Roman"/>
          <w:sz w:val="28"/>
          <w:szCs w:val="24"/>
          <w:lang w:val="es-ES"/>
        </w:rPr>
      </w:pPr>
      <w:r w:rsidRPr="00E00F43">
        <w:rPr>
          <w:rFonts w:ascii="Times New Roman" w:eastAsia="SimSun" w:hAnsi="Times New Roman" w:cs="Times New Roman"/>
          <w:sz w:val="28"/>
          <w:szCs w:val="24"/>
          <w:lang w:val="es-ES" w:eastAsia="zh-CN"/>
        </w:rPr>
        <w:t>La Sala Plena de la Corte Constitucional examinó la constitucionalidad del “</w:t>
      </w:r>
      <w:r w:rsidRPr="00E00F43">
        <w:rPr>
          <w:rFonts w:ascii="Times New Roman" w:hAnsi="Times New Roman" w:cs="Times New Roman"/>
          <w:sz w:val="28"/>
          <w:szCs w:val="24"/>
          <w:lang w:val="es-ES"/>
        </w:rPr>
        <w:t xml:space="preserve">Acuerdo </w:t>
      </w:r>
      <w:r w:rsidRPr="00E00F43">
        <w:rPr>
          <w:rFonts w:ascii="Times New Roman" w:hAnsi="Times New Roman" w:cs="Times New Roman"/>
          <w:sz w:val="28"/>
          <w:szCs w:val="24"/>
          <w:lang w:val="es-ES"/>
        </w:rPr>
        <w:t>Relativo a la Adopción de Reglamentos Técnicos Armonizados de las Naciones Unidas aplicables a los vehículos de ruedas y los equipos y piezas que puedan montarse o utilizarse en estos, y sobre las condiciones de reconocimiento recíproco de las homologacion</w:t>
      </w:r>
      <w:r w:rsidRPr="00E00F43">
        <w:rPr>
          <w:rFonts w:ascii="Times New Roman" w:hAnsi="Times New Roman" w:cs="Times New Roman"/>
          <w:sz w:val="28"/>
          <w:szCs w:val="24"/>
          <w:lang w:val="es-ES"/>
        </w:rPr>
        <w:t>es concedidas conforme a dichos reglamentos de las Naciones Unidas</w:t>
      </w:r>
      <w:r w:rsidRPr="00E00F43">
        <w:rPr>
          <w:rFonts w:ascii="Times New Roman" w:eastAsia="SimSun" w:hAnsi="Times New Roman" w:cs="Times New Roman"/>
          <w:sz w:val="28"/>
          <w:szCs w:val="24"/>
          <w:lang w:val="es-ES" w:eastAsia="zh-CN"/>
        </w:rPr>
        <w:t xml:space="preserve">” y de la Ley 2290 de 2023, aprobatoria de dicho instrumento internacional. </w:t>
      </w:r>
    </w:p>
    <w:p w:rsidR="00D479C8" w:rsidRPr="00E00F43" w:rsidRDefault="00E00F43" w:rsidP="00D479C8">
      <w:pPr>
        <w:pStyle w:val="Prrafodelista"/>
        <w:tabs>
          <w:tab w:val="left" w:pos="284"/>
          <w:tab w:val="left" w:pos="426"/>
        </w:tabs>
        <w:ind w:left="0"/>
        <w:contextualSpacing/>
        <w:rPr>
          <w:rFonts w:ascii="Times New Roman" w:hAnsi="Times New Roman" w:cs="Times New Roman"/>
          <w:sz w:val="28"/>
          <w:szCs w:val="24"/>
          <w:lang w:val="es-ES"/>
        </w:rPr>
      </w:pPr>
    </w:p>
    <w:p w:rsidR="00D479C8" w:rsidRPr="00E00F43" w:rsidRDefault="00E00F43">
      <w:pPr>
        <w:pStyle w:val="Prrafodelista"/>
        <w:numPr>
          <w:ilvl w:val="0"/>
          <w:numId w:val="2"/>
        </w:numPr>
        <w:tabs>
          <w:tab w:val="left" w:pos="284"/>
          <w:tab w:val="left" w:pos="426"/>
        </w:tabs>
        <w:ind w:left="0" w:firstLine="0"/>
        <w:contextualSpacing/>
        <w:rPr>
          <w:rFonts w:ascii="Times New Roman" w:hAnsi="Times New Roman" w:cs="Times New Roman"/>
          <w:sz w:val="28"/>
          <w:szCs w:val="24"/>
          <w:lang w:val="es-ES"/>
        </w:rPr>
      </w:pPr>
      <w:r w:rsidRPr="00E00F43">
        <w:rPr>
          <w:rFonts w:ascii="Times New Roman" w:eastAsia="SimSun" w:hAnsi="Times New Roman" w:cs="Times New Roman"/>
          <w:sz w:val="28"/>
          <w:szCs w:val="24"/>
          <w:lang w:val="es-ES" w:eastAsia="zh-CN"/>
        </w:rPr>
        <w:t>Al tratarse del ejercicio de control constitucional integral, contemplado en el numeral 10 del artículo 241 de l</w:t>
      </w:r>
      <w:r w:rsidRPr="00E00F43">
        <w:rPr>
          <w:rFonts w:ascii="Times New Roman" w:eastAsia="SimSun" w:hAnsi="Times New Roman" w:cs="Times New Roman"/>
          <w:sz w:val="28"/>
          <w:szCs w:val="24"/>
          <w:lang w:val="es-ES" w:eastAsia="zh-CN"/>
        </w:rPr>
        <w:t>a Constitución, la Corte adelantó la revisión en dos etapas. Primero, revisó el trámite legislativo que llevó a la expedición de la ley aprobatoria. Segundo, revisó el contenido material del Acuerdo y de la ley aprobatoria.</w:t>
      </w:r>
    </w:p>
    <w:p w:rsidR="00D479C8" w:rsidRPr="00E00F43" w:rsidRDefault="00E00F43" w:rsidP="00D479C8">
      <w:pPr>
        <w:pStyle w:val="Prrafodelista"/>
        <w:rPr>
          <w:rFonts w:ascii="Times New Roman" w:eastAsia="SimSun" w:hAnsi="Times New Roman" w:cs="Times New Roman"/>
          <w:sz w:val="28"/>
          <w:szCs w:val="24"/>
          <w:lang w:val="es-ES" w:eastAsia="zh-CN"/>
        </w:rPr>
      </w:pPr>
    </w:p>
    <w:p w:rsidR="00D479C8" w:rsidRPr="00E00F43" w:rsidRDefault="00E00F43">
      <w:pPr>
        <w:pStyle w:val="Prrafodelista"/>
        <w:numPr>
          <w:ilvl w:val="0"/>
          <w:numId w:val="2"/>
        </w:numPr>
        <w:tabs>
          <w:tab w:val="left" w:pos="284"/>
          <w:tab w:val="left" w:pos="426"/>
        </w:tabs>
        <w:ind w:left="0" w:firstLine="0"/>
        <w:contextualSpacing/>
        <w:rPr>
          <w:rFonts w:ascii="Times New Roman" w:hAnsi="Times New Roman" w:cs="Times New Roman"/>
          <w:sz w:val="28"/>
          <w:szCs w:val="24"/>
          <w:lang w:val="es-ES"/>
        </w:rPr>
      </w:pPr>
      <w:r w:rsidRPr="00E00F43">
        <w:rPr>
          <w:rFonts w:ascii="Times New Roman" w:eastAsia="SimSun" w:hAnsi="Times New Roman" w:cs="Times New Roman"/>
          <w:sz w:val="28"/>
          <w:szCs w:val="24"/>
          <w:lang w:val="es-ES" w:eastAsia="zh-CN"/>
        </w:rPr>
        <w:t xml:space="preserve">En su evaluación formal, la </w:t>
      </w:r>
      <w:r w:rsidRPr="00E00F43">
        <w:rPr>
          <w:rFonts w:ascii="Times New Roman" w:eastAsia="SimSun" w:hAnsi="Times New Roman" w:cs="Times New Roman"/>
          <w:sz w:val="28"/>
          <w:szCs w:val="24"/>
          <w:lang w:val="es-ES" w:eastAsia="zh-CN"/>
        </w:rPr>
        <w:t>Corte determinó que el proceso legislativo de la Ley 2290 de 2023 se ajustó a los requisitos constitucionales de la siguiente manera: (i) se llevaron a cabo los cuatro debates necesarios con el quórum y las mayorías requeridas; (ii) se aseguró la publicaci</w:t>
      </w:r>
      <w:r w:rsidRPr="00E00F43">
        <w:rPr>
          <w:rFonts w:ascii="Times New Roman" w:eastAsia="SimSun" w:hAnsi="Times New Roman" w:cs="Times New Roman"/>
          <w:sz w:val="28"/>
          <w:szCs w:val="24"/>
          <w:lang w:val="es-ES" w:eastAsia="zh-CN"/>
        </w:rPr>
        <w:t xml:space="preserve">ón del proyecto y las ponencias correspondientes a cada debate; (iii) se hicieron los anuncios adecuados antes de cada debate y votación; (iv) se respetaron los plazos estipulados para las votaciones tanto en comisiones como en plenarias de ambas cámaras; </w:t>
      </w:r>
      <w:r w:rsidRPr="00E00F43">
        <w:rPr>
          <w:rFonts w:ascii="Times New Roman" w:eastAsia="SimSun" w:hAnsi="Times New Roman" w:cs="Times New Roman"/>
          <w:sz w:val="28"/>
          <w:szCs w:val="24"/>
          <w:lang w:val="es-ES" w:eastAsia="zh-CN"/>
        </w:rPr>
        <w:t>y (v) el proceso legislativo no se extendió más allá de dos legislaturas. Además, la Sala Plena observó que el trámite respetó los principios de consecutividad e identidad flexible. También se verificó que la representación estatal y la aprobación presiden</w:t>
      </w:r>
      <w:r w:rsidRPr="00E00F43">
        <w:rPr>
          <w:rFonts w:ascii="Times New Roman" w:eastAsia="SimSun" w:hAnsi="Times New Roman" w:cs="Times New Roman"/>
          <w:sz w:val="28"/>
          <w:szCs w:val="24"/>
          <w:lang w:val="es-ES" w:eastAsia="zh-CN"/>
        </w:rPr>
        <w:t>cial cumplieron con las competencias establecidas constitucional y legalmente.</w:t>
      </w:r>
    </w:p>
    <w:p w:rsidR="00D479C8" w:rsidRPr="00E00F43" w:rsidRDefault="00E00F43" w:rsidP="00D479C8">
      <w:pPr>
        <w:pStyle w:val="Prrafodelista"/>
        <w:rPr>
          <w:rFonts w:ascii="Times New Roman" w:eastAsia="SimSun" w:hAnsi="Times New Roman" w:cs="Times New Roman"/>
          <w:sz w:val="28"/>
          <w:szCs w:val="24"/>
          <w:lang w:val="es-ES" w:eastAsia="zh-CN"/>
        </w:rPr>
      </w:pPr>
    </w:p>
    <w:p w:rsidR="00D479C8" w:rsidRPr="00E00F43" w:rsidRDefault="00E00F43">
      <w:pPr>
        <w:pStyle w:val="Prrafodelista"/>
        <w:numPr>
          <w:ilvl w:val="0"/>
          <w:numId w:val="2"/>
        </w:numPr>
        <w:tabs>
          <w:tab w:val="left" w:pos="284"/>
          <w:tab w:val="left" w:pos="426"/>
        </w:tabs>
        <w:ind w:left="0" w:firstLine="0"/>
        <w:contextualSpacing/>
        <w:rPr>
          <w:rFonts w:ascii="Times New Roman" w:hAnsi="Times New Roman" w:cs="Times New Roman"/>
          <w:sz w:val="28"/>
          <w:szCs w:val="24"/>
          <w:lang w:val="es-ES"/>
        </w:rPr>
      </w:pPr>
      <w:r w:rsidRPr="00E00F43">
        <w:rPr>
          <w:rFonts w:ascii="Times New Roman" w:eastAsia="SimSun" w:hAnsi="Times New Roman" w:cs="Times New Roman"/>
          <w:sz w:val="28"/>
          <w:szCs w:val="24"/>
          <w:lang w:val="es-ES" w:eastAsia="zh-CN"/>
        </w:rPr>
        <w:t xml:space="preserve">De igual manera, la Corte aclaró que el Acuerdo revisado no necesitaba cumplir con el proceso de consulta previa, pues no generaba una afectación específica y directa a comunidades étnicas del país. </w:t>
      </w:r>
    </w:p>
    <w:p w:rsidR="00D479C8" w:rsidRPr="00E00F43" w:rsidRDefault="00E00F43" w:rsidP="00D479C8">
      <w:pPr>
        <w:pStyle w:val="Prrafodelista"/>
        <w:rPr>
          <w:rFonts w:ascii="Times New Roman" w:eastAsia="SimSun" w:hAnsi="Times New Roman" w:cs="Times New Roman"/>
          <w:sz w:val="28"/>
          <w:szCs w:val="24"/>
          <w:lang w:val="es-ES" w:eastAsia="zh-CN"/>
        </w:rPr>
      </w:pPr>
    </w:p>
    <w:p w:rsidR="00D479C8" w:rsidRPr="00E00F43" w:rsidRDefault="00E00F43">
      <w:pPr>
        <w:pStyle w:val="Prrafodelista"/>
        <w:numPr>
          <w:ilvl w:val="0"/>
          <w:numId w:val="2"/>
        </w:numPr>
        <w:tabs>
          <w:tab w:val="left" w:pos="284"/>
          <w:tab w:val="left" w:pos="426"/>
        </w:tabs>
        <w:ind w:left="0" w:firstLine="0"/>
        <w:contextualSpacing/>
        <w:rPr>
          <w:rFonts w:ascii="Times New Roman" w:hAnsi="Times New Roman" w:cs="Times New Roman"/>
          <w:sz w:val="28"/>
          <w:szCs w:val="24"/>
          <w:lang w:val="es-ES"/>
        </w:rPr>
      </w:pPr>
      <w:r w:rsidRPr="00E00F43">
        <w:rPr>
          <w:rFonts w:ascii="Times New Roman" w:eastAsia="SimSun" w:hAnsi="Times New Roman" w:cs="Times New Roman"/>
          <w:sz w:val="28"/>
          <w:szCs w:val="24"/>
          <w:lang w:val="es-ES" w:eastAsia="zh-CN"/>
        </w:rPr>
        <w:t>Adicionalmente, la Sala Plena explicó que no era necesa</w:t>
      </w:r>
      <w:r w:rsidRPr="00E00F43">
        <w:rPr>
          <w:rFonts w:ascii="Times New Roman" w:eastAsia="SimSun" w:hAnsi="Times New Roman" w:cs="Times New Roman"/>
          <w:sz w:val="28"/>
          <w:szCs w:val="24"/>
          <w:lang w:val="es-ES" w:eastAsia="zh-CN"/>
        </w:rPr>
        <w:t>rio realizar un análisis de impacto fiscal según lo dispuesto en el artículo 7º de la Ley 819 de 2003. Lo anterior por cuanto, si bien desde el punto de vista temporal resultaría aplicable pues el proyecto de ley 335 de 2022 Senado – 199 de 2022 Cámara, qu</w:t>
      </w:r>
      <w:r w:rsidRPr="00E00F43">
        <w:rPr>
          <w:rFonts w:ascii="Times New Roman" w:eastAsia="SimSun" w:hAnsi="Times New Roman" w:cs="Times New Roman"/>
          <w:sz w:val="28"/>
          <w:szCs w:val="24"/>
          <w:lang w:val="es-ES" w:eastAsia="zh-CN"/>
        </w:rPr>
        <w:t>e dio origen a la Ley 2290 de 2023, se radicó por el Gobierno nacional el 22 de marzo de 2022; desde la perspectiva del contenido normativo del tratado no resultaba exigible este requisito, pues allí no se ordenan gastos ni se otorgan beneficios tributario</w:t>
      </w:r>
      <w:r w:rsidRPr="00E00F43">
        <w:rPr>
          <w:rFonts w:ascii="Times New Roman" w:eastAsia="SimSun" w:hAnsi="Times New Roman" w:cs="Times New Roman"/>
          <w:sz w:val="28"/>
          <w:szCs w:val="24"/>
          <w:lang w:val="es-ES" w:eastAsia="zh-CN"/>
        </w:rPr>
        <w:t xml:space="preserve">s, en los términos del artículo 7 de la Ley 819 de 2003. </w:t>
      </w:r>
    </w:p>
    <w:p w:rsidR="00D479C8" w:rsidRPr="00E00F43" w:rsidRDefault="00E00F43" w:rsidP="00D479C8">
      <w:pPr>
        <w:pStyle w:val="Prrafodelista"/>
        <w:rPr>
          <w:rFonts w:ascii="Times New Roman" w:eastAsia="SimSun" w:hAnsi="Times New Roman" w:cs="Times New Roman"/>
          <w:sz w:val="28"/>
          <w:szCs w:val="24"/>
          <w:lang w:val="es-ES" w:eastAsia="zh-CN"/>
        </w:rPr>
      </w:pPr>
    </w:p>
    <w:p w:rsidR="00D479C8" w:rsidRPr="00E00F43" w:rsidRDefault="00E00F43">
      <w:pPr>
        <w:pStyle w:val="Prrafodelista"/>
        <w:numPr>
          <w:ilvl w:val="0"/>
          <w:numId w:val="2"/>
        </w:numPr>
        <w:tabs>
          <w:tab w:val="left" w:pos="284"/>
          <w:tab w:val="left" w:pos="426"/>
        </w:tabs>
        <w:ind w:left="0" w:firstLine="0"/>
        <w:contextualSpacing/>
        <w:rPr>
          <w:rFonts w:ascii="Times New Roman" w:hAnsi="Times New Roman" w:cs="Times New Roman"/>
          <w:sz w:val="28"/>
          <w:szCs w:val="24"/>
          <w:lang w:val="es-ES"/>
        </w:rPr>
      </w:pPr>
      <w:r w:rsidRPr="00E00F43">
        <w:rPr>
          <w:rFonts w:ascii="Times New Roman" w:eastAsia="SimSun" w:hAnsi="Times New Roman" w:cs="Times New Roman"/>
          <w:sz w:val="28"/>
          <w:szCs w:val="24"/>
          <w:lang w:val="es-ES" w:eastAsia="zh-CN"/>
        </w:rPr>
        <w:t xml:space="preserve">Sobre el análisis material del Acuerdo, después de estudiar integralmente cada uno de sus artículos mediante bloques temáticos, el apéndice y los anexos, la Sala Plena concluyó que los mismos eran </w:t>
      </w:r>
      <w:r w:rsidRPr="00E00F43">
        <w:rPr>
          <w:rFonts w:ascii="Times New Roman" w:eastAsia="SimSun" w:hAnsi="Times New Roman" w:cs="Times New Roman"/>
          <w:sz w:val="28"/>
          <w:szCs w:val="24"/>
          <w:lang w:val="es-ES" w:eastAsia="zh-CN"/>
        </w:rPr>
        <w:t xml:space="preserve">compatibles con la Constitución Política. En particular, encontró que las disposiciones previstas en el instrumento, en su conjunto, resultaban especialmente acordes con los mandatos contenidos en los artículos 2, 9, 11, 24, 25, 58, 78, 79, 209, 226, 227, </w:t>
      </w:r>
      <w:r w:rsidRPr="00E00F43">
        <w:rPr>
          <w:rFonts w:ascii="Times New Roman" w:eastAsia="SimSun" w:hAnsi="Times New Roman" w:cs="Times New Roman"/>
          <w:sz w:val="28"/>
          <w:szCs w:val="24"/>
          <w:lang w:val="es-ES" w:eastAsia="zh-CN"/>
        </w:rPr>
        <w:t>333 y 334 de la Constitución. En especial, se resaltó que se trata de disposiciones que son concordantes con los mandatos de integración económica e internacionalización de las relaciones políticas, económicas y sociales del Estado, con respeto de los prin</w:t>
      </w:r>
      <w:r w:rsidRPr="00E00F43">
        <w:rPr>
          <w:rFonts w:ascii="Times New Roman" w:eastAsia="SimSun" w:hAnsi="Times New Roman" w:cs="Times New Roman"/>
          <w:sz w:val="28"/>
          <w:szCs w:val="24"/>
          <w:lang w:val="es-ES" w:eastAsia="zh-CN"/>
        </w:rPr>
        <w:t>cipios de equidad, reciprocidad y conveniencia nacional; y persiguen fines que son especialmente protegidos por nuestra Constitución, como lo es la protección de la vida, la seguridad personal y el medio ambiente.</w:t>
      </w:r>
    </w:p>
    <w:p w:rsidR="00D479C8" w:rsidRPr="00E00F43" w:rsidRDefault="00E00F43" w:rsidP="00D479C8">
      <w:pPr>
        <w:pStyle w:val="Prrafodelista"/>
        <w:rPr>
          <w:rFonts w:ascii="Times New Roman" w:eastAsia="SimSun" w:hAnsi="Times New Roman" w:cs="Times New Roman"/>
          <w:sz w:val="28"/>
          <w:szCs w:val="24"/>
          <w:lang w:val="es-ES" w:eastAsia="zh-CN"/>
        </w:rPr>
      </w:pPr>
    </w:p>
    <w:p w:rsidR="00D479C8" w:rsidRPr="00E00F43" w:rsidRDefault="00E00F43">
      <w:pPr>
        <w:pStyle w:val="Prrafodelista"/>
        <w:numPr>
          <w:ilvl w:val="0"/>
          <w:numId w:val="2"/>
        </w:numPr>
        <w:tabs>
          <w:tab w:val="left" w:pos="284"/>
          <w:tab w:val="left" w:pos="426"/>
        </w:tabs>
        <w:ind w:left="0" w:firstLine="0"/>
        <w:contextualSpacing/>
        <w:rPr>
          <w:rFonts w:ascii="Times New Roman" w:hAnsi="Times New Roman" w:cs="Times New Roman"/>
          <w:sz w:val="28"/>
          <w:szCs w:val="24"/>
          <w:lang w:val="es-ES"/>
        </w:rPr>
      </w:pPr>
      <w:r w:rsidRPr="00E00F43">
        <w:rPr>
          <w:rFonts w:ascii="Times New Roman" w:eastAsia="SimSun" w:hAnsi="Times New Roman" w:cs="Times New Roman"/>
          <w:sz w:val="28"/>
          <w:szCs w:val="24"/>
          <w:lang w:val="es-ES" w:eastAsia="zh-CN"/>
        </w:rPr>
        <w:t>Con todo, concluyó que algunas disposicio</w:t>
      </w:r>
      <w:r w:rsidRPr="00E00F43">
        <w:rPr>
          <w:rFonts w:ascii="Times New Roman" w:eastAsia="SimSun" w:hAnsi="Times New Roman" w:cs="Times New Roman"/>
          <w:sz w:val="28"/>
          <w:szCs w:val="24"/>
          <w:lang w:val="es-ES" w:eastAsia="zh-CN"/>
        </w:rPr>
        <w:t>nes que, al contemplar la adopción futura de nuevos reglamentos o la posibilidad de modificar el Acuerdo y sus anexos, exigían condicionar su constitucionalidad al cumplimiento de una declaración presidencial interpretativa en la que se deberá manifestar q</w:t>
      </w:r>
      <w:r w:rsidRPr="00E00F43">
        <w:rPr>
          <w:rFonts w:ascii="Times New Roman" w:eastAsia="SimSun" w:hAnsi="Times New Roman" w:cs="Times New Roman"/>
          <w:sz w:val="28"/>
          <w:szCs w:val="24"/>
          <w:lang w:val="es-ES" w:eastAsia="zh-CN"/>
        </w:rPr>
        <w:t xml:space="preserve">ue las enmiendas de cualquiera de las estipulaciones del Acuerdo y de sus anexos, que impliquen nuevas obligaciones para el Estado colombiano, requieren el cumplimiento del procedimiento interno de aprobación y revisión de las mismas que debe ser previo a </w:t>
      </w:r>
      <w:r w:rsidRPr="00E00F43">
        <w:rPr>
          <w:rFonts w:ascii="Times New Roman" w:eastAsia="SimSun" w:hAnsi="Times New Roman" w:cs="Times New Roman"/>
          <w:sz w:val="28"/>
          <w:szCs w:val="24"/>
          <w:lang w:val="es-ES" w:eastAsia="zh-CN"/>
        </w:rPr>
        <w:t>su ratificación, previsto en los artículos 150 numeral 16 y 241 numeral 10 de la Constitución Política. Declaración que se predica de los artículos 1, 12, 13, 13bis y 15, así como del apéndice y el anexo 6 del Acuerdo.</w:t>
      </w:r>
    </w:p>
    <w:p w:rsidR="00D479C8" w:rsidRPr="00E00F43" w:rsidRDefault="00E00F43" w:rsidP="00D479C8">
      <w:pPr>
        <w:pStyle w:val="Prrafodelista"/>
        <w:rPr>
          <w:rFonts w:ascii="Times New Roman" w:eastAsia="SimSun" w:hAnsi="Times New Roman" w:cs="Times New Roman"/>
          <w:sz w:val="28"/>
          <w:szCs w:val="24"/>
          <w:lang w:val="es-ES" w:eastAsia="zh-CN"/>
        </w:rPr>
      </w:pPr>
    </w:p>
    <w:p w:rsidR="00273227" w:rsidRPr="00E00F43" w:rsidRDefault="00E00F43">
      <w:pPr>
        <w:pStyle w:val="Prrafodelista"/>
        <w:numPr>
          <w:ilvl w:val="0"/>
          <w:numId w:val="2"/>
        </w:numPr>
        <w:tabs>
          <w:tab w:val="left" w:pos="284"/>
          <w:tab w:val="left" w:pos="426"/>
        </w:tabs>
        <w:ind w:left="0" w:firstLine="0"/>
        <w:contextualSpacing/>
        <w:rPr>
          <w:rFonts w:ascii="Times New Roman" w:hAnsi="Times New Roman" w:cs="Times New Roman"/>
          <w:sz w:val="28"/>
          <w:szCs w:val="24"/>
          <w:lang w:val="es-ES"/>
        </w:rPr>
      </w:pPr>
      <w:r w:rsidRPr="00E00F43">
        <w:rPr>
          <w:rFonts w:ascii="Times New Roman" w:eastAsia="SimSun" w:hAnsi="Times New Roman" w:cs="Times New Roman"/>
          <w:sz w:val="28"/>
          <w:szCs w:val="24"/>
          <w:lang w:val="es-ES" w:eastAsia="zh-CN"/>
        </w:rPr>
        <w:t>Por último, la Corte adelantó el exa</w:t>
      </w:r>
      <w:r w:rsidRPr="00E00F43">
        <w:rPr>
          <w:rFonts w:ascii="Times New Roman" w:eastAsia="SimSun" w:hAnsi="Times New Roman" w:cs="Times New Roman"/>
          <w:sz w:val="28"/>
          <w:szCs w:val="24"/>
          <w:lang w:val="es-ES" w:eastAsia="zh-CN"/>
        </w:rPr>
        <w:t>men material de los tres artículos de la ley aprobatoria, lo que llevó a la declaratoria de su exequibilidad.</w:t>
      </w:r>
    </w:p>
    <w:p w:rsidR="00D479C8" w:rsidRPr="00E00F43" w:rsidRDefault="00E00F43" w:rsidP="00D479C8">
      <w:pPr>
        <w:pStyle w:val="Prrafodelista"/>
        <w:tabs>
          <w:tab w:val="left" w:pos="284"/>
          <w:tab w:val="left" w:pos="426"/>
        </w:tabs>
        <w:ind w:left="0"/>
        <w:contextualSpacing/>
        <w:rPr>
          <w:rFonts w:ascii="Times New Roman" w:hAnsi="Times New Roman" w:cs="Times New Roman"/>
          <w:sz w:val="28"/>
          <w:szCs w:val="24"/>
          <w:lang w:val="es-ES"/>
        </w:rPr>
      </w:pPr>
    </w:p>
    <w:p w:rsidR="0089212A" w:rsidRPr="00E00F43" w:rsidRDefault="00E00F43">
      <w:pPr>
        <w:pStyle w:val="Prrafodelista"/>
        <w:numPr>
          <w:ilvl w:val="0"/>
          <w:numId w:val="7"/>
        </w:numPr>
        <w:tabs>
          <w:tab w:val="left" w:pos="426"/>
        </w:tabs>
        <w:ind w:left="0" w:firstLine="0"/>
        <w:rPr>
          <w:rFonts w:ascii="Times New Roman" w:hAnsi="Times New Roman" w:cs="Times New Roman"/>
          <w:sz w:val="28"/>
          <w:lang w:val="es-ES"/>
        </w:rPr>
      </w:pPr>
      <w:r w:rsidRPr="00E00F43">
        <w:rPr>
          <w:rFonts w:ascii="Times New Roman" w:hAnsi="Times New Roman" w:cs="Times New Roman"/>
          <w:b/>
          <w:bCs/>
          <w:sz w:val="28"/>
          <w:szCs w:val="24"/>
          <w:lang w:val="es-ES"/>
        </w:rPr>
        <w:t xml:space="preserve">ANTECEDENTES </w:t>
      </w:r>
      <w:bookmarkStart w:id="2" w:name="_Hlk47519782"/>
    </w:p>
    <w:p w:rsidR="00273227" w:rsidRPr="00E00F43" w:rsidRDefault="00E00F43" w:rsidP="00273227">
      <w:pPr>
        <w:pStyle w:val="Prrafodelista"/>
        <w:tabs>
          <w:tab w:val="left" w:pos="426"/>
        </w:tabs>
        <w:ind w:left="0"/>
        <w:rPr>
          <w:rFonts w:ascii="Times New Roman" w:hAnsi="Times New Roman" w:cs="Times New Roman"/>
          <w:sz w:val="28"/>
          <w:lang w:val="es-ES"/>
        </w:rPr>
      </w:pPr>
    </w:p>
    <w:p w:rsidR="00F46CAB" w:rsidRPr="00E00F43" w:rsidRDefault="00E00F43">
      <w:pPr>
        <w:pStyle w:val="Prrafodelista"/>
        <w:numPr>
          <w:ilvl w:val="0"/>
          <w:numId w:val="2"/>
        </w:numPr>
        <w:tabs>
          <w:tab w:val="left" w:pos="284"/>
        </w:tabs>
        <w:ind w:left="0" w:firstLine="0"/>
        <w:contextualSpacing/>
        <w:rPr>
          <w:rFonts w:ascii="Times New Roman" w:hAnsi="Times New Roman" w:cs="Times New Roman"/>
          <w:sz w:val="28"/>
          <w:szCs w:val="24"/>
          <w:lang w:val="es-ES"/>
        </w:rPr>
      </w:pPr>
      <w:r w:rsidRPr="00E00F43">
        <w:rPr>
          <w:rFonts w:ascii="Times New Roman" w:hAnsi="Times New Roman" w:cs="Times New Roman"/>
          <w:sz w:val="28"/>
          <w:szCs w:val="24"/>
          <w:lang w:val="es-ES"/>
        </w:rPr>
        <w:t xml:space="preserve">El 21 de febrero de 2023, </w:t>
      </w:r>
      <w:r w:rsidRPr="00E00F43">
        <w:rPr>
          <w:rFonts w:ascii="Times New Roman" w:hAnsi="Times New Roman" w:cs="Times New Roman"/>
          <w:sz w:val="28"/>
          <w:szCs w:val="24"/>
          <w:lang w:val="es-ES"/>
        </w:rPr>
        <w:t>el doctor Vladimir Fernández Andrade, en su calidad de</w:t>
      </w:r>
      <w:r w:rsidRPr="00E00F43">
        <w:rPr>
          <w:rFonts w:ascii="Times New Roman" w:hAnsi="Times New Roman" w:cs="Times New Roman"/>
          <w:sz w:val="28"/>
          <w:szCs w:val="24"/>
          <w:lang w:val="es-ES"/>
        </w:rPr>
        <w:t xml:space="preserve"> </w:t>
      </w:r>
      <w:r w:rsidRPr="00E00F43">
        <w:rPr>
          <w:rFonts w:ascii="Times New Roman" w:hAnsi="Times New Roman" w:cs="Times New Roman"/>
          <w:sz w:val="28"/>
          <w:szCs w:val="24"/>
          <w:lang w:val="es-ES"/>
        </w:rPr>
        <w:t>s</w:t>
      </w:r>
      <w:r w:rsidRPr="00E00F43">
        <w:rPr>
          <w:rFonts w:ascii="Times New Roman" w:hAnsi="Times New Roman" w:cs="Times New Roman"/>
          <w:sz w:val="28"/>
          <w:szCs w:val="24"/>
          <w:lang w:val="es-ES"/>
        </w:rPr>
        <w:t>ecretar</w:t>
      </w:r>
      <w:r w:rsidRPr="00E00F43">
        <w:rPr>
          <w:rFonts w:ascii="Times New Roman" w:hAnsi="Times New Roman" w:cs="Times New Roman"/>
          <w:sz w:val="28"/>
          <w:szCs w:val="24"/>
          <w:lang w:val="es-ES"/>
        </w:rPr>
        <w:t>io</w:t>
      </w:r>
      <w:r w:rsidRPr="00E00F43">
        <w:rPr>
          <w:rFonts w:ascii="Times New Roman" w:hAnsi="Times New Roman" w:cs="Times New Roman"/>
          <w:sz w:val="28"/>
          <w:szCs w:val="24"/>
          <w:lang w:val="es-ES"/>
        </w:rPr>
        <w:t xml:space="preserve"> </w:t>
      </w:r>
      <w:r w:rsidRPr="00E00F43">
        <w:rPr>
          <w:rFonts w:ascii="Times New Roman" w:hAnsi="Times New Roman" w:cs="Times New Roman"/>
          <w:sz w:val="28"/>
          <w:szCs w:val="24"/>
          <w:lang w:val="es-ES"/>
        </w:rPr>
        <w:t>j</w:t>
      </w:r>
      <w:r w:rsidRPr="00E00F43">
        <w:rPr>
          <w:rFonts w:ascii="Times New Roman" w:hAnsi="Times New Roman" w:cs="Times New Roman"/>
          <w:sz w:val="28"/>
          <w:szCs w:val="24"/>
          <w:lang w:val="es-ES"/>
        </w:rPr>
        <w:t>urídic</w:t>
      </w:r>
      <w:r w:rsidRPr="00E00F43">
        <w:rPr>
          <w:rFonts w:ascii="Times New Roman" w:hAnsi="Times New Roman" w:cs="Times New Roman"/>
          <w:sz w:val="28"/>
          <w:szCs w:val="24"/>
          <w:lang w:val="es-ES"/>
        </w:rPr>
        <w:t>o</w:t>
      </w:r>
      <w:r w:rsidRPr="00E00F43">
        <w:rPr>
          <w:rFonts w:ascii="Times New Roman" w:hAnsi="Times New Roman" w:cs="Times New Roman"/>
          <w:sz w:val="28"/>
          <w:szCs w:val="24"/>
          <w:lang w:val="es-ES"/>
        </w:rPr>
        <w:t xml:space="preserve"> de la Presidencia de la Repúb</w:t>
      </w:r>
      <w:r w:rsidRPr="00E00F43">
        <w:rPr>
          <w:rFonts w:ascii="Times New Roman" w:hAnsi="Times New Roman" w:cs="Times New Roman"/>
          <w:sz w:val="28"/>
          <w:szCs w:val="24"/>
          <w:lang w:val="es-ES"/>
        </w:rPr>
        <w:t>lica</w:t>
      </w:r>
      <w:r w:rsidRPr="00E00F43">
        <w:rPr>
          <w:rFonts w:ascii="Times New Roman" w:hAnsi="Times New Roman" w:cs="Times New Roman"/>
          <w:sz w:val="28"/>
          <w:szCs w:val="24"/>
          <w:lang w:val="es-ES"/>
        </w:rPr>
        <w:t xml:space="preserve"> y</w:t>
      </w:r>
      <w:r w:rsidRPr="00E00F43">
        <w:rPr>
          <w:rFonts w:ascii="Times New Roman" w:hAnsi="Times New Roman" w:cs="Times New Roman"/>
          <w:sz w:val="28"/>
          <w:szCs w:val="24"/>
          <w:lang w:val="es-ES"/>
        </w:rPr>
        <w:t xml:space="preserve"> en cumplimiento de lo dispuesto en el artículo 241.10 de la Constitución Política, remiti</w:t>
      </w:r>
      <w:r w:rsidRPr="00E00F43">
        <w:rPr>
          <w:rFonts w:ascii="Times New Roman" w:hAnsi="Times New Roman" w:cs="Times New Roman"/>
          <w:sz w:val="28"/>
          <w:szCs w:val="24"/>
          <w:lang w:val="es-ES"/>
        </w:rPr>
        <w:t>ó</w:t>
      </w:r>
      <w:r w:rsidRPr="00E00F43">
        <w:rPr>
          <w:rFonts w:ascii="Times New Roman" w:hAnsi="Times New Roman" w:cs="Times New Roman"/>
          <w:sz w:val="28"/>
          <w:szCs w:val="24"/>
          <w:lang w:val="es-ES"/>
        </w:rPr>
        <w:t xml:space="preserve"> a esta Corporación copia autenticada de la Ley 2290 del 13 de febrero de 2023, </w:t>
      </w:r>
      <w:r w:rsidRPr="00E00F43">
        <w:rPr>
          <w:rFonts w:ascii="Times New Roman" w:hAnsi="Times New Roman" w:cs="Times New Roman"/>
          <w:sz w:val="28"/>
          <w:szCs w:val="24"/>
          <w:lang w:val="es-ES"/>
        </w:rPr>
        <w:t>p</w:t>
      </w:r>
      <w:r w:rsidRPr="00E00F43">
        <w:rPr>
          <w:rFonts w:ascii="Times New Roman" w:hAnsi="Times New Roman" w:cs="Times New Roman"/>
          <w:sz w:val="28"/>
          <w:szCs w:val="24"/>
          <w:lang w:val="es-ES"/>
        </w:rPr>
        <w:t>or medio de la cual se aprueba el ‘Acuerdo Relativo a la Adopción de Reglamentos Técnicos Armonizados de las Naciones Unidas aplicables a los vehículos de ruedas y los equipos y piezas que puedan montarse o utilizarse en estos, y sobre las condiciones de r</w:t>
      </w:r>
      <w:r w:rsidRPr="00E00F43">
        <w:rPr>
          <w:rFonts w:ascii="Times New Roman" w:hAnsi="Times New Roman" w:cs="Times New Roman"/>
          <w:sz w:val="28"/>
          <w:szCs w:val="24"/>
          <w:lang w:val="es-ES"/>
        </w:rPr>
        <w:t xml:space="preserve">econocimiento recíproco de las homologaciones concedidas conforme a dichos reglamentos de las Naciones Unidas’, suscrito en Ginebra, el 20 de marzo de 1958. </w:t>
      </w:r>
    </w:p>
    <w:p w:rsidR="00F46CAB" w:rsidRPr="00E00F43" w:rsidRDefault="00E00F43" w:rsidP="00F46CAB">
      <w:pPr>
        <w:pStyle w:val="Prrafodelista"/>
        <w:tabs>
          <w:tab w:val="left" w:pos="284"/>
        </w:tabs>
        <w:ind w:left="0"/>
        <w:contextualSpacing/>
        <w:rPr>
          <w:rFonts w:ascii="Times New Roman" w:hAnsi="Times New Roman" w:cs="Times New Roman"/>
          <w:sz w:val="28"/>
          <w:szCs w:val="24"/>
          <w:lang w:val="es-ES"/>
        </w:rPr>
      </w:pPr>
    </w:p>
    <w:p w:rsidR="00F46CAB" w:rsidRPr="00E00F43" w:rsidRDefault="00E00F43">
      <w:pPr>
        <w:pStyle w:val="Prrafodelista"/>
        <w:numPr>
          <w:ilvl w:val="0"/>
          <w:numId w:val="2"/>
        </w:numPr>
        <w:tabs>
          <w:tab w:val="left" w:pos="284"/>
        </w:tabs>
        <w:ind w:left="0" w:firstLine="0"/>
        <w:contextualSpacing/>
        <w:rPr>
          <w:rFonts w:ascii="Times New Roman" w:hAnsi="Times New Roman" w:cs="Times New Roman"/>
          <w:sz w:val="28"/>
          <w:szCs w:val="24"/>
          <w:lang w:val="es-ES"/>
        </w:rPr>
      </w:pPr>
      <w:r w:rsidRPr="00E00F43">
        <w:rPr>
          <w:rFonts w:ascii="Times New Roman" w:hAnsi="Times New Roman" w:cs="Times New Roman"/>
          <w:sz w:val="28"/>
          <w:szCs w:val="24"/>
          <w:lang w:val="es-ES"/>
        </w:rPr>
        <w:t>El 8 de marzo de 202</w:t>
      </w:r>
      <w:r w:rsidRPr="00E00F43">
        <w:rPr>
          <w:rFonts w:ascii="Times New Roman" w:hAnsi="Times New Roman" w:cs="Times New Roman"/>
          <w:sz w:val="28"/>
          <w:szCs w:val="24"/>
          <w:lang w:val="es-ES"/>
        </w:rPr>
        <w:t>3</w:t>
      </w:r>
      <w:r w:rsidRPr="00E00F43">
        <w:rPr>
          <w:rFonts w:ascii="Times New Roman" w:hAnsi="Times New Roman" w:cs="Times New Roman"/>
          <w:sz w:val="28"/>
          <w:szCs w:val="24"/>
          <w:lang w:val="es-ES"/>
        </w:rPr>
        <w:t xml:space="preserve">, la Secretaría General de la Corte </w:t>
      </w:r>
      <w:r w:rsidRPr="00E00F43">
        <w:rPr>
          <w:rFonts w:ascii="Times New Roman" w:hAnsi="Times New Roman" w:cs="Times New Roman"/>
          <w:sz w:val="28"/>
          <w:szCs w:val="24"/>
          <w:lang w:val="es-ES"/>
        </w:rPr>
        <w:t xml:space="preserve">Constitucional </w:t>
      </w:r>
      <w:r w:rsidRPr="00E00F43">
        <w:rPr>
          <w:rFonts w:ascii="Times New Roman" w:hAnsi="Times New Roman" w:cs="Times New Roman"/>
          <w:sz w:val="28"/>
          <w:szCs w:val="24"/>
          <w:lang w:val="es-ES"/>
        </w:rPr>
        <w:t>envió el expediente con r</w:t>
      </w:r>
      <w:r w:rsidRPr="00E00F43">
        <w:rPr>
          <w:rFonts w:ascii="Times New Roman" w:hAnsi="Times New Roman" w:cs="Times New Roman"/>
          <w:sz w:val="28"/>
          <w:szCs w:val="24"/>
          <w:lang w:val="es-ES"/>
        </w:rPr>
        <w:t xml:space="preserve">adicado LAT-491 al despacho de la </w:t>
      </w:r>
      <w:r w:rsidRPr="00E00F43">
        <w:rPr>
          <w:rFonts w:ascii="Times New Roman" w:hAnsi="Times New Roman" w:cs="Times New Roman"/>
          <w:sz w:val="28"/>
          <w:szCs w:val="24"/>
          <w:lang w:val="es-ES"/>
        </w:rPr>
        <w:t>m</w:t>
      </w:r>
      <w:r w:rsidRPr="00E00F43">
        <w:rPr>
          <w:rFonts w:ascii="Times New Roman" w:hAnsi="Times New Roman" w:cs="Times New Roman"/>
          <w:sz w:val="28"/>
          <w:szCs w:val="24"/>
          <w:lang w:val="es-ES"/>
        </w:rPr>
        <w:t xml:space="preserve">agistrada sustanciadora, en cumplimiento del reparto efectuado el 23 de febrero de 2023 por la Sala Plena de esta Corporación. </w:t>
      </w:r>
    </w:p>
    <w:p w:rsidR="00F46CAB" w:rsidRPr="00E00F43" w:rsidRDefault="00E00F43" w:rsidP="00F46CAB">
      <w:pPr>
        <w:pStyle w:val="Prrafodelista"/>
        <w:rPr>
          <w:rFonts w:ascii="Times New Roman" w:hAnsi="Times New Roman" w:cs="Times New Roman"/>
          <w:sz w:val="28"/>
          <w:szCs w:val="24"/>
          <w:lang w:val="es-ES"/>
        </w:rPr>
      </w:pPr>
    </w:p>
    <w:p w:rsidR="00F46CAB" w:rsidRPr="00E00F43" w:rsidRDefault="00E00F43">
      <w:pPr>
        <w:pStyle w:val="Prrafodelista"/>
        <w:numPr>
          <w:ilvl w:val="0"/>
          <w:numId w:val="2"/>
        </w:numPr>
        <w:tabs>
          <w:tab w:val="left" w:pos="284"/>
        </w:tabs>
        <w:ind w:left="0" w:firstLine="0"/>
        <w:contextualSpacing/>
        <w:rPr>
          <w:rFonts w:ascii="Times New Roman" w:hAnsi="Times New Roman" w:cs="Times New Roman"/>
          <w:sz w:val="28"/>
          <w:szCs w:val="24"/>
          <w:lang w:val="es-ES"/>
        </w:rPr>
      </w:pPr>
      <w:r w:rsidRPr="00E00F43">
        <w:rPr>
          <w:rFonts w:ascii="Times New Roman" w:hAnsi="Times New Roman" w:cs="Times New Roman"/>
          <w:sz w:val="28"/>
          <w:szCs w:val="24"/>
          <w:lang w:val="es-ES"/>
        </w:rPr>
        <w:t xml:space="preserve">Mediante Auto del 9 de marzo de 2023, la </w:t>
      </w:r>
      <w:r w:rsidRPr="00E00F43">
        <w:rPr>
          <w:rFonts w:ascii="Times New Roman" w:hAnsi="Times New Roman" w:cs="Times New Roman"/>
          <w:sz w:val="28"/>
          <w:szCs w:val="24"/>
          <w:lang w:val="es-ES"/>
        </w:rPr>
        <w:t>m</w:t>
      </w:r>
      <w:r w:rsidRPr="00E00F43">
        <w:rPr>
          <w:rFonts w:ascii="Times New Roman" w:hAnsi="Times New Roman" w:cs="Times New Roman"/>
          <w:sz w:val="28"/>
          <w:szCs w:val="24"/>
          <w:lang w:val="es-ES"/>
        </w:rPr>
        <w:t xml:space="preserve">agistrada sustanciadora avocó el examen de constitucionalidad del asunto de la referencia y decretó varias pruebas. Dentro de ellas, dispuso </w:t>
      </w:r>
      <w:r w:rsidRPr="00E00F43">
        <w:rPr>
          <w:rFonts w:ascii="Times New Roman" w:hAnsi="Times New Roman" w:cs="Times New Roman"/>
          <w:i/>
          <w:iCs/>
          <w:sz w:val="28"/>
          <w:szCs w:val="24"/>
          <w:lang w:val="es-ES"/>
        </w:rPr>
        <w:t>(i)</w:t>
      </w:r>
      <w:r w:rsidRPr="00E00F43">
        <w:rPr>
          <w:rFonts w:ascii="Times New Roman" w:hAnsi="Times New Roman" w:cs="Times New Roman"/>
          <w:sz w:val="28"/>
          <w:szCs w:val="24"/>
          <w:lang w:val="es-ES"/>
        </w:rPr>
        <w:t xml:space="preserve"> a los secretarios generales del Senado de la República y de la Cámara de Representantes que remitieran copia de</w:t>
      </w:r>
      <w:r w:rsidRPr="00E00F43">
        <w:rPr>
          <w:rFonts w:ascii="Times New Roman" w:hAnsi="Times New Roman" w:cs="Times New Roman"/>
          <w:sz w:val="28"/>
          <w:szCs w:val="24"/>
          <w:lang w:val="es-ES"/>
        </w:rPr>
        <w:t xml:space="preserve">l expediente legislativo correspondiente y de las gacetas del Congreso, así como la certificación expresa sobre las fechas de las publicaciones, las sesiones correspondientes, el quórum deliberatorio y decisorio, así como las mayorías y votaciones con las </w:t>
      </w:r>
      <w:r w:rsidRPr="00E00F43">
        <w:rPr>
          <w:rFonts w:ascii="Times New Roman" w:hAnsi="Times New Roman" w:cs="Times New Roman"/>
          <w:sz w:val="28"/>
          <w:szCs w:val="24"/>
          <w:lang w:val="es-ES"/>
        </w:rPr>
        <w:t>cuales se discutió y aprobó la Ley 2290 del 13 de febrero de 2023, el cumplimiento del anuncio de votación previsto en el artículo 160 de la Constitución y el cumplimiento de la publicación de que trata el artículo 161 de la Constitución Política</w:t>
      </w:r>
      <w:r w:rsidRPr="00E00F43">
        <w:rPr>
          <w:rFonts w:ascii="Times New Roman" w:hAnsi="Times New Roman" w:cs="Times New Roman"/>
          <w:sz w:val="28"/>
          <w:szCs w:val="24"/>
          <w:lang w:val="es-ES"/>
        </w:rPr>
        <w:t>,</w:t>
      </w:r>
      <w:r w:rsidRPr="00E00F43">
        <w:rPr>
          <w:rFonts w:ascii="Times New Roman" w:hAnsi="Times New Roman" w:cs="Times New Roman"/>
          <w:sz w:val="28"/>
          <w:szCs w:val="24"/>
          <w:lang w:val="es-ES"/>
        </w:rPr>
        <w:t xml:space="preserve"> y </w:t>
      </w:r>
      <w:r w:rsidRPr="00E00F43">
        <w:rPr>
          <w:rFonts w:ascii="Times New Roman" w:hAnsi="Times New Roman" w:cs="Times New Roman"/>
          <w:i/>
          <w:iCs/>
          <w:sz w:val="28"/>
          <w:szCs w:val="24"/>
          <w:lang w:val="es-ES"/>
        </w:rPr>
        <w:t xml:space="preserve">(ii) </w:t>
      </w:r>
      <w:r w:rsidRPr="00E00F43">
        <w:rPr>
          <w:rFonts w:ascii="Times New Roman" w:hAnsi="Times New Roman" w:cs="Times New Roman"/>
          <w:sz w:val="28"/>
          <w:szCs w:val="24"/>
          <w:lang w:val="es-ES"/>
        </w:rPr>
        <w:t>a</w:t>
      </w:r>
      <w:r w:rsidRPr="00E00F43">
        <w:rPr>
          <w:rFonts w:ascii="Times New Roman" w:hAnsi="Times New Roman" w:cs="Times New Roman"/>
          <w:sz w:val="28"/>
          <w:szCs w:val="24"/>
          <w:lang w:val="es-ES"/>
        </w:rPr>
        <w:t xml:space="preserve">l Ministerio de Relaciones Exteriores que certificara quiénes suscribieron, a nombre de Colombia, el instrumento internacional objeto de revisión, cuáles eran sus poderes y si sus actos fueron confirmados por el </w:t>
      </w:r>
      <w:r w:rsidRPr="00E00F43">
        <w:rPr>
          <w:rFonts w:ascii="Times New Roman" w:hAnsi="Times New Roman" w:cs="Times New Roman"/>
          <w:sz w:val="28"/>
          <w:szCs w:val="24"/>
          <w:lang w:val="es-ES"/>
        </w:rPr>
        <w:t>p</w:t>
      </w:r>
      <w:r w:rsidRPr="00E00F43">
        <w:rPr>
          <w:rFonts w:ascii="Times New Roman" w:hAnsi="Times New Roman" w:cs="Times New Roman"/>
          <w:sz w:val="28"/>
          <w:szCs w:val="24"/>
          <w:lang w:val="es-ES"/>
        </w:rPr>
        <w:t>residente de la República.</w:t>
      </w:r>
    </w:p>
    <w:p w:rsidR="00FF3AAB" w:rsidRPr="00E00F43" w:rsidRDefault="00E00F43" w:rsidP="00076EDF">
      <w:pPr>
        <w:pStyle w:val="Prrafodelista"/>
        <w:rPr>
          <w:rFonts w:ascii="Times New Roman" w:hAnsi="Times New Roman" w:cs="Times New Roman"/>
          <w:sz w:val="28"/>
          <w:szCs w:val="24"/>
          <w:lang w:val="es-ES"/>
        </w:rPr>
      </w:pPr>
    </w:p>
    <w:p w:rsidR="00FF3AAB" w:rsidRPr="00E00F43" w:rsidRDefault="00E00F43">
      <w:pPr>
        <w:pStyle w:val="Prrafodelista"/>
        <w:numPr>
          <w:ilvl w:val="0"/>
          <w:numId w:val="2"/>
        </w:numPr>
        <w:tabs>
          <w:tab w:val="left" w:pos="284"/>
        </w:tabs>
        <w:ind w:left="0" w:firstLine="0"/>
        <w:contextualSpacing/>
        <w:rPr>
          <w:rFonts w:ascii="Times New Roman" w:hAnsi="Times New Roman" w:cs="Times New Roman"/>
          <w:sz w:val="28"/>
          <w:szCs w:val="24"/>
          <w:lang w:val="es-ES"/>
        </w:rPr>
      </w:pPr>
      <w:r w:rsidRPr="00E00F43">
        <w:rPr>
          <w:rFonts w:ascii="Times New Roman" w:hAnsi="Times New Roman" w:cs="Times New Roman"/>
          <w:sz w:val="28"/>
          <w:szCs w:val="24"/>
          <w:lang w:val="es-ES"/>
        </w:rPr>
        <w:t xml:space="preserve">Además, ordenó </w:t>
      </w:r>
      <w:r w:rsidRPr="00E00F43">
        <w:rPr>
          <w:rFonts w:ascii="Times New Roman" w:hAnsi="Times New Roman" w:cs="Times New Roman"/>
          <w:i/>
          <w:iCs/>
          <w:sz w:val="28"/>
          <w:szCs w:val="24"/>
          <w:lang w:val="es-ES"/>
        </w:rPr>
        <w:t>(</w:t>
      </w:r>
      <w:r w:rsidRPr="00E00F43">
        <w:rPr>
          <w:rFonts w:ascii="Times New Roman" w:hAnsi="Times New Roman" w:cs="Times New Roman"/>
          <w:i/>
          <w:iCs/>
          <w:sz w:val="28"/>
          <w:szCs w:val="24"/>
          <w:lang w:val="es-ES"/>
        </w:rPr>
        <w:t>iii</w:t>
      </w:r>
      <w:r w:rsidRPr="00E00F43">
        <w:rPr>
          <w:rFonts w:ascii="Times New Roman" w:hAnsi="Times New Roman" w:cs="Times New Roman"/>
          <w:i/>
          <w:iCs/>
          <w:sz w:val="28"/>
          <w:szCs w:val="24"/>
          <w:lang w:val="es-ES"/>
        </w:rPr>
        <w:t>)</w:t>
      </w:r>
      <w:r w:rsidRPr="00E00F43">
        <w:rPr>
          <w:rFonts w:ascii="Times New Roman" w:hAnsi="Times New Roman" w:cs="Times New Roman"/>
          <w:sz w:val="28"/>
          <w:szCs w:val="24"/>
          <w:lang w:val="es-ES"/>
        </w:rPr>
        <w:t xml:space="preserve"> correr traslado por treinta (30) días a la </w:t>
      </w:r>
      <w:r w:rsidRPr="00E00F43">
        <w:rPr>
          <w:rFonts w:ascii="Times New Roman" w:hAnsi="Times New Roman" w:cs="Times New Roman"/>
          <w:sz w:val="28"/>
          <w:szCs w:val="24"/>
          <w:lang w:val="es-ES"/>
        </w:rPr>
        <w:t>p</w:t>
      </w:r>
      <w:r w:rsidRPr="00E00F43">
        <w:rPr>
          <w:rFonts w:ascii="Times New Roman" w:hAnsi="Times New Roman" w:cs="Times New Roman"/>
          <w:sz w:val="28"/>
          <w:szCs w:val="24"/>
          <w:lang w:val="es-ES"/>
        </w:rPr>
        <w:t xml:space="preserve">rocuradora </w:t>
      </w:r>
      <w:r w:rsidRPr="00E00F43">
        <w:rPr>
          <w:rFonts w:ascii="Times New Roman" w:hAnsi="Times New Roman" w:cs="Times New Roman"/>
          <w:sz w:val="28"/>
          <w:szCs w:val="24"/>
          <w:lang w:val="es-ES"/>
        </w:rPr>
        <w:t>g</w:t>
      </w:r>
      <w:r w:rsidRPr="00E00F43">
        <w:rPr>
          <w:rFonts w:ascii="Times New Roman" w:hAnsi="Times New Roman" w:cs="Times New Roman"/>
          <w:sz w:val="28"/>
          <w:szCs w:val="24"/>
          <w:lang w:val="es-ES"/>
        </w:rPr>
        <w:t xml:space="preserve">eneral de la </w:t>
      </w:r>
      <w:r w:rsidRPr="00E00F43">
        <w:rPr>
          <w:rFonts w:ascii="Times New Roman" w:hAnsi="Times New Roman" w:cs="Times New Roman"/>
          <w:sz w:val="28"/>
          <w:szCs w:val="24"/>
          <w:lang w:val="es-ES"/>
        </w:rPr>
        <w:t>n</w:t>
      </w:r>
      <w:r w:rsidRPr="00E00F43">
        <w:rPr>
          <w:rFonts w:ascii="Times New Roman" w:hAnsi="Times New Roman" w:cs="Times New Roman"/>
          <w:sz w:val="28"/>
          <w:szCs w:val="24"/>
          <w:lang w:val="es-ES"/>
        </w:rPr>
        <w:t xml:space="preserve">ación, una vez recibidas las pruebas; </w:t>
      </w:r>
      <w:r w:rsidRPr="00E00F43">
        <w:rPr>
          <w:rFonts w:ascii="Times New Roman" w:hAnsi="Times New Roman" w:cs="Times New Roman"/>
          <w:i/>
          <w:iCs/>
          <w:sz w:val="28"/>
          <w:szCs w:val="24"/>
          <w:lang w:val="es-ES"/>
        </w:rPr>
        <w:t>(i</w:t>
      </w:r>
      <w:r w:rsidRPr="00E00F43">
        <w:rPr>
          <w:rFonts w:ascii="Times New Roman" w:hAnsi="Times New Roman" w:cs="Times New Roman"/>
          <w:i/>
          <w:iCs/>
          <w:sz w:val="28"/>
          <w:szCs w:val="24"/>
          <w:lang w:val="es-ES"/>
        </w:rPr>
        <w:t>v</w:t>
      </w:r>
      <w:r w:rsidRPr="00E00F43">
        <w:rPr>
          <w:rFonts w:ascii="Times New Roman" w:hAnsi="Times New Roman" w:cs="Times New Roman"/>
          <w:i/>
          <w:iCs/>
          <w:sz w:val="28"/>
          <w:szCs w:val="24"/>
          <w:lang w:val="es-ES"/>
        </w:rPr>
        <w:t>)</w:t>
      </w:r>
      <w:r w:rsidRPr="00E00F43">
        <w:rPr>
          <w:rFonts w:ascii="Times New Roman" w:hAnsi="Times New Roman" w:cs="Times New Roman"/>
          <w:sz w:val="28"/>
          <w:szCs w:val="24"/>
          <w:lang w:val="es-ES"/>
        </w:rPr>
        <w:t xml:space="preserve"> simultáneamente fijar en lista el proceso durante el término de diez (10) días, para que cualquier ciudadano impugne o defienda la norma </w:t>
      </w:r>
      <w:r w:rsidRPr="00E00F43">
        <w:rPr>
          <w:rFonts w:ascii="Times New Roman" w:hAnsi="Times New Roman" w:cs="Times New Roman"/>
          <w:sz w:val="28"/>
          <w:szCs w:val="24"/>
          <w:lang w:val="es-ES"/>
        </w:rPr>
        <w:t xml:space="preserve">objeto de revisión, y </w:t>
      </w:r>
      <w:r w:rsidRPr="00E00F43">
        <w:rPr>
          <w:rFonts w:ascii="Times New Roman" w:hAnsi="Times New Roman" w:cs="Times New Roman"/>
          <w:i/>
          <w:iCs/>
          <w:sz w:val="28"/>
          <w:szCs w:val="24"/>
          <w:lang w:val="es-ES"/>
        </w:rPr>
        <w:t>(</w:t>
      </w:r>
      <w:r w:rsidRPr="00E00F43">
        <w:rPr>
          <w:rFonts w:ascii="Times New Roman" w:hAnsi="Times New Roman" w:cs="Times New Roman"/>
          <w:i/>
          <w:iCs/>
          <w:sz w:val="28"/>
          <w:szCs w:val="24"/>
          <w:lang w:val="es-ES"/>
        </w:rPr>
        <w:t>v</w:t>
      </w:r>
      <w:r w:rsidRPr="00E00F43">
        <w:rPr>
          <w:rFonts w:ascii="Times New Roman" w:hAnsi="Times New Roman" w:cs="Times New Roman"/>
          <w:i/>
          <w:iCs/>
          <w:sz w:val="28"/>
          <w:szCs w:val="24"/>
          <w:lang w:val="es-ES"/>
        </w:rPr>
        <w:t>)</w:t>
      </w:r>
      <w:r w:rsidRPr="00E00F43">
        <w:rPr>
          <w:rFonts w:ascii="Times New Roman" w:hAnsi="Times New Roman" w:cs="Times New Roman"/>
          <w:sz w:val="28"/>
          <w:szCs w:val="24"/>
          <w:lang w:val="es-ES"/>
        </w:rPr>
        <w:t xml:space="preserve"> comunicar la iniciación del proceso al </w:t>
      </w:r>
      <w:r w:rsidRPr="00E00F43">
        <w:rPr>
          <w:rFonts w:ascii="Times New Roman" w:hAnsi="Times New Roman" w:cs="Times New Roman"/>
          <w:sz w:val="28"/>
          <w:szCs w:val="24"/>
          <w:lang w:val="es-ES"/>
        </w:rPr>
        <w:t>p</w:t>
      </w:r>
      <w:r w:rsidRPr="00E00F43">
        <w:rPr>
          <w:rFonts w:ascii="Times New Roman" w:hAnsi="Times New Roman" w:cs="Times New Roman"/>
          <w:sz w:val="28"/>
          <w:szCs w:val="24"/>
          <w:lang w:val="es-ES"/>
        </w:rPr>
        <w:t>residente de la República y al Presidente del Congreso, para los fines del artículo 244 de la Constitución Política, así como al Ministro de Relaciones Exteriores, para los efectos señalados</w:t>
      </w:r>
      <w:r w:rsidRPr="00E00F43">
        <w:rPr>
          <w:rFonts w:ascii="Times New Roman" w:hAnsi="Times New Roman" w:cs="Times New Roman"/>
          <w:sz w:val="28"/>
          <w:szCs w:val="24"/>
          <w:lang w:val="es-ES"/>
        </w:rPr>
        <w:t xml:space="preserve"> en el artículo 11 del Decreto Ley 2067 de 1991.</w:t>
      </w:r>
    </w:p>
    <w:p w:rsidR="005E393F" w:rsidRPr="00E00F43" w:rsidRDefault="00E00F43" w:rsidP="00076EDF">
      <w:pPr>
        <w:pStyle w:val="Prrafodelista"/>
        <w:rPr>
          <w:rFonts w:ascii="Times New Roman" w:hAnsi="Times New Roman" w:cs="Times New Roman"/>
          <w:sz w:val="28"/>
          <w:szCs w:val="24"/>
          <w:lang w:val="es-ES"/>
        </w:rPr>
      </w:pPr>
    </w:p>
    <w:p w:rsidR="005E393F" w:rsidRPr="00E00F43" w:rsidRDefault="00E00F43">
      <w:pPr>
        <w:pStyle w:val="Prrafodelista"/>
        <w:numPr>
          <w:ilvl w:val="0"/>
          <w:numId w:val="2"/>
        </w:numPr>
        <w:tabs>
          <w:tab w:val="left" w:pos="284"/>
        </w:tabs>
        <w:ind w:left="0" w:firstLine="0"/>
        <w:contextualSpacing/>
        <w:rPr>
          <w:rFonts w:ascii="Times New Roman" w:hAnsi="Times New Roman" w:cs="Times New Roman"/>
          <w:sz w:val="28"/>
          <w:szCs w:val="24"/>
          <w:lang w:val="es-ES"/>
        </w:rPr>
      </w:pPr>
      <w:r w:rsidRPr="00E00F43">
        <w:rPr>
          <w:rFonts w:ascii="Times New Roman" w:hAnsi="Times New Roman" w:cs="Times New Roman"/>
          <w:sz w:val="28"/>
          <w:szCs w:val="24"/>
          <w:lang w:val="es-ES"/>
        </w:rPr>
        <w:t>Finalmente, p</w:t>
      </w:r>
      <w:r w:rsidRPr="00E00F43">
        <w:rPr>
          <w:rFonts w:ascii="Times New Roman" w:hAnsi="Times New Roman" w:cs="Times New Roman"/>
          <w:sz w:val="28"/>
          <w:szCs w:val="24"/>
          <w:lang w:val="es-ES"/>
        </w:rPr>
        <w:t xml:space="preserve">ara los efectos previstos en el artículo 13 del Decreto Ley 2067 de 1991, invitó a participar a las siguientes entidades e instituciones, con el objeto de que, en el término de </w:t>
      </w:r>
      <w:r w:rsidRPr="00E00F43">
        <w:rPr>
          <w:rFonts w:ascii="Times New Roman" w:hAnsi="Times New Roman" w:cs="Times New Roman"/>
          <w:sz w:val="28"/>
          <w:szCs w:val="24"/>
          <w:lang w:val="es-ES"/>
        </w:rPr>
        <w:t>diez (</w:t>
      </w:r>
      <w:r w:rsidRPr="00E00F43">
        <w:rPr>
          <w:rFonts w:ascii="Times New Roman" w:hAnsi="Times New Roman" w:cs="Times New Roman"/>
          <w:sz w:val="28"/>
          <w:szCs w:val="24"/>
          <w:lang w:val="es-ES"/>
        </w:rPr>
        <w:t>10</w:t>
      </w:r>
      <w:r w:rsidRPr="00E00F43">
        <w:rPr>
          <w:rFonts w:ascii="Times New Roman" w:hAnsi="Times New Roman" w:cs="Times New Roman"/>
          <w:sz w:val="28"/>
          <w:szCs w:val="24"/>
          <w:lang w:val="es-ES"/>
        </w:rPr>
        <w:t>)</w:t>
      </w:r>
      <w:r w:rsidRPr="00E00F43">
        <w:rPr>
          <w:rFonts w:ascii="Times New Roman" w:hAnsi="Times New Roman" w:cs="Times New Roman"/>
          <w:sz w:val="28"/>
          <w:szCs w:val="24"/>
          <w:lang w:val="es-ES"/>
        </w:rPr>
        <w:t xml:space="preserve"> días e</w:t>
      </w:r>
      <w:r w:rsidRPr="00E00F43">
        <w:rPr>
          <w:rFonts w:ascii="Times New Roman" w:hAnsi="Times New Roman" w:cs="Times New Roman"/>
          <w:sz w:val="28"/>
          <w:szCs w:val="24"/>
          <w:lang w:val="es-ES"/>
        </w:rPr>
        <w:t>mitieran concepto sobre la constitucionalidad de la Ley 2290 de 2023: la Agencia Nacional de Seguridad Vial, la Superintendencia de Transporte, el Ministerio de Industria y Comercio, la Superintendencia de Industria y Comercio, la Asociación Nacional de Em</w:t>
      </w:r>
      <w:r w:rsidRPr="00E00F43">
        <w:rPr>
          <w:rFonts w:ascii="Times New Roman" w:hAnsi="Times New Roman" w:cs="Times New Roman"/>
          <w:sz w:val="28"/>
          <w:szCs w:val="24"/>
          <w:lang w:val="es-ES"/>
        </w:rPr>
        <w:t>presarios de Colombia (ANDI), la Asociación del Sector Automotriz y sus Partes (Asopartes), y a las universidades Nacional de Colombia, de los Andes, Externado de Colombia, del Rosario, Eafit de Medellín, de Antioquia y del Norte</w:t>
      </w:r>
      <w:r w:rsidRPr="00E00F43">
        <w:rPr>
          <w:rFonts w:ascii="Times New Roman" w:hAnsi="Times New Roman" w:cs="Times New Roman"/>
          <w:sz w:val="28"/>
          <w:szCs w:val="24"/>
          <w:lang w:val="es-ES"/>
        </w:rPr>
        <w:t xml:space="preserve">. </w:t>
      </w:r>
    </w:p>
    <w:p w:rsidR="005E393F" w:rsidRPr="00E00F43" w:rsidRDefault="00E00F43" w:rsidP="00076EDF">
      <w:pPr>
        <w:pStyle w:val="Prrafodelista"/>
        <w:tabs>
          <w:tab w:val="left" w:pos="284"/>
        </w:tabs>
        <w:ind w:left="0"/>
        <w:contextualSpacing/>
        <w:rPr>
          <w:rFonts w:ascii="Times New Roman" w:hAnsi="Times New Roman" w:cs="Times New Roman"/>
          <w:sz w:val="28"/>
          <w:szCs w:val="24"/>
          <w:lang w:val="es-ES"/>
        </w:rPr>
      </w:pPr>
    </w:p>
    <w:p w:rsidR="009F7047" w:rsidRPr="00E00F43" w:rsidRDefault="00E00F43">
      <w:pPr>
        <w:pStyle w:val="Prrafodelista"/>
        <w:numPr>
          <w:ilvl w:val="0"/>
          <w:numId w:val="2"/>
        </w:numPr>
        <w:tabs>
          <w:tab w:val="left" w:pos="284"/>
        </w:tabs>
        <w:ind w:left="0" w:firstLine="0"/>
        <w:contextualSpacing/>
        <w:rPr>
          <w:rFonts w:ascii="Times New Roman" w:hAnsi="Times New Roman" w:cs="Times New Roman"/>
          <w:sz w:val="28"/>
          <w:szCs w:val="24"/>
          <w:lang w:val="es-ES"/>
        </w:rPr>
      </w:pPr>
      <w:r w:rsidRPr="00E00F43">
        <w:rPr>
          <w:rFonts w:ascii="Times New Roman" w:hAnsi="Times New Roman" w:cs="Times New Roman"/>
          <w:sz w:val="28"/>
          <w:szCs w:val="24"/>
          <w:lang w:val="es-ES"/>
        </w:rPr>
        <w:t>Posteriormente, a travé</w:t>
      </w:r>
      <w:r w:rsidRPr="00E00F43">
        <w:rPr>
          <w:rFonts w:ascii="Times New Roman" w:hAnsi="Times New Roman" w:cs="Times New Roman"/>
          <w:sz w:val="28"/>
          <w:szCs w:val="24"/>
          <w:lang w:val="es-ES"/>
        </w:rPr>
        <w:t xml:space="preserve">s de Auto del 31 de julio de 2023, la </w:t>
      </w:r>
      <w:r w:rsidRPr="00E00F43">
        <w:rPr>
          <w:rFonts w:ascii="Times New Roman" w:hAnsi="Times New Roman" w:cs="Times New Roman"/>
          <w:sz w:val="28"/>
          <w:szCs w:val="24"/>
          <w:lang w:val="es-ES"/>
        </w:rPr>
        <w:t>m</w:t>
      </w:r>
      <w:r w:rsidRPr="00E00F43">
        <w:rPr>
          <w:rFonts w:ascii="Times New Roman" w:hAnsi="Times New Roman" w:cs="Times New Roman"/>
          <w:sz w:val="28"/>
          <w:szCs w:val="24"/>
          <w:lang w:val="es-ES"/>
        </w:rPr>
        <w:t>agistrada sustanciadora insistió en los requerimientos probatorios previamente ordenados</w:t>
      </w:r>
      <w:r w:rsidRPr="00E00F43">
        <w:rPr>
          <w:rFonts w:ascii="Times New Roman" w:hAnsi="Times New Roman" w:cs="Times New Roman"/>
          <w:sz w:val="28"/>
          <w:szCs w:val="24"/>
          <w:lang w:val="es-ES"/>
        </w:rPr>
        <w:t>, para lo cual</w:t>
      </w:r>
      <w:r w:rsidRPr="00E00F43">
        <w:rPr>
          <w:rFonts w:ascii="Times New Roman" w:hAnsi="Times New Roman" w:cs="Times New Roman"/>
          <w:sz w:val="28"/>
          <w:szCs w:val="24"/>
          <w:lang w:val="es-ES"/>
        </w:rPr>
        <w:t xml:space="preserve"> </w:t>
      </w:r>
      <w:r w:rsidRPr="00E00F43">
        <w:rPr>
          <w:rFonts w:ascii="Times New Roman" w:hAnsi="Times New Roman" w:cs="Times New Roman"/>
          <w:sz w:val="28"/>
          <w:szCs w:val="24"/>
          <w:lang w:val="es-ES"/>
        </w:rPr>
        <w:t>a</w:t>
      </w:r>
      <w:r w:rsidRPr="00E00F43">
        <w:rPr>
          <w:rFonts w:ascii="Times New Roman" w:hAnsi="Times New Roman" w:cs="Times New Roman"/>
          <w:sz w:val="28"/>
          <w:szCs w:val="24"/>
          <w:lang w:val="es-ES"/>
        </w:rPr>
        <w:t xml:space="preserve">premió </w:t>
      </w:r>
      <w:r w:rsidRPr="00E00F43">
        <w:rPr>
          <w:rFonts w:ascii="Times New Roman" w:hAnsi="Times New Roman" w:cs="Times New Roman"/>
          <w:sz w:val="28"/>
          <w:szCs w:val="24"/>
          <w:lang w:val="es-ES"/>
        </w:rPr>
        <w:t>a los secretarios generales de la Cámara de Representantes y del Senado de la República para que allegaran</w:t>
      </w:r>
      <w:r w:rsidRPr="00E00F43">
        <w:rPr>
          <w:rFonts w:ascii="Times New Roman" w:hAnsi="Times New Roman" w:cs="Times New Roman"/>
          <w:sz w:val="28"/>
          <w:szCs w:val="24"/>
          <w:lang w:val="es-ES"/>
        </w:rPr>
        <w:t xml:space="preserve"> la información</w:t>
      </w:r>
      <w:r w:rsidRPr="00E00F43">
        <w:rPr>
          <w:rFonts w:ascii="Times New Roman" w:hAnsi="Times New Roman" w:cs="Times New Roman"/>
          <w:sz w:val="28"/>
          <w:szCs w:val="24"/>
          <w:lang w:val="es-ES"/>
        </w:rPr>
        <w:t xml:space="preserve"> del trámite legislativo y las certificaciones debidas</w:t>
      </w:r>
      <w:r w:rsidRPr="00E00F43">
        <w:rPr>
          <w:rStyle w:val="Refdenotaalpie"/>
          <w:rFonts w:ascii="Times New Roman" w:hAnsi="Times New Roman"/>
          <w:sz w:val="28"/>
          <w:szCs w:val="24"/>
          <w:lang w:val="es-ES"/>
        </w:rPr>
        <w:footnoteReference w:id="1"/>
      </w:r>
      <w:r w:rsidRPr="00E00F43">
        <w:rPr>
          <w:rFonts w:ascii="Times New Roman" w:hAnsi="Times New Roman" w:cs="Times New Roman"/>
          <w:sz w:val="28"/>
          <w:szCs w:val="24"/>
          <w:lang w:val="es-ES"/>
        </w:rPr>
        <w:t>.</w:t>
      </w:r>
      <w:r w:rsidRPr="00E00F43">
        <w:rPr>
          <w:rFonts w:ascii="Times New Roman" w:hAnsi="Times New Roman" w:cs="Times New Roman"/>
          <w:sz w:val="28"/>
          <w:szCs w:val="24"/>
          <w:lang w:val="es-ES"/>
        </w:rPr>
        <w:t xml:space="preserve"> </w:t>
      </w:r>
    </w:p>
    <w:p w:rsidR="009F7047" w:rsidRPr="00E00F43" w:rsidRDefault="00E00F43" w:rsidP="00076EDF">
      <w:pPr>
        <w:spacing w:after="0"/>
        <w:rPr>
          <w:rFonts w:ascii="Times New Roman" w:hAnsi="Times New Roman" w:cs="Times New Roman"/>
          <w:sz w:val="28"/>
          <w:lang w:val="es-ES"/>
        </w:rPr>
      </w:pPr>
    </w:p>
    <w:p w:rsidR="009B2FD3" w:rsidRPr="00E00F43" w:rsidRDefault="00E00F43">
      <w:pPr>
        <w:pStyle w:val="Prrafodelista"/>
        <w:numPr>
          <w:ilvl w:val="0"/>
          <w:numId w:val="2"/>
        </w:numPr>
        <w:tabs>
          <w:tab w:val="left" w:pos="284"/>
        </w:tabs>
        <w:ind w:left="0" w:firstLine="0"/>
        <w:contextualSpacing/>
        <w:rPr>
          <w:rFonts w:ascii="Times New Roman" w:hAnsi="Times New Roman" w:cs="Times New Roman"/>
          <w:sz w:val="28"/>
          <w:szCs w:val="24"/>
          <w:lang w:val="es-ES"/>
        </w:rPr>
      </w:pPr>
      <w:r w:rsidRPr="00E00F43">
        <w:rPr>
          <w:rFonts w:ascii="Times New Roman" w:hAnsi="Times New Roman" w:cs="Times New Roman"/>
          <w:sz w:val="28"/>
          <w:szCs w:val="24"/>
          <w:lang w:val="es-ES"/>
        </w:rPr>
        <w:t xml:space="preserve">El 12 de octubre de 2023, recibidas y calificadas las pruebas decretadas, la </w:t>
      </w:r>
      <w:r w:rsidRPr="00E00F43">
        <w:rPr>
          <w:rFonts w:ascii="Times New Roman" w:hAnsi="Times New Roman" w:cs="Times New Roman"/>
          <w:sz w:val="28"/>
          <w:szCs w:val="24"/>
          <w:lang w:val="es-ES"/>
        </w:rPr>
        <w:t>m</w:t>
      </w:r>
      <w:r w:rsidRPr="00E00F43">
        <w:rPr>
          <w:rFonts w:ascii="Times New Roman" w:hAnsi="Times New Roman" w:cs="Times New Roman"/>
          <w:sz w:val="28"/>
          <w:szCs w:val="24"/>
          <w:lang w:val="es-ES"/>
        </w:rPr>
        <w:t xml:space="preserve">agistrada sustanciadora remitió el expediente a la Secretaría General de la Corte para continuar con el </w:t>
      </w:r>
      <w:r w:rsidRPr="00E00F43">
        <w:rPr>
          <w:rFonts w:ascii="Times New Roman" w:hAnsi="Times New Roman" w:cs="Times New Roman"/>
          <w:sz w:val="28"/>
          <w:szCs w:val="24"/>
          <w:lang w:val="es-ES"/>
        </w:rPr>
        <w:t>trámite respectivo, de conformidad con lo previsto en el mencionado auto. No obstante, dado que a</w:t>
      </w:r>
      <w:r w:rsidRPr="00E00F43">
        <w:rPr>
          <w:rFonts w:ascii="Times New Roman" w:hAnsi="Times New Roman" w:cs="Times New Roman"/>
          <w:sz w:val="28"/>
          <w:szCs w:val="24"/>
          <w:lang w:val="es-ES"/>
        </w:rPr>
        <w:t xml:space="preserve"> esa</w:t>
      </w:r>
      <w:r w:rsidRPr="00E00F43">
        <w:rPr>
          <w:rFonts w:ascii="Times New Roman" w:hAnsi="Times New Roman" w:cs="Times New Roman"/>
          <w:sz w:val="28"/>
          <w:szCs w:val="24"/>
          <w:lang w:val="es-ES"/>
        </w:rPr>
        <w:t xml:space="preserve"> fecha aún no había sido posible obtener copia </w:t>
      </w:r>
      <w:r w:rsidRPr="00E00F43">
        <w:rPr>
          <w:rFonts w:ascii="Times New Roman" w:hAnsi="Times New Roman" w:cs="Times New Roman"/>
          <w:sz w:val="28"/>
          <w:szCs w:val="24"/>
          <w:lang w:val="es-ES"/>
        </w:rPr>
        <w:t xml:space="preserve">de las </w:t>
      </w:r>
      <w:r w:rsidRPr="00E00F43">
        <w:rPr>
          <w:rFonts w:ascii="Times New Roman" w:hAnsi="Times New Roman" w:cs="Times New Roman"/>
          <w:sz w:val="28"/>
          <w:szCs w:val="24"/>
          <w:lang w:val="es-ES"/>
        </w:rPr>
        <w:t>g</w:t>
      </w:r>
      <w:r w:rsidRPr="00E00F43">
        <w:rPr>
          <w:rFonts w:ascii="Times New Roman" w:hAnsi="Times New Roman" w:cs="Times New Roman"/>
          <w:sz w:val="28"/>
          <w:szCs w:val="24"/>
          <w:lang w:val="es-ES"/>
        </w:rPr>
        <w:t>acetas del Congreso contentivas de (i) la exposición de motivos; (ii) el informe de ponencia para pr</w:t>
      </w:r>
      <w:r w:rsidRPr="00E00F43">
        <w:rPr>
          <w:rFonts w:ascii="Times New Roman" w:hAnsi="Times New Roman" w:cs="Times New Roman"/>
          <w:sz w:val="28"/>
          <w:szCs w:val="24"/>
          <w:lang w:val="es-ES"/>
        </w:rPr>
        <w:t xml:space="preserve">imer debate en la </w:t>
      </w:r>
      <w:r w:rsidRPr="00E00F43">
        <w:rPr>
          <w:rFonts w:ascii="Times New Roman" w:hAnsi="Times New Roman" w:cs="Times New Roman"/>
          <w:sz w:val="28"/>
          <w:szCs w:val="24"/>
          <w:lang w:val="es-ES"/>
        </w:rPr>
        <w:t>c</w:t>
      </w:r>
      <w:r w:rsidRPr="00E00F43">
        <w:rPr>
          <w:rFonts w:ascii="Times New Roman" w:hAnsi="Times New Roman" w:cs="Times New Roman"/>
          <w:sz w:val="28"/>
          <w:szCs w:val="24"/>
          <w:lang w:val="es-ES"/>
        </w:rPr>
        <w:t xml:space="preserve">omisión </w:t>
      </w:r>
      <w:r w:rsidRPr="00E00F43">
        <w:rPr>
          <w:rFonts w:ascii="Times New Roman" w:hAnsi="Times New Roman" w:cs="Times New Roman"/>
          <w:sz w:val="28"/>
          <w:szCs w:val="24"/>
          <w:lang w:val="es-ES"/>
        </w:rPr>
        <w:t>s</w:t>
      </w:r>
      <w:r w:rsidRPr="00E00F43">
        <w:rPr>
          <w:rFonts w:ascii="Times New Roman" w:hAnsi="Times New Roman" w:cs="Times New Roman"/>
          <w:sz w:val="28"/>
          <w:szCs w:val="24"/>
          <w:lang w:val="es-ES"/>
        </w:rPr>
        <w:t xml:space="preserve">egunda del Senado de la República; (iii) la publicación del texto aprobado en la </w:t>
      </w:r>
      <w:r w:rsidRPr="00E00F43">
        <w:rPr>
          <w:rFonts w:ascii="Times New Roman" w:hAnsi="Times New Roman" w:cs="Times New Roman"/>
          <w:sz w:val="28"/>
          <w:szCs w:val="24"/>
          <w:lang w:val="es-ES"/>
        </w:rPr>
        <w:t>c</w:t>
      </w:r>
      <w:r w:rsidRPr="00E00F43">
        <w:rPr>
          <w:rFonts w:ascii="Times New Roman" w:hAnsi="Times New Roman" w:cs="Times New Roman"/>
          <w:sz w:val="28"/>
          <w:szCs w:val="24"/>
          <w:lang w:val="es-ES"/>
        </w:rPr>
        <w:t xml:space="preserve">omisión </w:t>
      </w:r>
      <w:r w:rsidRPr="00E00F43">
        <w:rPr>
          <w:rFonts w:ascii="Times New Roman" w:hAnsi="Times New Roman" w:cs="Times New Roman"/>
          <w:sz w:val="28"/>
          <w:szCs w:val="24"/>
          <w:lang w:val="es-ES"/>
        </w:rPr>
        <w:t>s</w:t>
      </w:r>
      <w:r w:rsidRPr="00E00F43">
        <w:rPr>
          <w:rFonts w:ascii="Times New Roman" w:hAnsi="Times New Roman" w:cs="Times New Roman"/>
          <w:sz w:val="28"/>
          <w:szCs w:val="24"/>
          <w:lang w:val="es-ES"/>
        </w:rPr>
        <w:t xml:space="preserve">egunda del Senado de la República; (iv) el informe de ponencia para segundo debate en la </w:t>
      </w:r>
      <w:r w:rsidRPr="00E00F43">
        <w:rPr>
          <w:rFonts w:ascii="Times New Roman" w:hAnsi="Times New Roman" w:cs="Times New Roman"/>
          <w:sz w:val="28"/>
          <w:szCs w:val="24"/>
          <w:lang w:val="es-ES"/>
        </w:rPr>
        <w:t>p</w:t>
      </w:r>
      <w:r w:rsidRPr="00E00F43">
        <w:rPr>
          <w:rFonts w:ascii="Times New Roman" w:hAnsi="Times New Roman" w:cs="Times New Roman"/>
          <w:sz w:val="28"/>
          <w:szCs w:val="24"/>
          <w:lang w:val="es-ES"/>
        </w:rPr>
        <w:t>lenaria del Senado de la República</w:t>
      </w:r>
      <w:r w:rsidRPr="00E00F43">
        <w:rPr>
          <w:rFonts w:ascii="Times New Roman" w:hAnsi="Times New Roman" w:cs="Times New Roman"/>
          <w:sz w:val="28"/>
          <w:szCs w:val="24"/>
          <w:lang w:val="es-ES"/>
        </w:rPr>
        <w:t>,</w:t>
      </w:r>
      <w:r w:rsidRPr="00E00F43">
        <w:rPr>
          <w:rFonts w:ascii="Times New Roman" w:hAnsi="Times New Roman" w:cs="Times New Roman"/>
          <w:sz w:val="28"/>
          <w:szCs w:val="24"/>
          <w:lang w:val="es-ES"/>
        </w:rPr>
        <w:t xml:space="preserve"> y (v) la pu</w:t>
      </w:r>
      <w:r w:rsidRPr="00E00F43">
        <w:rPr>
          <w:rFonts w:ascii="Times New Roman" w:hAnsi="Times New Roman" w:cs="Times New Roman"/>
          <w:sz w:val="28"/>
          <w:szCs w:val="24"/>
          <w:lang w:val="es-ES"/>
        </w:rPr>
        <w:t xml:space="preserve">blicación del texto aprobado en la plenaria del Senado de la República, se dispuso tener como prueba los enlaces disponibles en la página web de la Imprenta Nacional, </w:t>
      </w:r>
      <w:r w:rsidRPr="00E00F43">
        <w:rPr>
          <w:rFonts w:ascii="Times New Roman" w:hAnsi="Times New Roman" w:cs="Times New Roman"/>
          <w:sz w:val="28"/>
          <w:szCs w:val="24"/>
          <w:lang w:val="es-ES"/>
        </w:rPr>
        <w:t xml:space="preserve">en los que es posible acceder a </w:t>
      </w:r>
      <w:r w:rsidRPr="00E00F43">
        <w:rPr>
          <w:rFonts w:ascii="Times New Roman" w:hAnsi="Times New Roman" w:cs="Times New Roman"/>
          <w:sz w:val="28"/>
          <w:szCs w:val="24"/>
          <w:lang w:val="es-ES"/>
        </w:rPr>
        <w:t xml:space="preserve">dicha documentación. </w:t>
      </w:r>
      <w:r w:rsidRPr="00E00F43">
        <w:rPr>
          <w:rFonts w:ascii="Times New Roman" w:hAnsi="Times New Roman" w:cs="Times New Roman"/>
          <w:sz w:val="28"/>
          <w:szCs w:val="24"/>
          <w:lang w:val="es-ES"/>
        </w:rPr>
        <w:t>Así, el 18 de octubre de 2022, la Se</w:t>
      </w:r>
      <w:r w:rsidRPr="00E00F43">
        <w:rPr>
          <w:rFonts w:ascii="Times New Roman" w:hAnsi="Times New Roman" w:cs="Times New Roman"/>
          <w:sz w:val="28"/>
          <w:szCs w:val="24"/>
          <w:lang w:val="es-ES"/>
        </w:rPr>
        <w:t>cretaría General de la Corte Constitucional fijó en lista el presente proceso por el término de diez (10) días.</w:t>
      </w:r>
    </w:p>
    <w:p w:rsidR="00E5377E" w:rsidRPr="00E00F43" w:rsidRDefault="00E00F43" w:rsidP="00E5377E">
      <w:pPr>
        <w:pStyle w:val="Prrafodelista"/>
        <w:tabs>
          <w:tab w:val="left" w:pos="284"/>
        </w:tabs>
        <w:ind w:left="0"/>
        <w:contextualSpacing/>
        <w:rPr>
          <w:rFonts w:ascii="Times New Roman" w:hAnsi="Times New Roman" w:cs="Times New Roman"/>
          <w:sz w:val="28"/>
          <w:szCs w:val="24"/>
          <w:lang w:val="es-ES"/>
        </w:rPr>
      </w:pPr>
    </w:p>
    <w:p w:rsidR="007C23EE" w:rsidRPr="00E00F43" w:rsidRDefault="00E00F43">
      <w:pPr>
        <w:pStyle w:val="Prrafodelista"/>
        <w:numPr>
          <w:ilvl w:val="0"/>
          <w:numId w:val="2"/>
        </w:numPr>
        <w:tabs>
          <w:tab w:val="left" w:pos="284"/>
        </w:tabs>
        <w:ind w:left="0" w:firstLine="0"/>
        <w:contextualSpacing/>
        <w:rPr>
          <w:rFonts w:ascii="Times New Roman" w:hAnsi="Times New Roman" w:cs="Times New Roman"/>
          <w:sz w:val="28"/>
          <w:szCs w:val="24"/>
          <w:lang w:val="es-ES"/>
        </w:rPr>
      </w:pPr>
      <w:r w:rsidRPr="00E00F43">
        <w:rPr>
          <w:rFonts w:ascii="Times New Roman" w:hAnsi="Times New Roman" w:cs="Times New Roman"/>
          <w:sz w:val="28"/>
          <w:szCs w:val="24"/>
          <w:lang w:val="es-ES"/>
        </w:rPr>
        <w:t xml:space="preserve">Cumplidos los trámites constitucionales y legales propios de esta clase de juicios, y previo concepto de la </w:t>
      </w:r>
      <w:r w:rsidRPr="00E00F43">
        <w:rPr>
          <w:rFonts w:ascii="Times New Roman" w:hAnsi="Times New Roman" w:cs="Times New Roman"/>
          <w:sz w:val="28"/>
          <w:szCs w:val="24"/>
          <w:lang w:val="es-ES"/>
        </w:rPr>
        <w:t>p</w:t>
      </w:r>
      <w:r w:rsidRPr="00E00F43">
        <w:rPr>
          <w:rFonts w:ascii="Times New Roman" w:hAnsi="Times New Roman" w:cs="Times New Roman"/>
          <w:sz w:val="28"/>
          <w:szCs w:val="24"/>
          <w:lang w:val="es-ES"/>
        </w:rPr>
        <w:t xml:space="preserve">rocuradora </w:t>
      </w:r>
      <w:r w:rsidRPr="00E00F43">
        <w:rPr>
          <w:rFonts w:ascii="Times New Roman" w:hAnsi="Times New Roman" w:cs="Times New Roman"/>
          <w:sz w:val="28"/>
          <w:szCs w:val="24"/>
          <w:lang w:val="es-ES"/>
        </w:rPr>
        <w:t>g</w:t>
      </w:r>
      <w:r w:rsidRPr="00E00F43">
        <w:rPr>
          <w:rFonts w:ascii="Times New Roman" w:hAnsi="Times New Roman" w:cs="Times New Roman"/>
          <w:sz w:val="28"/>
          <w:szCs w:val="24"/>
          <w:lang w:val="es-ES"/>
        </w:rPr>
        <w:t xml:space="preserve">eneral de la </w:t>
      </w:r>
      <w:r w:rsidRPr="00E00F43">
        <w:rPr>
          <w:rFonts w:ascii="Times New Roman" w:hAnsi="Times New Roman" w:cs="Times New Roman"/>
          <w:sz w:val="28"/>
          <w:szCs w:val="24"/>
          <w:lang w:val="es-ES"/>
        </w:rPr>
        <w:t>n</w:t>
      </w:r>
      <w:r w:rsidRPr="00E00F43">
        <w:rPr>
          <w:rFonts w:ascii="Times New Roman" w:hAnsi="Times New Roman" w:cs="Times New Roman"/>
          <w:sz w:val="28"/>
          <w:szCs w:val="24"/>
          <w:lang w:val="es-ES"/>
        </w:rPr>
        <w:t>ación, p</w:t>
      </w:r>
      <w:r w:rsidRPr="00E00F43">
        <w:rPr>
          <w:rFonts w:ascii="Times New Roman" w:hAnsi="Times New Roman" w:cs="Times New Roman"/>
          <w:sz w:val="28"/>
          <w:szCs w:val="24"/>
          <w:lang w:val="es-ES"/>
        </w:rPr>
        <w:t>rocede la Corte a realizar el estudio de constitucionalidad del instrumento internacional y de su ley aprobatoria.</w:t>
      </w:r>
    </w:p>
    <w:p w:rsidR="00E5377E" w:rsidRPr="00E00F43" w:rsidRDefault="00E00F43" w:rsidP="00A16E54">
      <w:pPr>
        <w:pStyle w:val="Ttulo"/>
        <w:numPr>
          <w:ilvl w:val="0"/>
          <w:numId w:val="0"/>
        </w:numPr>
        <w:rPr>
          <w:rFonts w:ascii="Times New Roman" w:hAnsi="Times New Roman" w:cs="Times New Roman"/>
          <w:b/>
          <w:bCs/>
          <w:sz w:val="28"/>
        </w:rPr>
      </w:pPr>
    </w:p>
    <w:p w:rsidR="00A1651C" w:rsidRPr="00E00F43" w:rsidRDefault="00E00F43">
      <w:pPr>
        <w:pStyle w:val="Ttulo"/>
        <w:numPr>
          <w:ilvl w:val="0"/>
          <w:numId w:val="7"/>
        </w:numPr>
        <w:ind w:left="0" w:firstLine="0"/>
        <w:rPr>
          <w:rFonts w:ascii="Times New Roman" w:hAnsi="Times New Roman" w:cs="Times New Roman"/>
          <w:b/>
          <w:bCs/>
          <w:sz w:val="28"/>
        </w:rPr>
      </w:pPr>
      <w:r w:rsidRPr="00E00F43">
        <w:rPr>
          <w:rFonts w:ascii="Times New Roman" w:hAnsi="Times New Roman" w:cs="Times New Roman"/>
          <w:b/>
          <w:bCs/>
          <w:sz w:val="28"/>
        </w:rPr>
        <w:t>TEXTO DE LA NORMA BAJO EXAMEN</w:t>
      </w:r>
    </w:p>
    <w:p w:rsidR="00C148F8" w:rsidRPr="00E00F43" w:rsidRDefault="00E00F43" w:rsidP="00352CE7">
      <w:pPr>
        <w:pStyle w:val="Prrafodelista"/>
        <w:contextualSpacing/>
        <w:rPr>
          <w:rFonts w:ascii="Times New Roman" w:hAnsi="Times New Roman" w:cs="Times New Roman"/>
          <w:sz w:val="28"/>
          <w:szCs w:val="24"/>
          <w:lang w:val="es-ES"/>
        </w:rPr>
      </w:pPr>
    </w:p>
    <w:p w:rsidR="00FC7453" w:rsidRPr="00E00F43" w:rsidRDefault="00E00F43">
      <w:pPr>
        <w:pStyle w:val="Prrafodelista"/>
        <w:numPr>
          <w:ilvl w:val="0"/>
          <w:numId w:val="2"/>
        </w:numPr>
        <w:tabs>
          <w:tab w:val="left" w:pos="426"/>
        </w:tabs>
        <w:ind w:left="0" w:firstLine="0"/>
        <w:contextualSpacing/>
        <w:rPr>
          <w:rFonts w:ascii="Times New Roman" w:hAnsi="Times New Roman" w:cs="Times New Roman"/>
          <w:i/>
          <w:sz w:val="28"/>
          <w:szCs w:val="24"/>
          <w:lang w:val="es-ES"/>
        </w:rPr>
      </w:pPr>
      <w:r w:rsidRPr="00E00F43">
        <w:rPr>
          <w:rFonts w:ascii="Times New Roman" w:hAnsi="Times New Roman" w:cs="Times New Roman"/>
          <w:sz w:val="28"/>
          <w:szCs w:val="24"/>
          <w:lang w:val="es-ES" w:eastAsia="es-MX"/>
        </w:rPr>
        <w:t xml:space="preserve"> </w:t>
      </w:r>
      <w:r w:rsidRPr="00E00F43">
        <w:rPr>
          <w:rFonts w:ascii="Times New Roman" w:hAnsi="Times New Roman" w:cs="Times New Roman"/>
          <w:sz w:val="28"/>
          <w:szCs w:val="24"/>
          <w:lang w:val="es-ES" w:eastAsia="es-MX"/>
        </w:rPr>
        <w:t>La</w:t>
      </w:r>
      <w:r w:rsidRPr="00E00F43">
        <w:rPr>
          <w:rFonts w:ascii="Times New Roman" w:hAnsi="Times New Roman" w:cs="Times New Roman"/>
          <w:i/>
          <w:sz w:val="28"/>
          <w:szCs w:val="24"/>
          <w:lang w:val="es-ES"/>
        </w:rPr>
        <w:t xml:space="preserve"> </w:t>
      </w:r>
      <w:r w:rsidRPr="00E00F43">
        <w:rPr>
          <w:rFonts w:ascii="Times New Roman" w:hAnsi="Times New Roman" w:cs="Times New Roman"/>
          <w:iCs/>
          <w:sz w:val="28"/>
          <w:szCs w:val="24"/>
          <w:lang w:val="es-ES"/>
        </w:rPr>
        <w:t>Ley 2290 del 13 de febrero de 2023,</w:t>
      </w:r>
      <w:r w:rsidRPr="00E00F43">
        <w:rPr>
          <w:rFonts w:ascii="Times New Roman" w:hAnsi="Times New Roman" w:cs="Times New Roman"/>
          <w:i/>
          <w:sz w:val="28"/>
          <w:szCs w:val="24"/>
          <w:lang w:val="es-ES"/>
        </w:rPr>
        <w:t xml:space="preserve"> </w:t>
      </w:r>
      <w:r w:rsidRPr="00E00F43">
        <w:rPr>
          <w:rFonts w:ascii="Times New Roman" w:hAnsi="Times New Roman" w:cs="Times New Roman"/>
          <w:iCs/>
          <w:sz w:val="28"/>
          <w:szCs w:val="24"/>
          <w:lang w:val="es-ES"/>
        </w:rPr>
        <w:t>p</w:t>
      </w:r>
      <w:r w:rsidRPr="00E00F43">
        <w:rPr>
          <w:rFonts w:ascii="Times New Roman" w:hAnsi="Times New Roman" w:cs="Times New Roman"/>
          <w:iCs/>
          <w:sz w:val="28"/>
          <w:szCs w:val="24"/>
          <w:lang w:val="es-ES"/>
        </w:rPr>
        <w:t>or medio de la cual se aprueba el ‘Acuerdo Relativo a la Adopción de</w:t>
      </w:r>
      <w:r w:rsidRPr="00E00F43">
        <w:rPr>
          <w:rFonts w:ascii="Times New Roman" w:hAnsi="Times New Roman" w:cs="Times New Roman"/>
          <w:iCs/>
          <w:sz w:val="28"/>
          <w:szCs w:val="24"/>
          <w:lang w:val="es-ES"/>
        </w:rPr>
        <w:t xml:space="preserve"> Reglamentos Técnicos Armonizados de las Naciones Unidas aplicables a los vehículos de ruedas y los equipos y piezas que puedan montarse o utilizarse en estos, y sobre las condiciones de reconocimiento recíproco de las homologaciones concedidas conforme a </w:t>
      </w:r>
      <w:r w:rsidRPr="00E00F43">
        <w:rPr>
          <w:rFonts w:ascii="Times New Roman" w:hAnsi="Times New Roman" w:cs="Times New Roman"/>
          <w:iCs/>
          <w:sz w:val="28"/>
          <w:szCs w:val="24"/>
          <w:lang w:val="es-ES"/>
        </w:rPr>
        <w:t>dichos reglamentos de las Naciones Unidas’, suscrito en Ginebra, el 20 de marzo de 1958</w:t>
      </w:r>
      <w:r w:rsidRPr="00E00F43">
        <w:rPr>
          <w:rFonts w:ascii="Times New Roman" w:hAnsi="Times New Roman" w:cs="Times New Roman"/>
          <w:iCs/>
          <w:sz w:val="28"/>
          <w:szCs w:val="24"/>
          <w:lang w:val="es-ES"/>
        </w:rPr>
        <w:t>,</w:t>
      </w:r>
      <w:r w:rsidRPr="00E00F43">
        <w:rPr>
          <w:rFonts w:ascii="Times New Roman" w:hAnsi="Times New Roman" w:cs="Times New Roman"/>
          <w:iCs/>
          <w:sz w:val="28"/>
          <w:szCs w:val="24"/>
          <w:lang w:val="es-ES"/>
        </w:rPr>
        <w:t xml:space="preserve"> se encuentra integrada por </w:t>
      </w:r>
      <w:r w:rsidRPr="00E00F43">
        <w:rPr>
          <w:rFonts w:ascii="Times New Roman" w:hAnsi="Times New Roman" w:cs="Times New Roman"/>
          <w:iCs/>
          <w:sz w:val="28"/>
          <w:szCs w:val="24"/>
          <w:lang w:val="es-ES"/>
        </w:rPr>
        <w:t xml:space="preserve">tres artículos, cuyo contenido es el siguiente: </w:t>
      </w:r>
    </w:p>
    <w:p w:rsidR="00FC7453" w:rsidRPr="00E00F43" w:rsidRDefault="00E00F43" w:rsidP="00FC7453">
      <w:pPr>
        <w:tabs>
          <w:tab w:val="left" w:pos="426"/>
        </w:tabs>
        <w:spacing w:after="0"/>
        <w:contextualSpacing/>
        <w:rPr>
          <w:rFonts w:ascii="Times New Roman" w:hAnsi="Times New Roman" w:cs="Times New Roman"/>
          <w:i/>
          <w:sz w:val="28"/>
          <w:szCs w:val="24"/>
          <w:lang w:val="es-ES"/>
        </w:rPr>
      </w:pPr>
    </w:p>
    <w:p w:rsidR="00FC7453" w:rsidRPr="00E00F43" w:rsidRDefault="00E00F43" w:rsidP="00FC7453">
      <w:pPr>
        <w:tabs>
          <w:tab w:val="left" w:pos="426"/>
        </w:tabs>
        <w:spacing w:after="0"/>
        <w:ind w:left="709" w:right="335"/>
        <w:contextualSpacing/>
        <w:rPr>
          <w:rFonts w:ascii="Times New Roman" w:hAnsi="Times New Roman" w:cs="Times New Roman"/>
          <w:iCs/>
          <w:sz w:val="28"/>
          <w:lang w:val="es-ES"/>
        </w:rPr>
      </w:pPr>
      <w:r w:rsidRPr="00E00F43">
        <w:rPr>
          <w:rFonts w:ascii="Times New Roman" w:hAnsi="Times New Roman" w:cs="Times New Roman"/>
          <w:iCs/>
          <w:sz w:val="28"/>
          <w:lang w:val="es-ES"/>
        </w:rPr>
        <w:t>«</w:t>
      </w:r>
      <w:r w:rsidRPr="00E00F43">
        <w:rPr>
          <w:rFonts w:ascii="Times New Roman" w:hAnsi="Times New Roman" w:cs="Times New Roman"/>
          <w:b/>
          <w:bCs/>
          <w:iCs/>
          <w:sz w:val="28"/>
          <w:lang w:val="es-ES"/>
        </w:rPr>
        <w:t>Artículo primero.</w:t>
      </w:r>
      <w:r w:rsidRPr="00E00F43">
        <w:rPr>
          <w:rFonts w:ascii="Times New Roman" w:hAnsi="Times New Roman" w:cs="Times New Roman"/>
          <w:iCs/>
          <w:sz w:val="28"/>
          <w:lang w:val="es-ES"/>
        </w:rPr>
        <w:t> Apruébese el </w:t>
      </w:r>
      <w:r w:rsidRPr="00E00F43">
        <w:rPr>
          <w:rFonts w:ascii="Times New Roman" w:hAnsi="Times New Roman" w:cs="Times New Roman"/>
          <w:i/>
          <w:iCs/>
          <w:sz w:val="28"/>
          <w:lang w:val="es-ES"/>
        </w:rPr>
        <w:t>‘</w:t>
      </w:r>
      <w:r w:rsidRPr="00E00F43">
        <w:rPr>
          <w:rFonts w:ascii="Times New Roman" w:hAnsi="Times New Roman" w:cs="Times New Roman"/>
          <w:i/>
          <w:iCs/>
          <w:sz w:val="28"/>
          <w:lang w:val="es-ES"/>
        </w:rPr>
        <w:t xml:space="preserve">Acuerdo relativo a la adopción de reglamentos técnicos </w:t>
      </w:r>
      <w:r w:rsidRPr="00E00F43">
        <w:rPr>
          <w:rFonts w:ascii="Times New Roman" w:hAnsi="Times New Roman" w:cs="Times New Roman"/>
          <w:i/>
          <w:iCs/>
          <w:sz w:val="28"/>
          <w:lang w:val="es-ES"/>
        </w:rPr>
        <w:t xml:space="preserve">armonizados de las Naciones Unidas aplicables a los vehículos de ruedas y los equipos y piezas que puedan montarse o utilizarse en estos, y sobre las condiciones de reconocimiento recíproco de las homologaciones concedidas conforme a dichos reglamentos de </w:t>
      </w:r>
      <w:r w:rsidRPr="00E00F43">
        <w:rPr>
          <w:rFonts w:ascii="Times New Roman" w:hAnsi="Times New Roman" w:cs="Times New Roman"/>
          <w:i/>
          <w:iCs/>
          <w:sz w:val="28"/>
          <w:lang w:val="es-ES"/>
        </w:rPr>
        <w:t>las Naciones Unidas</w:t>
      </w:r>
      <w:r w:rsidRPr="00E00F43">
        <w:rPr>
          <w:rFonts w:ascii="Times New Roman" w:hAnsi="Times New Roman" w:cs="Times New Roman"/>
          <w:i/>
          <w:iCs/>
          <w:sz w:val="28"/>
          <w:lang w:val="es-ES"/>
        </w:rPr>
        <w:t>’</w:t>
      </w:r>
      <w:r w:rsidRPr="00E00F43">
        <w:rPr>
          <w:rFonts w:ascii="Times New Roman" w:hAnsi="Times New Roman" w:cs="Times New Roman"/>
          <w:iCs/>
          <w:sz w:val="28"/>
          <w:lang w:val="es-ES"/>
        </w:rPr>
        <w:t>, suscrito en Ginebra, el 20 de marzo de 1958. </w:t>
      </w:r>
    </w:p>
    <w:p w:rsidR="00FC7453" w:rsidRPr="00E00F43" w:rsidRDefault="00E00F43" w:rsidP="00FC7453">
      <w:pPr>
        <w:tabs>
          <w:tab w:val="left" w:pos="426"/>
        </w:tabs>
        <w:spacing w:after="0"/>
        <w:ind w:left="709" w:right="335"/>
        <w:contextualSpacing/>
        <w:rPr>
          <w:rFonts w:ascii="Times New Roman" w:hAnsi="Times New Roman" w:cs="Times New Roman"/>
          <w:iCs/>
          <w:sz w:val="28"/>
          <w:lang w:val="es-ES"/>
        </w:rPr>
      </w:pPr>
      <w:bookmarkStart w:id="3" w:name="ver_30296815"/>
      <w:bookmarkEnd w:id="3"/>
    </w:p>
    <w:p w:rsidR="00FC7453" w:rsidRPr="00E00F43" w:rsidRDefault="00E00F43" w:rsidP="00FC7453">
      <w:pPr>
        <w:tabs>
          <w:tab w:val="left" w:pos="426"/>
        </w:tabs>
        <w:spacing w:after="0"/>
        <w:ind w:left="709" w:right="335"/>
        <w:contextualSpacing/>
        <w:rPr>
          <w:rFonts w:ascii="Times New Roman" w:hAnsi="Times New Roman" w:cs="Times New Roman"/>
          <w:iCs/>
          <w:sz w:val="28"/>
          <w:lang w:val="es-ES"/>
        </w:rPr>
      </w:pPr>
      <w:r w:rsidRPr="00E00F43">
        <w:rPr>
          <w:rFonts w:ascii="Times New Roman" w:hAnsi="Times New Roman" w:cs="Times New Roman"/>
          <w:b/>
          <w:bCs/>
          <w:iCs/>
          <w:sz w:val="28"/>
          <w:lang w:val="es-ES"/>
        </w:rPr>
        <w:t>Artículo segundo.</w:t>
      </w:r>
      <w:r w:rsidRPr="00E00F43">
        <w:rPr>
          <w:rFonts w:ascii="Times New Roman" w:hAnsi="Times New Roman" w:cs="Times New Roman"/>
          <w:iCs/>
          <w:sz w:val="28"/>
          <w:lang w:val="es-ES"/>
        </w:rPr>
        <w:t> De conformidad con lo dispuesto en el artículo 1° de la Ley 7ª de 1944, el </w:t>
      </w:r>
      <w:r w:rsidRPr="00E00F43">
        <w:rPr>
          <w:rFonts w:ascii="Times New Roman" w:hAnsi="Times New Roman" w:cs="Times New Roman"/>
          <w:i/>
          <w:iCs/>
          <w:sz w:val="28"/>
          <w:lang w:val="es-ES"/>
        </w:rPr>
        <w:t>‘</w:t>
      </w:r>
      <w:r w:rsidRPr="00E00F43">
        <w:rPr>
          <w:rFonts w:ascii="Times New Roman" w:hAnsi="Times New Roman" w:cs="Times New Roman"/>
          <w:i/>
          <w:iCs/>
          <w:sz w:val="28"/>
          <w:lang w:val="es-ES"/>
        </w:rPr>
        <w:t xml:space="preserve">Acuerdo relativo a la adopción de reglamentos técnicos armonizados de las Naciones Unidas </w:t>
      </w:r>
      <w:r w:rsidRPr="00E00F43">
        <w:rPr>
          <w:rFonts w:ascii="Times New Roman" w:hAnsi="Times New Roman" w:cs="Times New Roman"/>
          <w:i/>
          <w:iCs/>
          <w:sz w:val="28"/>
          <w:lang w:val="es-ES"/>
        </w:rPr>
        <w:t>aplicables a los vehículos de ruedas y los equipos y piezas que puedan montarse o utilizarse en estos, y sobre las condiciones de reconocimiento recíproco de las homologaciones concedidas conforme a dichos reglamentos de las Naciones Unidas</w:t>
      </w:r>
      <w:r w:rsidRPr="00E00F43">
        <w:rPr>
          <w:rFonts w:ascii="Times New Roman" w:hAnsi="Times New Roman" w:cs="Times New Roman"/>
          <w:i/>
          <w:iCs/>
          <w:sz w:val="28"/>
          <w:lang w:val="es-ES"/>
        </w:rPr>
        <w:t>’</w:t>
      </w:r>
      <w:r w:rsidRPr="00E00F43">
        <w:rPr>
          <w:rFonts w:ascii="Times New Roman" w:hAnsi="Times New Roman" w:cs="Times New Roman"/>
          <w:iCs/>
          <w:sz w:val="28"/>
          <w:lang w:val="es-ES"/>
        </w:rPr>
        <w:t>, suscrito en G</w:t>
      </w:r>
      <w:r w:rsidRPr="00E00F43">
        <w:rPr>
          <w:rFonts w:ascii="Times New Roman" w:hAnsi="Times New Roman" w:cs="Times New Roman"/>
          <w:iCs/>
          <w:sz w:val="28"/>
          <w:lang w:val="es-ES"/>
        </w:rPr>
        <w:t>inebra, el 20 de marzo de 1958, que por el artículo primero de esta ley se aprueba, obligará a la República de Colombia a partir de la fecha en que se perfeccione el vínculo internacional respecto del mismo. </w:t>
      </w:r>
    </w:p>
    <w:p w:rsidR="00FC7453" w:rsidRPr="00E00F43" w:rsidRDefault="00E00F43" w:rsidP="00FC7453">
      <w:pPr>
        <w:tabs>
          <w:tab w:val="left" w:pos="426"/>
        </w:tabs>
        <w:spacing w:after="0"/>
        <w:ind w:left="709" w:right="335"/>
        <w:contextualSpacing/>
        <w:rPr>
          <w:rFonts w:ascii="Times New Roman" w:hAnsi="Times New Roman" w:cs="Times New Roman"/>
          <w:iCs/>
          <w:sz w:val="28"/>
          <w:lang w:val="es-ES"/>
        </w:rPr>
      </w:pPr>
      <w:bookmarkStart w:id="4" w:name="ver_30296816"/>
      <w:bookmarkEnd w:id="4"/>
    </w:p>
    <w:p w:rsidR="00FC7453" w:rsidRPr="00E00F43" w:rsidRDefault="00E00F43" w:rsidP="00FC7453">
      <w:pPr>
        <w:tabs>
          <w:tab w:val="left" w:pos="426"/>
        </w:tabs>
        <w:spacing w:after="0"/>
        <w:ind w:left="709" w:right="335"/>
        <w:contextualSpacing/>
        <w:rPr>
          <w:rFonts w:ascii="Times New Roman" w:hAnsi="Times New Roman" w:cs="Times New Roman"/>
          <w:iCs/>
          <w:sz w:val="28"/>
          <w:szCs w:val="24"/>
          <w:lang w:val="es-ES"/>
        </w:rPr>
      </w:pPr>
      <w:r w:rsidRPr="00E00F43">
        <w:rPr>
          <w:rFonts w:ascii="Times New Roman" w:hAnsi="Times New Roman" w:cs="Times New Roman"/>
          <w:b/>
          <w:bCs/>
          <w:iCs/>
          <w:sz w:val="28"/>
          <w:lang w:val="es-ES"/>
        </w:rPr>
        <w:t>Artículo tercero.</w:t>
      </w:r>
      <w:r w:rsidRPr="00E00F43">
        <w:rPr>
          <w:rFonts w:ascii="Times New Roman" w:hAnsi="Times New Roman" w:cs="Times New Roman"/>
          <w:iCs/>
          <w:sz w:val="28"/>
          <w:lang w:val="es-ES"/>
        </w:rPr>
        <w:t> La presente ley rige a parti</w:t>
      </w:r>
      <w:r w:rsidRPr="00E00F43">
        <w:rPr>
          <w:rFonts w:ascii="Times New Roman" w:hAnsi="Times New Roman" w:cs="Times New Roman"/>
          <w:iCs/>
          <w:sz w:val="28"/>
          <w:lang w:val="es-ES"/>
        </w:rPr>
        <w:t>r de la fecha de su publicación</w:t>
      </w:r>
      <w:r w:rsidRPr="00E00F43">
        <w:rPr>
          <w:rFonts w:ascii="Times New Roman" w:hAnsi="Times New Roman" w:cs="Times New Roman"/>
          <w:iCs/>
          <w:sz w:val="28"/>
          <w:lang w:val="es-ES"/>
        </w:rPr>
        <w:t>»</w:t>
      </w:r>
      <w:r w:rsidRPr="00E00F43">
        <w:rPr>
          <w:rFonts w:ascii="Times New Roman" w:hAnsi="Times New Roman" w:cs="Times New Roman"/>
          <w:iCs/>
          <w:sz w:val="28"/>
          <w:lang w:val="es-ES"/>
        </w:rPr>
        <w:t>.</w:t>
      </w:r>
    </w:p>
    <w:p w:rsidR="00FC7453" w:rsidRPr="00E00F43" w:rsidRDefault="00E00F43" w:rsidP="00FC7453">
      <w:pPr>
        <w:tabs>
          <w:tab w:val="left" w:pos="426"/>
        </w:tabs>
        <w:spacing w:after="0"/>
        <w:ind w:left="709" w:right="335"/>
        <w:contextualSpacing/>
        <w:rPr>
          <w:rFonts w:ascii="Times New Roman" w:hAnsi="Times New Roman" w:cs="Times New Roman"/>
          <w:iCs/>
          <w:sz w:val="28"/>
          <w:szCs w:val="24"/>
          <w:lang w:val="es-ES"/>
        </w:rPr>
      </w:pPr>
    </w:p>
    <w:p w:rsidR="007D0F51" w:rsidRPr="00E00F43" w:rsidRDefault="00E00F43">
      <w:pPr>
        <w:pStyle w:val="Prrafodelista"/>
        <w:numPr>
          <w:ilvl w:val="0"/>
          <w:numId w:val="2"/>
        </w:numPr>
        <w:tabs>
          <w:tab w:val="left" w:pos="426"/>
        </w:tabs>
        <w:ind w:left="0" w:firstLine="0"/>
        <w:contextualSpacing/>
        <w:rPr>
          <w:rFonts w:ascii="Times New Roman" w:hAnsi="Times New Roman" w:cs="Times New Roman"/>
          <w:i/>
          <w:sz w:val="28"/>
          <w:szCs w:val="24"/>
          <w:lang w:val="es-ES"/>
        </w:rPr>
      </w:pPr>
      <w:r w:rsidRPr="00E00F43">
        <w:rPr>
          <w:rFonts w:ascii="Times New Roman" w:hAnsi="Times New Roman" w:cs="Times New Roman"/>
          <w:iCs/>
          <w:sz w:val="28"/>
          <w:szCs w:val="24"/>
          <w:lang w:val="es-ES"/>
        </w:rPr>
        <w:t xml:space="preserve"> </w:t>
      </w:r>
      <w:r w:rsidRPr="00E00F43">
        <w:rPr>
          <w:rFonts w:ascii="Times New Roman" w:hAnsi="Times New Roman" w:cs="Times New Roman"/>
          <w:iCs/>
          <w:sz w:val="28"/>
          <w:szCs w:val="24"/>
          <w:lang w:val="es-ES"/>
        </w:rPr>
        <w:t>El instrumento internacional objeto de aprobación mediante la Ley 2290 de 2023 se reproduce en su integridad como Anexo de esta sentencia.</w:t>
      </w:r>
      <w:r w:rsidRPr="00E00F43">
        <w:rPr>
          <w:rFonts w:ascii="Times New Roman" w:hAnsi="Times New Roman" w:cs="Times New Roman"/>
          <w:iCs/>
          <w:sz w:val="28"/>
          <w:szCs w:val="24"/>
          <w:lang w:val="es-ES"/>
        </w:rPr>
        <w:t xml:space="preserve"> </w:t>
      </w:r>
    </w:p>
    <w:p w:rsidR="00E9038D" w:rsidRPr="00E00F43" w:rsidRDefault="00E00F43" w:rsidP="00E9038D">
      <w:pPr>
        <w:pStyle w:val="Prrafodelista"/>
        <w:tabs>
          <w:tab w:val="left" w:pos="426"/>
        </w:tabs>
        <w:ind w:left="0"/>
        <w:contextualSpacing/>
        <w:rPr>
          <w:rFonts w:ascii="Times New Roman" w:hAnsi="Times New Roman" w:cs="Times New Roman"/>
          <w:i/>
          <w:sz w:val="28"/>
          <w:szCs w:val="24"/>
          <w:lang w:val="es-ES"/>
        </w:rPr>
      </w:pPr>
    </w:p>
    <w:p w:rsidR="00E9038D" w:rsidRPr="00E00F43" w:rsidRDefault="00E00F43">
      <w:pPr>
        <w:pStyle w:val="Prrafodelista"/>
        <w:numPr>
          <w:ilvl w:val="0"/>
          <w:numId w:val="7"/>
        </w:numPr>
        <w:tabs>
          <w:tab w:val="left" w:pos="426"/>
        </w:tabs>
        <w:ind w:left="0" w:firstLine="0"/>
        <w:rPr>
          <w:rFonts w:ascii="Times New Roman" w:hAnsi="Times New Roman" w:cs="Times New Roman"/>
          <w:b/>
          <w:bCs/>
          <w:iCs/>
          <w:sz w:val="28"/>
          <w:szCs w:val="24"/>
          <w:lang w:val="es-ES"/>
        </w:rPr>
      </w:pPr>
      <w:r w:rsidRPr="00E00F43">
        <w:rPr>
          <w:rFonts w:ascii="Times New Roman" w:hAnsi="Times New Roman" w:cs="Times New Roman"/>
          <w:b/>
          <w:bCs/>
          <w:iCs/>
          <w:sz w:val="28"/>
          <w:szCs w:val="24"/>
          <w:lang w:val="es-ES"/>
        </w:rPr>
        <w:t>INTERVENCIONES</w:t>
      </w:r>
    </w:p>
    <w:p w:rsidR="00E9038D" w:rsidRPr="00E00F43" w:rsidRDefault="00E00F43" w:rsidP="00076EDF">
      <w:pPr>
        <w:pStyle w:val="Prrafodelista"/>
        <w:tabs>
          <w:tab w:val="left" w:pos="426"/>
        </w:tabs>
        <w:ind w:left="0"/>
        <w:contextualSpacing/>
        <w:rPr>
          <w:rFonts w:ascii="Times New Roman" w:hAnsi="Times New Roman" w:cs="Times New Roman"/>
          <w:i/>
          <w:sz w:val="28"/>
          <w:szCs w:val="24"/>
          <w:lang w:val="es-ES"/>
        </w:rPr>
      </w:pPr>
    </w:p>
    <w:p w:rsidR="00012AF7" w:rsidRPr="00E00F43" w:rsidRDefault="00E00F43">
      <w:pPr>
        <w:pStyle w:val="Prrafodelista"/>
        <w:numPr>
          <w:ilvl w:val="0"/>
          <w:numId w:val="2"/>
        </w:numPr>
        <w:tabs>
          <w:tab w:val="left" w:pos="426"/>
        </w:tabs>
        <w:ind w:left="0" w:firstLine="0"/>
        <w:contextualSpacing/>
        <w:rPr>
          <w:rFonts w:ascii="Times New Roman" w:hAnsi="Times New Roman" w:cs="Times New Roman"/>
          <w:i/>
          <w:sz w:val="28"/>
          <w:szCs w:val="24"/>
          <w:lang w:val="es-ES"/>
        </w:rPr>
      </w:pPr>
      <w:r w:rsidRPr="00E00F43">
        <w:rPr>
          <w:rFonts w:ascii="Times New Roman" w:hAnsi="Times New Roman" w:cs="Times New Roman"/>
          <w:iCs/>
          <w:sz w:val="28"/>
          <w:szCs w:val="24"/>
          <w:lang w:val="es-ES"/>
        </w:rPr>
        <w:t xml:space="preserve"> Dentro del proceso se recibieron los conceptos e intervenciones que se sintetizan a continuación. </w:t>
      </w:r>
    </w:p>
    <w:p w:rsidR="00FC7453" w:rsidRPr="00E00F43" w:rsidRDefault="00E00F43" w:rsidP="00A542D4">
      <w:pPr>
        <w:pStyle w:val="Ttulo"/>
        <w:numPr>
          <w:ilvl w:val="0"/>
          <w:numId w:val="0"/>
        </w:numPr>
        <w:rPr>
          <w:rFonts w:ascii="Times New Roman" w:hAnsi="Times New Roman" w:cs="Times New Roman"/>
          <w:sz w:val="28"/>
        </w:rPr>
      </w:pPr>
    </w:p>
    <w:p w:rsidR="00FC7453" w:rsidRPr="00E00F43" w:rsidRDefault="00E00F43">
      <w:pPr>
        <w:pStyle w:val="Prrafodelista"/>
        <w:numPr>
          <w:ilvl w:val="0"/>
          <w:numId w:val="2"/>
        </w:numPr>
        <w:tabs>
          <w:tab w:val="left" w:pos="426"/>
        </w:tabs>
        <w:ind w:left="0" w:firstLine="0"/>
        <w:rPr>
          <w:rFonts w:ascii="Times New Roman" w:hAnsi="Times New Roman" w:cs="Times New Roman"/>
          <w:sz w:val="28"/>
          <w:szCs w:val="24"/>
          <w:lang w:val="es-ES"/>
        </w:rPr>
      </w:pPr>
      <w:r w:rsidRPr="00E00F43">
        <w:rPr>
          <w:rFonts w:ascii="Times New Roman" w:hAnsi="Times New Roman" w:cs="Times New Roman"/>
          <w:sz w:val="28"/>
          <w:szCs w:val="24"/>
          <w:lang w:val="es-ES"/>
        </w:rPr>
        <w:t xml:space="preserve"> </w:t>
      </w:r>
      <w:r w:rsidRPr="00E00F43">
        <w:rPr>
          <w:rFonts w:ascii="Times New Roman" w:hAnsi="Times New Roman" w:cs="Times New Roman"/>
          <w:b/>
          <w:bCs/>
          <w:sz w:val="28"/>
          <w:szCs w:val="24"/>
          <w:lang w:val="es-ES"/>
        </w:rPr>
        <w:t>Ministerio de Relaciones Exteriores</w:t>
      </w:r>
      <w:r w:rsidRPr="00E00F43">
        <w:rPr>
          <w:rFonts w:ascii="Times New Roman" w:hAnsi="Times New Roman" w:cs="Times New Roman"/>
          <w:sz w:val="28"/>
          <w:szCs w:val="24"/>
          <w:lang w:val="es-ES"/>
        </w:rPr>
        <w:t xml:space="preserve">. </w:t>
      </w:r>
      <w:r w:rsidRPr="00E00F43">
        <w:rPr>
          <w:rFonts w:ascii="Times New Roman" w:hAnsi="Times New Roman" w:cs="Times New Roman"/>
          <w:sz w:val="28"/>
          <w:szCs w:val="24"/>
          <w:lang w:val="es-ES"/>
        </w:rPr>
        <w:t xml:space="preserve">El </w:t>
      </w:r>
      <w:r w:rsidRPr="00E00F43">
        <w:rPr>
          <w:rFonts w:ascii="Times New Roman" w:hAnsi="Times New Roman" w:cs="Times New Roman"/>
          <w:sz w:val="28"/>
          <w:szCs w:val="24"/>
          <w:lang w:val="es-ES"/>
        </w:rPr>
        <w:t>d</w:t>
      </w:r>
      <w:r w:rsidRPr="00E00F43">
        <w:rPr>
          <w:rFonts w:ascii="Times New Roman" w:hAnsi="Times New Roman" w:cs="Times New Roman"/>
          <w:sz w:val="28"/>
          <w:szCs w:val="24"/>
          <w:lang w:val="es-ES"/>
        </w:rPr>
        <w:t>irector</w:t>
      </w:r>
      <w:r w:rsidRPr="00E00F43">
        <w:rPr>
          <w:rFonts w:ascii="Times New Roman" w:hAnsi="Times New Roman" w:cs="Times New Roman"/>
          <w:sz w:val="28"/>
          <w:szCs w:val="24"/>
          <w:vertAlign w:val="superscript"/>
          <w:lang w:val="es-ES"/>
        </w:rPr>
        <w:footnoteReference w:id="2"/>
      </w:r>
      <w:r w:rsidRPr="00E00F43">
        <w:rPr>
          <w:rFonts w:ascii="Times New Roman" w:hAnsi="Times New Roman" w:cs="Times New Roman"/>
          <w:sz w:val="28"/>
          <w:szCs w:val="24"/>
          <w:lang w:val="es-ES"/>
        </w:rPr>
        <w:t xml:space="preserve"> de Asuntos Jurídicos Internacionales de </w:t>
      </w:r>
      <w:r w:rsidRPr="00E00F43">
        <w:rPr>
          <w:rFonts w:ascii="Times New Roman" w:hAnsi="Times New Roman" w:cs="Times New Roman"/>
          <w:sz w:val="28"/>
          <w:szCs w:val="24"/>
          <w:lang w:val="es-ES"/>
        </w:rPr>
        <w:t>l</w:t>
      </w:r>
      <w:r w:rsidRPr="00E00F43">
        <w:rPr>
          <w:rFonts w:ascii="Times New Roman" w:hAnsi="Times New Roman" w:cs="Times New Roman"/>
          <w:sz w:val="28"/>
          <w:szCs w:val="24"/>
          <w:lang w:val="es-ES"/>
        </w:rPr>
        <w:t xml:space="preserve">a entidad </w:t>
      </w:r>
      <w:r w:rsidRPr="00E00F43">
        <w:rPr>
          <w:rFonts w:ascii="Times New Roman" w:hAnsi="Times New Roman" w:cs="Times New Roman"/>
          <w:sz w:val="28"/>
          <w:szCs w:val="24"/>
          <w:lang w:val="es-ES"/>
        </w:rPr>
        <w:t>solicitó</w:t>
      </w:r>
      <w:r w:rsidRPr="00E00F43">
        <w:rPr>
          <w:rFonts w:ascii="Times New Roman" w:hAnsi="Times New Roman" w:cs="Times New Roman"/>
          <w:sz w:val="28"/>
          <w:szCs w:val="24"/>
          <w:lang w:val="es-ES"/>
        </w:rPr>
        <w:t xml:space="preserve"> </w:t>
      </w:r>
      <w:r w:rsidRPr="00E00F43">
        <w:rPr>
          <w:rFonts w:ascii="Times New Roman" w:hAnsi="Times New Roman" w:cs="Times New Roman"/>
          <w:sz w:val="28"/>
          <w:szCs w:val="24"/>
          <w:lang w:val="es-ES"/>
        </w:rPr>
        <w:t xml:space="preserve">declarar </w:t>
      </w:r>
      <w:r w:rsidRPr="00E00F43">
        <w:rPr>
          <w:rFonts w:ascii="Times New Roman" w:hAnsi="Times New Roman" w:cs="Times New Roman"/>
          <w:sz w:val="28"/>
          <w:szCs w:val="24"/>
          <w:lang w:val="es-ES"/>
        </w:rPr>
        <w:t>la exequibilidad</w:t>
      </w:r>
      <w:r w:rsidRPr="00E00F43">
        <w:rPr>
          <w:rFonts w:ascii="Times New Roman" w:hAnsi="Times New Roman" w:cs="Times New Roman"/>
          <w:sz w:val="28"/>
          <w:szCs w:val="24"/>
          <w:lang w:val="es-ES"/>
        </w:rPr>
        <w:t xml:space="preserve"> </w:t>
      </w:r>
      <w:r w:rsidRPr="00E00F43">
        <w:rPr>
          <w:rFonts w:ascii="Times New Roman" w:hAnsi="Times New Roman" w:cs="Times New Roman"/>
          <w:sz w:val="28"/>
          <w:szCs w:val="24"/>
          <w:lang w:val="es-ES"/>
        </w:rPr>
        <w:t xml:space="preserve">del Acuerdo </w:t>
      </w:r>
      <w:r w:rsidRPr="00E00F43">
        <w:rPr>
          <w:rFonts w:ascii="Times New Roman" w:hAnsi="Times New Roman" w:cs="Times New Roman"/>
          <w:sz w:val="28"/>
          <w:szCs w:val="24"/>
          <w:lang w:val="es-ES"/>
        </w:rPr>
        <w:t xml:space="preserve">y de la ley que se controlan. </w:t>
      </w:r>
      <w:r w:rsidRPr="00E00F43">
        <w:rPr>
          <w:rFonts w:ascii="Times New Roman" w:hAnsi="Times New Roman" w:cs="Times New Roman"/>
          <w:sz w:val="28"/>
          <w:szCs w:val="24"/>
          <w:lang w:val="es-ES"/>
        </w:rPr>
        <w:t>Además de referirse a las razones por las cuales se cumpliría cada uno de los requisitos formales para la aprobación del instrumento internacional en el Congreso de la República, hizo alusión al contexto en el cual, en su crit</w:t>
      </w:r>
      <w:r w:rsidRPr="00E00F43">
        <w:rPr>
          <w:rFonts w:ascii="Times New Roman" w:hAnsi="Times New Roman" w:cs="Times New Roman"/>
          <w:sz w:val="28"/>
          <w:szCs w:val="24"/>
          <w:lang w:val="es-ES"/>
        </w:rPr>
        <w:t>erio, se adoptó el instrumento internacional. Así, mencionó la importancia que tiene el Acuerdo para la seguridad vial y el desarrollo sostenible, pues hace parte de la regulación de los vehículos automotores y la exigencia de mayores estándares de segurid</w:t>
      </w:r>
      <w:r w:rsidRPr="00E00F43">
        <w:rPr>
          <w:rFonts w:ascii="Times New Roman" w:hAnsi="Times New Roman" w:cs="Times New Roman"/>
          <w:sz w:val="28"/>
          <w:szCs w:val="24"/>
          <w:lang w:val="es-ES"/>
        </w:rPr>
        <w:t xml:space="preserve">ad. </w:t>
      </w:r>
    </w:p>
    <w:p w:rsidR="008D61B4" w:rsidRPr="00E00F43" w:rsidRDefault="00E00F43" w:rsidP="008D61B4">
      <w:pPr>
        <w:pStyle w:val="Prrafodelista"/>
        <w:tabs>
          <w:tab w:val="left" w:pos="426"/>
        </w:tabs>
        <w:ind w:left="0"/>
        <w:rPr>
          <w:rFonts w:ascii="Times New Roman" w:hAnsi="Times New Roman" w:cs="Times New Roman"/>
          <w:sz w:val="28"/>
          <w:szCs w:val="24"/>
          <w:lang w:val="es-ES"/>
        </w:rPr>
      </w:pPr>
    </w:p>
    <w:p w:rsidR="00FC7453" w:rsidRPr="00E00F43" w:rsidRDefault="00E00F43">
      <w:pPr>
        <w:pStyle w:val="Prrafodelista"/>
        <w:numPr>
          <w:ilvl w:val="0"/>
          <w:numId w:val="2"/>
        </w:numPr>
        <w:tabs>
          <w:tab w:val="left" w:pos="426"/>
        </w:tabs>
        <w:ind w:left="0" w:firstLine="0"/>
        <w:rPr>
          <w:rFonts w:ascii="Times New Roman" w:hAnsi="Times New Roman" w:cs="Times New Roman"/>
          <w:sz w:val="28"/>
          <w:szCs w:val="24"/>
          <w:lang w:val="es-ES"/>
        </w:rPr>
      </w:pPr>
      <w:r w:rsidRPr="00E00F43">
        <w:rPr>
          <w:rFonts w:ascii="Times New Roman" w:hAnsi="Times New Roman" w:cs="Times New Roman"/>
          <w:sz w:val="28"/>
          <w:szCs w:val="24"/>
          <w:lang w:val="es-ES"/>
        </w:rPr>
        <w:t xml:space="preserve"> </w:t>
      </w:r>
      <w:r w:rsidRPr="00E00F43">
        <w:rPr>
          <w:rFonts w:ascii="Times New Roman" w:hAnsi="Times New Roman" w:cs="Times New Roman"/>
          <w:sz w:val="28"/>
          <w:szCs w:val="24"/>
          <w:lang w:val="es-ES"/>
        </w:rPr>
        <w:t xml:space="preserve">En relación con el fondo del tratado, el Ministerio expresó que este instrumento está asociado a la garantía del derecho a la vida de los y las colombianas. Indicó que para el año 2020, más de 6826 personas murieron en siniestros viales en el país, lo que </w:t>
      </w:r>
      <w:r w:rsidRPr="00E00F43">
        <w:rPr>
          <w:rFonts w:ascii="Times New Roman" w:hAnsi="Times New Roman" w:cs="Times New Roman"/>
          <w:sz w:val="28"/>
          <w:szCs w:val="24"/>
          <w:lang w:val="es-ES"/>
        </w:rPr>
        <w:t>presentaría una alarma para la adopción de medidas que atiendan esta situación. Agregó que la seguridad en las vías se relaciona, además, con el derecho a la propiedad, el orden público, así como la guarda y protección de la integridad y la libertad person</w:t>
      </w:r>
      <w:r w:rsidRPr="00E00F43">
        <w:rPr>
          <w:rFonts w:ascii="Times New Roman" w:hAnsi="Times New Roman" w:cs="Times New Roman"/>
          <w:sz w:val="28"/>
          <w:szCs w:val="24"/>
          <w:lang w:val="es-ES"/>
        </w:rPr>
        <w:t xml:space="preserve">ales. </w:t>
      </w:r>
      <w:r w:rsidRPr="00E00F43">
        <w:rPr>
          <w:rFonts w:ascii="Times New Roman" w:hAnsi="Times New Roman" w:cs="Times New Roman"/>
          <w:sz w:val="28"/>
          <w:szCs w:val="24"/>
          <w:lang w:val="es-ES"/>
        </w:rPr>
        <w:t>Finalmente, la entidad defendió el cumplimiento de los requisitos para la entrada en vigor del tratado en el derecho interno, para lo cual indicó que una vez la Corte Constitucional proceda con el análisis de constitucionalidad, se depositaría el ins</w:t>
      </w:r>
      <w:r w:rsidRPr="00E00F43">
        <w:rPr>
          <w:rFonts w:ascii="Times New Roman" w:hAnsi="Times New Roman" w:cs="Times New Roman"/>
          <w:sz w:val="28"/>
          <w:szCs w:val="24"/>
          <w:lang w:val="es-ES"/>
        </w:rPr>
        <w:t xml:space="preserve">trumento de adhesión para que Colombia se haga parte de este Acuerdo. </w:t>
      </w:r>
      <w:r w:rsidRPr="00E00F43">
        <w:rPr>
          <w:rFonts w:ascii="Times New Roman" w:hAnsi="Times New Roman" w:cs="Times New Roman"/>
          <w:sz w:val="28"/>
          <w:szCs w:val="24"/>
          <w:lang w:val="es-ES"/>
        </w:rPr>
        <w:t xml:space="preserve"> </w:t>
      </w:r>
    </w:p>
    <w:p w:rsidR="0062439C" w:rsidRPr="00E00F43" w:rsidRDefault="00E00F43" w:rsidP="00A542D4">
      <w:pPr>
        <w:pStyle w:val="Ttulo"/>
        <w:numPr>
          <w:ilvl w:val="0"/>
          <w:numId w:val="0"/>
        </w:numPr>
        <w:rPr>
          <w:rFonts w:ascii="Times New Roman" w:hAnsi="Times New Roman" w:cs="Times New Roman"/>
          <w:sz w:val="28"/>
        </w:rPr>
      </w:pPr>
    </w:p>
    <w:p w:rsidR="00D10DEE"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Ministerio de Transporte. </w:t>
      </w:r>
      <w:r w:rsidRPr="00E00F43">
        <w:rPr>
          <w:rFonts w:ascii="Times New Roman" w:hAnsi="Times New Roman" w:cs="Times New Roman"/>
          <w:sz w:val="28"/>
        </w:rPr>
        <w:t>El apoderado</w:t>
      </w:r>
      <w:r w:rsidRPr="00E00F43">
        <w:rPr>
          <w:rStyle w:val="Refdenotaalpie"/>
          <w:rFonts w:ascii="Times New Roman" w:hAnsi="Times New Roman"/>
          <w:sz w:val="28"/>
        </w:rPr>
        <w:footnoteReference w:id="3"/>
      </w:r>
      <w:r w:rsidRPr="00E00F43">
        <w:rPr>
          <w:rFonts w:ascii="Times New Roman" w:hAnsi="Times New Roman" w:cs="Times New Roman"/>
          <w:sz w:val="28"/>
        </w:rPr>
        <w:t xml:space="preserve"> de esta entidad </w:t>
      </w:r>
      <w:r w:rsidRPr="00E00F43">
        <w:rPr>
          <w:rFonts w:ascii="Times New Roman" w:hAnsi="Times New Roman" w:cs="Times New Roman"/>
          <w:sz w:val="28"/>
        </w:rPr>
        <w:t>pidió</w:t>
      </w:r>
      <w:r w:rsidRPr="00E00F43">
        <w:rPr>
          <w:rFonts w:ascii="Times New Roman" w:hAnsi="Times New Roman" w:cs="Times New Roman"/>
          <w:sz w:val="28"/>
        </w:rPr>
        <w:t xml:space="preserve"> declarar la constitucionalidad del instrumento internacional objeto de estudio</w:t>
      </w:r>
      <w:r w:rsidRPr="00E00F43">
        <w:rPr>
          <w:rFonts w:ascii="Times New Roman" w:hAnsi="Times New Roman" w:cs="Times New Roman"/>
          <w:sz w:val="28"/>
        </w:rPr>
        <w:t xml:space="preserve"> y la ley que se somete a revisión</w:t>
      </w:r>
      <w:r w:rsidRPr="00E00F43">
        <w:rPr>
          <w:rFonts w:ascii="Times New Roman" w:hAnsi="Times New Roman" w:cs="Times New Roman"/>
          <w:sz w:val="28"/>
        </w:rPr>
        <w:t>. En par</w:t>
      </w:r>
      <w:r w:rsidRPr="00E00F43">
        <w:rPr>
          <w:rFonts w:ascii="Times New Roman" w:hAnsi="Times New Roman" w:cs="Times New Roman"/>
          <w:sz w:val="28"/>
        </w:rPr>
        <w:t>ticular, se centró en mostrar por qué se cumplieron los requisitos formales para la aprobación del Acuerdo y recordó, en extenso, el contenido de la exposición de motivos presentada ante el Congreso de la República, con la cual buscó mostrar que materialme</w:t>
      </w:r>
      <w:r w:rsidRPr="00E00F43">
        <w:rPr>
          <w:rFonts w:ascii="Times New Roman" w:hAnsi="Times New Roman" w:cs="Times New Roman"/>
          <w:sz w:val="28"/>
        </w:rPr>
        <w:t xml:space="preserve">nte esta normatividad es acorde con la Constitución Política.  </w:t>
      </w:r>
    </w:p>
    <w:p w:rsidR="00D10DEE" w:rsidRPr="00E00F43" w:rsidRDefault="00E00F43" w:rsidP="00A542D4">
      <w:pPr>
        <w:pStyle w:val="Ttulo"/>
        <w:numPr>
          <w:ilvl w:val="0"/>
          <w:numId w:val="0"/>
        </w:numPr>
        <w:rPr>
          <w:rFonts w:ascii="Times New Roman" w:hAnsi="Times New Roman" w:cs="Times New Roman"/>
          <w:sz w:val="28"/>
        </w:rPr>
      </w:pPr>
    </w:p>
    <w:p w:rsidR="00D10DEE" w:rsidRPr="00E00F43" w:rsidRDefault="00E00F43">
      <w:pPr>
        <w:pStyle w:val="Prrafodelista"/>
        <w:numPr>
          <w:ilvl w:val="0"/>
          <w:numId w:val="2"/>
        </w:numPr>
        <w:ind w:left="0" w:firstLine="0"/>
        <w:rPr>
          <w:rFonts w:ascii="Times New Roman" w:hAnsi="Times New Roman" w:cs="Times New Roman"/>
          <w:sz w:val="28"/>
          <w:szCs w:val="24"/>
          <w:lang w:val="es-ES"/>
        </w:rPr>
      </w:pPr>
      <w:r w:rsidRPr="00E00F43">
        <w:rPr>
          <w:rFonts w:ascii="Times New Roman" w:hAnsi="Times New Roman" w:cs="Times New Roman"/>
          <w:b/>
          <w:bCs/>
          <w:sz w:val="28"/>
          <w:szCs w:val="24"/>
          <w:lang w:val="es-ES"/>
        </w:rPr>
        <w:t xml:space="preserve">Ministerio de Ambiente y Desarrollo Sostenible. </w:t>
      </w:r>
      <w:r w:rsidRPr="00E00F43">
        <w:rPr>
          <w:rFonts w:ascii="Times New Roman" w:hAnsi="Times New Roman" w:cs="Times New Roman"/>
          <w:sz w:val="28"/>
          <w:szCs w:val="24"/>
          <w:lang w:val="es-ES"/>
        </w:rPr>
        <w:t>A través de apoderado judicial</w:t>
      </w:r>
      <w:r w:rsidRPr="00E00F43">
        <w:rPr>
          <w:rStyle w:val="Refdenotaalpie"/>
          <w:rFonts w:ascii="Times New Roman" w:hAnsi="Times New Roman"/>
          <w:sz w:val="28"/>
          <w:szCs w:val="24"/>
          <w:lang w:val="es-ES"/>
        </w:rPr>
        <w:footnoteReference w:id="4"/>
      </w:r>
      <w:r w:rsidRPr="00E00F43">
        <w:rPr>
          <w:rFonts w:ascii="Times New Roman" w:hAnsi="Times New Roman" w:cs="Times New Roman"/>
          <w:sz w:val="28"/>
          <w:szCs w:val="24"/>
          <w:lang w:val="es-ES"/>
        </w:rPr>
        <w:t xml:space="preserve">, el Ministerio de Ambiente y Desarrollo Sostenible pidió “que se declare la constitucionalidad de la Ley 2290 </w:t>
      </w:r>
      <w:r w:rsidRPr="00E00F43">
        <w:rPr>
          <w:rFonts w:ascii="Times New Roman" w:hAnsi="Times New Roman" w:cs="Times New Roman"/>
          <w:sz w:val="28"/>
          <w:szCs w:val="24"/>
          <w:lang w:val="es-ES"/>
        </w:rPr>
        <w:t>de 2023” e indic</w:t>
      </w:r>
      <w:r w:rsidRPr="00E00F43">
        <w:rPr>
          <w:rFonts w:ascii="Times New Roman" w:hAnsi="Times New Roman" w:cs="Times New Roman"/>
          <w:sz w:val="28"/>
          <w:szCs w:val="24"/>
          <w:lang w:val="es-ES"/>
        </w:rPr>
        <w:t>ó</w:t>
      </w:r>
      <w:r w:rsidRPr="00E00F43">
        <w:rPr>
          <w:rFonts w:ascii="Times New Roman" w:hAnsi="Times New Roman" w:cs="Times New Roman"/>
          <w:sz w:val="28"/>
          <w:szCs w:val="24"/>
          <w:lang w:val="es-ES"/>
        </w:rPr>
        <w:t xml:space="preserve"> que: </w:t>
      </w:r>
    </w:p>
    <w:p w:rsidR="00D10DEE" w:rsidRPr="00E00F43" w:rsidRDefault="00E00F43" w:rsidP="00A542D4">
      <w:pPr>
        <w:pStyle w:val="Ttulo"/>
        <w:numPr>
          <w:ilvl w:val="0"/>
          <w:numId w:val="0"/>
        </w:numPr>
        <w:ind w:left="567"/>
        <w:rPr>
          <w:rFonts w:ascii="Times New Roman" w:hAnsi="Times New Roman" w:cs="Times New Roman"/>
          <w:sz w:val="28"/>
        </w:rPr>
      </w:pPr>
    </w:p>
    <w:p w:rsidR="00D10DEE" w:rsidRPr="00E00F43" w:rsidRDefault="00E00F43" w:rsidP="00A542D4">
      <w:pPr>
        <w:pStyle w:val="Ttulo"/>
        <w:numPr>
          <w:ilvl w:val="0"/>
          <w:numId w:val="0"/>
        </w:numPr>
        <w:ind w:left="567"/>
        <w:rPr>
          <w:rFonts w:ascii="Times New Roman" w:hAnsi="Times New Roman" w:cs="Times New Roman"/>
          <w:b/>
          <w:bCs/>
          <w:sz w:val="28"/>
        </w:rPr>
      </w:pPr>
      <w:r w:rsidRPr="00E00F43">
        <w:rPr>
          <w:rFonts w:ascii="Times New Roman" w:hAnsi="Times New Roman" w:cs="Times New Roman"/>
          <w:sz w:val="28"/>
        </w:rPr>
        <w:t>“se ha trabajado con el Ministerio de Relaciones Exteriores para evitar entrar en conflictos al momento de la aplicación del Acuerdo, considerando avanzar técnicamente en el proceso de adhesión al Acuerdo 58 del foro WP29 de Nacion</w:t>
      </w:r>
      <w:r w:rsidRPr="00E00F43">
        <w:rPr>
          <w:rFonts w:ascii="Times New Roman" w:hAnsi="Times New Roman" w:cs="Times New Roman"/>
          <w:sz w:val="28"/>
        </w:rPr>
        <w:t xml:space="preserve">es Unidas, de tal forma que al momento del depósito del instrumento de adhesión, el Ministerio de Relaciones Exteriores haga las salvaguardas necesarias en virtud del Artículo 1 numeral 5.5 del Acuerdo que establece lo siguiente: </w:t>
      </w:r>
      <w:r w:rsidRPr="00E00F43">
        <w:rPr>
          <w:rFonts w:ascii="Times New Roman" w:hAnsi="Times New Roman" w:cs="Times New Roman"/>
          <w:sz w:val="28"/>
        </w:rPr>
        <w:t>‘</w:t>
      </w:r>
      <w:r w:rsidRPr="00E00F43">
        <w:rPr>
          <w:rFonts w:ascii="Times New Roman" w:hAnsi="Times New Roman" w:cs="Times New Roman"/>
          <w:sz w:val="28"/>
        </w:rPr>
        <w:t>(…) toda nueva Parte Cont</w:t>
      </w:r>
      <w:r w:rsidRPr="00E00F43">
        <w:rPr>
          <w:rFonts w:ascii="Times New Roman" w:hAnsi="Times New Roman" w:cs="Times New Roman"/>
          <w:sz w:val="28"/>
        </w:rPr>
        <w:t>ratante podrá declarar que no aplicará algunos de los Reglamentos de las Naciones Unidas anexos al presente Acuerdo en ese momento, o que no aplicará ninguno de ellos</w:t>
      </w:r>
      <w:r w:rsidRPr="00E00F43">
        <w:rPr>
          <w:rFonts w:ascii="Times New Roman" w:hAnsi="Times New Roman" w:cs="Times New Roman"/>
          <w:sz w:val="28"/>
        </w:rPr>
        <w:t>’</w:t>
      </w:r>
      <w:r w:rsidRPr="00E00F43">
        <w:rPr>
          <w:rFonts w:ascii="Times New Roman" w:hAnsi="Times New Roman" w:cs="Times New Roman"/>
          <w:sz w:val="28"/>
        </w:rPr>
        <w:t>. Concretamente, se ha evidenciado particularidades en el momento del depósito del instru</w:t>
      </w:r>
      <w:r w:rsidRPr="00E00F43">
        <w:rPr>
          <w:rFonts w:ascii="Times New Roman" w:hAnsi="Times New Roman" w:cs="Times New Roman"/>
          <w:sz w:val="28"/>
        </w:rPr>
        <w:t>mento de adhesión de tal forma que se manifieste la exclusión del Acuerdo de los reglamentos relacionados directa o indirectamente con la verificación de emisiones contaminantes de vehículos automotores y maquinaria para uso fuera de carretera”.</w:t>
      </w:r>
    </w:p>
    <w:p w:rsidR="00D10DEE" w:rsidRPr="00E00F43" w:rsidRDefault="00E00F43" w:rsidP="00D10DEE">
      <w:pPr>
        <w:pStyle w:val="Ttulo1"/>
        <w:numPr>
          <w:ilvl w:val="0"/>
          <w:numId w:val="0"/>
        </w:numPr>
        <w:rPr>
          <w:rFonts w:ascii="Times New Roman" w:hAnsi="Times New Roman" w:cs="Times New Roman"/>
          <w:color w:val="000000" w:themeColor="text1"/>
          <w:sz w:val="28"/>
        </w:rPr>
      </w:pPr>
    </w:p>
    <w:p w:rsidR="00D10DEE"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Sin emba</w:t>
      </w:r>
      <w:r w:rsidRPr="00E00F43">
        <w:rPr>
          <w:rFonts w:ascii="Times New Roman" w:hAnsi="Times New Roman" w:cs="Times New Roman"/>
          <w:sz w:val="28"/>
        </w:rPr>
        <w:t xml:space="preserve">rgo, defendió la constitucionalidad de la normatividad por considerar que contribuye a que ingresen tecnologías vehiculares con mejor desempeño ambiental al país. </w:t>
      </w:r>
    </w:p>
    <w:p w:rsidR="00D10DEE" w:rsidRPr="00E00F43" w:rsidRDefault="00E00F43" w:rsidP="00A542D4">
      <w:pPr>
        <w:pStyle w:val="Ttulo"/>
        <w:numPr>
          <w:ilvl w:val="0"/>
          <w:numId w:val="0"/>
        </w:numPr>
        <w:rPr>
          <w:rFonts w:ascii="Times New Roman" w:hAnsi="Times New Roman" w:cs="Times New Roman"/>
          <w:sz w:val="28"/>
        </w:rPr>
      </w:pPr>
    </w:p>
    <w:p w:rsidR="00D10DEE" w:rsidRPr="00E00F43" w:rsidRDefault="00E00F43">
      <w:pPr>
        <w:pStyle w:val="Prrafodelista"/>
        <w:numPr>
          <w:ilvl w:val="0"/>
          <w:numId w:val="2"/>
        </w:numPr>
        <w:ind w:left="0" w:firstLine="0"/>
        <w:rPr>
          <w:rFonts w:ascii="Times New Roman" w:hAnsi="Times New Roman" w:cs="Times New Roman"/>
          <w:sz w:val="28"/>
          <w:szCs w:val="24"/>
          <w:lang w:val="es-ES"/>
        </w:rPr>
      </w:pPr>
      <w:r w:rsidRPr="00E00F43">
        <w:rPr>
          <w:rFonts w:ascii="Times New Roman" w:hAnsi="Times New Roman" w:cs="Times New Roman"/>
          <w:b/>
          <w:bCs/>
          <w:sz w:val="28"/>
          <w:szCs w:val="24"/>
          <w:lang w:val="es-ES"/>
        </w:rPr>
        <w:t xml:space="preserve">Ministerio de Hacienda y Crédito Público. </w:t>
      </w:r>
      <w:r w:rsidRPr="00E00F43">
        <w:rPr>
          <w:rFonts w:ascii="Times New Roman" w:hAnsi="Times New Roman" w:cs="Times New Roman"/>
          <w:sz w:val="28"/>
          <w:szCs w:val="24"/>
          <w:lang w:val="es-ES"/>
        </w:rPr>
        <w:t xml:space="preserve">El </w:t>
      </w:r>
      <w:r w:rsidRPr="00E00F43">
        <w:rPr>
          <w:rFonts w:ascii="Times New Roman" w:hAnsi="Times New Roman" w:cs="Times New Roman"/>
          <w:sz w:val="28"/>
          <w:szCs w:val="24"/>
          <w:lang w:val="es-ES"/>
        </w:rPr>
        <w:t>a</w:t>
      </w:r>
      <w:r w:rsidRPr="00E00F43">
        <w:rPr>
          <w:rFonts w:ascii="Times New Roman" w:hAnsi="Times New Roman" w:cs="Times New Roman"/>
          <w:sz w:val="28"/>
          <w:szCs w:val="24"/>
          <w:lang w:val="es-ES"/>
        </w:rPr>
        <w:t>sesor</w:t>
      </w:r>
      <w:r w:rsidRPr="00E00F43">
        <w:rPr>
          <w:rFonts w:ascii="Times New Roman" w:hAnsi="Times New Roman" w:cs="Times New Roman"/>
          <w:sz w:val="28"/>
          <w:szCs w:val="24"/>
          <w:vertAlign w:val="superscript"/>
          <w:lang w:val="es-ES"/>
        </w:rPr>
        <w:footnoteReference w:id="5"/>
      </w:r>
      <w:r w:rsidRPr="00E00F43">
        <w:rPr>
          <w:rFonts w:ascii="Times New Roman" w:hAnsi="Times New Roman" w:cs="Times New Roman"/>
          <w:sz w:val="28"/>
          <w:szCs w:val="24"/>
          <w:lang w:val="es-ES"/>
        </w:rPr>
        <w:t xml:space="preserve"> del despacho del ministro de Hacienda </w:t>
      </w:r>
      <w:r w:rsidRPr="00E00F43">
        <w:rPr>
          <w:rFonts w:ascii="Times New Roman" w:hAnsi="Times New Roman" w:cs="Times New Roman"/>
          <w:sz w:val="28"/>
          <w:szCs w:val="24"/>
          <w:lang w:val="es-ES"/>
        </w:rPr>
        <w:t>y Crédito Público, actuando como su delegado, rindió concepto s</w:t>
      </w:r>
      <w:r w:rsidRPr="00E00F43">
        <w:rPr>
          <w:rFonts w:ascii="Times New Roman" w:hAnsi="Times New Roman" w:cs="Times New Roman"/>
          <w:sz w:val="28"/>
          <w:szCs w:val="24"/>
          <w:lang w:val="es-ES"/>
        </w:rPr>
        <w:t>in plantear una solicitud expresa</w:t>
      </w:r>
      <w:r w:rsidRPr="00E00F43">
        <w:rPr>
          <w:rFonts w:ascii="Times New Roman" w:hAnsi="Times New Roman" w:cs="Times New Roman"/>
          <w:sz w:val="28"/>
          <w:szCs w:val="24"/>
          <w:lang w:val="es-ES"/>
        </w:rPr>
        <w:t>.</w:t>
      </w:r>
      <w:r w:rsidRPr="00E00F43">
        <w:rPr>
          <w:rFonts w:ascii="Times New Roman" w:hAnsi="Times New Roman" w:cs="Times New Roman"/>
          <w:sz w:val="28"/>
          <w:szCs w:val="24"/>
          <w:lang w:val="es-ES"/>
        </w:rPr>
        <w:t xml:space="preserve"> </w:t>
      </w:r>
      <w:r w:rsidRPr="00E00F43">
        <w:rPr>
          <w:rFonts w:ascii="Times New Roman" w:hAnsi="Times New Roman" w:cs="Times New Roman"/>
          <w:sz w:val="28"/>
          <w:szCs w:val="24"/>
          <w:lang w:val="es-ES"/>
        </w:rPr>
        <w:t>P</w:t>
      </w:r>
      <w:r w:rsidRPr="00E00F43">
        <w:rPr>
          <w:rFonts w:ascii="Times New Roman" w:hAnsi="Times New Roman" w:cs="Times New Roman"/>
          <w:sz w:val="28"/>
          <w:szCs w:val="24"/>
          <w:lang w:val="es-ES"/>
        </w:rPr>
        <w:t xml:space="preserve">recisó que la normatividad objeto de examen constitucional no causa un impacto fiscal en los términos de la Ley 819 de 2003, puesto que: </w:t>
      </w:r>
      <w:r w:rsidRPr="00E00F43">
        <w:rPr>
          <w:rFonts w:ascii="Times New Roman" w:hAnsi="Times New Roman" w:cs="Times New Roman"/>
          <w:i/>
          <w:iCs/>
          <w:sz w:val="28"/>
          <w:szCs w:val="24"/>
          <w:lang w:val="es-ES"/>
        </w:rPr>
        <w:t>(i)</w:t>
      </w:r>
      <w:r w:rsidRPr="00E00F43">
        <w:rPr>
          <w:rFonts w:ascii="Times New Roman" w:hAnsi="Times New Roman" w:cs="Times New Roman"/>
          <w:sz w:val="28"/>
          <w:szCs w:val="24"/>
          <w:lang w:val="es-ES"/>
        </w:rPr>
        <w:t xml:space="preserve"> su objeto es aum</w:t>
      </w:r>
      <w:r w:rsidRPr="00E00F43">
        <w:rPr>
          <w:rFonts w:ascii="Times New Roman" w:hAnsi="Times New Roman" w:cs="Times New Roman"/>
          <w:sz w:val="28"/>
          <w:szCs w:val="24"/>
          <w:lang w:val="es-ES"/>
        </w:rPr>
        <w:t xml:space="preserve">entar los estándares de seguridad de los vehículos nuevos, sistemas y partes que se comercializan en Colombia, y </w:t>
      </w:r>
      <w:r w:rsidRPr="00E00F43">
        <w:rPr>
          <w:rFonts w:ascii="Times New Roman" w:hAnsi="Times New Roman" w:cs="Times New Roman"/>
          <w:i/>
          <w:iCs/>
          <w:sz w:val="28"/>
          <w:szCs w:val="24"/>
          <w:lang w:val="es-ES"/>
        </w:rPr>
        <w:t xml:space="preserve">(ii) </w:t>
      </w:r>
      <w:r w:rsidRPr="00E00F43">
        <w:rPr>
          <w:rFonts w:ascii="Times New Roman" w:hAnsi="Times New Roman" w:cs="Times New Roman"/>
          <w:sz w:val="28"/>
          <w:szCs w:val="24"/>
          <w:lang w:val="es-ES"/>
        </w:rPr>
        <w:t>no establece tratamientos preferentes de beneficios tributarios</w:t>
      </w:r>
      <w:r w:rsidRPr="00E00F43">
        <w:rPr>
          <w:rFonts w:ascii="Times New Roman" w:hAnsi="Times New Roman" w:cs="Times New Roman"/>
          <w:sz w:val="28"/>
          <w:szCs w:val="24"/>
          <w:lang w:val="es-ES"/>
        </w:rPr>
        <w:t>,</w:t>
      </w:r>
      <w:r w:rsidRPr="00E00F43">
        <w:rPr>
          <w:rFonts w:ascii="Times New Roman" w:hAnsi="Times New Roman" w:cs="Times New Roman"/>
          <w:sz w:val="28"/>
          <w:szCs w:val="24"/>
          <w:lang w:val="es-ES"/>
        </w:rPr>
        <w:t xml:space="preserve"> ni modificaciones a la administración de las obligaciones tributarias, aduaneras y cambiarias que afecten los ingresos fiscales de la Nación</w:t>
      </w:r>
      <w:r w:rsidRPr="00E00F43">
        <w:rPr>
          <w:rFonts w:ascii="Times New Roman" w:hAnsi="Times New Roman" w:cs="Times New Roman"/>
          <w:sz w:val="28"/>
          <w:szCs w:val="24"/>
          <w:lang w:val="es-ES"/>
        </w:rPr>
        <w:t>. En ese sentido, se trata de medidas que no plantean un gasto adicional</w:t>
      </w:r>
      <w:r w:rsidRPr="00E00F43">
        <w:rPr>
          <w:rFonts w:ascii="Times New Roman" w:hAnsi="Times New Roman" w:cs="Times New Roman"/>
          <w:sz w:val="28"/>
          <w:szCs w:val="24"/>
          <w:lang w:val="es-ES"/>
        </w:rPr>
        <w:t>,</w:t>
      </w:r>
      <w:r w:rsidRPr="00E00F43">
        <w:rPr>
          <w:rFonts w:ascii="Times New Roman" w:hAnsi="Times New Roman" w:cs="Times New Roman"/>
          <w:sz w:val="28"/>
          <w:szCs w:val="24"/>
          <w:lang w:val="es-ES"/>
        </w:rPr>
        <w:t xml:space="preserve"> ni conllevan la reducción de ingresos. </w:t>
      </w:r>
    </w:p>
    <w:p w:rsidR="00D10DEE" w:rsidRPr="00E00F43" w:rsidRDefault="00E00F43" w:rsidP="00A542D4">
      <w:pPr>
        <w:pStyle w:val="Ttulo"/>
        <w:numPr>
          <w:ilvl w:val="0"/>
          <w:numId w:val="0"/>
        </w:numPr>
        <w:rPr>
          <w:rFonts w:ascii="Times New Roman" w:hAnsi="Times New Roman" w:cs="Times New Roman"/>
          <w:sz w:val="28"/>
        </w:rPr>
      </w:pPr>
    </w:p>
    <w:p w:rsidR="00D10DEE" w:rsidRPr="00E00F43" w:rsidRDefault="00E00F43">
      <w:pPr>
        <w:pStyle w:val="Prrafodelista"/>
        <w:numPr>
          <w:ilvl w:val="0"/>
          <w:numId w:val="2"/>
        </w:numPr>
        <w:tabs>
          <w:tab w:val="left" w:pos="0"/>
        </w:tabs>
        <w:ind w:left="0" w:firstLine="0"/>
        <w:rPr>
          <w:rFonts w:ascii="Times New Roman" w:hAnsi="Times New Roman" w:cs="Times New Roman"/>
          <w:sz w:val="28"/>
          <w:lang w:val="es-ES"/>
        </w:rPr>
      </w:pPr>
      <w:r w:rsidRPr="00E00F43">
        <w:rPr>
          <w:rFonts w:ascii="Times New Roman" w:hAnsi="Times New Roman" w:cs="Times New Roman"/>
          <w:sz w:val="28"/>
          <w:szCs w:val="24"/>
          <w:lang w:val="es-ES"/>
        </w:rPr>
        <w:t xml:space="preserve"> </w:t>
      </w:r>
      <w:r w:rsidRPr="00E00F43">
        <w:rPr>
          <w:rFonts w:ascii="Times New Roman" w:hAnsi="Times New Roman" w:cs="Times New Roman"/>
          <w:b/>
          <w:bCs/>
          <w:sz w:val="28"/>
          <w:szCs w:val="24"/>
          <w:lang w:val="es-ES"/>
        </w:rPr>
        <w:t xml:space="preserve">Ministerio de Industria y Comercio. </w:t>
      </w:r>
      <w:r w:rsidRPr="00E00F43">
        <w:rPr>
          <w:rFonts w:ascii="Times New Roman" w:hAnsi="Times New Roman" w:cs="Times New Roman"/>
          <w:sz w:val="28"/>
          <w:szCs w:val="24"/>
          <w:lang w:val="es-ES"/>
        </w:rPr>
        <w:t xml:space="preserve">El </w:t>
      </w:r>
      <w:r w:rsidRPr="00E00F43">
        <w:rPr>
          <w:rFonts w:ascii="Times New Roman" w:hAnsi="Times New Roman" w:cs="Times New Roman"/>
          <w:sz w:val="28"/>
          <w:szCs w:val="24"/>
          <w:lang w:val="es-ES"/>
        </w:rPr>
        <w:t>jefe</w:t>
      </w:r>
      <w:r w:rsidRPr="00E00F43">
        <w:rPr>
          <w:rStyle w:val="Refdenotaalpie"/>
          <w:rFonts w:ascii="Times New Roman" w:hAnsi="Times New Roman"/>
          <w:sz w:val="28"/>
          <w:szCs w:val="24"/>
          <w:lang w:val="es-ES"/>
        </w:rPr>
        <w:footnoteReference w:id="6"/>
      </w:r>
      <w:r w:rsidRPr="00E00F43">
        <w:rPr>
          <w:rFonts w:ascii="Times New Roman" w:hAnsi="Times New Roman" w:cs="Times New Roman"/>
          <w:sz w:val="28"/>
          <w:szCs w:val="24"/>
          <w:lang w:val="es-ES"/>
        </w:rPr>
        <w:t xml:space="preserve"> de la oficina </w:t>
      </w:r>
      <w:r w:rsidRPr="00E00F43">
        <w:rPr>
          <w:rFonts w:ascii="Times New Roman" w:hAnsi="Times New Roman" w:cs="Times New Roman"/>
          <w:sz w:val="28"/>
          <w:szCs w:val="24"/>
          <w:lang w:val="es-ES"/>
        </w:rPr>
        <w:t xml:space="preserve">asesora jurídica de esta entidad </w:t>
      </w:r>
      <w:r w:rsidRPr="00E00F43">
        <w:rPr>
          <w:rFonts w:ascii="Times New Roman" w:hAnsi="Times New Roman" w:cs="Times New Roman"/>
          <w:sz w:val="28"/>
          <w:szCs w:val="24"/>
          <w:lang w:val="es-ES"/>
        </w:rPr>
        <w:t xml:space="preserve">solicitó </w:t>
      </w:r>
      <w:r w:rsidRPr="00E00F43">
        <w:rPr>
          <w:rFonts w:ascii="Times New Roman" w:hAnsi="Times New Roman" w:cs="Times New Roman"/>
          <w:sz w:val="28"/>
          <w:szCs w:val="24"/>
          <w:lang w:val="es-ES"/>
        </w:rPr>
        <w:t xml:space="preserve">declarar </w:t>
      </w:r>
      <w:r w:rsidRPr="00E00F43">
        <w:rPr>
          <w:rFonts w:ascii="Times New Roman" w:hAnsi="Times New Roman" w:cs="Times New Roman"/>
          <w:sz w:val="28"/>
          <w:szCs w:val="24"/>
          <w:lang w:val="es-ES"/>
        </w:rPr>
        <w:t>exequible la Ley 2290 de 2023. Como fundamento indicó que, en primer lugar, el Sistema Nacional de la Calidad – SICAL y el Programa Pro-Motion de</w:t>
      </w:r>
      <w:r w:rsidRPr="00E00F43">
        <w:rPr>
          <w:rFonts w:ascii="Times New Roman" w:hAnsi="Times New Roman" w:cs="Times New Roman"/>
          <w:sz w:val="28"/>
          <w:szCs w:val="24"/>
          <w:lang w:val="es-ES"/>
        </w:rPr>
        <w:t xml:space="preserve"> la Organización de las Naciones Unidas para el Desarrollo Industrial han recomendado a</w:t>
      </w:r>
      <w:r w:rsidRPr="00E00F43">
        <w:rPr>
          <w:rFonts w:ascii="Times New Roman" w:hAnsi="Times New Roman" w:cs="Times New Roman"/>
          <w:sz w:val="28"/>
          <w:szCs w:val="24"/>
          <w:lang w:val="es-ES"/>
        </w:rPr>
        <w:t xml:space="preserve"> ese</w:t>
      </w:r>
      <w:r w:rsidRPr="00E00F43">
        <w:rPr>
          <w:rFonts w:ascii="Times New Roman" w:hAnsi="Times New Roman" w:cs="Times New Roman"/>
          <w:sz w:val="28"/>
          <w:szCs w:val="24"/>
          <w:lang w:val="es-ES"/>
        </w:rPr>
        <w:t xml:space="preserve"> Ministerio y a la Agencia Nacional de Seguridad Vial adoptar reglamentos técnicos internacionales y/o armonizarlos con la regulación interna en materia vial. En seg</w:t>
      </w:r>
      <w:r w:rsidRPr="00E00F43">
        <w:rPr>
          <w:rFonts w:ascii="Times New Roman" w:hAnsi="Times New Roman" w:cs="Times New Roman"/>
          <w:sz w:val="28"/>
          <w:szCs w:val="24"/>
          <w:lang w:val="es-ES"/>
        </w:rPr>
        <w:t>undo lugar, indicó que el Acuerdo bajo estudio permite la internacionalización de la industria nacional porque evita los mayores costos que se generan cuando se persigue el cumplimiento de otros reglamentos internacionales. En tercer lugar, mencionó que, d</w:t>
      </w:r>
      <w:r w:rsidRPr="00E00F43">
        <w:rPr>
          <w:rFonts w:ascii="Times New Roman" w:hAnsi="Times New Roman" w:cs="Times New Roman"/>
          <w:sz w:val="28"/>
          <w:szCs w:val="24"/>
          <w:lang w:val="es-ES"/>
        </w:rPr>
        <w:t xml:space="preserve">e acuerdo con el Decreto 1595 de 2023, los reglamentos técnicos en materia vehicular deben basarse en los estándares internacionales. Finalmente, insistió en que se trata de una normatividad que contribuye a la adopción de buenas prácticas en el país.  </w:t>
      </w:r>
    </w:p>
    <w:p w:rsidR="00AB2DBD" w:rsidRPr="00E00F43" w:rsidRDefault="00E00F43" w:rsidP="00A542D4">
      <w:pPr>
        <w:pStyle w:val="Ttulo"/>
        <w:numPr>
          <w:ilvl w:val="0"/>
          <w:numId w:val="0"/>
        </w:numPr>
        <w:rPr>
          <w:rFonts w:ascii="Times New Roman" w:hAnsi="Times New Roman" w:cs="Times New Roman"/>
          <w:sz w:val="28"/>
        </w:rPr>
      </w:pPr>
    </w:p>
    <w:p w:rsidR="00AB2DBD"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 xml:space="preserve">Superintendencia de Transporte. </w:t>
      </w:r>
      <w:r w:rsidRPr="00E00F43">
        <w:rPr>
          <w:rFonts w:ascii="Times New Roman" w:hAnsi="Times New Roman" w:cs="Times New Roman"/>
          <w:sz w:val="28"/>
        </w:rPr>
        <w:t>La</w:t>
      </w:r>
      <w:r w:rsidRPr="00E00F43">
        <w:rPr>
          <w:rFonts w:ascii="Times New Roman" w:hAnsi="Times New Roman" w:cs="Times New Roman"/>
          <w:sz w:val="28"/>
        </w:rPr>
        <w:t xml:space="preserve"> superintendente de Transporte</w:t>
      </w:r>
      <w:r w:rsidRPr="00E00F43">
        <w:rPr>
          <w:rStyle w:val="Refdenotaalpie"/>
          <w:rFonts w:ascii="Times New Roman" w:hAnsi="Times New Roman"/>
          <w:sz w:val="28"/>
        </w:rPr>
        <w:footnoteReference w:id="7"/>
      </w:r>
      <w:r w:rsidRPr="00E00F43">
        <w:rPr>
          <w:rFonts w:ascii="Times New Roman" w:hAnsi="Times New Roman" w:cs="Times New Roman"/>
          <w:sz w:val="28"/>
        </w:rPr>
        <w:t xml:space="preserve"> solicitó declarar la constitucionalidad del instrumento internacional porque en su criterio: </w:t>
      </w:r>
      <w:r w:rsidRPr="00E00F43">
        <w:rPr>
          <w:rFonts w:ascii="Times New Roman" w:hAnsi="Times New Roman" w:cs="Times New Roman"/>
          <w:i/>
          <w:iCs/>
          <w:sz w:val="28"/>
        </w:rPr>
        <w:t>(i)</w:t>
      </w:r>
      <w:r w:rsidRPr="00E00F43">
        <w:rPr>
          <w:rFonts w:ascii="Times New Roman" w:hAnsi="Times New Roman" w:cs="Times New Roman"/>
          <w:sz w:val="28"/>
        </w:rPr>
        <w:t xml:space="preserve"> propende por el fortalecimiento de los compromisos estatales en materia de mayores estándares de seguridad para los vehículos </w:t>
      </w:r>
      <w:r w:rsidRPr="00E00F43">
        <w:rPr>
          <w:rFonts w:ascii="Times New Roman" w:hAnsi="Times New Roman" w:cs="Times New Roman"/>
          <w:sz w:val="28"/>
        </w:rPr>
        <w:t>con el fin de</w:t>
      </w:r>
      <w:r w:rsidRPr="00E00F43">
        <w:rPr>
          <w:rFonts w:ascii="Times New Roman" w:hAnsi="Times New Roman" w:cs="Times New Roman"/>
          <w:sz w:val="28"/>
        </w:rPr>
        <w:t xml:space="preserve"> mejorar los niveles de seguridad vial y </w:t>
      </w:r>
      <w:r w:rsidRPr="00E00F43">
        <w:rPr>
          <w:rFonts w:ascii="Times New Roman" w:hAnsi="Times New Roman" w:cs="Times New Roman"/>
          <w:sz w:val="28"/>
        </w:rPr>
        <w:t xml:space="preserve">el </w:t>
      </w:r>
      <w:r w:rsidRPr="00E00F43">
        <w:rPr>
          <w:rFonts w:ascii="Times New Roman" w:hAnsi="Times New Roman" w:cs="Times New Roman"/>
          <w:sz w:val="28"/>
        </w:rPr>
        <w:t xml:space="preserve">desarrollo sostenible; </w:t>
      </w:r>
      <w:r w:rsidRPr="00E00F43">
        <w:rPr>
          <w:rFonts w:ascii="Times New Roman" w:hAnsi="Times New Roman" w:cs="Times New Roman"/>
          <w:i/>
          <w:iCs/>
          <w:sz w:val="28"/>
        </w:rPr>
        <w:t>(ii)</w:t>
      </w:r>
      <w:r w:rsidRPr="00E00F43">
        <w:rPr>
          <w:rFonts w:ascii="Times New Roman" w:hAnsi="Times New Roman" w:cs="Times New Roman"/>
          <w:sz w:val="28"/>
        </w:rPr>
        <w:t xml:space="preserve"> tiene un impacto positivo en la fabricación </w:t>
      </w:r>
      <w:r w:rsidRPr="00E00F43">
        <w:rPr>
          <w:rFonts w:ascii="Times New Roman" w:hAnsi="Times New Roman" w:cs="Times New Roman"/>
          <w:sz w:val="28"/>
        </w:rPr>
        <w:t>y comercialización de vehículos y sus componentes porque eleva los estándares de seguridad, calidad y sostenibilidad ambiental</w:t>
      </w:r>
      <w:r w:rsidRPr="00E00F43">
        <w:rPr>
          <w:rFonts w:ascii="Times New Roman" w:hAnsi="Times New Roman" w:cs="Times New Roman"/>
          <w:sz w:val="28"/>
        </w:rPr>
        <w:t>,</w:t>
      </w:r>
      <w:r w:rsidRPr="00E00F43">
        <w:rPr>
          <w:rFonts w:ascii="Times New Roman" w:hAnsi="Times New Roman" w:cs="Times New Roman"/>
          <w:sz w:val="28"/>
        </w:rPr>
        <w:t xml:space="preserve"> y </w:t>
      </w:r>
      <w:r w:rsidRPr="00E00F43">
        <w:rPr>
          <w:rFonts w:ascii="Times New Roman" w:hAnsi="Times New Roman" w:cs="Times New Roman"/>
          <w:i/>
          <w:iCs/>
          <w:sz w:val="28"/>
        </w:rPr>
        <w:t>(iii)</w:t>
      </w:r>
      <w:r w:rsidRPr="00E00F43">
        <w:rPr>
          <w:rFonts w:ascii="Times New Roman" w:hAnsi="Times New Roman" w:cs="Times New Roman"/>
          <w:sz w:val="28"/>
        </w:rPr>
        <w:t xml:space="preserve"> con este Acuerdo se contribuye a mejorar las cifras de siniestralidad vial que afectan al país</w:t>
      </w:r>
      <w:r w:rsidRPr="00E00F43">
        <w:rPr>
          <w:rFonts w:ascii="Times New Roman" w:hAnsi="Times New Roman" w:cs="Times New Roman"/>
          <w:sz w:val="28"/>
        </w:rPr>
        <w:t>, de tal forma que se prot</w:t>
      </w:r>
      <w:r w:rsidRPr="00E00F43">
        <w:rPr>
          <w:rFonts w:ascii="Times New Roman" w:hAnsi="Times New Roman" w:cs="Times New Roman"/>
          <w:sz w:val="28"/>
        </w:rPr>
        <w:t xml:space="preserve">ege </w:t>
      </w:r>
      <w:r w:rsidRPr="00E00F43">
        <w:rPr>
          <w:rFonts w:ascii="Times New Roman" w:hAnsi="Times New Roman" w:cs="Times New Roman"/>
          <w:sz w:val="28"/>
        </w:rPr>
        <w:t xml:space="preserve">el derecho fundamental a la vida de las personas en el territorio nacional. </w:t>
      </w:r>
      <w:r w:rsidRPr="00E00F43">
        <w:rPr>
          <w:rFonts w:ascii="Times New Roman" w:hAnsi="Times New Roman" w:cs="Times New Roman"/>
          <w:sz w:val="28"/>
        </w:rPr>
        <w:t xml:space="preserve">  </w:t>
      </w:r>
    </w:p>
    <w:p w:rsidR="00C658B0" w:rsidRPr="00E00F43" w:rsidRDefault="00E00F43" w:rsidP="00A542D4">
      <w:pPr>
        <w:pStyle w:val="Ttulo"/>
        <w:numPr>
          <w:ilvl w:val="0"/>
          <w:numId w:val="0"/>
        </w:numPr>
        <w:rPr>
          <w:rFonts w:ascii="Times New Roman" w:hAnsi="Times New Roman" w:cs="Times New Roman"/>
          <w:sz w:val="28"/>
        </w:rPr>
      </w:pPr>
    </w:p>
    <w:p w:rsidR="00C658B0" w:rsidRPr="00E00F43" w:rsidRDefault="00E00F43">
      <w:pPr>
        <w:pStyle w:val="Prrafodelista"/>
        <w:numPr>
          <w:ilvl w:val="0"/>
          <w:numId w:val="2"/>
        </w:numPr>
        <w:ind w:left="0" w:firstLine="0"/>
        <w:rPr>
          <w:rFonts w:ascii="Times New Roman" w:hAnsi="Times New Roman" w:cs="Times New Roman"/>
          <w:sz w:val="28"/>
          <w:lang w:val="es-ES"/>
        </w:rPr>
      </w:pPr>
      <w:r w:rsidRPr="00E00F43">
        <w:rPr>
          <w:rFonts w:ascii="Times New Roman" w:hAnsi="Times New Roman" w:cs="Times New Roman"/>
          <w:b/>
          <w:bCs/>
          <w:sz w:val="28"/>
          <w:szCs w:val="24"/>
          <w:lang w:val="es-ES"/>
        </w:rPr>
        <w:t>Agencia Nacional de Seguridad Vial</w:t>
      </w:r>
      <w:r w:rsidRPr="00E00F43">
        <w:rPr>
          <w:rFonts w:ascii="Times New Roman" w:hAnsi="Times New Roman" w:cs="Times New Roman"/>
          <w:sz w:val="28"/>
          <w:szCs w:val="24"/>
          <w:lang w:val="es-ES"/>
        </w:rPr>
        <w:t xml:space="preserve">. </w:t>
      </w:r>
      <w:r w:rsidRPr="00E00F43">
        <w:rPr>
          <w:rFonts w:ascii="Times New Roman" w:hAnsi="Times New Roman" w:cs="Times New Roman"/>
          <w:sz w:val="28"/>
          <w:szCs w:val="24"/>
          <w:lang w:val="es-ES"/>
        </w:rPr>
        <w:t>El jefe (</w:t>
      </w:r>
      <w:r w:rsidRPr="00E00F43">
        <w:rPr>
          <w:rFonts w:ascii="Times New Roman" w:hAnsi="Times New Roman" w:cs="Times New Roman"/>
          <w:sz w:val="28"/>
          <w:szCs w:val="24"/>
          <w:lang w:val="es-ES"/>
        </w:rPr>
        <w:t>E</w:t>
      </w:r>
      <w:r w:rsidRPr="00E00F43">
        <w:rPr>
          <w:rFonts w:ascii="Times New Roman" w:hAnsi="Times New Roman" w:cs="Times New Roman"/>
          <w:sz w:val="28"/>
          <w:szCs w:val="24"/>
          <w:lang w:val="es-ES"/>
        </w:rPr>
        <w:t>)</w:t>
      </w:r>
      <w:r w:rsidRPr="00E00F43">
        <w:rPr>
          <w:rStyle w:val="Refdenotaalpie"/>
          <w:rFonts w:ascii="Times New Roman" w:hAnsi="Times New Roman"/>
          <w:sz w:val="28"/>
          <w:szCs w:val="24"/>
          <w:lang w:val="es-ES"/>
        </w:rPr>
        <w:footnoteReference w:id="8"/>
      </w:r>
      <w:r w:rsidRPr="00E00F43">
        <w:rPr>
          <w:rFonts w:ascii="Times New Roman" w:hAnsi="Times New Roman" w:cs="Times New Roman"/>
          <w:sz w:val="28"/>
          <w:szCs w:val="24"/>
          <w:lang w:val="es-ES"/>
        </w:rPr>
        <w:t xml:space="preserve"> de la </w:t>
      </w:r>
      <w:r w:rsidRPr="00E00F43">
        <w:rPr>
          <w:rFonts w:ascii="Times New Roman" w:hAnsi="Times New Roman" w:cs="Times New Roman"/>
          <w:sz w:val="28"/>
          <w:szCs w:val="24"/>
          <w:lang w:val="es-ES"/>
        </w:rPr>
        <w:t>o</w:t>
      </w:r>
      <w:r w:rsidRPr="00E00F43">
        <w:rPr>
          <w:rFonts w:ascii="Times New Roman" w:hAnsi="Times New Roman" w:cs="Times New Roman"/>
          <w:sz w:val="28"/>
          <w:szCs w:val="24"/>
          <w:lang w:val="es-ES"/>
        </w:rPr>
        <w:t xml:space="preserve">ficina </w:t>
      </w:r>
      <w:r w:rsidRPr="00E00F43">
        <w:rPr>
          <w:rFonts w:ascii="Times New Roman" w:hAnsi="Times New Roman" w:cs="Times New Roman"/>
          <w:sz w:val="28"/>
          <w:szCs w:val="24"/>
          <w:lang w:val="es-ES"/>
        </w:rPr>
        <w:t>a</w:t>
      </w:r>
      <w:r w:rsidRPr="00E00F43">
        <w:rPr>
          <w:rFonts w:ascii="Times New Roman" w:hAnsi="Times New Roman" w:cs="Times New Roman"/>
          <w:sz w:val="28"/>
          <w:szCs w:val="24"/>
          <w:lang w:val="es-ES"/>
        </w:rPr>
        <w:t xml:space="preserve">sesora </w:t>
      </w:r>
      <w:r w:rsidRPr="00E00F43">
        <w:rPr>
          <w:rFonts w:ascii="Times New Roman" w:hAnsi="Times New Roman" w:cs="Times New Roman"/>
          <w:sz w:val="28"/>
          <w:szCs w:val="24"/>
          <w:lang w:val="es-ES"/>
        </w:rPr>
        <w:t>j</w:t>
      </w:r>
      <w:r w:rsidRPr="00E00F43">
        <w:rPr>
          <w:rFonts w:ascii="Times New Roman" w:hAnsi="Times New Roman" w:cs="Times New Roman"/>
          <w:sz w:val="28"/>
          <w:szCs w:val="24"/>
          <w:lang w:val="es-ES"/>
        </w:rPr>
        <w:t xml:space="preserve">urídica de </w:t>
      </w:r>
      <w:r w:rsidRPr="00E00F43">
        <w:rPr>
          <w:rFonts w:ascii="Times New Roman" w:hAnsi="Times New Roman" w:cs="Times New Roman"/>
          <w:sz w:val="28"/>
          <w:szCs w:val="24"/>
          <w:lang w:val="es-ES"/>
        </w:rPr>
        <w:t>esta</w:t>
      </w:r>
      <w:r w:rsidRPr="00E00F43">
        <w:rPr>
          <w:rFonts w:ascii="Times New Roman" w:hAnsi="Times New Roman" w:cs="Times New Roman"/>
          <w:sz w:val="28"/>
          <w:szCs w:val="24"/>
          <w:lang w:val="es-ES"/>
        </w:rPr>
        <w:t xml:space="preserve"> </w:t>
      </w:r>
      <w:r w:rsidRPr="00E00F43">
        <w:rPr>
          <w:rFonts w:ascii="Times New Roman" w:hAnsi="Times New Roman" w:cs="Times New Roman"/>
          <w:sz w:val="28"/>
          <w:szCs w:val="24"/>
          <w:lang w:val="es-ES"/>
        </w:rPr>
        <w:t xml:space="preserve">entidad </w:t>
      </w:r>
      <w:r w:rsidRPr="00E00F43">
        <w:rPr>
          <w:rFonts w:ascii="Times New Roman" w:hAnsi="Times New Roman" w:cs="Times New Roman"/>
          <w:sz w:val="28"/>
          <w:szCs w:val="24"/>
          <w:lang w:val="es-ES"/>
        </w:rPr>
        <w:t>solicitó</w:t>
      </w:r>
      <w:r w:rsidRPr="00E00F43">
        <w:rPr>
          <w:rFonts w:ascii="Times New Roman" w:hAnsi="Times New Roman" w:cs="Times New Roman"/>
          <w:sz w:val="28"/>
          <w:szCs w:val="24"/>
          <w:lang w:val="es-ES"/>
        </w:rPr>
        <w:t xml:space="preserve"> declarar exequible la Ley 2290 de 2023 porque, en su concepto</w:t>
      </w:r>
      <w:r w:rsidRPr="00E00F43">
        <w:rPr>
          <w:rFonts w:ascii="Times New Roman" w:hAnsi="Times New Roman" w:cs="Times New Roman"/>
          <w:sz w:val="28"/>
          <w:szCs w:val="24"/>
          <w:lang w:val="es-ES"/>
        </w:rPr>
        <w:t>:</w:t>
      </w:r>
      <w:r w:rsidRPr="00E00F43">
        <w:rPr>
          <w:rFonts w:ascii="Times New Roman" w:hAnsi="Times New Roman" w:cs="Times New Roman"/>
          <w:sz w:val="28"/>
          <w:szCs w:val="24"/>
          <w:lang w:val="es-ES"/>
        </w:rPr>
        <w:t xml:space="preserve"> </w:t>
      </w:r>
      <w:r w:rsidRPr="00E00F43">
        <w:rPr>
          <w:rFonts w:ascii="Times New Roman" w:hAnsi="Times New Roman" w:cs="Times New Roman"/>
          <w:i/>
          <w:iCs/>
          <w:sz w:val="28"/>
          <w:szCs w:val="24"/>
          <w:lang w:val="es-ES"/>
        </w:rPr>
        <w:t>(i)</w:t>
      </w:r>
      <w:r w:rsidRPr="00E00F43">
        <w:rPr>
          <w:rFonts w:ascii="Times New Roman" w:hAnsi="Times New Roman" w:cs="Times New Roman"/>
          <w:sz w:val="28"/>
          <w:szCs w:val="24"/>
          <w:lang w:val="es-ES"/>
        </w:rPr>
        <w:t xml:space="preserve"> “es una obligación del Estado la protección del derecho a la vida y a la integridad humana, [por lo que] le corresponde propender por la seguridad de todos los actores viales, adoptando las medidas necesarias para reducir el riesgo de lesiones y muertes c</w:t>
      </w:r>
      <w:r w:rsidRPr="00E00F43">
        <w:rPr>
          <w:rFonts w:ascii="Times New Roman" w:hAnsi="Times New Roman" w:cs="Times New Roman"/>
          <w:sz w:val="28"/>
          <w:szCs w:val="24"/>
          <w:lang w:val="es-ES"/>
        </w:rPr>
        <w:t xml:space="preserve">ausadas por accidentes de tránsito”; </w:t>
      </w:r>
      <w:r w:rsidRPr="00E00F43">
        <w:rPr>
          <w:rFonts w:ascii="Times New Roman" w:hAnsi="Times New Roman" w:cs="Times New Roman"/>
          <w:i/>
          <w:iCs/>
          <w:sz w:val="28"/>
          <w:szCs w:val="24"/>
          <w:lang w:val="es-ES"/>
        </w:rPr>
        <w:t>(ii)</w:t>
      </w:r>
      <w:r w:rsidRPr="00E00F43">
        <w:rPr>
          <w:rFonts w:ascii="Times New Roman" w:hAnsi="Times New Roman" w:cs="Times New Roman"/>
          <w:sz w:val="28"/>
          <w:szCs w:val="24"/>
          <w:lang w:val="es-ES"/>
        </w:rPr>
        <w:t xml:space="preserve"> “una de las recomendaciones que se han realizado a nivel mundial para disminuir la siniestralidad vial, es la regulación y exigencia de mayores estándares de seguridad de los vehículos automotores, por lo tanto, a </w:t>
      </w:r>
      <w:r w:rsidRPr="00E00F43">
        <w:rPr>
          <w:rFonts w:ascii="Times New Roman" w:hAnsi="Times New Roman" w:cs="Times New Roman"/>
          <w:sz w:val="28"/>
          <w:szCs w:val="24"/>
          <w:lang w:val="es-ES"/>
        </w:rPr>
        <w:t xml:space="preserve">nivel internacional se han logrado avances fundamentales en cuanto a la armonización y la estandarización de las normas nacionales de fabricación de vehículos y de sus componentes”; en ese sentido, </w:t>
      </w:r>
      <w:r w:rsidRPr="00E00F43">
        <w:rPr>
          <w:rFonts w:ascii="Times New Roman" w:hAnsi="Times New Roman" w:cs="Times New Roman"/>
          <w:i/>
          <w:iCs/>
          <w:sz w:val="28"/>
          <w:szCs w:val="24"/>
          <w:lang w:val="es-ES"/>
        </w:rPr>
        <w:t xml:space="preserve">(iii) </w:t>
      </w:r>
      <w:r w:rsidRPr="00E00F43">
        <w:rPr>
          <w:rFonts w:ascii="Times New Roman" w:hAnsi="Times New Roman" w:cs="Times New Roman"/>
          <w:sz w:val="28"/>
          <w:szCs w:val="24"/>
          <w:lang w:val="es-ES"/>
        </w:rPr>
        <w:t>el instrumento internacional adoptado mediante la Le</w:t>
      </w:r>
      <w:r w:rsidRPr="00E00F43">
        <w:rPr>
          <w:rFonts w:ascii="Times New Roman" w:hAnsi="Times New Roman" w:cs="Times New Roman"/>
          <w:sz w:val="28"/>
          <w:szCs w:val="24"/>
          <w:lang w:val="es-ES"/>
        </w:rPr>
        <w:t>y mencionada se circunscribe en este propósito</w:t>
      </w:r>
      <w:r w:rsidRPr="00E00F43">
        <w:rPr>
          <w:rFonts w:ascii="Times New Roman" w:hAnsi="Times New Roman" w:cs="Times New Roman"/>
          <w:sz w:val="28"/>
          <w:szCs w:val="24"/>
          <w:lang w:val="es-ES"/>
        </w:rPr>
        <w:t xml:space="preserve">, sumado a que </w:t>
      </w:r>
      <w:r w:rsidRPr="00E00F43">
        <w:rPr>
          <w:rFonts w:ascii="Times New Roman" w:hAnsi="Times New Roman" w:cs="Times New Roman"/>
          <w:sz w:val="28"/>
          <w:szCs w:val="24"/>
          <w:lang w:val="es-ES"/>
        </w:rPr>
        <w:t xml:space="preserve">es concordante con los objetivos generales y específicos del Plan Nacional de Seguridad Vial 2022-2031. </w:t>
      </w:r>
      <w:r w:rsidRPr="00E00F43">
        <w:rPr>
          <w:rFonts w:ascii="Times New Roman" w:hAnsi="Times New Roman" w:cs="Times New Roman"/>
          <w:sz w:val="28"/>
          <w:szCs w:val="24"/>
          <w:lang w:val="es-ES"/>
        </w:rPr>
        <w:t xml:space="preserve">Finalizó indicando que </w:t>
      </w:r>
      <w:r w:rsidRPr="00E00F43">
        <w:rPr>
          <w:rFonts w:ascii="Times New Roman" w:hAnsi="Times New Roman" w:cs="Times New Roman"/>
          <w:i/>
          <w:iCs/>
          <w:sz w:val="28"/>
          <w:szCs w:val="24"/>
          <w:lang w:val="es-ES"/>
        </w:rPr>
        <w:t xml:space="preserve">(iv) </w:t>
      </w:r>
      <w:r w:rsidRPr="00E00F43">
        <w:rPr>
          <w:rFonts w:ascii="Times New Roman" w:hAnsi="Times New Roman" w:cs="Times New Roman"/>
          <w:sz w:val="28"/>
          <w:szCs w:val="24"/>
          <w:lang w:val="es-ES"/>
        </w:rPr>
        <w:t xml:space="preserve">la Ley 2290 de 2023 cumplió con el trámite formal requerido en </w:t>
      </w:r>
      <w:r w:rsidRPr="00E00F43">
        <w:rPr>
          <w:rFonts w:ascii="Times New Roman" w:hAnsi="Times New Roman" w:cs="Times New Roman"/>
          <w:sz w:val="28"/>
          <w:szCs w:val="24"/>
          <w:lang w:val="es-ES"/>
        </w:rPr>
        <w:t xml:space="preserve">la legislación colombiana para las leyes aprobatorias de tratados internacionales. </w:t>
      </w:r>
    </w:p>
    <w:p w:rsidR="00D246F6" w:rsidRPr="00E00F43" w:rsidRDefault="00E00F43" w:rsidP="00A542D4">
      <w:pPr>
        <w:pStyle w:val="Ttulo"/>
        <w:numPr>
          <w:ilvl w:val="0"/>
          <w:numId w:val="0"/>
        </w:numPr>
        <w:rPr>
          <w:rFonts w:ascii="Times New Roman" w:hAnsi="Times New Roman" w:cs="Times New Roman"/>
          <w:sz w:val="28"/>
        </w:rPr>
      </w:pPr>
    </w:p>
    <w:p w:rsidR="00D246F6" w:rsidRPr="00E00F43" w:rsidRDefault="00E00F43">
      <w:pPr>
        <w:pStyle w:val="Prrafodelista"/>
        <w:numPr>
          <w:ilvl w:val="0"/>
          <w:numId w:val="2"/>
        </w:numPr>
        <w:tabs>
          <w:tab w:val="left" w:pos="426"/>
        </w:tabs>
        <w:ind w:left="0" w:firstLine="0"/>
        <w:rPr>
          <w:rFonts w:ascii="Times New Roman" w:hAnsi="Times New Roman" w:cs="Times New Roman"/>
          <w:sz w:val="28"/>
          <w:lang w:val="es-ES"/>
        </w:rPr>
      </w:pPr>
      <w:r w:rsidRPr="00E00F43">
        <w:rPr>
          <w:rFonts w:ascii="Times New Roman" w:hAnsi="Times New Roman" w:cs="Times New Roman"/>
          <w:sz w:val="28"/>
          <w:szCs w:val="24"/>
          <w:lang w:val="es-ES"/>
        </w:rPr>
        <w:t xml:space="preserve"> </w:t>
      </w:r>
      <w:r w:rsidRPr="00E00F43">
        <w:rPr>
          <w:rFonts w:ascii="Times New Roman" w:hAnsi="Times New Roman" w:cs="Times New Roman"/>
          <w:b/>
          <w:bCs/>
          <w:sz w:val="28"/>
          <w:szCs w:val="24"/>
          <w:lang w:val="es-ES"/>
        </w:rPr>
        <w:t xml:space="preserve">Superintendencia de Industria y Comercio. </w:t>
      </w:r>
      <w:r w:rsidRPr="00E00F43">
        <w:rPr>
          <w:rFonts w:ascii="Times New Roman" w:hAnsi="Times New Roman" w:cs="Times New Roman"/>
          <w:sz w:val="28"/>
          <w:szCs w:val="24"/>
          <w:lang w:val="es-ES"/>
        </w:rPr>
        <w:t>La coordinadora</w:t>
      </w:r>
      <w:r w:rsidRPr="00E00F43">
        <w:rPr>
          <w:rStyle w:val="Refdenotaalpie"/>
          <w:rFonts w:ascii="Times New Roman" w:hAnsi="Times New Roman"/>
          <w:sz w:val="28"/>
          <w:szCs w:val="24"/>
          <w:lang w:val="es-ES"/>
        </w:rPr>
        <w:footnoteReference w:id="9"/>
      </w:r>
      <w:r w:rsidRPr="00E00F43">
        <w:rPr>
          <w:rFonts w:ascii="Times New Roman" w:hAnsi="Times New Roman" w:cs="Times New Roman"/>
          <w:sz w:val="28"/>
          <w:szCs w:val="24"/>
          <w:lang w:val="es-ES"/>
        </w:rPr>
        <w:t xml:space="preserve"> del </w:t>
      </w:r>
      <w:r w:rsidRPr="00E00F43">
        <w:rPr>
          <w:rFonts w:ascii="Times New Roman" w:hAnsi="Times New Roman" w:cs="Times New Roman"/>
          <w:sz w:val="28"/>
          <w:szCs w:val="24"/>
          <w:lang w:val="es-ES"/>
        </w:rPr>
        <w:t>g</w:t>
      </w:r>
      <w:r w:rsidRPr="00E00F43">
        <w:rPr>
          <w:rFonts w:ascii="Times New Roman" w:hAnsi="Times New Roman" w:cs="Times New Roman"/>
          <w:sz w:val="28"/>
          <w:szCs w:val="24"/>
          <w:lang w:val="es-ES"/>
        </w:rPr>
        <w:t xml:space="preserve">rupo de </w:t>
      </w:r>
      <w:r w:rsidRPr="00E00F43">
        <w:rPr>
          <w:rFonts w:ascii="Times New Roman" w:hAnsi="Times New Roman" w:cs="Times New Roman"/>
          <w:sz w:val="28"/>
          <w:szCs w:val="24"/>
          <w:lang w:val="es-ES"/>
        </w:rPr>
        <w:t>g</w:t>
      </w:r>
      <w:r w:rsidRPr="00E00F43">
        <w:rPr>
          <w:rFonts w:ascii="Times New Roman" w:hAnsi="Times New Roman" w:cs="Times New Roman"/>
          <w:sz w:val="28"/>
          <w:szCs w:val="24"/>
          <w:lang w:val="es-ES"/>
        </w:rPr>
        <w:t xml:space="preserve">estión </w:t>
      </w:r>
      <w:r w:rsidRPr="00E00F43">
        <w:rPr>
          <w:rFonts w:ascii="Times New Roman" w:hAnsi="Times New Roman" w:cs="Times New Roman"/>
          <w:sz w:val="28"/>
          <w:szCs w:val="24"/>
          <w:lang w:val="es-ES"/>
        </w:rPr>
        <w:t>j</w:t>
      </w:r>
      <w:r w:rsidRPr="00E00F43">
        <w:rPr>
          <w:rFonts w:ascii="Times New Roman" w:hAnsi="Times New Roman" w:cs="Times New Roman"/>
          <w:sz w:val="28"/>
          <w:szCs w:val="24"/>
          <w:lang w:val="es-ES"/>
        </w:rPr>
        <w:t xml:space="preserve">udicial de </w:t>
      </w:r>
      <w:r w:rsidRPr="00E00F43">
        <w:rPr>
          <w:rFonts w:ascii="Times New Roman" w:hAnsi="Times New Roman" w:cs="Times New Roman"/>
          <w:sz w:val="28"/>
          <w:szCs w:val="24"/>
          <w:lang w:val="es-ES"/>
        </w:rPr>
        <w:t>esa</w:t>
      </w:r>
      <w:r w:rsidRPr="00E00F43">
        <w:rPr>
          <w:rFonts w:ascii="Times New Roman" w:hAnsi="Times New Roman" w:cs="Times New Roman"/>
          <w:sz w:val="28"/>
          <w:szCs w:val="24"/>
          <w:lang w:val="es-ES"/>
        </w:rPr>
        <w:t xml:space="preserve"> </w:t>
      </w:r>
      <w:r w:rsidRPr="00E00F43">
        <w:rPr>
          <w:rFonts w:ascii="Times New Roman" w:hAnsi="Times New Roman" w:cs="Times New Roman"/>
          <w:sz w:val="28"/>
          <w:szCs w:val="24"/>
          <w:lang w:val="es-ES"/>
        </w:rPr>
        <w:t>s</w:t>
      </w:r>
      <w:r w:rsidRPr="00E00F43">
        <w:rPr>
          <w:rFonts w:ascii="Times New Roman" w:hAnsi="Times New Roman" w:cs="Times New Roman"/>
          <w:sz w:val="28"/>
          <w:szCs w:val="24"/>
          <w:lang w:val="es-ES"/>
        </w:rPr>
        <w:t xml:space="preserve">uperintendencia solicitó declarar la exequibilidad de la Ley 2290 de 2023. Como fundamento sostuvo que la adopción del Acuerdo que allí se aprueba acarrea, por un lado, amplios beneficios en materia de seguridad y calidad de los vehículos que se </w:t>
      </w:r>
      <w:r w:rsidRPr="00E00F43">
        <w:rPr>
          <w:rFonts w:ascii="Times New Roman" w:hAnsi="Times New Roman" w:cs="Times New Roman"/>
          <w:sz w:val="28"/>
          <w:szCs w:val="24"/>
          <w:lang w:val="es-ES"/>
        </w:rPr>
        <w:t>produzcan,</w:t>
      </w:r>
      <w:r w:rsidRPr="00E00F43">
        <w:rPr>
          <w:rFonts w:ascii="Times New Roman" w:hAnsi="Times New Roman" w:cs="Times New Roman"/>
          <w:sz w:val="28"/>
          <w:szCs w:val="24"/>
          <w:lang w:val="es-ES"/>
        </w:rPr>
        <w:t xml:space="preserve"> comercialicen y utilicen </w:t>
      </w:r>
      <w:r w:rsidRPr="00E00F43">
        <w:rPr>
          <w:rFonts w:ascii="Times New Roman" w:hAnsi="Times New Roman" w:cs="Times New Roman"/>
          <w:sz w:val="28"/>
          <w:szCs w:val="24"/>
          <w:lang w:val="es-ES"/>
        </w:rPr>
        <w:t>en el territorio nacional</w:t>
      </w:r>
      <w:r w:rsidRPr="00E00F43">
        <w:rPr>
          <w:rFonts w:ascii="Times New Roman" w:hAnsi="Times New Roman" w:cs="Times New Roman"/>
          <w:sz w:val="28"/>
          <w:szCs w:val="24"/>
          <w:lang w:val="es-ES"/>
        </w:rPr>
        <w:t xml:space="preserve">, lo que </w:t>
      </w:r>
      <w:r w:rsidRPr="00E00F43">
        <w:rPr>
          <w:rFonts w:ascii="Times New Roman" w:hAnsi="Times New Roman" w:cs="Times New Roman"/>
          <w:sz w:val="28"/>
          <w:szCs w:val="24"/>
          <w:lang w:val="es-ES"/>
        </w:rPr>
        <w:t>redunda en la vida e integridad de los colombianos</w:t>
      </w:r>
      <w:r w:rsidRPr="00E00F43">
        <w:rPr>
          <w:rFonts w:ascii="Times New Roman" w:hAnsi="Times New Roman" w:cs="Times New Roman"/>
          <w:sz w:val="28"/>
          <w:szCs w:val="24"/>
          <w:lang w:val="es-ES"/>
        </w:rPr>
        <w:t>. Por otro lado, su contenido se armoniza con lo dispuesto en el artículo 48 de la Ley 1480 de 2011 y con los objetivos del Subsistema Nacional de</w:t>
      </w:r>
      <w:r w:rsidRPr="00E00F43">
        <w:rPr>
          <w:rFonts w:ascii="Times New Roman" w:hAnsi="Times New Roman" w:cs="Times New Roman"/>
          <w:sz w:val="28"/>
          <w:szCs w:val="24"/>
          <w:lang w:val="es-ES"/>
        </w:rPr>
        <w:t xml:space="preserve"> la Calidad </w:t>
      </w:r>
      <w:r w:rsidRPr="00E00F43">
        <w:rPr>
          <w:rFonts w:ascii="Times New Roman" w:hAnsi="Times New Roman" w:cs="Times New Roman"/>
          <w:sz w:val="28"/>
          <w:szCs w:val="24"/>
          <w:lang w:val="es-ES"/>
        </w:rPr>
        <w:t>-</w:t>
      </w:r>
      <w:r w:rsidRPr="00E00F43">
        <w:rPr>
          <w:rFonts w:ascii="Times New Roman" w:hAnsi="Times New Roman" w:cs="Times New Roman"/>
          <w:sz w:val="28"/>
          <w:szCs w:val="24"/>
          <w:lang w:val="es-ES"/>
        </w:rPr>
        <w:t xml:space="preserve"> SICAL, sobre la promoción de mercados en los que se protejan los intereses de los consumidores. Asimismo, indicó que </w:t>
      </w:r>
      <w:r w:rsidRPr="00E00F43">
        <w:rPr>
          <w:rFonts w:ascii="Times New Roman" w:hAnsi="Times New Roman" w:cs="Times New Roman"/>
          <w:sz w:val="28"/>
          <w:szCs w:val="24"/>
          <w:lang w:val="es-ES"/>
        </w:rPr>
        <w:t>los</w:t>
      </w:r>
      <w:r w:rsidRPr="00E00F43">
        <w:rPr>
          <w:rFonts w:ascii="Times New Roman" w:hAnsi="Times New Roman" w:cs="Times New Roman"/>
          <w:sz w:val="28"/>
          <w:szCs w:val="24"/>
          <w:lang w:val="es-ES"/>
        </w:rPr>
        <w:t xml:space="preserve"> reglamentos técnicos internacionales contribuye</w:t>
      </w:r>
      <w:r w:rsidRPr="00E00F43">
        <w:rPr>
          <w:rFonts w:ascii="Times New Roman" w:hAnsi="Times New Roman" w:cs="Times New Roman"/>
          <w:sz w:val="28"/>
          <w:szCs w:val="24"/>
          <w:lang w:val="es-ES"/>
        </w:rPr>
        <w:t>n</w:t>
      </w:r>
      <w:r w:rsidRPr="00E00F43">
        <w:rPr>
          <w:rFonts w:ascii="Times New Roman" w:hAnsi="Times New Roman" w:cs="Times New Roman"/>
          <w:sz w:val="28"/>
          <w:szCs w:val="24"/>
          <w:lang w:val="es-ES"/>
        </w:rPr>
        <w:t xml:space="preserve"> significativamente en el ejercicio del control y vigilancia previa y pos</w:t>
      </w:r>
      <w:r w:rsidRPr="00E00F43">
        <w:rPr>
          <w:rFonts w:ascii="Times New Roman" w:hAnsi="Times New Roman" w:cs="Times New Roman"/>
          <w:sz w:val="28"/>
          <w:szCs w:val="24"/>
          <w:lang w:val="es-ES"/>
        </w:rPr>
        <w:t xml:space="preserve">terior a la importación y comercialización de los productos a los que van dirigidos.   </w:t>
      </w:r>
    </w:p>
    <w:p w:rsidR="0062439C" w:rsidRPr="00E00F43" w:rsidRDefault="00E00F43" w:rsidP="00A542D4">
      <w:pPr>
        <w:pStyle w:val="Ttulo"/>
        <w:numPr>
          <w:ilvl w:val="0"/>
          <w:numId w:val="0"/>
        </w:numPr>
        <w:rPr>
          <w:rFonts w:ascii="Times New Roman" w:hAnsi="Times New Roman" w:cs="Times New Roman"/>
          <w:sz w:val="28"/>
        </w:rPr>
      </w:pPr>
    </w:p>
    <w:p w:rsidR="00FC7453" w:rsidRPr="00E00F43" w:rsidRDefault="00E00F43">
      <w:pPr>
        <w:pStyle w:val="Ttulo1"/>
        <w:numPr>
          <w:ilvl w:val="0"/>
          <w:numId w:val="7"/>
        </w:numPr>
        <w:tabs>
          <w:tab w:val="left" w:pos="426"/>
        </w:tabs>
        <w:ind w:left="0" w:firstLine="0"/>
        <w:rPr>
          <w:rFonts w:ascii="Times New Roman" w:hAnsi="Times New Roman" w:cs="Times New Roman"/>
          <w:color w:val="000000" w:themeColor="text1"/>
          <w:sz w:val="28"/>
        </w:rPr>
      </w:pPr>
      <w:r w:rsidRPr="00E00F43">
        <w:rPr>
          <w:rFonts w:ascii="Times New Roman" w:hAnsi="Times New Roman" w:cs="Times New Roman"/>
          <w:bCs/>
          <w:color w:val="000000" w:themeColor="text1"/>
          <w:sz w:val="28"/>
        </w:rPr>
        <w:t>CONCEPTO DE LA PROCURADORA GENERAL DE LA NACIÓN</w:t>
      </w:r>
      <w:r w:rsidRPr="00E00F43">
        <w:rPr>
          <w:rFonts w:ascii="Times New Roman" w:hAnsi="Times New Roman" w:cs="Times New Roman"/>
          <w:color w:val="000000" w:themeColor="text1"/>
          <w:sz w:val="28"/>
        </w:rPr>
        <w:t xml:space="preserve"> </w:t>
      </w:r>
    </w:p>
    <w:p w:rsidR="00E9038D" w:rsidRPr="00E00F43" w:rsidRDefault="00E00F43" w:rsidP="00076EDF">
      <w:pPr>
        <w:spacing w:after="0"/>
        <w:rPr>
          <w:rFonts w:ascii="Times New Roman" w:hAnsi="Times New Roman" w:cs="Times New Roman"/>
          <w:sz w:val="28"/>
          <w:szCs w:val="24"/>
          <w:lang w:val="es-ES" w:eastAsia="es-ES"/>
        </w:rPr>
      </w:pPr>
    </w:p>
    <w:p w:rsidR="00565F01"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 xml:space="preserve">El 30 de noviembre de 2023, </w:t>
      </w:r>
      <w:r w:rsidRPr="00E00F43">
        <w:rPr>
          <w:rFonts w:ascii="Times New Roman" w:hAnsi="Times New Roman" w:cs="Times New Roman"/>
          <w:sz w:val="28"/>
        </w:rPr>
        <w:t xml:space="preserve">la procuradora general </w:t>
      </w:r>
      <w:r w:rsidRPr="00E00F43">
        <w:rPr>
          <w:rFonts w:ascii="Times New Roman" w:hAnsi="Times New Roman" w:cs="Times New Roman"/>
          <w:sz w:val="28"/>
        </w:rPr>
        <w:t xml:space="preserve">de la Nación </w:t>
      </w:r>
      <w:r w:rsidRPr="00E00F43">
        <w:rPr>
          <w:rFonts w:ascii="Times New Roman" w:hAnsi="Times New Roman" w:cs="Times New Roman"/>
          <w:sz w:val="28"/>
        </w:rPr>
        <w:t>solicitó declarar la exequibilidad de la Ley 2290 de</w:t>
      </w:r>
      <w:r w:rsidRPr="00E00F43">
        <w:rPr>
          <w:rFonts w:ascii="Times New Roman" w:hAnsi="Times New Roman" w:cs="Times New Roman"/>
          <w:sz w:val="28"/>
        </w:rPr>
        <w:t xml:space="preserve"> 2023 y la constitucionalidad del instrumento internacional</w:t>
      </w:r>
      <w:r w:rsidRPr="00E00F43">
        <w:rPr>
          <w:rFonts w:ascii="Times New Roman" w:hAnsi="Times New Roman" w:cs="Times New Roman"/>
          <w:sz w:val="28"/>
        </w:rPr>
        <w:t xml:space="preserve"> que se revisa</w:t>
      </w:r>
      <w:r w:rsidRPr="00E00F43">
        <w:rPr>
          <w:rFonts w:ascii="Times New Roman" w:hAnsi="Times New Roman" w:cs="Times New Roman"/>
          <w:sz w:val="28"/>
        </w:rPr>
        <w:t xml:space="preserve">. </w:t>
      </w:r>
    </w:p>
    <w:p w:rsidR="00565F01" w:rsidRPr="00E00F43" w:rsidRDefault="00E00F43" w:rsidP="00A542D4">
      <w:pPr>
        <w:pStyle w:val="Ttulo"/>
        <w:numPr>
          <w:ilvl w:val="0"/>
          <w:numId w:val="0"/>
        </w:numPr>
        <w:rPr>
          <w:rFonts w:ascii="Times New Roman" w:hAnsi="Times New Roman" w:cs="Times New Roman"/>
          <w:sz w:val="28"/>
        </w:rPr>
      </w:pPr>
    </w:p>
    <w:p w:rsidR="00396D34"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 xml:space="preserve">En relación con los requisitos formales, los enlistó y mostró por qué, en su criterio, estos fueron cumplidos tanto en la fase gubernamental como en la legislativa. </w:t>
      </w:r>
    </w:p>
    <w:p w:rsidR="00396D34" w:rsidRPr="00E00F43" w:rsidRDefault="00E00F43" w:rsidP="00A542D4">
      <w:pPr>
        <w:pStyle w:val="Ttulo"/>
        <w:numPr>
          <w:ilvl w:val="0"/>
          <w:numId w:val="0"/>
        </w:numPr>
        <w:rPr>
          <w:rFonts w:ascii="Times New Roman" w:hAnsi="Times New Roman" w:cs="Times New Roman"/>
          <w:sz w:val="28"/>
        </w:rPr>
      </w:pPr>
    </w:p>
    <w:p w:rsidR="00565F01"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 xml:space="preserve">Desde el </w:t>
      </w:r>
      <w:r w:rsidRPr="00E00F43">
        <w:rPr>
          <w:rFonts w:ascii="Times New Roman" w:hAnsi="Times New Roman" w:cs="Times New Roman"/>
          <w:sz w:val="28"/>
        </w:rPr>
        <w:t>punto de vista material, expresó que el articulado del Acuerdo respeta la Constitución Política y, de hecho, permiten la optimización de diferentes mandatos de la misma, como lo es la salvaguarda de la seguridad vial y de la integridad personal, la protecc</w:t>
      </w:r>
      <w:r w:rsidRPr="00E00F43">
        <w:rPr>
          <w:rFonts w:ascii="Times New Roman" w:hAnsi="Times New Roman" w:cs="Times New Roman"/>
          <w:sz w:val="28"/>
        </w:rPr>
        <w:t>ión del medio ambiente,</w:t>
      </w:r>
      <w:r w:rsidRPr="00E00F43">
        <w:rPr>
          <w:rFonts w:ascii="Times New Roman" w:hAnsi="Times New Roman" w:cs="Times New Roman"/>
          <w:sz w:val="28"/>
        </w:rPr>
        <w:t xml:space="preserve"> la protección al consumidor,</w:t>
      </w:r>
      <w:r w:rsidRPr="00E00F43">
        <w:rPr>
          <w:rFonts w:ascii="Times New Roman" w:hAnsi="Times New Roman" w:cs="Times New Roman"/>
          <w:sz w:val="28"/>
        </w:rPr>
        <w:t xml:space="preserve"> el mejoramiento de la eficacia administrativa </w:t>
      </w:r>
      <w:r w:rsidRPr="00E00F43">
        <w:rPr>
          <w:rFonts w:ascii="Times New Roman" w:hAnsi="Times New Roman" w:cs="Times New Roman"/>
          <w:sz w:val="28"/>
        </w:rPr>
        <w:t>y la consecuente</w:t>
      </w:r>
      <w:r w:rsidRPr="00E00F43">
        <w:rPr>
          <w:rFonts w:ascii="Times New Roman" w:hAnsi="Times New Roman" w:cs="Times New Roman"/>
          <w:sz w:val="28"/>
        </w:rPr>
        <w:t xml:space="preserve"> reducción de los costos operativos de vigilancia y control, y la promoción de las relaciones en materia económica, social y ecológica con ba</w:t>
      </w:r>
      <w:r w:rsidRPr="00E00F43">
        <w:rPr>
          <w:rFonts w:ascii="Times New Roman" w:hAnsi="Times New Roman" w:cs="Times New Roman"/>
          <w:sz w:val="28"/>
        </w:rPr>
        <w:t>se en criterios de equidad, reciprocidad y conveniencia nacional</w:t>
      </w:r>
      <w:r w:rsidRPr="00E00F43">
        <w:rPr>
          <w:rFonts w:ascii="Times New Roman" w:hAnsi="Times New Roman" w:cs="Times New Roman"/>
          <w:sz w:val="28"/>
        </w:rPr>
        <w:t xml:space="preserve"> en pro del beneficio general. </w:t>
      </w:r>
    </w:p>
    <w:p w:rsidR="00565F01" w:rsidRPr="00E00F43" w:rsidRDefault="00E00F43" w:rsidP="00076EDF">
      <w:pPr>
        <w:pStyle w:val="Prrafodelista"/>
        <w:rPr>
          <w:rFonts w:ascii="Times New Roman" w:hAnsi="Times New Roman" w:cs="Times New Roman"/>
          <w:b/>
          <w:bCs/>
          <w:sz w:val="28"/>
          <w:lang w:val="es-ES"/>
        </w:rPr>
      </w:pPr>
    </w:p>
    <w:p w:rsidR="00396D34"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Sumado a ello,</w:t>
      </w:r>
      <w:r w:rsidRPr="00E00F43">
        <w:rPr>
          <w:rFonts w:ascii="Times New Roman" w:hAnsi="Times New Roman" w:cs="Times New Roman"/>
          <w:sz w:val="28"/>
        </w:rPr>
        <w:t xml:space="preserve"> la procuradora general de la </w:t>
      </w:r>
      <w:r w:rsidRPr="00E00F43">
        <w:rPr>
          <w:rFonts w:ascii="Times New Roman" w:hAnsi="Times New Roman" w:cs="Times New Roman"/>
          <w:sz w:val="28"/>
        </w:rPr>
        <w:t>N</w:t>
      </w:r>
      <w:r w:rsidRPr="00E00F43">
        <w:rPr>
          <w:rFonts w:ascii="Times New Roman" w:hAnsi="Times New Roman" w:cs="Times New Roman"/>
          <w:sz w:val="28"/>
        </w:rPr>
        <w:t>ación</w:t>
      </w:r>
      <w:r w:rsidRPr="00E00F43">
        <w:rPr>
          <w:rFonts w:ascii="Times New Roman" w:hAnsi="Times New Roman" w:cs="Times New Roman"/>
          <w:sz w:val="28"/>
        </w:rPr>
        <w:t xml:space="preserve"> adujo que</w:t>
      </w:r>
      <w:r w:rsidRPr="00E00F43">
        <w:rPr>
          <w:rFonts w:ascii="Times New Roman" w:hAnsi="Times New Roman" w:cs="Times New Roman"/>
          <w:sz w:val="28"/>
        </w:rPr>
        <w:t xml:space="preserve"> las normas del convenio que establecen </w:t>
      </w:r>
      <w:r w:rsidRPr="00E00F43">
        <w:rPr>
          <w:rFonts w:ascii="Times New Roman" w:hAnsi="Times New Roman" w:cs="Times New Roman"/>
          <w:sz w:val="28"/>
        </w:rPr>
        <w:t>organismos internos y reglas instrumentales de operación d</w:t>
      </w:r>
      <w:r w:rsidRPr="00E00F43">
        <w:rPr>
          <w:rFonts w:ascii="Times New Roman" w:hAnsi="Times New Roman" w:cs="Times New Roman"/>
          <w:sz w:val="28"/>
        </w:rPr>
        <w:t>el tratado</w:t>
      </w:r>
      <w:r w:rsidRPr="00E00F43">
        <w:rPr>
          <w:rFonts w:ascii="Times New Roman" w:hAnsi="Times New Roman" w:cs="Times New Roman"/>
          <w:sz w:val="28"/>
        </w:rPr>
        <w:t xml:space="preserve"> se encuentran acordes </w:t>
      </w:r>
      <w:r w:rsidRPr="00E00F43">
        <w:rPr>
          <w:rFonts w:ascii="Times New Roman" w:hAnsi="Times New Roman" w:cs="Times New Roman"/>
          <w:sz w:val="28"/>
        </w:rPr>
        <w:t xml:space="preserve">a los mandatos superiores. </w:t>
      </w:r>
      <w:r w:rsidRPr="00E00F43">
        <w:rPr>
          <w:rFonts w:ascii="Times New Roman" w:hAnsi="Times New Roman" w:cs="Times New Roman"/>
          <w:sz w:val="28"/>
        </w:rPr>
        <w:t xml:space="preserve"> </w:t>
      </w:r>
    </w:p>
    <w:p w:rsidR="00CB2F11" w:rsidRPr="00E00F43" w:rsidRDefault="00E00F43" w:rsidP="00A542D4">
      <w:pPr>
        <w:pStyle w:val="Ttulo"/>
        <w:numPr>
          <w:ilvl w:val="0"/>
          <w:numId w:val="0"/>
        </w:numPr>
        <w:rPr>
          <w:rFonts w:ascii="Times New Roman" w:hAnsi="Times New Roman" w:cs="Times New Roman"/>
          <w:sz w:val="28"/>
        </w:rPr>
      </w:pPr>
    </w:p>
    <w:p w:rsidR="000200C3"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 xml:space="preserve">Finalmente, manifestó que, en su criterio, la Ley 2290 de 2023 no es contraria a la Constitución por, al menos, tres razones: </w:t>
      </w:r>
      <w:r w:rsidRPr="00E00F43">
        <w:rPr>
          <w:rFonts w:ascii="Times New Roman" w:hAnsi="Times New Roman" w:cs="Times New Roman"/>
          <w:i/>
          <w:iCs/>
          <w:sz w:val="28"/>
        </w:rPr>
        <w:t>(i)</w:t>
      </w:r>
      <w:r w:rsidRPr="00E00F43">
        <w:rPr>
          <w:rFonts w:ascii="Times New Roman" w:hAnsi="Times New Roman" w:cs="Times New Roman"/>
          <w:sz w:val="28"/>
        </w:rPr>
        <w:t xml:space="preserve"> en ella se manifiesta inequívocamente la voluntad de aprobar e</w:t>
      </w:r>
      <w:r w:rsidRPr="00E00F43">
        <w:rPr>
          <w:rFonts w:ascii="Times New Roman" w:hAnsi="Times New Roman" w:cs="Times New Roman"/>
          <w:sz w:val="28"/>
        </w:rPr>
        <w:t xml:space="preserve">l Acuerdo, de conformidad con el artículo 150.16 de la Constitución; </w:t>
      </w:r>
      <w:r w:rsidRPr="00E00F43">
        <w:rPr>
          <w:rFonts w:ascii="Times New Roman" w:hAnsi="Times New Roman" w:cs="Times New Roman"/>
          <w:i/>
          <w:iCs/>
          <w:sz w:val="28"/>
        </w:rPr>
        <w:t>(ii)</w:t>
      </w:r>
      <w:r w:rsidRPr="00E00F43">
        <w:rPr>
          <w:rFonts w:ascii="Times New Roman" w:hAnsi="Times New Roman" w:cs="Times New Roman"/>
          <w:sz w:val="28"/>
        </w:rPr>
        <w:t xml:space="preserve"> </w:t>
      </w:r>
      <w:r w:rsidRPr="00E00F43">
        <w:rPr>
          <w:rFonts w:ascii="Times New Roman" w:hAnsi="Times New Roman" w:cs="Times New Roman"/>
          <w:sz w:val="28"/>
        </w:rPr>
        <w:t xml:space="preserve">en consideración de lo dispuesto en el artículo 224 de la Carta Política, la </w:t>
      </w:r>
      <w:r w:rsidRPr="00E00F43">
        <w:rPr>
          <w:rFonts w:ascii="Times New Roman" w:hAnsi="Times New Roman" w:cs="Times New Roman"/>
          <w:sz w:val="28"/>
        </w:rPr>
        <w:t>l</w:t>
      </w:r>
      <w:r w:rsidRPr="00E00F43">
        <w:rPr>
          <w:rFonts w:ascii="Times New Roman" w:hAnsi="Times New Roman" w:cs="Times New Roman"/>
          <w:sz w:val="28"/>
        </w:rPr>
        <w:t>ey bajo estudio determina la obligatoriedad del instrumento internacional a partir de la fecha en que se</w:t>
      </w:r>
      <w:r w:rsidRPr="00E00F43">
        <w:rPr>
          <w:rFonts w:ascii="Times New Roman" w:hAnsi="Times New Roman" w:cs="Times New Roman"/>
          <w:sz w:val="28"/>
        </w:rPr>
        <w:t xml:space="preserve"> perfeccione el vínculo, tal como lo indica la Ley 7 de 199</w:t>
      </w:r>
      <w:r w:rsidRPr="00E00F43">
        <w:rPr>
          <w:rFonts w:ascii="Times New Roman" w:hAnsi="Times New Roman" w:cs="Times New Roman"/>
          <w:sz w:val="28"/>
        </w:rPr>
        <w:t xml:space="preserve">4, y </w:t>
      </w:r>
      <w:r w:rsidRPr="00E00F43">
        <w:rPr>
          <w:rFonts w:ascii="Times New Roman" w:hAnsi="Times New Roman" w:cs="Times New Roman"/>
          <w:i/>
          <w:iCs/>
          <w:sz w:val="28"/>
        </w:rPr>
        <w:t xml:space="preserve">(iii) </w:t>
      </w:r>
      <w:r w:rsidRPr="00E00F43">
        <w:rPr>
          <w:rFonts w:ascii="Times New Roman" w:hAnsi="Times New Roman" w:cs="Times New Roman"/>
          <w:sz w:val="28"/>
        </w:rPr>
        <w:t>se respeta el principio de publicidad de las leyes cuando se dispone que el articulado rige desde la fecha de publicación.</w:t>
      </w:r>
    </w:p>
    <w:p w:rsidR="000200C3" w:rsidRPr="00E00F43" w:rsidRDefault="00E00F43" w:rsidP="000200C3">
      <w:pPr>
        <w:pStyle w:val="Prrafodelista"/>
        <w:rPr>
          <w:rFonts w:ascii="Times New Roman" w:hAnsi="Times New Roman" w:cs="Times New Roman"/>
          <w:sz w:val="28"/>
          <w:szCs w:val="24"/>
          <w:lang w:val="es-ES"/>
        </w:rPr>
      </w:pPr>
    </w:p>
    <w:p w:rsidR="000200C3" w:rsidRPr="00E00F43" w:rsidRDefault="00E00F43">
      <w:pPr>
        <w:pStyle w:val="Ttulo1"/>
        <w:numPr>
          <w:ilvl w:val="0"/>
          <w:numId w:val="7"/>
        </w:numPr>
        <w:ind w:left="0" w:firstLine="0"/>
        <w:rPr>
          <w:rFonts w:ascii="Times New Roman" w:hAnsi="Times New Roman" w:cs="Times New Roman"/>
          <w:bCs/>
          <w:color w:val="000000" w:themeColor="text1"/>
          <w:sz w:val="28"/>
        </w:rPr>
      </w:pPr>
      <w:r w:rsidRPr="00E00F43">
        <w:rPr>
          <w:rFonts w:ascii="Times New Roman" w:hAnsi="Times New Roman" w:cs="Times New Roman"/>
          <w:bCs/>
          <w:color w:val="000000" w:themeColor="text1"/>
          <w:sz w:val="28"/>
        </w:rPr>
        <w:t xml:space="preserve">CONSIDERACIONES DE LA CORTE CONSTITUCIONAL </w:t>
      </w:r>
    </w:p>
    <w:p w:rsidR="000200C3" w:rsidRPr="00E00F43" w:rsidRDefault="00E00F43" w:rsidP="000200C3">
      <w:pPr>
        <w:spacing w:after="0"/>
        <w:rPr>
          <w:rFonts w:ascii="Times New Roman" w:hAnsi="Times New Roman" w:cs="Times New Roman"/>
          <w:sz w:val="28"/>
          <w:szCs w:val="24"/>
          <w:lang w:val="es-ES" w:eastAsia="es-ES"/>
        </w:rPr>
      </w:pPr>
    </w:p>
    <w:p w:rsidR="000200C3" w:rsidRPr="00E00F43" w:rsidRDefault="00E00F43">
      <w:pPr>
        <w:pStyle w:val="Prrafodelista"/>
        <w:numPr>
          <w:ilvl w:val="1"/>
          <w:numId w:val="7"/>
        </w:numPr>
        <w:tabs>
          <w:tab w:val="left" w:pos="284"/>
          <w:tab w:val="left" w:pos="426"/>
        </w:tabs>
        <w:ind w:left="0" w:firstLine="0"/>
        <w:rPr>
          <w:rFonts w:ascii="Times New Roman" w:hAnsi="Times New Roman" w:cs="Times New Roman"/>
          <w:sz w:val="28"/>
          <w:szCs w:val="24"/>
          <w:lang w:val="es-ES"/>
        </w:rPr>
      </w:pPr>
      <w:r w:rsidRPr="00E00F43">
        <w:rPr>
          <w:rFonts w:ascii="Times New Roman" w:hAnsi="Times New Roman" w:cs="Times New Roman"/>
          <w:b/>
          <w:bCs/>
          <w:sz w:val="28"/>
          <w:szCs w:val="24"/>
          <w:lang w:val="es-ES"/>
        </w:rPr>
        <w:t xml:space="preserve"> Competencia</w:t>
      </w:r>
    </w:p>
    <w:p w:rsidR="000200C3" w:rsidRPr="00E00F43" w:rsidRDefault="00E00F43" w:rsidP="000200C3">
      <w:pPr>
        <w:pStyle w:val="Prrafodelista"/>
        <w:tabs>
          <w:tab w:val="left" w:pos="284"/>
          <w:tab w:val="left" w:pos="426"/>
        </w:tabs>
        <w:ind w:left="0"/>
        <w:rPr>
          <w:rFonts w:ascii="Times New Roman" w:hAnsi="Times New Roman" w:cs="Times New Roman"/>
          <w:sz w:val="28"/>
          <w:szCs w:val="24"/>
          <w:lang w:val="es-ES"/>
        </w:rPr>
      </w:pPr>
    </w:p>
    <w:p w:rsidR="00F136F3"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En virtud del numeral 10 del artículo 241 de la Carta Política, la Corte Constitucional es competente para ejercer el control integral de los tratados internacionales y de las leyes que los aprueben. De acuerdo con lo expresado en reiterada jurisprudencia,</w:t>
      </w:r>
      <w:r w:rsidRPr="00E00F43">
        <w:rPr>
          <w:rFonts w:ascii="Times New Roman" w:hAnsi="Times New Roman" w:cs="Times New Roman"/>
          <w:sz w:val="28"/>
        </w:rPr>
        <w:t xml:space="preserve"> dicho control es:</w:t>
      </w:r>
    </w:p>
    <w:p w:rsidR="000200C3" w:rsidRPr="00E00F43" w:rsidRDefault="00E00F43" w:rsidP="00A542D4">
      <w:pPr>
        <w:pStyle w:val="Ttulo"/>
        <w:numPr>
          <w:ilvl w:val="0"/>
          <w:numId w:val="0"/>
        </w:numPr>
        <w:ind w:left="567"/>
        <w:rPr>
          <w:rFonts w:ascii="Times New Roman" w:hAnsi="Times New Roman" w:cs="Times New Roman"/>
          <w:sz w:val="28"/>
        </w:rPr>
      </w:pPr>
    </w:p>
    <w:p w:rsidR="000200C3" w:rsidRPr="00E00F43" w:rsidRDefault="00E00F43" w:rsidP="00A542D4">
      <w:pPr>
        <w:pStyle w:val="Ttulo"/>
        <w:numPr>
          <w:ilvl w:val="0"/>
          <w:numId w:val="0"/>
        </w:numPr>
        <w:ind w:left="567"/>
        <w:rPr>
          <w:rFonts w:ascii="Times New Roman" w:hAnsi="Times New Roman" w:cs="Times New Roman"/>
          <w:b/>
          <w:bCs/>
          <w:sz w:val="28"/>
        </w:rPr>
      </w:pPr>
      <w:r w:rsidRPr="00E00F43">
        <w:rPr>
          <w:rFonts w:ascii="Times New Roman" w:hAnsi="Times New Roman" w:cs="Times New Roman"/>
          <w:sz w:val="28"/>
        </w:rPr>
        <w:t xml:space="preserve">“(i) </w:t>
      </w:r>
      <w:r w:rsidRPr="00E00F43">
        <w:rPr>
          <w:rFonts w:ascii="Times New Roman" w:hAnsi="Times New Roman" w:cs="Times New Roman"/>
          <w:i/>
          <w:sz w:val="28"/>
        </w:rPr>
        <w:t xml:space="preserve">previo </w:t>
      </w:r>
      <w:r w:rsidRPr="00E00F43">
        <w:rPr>
          <w:rFonts w:ascii="Times New Roman" w:hAnsi="Times New Roman" w:cs="Times New Roman"/>
          <w:sz w:val="28"/>
        </w:rPr>
        <w:t xml:space="preserve">al perfeccionamiento del tratado, pero posterior a la aprobación del Congreso y a la sanción gubernamental; </w:t>
      </w:r>
    </w:p>
    <w:p w:rsidR="000200C3" w:rsidRPr="00E00F43" w:rsidRDefault="00E00F43" w:rsidP="00A542D4">
      <w:pPr>
        <w:pStyle w:val="Ttulo"/>
        <w:numPr>
          <w:ilvl w:val="0"/>
          <w:numId w:val="0"/>
        </w:numPr>
        <w:ind w:left="567"/>
        <w:rPr>
          <w:rFonts w:ascii="Times New Roman" w:hAnsi="Times New Roman" w:cs="Times New Roman"/>
          <w:b/>
          <w:bCs/>
          <w:sz w:val="28"/>
        </w:rPr>
      </w:pPr>
      <w:r w:rsidRPr="00E00F43">
        <w:rPr>
          <w:rFonts w:ascii="Times New Roman" w:hAnsi="Times New Roman" w:cs="Times New Roman"/>
          <w:sz w:val="28"/>
        </w:rPr>
        <w:t xml:space="preserve">(ii) </w:t>
      </w:r>
      <w:r w:rsidRPr="00E00F43">
        <w:rPr>
          <w:rFonts w:ascii="Times New Roman" w:hAnsi="Times New Roman" w:cs="Times New Roman"/>
          <w:i/>
          <w:sz w:val="28"/>
        </w:rPr>
        <w:t>automático</w:t>
      </w:r>
      <w:r w:rsidRPr="00E00F43">
        <w:rPr>
          <w:rFonts w:ascii="Times New Roman" w:hAnsi="Times New Roman" w:cs="Times New Roman"/>
          <w:sz w:val="28"/>
        </w:rPr>
        <w:t>, pues debe ser enviada directamente por el Presidente de la República a la Corte Constitucional den</w:t>
      </w:r>
      <w:r w:rsidRPr="00E00F43">
        <w:rPr>
          <w:rFonts w:ascii="Times New Roman" w:hAnsi="Times New Roman" w:cs="Times New Roman"/>
          <w:sz w:val="28"/>
        </w:rPr>
        <w:t xml:space="preserve">tro de los seis días siguientes a la sanción gubernamental; </w:t>
      </w:r>
    </w:p>
    <w:p w:rsidR="000200C3" w:rsidRPr="00E00F43" w:rsidRDefault="00E00F43" w:rsidP="00A542D4">
      <w:pPr>
        <w:pStyle w:val="Ttulo"/>
        <w:numPr>
          <w:ilvl w:val="0"/>
          <w:numId w:val="0"/>
        </w:numPr>
        <w:ind w:left="567"/>
        <w:rPr>
          <w:rFonts w:ascii="Times New Roman" w:hAnsi="Times New Roman" w:cs="Times New Roman"/>
          <w:b/>
          <w:bCs/>
          <w:sz w:val="28"/>
        </w:rPr>
      </w:pPr>
      <w:r w:rsidRPr="00E00F43">
        <w:rPr>
          <w:rFonts w:ascii="Times New Roman" w:hAnsi="Times New Roman" w:cs="Times New Roman"/>
          <w:sz w:val="28"/>
        </w:rPr>
        <w:t xml:space="preserve">(iii) </w:t>
      </w:r>
      <w:r w:rsidRPr="00E00F43">
        <w:rPr>
          <w:rFonts w:ascii="Times New Roman" w:hAnsi="Times New Roman" w:cs="Times New Roman"/>
          <w:i/>
          <w:sz w:val="28"/>
        </w:rPr>
        <w:t>integral</w:t>
      </w:r>
      <w:r w:rsidRPr="00E00F43">
        <w:rPr>
          <w:rFonts w:ascii="Times New Roman" w:hAnsi="Times New Roman" w:cs="Times New Roman"/>
          <w:sz w:val="28"/>
        </w:rPr>
        <w:t xml:space="preserve">, en la medida en que la Corte debe analizar tanto los aspectos formales como los materiales de la ley y el tratado, confrontándolos con todo el texto constitucional; </w:t>
      </w:r>
    </w:p>
    <w:p w:rsidR="000200C3" w:rsidRPr="00E00F43" w:rsidRDefault="00E00F43" w:rsidP="00A542D4">
      <w:pPr>
        <w:pStyle w:val="Ttulo"/>
        <w:numPr>
          <w:ilvl w:val="0"/>
          <w:numId w:val="0"/>
        </w:numPr>
        <w:ind w:left="567"/>
        <w:rPr>
          <w:rFonts w:ascii="Times New Roman" w:hAnsi="Times New Roman" w:cs="Times New Roman"/>
          <w:b/>
          <w:bCs/>
          <w:sz w:val="28"/>
        </w:rPr>
      </w:pPr>
      <w:r w:rsidRPr="00E00F43">
        <w:rPr>
          <w:rFonts w:ascii="Times New Roman" w:hAnsi="Times New Roman" w:cs="Times New Roman"/>
          <w:sz w:val="28"/>
        </w:rPr>
        <w:t>(iv) tiene fu</w:t>
      </w:r>
      <w:r w:rsidRPr="00E00F43">
        <w:rPr>
          <w:rFonts w:ascii="Times New Roman" w:hAnsi="Times New Roman" w:cs="Times New Roman"/>
          <w:sz w:val="28"/>
        </w:rPr>
        <w:t xml:space="preserve">erza de </w:t>
      </w:r>
      <w:r w:rsidRPr="00E00F43">
        <w:rPr>
          <w:rFonts w:ascii="Times New Roman" w:hAnsi="Times New Roman" w:cs="Times New Roman"/>
          <w:i/>
          <w:sz w:val="28"/>
        </w:rPr>
        <w:t>cosa juzgada</w:t>
      </w:r>
      <w:r w:rsidRPr="00E00F43">
        <w:rPr>
          <w:rFonts w:ascii="Times New Roman" w:hAnsi="Times New Roman" w:cs="Times New Roman"/>
          <w:sz w:val="28"/>
        </w:rPr>
        <w:t xml:space="preserve">; </w:t>
      </w:r>
    </w:p>
    <w:p w:rsidR="000200C3" w:rsidRPr="00E00F43" w:rsidRDefault="00E00F43" w:rsidP="00A542D4">
      <w:pPr>
        <w:pStyle w:val="Ttulo"/>
        <w:numPr>
          <w:ilvl w:val="0"/>
          <w:numId w:val="0"/>
        </w:numPr>
        <w:ind w:left="567"/>
        <w:rPr>
          <w:rFonts w:ascii="Times New Roman" w:hAnsi="Times New Roman" w:cs="Times New Roman"/>
          <w:b/>
          <w:bCs/>
          <w:sz w:val="28"/>
        </w:rPr>
      </w:pPr>
      <w:r w:rsidRPr="00E00F43">
        <w:rPr>
          <w:rFonts w:ascii="Times New Roman" w:hAnsi="Times New Roman" w:cs="Times New Roman"/>
          <w:sz w:val="28"/>
        </w:rPr>
        <w:t xml:space="preserve">(v) es una condición </w:t>
      </w:r>
      <w:r w:rsidRPr="00E00F43">
        <w:rPr>
          <w:rFonts w:ascii="Times New Roman" w:hAnsi="Times New Roman" w:cs="Times New Roman"/>
          <w:i/>
          <w:sz w:val="28"/>
        </w:rPr>
        <w:t>sine qua non</w:t>
      </w:r>
      <w:r w:rsidRPr="00E00F43">
        <w:rPr>
          <w:rFonts w:ascii="Times New Roman" w:hAnsi="Times New Roman" w:cs="Times New Roman"/>
          <w:sz w:val="28"/>
        </w:rPr>
        <w:t xml:space="preserve"> para la ratificación del correspondiente acuerdo;  </w:t>
      </w:r>
    </w:p>
    <w:p w:rsidR="000200C3" w:rsidRPr="00E00F43" w:rsidRDefault="00E00F43" w:rsidP="00A542D4">
      <w:pPr>
        <w:pStyle w:val="Ttulo"/>
        <w:numPr>
          <w:ilvl w:val="0"/>
          <w:numId w:val="0"/>
        </w:numPr>
        <w:ind w:left="567"/>
        <w:rPr>
          <w:rFonts w:ascii="Times New Roman" w:hAnsi="Times New Roman" w:cs="Times New Roman"/>
          <w:b/>
          <w:bCs/>
          <w:sz w:val="28"/>
        </w:rPr>
      </w:pPr>
      <w:r w:rsidRPr="00E00F43">
        <w:rPr>
          <w:rFonts w:ascii="Times New Roman" w:hAnsi="Times New Roman" w:cs="Times New Roman"/>
          <w:sz w:val="28"/>
        </w:rPr>
        <w:t xml:space="preserve">(vi) cumple una </w:t>
      </w:r>
      <w:r w:rsidRPr="00E00F43">
        <w:rPr>
          <w:rFonts w:ascii="Times New Roman" w:hAnsi="Times New Roman" w:cs="Times New Roman"/>
          <w:i/>
          <w:sz w:val="28"/>
        </w:rPr>
        <w:t>función preventiva</w:t>
      </w:r>
      <w:r w:rsidRPr="00E00F43">
        <w:rPr>
          <w:rFonts w:ascii="Times New Roman" w:hAnsi="Times New Roman" w:cs="Times New Roman"/>
          <w:sz w:val="28"/>
        </w:rPr>
        <w:t xml:space="preserve">, pues su finalidad es garantizar tanto la supremacía de la Constitución como el cumplimiento de los compromisos </w:t>
      </w:r>
      <w:r w:rsidRPr="00E00F43">
        <w:rPr>
          <w:rFonts w:ascii="Times New Roman" w:hAnsi="Times New Roman" w:cs="Times New Roman"/>
          <w:sz w:val="28"/>
        </w:rPr>
        <w:t>internacionales del Estado colombiano”</w:t>
      </w:r>
      <w:r w:rsidRPr="00E00F43">
        <w:rPr>
          <w:rFonts w:ascii="Times New Roman" w:hAnsi="Times New Roman" w:cs="Times New Roman"/>
          <w:sz w:val="28"/>
          <w:vertAlign w:val="superscript"/>
        </w:rPr>
        <w:footnoteReference w:id="10"/>
      </w:r>
      <w:r w:rsidRPr="00E00F43">
        <w:rPr>
          <w:rFonts w:ascii="Times New Roman" w:hAnsi="Times New Roman" w:cs="Times New Roman"/>
          <w:sz w:val="28"/>
        </w:rPr>
        <w:t>.</w:t>
      </w:r>
    </w:p>
    <w:p w:rsidR="000200C3" w:rsidRPr="00E00F43" w:rsidRDefault="00E00F43" w:rsidP="00A542D4">
      <w:pPr>
        <w:pStyle w:val="Ttulo"/>
        <w:numPr>
          <w:ilvl w:val="0"/>
          <w:numId w:val="0"/>
        </w:numPr>
        <w:rPr>
          <w:rFonts w:ascii="Times New Roman" w:hAnsi="Times New Roman" w:cs="Times New Roman"/>
          <w:sz w:val="28"/>
        </w:rPr>
      </w:pPr>
    </w:p>
    <w:p w:rsidR="00F136F3"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La adopción de tratados internacionales por el Estado colombiano es un acto complejo en el que intervienen las tres ramas del poder público a partir del respeto de la independencia y autonomía de cada una de ellas</w:t>
      </w:r>
      <w:r w:rsidRPr="00E00F43">
        <w:rPr>
          <w:rFonts w:ascii="Times New Roman" w:hAnsi="Times New Roman" w:cs="Times New Roman"/>
          <w:sz w:val="28"/>
        </w:rPr>
        <w:t xml:space="preserve">. Así, es competencia del </w:t>
      </w:r>
      <w:r w:rsidRPr="00E00F43">
        <w:rPr>
          <w:rFonts w:ascii="Times New Roman" w:hAnsi="Times New Roman" w:cs="Times New Roman"/>
          <w:sz w:val="28"/>
        </w:rPr>
        <w:t>Gobierno</w:t>
      </w:r>
      <w:r w:rsidRPr="00E00F43">
        <w:rPr>
          <w:rFonts w:ascii="Times New Roman" w:hAnsi="Times New Roman" w:cs="Times New Roman"/>
          <w:sz w:val="28"/>
        </w:rPr>
        <w:t xml:space="preserve"> nacional llevar a cabo la negociación y celebración del tratado internacional. Por su parte, corresponde al Congreso aprobar o improbar los tratados internacionales celebrados por el </w:t>
      </w:r>
      <w:r w:rsidRPr="00E00F43">
        <w:rPr>
          <w:rFonts w:ascii="Times New Roman" w:hAnsi="Times New Roman" w:cs="Times New Roman"/>
          <w:sz w:val="28"/>
        </w:rPr>
        <w:t>Gobierno</w:t>
      </w:r>
      <w:r w:rsidRPr="00E00F43">
        <w:rPr>
          <w:rFonts w:ascii="Times New Roman" w:hAnsi="Times New Roman" w:cs="Times New Roman"/>
          <w:sz w:val="28"/>
        </w:rPr>
        <w:t xml:space="preserve"> “sin que le sea posible al ór</w:t>
      </w:r>
      <w:r w:rsidRPr="00E00F43">
        <w:rPr>
          <w:rFonts w:ascii="Times New Roman" w:hAnsi="Times New Roman" w:cs="Times New Roman"/>
          <w:sz w:val="28"/>
        </w:rPr>
        <w:t>gano legislativo modificar el texto del mismo”</w:t>
      </w:r>
      <w:r w:rsidRPr="00E00F43">
        <w:rPr>
          <w:rFonts w:ascii="Times New Roman" w:hAnsi="Times New Roman" w:cs="Times New Roman"/>
          <w:sz w:val="28"/>
          <w:vertAlign w:val="superscript"/>
        </w:rPr>
        <w:footnoteReference w:id="11"/>
      </w:r>
      <w:r w:rsidRPr="00E00F43">
        <w:rPr>
          <w:rFonts w:ascii="Times New Roman" w:hAnsi="Times New Roman" w:cs="Times New Roman"/>
          <w:sz w:val="28"/>
        </w:rPr>
        <w:t>.</w:t>
      </w:r>
      <w:r w:rsidRPr="00E00F43">
        <w:rPr>
          <w:rFonts w:ascii="Times New Roman" w:hAnsi="Times New Roman" w:cs="Times New Roman"/>
          <w:sz w:val="28"/>
        </w:rPr>
        <w:t xml:space="preserve"> Ahora bien, conforme lo ha señalado este Tribunal, el límite del Congreso de la República en materia de aprobación o improbación de tratados se refiere a la imposibilidad de que dicho órgano modifique o altere el contenido del instrumento internacional ac</w:t>
      </w:r>
      <w:r w:rsidRPr="00E00F43">
        <w:rPr>
          <w:rFonts w:ascii="Times New Roman" w:hAnsi="Times New Roman" w:cs="Times New Roman"/>
          <w:sz w:val="28"/>
        </w:rPr>
        <w:t xml:space="preserve">ordado por el </w:t>
      </w:r>
      <w:r w:rsidRPr="00E00F43">
        <w:rPr>
          <w:rFonts w:ascii="Times New Roman" w:hAnsi="Times New Roman" w:cs="Times New Roman"/>
          <w:sz w:val="28"/>
        </w:rPr>
        <w:t>Gobierno</w:t>
      </w:r>
      <w:r w:rsidRPr="00E00F43">
        <w:rPr>
          <w:rFonts w:ascii="Times New Roman" w:hAnsi="Times New Roman" w:cs="Times New Roman"/>
          <w:sz w:val="28"/>
        </w:rPr>
        <w:t>, pero sí está facultado para aprobar o improbar parcialmente los tratados, en atención a lo dispuesto</w:t>
      </w:r>
      <w:r w:rsidRPr="00E00F43">
        <w:rPr>
          <w:rFonts w:ascii="Times New Roman" w:hAnsi="Times New Roman" w:cs="Times New Roman"/>
          <w:sz w:val="28"/>
        </w:rPr>
        <w:t xml:space="preserve"> en</w:t>
      </w:r>
      <w:r w:rsidRPr="00E00F43">
        <w:rPr>
          <w:rFonts w:ascii="Times New Roman" w:hAnsi="Times New Roman" w:cs="Times New Roman"/>
          <w:sz w:val="28"/>
        </w:rPr>
        <w:t xml:space="preserve"> el artículo 217 de la Ley 5a de 1992: </w:t>
      </w:r>
    </w:p>
    <w:p w:rsidR="000200C3" w:rsidRPr="00E00F43" w:rsidRDefault="00E00F43" w:rsidP="00A542D4">
      <w:pPr>
        <w:pStyle w:val="Ttulo"/>
        <w:numPr>
          <w:ilvl w:val="0"/>
          <w:numId w:val="0"/>
        </w:numPr>
        <w:rPr>
          <w:rFonts w:ascii="Times New Roman" w:hAnsi="Times New Roman" w:cs="Times New Roman"/>
          <w:sz w:val="28"/>
        </w:rPr>
      </w:pPr>
    </w:p>
    <w:p w:rsidR="000200C3" w:rsidRPr="00E00F43" w:rsidRDefault="00E00F43" w:rsidP="00A542D4">
      <w:pPr>
        <w:pStyle w:val="Ttulo"/>
        <w:numPr>
          <w:ilvl w:val="0"/>
          <w:numId w:val="0"/>
        </w:numPr>
        <w:ind w:left="567"/>
        <w:rPr>
          <w:rFonts w:ascii="Times New Roman" w:hAnsi="Times New Roman" w:cs="Times New Roman"/>
          <w:b/>
          <w:bCs/>
          <w:sz w:val="28"/>
        </w:rPr>
      </w:pPr>
      <w:r w:rsidRPr="00E00F43">
        <w:rPr>
          <w:rFonts w:ascii="Times New Roman" w:hAnsi="Times New Roman" w:cs="Times New Roman"/>
          <w:sz w:val="28"/>
        </w:rPr>
        <w:t>“Como lo ha advertido la Corte, el citado mandato previsto en el numeral 16 del artículo</w:t>
      </w:r>
      <w:r w:rsidRPr="00E00F43">
        <w:rPr>
          <w:rFonts w:ascii="Times New Roman" w:hAnsi="Times New Roman" w:cs="Times New Roman"/>
          <w:sz w:val="28"/>
        </w:rPr>
        <w:t xml:space="preserve"> 150 de la Carta Política, no impone la obligación de tener que aprobar en su integridad el tratado, pues su rigor normativo no refiere al alcance de la anuencia congresional, sino a la posibilidad de alterar o no su contenido. […] </w:t>
      </w:r>
    </w:p>
    <w:p w:rsidR="000200C3" w:rsidRPr="00E00F43" w:rsidRDefault="00E00F43" w:rsidP="00A542D4">
      <w:pPr>
        <w:pStyle w:val="Ttulo"/>
        <w:numPr>
          <w:ilvl w:val="0"/>
          <w:numId w:val="0"/>
        </w:numPr>
        <w:ind w:left="567"/>
        <w:rPr>
          <w:rFonts w:ascii="Times New Roman" w:hAnsi="Times New Roman" w:cs="Times New Roman"/>
          <w:sz w:val="28"/>
        </w:rPr>
      </w:pPr>
    </w:p>
    <w:p w:rsidR="000200C3" w:rsidRPr="00E00F43" w:rsidRDefault="00E00F43" w:rsidP="00A542D4">
      <w:pPr>
        <w:pStyle w:val="Ttulo"/>
        <w:numPr>
          <w:ilvl w:val="0"/>
          <w:numId w:val="0"/>
        </w:numPr>
        <w:ind w:left="567"/>
        <w:rPr>
          <w:rFonts w:ascii="Times New Roman" w:hAnsi="Times New Roman" w:cs="Times New Roman"/>
          <w:b/>
          <w:bCs/>
          <w:sz w:val="28"/>
        </w:rPr>
      </w:pPr>
      <w:r w:rsidRPr="00E00F43">
        <w:rPr>
          <w:rFonts w:ascii="Times New Roman" w:hAnsi="Times New Roman" w:cs="Times New Roman"/>
          <w:sz w:val="28"/>
        </w:rPr>
        <w:t>En conclusión, una lec</w:t>
      </w:r>
      <w:r w:rsidRPr="00E00F43">
        <w:rPr>
          <w:rFonts w:ascii="Times New Roman" w:hAnsi="Times New Roman" w:cs="Times New Roman"/>
          <w:sz w:val="28"/>
        </w:rPr>
        <w:t xml:space="preserve">tura armónica de la Carta y de las normas que desarrollan el trámite de incorporación de los tratados internacionales, permite inferir que si bien el Congreso no puede formular enmiendas, esto es, no puede variar lo acordado en el ámbito internacional por </w:t>
      </w:r>
      <w:r w:rsidRPr="00E00F43">
        <w:rPr>
          <w:rFonts w:ascii="Times New Roman" w:hAnsi="Times New Roman" w:cs="Times New Roman"/>
          <w:sz w:val="28"/>
        </w:rPr>
        <w:t>el Presidente de la República, ello no excluye su competencia para aplazar la entrada en vigencia del tratado, formular reservas e incluso, en general, aprobar parcialmente su contenido, cuyo efecto implica fiscalizar la manera en que se obliga internacion</w:t>
      </w:r>
      <w:r w:rsidRPr="00E00F43">
        <w:rPr>
          <w:rFonts w:ascii="Times New Roman" w:hAnsi="Times New Roman" w:cs="Times New Roman"/>
          <w:sz w:val="28"/>
        </w:rPr>
        <w:t>almente al Estado, a partir del juicio político-jurídico que la Constitución le otorga, como ya se dijo, por razones de soberanía, seguridad e interés de la Nación. En este contexto, aun cuando se limita la competencia del Congreso para modificar el conten</w:t>
      </w:r>
      <w:r w:rsidRPr="00E00F43">
        <w:rPr>
          <w:rFonts w:ascii="Times New Roman" w:hAnsi="Times New Roman" w:cs="Times New Roman"/>
          <w:sz w:val="28"/>
        </w:rPr>
        <w:t>ido del tratado, ello se equilibra con otras atribuciones que mantienen los espacios esenciales de deliberación y decisión que le son propios, incluso pudiendo llegar a aprobar parcialmente un tratado o a formular reservas, invocando, para ello, razones de</w:t>
      </w:r>
      <w:r w:rsidRPr="00E00F43">
        <w:rPr>
          <w:rFonts w:ascii="Times New Roman" w:hAnsi="Times New Roman" w:cs="Times New Roman"/>
          <w:sz w:val="28"/>
        </w:rPr>
        <w:t xml:space="preserve"> conveniencia o de constitucionalidad derivadas de un examen sometido a su propio arbitrio”</w:t>
      </w:r>
      <w:r w:rsidRPr="00E00F43">
        <w:rPr>
          <w:rFonts w:ascii="Times New Roman" w:hAnsi="Times New Roman" w:cs="Times New Roman"/>
          <w:sz w:val="28"/>
          <w:vertAlign w:val="superscript"/>
        </w:rPr>
        <w:footnoteReference w:id="12"/>
      </w:r>
      <w:r w:rsidRPr="00E00F43">
        <w:rPr>
          <w:rFonts w:ascii="Times New Roman" w:hAnsi="Times New Roman" w:cs="Times New Roman"/>
          <w:sz w:val="28"/>
        </w:rPr>
        <w:t>.</w:t>
      </w:r>
    </w:p>
    <w:p w:rsidR="000200C3" w:rsidRPr="00E00F43" w:rsidRDefault="00E00F43" w:rsidP="00A542D4">
      <w:pPr>
        <w:pStyle w:val="Ttulo"/>
        <w:numPr>
          <w:ilvl w:val="0"/>
          <w:numId w:val="0"/>
        </w:numPr>
        <w:rPr>
          <w:rFonts w:ascii="Times New Roman" w:hAnsi="Times New Roman" w:cs="Times New Roman"/>
          <w:sz w:val="28"/>
        </w:rPr>
      </w:pPr>
    </w:p>
    <w:p w:rsidR="000200C3"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 xml:space="preserve">Una vez finalizada esta etapa, el trámite debe volver al </w:t>
      </w:r>
      <w:r w:rsidRPr="00E00F43">
        <w:rPr>
          <w:rFonts w:ascii="Times New Roman" w:hAnsi="Times New Roman" w:cs="Times New Roman"/>
          <w:sz w:val="28"/>
        </w:rPr>
        <w:t>Gobierno</w:t>
      </w:r>
      <w:r w:rsidRPr="00E00F43">
        <w:rPr>
          <w:rFonts w:ascii="Times New Roman" w:hAnsi="Times New Roman" w:cs="Times New Roman"/>
          <w:sz w:val="28"/>
        </w:rPr>
        <w:t xml:space="preserve"> para la sanción presidencial respectiva y remisión de la ley aprobatoria a este tribunal para </w:t>
      </w:r>
      <w:r w:rsidRPr="00E00F43">
        <w:rPr>
          <w:rFonts w:ascii="Times New Roman" w:hAnsi="Times New Roman" w:cs="Times New Roman"/>
          <w:sz w:val="28"/>
        </w:rPr>
        <w:t xml:space="preserve">su estudio. El control constitucional que ejerce esta Corte consiste en un </w:t>
      </w:r>
      <w:r w:rsidRPr="00E00F43">
        <w:rPr>
          <w:rFonts w:ascii="Times New Roman" w:hAnsi="Times New Roman" w:cs="Times New Roman"/>
          <w:sz w:val="28"/>
        </w:rPr>
        <w:t>análisis</w:t>
      </w:r>
      <w:r w:rsidRPr="00E00F43">
        <w:rPr>
          <w:rFonts w:ascii="Times New Roman" w:hAnsi="Times New Roman" w:cs="Times New Roman"/>
          <w:sz w:val="28"/>
        </w:rPr>
        <w:t xml:space="preserve"> eminentemente jurídico que no se ocupa de revisar las ventajas, beneficios u oportunidades prácticas del tratado a nivel económico o social, ni tampoco su conveniencia polí</w:t>
      </w:r>
      <w:r w:rsidRPr="00E00F43">
        <w:rPr>
          <w:rFonts w:ascii="Times New Roman" w:hAnsi="Times New Roman" w:cs="Times New Roman"/>
          <w:sz w:val="28"/>
        </w:rPr>
        <w:t xml:space="preserve">tica.  </w:t>
      </w:r>
    </w:p>
    <w:p w:rsidR="000200C3" w:rsidRPr="00E00F43" w:rsidRDefault="00E00F43" w:rsidP="00A542D4">
      <w:pPr>
        <w:pStyle w:val="Ttulo"/>
        <w:numPr>
          <w:ilvl w:val="0"/>
          <w:numId w:val="0"/>
        </w:numPr>
        <w:rPr>
          <w:rFonts w:ascii="Times New Roman" w:hAnsi="Times New Roman" w:cs="Times New Roman"/>
          <w:sz w:val="28"/>
        </w:rPr>
      </w:pPr>
    </w:p>
    <w:p w:rsidR="000200C3"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 xml:space="preserve">Dentro de este esquema, el control a cargo de la Corte se divide en dos grandes partes: </w:t>
      </w:r>
      <w:r w:rsidRPr="00E00F43">
        <w:rPr>
          <w:rFonts w:ascii="Times New Roman" w:hAnsi="Times New Roman" w:cs="Times New Roman"/>
          <w:i/>
          <w:sz w:val="28"/>
        </w:rPr>
        <w:t>(i)</w:t>
      </w:r>
      <w:r w:rsidRPr="00E00F43">
        <w:rPr>
          <w:rFonts w:ascii="Times New Roman" w:hAnsi="Times New Roman" w:cs="Times New Roman"/>
          <w:sz w:val="28"/>
        </w:rPr>
        <w:t xml:space="preserve"> un análisis formal: que hace un escrutinio al proceso de formación del instrumento internacional, así como el trámite legislativo adelantado en el Congres</w:t>
      </w:r>
      <w:r w:rsidRPr="00E00F43">
        <w:rPr>
          <w:rFonts w:ascii="Times New Roman" w:hAnsi="Times New Roman" w:cs="Times New Roman"/>
          <w:sz w:val="28"/>
        </w:rPr>
        <w:t>o de la República</w:t>
      </w:r>
      <w:r w:rsidRPr="00E00F43">
        <w:rPr>
          <w:rFonts w:ascii="Times New Roman" w:hAnsi="Times New Roman" w:cs="Times New Roman"/>
          <w:sz w:val="28"/>
        </w:rPr>
        <w:t>,</w:t>
      </w:r>
      <w:r w:rsidRPr="00E00F43">
        <w:rPr>
          <w:rFonts w:ascii="Times New Roman" w:hAnsi="Times New Roman" w:cs="Times New Roman"/>
          <w:sz w:val="28"/>
        </w:rPr>
        <w:t xml:space="preserve"> y </w:t>
      </w:r>
      <w:r w:rsidRPr="00E00F43">
        <w:rPr>
          <w:rFonts w:ascii="Times New Roman" w:hAnsi="Times New Roman" w:cs="Times New Roman"/>
          <w:i/>
          <w:sz w:val="28"/>
        </w:rPr>
        <w:t>(ii)</w:t>
      </w:r>
      <w:r w:rsidRPr="00E00F43">
        <w:rPr>
          <w:rFonts w:ascii="Times New Roman" w:hAnsi="Times New Roman" w:cs="Times New Roman"/>
          <w:sz w:val="28"/>
        </w:rPr>
        <w:t xml:space="preserve"> un análisis material: que coteja las disposiciones del tratado y de la ley con el marco constitucional colombiano, para de esta manera determinar si se ajustan o no al ordenamiento superior</w:t>
      </w:r>
      <w:r w:rsidRPr="00E00F43">
        <w:rPr>
          <w:rFonts w:ascii="Times New Roman" w:hAnsi="Times New Roman" w:cs="Times New Roman"/>
          <w:sz w:val="28"/>
        </w:rPr>
        <w:t>.</w:t>
      </w:r>
    </w:p>
    <w:p w:rsidR="000200C3" w:rsidRPr="00E00F43" w:rsidRDefault="00E00F43" w:rsidP="000200C3">
      <w:pPr>
        <w:pStyle w:val="Prrafodelista"/>
        <w:rPr>
          <w:rFonts w:ascii="Times New Roman" w:hAnsi="Times New Roman" w:cs="Times New Roman"/>
          <w:b/>
          <w:bCs/>
          <w:sz w:val="28"/>
          <w:lang w:val="es-ES"/>
        </w:rPr>
      </w:pPr>
    </w:p>
    <w:p w:rsidR="000200C3"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En consecuencia, corresponde a la Cor</w:t>
      </w:r>
      <w:r w:rsidRPr="00E00F43">
        <w:rPr>
          <w:rFonts w:ascii="Times New Roman" w:hAnsi="Times New Roman" w:cs="Times New Roman"/>
          <w:sz w:val="28"/>
        </w:rPr>
        <w:t>te resolver</w:t>
      </w:r>
      <w:r w:rsidRPr="00E00F43">
        <w:rPr>
          <w:rFonts w:ascii="Times New Roman" w:hAnsi="Times New Roman" w:cs="Times New Roman"/>
          <w:sz w:val="28"/>
        </w:rPr>
        <w:t xml:space="preserve"> </w:t>
      </w:r>
      <w:r w:rsidRPr="00E00F43">
        <w:rPr>
          <w:rFonts w:ascii="Times New Roman" w:hAnsi="Times New Roman" w:cs="Times New Roman"/>
          <w:sz w:val="28"/>
        </w:rPr>
        <w:t>los</w:t>
      </w:r>
      <w:r w:rsidRPr="00E00F43">
        <w:rPr>
          <w:rFonts w:ascii="Times New Roman" w:hAnsi="Times New Roman" w:cs="Times New Roman"/>
          <w:sz w:val="28"/>
        </w:rPr>
        <w:t xml:space="preserve"> siguiente</w:t>
      </w:r>
      <w:r w:rsidRPr="00E00F43">
        <w:rPr>
          <w:rFonts w:ascii="Times New Roman" w:hAnsi="Times New Roman" w:cs="Times New Roman"/>
          <w:sz w:val="28"/>
        </w:rPr>
        <w:t>s</w:t>
      </w:r>
      <w:r w:rsidRPr="00E00F43">
        <w:rPr>
          <w:rFonts w:ascii="Times New Roman" w:hAnsi="Times New Roman" w:cs="Times New Roman"/>
          <w:sz w:val="28"/>
        </w:rPr>
        <w:t xml:space="preserve"> problema</w:t>
      </w:r>
      <w:r w:rsidRPr="00E00F43">
        <w:rPr>
          <w:rFonts w:ascii="Times New Roman" w:hAnsi="Times New Roman" w:cs="Times New Roman"/>
          <w:sz w:val="28"/>
        </w:rPr>
        <w:t>s</w:t>
      </w:r>
      <w:r w:rsidRPr="00E00F43">
        <w:rPr>
          <w:rFonts w:ascii="Times New Roman" w:hAnsi="Times New Roman" w:cs="Times New Roman"/>
          <w:sz w:val="28"/>
        </w:rPr>
        <w:t xml:space="preserve"> jurídico</w:t>
      </w:r>
      <w:r w:rsidRPr="00E00F43">
        <w:rPr>
          <w:rFonts w:ascii="Times New Roman" w:hAnsi="Times New Roman" w:cs="Times New Roman"/>
          <w:sz w:val="28"/>
        </w:rPr>
        <w:t>s</w:t>
      </w:r>
      <w:r w:rsidRPr="00E00F43">
        <w:rPr>
          <w:rFonts w:ascii="Times New Roman" w:hAnsi="Times New Roman" w:cs="Times New Roman"/>
          <w:sz w:val="28"/>
        </w:rPr>
        <w:t xml:space="preserve">: </w:t>
      </w:r>
      <w:r w:rsidRPr="00E00F43">
        <w:rPr>
          <w:rFonts w:ascii="Times New Roman" w:hAnsi="Times New Roman" w:cs="Times New Roman"/>
          <w:i/>
          <w:iCs/>
          <w:sz w:val="28"/>
        </w:rPr>
        <w:t>(i)</w:t>
      </w:r>
      <w:r w:rsidRPr="00E00F43">
        <w:rPr>
          <w:rFonts w:ascii="Times New Roman" w:hAnsi="Times New Roman" w:cs="Times New Roman"/>
          <w:sz w:val="28"/>
        </w:rPr>
        <w:t xml:space="preserve"> </w:t>
      </w:r>
      <w:r w:rsidRPr="00E00F43">
        <w:rPr>
          <w:rFonts w:ascii="Times New Roman" w:hAnsi="Times New Roman" w:cs="Times New Roman"/>
          <w:sz w:val="28"/>
        </w:rPr>
        <w:t>¿</w:t>
      </w:r>
      <w:r w:rsidRPr="00E00F43">
        <w:rPr>
          <w:rFonts w:ascii="Times New Roman" w:hAnsi="Times New Roman" w:cs="Times New Roman"/>
          <w:sz w:val="28"/>
        </w:rPr>
        <w:t>e</w:t>
      </w:r>
      <w:r w:rsidRPr="00E00F43">
        <w:rPr>
          <w:rFonts w:ascii="Times New Roman" w:hAnsi="Times New Roman" w:cs="Times New Roman"/>
          <w:sz w:val="28"/>
        </w:rPr>
        <w:t>l Acuerdo relativo a la adopción de reglamentos técnicos armonizados de las Naciones Unidas aplicables a los vehículos de ruedas y los equipos y piezas que puedan montarse o utilizarse en estos, y sobre</w:t>
      </w:r>
      <w:r w:rsidRPr="00E00F43">
        <w:rPr>
          <w:rFonts w:ascii="Times New Roman" w:hAnsi="Times New Roman" w:cs="Times New Roman"/>
          <w:sz w:val="28"/>
        </w:rPr>
        <w:t xml:space="preserve"> las condiciones de reconocimiento recíproco de las homologaciones concedidas conforme a dichos reglamentos de las Naciones Unidas, así como la Ley 2290 del 13 de febrero de 2023, mediante la cual se aprobó dicho instrumento internacional, satisface</w:t>
      </w:r>
      <w:r w:rsidRPr="00E00F43">
        <w:rPr>
          <w:rFonts w:ascii="Times New Roman" w:hAnsi="Times New Roman" w:cs="Times New Roman"/>
          <w:sz w:val="28"/>
        </w:rPr>
        <w:t>n</w:t>
      </w:r>
      <w:r w:rsidRPr="00E00F43">
        <w:rPr>
          <w:rFonts w:ascii="Times New Roman" w:hAnsi="Times New Roman" w:cs="Times New Roman"/>
          <w:sz w:val="28"/>
        </w:rPr>
        <w:t xml:space="preserve"> los requisitos formales </w:t>
      </w:r>
      <w:r w:rsidRPr="00E00F43">
        <w:rPr>
          <w:rFonts w:ascii="Times New Roman" w:hAnsi="Times New Roman" w:cs="Times New Roman"/>
          <w:sz w:val="28"/>
        </w:rPr>
        <w:t xml:space="preserve">previstos en la Constitución Política y en la Ley 5 de 1992?; y </w:t>
      </w:r>
      <w:r w:rsidRPr="00E00F43">
        <w:rPr>
          <w:rFonts w:ascii="Times New Roman" w:hAnsi="Times New Roman" w:cs="Times New Roman"/>
          <w:i/>
          <w:iCs/>
          <w:sz w:val="28"/>
        </w:rPr>
        <w:t>(ii)</w:t>
      </w:r>
      <w:r w:rsidRPr="00E00F43">
        <w:rPr>
          <w:rFonts w:ascii="Times New Roman" w:hAnsi="Times New Roman" w:cs="Times New Roman"/>
          <w:sz w:val="28"/>
        </w:rPr>
        <w:t xml:space="preserve"> ¿el Acuerdo relativo a la adopción de reglamentos técnicos armonizados de las Naciones Unidas aplicables a los vehículos de ruedas y los equipos y piezas que pued</w:t>
      </w:r>
      <w:r w:rsidRPr="00E00F43">
        <w:rPr>
          <w:rFonts w:ascii="Times New Roman" w:hAnsi="Times New Roman" w:cs="Times New Roman"/>
          <w:sz w:val="28"/>
        </w:rPr>
        <w:t>an montarse o utilizarse en estos, y sobre las condiciones de reconocimiento recíproco de las homologaciones concedidas conforme a dichos reglamentos de las Naciones Unidas, así como la Ley 2290 del 13 de febrero de 2023, mediante la cual se aprobó dicho i</w:t>
      </w:r>
      <w:r w:rsidRPr="00E00F43">
        <w:rPr>
          <w:rFonts w:ascii="Times New Roman" w:hAnsi="Times New Roman" w:cs="Times New Roman"/>
          <w:sz w:val="28"/>
        </w:rPr>
        <w:t>nstrumento internacional, resultan materialmente compatibles con la Constitución Política?</w:t>
      </w:r>
    </w:p>
    <w:p w:rsidR="000200C3" w:rsidRPr="00E00F43" w:rsidRDefault="00E00F43" w:rsidP="00A542D4">
      <w:pPr>
        <w:pStyle w:val="Ttulo"/>
        <w:numPr>
          <w:ilvl w:val="0"/>
          <w:numId w:val="0"/>
        </w:numPr>
        <w:rPr>
          <w:rFonts w:ascii="Times New Roman" w:hAnsi="Times New Roman" w:cs="Times New Roman"/>
          <w:sz w:val="28"/>
        </w:rPr>
      </w:pPr>
    </w:p>
    <w:p w:rsidR="00F136F3"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 xml:space="preserve">Hechas las anteriores precisiones, pasa la Corte a examinar la constitucionalidad del tratado internacional objeto de estudio y de su ley aprobatoria, tanto en su </w:t>
      </w:r>
      <w:r w:rsidRPr="00E00F43">
        <w:rPr>
          <w:rFonts w:ascii="Times New Roman" w:hAnsi="Times New Roman" w:cs="Times New Roman"/>
          <w:sz w:val="28"/>
        </w:rPr>
        <w:t>aspecto formal como material.</w:t>
      </w:r>
    </w:p>
    <w:p w:rsidR="000200C3" w:rsidRPr="00E00F43" w:rsidRDefault="00E00F43" w:rsidP="00A542D4">
      <w:pPr>
        <w:pStyle w:val="Ttulo"/>
        <w:numPr>
          <w:ilvl w:val="0"/>
          <w:numId w:val="0"/>
        </w:numPr>
        <w:rPr>
          <w:rFonts w:ascii="Times New Roman" w:hAnsi="Times New Roman" w:cs="Times New Roman"/>
          <w:b/>
          <w:bCs/>
          <w:sz w:val="28"/>
        </w:rPr>
      </w:pPr>
    </w:p>
    <w:p w:rsidR="000200C3" w:rsidRPr="00E00F43" w:rsidRDefault="00E00F43">
      <w:pPr>
        <w:pStyle w:val="Ttulo"/>
        <w:numPr>
          <w:ilvl w:val="1"/>
          <w:numId w:val="7"/>
        </w:numPr>
        <w:ind w:left="0" w:firstLine="0"/>
        <w:rPr>
          <w:rFonts w:ascii="Times New Roman" w:hAnsi="Times New Roman" w:cs="Times New Roman"/>
          <w:b/>
          <w:bCs/>
          <w:sz w:val="28"/>
        </w:rPr>
      </w:pPr>
      <w:r w:rsidRPr="00E00F43">
        <w:rPr>
          <w:rFonts w:ascii="Times New Roman" w:hAnsi="Times New Roman" w:cs="Times New Roman"/>
          <w:b/>
          <w:bCs/>
          <w:sz w:val="28"/>
        </w:rPr>
        <w:t xml:space="preserve"> Análisis formal: la suscripción del “Acuerdo relativo a la adopción de reglamentos técnicos armonizados de las Naciones Unidas aplicables a los vehículos de ruedas y los equipos y piezas que puedan montarse o utilizarse en e</w:t>
      </w:r>
      <w:r w:rsidRPr="00E00F43">
        <w:rPr>
          <w:rFonts w:ascii="Times New Roman" w:hAnsi="Times New Roman" w:cs="Times New Roman"/>
          <w:b/>
          <w:bCs/>
          <w:sz w:val="28"/>
        </w:rPr>
        <w:t>stos, y sobre las condiciones de reconocimiento recíproco de las homologaciones concedidas conforme a dichos reglamentos de las Naciones Unidas”, así como su aprobación por parte del Congreso de la República, cumplieron con el procedimiento constitucional</w:t>
      </w:r>
    </w:p>
    <w:p w:rsidR="000200C3" w:rsidRPr="00E00F43" w:rsidRDefault="00E00F43" w:rsidP="00A542D4">
      <w:pPr>
        <w:pStyle w:val="Ttulo"/>
        <w:numPr>
          <w:ilvl w:val="0"/>
          <w:numId w:val="0"/>
        </w:numPr>
        <w:rPr>
          <w:rFonts w:ascii="Times New Roman" w:hAnsi="Times New Roman" w:cs="Times New Roman"/>
          <w:sz w:val="28"/>
        </w:rPr>
      </w:pPr>
    </w:p>
    <w:p w:rsidR="00BC54B7"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La revisión del aspecto formal del tratado internacional y de su ley aprobatoria se dirige a examinar los siguientes aspectos: la validez de la representación del Estado Colombiano en las fases de negociación, celebración y firma del Acuerdo internaciona</w:t>
      </w:r>
      <w:r w:rsidRPr="00E00F43">
        <w:rPr>
          <w:rFonts w:ascii="Times New Roman" w:hAnsi="Times New Roman" w:cs="Times New Roman"/>
          <w:sz w:val="28"/>
        </w:rPr>
        <w:t>l, la necesidad de realizar la consulta previa como expresión del derecho fundamental a la participación de los grupos étnicos, el análisis de impacto fiscal de que trata el artículo 7 de la Ley 819 de 2003, el cumplimiento de las reglas de trámite legisla</w:t>
      </w:r>
      <w:r w:rsidRPr="00E00F43">
        <w:rPr>
          <w:rFonts w:ascii="Times New Roman" w:hAnsi="Times New Roman" w:cs="Times New Roman"/>
          <w:sz w:val="28"/>
        </w:rPr>
        <w:t>tivo en la formación de la ley aprobatoria y el respeto a los principios de consecutividad e identidad flexible.</w:t>
      </w:r>
    </w:p>
    <w:p w:rsidR="000200C3" w:rsidRPr="00E00F43" w:rsidRDefault="00E00F43" w:rsidP="00A542D4">
      <w:pPr>
        <w:pStyle w:val="Ttulo"/>
        <w:numPr>
          <w:ilvl w:val="0"/>
          <w:numId w:val="0"/>
        </w:numPr>
        <w:rPr>
          <w:rFonts w:ascii="Times New Roman" w:hAnsi="Times New Roman" w:cs="Times New Roman"/>
          <w:b/>
          <w:bCs/>
          <w:sz w:val="28"/>
        </w:rPr>
      </w:pPr>
    </w:p>
    <w:p w:rsidR="000200C3" w:rsidRPr="00E00F43" w:rsidRDefault="00E00F43" w:rsidP="00DB0D94">
      <w:pPr>
        <w:pStyle w:val="Ttulo"/>
        <w:numPr>
          <w:ilvl w:val="2"/>
          <w:numId w:val="7"/>
        </w:numPr>
        <w:ind w:left="0" w:firstLine="0"/>
        <w:rPr>
          <w:rFonts w:ascii="Times New Roman" w:hAnsi="Times New Roman" w:cs="Times New Roman"/>
          <w:b/>
          <w:bCs/>
          <w:sz w:val="28"/>
        </w:rPr>
      </w:pPr>
      <w:r w:rsidRPr="00E00F43">
        <w:rPr>
          <w:rFonts w:ascii="Times New Roman" w:hAnsi="Times New Roman" w:cs="Times New Roman"/>
          <w:b/>
          <w:bCs/>
          <w:sz w:val="28"/>
        </w:rPr>
        <w:t>Representación del Estado y aprobación presidencial</w:t>
      </w:r>
    </w:p>
    <w:p w:rsidR="000200C3" w:rsidRPr="00E00F43" w:rsidRDefault="00E00F43" w:rsidP="00A542D4">
      <w:pPr>
        <w:pStyle w:val="Ttulo"/>
        <w:numPr>
          <w:ilvl w:val="0"/>
          <w:numId w:val="0"/>
        </w:numPr>
        <w:rPr>
          <w:rFonts w:ascii="Times New Roman" w:hAnsi="Times New Roman" w:cs="Times New Roman"/>
          <w:sz w:val="28"/>
        </w:rPr>
      </w:pPr>
    </w:p>
    <w:p w:rsidR="000200C3"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El primer aspecto por revisar es la competencia del funcionario que representó al Estado</w:t>
      </w:r>
      <w:r w:rsidRPr="00E00F43">
        <w:rPr>
          <w:rFonts w:ascii="Times New Roman" w:hAnsi="Times New Roman" w:cs="Times New Roman"/>
          <w:sz w:val="28"/>
        </w:rPr>
        <w:t xml:space="preserve"> colombiano en la negociación del </w:t>
      </w:r>
      <w:r w:rsidRPr="00E00F43">
        <w:rPr>
          <w:rFonts w:ascii="Times New Roman" w:hAnsi="Times New Roman" w:cs="Times New Roman"/>
          <w:sz w:val="28"/>
        </w:rPr>
        <w:t>instrumento internacional</w:t>
      </w:r>
      <w:r w:rsidRPr="00E00F43">
        <w:rPr>
          <w:rFonts w:ascii="Times New Roman" w:hAnsi="Times New Roman" w:cs="Times New Roman"/>
          <w:sz w:val="28"/>
        </w:rPr>
        <w:t xml:space="preserve">. En este sentido, la Corte “ha señalado que el deber constitucional de revisar los tratados internacionales, así como las leyes que los aprueben, incluye el examen de las facultades del Ejecutivo </w:t>
      </w:r>
      <w:r w:rsidRPr="00E00F43">
        <w:rPr>
          <w:rFonts w:ascii="Times New Roman" w:hAnsi="Times New Roman" w:cs="Times New Roman"/>
          <w:sz w:val="28"/>
        </w:rPr>
        <w:t>respecto de la negociación y firma del instrumento internacional respectivo”</w:t>
      </w:r>
      <w:r w:rsidRPr="00E00F43">
        <w:rPr>
          <w:rFonts w:ascii="Times New Roman" w:hAnsi="Times New Roman" w:cs="Times New Roman"/>
          <w:sz w:val="28"/>
          <w:vertAlign w:val="superscript"/>
        </w:rPr>
        <w:footnoteReference w:id="13"/>
      </w:r>
      <w:r w:rsidRPr="00E00F43">
        <w:rPr>
          <w:rFonts w:ascii="Times New Roman" w:hAnsi="Times New Roman" w:cs="Times New Roman"/>
          <w:sz w:val="28"/>
        </w:rPr>
        <w:t>.</w:t>
      </w:r>
      <w:r w:rsidRPr="00E00F43">
        <w:rPr>
          <w:rFonts w:ascii="Times New Roman" w:hAnsi="Times New Roman" w:cs="Times New Roman"/>
          <w:sz w:val="28"/>
        </w:rPr>
        <w:t xml:space="preserve"> Esta verificación </w:t>
      </w:r>
      <w:r w:rsidRPr="00E00F43">
        <w:rPr>
          <w:rFonts w:ascii="Times New Roman" w:hAnsi="Times New Roman" w:cs="Times New Roman"/>
          <w:sz w:val="28"/>
        </w:rPr>
        <w:t>debe realizarse de acuerdo con</w:t>
      </w:r>
      <w:r w:rsidRPr="00E00F43">
        <w:rPr>
          <w:rFonts w:ascii="Times New Roman" w:hAnsi="Times New Roman" w:cs="Times New Roman"/>
          <w:sz w:val="28"/>
        </w:rPr>
        <w:t xml:space="preserve"> lo previsto en los artículos 7 a 10 de la Convención de Viena sobre el Derecho de los Tratados de 1969</w:t>
      </w:r>
      <w:r w:rsidRPr="00E00F43">
        <w:rPr>
          <w:rFonts w:ascii="Times New Roman" w:hAnsi="Times New Roman" w:cs="Times New Roman"/>
          <w:sz w:val="28"/>
          <w:vertAlign w:val="superscript"/>
        </w:rPr>
        <w:footnoteReference w:id="14"/>
      </w:r>
      <w:r w:rsidRPr="00E00F43">
        <w:rPr>
          <w:rFonts w:ascii="Times New Roman" w:hAnsi="Times New Roman" w:cs="Times New Roman"/>
          <w:sz w:val="28"/>
        </w:rPr>
        <w:t>.</w:t>
      </w:r>
    </w:p>
    <w:p w:rsidR="000200C3" w:rsidRPr="00E00F43" w:rsidRDefault="00E00F43" w:rsidP="00A542D4">
      <w:pPr>
        <w:pStyle w:val="Ttulo"/>
        <w:numPr>
          <w:ilvl w:val="0"/>
          <w:numId w:val="0"/>
        </w:numPr>
        <w:rPr>
          <w:rFonts w:ascii="Times New Roman" w:hAnsi="Times New Roman" w:cs="Times New Roman"/>
          <w:sz w:val="28"/>
        </w:rPr>
      </w:pPr>
    </w:p>
    <w:p w:rsidR="001F65E7" w:rsidRPr="00E00F43" w:rsidRDefault="00E00F43" w:rsidP="00A542D4">
      <w:pPr>
        <w:pStyle w:val="Ttulo"/>
        <w:rPr>
          <w:rFonts w:ascii="Times New Roman" w:hAnsi="Times New Roman" w:cs="Times New Roman"/>
          <w:b/>
          <w:bCs/>
          <w:sz w:val="28"/>
        </w:rPr>
      </w:pPr>
      <w:r w:rsidRPr="00E00F43">
        <w:rPr>
          <w:rFonts w:ascii="Times New Roman" w:hAnsi="Times New Roman" w:cs="Times New Roman"/>
          <w:sz w:val="28"/>
        </w:rPr>
        <w:t>El artículo 7 de la Co</w:t>
      </w:r>
      <w:r w:rsidRPr="00E00F43">
        <w:rPr>
          <w:rFonts w:ascii="Times New Roman" w:hAnsi="Times New Roman" w:cs="Times New Roman"/>
          <w:sz w:val="28"/>
        </w:rPr>
        <w:t>nvención de Viena sobre el Derecho de los Tratados de 1969, señala lo siguiente:</w:t>
      </w:r>
    </w:p>
    <w:p w:rsidR="00A542D4" w:rsidRPr="00E00F43" w:rsidRDefault="00E00F43" w:rsidP="00A542D4">
      <w:pPr>
        <w:pStyle w:val="Prrafodelista"/>
        <w:rPr>
          <w:rFonts w:ascii="Times New Roman" w:hAnsi="Times New Roman" w:cs="Times New Roman"/>
          <w:sz w:val="28"/>
          <w:szCs w:val="24"/>
          <w:lang w:val="es-ES"/>
        </w:rPr>
      </w:pPr>
    </w:p>
    <w:p w:rsidR="00A542D4" w:rsidRPr="00E00F43" w:rsidRDefault="00E00F43" w:rsidP="00A542D4">
      <w:pPr>
        <w:pStyle w:val="Prrafodelista"/>
        <w:rPr>
          <w:rFonts w:ascii="Times New Roman" w:hAnsi="Times New Roman" w:cs="Times New Roman"/>
          <w:sz w:val="28"/>
          <w:lang w:val="es-ES"/>
        </w:rPr>
      </w:pPr>
      <w:r w:rsidRPr="00E00F43">
        <w:rPr>
          <w:rFonts w:ascii="Times New Roman" w:hAnsi="Times New Roman" w:cs="Times New Roman"/>
          <w:sz w:val="28"/>
          <w:lang w:val="es-ES"/>
        </w:rPr>
        <w:t>“1. Para la adopción o la autenticación del texto de un tratado, o para manifestar el consentimiento del Estado en obligarse por un tratado, se considerará que una persona re</w:t>
      </w:r>
      <w:r w:rsidRPr="00E00F43">
        <w:rPr>
          <w:rFonts w:ascii="Times New Roman" w:hAnsi="Times New Roman" w:cs="Times New Roman"/>
          <w:sz w:val="28"/>
          <w:lang w:val="es-ES"/>
        </w:rPr>
        <w:t>presenta a un Estado: </w:t>
      </w:r>
    </w:p>
    <w:p w:rsidR="00A542D4" w:rsidRPr="00E00F43" w:rsidRDefault="00E00F43" w:rsidP="00A542D4">
      <w:pPr>
        <w:pStyle w:val="Prrafodelista"/>
        <w:rPr>
          <w:rFonts w:ascii="Times New Roman" w:hAnsi="Times New Roman" w:cs="Times New Roman"/>
          <w:sz w:val="28"/>
          <w:lang w:val="es-ES"/>
        </w:rPr>
      </w:pPr>
      <w:r w:rsidRPr="00E00F43">
        <w:rPr>
          <w:rFonts w:ascii="Times New Roman" w:hAnsi="Times New Roman" w:cs="Times New Roman"/>
          <w:sz w:val="28"/>
          <w:lang w:val="es-ES"/>
        </w:rPr>
        <w:t>  </w:t>
      </w:r>
    </w:p>
    <w:p w:rsidR="00A542D4" w:rsidRPr="00E00F43" w:rsidRDefault="00E00F43">
      <w:pPr>
        <w:pStyle w:val="Prrafodelista"/>
        <w:numPr>
          <w:ilvl w:val="0"/>
          <w:numId w:val="8"/>
        </w:numPr>
        <w:rPr>
          <w:rFonts w:ascii="Times New Roman" w:hAnsi="Times New Roman" w:cs="Times New Roman"/>
          <w:sz w:val="28"/>
          <w:lang w:val="es-ES"/>
        </w:rPr>
      </w:pPr>
      <w:r w:rsidRPr="00E00F43">
        <w:rPr>
          <w:rFonts w:ascii="Times New Roman" w:hAnsi="Times New Roman" w:cs="Times New Roman"/>
          <w:sz w:val="28"/>
          <w:lang w:val="es-ES"/>
        </w:rPr>
        <w:t>Si presenta los adecuados plenos poderes, o </w:t>
      </w:r>
    </w:p>
    <w:p w:rsidR="00A542D4" w:rsidRPr="00E00F43" w:rsidRDefault="00E00F43" w:rsidP="00A542D4">
      <w:pPr>
        <w:pStyle w:val="Prrafodelista"/>
        <w:rPr>
          <w:rFonts w:ascii="Times New Roman" w:hAnsi="Times New Roman" w:cs="Times New Roman"/>
          <w:sz w:val="28"/>
          <w:lang w:val="es-ES"/>
        </w:rPr>
      </w:pPr>
      <w:r w:rsidRPr="00E00F43">
        <w:rPr>
          <w:rFonts w:ascii="Times New Roman" w:hAnsi="Times New Roman" w:cs="Times New Roman"/>
          <w:sz w:val="28"/>
          <w:lang w:val="es-ES"/>
        </w:rPr>
        <w:t>  </w:t>
      </w:r>
    </w:p>
    <w:p w:rsidR="00A542D4" w:rsidRPr="00E00F43" w:rsidRDefault="00E00F43" w:rsidP="00A542D4">
      <w:pPr>
        <w:pStyle w:val="Prrafodelista"/>
        <w:rPr>
          <w:rFonts w:ascii="Times New Roman" w:hAnsi="Times New Roman" w:cs="Times New Roman"/>
          <w:sz w:val="28"/>
          <w:lang w:val="es-ES"/>
        </w:rPr>
      </w:pPr>
      <w:r w:rsidRPr="00E00F43">
        <w:rPr>
          <w:rFonts w:ascii="Times New Roman" w:hAnsi="Times New Roman" w:cs="Times New Roman"/>
          <w:sz w:val="28"/>
          <w:lang w:val="es-ES"/>
        </w:rPr>
        <w:t xml:space="preserve">b) Si se deduce de la práctica seguida por los Estados interesados, o de otras circunstancias, que la intención de esos Estados ha sido considerar a esa persona representante del </w:t>
      </w:r>
      <w:r w:rsidRPr="00E00F43">
        <w:rPr>
          <w:rFonts w:ascii="Times New Roman" w:hAnsi="Times New Roman" w:cs="Times New Roman"/>
          <w:sz w:val="28"/>
          <w:lang w:val="es-ES"/>
        </w:rPr>
        <w:t>Estado para esos efectos y prescindir de la presentación de plenos poderes. </w:t>
      </w:r>
    </w:p>
    <w:p w:rsidR="00A542D4" w:rsidRPr="00E00F43" w:rsidRDefault="00E00F43" w:rsidP="00A542D4">
      <w:pPr>
        <w:pStyle w:val="Prrafodelista"/>
        <w:rPr>
          <w:rFonts w:ascii="Times New Roman" w:hAnsi="Times New Roman" w:cs="Times New Roman"/>
          <w:sz w:val="28"/>
          <w:lang w:val="es-ES"/>
        </w:rPr>
      </w:pPr>
      <w:r w:rsidRPr="00E00F43">
        <w:rPr>
          <w:rFonts w:ascii="Times New Roman" w:hAnsi="Times New Roman" w:cs="Times New Roman"/>
          <w:sz w:val="28"/>
          <w:lang w:val="es-ES"/>
        </w:rPr>
        <w:t>  </w:t>
      </w:r>
    </w:p>
    <w:p w:rsidR="00A542D4" w:rsidRPr="00E00F43" w:rsidRDefault="00E00F43" w:rsidP="00A542D4">
      <w:pPr>
        <w:pStyle w:val="Prrafodelista"/>
        <w:rPr>
          <w:rFonts w:ascii="Times New Roman" w:hAnsi="Times New Roman" w:cs="Times New Roman"/>
          <w:sz w:val="28"/>
          <w:lang w:val="es-ES"/>
        </w:rPr>
      </w:pPr>
      <w:r w:rsidRPr="00E00F43">
        <w:rPr>
          <w:rFonts w:ascii="Times New Roman" w:hAnsi="Times New Roman" w:cs="Times New Roman"/>
          <w:sz w:val="28"/>
          <w:lang w:val="es-ES"/>
        </w:rPr>
        <w:t>2. </w:t>
      </w:r>
      <w:r w:rsidRPr="00E00F43">
        <w:rPr>
          <w:rFonts w:ascii="Times New Roman" w:hAnsi="Times New Roman" w:cs="Times New Roman"/>
          <w:sz w:val="28"/>
          <w:u w:val="single"/>
          <w:lang w:val="es-ES"/>
        </w:rPr>
        <w:t>En virtud de sus funciones, y sin tener que presentar plenos poderes, se considerará que representan a su Estado</w:t>
      </w:r>
      <w:r w:rsidRPr="00E00F43">
        <w:rPr>
          <w:rFonts w:ascii="Times New Roman" w:hAnsi="Times New Roman" w:cs="Times New Roman"/>
          <w:sz w:val="28"/>
          <w:lang w:val="es-ES"/>
        </w:rPr>
        <w:t>: </w:t>
      </w:r>
    </w:p>
    <w:p w:rsidR="00A542D4" w:rsidRPr="00E00F43" w:rsidRDefault="00E00F43" w:rsidP="00A542D4">
      <w:pPr>
        <w:pStyle w:val="Prrafodelista"/>
        <w:rPr>
          <w:rFonts w:ascii="Times New Roman" w:hAnsi="Times New Roman" w:cs="Times New Roman"/>
          <w:sz w:val="28"/>
          <w:lang w:val="es-ES"/>
        </w:rPr>
      </w:pPr>
      <w:r w:rsidRPr="00E00F43">
        <w:rPr>
          <w:rFonts w:ascii="Times New Roman" w:hAnsi="Times New Roman" w:cs="Times New Roman"/>
          <w:sz w:val="28"/>
          <w:lang w:val="es-ES"/>
        </w:rPr>
        <w:t>  </w:t>
      </w:r>
    </w:p>
    <w:p w:rsidR="00A542D4" w:rsidRPr="00E00F43" w:rsidRDefault="00E00F43">
      <w:pPr>
        <w:pStyle w:val="Prrafodelista"/>
        <w:numPr>
          <w:ilvl w:val="0"/>
          <w:numId w:val="9"/>
        </w:numPr>
        <w:rPr>
          <w:rFonts w:ascii="Times New Roman" w:hAnsi="Times New Roman" w:cs="Times New Roman"/>
          <w:sz w:val="28"/>
          <w:lang w:val="es-ES"/>
        </w:rPr>
      </w:pPr>
      <w:r w:rsidRPr="00E00F43">
        <w:rPr>
          <w:rFonts w:ascii="Times New Roman" w:hAnsi="Times New Roman" w:cs="Times New Roman"/>
          <w:sz w:val="28"/>
          <w:lang w:val="es-ES"/>
        </w:rPr>
        <w:t>Los jefes de Estado, jefes de Gobierno y ministros de r</w:t>
      </w:r>
      <w:r w:rsidRPr="00E00F43">
        <w:rPr>
          <w:rFonts w:ascii="Times New Roman" w:hAnsi="Times New Roman" w:cs="Times New Roman"/>
          <w:sz w:val="28"/>
          <w:lang w:val="es-ES"/>
        </w:rPr>
        <w:t>elaciones exteriores, para la ejecución de todos los actos relativos a la celebración de un tratado; </w:t>
      </w:r>
    </w:p>
    <w:p w:rsidR="00A542D4" w:rsidRPr="00E00F43" w:rsidRDefault="00E00F43" w:rsidP="00A542D4">
      <w:pPr>
        <w:pStyle w:val="Prrafodelista"/>
        <w:rPr>
          <w:rFonts w:ascii="Times New Roman" w:hAnsi="Times New Roman" w:cs="Times New Roman"/>
          <w:sz w:val="28"/>
          <w:lang w:val="es-ES"/>
        </w:rPr>
      </w:pPr>
      <w:r w:rsidRPr="00E00F43">
        <w:rPr>
          <w:rFonts w:ascii="Times New Roman" w:hAnsi="Times New Roman" w:cs="Times New Roman"/>
          <w:sz w:val="28"/>
          <w:lang w:val="es-ES"/>
        </w:rPr>
        <w:t>  </w:t>
      </w:r>
    </w:p>
    <w:p w:rsidR="00A542D4" w:rsidRPr="00E00F43" w:rsidRDefault="00E00F43" w:rsidP="00A542D4">
      <w:pPr>
        <w:pStyle w:val="Prrafodelista"/>
        <w:rPr>
          <w:rFonts w:ascii="Times New Roman" w:hAnsi="Times New Roman" w:cs="Times New Roman"/>
          <w:sz w:val="28"/>
          <w:lang w:val="es-ES"/>
        </w:rPr>
      </w:pPr>
      <w:r w:rsidRPr="00E00F43">
        <w:rPr>
          <w:rFonts w:ascii="Times New Roman" w:hAnsi="Times New Roman" w:cs="Times New Roman"/>
          <w:sz w:val="28"/>
          <w:lang w:val="es-ES"/>
        </w:rPr>
        <w:t xml:space="preserve">b) Los jefes de misión diplomática, para la adopción del texto de un tratado entre el Estado acreditante y el Estado ante el cual se encuentran </w:t>
      </w:r>
      <w:r w:rsidRPr="00E00F43">
        <w:rPr>
          <w:rFonts w:ascii="Times New Roman" w:hAnsi="Times New Roman" w:cs="Times New Roman"/>
          <w:sz w:val="28"/>
          <w:lang w:val="es-ES"/>
        </w:rPr>
        <w:t>acreditados; </w:t>
      </w:r>
    </w:p>
    <w:p w:rsidR="00A542D4" w:rsidRPr="00E00F43" w:rsidRDefault="00E00F43" w:rsidP="00A542D4">
      <w:pPr>
        <w:pStyle w:val="Prrafodelista"/>
        <w:rPr>
          <w:rFonts w:ascii="Times New Roman" w:hAnsi="Times New Roman" w:cs="Times New Roman"/>
          <w:sz w:val="28"/>
          <w:lang w:val="es-ES"/>
        </w:rPr>
      </w:pPr>
      <w:r w:rsidRPr="00E00F43">
        <w:rPr>
          <w:rFonts w:ascii="Times New Roman" w:hAnsi="Times New Roman" w:cs="Times New Roman"/>
          <w:sz w:val="28"/>
          <w:lang w:val="es-ES"/>
        </w:rPr>
        <w:t>  </w:t>
      </w:r>
    </w:p>
    <w:p w:rsidR="00A542D4" w:rsidRPr="00E00F43" w:rsidRDefault="00E00F43" w:rsidP="00A542D4">
      <w:pPr>
        <w:pStyle w:val="Prrafodelista"/>
        <w:rPr>
          <w:rFonts w:ascii="Times New Roman" w:hAnsi="Times New Roman" w:cs="Times New Roman"/>
          <w:sz w:val="28"/>
          <w:lang w:val="es-ES"/>
        </w:rPr>
      </w:pPr>
      <w:r w:rsidRPr="00E00F43">
        <w:rPr>
          <w:rFonts w:ascii="Times New Roman" w:hAnsi="Times New Roman" w:cs="Times New Roman"/>
          <w:sz w:val="28"/>
          <w:lang w:val="es-ES"/>
        </w:rPr>
        <w:t xml:space="preserve">c) </w:t>
      </w:r>
      <w:r w:rsidRPr="00E00F43">
        <w:rPr>
          <w:rFonts w:ascii="Times New Roman" w:hAnsi="Times New Roman" w:cs="Times New Roman"/>
          <w:sz w:val="28"/>
          <w:u w:val="single"/>
          <w:lang w:val="es-ES"/>
        </w:rPr>
        <w:t>Los representantes acreditados por los Estados ante una conferencia internacional o ante una organización internacional o uno de sus órganos, para la adopción del texto de un tratado en tal conferencia, organización u órgano</w:t>
      </w:r>
      <w:r w:rsidRPr="00E00F43">
        <w:rPr>
          <w:rFonts w:ascii="Times New Roman" w:hAnsi="Times New Roman" w:cs="Times New Roman"/>
          <w:sz w:val="28"/>
          <w:lang w:val="es-ES"/>
        </w:rPr>
        <w:t>”. (Subrayad</w:t>
      </w:r>
      <w:r w:rsidRPr="00E00F43">
        <w:rPr>
          <w:rFonts w:ascii="Times New Roman" w:hAnsi="Times New Roman" w:cs="Times New Roman"/>
          <w:sz w:val="28"/>
          <w:lang w:val="es-ES"/>
        </w:rPr>
        <w:t>o fuera de texto original).</w:t>
      </w:r>
    </w:p>
    <w:p w:rsidR="00A542D4" w:rsidRPr="00E00F43" w:rsidRDefault="00E00F43" w:rsidP="00A542D4">
      <w:pPr>
        <w:pStyle w:val="Prrafodelista"/>
        <w:rPr>
          <w:rFonts w:ascii="Times New Roman" w:hAnsi="Times New Roman" w:cs="Times New Roman"/>
          <w:sz w:val="28"/>
          <w:lang w:val="es-ES"/>
        </w:rPr>
      </w:pPr>
    </w:p>
    <w:p w:rsidR="00A542D4"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Sin embargo, en este caso se tiene que, tal como lo explicó el Ministerio de Relaciones Exteriores, “la República de Colombia no es un Estado Signatario del Acuerdo […], suscrito en Ginebra el 20 de marzo de 1958, por tal motiv</w:t>
      </w:r>
      <w:r w:rsidRPr="00E00F43">
        <w:rPr>
          <w:rFonts w:ascii="Times New Roman" w:hAnsi="Times New Roman" w:cs="Times New Roman"/>
          <w:sz w:val="28"/>
        </w:rPr>
        <w:t>o, a fin de hacerse Parte de este instrumento, se deberá depositar el respectivo instrumento de adhesión, con sujeción a lo dispuesto en su Artículo 6”</w:t>
      </w:r>
      <w:r w:rsidRPr="00E00F43">
        <w:rPr>
          <w:rFonts w:ascii="Times New Roman" w:hAnsi="Times New Roman" w:cs="Times New Roman"/>
          <w:sz w:val="28"/>
        </w:rPr>
        <w:t>. En casos como estos, la Corte ha indicado que no es posible entrar a analizar la participación del pres</w:t>
      </w:r>
      <w:r w:rsidRPr="00E00F43">
        <w:rPr>
          <w:rFonts w:ascii="Times New Roman" w:hAnsi="Times New Roman" w:cs="Times New Roman"/>
          <w:sz w:val="28"/>
        </w:rPr>
        <w:t>idente o de su representante en la suscripción respectiva</w:t>
      </w:r>
      <w:r w:rsidRPr="00E00F43">
        <w:rPr>
          <w:rFonts w:ascii="Times New Roman" w:hAnsi="Times New Roman" w:cs="Times New Roman"/>
          <w:sz w:val="28"/>
        </w:rPr>
        <w:t>, pues para hacerse parte de este Acuerdo internacional, debe depositarse el instrumento de adhesión, de conformidad con lo dispuesto en el artículo 6 del mismo, en los artículos 15 y 16 de la Conven</w:t>
      </w:r>
      <w:r w:rsidRPr="00E00F43">
        <w:rPr>
          <w:rFonts w:ascii="Times New Roman" w:hAnsi="Times New Roman" w:cs="Times New Roman"/>
          <w:sz w:val="28"/>
        </w:rPr>
        <w:t>ción de Viena y en el artículo 189.2 de la Constitución.</w:t>
      </w:r>
    </w:p>
    <w:p w:rsidR="00394EF1" w:rsidRPr="00E00F43" w:rsidRDefault="00E00F43" w:rsidP="00394EF1">
      <w:pPr>
        <w:pStyle w:val="Ttulo"/>
        <w:numPr>
          <w:ilvl w:val="0"/>
          <w:numId w:val="0"/>
        </w:numPr>
        <w:rPr>
          <w:rFonts w:ascii="Times New Roman" w:hAnsi="Times New Roman" w:cs="Times New Roman"/>
          <w:sz w:val="28"/>
        </w:rPr>
      </w:pPr>
    </w:p>
    <w:p w:rsidR="00476FE5" w:rsidRPr="00E00F43" w:rsidRDefault="00E00F43" w:rsidP="00A16E54">
      <w:pPr>
        <w:pStyle w:val="Ttulo"/>
        <w:tabs>
          <w:tab w:val="clear" w:pos="426"/>
          <w:tab w:val="left" w:pos="567"/>
        </w:tabs>
        <w:rPr>
          <w:rFonts w:ascii="Times New Roman" w:hAnsi="Times New Roman" w:cs="Times New Roman"/>
          <w:sz w:val="28"/>
        </w:rPr>
      </w:pPr>
      <w:r w:rsidRPr="00E00F43">
        <w:rPr>
          <w:rFonts w:ascii="Times New Roman" w:hAnsi="Times New Roman" w:cs="Times New Roman"/>
          <w:sz w:val="28"/>
        </w:rPr>
        <w:t xml:space="preserve">Sobre el particular, el Ministerio de Relaciones Exteriores explicó que el entonces presidente de la República, Iván Duque Márquez, “impartió la respectiva Aprobación Ejecutiva el día 24 de febrero </w:t>
      </w:r>
      <w:r w:rsidRPr="00E00F43">
        <w:rPr>
          <w:rFonts w:ascii="Times New Roman" w:hAnsi="Times New Roman" w:cs="Times New Roman"/>
          <w:sz w:val="28"/>
        </w:rPr>
        <w:t>de 2022 y en el mismo acto, en cumplimiento de los trámites constitucionales, ordenó someter a consideración del Congreso de la República el Acuerdo en ciernes”</w:t>
      </w:r>
      <w:r w:rsidRPr="00E00F43">
        <w:rPr>
          <w:rStyle w:val="Refdenotaalpie"/>
          <w:rFonts w:ascii="Times New Roman" w:hAnsi="Times New Roman"/>
          <w:b/>
          <w:bCs/>
          <w:sz w:val="28"/>
        </w:rPr>
        <w:footnoteReference w:id="15"/>
      </w:r>
      <w:r w:rsidRPr="00E00F43">
        <w:rPr>
          <w:rFonts w:ascii="Times New Roman" w:hAnsi="Times New Roman" w:cs="Times New Roman"/>
          <w:sz w:val="28"/>
        </w:rPr>
        <w:t xml:space="preserve">. </w:t>
      </w:r>
      <w:r w:rsidRPr="00E00F43">
        <w:rPr>
          <w:rFonts w:ascii="Times New Roman" w:hAnsi="Times New Roman" w:cs="Times New Roman"/>
          <w:sz w:val="28"/>
        </w:rPr>
        <w:t>Como anexo</w:t>
      </w:r>
      <w:r w:rsidRPr="00E00F43">
        <w:rPr>
          <w:rFonts w:ascii="Times New Roman" w:hAnsi="Times New Roman" w:cs="Times New Roman"/>
          <w:sz w:val="28"/>
        </w:rPr>
        <w:t>, adjuntó copia de la mencionada aprobación ejecutiva</w:t>
      </w:r>
      <w:r w:rsidRPr="00E00F43">
        <w:rPr>
          <w:rFonts w:ascii="Times New Roman" w:hAnsi="Times New Roman" w:cs="Times New Roman"/>
          <w:sz w:val="28"/>
        </w:rPr>
        <w:t>, suscrita, también, por la en</w:t>
      </w:r>
      <w:r w:rsidRPr="00E00F43">
        <w:rPr>
          <w:rFonts w:ascii="Times New Roman" w:hAnsi="Times New Roman" w:cs="Times New Roman"/>
          <w:sz w:val="28"/>
        </w:rPr>
        <w:t>tonces ministra de relaciones exteriores, Martha Lucía Ramírez Blanco</w:t>
      </w:r>
      <w:r w:rsidRPr="00E00F43">
        <w:rPr>
          <w:rStyle w:val="Refdenotaalpie"/>
          <w:rFonts w:ascii="Times New Roman" w:hAnsi="Times New Roman"/>
          <w:b/>
          <w:bCs/>
          <w:sz w:val="28"/>
        </w:rPr>
        <w:footnoteReference w:id="16"/>
      </w:r>
      <w:r w:rsidRPr="00E00F43">
        <w:rPr>
          <w:rFonts w:ascii="Times New Roman" w:hAnsi="Times New Roman" w:cs="Times New Roman"/>
          <w:sz w:val="28"/>
        </w:rPr>
        <w:t>.</w:t>
      </w:r>
      <w:r w:rsidRPr="00E00F43">
        <w:rPr>
          <w:rFonts w:ascii="Times New Roman" w:hAnsi="Times New Roman" w:cs="Times New Roman"/>
          <w:sz w:val="28"/>
        </w:rPr>
        <w:t xml:space="preserve"> </w:t>
      </w:r>
    </w:p>
    <w:p w:rsidR="00052BC6" w:rsidRPr="00E00F43" w:rsidRDefault="00E00F43" w:rsidP="00052BC6">
      <w:pPr>
        <w:pStyle w:val="Prrafodelista"/>
        <w:tabs>
          <w:tab w:val="left" w:pos="426"/>
        </w:tabs>
        <w:ind w:left="0"/>
        <w:rPr>
          <w:rFonts w:ascii="Times New Roman" w:hAnsi="Times New Roman" w:cs="Times New Roman"/>
          <w:sz w:val="28"/>
          <w:szCs w:val="24"/>
          <w:lang w:val="es-ES"/>
        </w:rPr>
      </w:pPr>
    </w:p>
    <w:p w:rsidR="00B3666F" w:rsidRPr="00E00F43" w:rsidRDefault="00E00F43">
      <w:pPr>
        <w:pStyle w:val="Prrafodelista"/>
        <w:numPr>
          <w:ilvl w:val="2"/>
          <w:numId w:val="7"/>
        </w:numPr>
        <w:tabs>
          <w:tab w:val="left" w:pos="426"/>
        </w:tabs>
        <w:ind w:left="0" w:firstLine="0"/>
        <w:rPr>
          <w:rFonts w:ascii="Times New Roman" w:hAnsi="Times New Roman" w:cs="Times New Roman"/>
          <w:b/>
          <w:sz w:val="28"/>
          <w:szCs w:val="24"/>
          <w:lang w:val="es-ES"/>
        </w:rPr>
      </w:pPr>
      <w:r w:rsidRPr="00E00F43">
        <w:rPr>
          <w:rFonts w:ascii="Times New Roman" w:hAnsi="Times New Roman" w:cs="Times New Roman"/>
          <w:b/>
          <w:sz w:val="28"/>
          <w:szCs w:val="24"/>
          <w:lang w:val="es-ES"/>
        </w:rPr>
        <w:t xml:space="preserve">Necesidad y realización de consulta previa: </w:t>
      </w:r>
      <w:r w:rsidRPr="00E00F43">
        <w:rPr>
          <w:rFonts w:ascii="Times New Roman" w:hAnsi="Times New Roman" w:cs="Times New Roman"/>
          <w:b/>
          <w:sz w:val="28"/>
          <w:szCs w:val="24"/>
          <w:lang w:val="es-ES"/>
        </w:rPr>
        <w:t>el “</w:t>
      </w:r>
      <w:r w:rsidRPr="00E00F43">
        <w:rPr>
          <w:rFonts w:ascii="Times New Roman" w:hAnsi="Times New Roman" w:cs="Times New Roman"/>
          <w:b/>
          <w:sz w:val="28"/>
          <w:szCs w:val="24"/>
          <w:lang w:val="es-ES"/>
        </w:rPr>
        <w:t xml:space="preserve">Acuerdo relativo a la adopción de reglamentos técnicos armonizados de las Naciones Unidas aplicables a los vehículos de ruedas y los </w:t>
      </w:r>
      <w:r w:rsidRPr="00E00F43">
        <w:rPr>
          <w:rFonts w:ascii="Times New Roman" w:hAnsi="Times New Roman" w:cs="Times New Roman"/>
          <w:b/>
          <w:sz w:val="28"/>
          <w:szCs w:val="24"/>
          <w:lang w:val="es-ES"/>
        </w:rPr>
        <w:t>equipos y piezas que puedan montarse o utilizarse en estos, y sobre las condiciones de reconocimiento recíproco de las homologaciones concedidas conforme a dichos reglamentos de las Naciones Unidas</w:t>
      </w:r>
      <w:r w:rsidRPr="00E00F43">
        <w:rPr>
          <w:rFonts w:ascii="Times New Roman" w:hAnsi="Times New Roman" w:cs="Times New Roman"/>
          <w:b/>
          <w:sz w:val="28"/>
          <w:szCs w:val="24"/>
          <w:lang w:val="es-ES"/>
        </w:rPr>
        <w:t>”</w:t>
      </w:r>
      <w:r w:rsidRPr="00E00F43">
        <w:rPr>
          <w:rFonts w:ascii="Times New Roman" w:hAnsi="Times New Roman" w:cs="Times New Roman"/>
          <w:b/>
          <w:sz w:val="28"/>
          <w:szCs w:val="24"/>
          <w:lang w:val="es-ES"/>
        </w:rPr>
        <w:t xml:space="preserve"> no </w:t>
      </w:r>
      <w:r w:rsidRPr="00E00F43">
        <w:rPr>
          <w:rFonts w:ascii="Times New Roman" w:hAnsi="Times New Roman" w:cs="Times New Roman"/>
          <w:b/>
          <w:sz w:val="28"/>
          <w:szCs w:val="24"/>
          <w:lang w:val="es-ES"/>
        </w:rPr>
        <w:t>requ</w:t>
      </w:r>
      <w:r w:rsidRPr="00E00F43">
        <w:rPr>
          <w:rFonts w:ascii="Times New Roman" w:hAnsi="Times New Roman" w:cs="Times New Roman"/>
          <w:b/>
          <w:sz w:val="28"/>
          <w:szCs w:val="24"/>
          <w:lang w:val="es-ES"/>
        </w:rPr>
        <w:t>ería</w:t>
      </w:r>
      <w:r w:rsidRPr="00E00F43">
        <w:rPr>
          <w:rFonts w:ascii="Times New Roman" w:hAnsi="Times New Roman" w:cs="Times New Roman"/>
          <w:b/>
          <w:sz w:val="28"/>
          <w:szCs w:val="24"/>
          <w:lang w:val="es-ES"/>
        </w:rPr>
        <w:t xml:space="preserve"> ser sometido a </w:t>
      </w:r>
      <w:r w:rsidRPr="00E00F43">
        <w:rPr>
          <w:rFonts w:ascii="Times New Roman" w:hAnsi="Times New Roman" w:cs="Times New Roman"/>
          <w:b/>
          <w:sz w:val="28"/>
          <w:szCs w:val="24"/>
          <w:lang w:val="es-ES"/>
        </w:rPr>
        <w:t>proceso de consulta previa</w:t>
      </w:r>
    </w:p>
    <w:p w:rsidR="00332DE2" w:rsidRPr="00E00F43" w:rsidRDefault="00E00F43" w:rsidP="00332DE2">
      <w:pPr>
        <w:spacing w:after="0"/>
        <w:rPr>
          <w:rFonts w:ascii="Times New Roman" w:hAnsi="Times New Roman" w:cs="Times New Roman"/>
          <w:sz w:val="28"/>
          <w:szCs w:val="24"/>
          <w:lang w:val="es-ES"/>
        </w:rPr>
      </w:pPr>
    </w:p>
    <w:p w:rsidR="00332DE2"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La</w:t>
      </w:r>
      <w:r w:rsidRPr="00E00F43">
        <w:rPr>
          <w:rFonts w:ascii="Times New Roman" w:hAnsi="Times New Roman" w:cs="Times New Roman"/>
          <w:sz w:val="28"/>
        </w:rPr>
        <w:t xml:space="preserve"> jurisprudencia constitucional ha reconocido que la consulta previa es un derecho fundamental de las comunidades tribales, indígenas, rom, afro-descendientes y raizales que tiene fundamento en el artículo 6.1(a) del Convenio 169 de la Organización Internac</w:t>
      </w:r>
      <w:r w:rsidRPr="00E00F43">
        <w:rPr>
          <w:rFonts w:ascii="Times New Roman" w:hAnsi="Times New Roman" w:cs="Times New Roman"/>
          <w:sz w:val="28"/>
        </w:rPr>
        <w:t>ional del Trabajo</w:t>
      </w:r>
      <w:r w:rsidRPr="00E00F43">
        <w:rPr>
          <w:rFonts w:ascii="Times New Roman" w:hAnsi="Times New Roman" w:cs="Times New Roman"/>
          <w:sz w:val="28"/>
          <w:vertAlign w:val="superscript"/>
        </w:rPr>
        <w:footnoteReference w:id="17"/>
      </w:r>
      <w:r w:rsidRPr="00E00F43">
        <w:rPr>
          <w:rFonts w:ascii="Times New Roman" w:hAnsi="Times New Roman" w:cs="Times New Roman"/>
          <w:sz w:val="28"/>
        </w:rPr>
        <w:t xml:space="preserve"> y que su desconocimiento tiene efectos sustanciales</w:t>
      </w:r>
      <w:r w:rsidRPr="00E00F43">
        <w:rPr>
          <w:rFonts w:ascii="Times New Roman" w:hAnsi="Times New Roman" w:cs="Times New Roman"/>
          <w:sz w:val="28"/>
        </w:rPr>
        <w:t xml:space="preserve">, pues </w:t>
      </w:r>
      <w:r w:rsidRPr="00E00F43">
        <w:rPr>
          <w:rFonts w:ascii="Times New Roman" w:hAnsi="Times New Roman" w:cs="Times New Roman"/>
          <w:sz w:val="28"/>
        </w:rPr>
        <w:t>“se proyecta sobre el contenido material de la norma”</w:t>
      </w:r>
      <w:r w:rsidRPr="00E00F43">
        <w:rPr>
          <w:rFonts w:ascii="Times New Roman" w:hAnsi="Times New Roman" w:cs="Times New Roman"/>
          <w:sz w:val="28"/>
        </w:rPr>
        <w:t>, de manera que no se trata de un requisito de simple formalidad</w:t>
      </w:r>
      <w:r w:rsidRPr="00E00F43">
        <w:rPr>
          <w:rStyle w:val="Refdenotaalpie"/>
          <w:rFonts w:ascii="Times New Roman" w:hAnsi="Times New Roman"/>
          <w:sz w:val="28"/>
        </w:rPr>
        <w:footnoteReference w:id="18"/>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Desde esa perspectiva, l</w:t>
      </w:r>
      <w:r w:rsidRPr="00E00F43">
        <w:rPr>
          <w:rFonts w:ascii="Times New Roman" w:hAnsi="Times New Roman" w:cs="Times New Roman"/>
          <w:sz w:val="28"/>
        </w:rPr>
        <w:t>a Corte ha precisado que la consult</w:t>
      </w:r>
      <w:r w:rsidRPr="00E00F43">
        <w:rPr>
          <w:rFonts w:ascii="Times New Roman" w:hAnsi="Times New Roman" w:cs="Times New Roman"/>
          <w:sz w:val="28"/>
        </w:rPr>
        <w:t>a previa (i) tiene aplicación en relación con medidas legislativas o administrativas</w:t>
      </w:r>
      <w:r w:rsidRPr="00E00F43">
        <w:rPr>
          <w:rFonts w:ascii="Times New Roman" w:hAnsi="Times New Roman" w:cs="Times New Roman"/>
          <w:sz w:val="28"/>
          <w:vertAlign w:val="superscript"/>
        </w:rPr>
        <w:footnoteReference w:id="19"/>
      </w:r>
      <w:r w:rsidRPr="00E00F43">
        <w:rPr>
          <w:rFonts w:ascii="Times New Roman" w:hAnsi="Times New Roman" w:cs="Times New Roman"/>
          <w:sz w:val="28"/>
        </w:rPr>
        <w:t>;</w:t>
      </w:r>
      <w:r w:rsidRPr="00E00F43">
        <w:rPr>
          <w:rFonts w:ascii="Times New Roman" w:hAnsi="Times New Roman" w:cs="Times New Roman"/>
          <w:sz w:val="28"/>
        </w:rPr>
        <w:t xml:space="preserve"> (ii) la afectación que genera su obligatoriedad debe ser directa</w:t>
      </w:r>
      <w:r w:rsidRPr="00E00F43">
        <w:rPr>
          <w:rFonts w:ascii="Times New Roman" w:hAnsi="Times New Roman" w:cs="Times New Roman"/>
          <w:sz w:val="28"/>
        </w:rPr>
        <w:t xml:space="preserve"> -no meramente circunstancial-</w:t>
      </w:r>
      <w:r w:rsidRPr="00E00F43">
        <w:rPr>
          <w:rFonts w:ascii="Times New Roman" w:hAnsi="Times New Roman" w:cs="Times New Roman"/>
          <w:sz w:val="28"/>
        </w:rPr>
        <w:t>, es decir, (a) de una entidad que altere “el estatus de la persona o de la</w:t>
      </w:r>
      <w:r w:rsidRPr="00E00F43">
        <w:rPr>
          <w:rFonts w:ascii="Times New Roman" w:hAnsi="Times New Roman" w:cs="Times New Roman"/>
          <w:sz w:val="28"/>
        </w:rPr>
        <w:t xml:space="preserve"> comunidad, bien sea porque le impone restricciones o gravámenes, o, por el contrario, le confiere beneficios”</w:t>
      </w:r>
      <w:r w:rsidRPr="00E00F43">
        <w:rPr>
          <w:rFonts w:ascii="Times New Roman" w:hAnsi="Times New Roman" w:cs="Times New Roman"/>
          <w:sz w:val="28"/>
          <w:vertAlign w:val="superscript"/>
        </w:rPr>
        <w:footnoteReference w:id="20"/>
      </w:r>
      <w:r w:rsidRPr="00E00F43">
        <w:rPr>
          <w:rFonts w:ascii="Times New Roman" w:hAnsi="Times New Roman" w:cs="Times New Roman"/>
          <w:sz w:val="28"/>
        </w:rPr>
        <w:t>,</w:t>
      </w:r>
      <w:r w:rsidRPr="00E00F43">
        <w:rPr>
          <w:rFonts w:ascii="Times New Roman" w:hAnsi="Times New Roman" w:cs="Times New Roman"/>
          <w:sz w:val="28"/>
        </w:rPr>
        <w:t xml:space="preserve"> o (b) cuando recae o tiene el potencial de surtir efectos directos sobre el territorio de la comunidad o sobre los aspectos definitorios de su </w:t>
      </w:r>
      <w:r w:rsidRPr="00E00F43">
        <w:rPr>
          <w:rFonts w:ascii="Times New Roman" w:hAnsi="Times New Roman" w:cs="Times New Roman"/>
          <w:sz w:val="28"/>
        </w:rPr>
        <w:t>identidad cultural; (iii) busca “materializar la protección constitucional (…) que tienen los grupos étnicos a participar en la decisiones que los afecten”</w:t>
      </w:r>
      <w:r w:rsidRPr="00E00F43">
        <w:rPr>
          <w:rFonts w:ascii="Times New Roman" w:hAnsi="Times New Roman" w:cs="Times New Roman"/>
          <w:sz w:val="28"/>
          <w:vertAlign w:val="superscript"/>
        </w:rPr>
        <w:footnoteReference w:id="21"/>
      </w:r>
      <w:r w:rsidRPr="00E00F43">
        <w:rPr>
          <w:rFonts w:ascii="Times New Roman" w:hAnsi="Times New Roman" w:cs="Times New Roman"/>
          <w:sz w:val="28"/>
        </w:rPr>
        <w:t>;</w:t>
      </w:r>
      <w:r w:rsidRPr="00E00F43">
        <w:rPr>
          <w:rFonts w:ascii="Times New Roman" w:hAnsi="Times New Roman" w:cs="Times New Roman"/>
          <w:sz w:val="28"/>
        </w:rPr>
        <w:t xml:space="preserve"> (iv) debe adelantarse a la luz del principio de buena fe; (v) debe ser oportuna y eficaz</w:t>
      </w:r>
      <w:r w:rsidRPr="00E00F43">
        <w:rPr>
          <w:rFonts w:ascii="Times New Roman" w:hAnsi="Times New Roman" w:cs="Times New Roman"/>
          <w:sz w:val="28"/>
          <w:vertAlign w:val="superscript"/>
        </w:rPr>
        <w:footnoteReference w:id="22"/>
      </w:r>
      <w:r w:rsidRPr="00E00F43">
        <w:rPr>
          <w:rFonts w:ascii="Times New Roman" w:hAnsi="Times New Roman" w:cs="Times New Roman"/>
          <w:sz w:val="28"/>
        </w:rPr>
        <w:t>,</w:t>
      </w:r>
      <w:r w:rsidRPr="00E00F43">
        <w:rPr>
          <w:rFonts w:ascii="Times New Roman" w:hAnsi="Times New Roman" w:cs="Times New Roman"/>
          <w:sz w:val="28"/>
        </w:rPr>
        <w:t xml:space="preserve"> y (vi) </w:t>
      </w:r>
      <w:r w:rsidRPr="00E00F43">
        <w:rPr>
          <w:rFonts w:ascii="Times New Roman" w:hAnsi="Times New Roman" w:cs="Times New Roman"/>
          <w:sz w:val="28"/>
        </w:rPr>
        <w:t>su</w:t>
      </w:r>
      <w:r w:rsidRPr="00E00F43">
        <w:rPr>
          <w:rFonts w:ascii="Times New Roman" w:hAnsi="Times New Roman" w:cs="Times New Roman"/>
          <w:sz w:val="28"/>
        </w:rPr>
        <w:t xml:space="preserve"> </w:t>
      </w:r>
      <w:r w:rsidRPr="00E00F43">
        <w:rPr>
          <w:rFonts w:ascii="Times New Roman" w:hAnsi="Times New Roman" w:cs="Times New Roman"/>
          <w:sz w:val="28"/>
        </w:rPr>
        <w:t>omisión “constituye un vicio que impide declarar exequible la Ley”</w:t>
      </w:r>
      <w:r w:rsidRPr="00E00F43">
        <w:rPr>
          <w:rFonts w:ascii="Times New Roman" w:hAnsi="Times New Roman" w:cs="Times New Roman"/>
          <w:sz w:val="28"/>
          <w:vertAlign w:val="superscript"/>
        </w:rPr>
        <w:footnoteReference w:id="23"/>
      </w:r>
      <w:r w:rsidRPr="00E00F43">
        <w:rPr>
          <w:rFonts w:ascii="Times New Roman" w:hAnsi="Times New Roman" w:cs="Times New Roman"/>
          <w:sz w:val="28"/>
        </w:rPr>
        <w:t>.</w:t>
      </w:r>
    </w:p>
    <w:p w:rsidR="00D27880" w:rsidRPr="00E00F43" w:rsidRDefault="00E00F43" w:rsidP="00076EDF">
      <w:pPr>
        <w:pStyle w:val="Prrafodelista"/>
        <w:ind w:left="0"/>
        <w:rPr>
          <w:rFonts w:ascii="Times New Roman" w:hAnsi="Times New Roman" w:cs="Times New Roman"/>
          <w:sz w:val="28"/>
          <w:szCs w:val="24"/>
          <w:lang w:val="es-ES"/>
        </w:rPr>
      </w:pPr>
    </w:p>
    <w:p w:rsidR="00332DE2" w:rsidRPr="00E00F43" w:rsidRDefault="00E00F43" w:rsidP="00A542D4">
      <w:pPr>
        <w:pStyle w:val="Ttulo"/>
        <w:rPr>
          <w:rFonts w:ascii="Times New Roman" w:hAnsi="Times New Roman" w:cs="Times New Roman"/>
          <w:sz w:val="28"/>
        </w:rPr>
      </w:pPr>
      <w:r w:rsidRPr="00E00F43">
        <w:rPr>
          <w:rFonts w:ascii="Times New Roman" w:hAnsi="Times New Roman" w:cs="Times New Roman"/>
          <w:b/>
          <w:sz w:val="28"/>
        </w:rPr>
        <w:t xml:space="preserve"> </w:t>
      </w:r>
      <w:r w:rsidRPr="00E00F43">
        <w:rPr>
          <w:rFonts w:ascii="Times New Roman" w:hAnsi="Times New Roman" w:cs="Times New Roman"/>
          <w:b/>
          <w:sz w:val="28"/>
        </w:rPr>
        <w:t xml:space="preserve">La consulta previa en las leyes aprobatorias de tratados. </w:t>
      </w:r>
      <w:r w:rsidRPr="00E00F43">
        <w:rPr>
          <w:rFonts w:ascii="Times New Roman" w:hAnsi="Times New Roman" w:cs="Times New Roman"/>
          <w:sz w:val="28"/>
        </w:rPr>
        <w:t>En el caso de las leyes aprobatorias de tratados internacionales, en la Sentencia C-750 de 2008</w:t>
      </w:r>
      <w:r w:rsidRPr="00E00F43">
        <w:rPr>
          <w:rFonts w:ascii="Times New Roman" w:hAnsi="Times New Roman" w:cs="Times New Roman"/>
          <w:sz w:val="28"/>
          <w:vertAlign w:val="superscript"/>
        </w:rPr>
        <w:footnoteReference w:id="24"/>
      </w:r>
      <w:r w:rsidRPr="00E00F43">
        <w:rPr>
          <w:rFonts w:ascii="Times New Roman" w:hAnsi="Times New Roman" w:cs="Times New Roman"/>
          <w:sz w:val="28"/>
        </w:rPr>
        <w:t>,</w:t>
      </w:r>
      <w:r w:rsidRPr="00E00F43">
        <w:rPr>
          <w:rFonts w:ascii="Times New Roman" w:hAnsi="Times New Roman" w:cs="Times New Roman"/>
          <w:sz w:val="28"/>
        </w:rPr>
        <w:t xml:space="preserve"> donde la Corte revisó el “Acuerdo de promoción comercial entre la República de Colombia y los Estados Unidos de América, sus cartas adjuntas y sus entendimientos, suscritos en Washington el 22 de noviembre de 2006”, </w:t>
      </w:r>
      <w:r w:rsidRPr="00E00F43">
        <w:rPr>
          <w:rFonts w:ascii="Times New Roman" w:hAnsi="Times New Roman" w:cs="Times New Roman"/>
          <w:sz w:val="28"/>
        </w:rPr>
        <w:t xml:space="preserve">esta Corporación </w:t>
      </w:r>
      <w:r w:rsidRPr="00E00F43">
        <w:rPr>
          <w:rFonts w:ascii="Times New Roman" w:hAnsi="Times New Roman" w:cs="Times New Roman"/>
          <w:sz w:val="28"/>
        </w:rPr>
        <w:t xml:space="preserve">realizó una precisión </w:t>
      </w:r>
      <w:r w:rsidRPr="00E00F43">
        <w:rPr>
          <w:rFonts w:ascii="Times New Roman" w:hAnsi="Times New Roman" w:cs="Times New Roman"/>
          <w:sz w:val="28"/>
        </w:rPr>
        <w:t>metodológica que imponía la necesidad de dar cuenta, en forma expresa, de si la consulta previa resultaba exigible o no en el tratado bajo examen constitucional. Al igual que ocurre con el análisis de otro tipo de medidas legislativas o administrativas, el</w:t>
      </w:r>
      <w:r w:rsidRPr="00E00F43">
        <w:rPr>
          <w:rFonts w:ascii="Times New Roman" w:hAnsi="Times New Roman" w:cs="Times New Roman"/>
          <w:sz w:val="28"/>
        </w:rPr>
        <w:t xml:space="preserve"> estudio se centra en determinar si existe una afectación directa sobre las comunidades étnicas, pues solo en estos escenarios se activa el deber de adelantar la consulta previa</w:t>
      </w:r>
      <w:r w:rsidRPr="00E00F43">
        <w:rPr>
          <w:rFonts w:ascii="Times New Roman" w:hAnsi="Times New Roman" w:cs="Times New Roman"/>
          <w:sz w:val="28"/>
        </w:rPr>
        <w:t>,</w:t>
      </w:r>
      <w:r w:rsidRPr="00E00F43">
        <w:rPr>
          <w:rFonts w:ascii="Times New Roman" w:hAnsi="Times New Roman" w:cs="Times New Roman"/>
          <w:sz w:val="28"/>
        </w:rPr>
        <w:t xml:space="preserve"> con independencia de que se trate de un tratado bilateral o multilateral.</w:t>
      </w:r>
      <w:r w:rsidRPr="00E00F43">
        <w:rPr>
          <w:rFonts w:ascii="Times New Roman" w:hAnsi="Times New Roman" w:cs="Times New Roman"/>
          <w:sz w:val="28"/>
        </w:rPr>
        <w:t xml:space="preserve"> De </w:t>
      </w:r>
      <w:r w:rsidRPr="00E00F43">
        <w:rPr>
          <w:rFonts w:ascii="Times New Roman" w:hAnsi="Times New Roman" w:cs="Times New Roman"/>
          <w:sz w:val="28"/>
        </w:rPr>
        <w:t xml:space="preserve">allí que en la revisión formal que adelanta debe validar si era necesario agotar o no el proceso de consulta previa teniendo en cuenta la naturaleza y contenido del instrumento internacional que revisa. </w:t>
      </w:r>
    </w:p>
    <w:p w:rsidR="00D27880" w:rsidRPr="00E00F43" w:rsidRDefault="00E00F43" w:rsidP="00A542D4">
      <w:pPr>
        <w:pStyle w:val="Ttulo"/>
        <w:numPr>
          <w:ilvl w:val="0"/>
          <w:numId w:val="0"/>
        </w:numPr>
        <w:rPr>
          <w:rFonts w:ascii="Times New Roman" w:hAnsi="Times New Roman" w:cs="Times New Roman"/>
          <w:sz w:val="28"/>
        </w:rPr>
      </w:pPr>
    </w:p>
    <w:p w:rsidR="003A2FE0"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De hecho, e</w:t>
      </w:r>
      <w:r w:rsidRPr="00E00F43">
        <w:rPr>
          <w:rFonts w:ascii="Times New Roman" w:hAnsi="Times New Roman" w:cs="Times New Roman"/>
          <w:sz w:val="28"/>
        </w:rPr>
        <w:t>sta Corte ha señalado que la obligación</w:t>
      </w:r>
      <w:r w:rsidRPr="00E00F43">
        <w:rPr>
          <w:rFonts w:ascii="Times New Roman" w:hAnsi="Times New Roman" w:cs="Times New Roman"/>
          <w:sz w:val="28"/>
        </w:rPr>
        <w:t xml:space="preserve"> de adelantar un “procedimiento distinto a los escenarios generales y concretos de participación”</w:t>
      </w:r>
      <w:r w:rsidRPr="00E00F43">
        <w:rPr>
          <w:rFonts w:ascii="Times New Roman" w:hAnsi="Times New Roman" w:cs="Times New Roman"/>
          <w:sz w:val="28"/>
          <w:vertAlign w:val="superscript"/>
        </w:rPr>
        <w:footnoteReference w:id="25"/>
      </w:r>
      <w:r w:rsidRPr="00E00F43">
        <w:rPr>
          <w:rFonts w:ascii="Times New Roman" w:hAnsi="Times New Roman" w:cs="Times New Roman"/>
          <w:sz w:val="28"/>
        </w:rPr>
        <w:t xml:space="preserve"> resulta exigible “cuando la materia del proyecto está relacionada con aspectos que tienen una vinculación intrínseca con la definición de la identidad étnica</w:t>
      </w:r>
      <w:r w:rsidRPr="00E00F43">
        <w:rPr>
          <w:rFonts w:ascii="Times New Roman" w:hAnsi="Times New Roman" w:cs="Times New Roman"/>
          <w:sz w:val="28"/>
        </w:rPr>
        <w:t xml:space="preserve"> de dichos grupos”</w:t>
      </w:r>
      <w:r w:rsidRPr="00E00F43">
        <w:rPr>
          <w:rFonts w:ascii="Times New Roman" w:hAnsi="Times New Roman" w:cs="Times New Roman"/>
          <w:sz w:val="28"/>
          <w:vertAlign w:val="superscript"/>
        </w:rPr>
        <w:footnoteReference w:id="26"/>
      </w:r>
      <w:r w:rsidRPr="00E00F43">
        <w:rPr>
          <w:rFonts w:ascii="Times New Roman" w:hAnsi="Times New Roman" w:cs="Times New Roman"/>
          <w:sz w:val="28"/>
        </w:rPr>
        <w:t>.</w:t>
      </w:r>
      <w:r w:rsidRPr="00E00F43">
        <w:rPr>
          <w:rFonts w:ascii="Times New Roman" w:hAnsi="Times New Roman" w:cs="Times New Roman"/>
          <w:sz w:val="28"/>
        </w:rPr>
        <w:t xml:space="preserve"> Esto no significa que la temática general del tratado o del </w:t>
      </w:r>
      <w:r w:rsidRPr="00E00F43">
        <w:rPr>
          <w:rFonts w:ascii="Times New Roman" w:hAnsi="Times New Roman" w:cs="Times New Roman"/>
          <w:sz w:val="28"/>
        </w:rPr>
        <w:t>A</w:t>
      </w:r>
      <w:r w:rsidRPr="00E00F43">
        <w:rPr>
          <w:rFonts w:ascii="Times New Roman" w:hAnsi="Times New Roman" w:cs="Times New Roman"/>
          <w:sz w:val="28"/>
        </w:rPr>
        <w:t>cuerdo internacional sea suficiente para determinar el deber de consulta. Es necesario analizar, más allá del título, “el contenido y el alcance de la medida para poder estab</w:t>
      </w:r>
      <w:r w:rsidRPr="00E00F43">
        <w:rPr>
          <w:rFonts w:ascii="Times New Roman" w:hAnsi="Times New Roman" w:cs="Times New Roman"/>
          <w:sz w:val="28"/>
        </w:rPr>
        <w:t>lecer si existe un impacto en los derechos de las comunidades y de ser así cuál es su magnitud”</w:t>
      </w:r>
      <w:r w:rsidRPr="00E00F43">
        <w:rPr>
          <w:rFonts w:ascii="Times New Roman" w:hAnsi="Times New Roman" w:cs="Times New Roman"/>
          <w:sz w:val="28"/>
          <w:vertAlign w:val="superscript"/>
        </w:rPr>
        <w:footnoteReference w:id="27"/>
      </w:r>
      <w:r w:rsidRPr="00E00F43">
        <w:rPr>
          <w:rFonts w:ascii="Times New Roman" w:hAnsi="Times New Roman" w:cs="Times New Roman"/>
          <w:sz w:val="28"/>
        </w:rPr>
        <w:t>.</w:t>
      </w:r>
      <w:r w:rsidRPr="00E00F43">
        <w:rPr>
          <w:rFonts w:ascii="Times New Roman" w:hAnsi="Times New Roman" w:cs="Times New Roman"/>
          <w:sz w:val="28"/>
        </w:rPr>
        <w:t xml:space="preserve"> Así como no todo instrumento internacional que regule aspectos relacionados con las comunidades exige necesariamente la consulta previa; tampoco el hecho </w:t>
      </w:r>
      <w:r w:rsidRPr="00E00F43">
        <w:rPr>
          <w:rFonts w:ascii="Times New Roman" w:hAnsi="Times New Roman" w:cs="Times New Roman"/>
          <w:sz w:val="28"/>
        </w:rPr>
        <w:t xml:space="preserve">de </w:t>
      </w:r>
      <w:r w:rsidRPr="00E00F43">
        <w:rPr>
          <w:rFonts w:ascii="Times New Roman" w:hAnsi="Times New Roman" w:cs="Times New Roman"/>
          <w:sz w:val="28"/>
        </w:rPr>
        <w:t>q</w:t>
      </w:r>
      <w:r w:rsidRPr="00E00F43">
        <w:rPr>
          <w:rFonts w:ascii="Times New Roman" w:hAnsi="Times New Roman" w:cs="Times New Roman"/>
          <w:sz w:val="28"/>
        </w:rPr>
        <w:t>ue se trate de un asunto distinto a los que usualmente se asocian con la consulta significa el rechazo automático de este mecanismo.</w:t>
      </w:r>
    </w:p>
    <w:p w:rsidR="00964468" w:rsidRPr="00E00F43" w:rsidRDefault="00E00F43" w:rsidP="00A542D4">
      <w:pPr>
        <w:pStyle w:val="Ttulo"/>
        <w:numPr>
          <w:ilvl w:val="0"/>
          <w:numId w:val="0"/>
        </w:numPr>
        <w:rPr>
          <w:rFonts w:ascii="Times New Roman" w:hAnsi="Times New Roman" w:cs="Times New Roman"/>
          <w:sz w:val="28"/>
        </w:rPr>
      </w:pPr>
    </w:p>
    <w:p w:rsidR="00EE060F" w:rsidRPr="00E00F43" w:rsidRDefault="00E00F43" w:rsidP="00A542D4">
      <w:pPr>
        <w:pStyle w:val="Ttulo"/>
        <w:rPr>
          <w:rFonts w:ascii="Times New Roman" w:hAnsi="Times New Roman" w:cs="Times New Roman"/>
          <w:b/>
          <w:sz w:val="28"/>
        </w:rPr>
      </w:pPr>
      <w:r w:rsidRPr="00E00F43">
        <w:rPr>
          <w:rFonts w:ascii="Times New Roman" w:hAnsi="Times New Roman" w:cs="Times New Roman"/>
          <w:sz w:val="28"/>
        </w:rPr>
        <w:t xml:space="preserve"> </w:t>
      </w:r>
      <w:r w:rsidRPr="00E00F43">
        <w:rPr>
          <w:rFonts w:ascii="Times New Roman" w:hAnsi="Times New Roman" w:cs="Times New Roman"/>
          <w:b/>
          <w:sz w:val="28"/>
        </w:rPr>
        <w:t xml:space="preserve">Análisis del caso concreto. </w:t>
      </w:r>
      <w:r w:rsidRPr="00E00F43">
        <w:rPr>
          <w:rFonts w:ascii="Times New Roman" w:hAnsi="Times New Roman" w:cs="Times New Roman"/>
          <w:bCs/>
          <w:sz w:val="28"/>
        </w:rPr>
        <w:t xml:space="preserve">La Sala Plena considera que en el presente asunto </w:t>
      </w:r>
      <w:r w:rsidRPr="00E00F43">
        <w:rPr>
          <w:rFonts w:ascii="Times New Roman" w:hAnsi="Times New Roman" w:cs="Times New Roman"/>
          <w:sz w:val="28"/>
        </w:rPr>
        <w:t>no era necesario agotar el requisito mencio</w:t>
      </w:r>
      <w:r w:rsidRPr="00E00F43">
        <w:rPr>
          <w:rFonts w:ascii="Times New Roman" w:hAnsi="Times New Roman" w:cs="Times New Roman"/>
          <w:sz w:val="28"/>
        </w:rPr>
        <w:t xml:space="preserve">nado para proceder con el </w:t>
      </w:r>
      <w:r w:rsidRPr="00E00F43">
        <w:rPr>
          <w:rFonts w:ascii="Times New Roman" w:hAnsi="Times New Roman" w:cs="Times New Roman"/>
          <w:sz w:val="28"/>
        </w:rPr>
        <w:t xml:space="preserve">trámite </w:t>
      </w:r>
      <w:r w:rsidRPr="00E00F43">
        <w:rPr>
          <w:rFonts w:ascii="Times New Roman" w:hAnsi="Times New Roman" w:cs="Times New Roman"/>
          <w:sz w:val="28"/>
        </w:rPr>
        <w:t>legislativo del</w:t>
      </w:r>
      <w:r w:rsidRPr="00E00F43">
        <w:rPr>
          <w:rFonts w:ascii="Times New Roman" w:hAnsi="Times New Roman" w:cs="Times New Roman"/>
          <w:sz w:val="28"/>
        </w:rPr>
        <w:t xml:space="preserve"> </w:t>
      </w:r>
      <w:r w:rsidRPr="00E00F43">
        <w:rPr>
          <w:rFonts w:ascii="Times New Roman" w:hAnsi="Times New Roman" w:cs="Times New Roman"/>
          <w:bCs/>
          <w:sz w:val="28"/>
        </w:rPr>
        <w:t xml:space="preserve">“Acuerdo relativo a la adopción de reglamentos técnicos armonizados de las Naciones Unidas aplicables a los vehículos de ruedas y los equipos y piezas que puedan montarse o utilizarse en estos, y sobre las </w:t>
      </w:r>
      <w:r w:rsidRPr="00E00F43">
        <w:rPr>
          <w:rFonts w:ascii="Times New Roman" w:hAnsi="Times New Roman" w:cs="Times New Roman"/>
          <w:bCs/>
          <w:sz w:val="28"/>
        </w:rPr>
        <w:t>condiciones de reconocimiento recíproco de las homologaciones concedidas conforme a dichos reglamentos de las Naciones Unidas”</w:t>
      </w:r>
      <w:r w:rsidRPr="00E00F43">
        <w:rPr>
          <w:rFonts w:ascii="Times New Roman" w:hAnsi="Times New Roman" w:cs="Times New Roman"/>
          <w:bCs/>
          <w:sz w:val="28"/>
        </w:rPr>
        <w:t>.</w:t>
      </w:r>
      <w:r w:rsidRPr="00E00F43">
        <w:rPr>
          <w:rFonts w:ascii="Times New Roman" w:hAnsi="Times New Roman" w:cs="Times New Roman"/>
          <w:b/>
          <w:sz w:val="28"/>
        </w:rPr>
        <w:t xml:space="preserve"> </w:t>
      </w:r>
    </w:p>
    <w:p w:rsidR="00EE060F" w:rsidRPr="00E00F43" w:rsidRDefault="00E00F43" w:rsidP="00A542D4">
      <w:pPr>
        <w:pStyle w:val="Ttulo"/>
        <w:numPr>
          <w:ilvl w:val="0"/>
          <w:numId w:val="0"/>
        </w:numPr>
        <w:rPr>
          <w:rFonts w:ascii="Times New Roman" w:hAnsi="Times New Roman" w:cs="Times New Roman"/>
          <w:b/>
          <w:sz w:val="28"/>
        </w:rPr>
      </w:pPr>
    </w:p>
    <w:p w:rsidR="00A87D05"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L</w:t>
      </w:r>
      <w:r w:rsidRPr="00E00F43">
        <w:rPr>
          <w:rFonts w:ascii="Times New Roman" w:hAnsi="Times New Roman" w:cs="Times New Roman"/>
          <w:sz w:val="28"/>
        </w:rPr>
        <w:t xml:space="preserve">a Sala </w:t>
      </w:r>
      <w:r w:rsidRPr="00E00F43">
        <w:rPr>
          <w:rFonts w:ascii="Times New Roman" w:hAnsi="Times New Roman" w:cs="Times New Roman"/>
          <w:sz w:val="28"/>
        </w:rPr>
        <w:t xml:space="preserve">advierte que </w:t>
      </w:r>
      <w:r w:rsidRPr="00E00F43">
        <w:rPr>
          <w:rFonts w:ascii="Times New Roman" w:hAnsi="Times New Roman" w:cs="Times New Roman"/>
          <w:bCs/>
          <w:sz w:val="28"/>
        </w:rPr>
        <w:t xml:space="preserve">las disposiciones de este instrumento internacional se han previsto de manera uniforme para la </w:t>
      </w:r>
      <w:r w:rsidRPr="00E00F43">
        <w:rPr>
          <w:rFonts w:ascii="Times New Roman" w:hAnsi="Times New Roman" w:cs="Times New Roman"/>
          <w:bCs/>
          <w:sz w:val="28"/>
        </w:rPr>
        <w:t>generalidad de los colombianos, sin que su objeto sea introducir una modificación específica relacionada con las comunidades étnicas.</w:t>
      </w:r>
      <w:r w:rsidRPr="00E00F43">
        <w:rPr>
          <w:rFonts w:ascii="Times New Roman" w:hAnsi="Times New Roman" w:cs="Times New Roman"/>
          <w:bCs/>
          <w:sz w:val="28"/>
        </w:rPr>
        <w:t xml:space="preserve"> </w:t>
      </w:r>
      <w:r w:rsidRPr="00E00F43">
        <w:rPr>
          <w:rFonts w:ascii="Times New Roman" w:hAnsi="Times New Roman" w:cs="Times New Roman"/>
          <w:bCs/>
          <w:sz w:val="28"/>
        </w:rPr>
        <w:t>Aunado a ello,</w:t>
      </w:r>
      <w:r w:rsidRPr="00E00F43">
        <w:rPr>
          <w:rFonts w:ascii="Times New Roman" w:hAnsi="Times New Roman" w:cs="Times New Roman"/>
          <w:sz w:val="28"/>
        </w:rPr>
        <w:t xml:space="preserve"> </w:t>
      </w:r>
      <w:r w:rsidRPr="00E00F43">
        <w:rPr>
          <w:rFonts w:ascii="Times New Roman" w:hAnsi="Times New Roman" w:cs="Times New Roman"/>
          <w:sz w:val="28"/>
        </w:rPr>
        <w:t>no se relaciona directamente con la definición de la identidad cultural de las comunidades étnicas del país</w:t>
      </w:r>
      <w:r w:rsidRPr="00E00F43">
        <w:rPr>
          <w:rFonts w:ascii="Times New Roman" w:hAnsi="Times New Roman" w:cs="Times New Roman"/>
          <w:sz w:val="28"/>
        </w:rPr>
        <w:t xml:space="preserve">, tampoco se incorporan beneficios o gravámenes dirigidos específica o diferencialmente hacia estas poblaciones, de manera que no se incorporan medidas que causen una afectación directa, tal como lo exige la aplicación de esta garantía constitucional. </w:t>
      </w:r>
    </w:p>
    <w:p w:rsidR="005356BC" w:rsidRPr="00E00F43" w:rsidRDefault="00E00F43" w:rsidP="00A542D4">
      <w:pPr>
        <w:pStyle w:val="Ttulo"/>
        <w:numPr>
          <w:ilvl w:val="0"/>
          <w:numId w:val="0"/>
        </w:numPr>
        <w:rPr>
          <w:rFonts w:ascii="Times New Roman" w:hAnsi="Times New Roman" w:cs="Times New Roman"/>
          <w:sz w:val="28"/>
        </w:rPr>
      </w:pPr>
    </w:p>
    <w:p w:rsidR="005356BC"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 xml:space="preserve">De hecho, </w:t>
      </w:r>
      <w:r w:rsidRPr="00E00F43">
        <w:rPr>
          <w:rFonts w:ascii="Times New Roman" w:hAnsi="Times New Roman" w:cs="Times New Roman"/>
          <w:sz w:val="28"/>
        </w:rPr>
        <w:t xml:space="preserve">el Acuerdo que se revisa se centra en </w:t>
      </w:r>
      <w:r w:rsidRPr="00E00F43">
        <w:rPr>
          <w:rFonts w:ascii="Times New Roman" w:hAnsi="Times New Roman" w:cs="Times New Roman"/>
          <w:sz w:val="28"/>
        </w:rPr>
        <w:t>fijar parámetros de cooperación internacional técnica para la promoción del comercio relacionado con vehículos de ruedas</w:t>
      </w:r>
      <w:r w:rsidRPr="00E00F43">
        <w:rPr>
          <w:rFonts w:ascii="Times New Roman" w:hAnsi="Times New Roman" w:cs="Times New Roman"/>
          <w:sz w:val="28"/>
        </w:rPr>
        <w:t>, equipos y piezas, de tal forma que, partiendo de unos parámetros</w:t>
      </w:r>
      <w:r w:rsidRPr="00E00F43">
        <w:rPr>
          <w:rFonts w:ascii="Times New Roman" w:hAnsi="Times New Roman" w:cs="Times New Roman"/>
          <w:sz w:val="28"/>
        </w:rPr>
        <w:t xml:space="preserve"> reglamentados</w:t>
      </w:r>
      <w:r w:rsidRPr="00E00F43">
        <w:rPr>
          <w:rFonts w:ascii="Times New Roman" w:hAnsi="Times New Roman" w:cs="Times New Roman"/>
          <w:sz w:val="28"/>
        </w:rPr>
        <w:t xml:space="preserve"> </w:t>
      </w:r>
      <w:r w:rsidRPr="00E00F43">
        <w:rPr>
          <w:rFonts w:ascii="Times New Roman" w:hAnsi="Times New Roman" w:cs="Times New Roman"/>
          <w:sz w:val="28"/>
        </w:rPr>
        <w:t>y somet</w:t>
      </w:r>
      <w:r w:rsidRPr="00E00F43">
        <w:rPr>
          <w:rFonts w:ascii="Times New Roman" w:hAnsi="Times New Roman" w:cs="Times New Roman"/>
          <w:sz w:val="28"/>
        </w:rPr>
        <w:t xml:space="preserve">idos al </w:t>
      </w:r>
      <w:r w:rsidRPr="00E00F43">
        <w:rPr>
          <w:rFonts w:ascii="Times New Roman" w:hAnsi="Times New Roman" w:cs="Times New Roman"/>
          <w:sz w:val="28"/>
        </w:rPr>
        <w:t>sistema de homologación</w:t>
      </w:r>
      <w:r w:rsidRPr="00E00F43">
        <w:rPr>
          <w:rFonts w:ascii="Times New Roman" w:hAnsi="Times New Roman" w:cs="Times New Roman"/>
          <w:sz w:val="28"/>
        </w:rPr>
        <w:t xml:space="preserve">, </w:t>
      </w:r>
      <w:r w:rsidRPr="00E00F43">
        <w:rPr>
          <w:rFonts w:ascii="Times New Roman" w:hAnsi="Times New Roman" w:cs="Times New Roman"/>
          <w:sz w:val="28"/>
        </w:rPr>
        <w:t>se garantice la seguridad</w:t>
      </w:r>
      <w:r w:rsidRPr="00E00F43">
        <w:rPr>
          <w:rFonts w:ascii="Times New Roman" w:hAnsi="Times New Roman" w:cs="Times New Roman"/>
          <w:sz w:val="28"/>
        </w:rPr>
        <w:t xml:space="preserve"> vial</w:t>
      </w:r>
      <w:r w:rsidRPr="00E00F43">
        <w:rPr>
          <w:rFonts w:ascii="Times New Roman" w:hAnsi="Times New Roman" w:cs="Times New Roman"/>
          <w:sz w:val="28"/>
        </w:rPr>
        <w:t>, la protección del medio ambiente, la eficiencia energética</w:t>
      </w:r>
      <w:r w:rsidRPr="00E00F43">
        <w:rPr>
          <w:rFonts w:ascii="Times New Roman" w:hAnsi="Times New Roman" w:cs="Times New Roman"/>
          <w:sz w:val="28"/>
        </w:rPr>
        <w:t xml:space="preserve"> y, en consecuencia, el interés de los consumidores finales </w:t>
      </w:r>
      <w:r w:rsidRPr="00E00F43">
        <w:rPr>
          <w:rFonts w:ascii="Times New Roman" w:hAnsi="Times New Roman" w:cs="Times New Roman"/>
          <w:sz w:val="28"/>
        </w:rPr>
        <w:t xml:space="preserve">que reciben productos </w:t>
      </w:r>
      <w:r w:rsidRPr="00E00F43">
        <w:rPr>
          <w:rFonts w:ascii="Times New Roman" w:hAnsi="Times New Roman" w:cs="Times New Roman"/>
          <w:sz w:val="28"/>
        </w:rPr>
        <w:t xml:space="preserve">con calidades definidas e incluso </w:t>
      </w:r>
      <w:r w:rsidRPr="00E00F43">
        <w:rPr>
          <w:rFonts w:ascii="Times New Roman" w:hAnsi="Times New Roman" w:cs="Times New Roman"/>
          <w:sz w:val="28"/>
        </w:rPr>
        <w:t>auto certificados</w:t>
      </w:r>
      <w:r w:rsidRPr="00E00F43">
        <w:rPr>
          <w:rFonts w:ascii="Times New Roman" w:hAnsi="Times New Roman" w:cs="Times New Roman"/>
          <w:sz w:val="28"/>
        </w:rPr>
        <w:t xml:space="preserve"> por el fabricante bajo los estándares técnicos </w:t>
      </w:r>
      <w:r w:rsidRPr="00E00F43">
        <w:rPr>
          <w:rFonts w:ascii="Times New Roman" w:hAnsi="Times New Roman" w:cs="Times New Roman"/>
          <w:sz w:val="28"/>
        </w:rPr>
        <w:t xml:space="preserve">predefinidos. Esta temática </w:t>
      </w:r>
      <w:r w:rsidRPr="00E00F43">
        <w:rPr>
          <w:rFonts w:ascii="Times New Roman" w:hAnsi="Times New Roman" w:cs="Times New Roman"/>
          <w:sz w:val="28"/>
        </w:rPr>
        <w:t xml:space="preserve">tiene un contenido general que impacta a todas las personas, sin que de allí se desprenda una afectación directa </w:t>
      </w:r>
      <w:r w:rsidRPr="00E00F43">
        <w:rPr>
          <w:rFonts w:ascii="Times New Roman" w:hAnsi="Times New Roman" w:cs="Times New Roman"/>
          <w:sz w:val="28"/>
        </w:rPr>
        <w:t>a comunidades étnicas</w:t>
      </w:r>
      <w:r w:rsidRPr="00E00F43">
        <w:rPr>
          <w:rFonts w:ascii="Times New Roman" w:hAnsi="Times New Roman" w:cs="Times New Roman"/>
          <w:sz w:val="28"/>
        </w:rPr>
        <w:t xml:space="preserve">. De ahí que no resultara </w:t>
      </w:r>
      <w:r w:rsidRPr="00E00F43">
        <w:rPr>
          <w:rFonts w:ascii="Times New Roman" w:hAnsi="Times New Roman" w:cs="Times New Roman"/>
          <w:sz w:val="28"/>
        </w:rPr>
        <w:t xml:space="preserve">necesario agotar el procedimiento de consulta previa. </w:t>
      </w:r>
      <w:r w:rsidRPr="00E00F43">
        <w:rPr>
          <w:rFonts w:ascii="Times New Roman" w:hAnsi="Times New Roman" w:cs="Times New Roman"/>
          <w:sz w:val="28"/>
        </w:rPr>
        <w:t xml:space="preserve"> </w:t>
      </w:r>
    </w:p>
    <w:p w:rsidR="00A87D05" w:rsidRPr="00E00F43" w:rsidRDefault="00E00F43" w:rsidP="00A87D05">
      <w:pPr>
        <w:pStyle w:val="Prrafodelista"/>
        <w:tabs>
          <w:tab w:val="left" w:pos="426"/>
        </w:tabs>
        <w:ind w:left="0"/>
        <w:rPr>
          <w:rFonts w:ascii="Times New Roman" w:hAnsi="Times New Roman" w:cs="Times New Roman"/>
          <w:sz w:val="28"/>
          <w:szCs w:val="24"/>
          <w:lang w:val="es-ES"/>
        </w:rPr>
      </w:pPr>
    </w:p>
    <w:p w:rsidR="00A87D05" w:rsidRPr="00E00F43" w:rsidRDefault="00E00F43">
      <w:pPr>
        <w:pStyle w:val="Prrafodelista"/>
        <w:numPr>
          <w:ilvl w:val="2"/>
          <w:numId w:val="7"/>
        </w:numPr>
        <w:tabs>
          <w:tab w:val="left" w:pos="426"/>
        </w:tabs>
        <w:ind w:left="0" w:firstLine="0"/>
        <w:rPr>
          <w:rFonts w:ascii="Times New Roman" w:hAnsi="Times New Roman" w:cs="Times New Roman"/>
          <w:b/>
          <w:bCs/>
          <w:sz w:val="28"/>
          <w:szCs w:val="24"/>
          <w:lang w:val="es-ES"/>
        </w:rPr>
      </w:pPr>
      <w:r w:rsidRPr="00E00F43">
        <w:rPr>
          <w:rFonts w:ascii="Times New Roman" w:hAnsi="Times New Roman" w:cs="Times New Roman"/>
          <w:b/>
          <w:bCs/>
          <w:sz w:val="28"/>
          <w:szCs w:val="24"/>
          <w:lang w:val="es-ES"/>
        </w:rPr>
        <w:t>No resulta exigible el análisis de impacto fiscal de que trata el artículo 7 de la Ley 819 de 2003</w:t>
      </w:r>
    </w:p>
    <w:p w:rsidR="00A87D05" w:rsidRPr="00E00F43" w:rsidRDefault="00E00F43" w:rsidP="00A87D05">
      <w:pPr>
        <w:pStyle w:val="Prrafodelista"/>
        <w:tabs>
          <w:tab w:val="left" w:pos="426"/>
        </w:tabs>
        <w:ind w:left="0"/>
        <w:rPr>
          <w:rFonts w:ascii="Times New Roman" w:hAnsi="Times New Roman" w:cs="Times New Roman"/>
          <w:sz w:val="28"/>
          <w:szCs w:val="24"/>
          <w:lang w:val="es-ES"/>
        </w:rPr>
      </w:pPr>
    </w:p>
    <w:p w:rsidR="00ED7280"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En el marco de la revisión de la Ley 2031 de 2020</w:t>
      </w:r>
      <w:r w:rsidRPr="00E00F43">
        <w:rPr>
          <w:rFonts w:ascii="Times New Roman" w:hAnsi="Times New Roman" w:cs="Times New Roman"/>
          <w:sz w:val="28"/>
        </w:rPr>
        <w:t xml:space="preserve">, </w:t>
      </w:r>
      <w:r w:rsidRPr="00E00F43">
        <w:rPr>
          <w:rFonts w:ascii="Times New Roman" w:hAnsi="Times New Roman" w:cs="Times New Roman"/>
          <w:sz w:val="28"/>
        </w:rPr>
        <w:t>“</w:t>
      </w:r>
      <w:r w:rsidRPr="00E00F43">
        <w:rPr>
          <w:rFonts w:ascii="Times New Roman" w:hAnsi="Times New Roman" w:cs="Times New Roman"/>
          <w:sz w:val="28"/>
        </w:rPr>
        <w:t>[p]</w:t>
      </w:r>
      <w:r w:rsidRPr="00E00F43">
        <w:rPr>
          <w:rFonts w:ascii="Times New Roman" w:hAnsi="Times New Roman" w:cs="Times New Roman"/>
          <w:sz w:val="28"/>
        </w:rPr>
        <w:t>or medio de la cual se aprueba el Acuerdo e</w:t>
      </w:r>
      <w:r w:rsidRPr="00E00F43">
        <w:rPr>
          <w:rFonts w:ascii="Times New Roman" w:hAnsi="Times New Roman" w:cs="Times New Roman"/>
          <w:sz w:val="28"/>
        </w:rPr>
        <w:t xml:space="preserve">ntre el </w:t>
      </w:r>
      <w:r w:rsidRPr="00E00F43">
        <w:rPr>
          <w:rFonts w:ascii="Times New Roman" w:hAnsi="Times New Roman" w:cs="Times New Roman"/>
          <w:sz w:val="28"/>
        </w:rPr>
        <w:t>Gobierno</w:t>
      </w:r>
      <w:r w:rsidRPr="00E00F43">
        <w:rPr>
          <w:rFonts w:ascii="Times New Roman" w:hAnsi="Times New Roman" w:cs="Times New Roman"/>
          <w:sz w:val="28"/>
        </w:rPr>
        <w:t xml:space="preserve"> de la República de Colombia y el </w:t>
      </w:r>
      <w:r w:rsidRPr="00E00F43">
        <w:rPr>
          <w:rFonts w:ascii="Times New Roman" w:hAnsi="Times New Roman" w:cs="Times New Roman"/>
          <w:sz w:val="28"/>
        </w:rPr>
        <w:t>Gobierno</w:t>
      </w:r>
      <w:r w:rsidRPr="00E00F43">
        <w:rPr>
          <w:rFonts w:ascii="Times New Roman" w:hAnsi="Times New Roman" w:cs="Times New Roman"/>
          <w:sz w:val="28"/>
        </w:rPr>
        <w:t xml:space="preserve"> de la República Francesa sobre Cooperación Financiera”, en la Sentencia C-170 de 2021</w:t>
      </w:r>
      <w:r w:rsidRPr="00E00F43">
        <w:rPr>
          <w:rFonts w:ascii="Times New Roman" w:hAnsi="Times New Roman" w:cs="Times New Roman"/>
          <w:sz w:val="28"/>
          <w:vertAlign w:val="superscript"/>
        </w:rPr>
        <w:footnoteReference w:id="28"/>
      </w:r>
      <w:r w:rsidRPr="00E00F43">
        <w:rPr>
          <w:rFonts w:ascii="Times New Roman" w:hAnsi="Times New Roman" w:cs="Times New Roman"/>
          <w:sz w:val="28"/>
        </w:rPr>
        <w:t>,</w:t>
      </w:r>
      <w:r w:rsidRPr="00E00F43">
        <w:rPr>
          <w:rFonts w:ascii="Times New Roman" w:hAnsi="Times New Roman" w:cs="Times New Roman"/>
          <w:sz w:val="28"/>
        </w:rPr>
        <w:t xml:space="preserve"> la Corte ajustó su precedente en relación con el cumplimiento de los deberes y mandatos previstos en el artíc</w:t>
      </w:r>
      <w:r w:rsidRPr="00E00F43">
        <w:rPr>
          <w:rFonts w:ascii="Times New Roman" w:hAnsi="Times New Roman" w:cs="Times New Roman"/>
          <w:sz w:val="28"/>
        </w:rPr>
        <w:t xml:space="preserve">ulo 7 de la Ley 819 de 2003 cuando se trata del trámite de proyectos de ley </w:t>
      </w:r>
      <w:r w:rsidRPr="00E00F43">
        <w:rPr>
          <w:rFonts w:ascii="Times New Roman" w:hAnsi="Times New Roman" w:cs="Times New Roman"/>
          <w:sz w:val="28"/>
        </w:rPr>
        <w:t xml:space="preserve">aprobatorios de </w:t>
      </w:r>
      <w:r w:rsidRPr="00E00F43">
        <w:rPr>
          <w:rFonts w:ascii="Times New Roman" w:hAnsi="Times New Roman" w:cs="Times New Roman"/>
          <w:sz w:val="28"/>
        </w:rPr>
        <w:t>instrumento</w:t>
      </w:r>
      <w:r w:rsidRPr="00E00F43">
        <w:rPr>
          <w:rFonts w:ascii="Times New Roman" w:hAnsi="Times New Roman" w:cs="Times New Roman"/>
          <w:sz w:val="28"/>
        </w:rPr>
        <w:t>s</w:t>
      </w:r>
      <w:r w:rsidRPr="00E00F43">
        <w:rPr>
          <w:rFonts w:ascii="Times New Roman" w:hAnsi="Times New Roman" w:cs="Times New Roman"/>
          <w:sz w:val="28"/>
        </w:rPr>
        <w:t xml:space="preserve"> internacional</w:t>
      </w:r>
      <w:r w:rsidRPr="00E00F43">
        <w:rPr>
          <w:rFonts w:ascii="Times New Roman" w:hAnsi="Times New Roman" w:cs="Times New Roman"/>
          <w:sz w:val="28"/>
        </w:rPr>
        <w:t>es</w:t>
      </w:r>
      <w:r w:rsidRPr="00E00F43">
        <w:rPr>
          <w:rFonts w:ascii="Times New Roman" w:hAnsi="Times New Roman" w:cs="Times New Roman"/>
          <w:sz w:val="28"/>
        </w:rPr>
        <w:t>. E</w:t>
      </w:r>
      <w:r w:rsidRPr="00E00F43">
        <w:rPr>
          <w:rFonts w:ascii="Times New Roman" w:hAnsi="Times New Roman" w:cs="Times New Roman"/>
          <w:sz w:val="28"/>
        </w:rPr>
        <w:t xml:space="preserve">n tal </w:t>
      </w:r>
      <w:r w:rsidRPr="00E00F43">
        <w:rPr>
          <w:rFonts w:ascii="Times New Roman" w:hAnsi="Times New Roman" w:cs="Times New Roman"/>
          <w:sz w:val="28"/>
        </w:rPr>
        <w:t>providencia la Corte realizó una interpretación del impacto fiscal, consagrado en la citada norma, y destacó que aplica para lo</w:t>
      </w:r>
      <w:r w:rsidRPr="00E00F43">
        <w:rPr>
          <w:rFonts w:ascii="Times New Roman" w:hAnsi="Times New Roman" w:cs="Times New Roman"/>
          <w:sz w:val="28"/>
        </w:rPr>
        <w:t>s “tratados que consagren beneficios tributarios a favor de sujetos de derecho internacional, así como del personal diplomático o cooperante que apoya la ejecución de sus actividades en Colombia”</w:t>
      </w:r>
      <w:r w:rsidRPr="00E00F43">
        <w:rPr>
          <w:rFonts w:ascii="Times New Roman" w:hAnsi="Times New Roman" w:cs="Times New Roman"/>
          <w:sz w:val="28"/>
        </w:rPr>
        <w:t>.</w:t>
      </w:r>
      <w:r w:rsidRPr="00E00F43">
        <w:rPr>
          <w:rFonts w:ascii="Times New Roman" w:hAnsi="Times New Roman" w:cs="Times New Roman"/>
          <w:sz w:val="28"/>
        </w:rPr>
        <w:t xml:space="preserve"> </w:t>
      </w:r>
    </w:p>
    <w:p w:rsidR="00ED7280" w:rsidRPr="00E00F43" w:rsidRDefault="00E00F43" w:rsidP="00ED7280">
      <w:pPr>
        <w:pStyle w:val="Prrafodelista"/>
        <w:tabs>
          <w:tab w:val="left" w:pos="426"/>
        </w:tabs>
        <w:ind w:left="0"/>
        <w:rPr>
          <w:rFonts w:ascii="Times New Roman" w:hAnsi="Times New Roman" w:cs="Times New Roman"/>
          <w:sz w:val="28"/>
          <w:szCs w:val="24"/>
          <w:lang w:val="es-ES"/>
        </w:rPr>
      </w:pPr>
    </w:p>
    <w:p w:rsidR="002165DD"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Sin embargo, la Corte consideró que, por razones de segu</w:t>
      </w:r>
      <w:r w:rsidRPr="00E00F43">
        <w:rPr>
          <w:rFonts w:ascii="Times New Roman" w:hAnsi="Times New Roman" w:cs="Times New Roman"/>
          <w:sz w:val="28"/>
        </w:rPr>
        <w:t>ridad jurídica y prudencia judicial, la nueva regla se aplicaría solo hacia el futuro, es decir, en aquellos proyectos de ley</w:t>
      </w:r>
      <w:r w:rsidRPr="00E00F43">
        <w:rPr>
          <w:rFonts w:ascii="Times New Roman" w:hAnsi="Times New Roman" w:cs="Times New Roman"/>
          <w:sz w:val="28"/>
        </w:rPr>
        <w:t xml:space="preserve"> </w:t>
      </w:r>
      <w:r w:rsidRPr="00E00F43">
        <w:rPr>
          <w:rFonts w:ascii="Times New Roman" w:hAnsi="Times New Roman" w:cs="Times New Roman"/>
          <w:i/>
          <w:iCs/>
          <w:sz w:val="28"/>
        </w:rPr>
        <w:t>radicados</w:t>
      </w:r>
      <w:r w:rsidRPr="00E00F43">
        <w:rPr>
          <w:rFonts w:ascii="Times New Roman" w:hAnsi="Times New Roman" w:cs="Times New Roman"/>
          <w:sz w:val="28"/>
        </w:rPr>
        <w:t> con posterioridad a la notificación</w:t>
      </w:r>
      <w:r w:rsidRPr="00E00F43">
        <w:rPr>
          <w:rFonts w:ascii="Times New Roman" w:hAnsi="Times New Roman" w:cs="Times New Roman"/>
          <w:b/>
          <w:bCs/>
          <w:sz w:val="28"/>
        </w:rPr>
        <w:t xml:space="preserve"> </w:t>
      </w:r>
      <w:r w:rsidRPr="00E00F43">
        <w:rPr>
          <w:rFonts w:ascii="Times New Roman" w:hAnsi="Times New Roman" w:cs="Times New Roman"/>
          <w:sz w:val="28"/>
        </w:rPr>
        <w:t>de dicha sentencia</w:t>
      </w:r>
      <w:r w:rsidRPr="00E00F43">
        <w:rPr>
          <w:rFonts w:ascii="Times New Roman" w:hAnsi="Times New Roman" w:cs="Times New Roman"/>
          <w:sz w:val="28"/>
        </w:rPr>
        <w:t xml:space="preserve">. Esto es, a partir del 30 de julio de 2021, pues se </w:t>
      </w:r>
      <w:r w:rsidRPr="00E00F43">
        <w:rPr>
          <w:rFonts w:ascii="Times New Roman" w:hAnsi="Times New Roman" w:cs="Times New Roman"/>
          <w:sz w:val="28"/>
        </w:rPr>
        <w:t xml:space="preserve">constató que </w:t>
      </w:r>
      <w:r w:rsidRPr="00E00F43">
        <w:rPr>
          <w:rFonts w:ascii="Times New Roman" w:hAnsi="Times New Roman" w:cs="Times New Roman"/>
          <w:sz w:val="28"/>
        </w:rPr>
        <w:t>“la jurisprudencia previa de este Tribunal no había indicado que beneficios tributarios como los examinados -contenidos en un instrumento internacional- estuvieran sujetos a las exigencias previstas en el artículo 7 de la Ley 819 de 2003”</w:t>
      </w:r>
      <w:r w:rsidRPr="00E00F43">
        <w:rPr>
          <w:rFonts w:ascii="Times New Roman" w:hAnsi="Times New Roman" w:cs="Times New Roman"/>
          <w:sz w:val="28"/>
          <w:vertAlign w:val="superscript"/>
        </w:rPr>
        <w:footnoteReference w:id="29"/>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Posición que fu</w:t>
      </w:r>
      <w:r w:rsidRPr="00E00F43">
        <w:rPr>
          <w:rFonts w:ascii="Times New Roman" w:hAnsi="Times New Roman" w:cs="Times New Roman"/>
          <w:sz w:val="28"/>
        </w:rPr>
        <w:t>e reiterada y finalmente unificada en la Sentencia C-126 de 2023</w:t>
      </w:r>
      <w:r w:rsidRPr="00E00F43">
        <w:rPr>
          <w:rStyle w:val="Refdenotaalpie"/>
          <w:rFonts w:ascii="Times New Roman" w:hAnsi="Times New Roman"/>
          <w:sz w:val="28"/>
        </w:rPr>
        <w:footnoteReference w:id="30"/>
      </w:r>
      <w:r w:rsidRPr="00E00F43">
        <w:rPr>
          <w:rFonts w:ascii="Times New Roman" w:hAnsi="Times New Roman" w:cs="Times New Roman"/>
          <w:sz w:val="28"/>
        </w:rPr>
        <w:t>.</w:t>
      </w:r>
    </w:p>
    <w:p w:rsidR="002165DD" w:rsidRPr="00E00F43" w:rsidRDefault="00E00F43" w:rsidP="002165DD">
      <w:pPr>
        <w:pStyle w:val="Prrafodelista"/>
        <w:tabs>
          <w:tab w:val="left" w:pos="426"/>
        </w:tabs>
        <w:ind w:left="0"/>
        <w:rPr>
          <w:rFonts w:ascii="Times New Roman" w:hAnsi="Times New Roman" w:cs="Times New Roman"/>
          <w:sz w:val="28"/>
          <w:szCs w:val="24"/>
          <w:lang w:val="es-ES"/>
        </w:rPr>
      </w:pPr>
    </w:p>
    <w:p w:rsidR="004E47C2"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Adicionalmente</w:t>
      </w:r>
      <w:r w:rsidRPr="00E00F43">
        <w:rPr>
          <w:rFonts w:ascii="Times New Roman" w:hAnsi="Times New Roman" w:cs="Times New Roman"/>
          <w:sz w:val="28"/>
        </w:rPr>
        <w:t>,</w:t>
      </w:r>
      <w:r w:rsidRPr="00E00F43">
        <w:rPr>
          <w:rFonts w:ascii="Times New Roman" w:hAnsi="Times New Roman" w:cs="Times New Roman"/>
          <w:sz w:val="28"/>
        </w:rPr>
        <w:t xml:space="preserve"> tal como se señaló en la Sentencia C-181 de 2022, “mediante las sentencias C-395 de 2021 y C-110 de 2022, esta exigencia [el análisis de impacto fiscal] se extendió a los </w:t>
      </w:r>
      <w:r w:rsidRPr="00E00F43">
        <w:rPr>
          <w:rFonts w:ascii="Times New Roman" w:hAnsi="Times New Roman" w:cs="Times New Roman"/>
          <w:sz w:val="28"/>
        </w:rPr>
        <w:t>tratados que ordenaran gastos”</w:t>
      </w:r>
      <w:r w:rsidRPr="00E00F43">
        <w:rPr>
          <w:rFonts w:ascii="Times New Roman" w:hAnsi="Times New Roman" w:cs="Times New Roman"/>
          <w:sz w:val="28"/>
          <w:vertAlign w:val="superscript"/>
        </w:rPr>
        <w:footnoteReference w:id="31"/>
      </w:r>
      <w:r w:rsidRPr="00E00F43">
        <w:rPr>
          <w:rFonts w:ascii="Times New Roman" w:hAnsi="Times New Roman" w:cs="Times New Roman"/>
          <w:sz w:val="28"/>
        </w:rPr>
        <w:t>,</w:t>
      </w:r>
      <w:r w:rsidRPr="00E00F43">
        <w:rPr>
          <w:rFonts w:ascii="Times New Roman" w:hAnsi="Times New Roman" w:cs="Times New Roman"/>
          <w:sz w:val="28"/>
        </w:rPr>
        <w:t xml:space="preserve"> por lo que aplicó la misma regla fijada en la Sentencia C-</w:t>
      </w:r>
      <w:r w:rsidRPr="00E00F43">
        <w:rPr>
          <w:rFonts w:ascii="Times New Roman" w:hAnsi="Times New Roman" w:cs="Times New Roman"/>
          <w:sz w:val="28"/>
        </w:rPr>
        <w:t>1</w:t>
      </w:r>
      <w:r w:rsidRPr="00E00F43">
        <w:rPr>
          <w:rFonts w:ascii="Times New Roman" w:hAnsi="Times New Roman" w:cs="Times New Roman"/>
          <w:sz w:val="28"/>
        </w:rPr>
        <w:t>70 de 2021</w:t>
      </w:r>
      <w:r w:rsidRPr="00E00F43">
        <w:rPr>
          <w:rFonts w:ascii="Times New Roman" w:hAnsi="Times New Roman" w:cs="Times New Roman"/>
          <w:sz w:val="28"/>
          <w:vertAlign w:val="superscript"/>
        </w:rPr>
        <w:footnoteReference w:id="32"/>
      </w:r>
      <w:r w:rsidRPr="00E00F43">
        <w:rPr>
          <w:rFonts w:ascii="Times New Roman" w:hAnsi="Times New Roman" w:cs="Times New Roman"/>
          <w:sz w:val="28"/>
        </w:rPr>
        <w:t>.</w:t>
      </w:r>
      <w:r w:rsidRPr="00E00F43">
        <w:rPr>
          <w:rFonts w:ascii="Times New Roman" w:hAnsi="Times New Roman" w:cs="Times New Roman"/>
          <w:sz w:val="28"/>
        </w:rPr>
        <w:t xml:space="preserve"> En efecto, la exigencia prevista en el artículo 7 de la Ley 819 de 2003 no había sido analizada por la Corte en el estudio de constitucionalidad de ley</w:t>
      </w:r>
      <w:r w:rsidRPr="00E00F43">
        <w:rPr>
          <w:rFonts w:ascii="Times New Roman" w:hAnsi="Times New Roman" w:cs="Times New Roman"/>
          <w:sz w:val="28"/>
        </w:rPr>
        <w:t>es que aprobaran tratados que tuvieran alguna disposición que pudiera interpretarse como una orden de gasto</w:t>
      </w:r>
      <w:r w:rsidRPr="00E00F43">
        <w:rPr>
          <w:rFonts w:ascii="Times New Roman" w:hAnsi="Times New Roman" w:cs="Times New Roman"/>
          <w:sz w:val="28"/>
        </w:rPr>
        <w:t>.</w:t>
      </w:r>
    </w:p>
    <w:p w:rsidR="004E47C2" w:rsidRPr="00E00F43" w:rsidRDefault="00E00F43" w:rsidP="00076EDF">
      <w:pPr>
        <w:pStyle w:val="Prrafodelista"/>
        <w:rPr>
          <w:rFonts w:ascii="Times New Roman" w:hAnsi="Times New Roman" w:cs="Times New Roman"/>
          <w:sz w:val="28"/>
          <w:szCs w:val="24"/>
          <w:lang w:val="es-ES"/>
        </w:rPr>
      </w:pPr>
    </w:p>
    <w:p w:rsidR="00A87D05" w:rsidRPr="00E00F43" w:rsidRDefault="00E00F43" w:rsidP="00A542D4">
      <w:pPr>
        <w:pStyle w:val="Ttulo"/>
        <w:rPr>
          <w:rFonts w:ascii="Times New Roman" w:hAnsi="Times New Roman" w:cs="Times New Roman"/>
          <w:bCs/>
          <w:sz w:val="28"/>
        </w:rPr>
      </w:pPr>
      <w:r w:rsidRPr="00E00F43">
        <w:rPr>
          <w:rFonts w:ascii="Times New Roman" w:hAnsi="Times New Roman" w:cs="Times New Roman"/>
          <w:sz w:val="28"/>
        </w:rPr>
        <w:t xml:space="preserve"> Posteriormente, </w:t>
      </w:r>
      <w:r w:rsidRPr="00E00F43">
        <w:rPr>
          <w:rFonts w:ascii="Times New Roman" w:hAnsi="Times New Roman" w:cs="Times New Roman"/>
          <w:sz w:val="28"/>
        </w:rPr>
        <w:t>acorde con lo considerado por la Corte en la Sentencia C-175 de 2023</w:t>
      </w:r>
      <w:r w:rsidRPr="00E00F43">
        <w:rPr>
          <w:rFonts w:ascii="Times New Roman" w:hAnsi="Times New Roman" w:cs="Times New Roman"/>
          <w:bCs/>
          <w:sz w:val="28"/>
          <w:vertAlign w:val="superscript"/>
        </w:rPr>
        <w:footnoteReference w:id="33"/>
      </w:r>
      <w:r w:rsidRPr="00E00F43">
        <w:rPr>
          <w:rFonts w:ascii="Times New Roman" w:hAnsi="Times New Roman" w:cs="Times New Roman"/>
          <w:sz w:val="28"/>
        </w:rPr>
        <w:t xml:space="preserve">, la exigencia del análisis del impacto fiscal de las leyes </w:t>
      </w:r>
      <w:r w:rsidRPr="00E00F43">
        <w:rPr>
          <w:rFonts w:ascii="Times New Roman" w:hAnsi="Times New Roman" w:cs="Times New Roman"/>
          <w:sz w:val="28"/>
        </w:rPr>
        <w:t xml:space="preserve">aprobatorias de tratados internacionales depende de que se acrediten dos presupuestos; </w:t>
      </w:r>
      <w:r w:rsidRPr="00E00F43">
        <w:rPr>
          <w:rFonts w:ascii="Times New Roman" w:hAnsi="Times New Roman" w:cs="Times New Roman"/>
          <w:i/>
          <w:iCs/>
          <w:sz w:val="28"/>
        </w:rPr>
        <w:t>(i)</w:t>
      </w:r>
      <w:r w:rsidRPr="00E00F43">
        <w:rPr>
          <w:rFonts w:ascii="Times New Roman" w:hAnsi="Times New Roman" w:cs="Times New Roman"/>
          <w:sz w:val="28"/>
        </w:rPr>
        <w:t xml:space="preserve"> </w:t>
      </w:r>
      <w:r w:rsidRPr="00E00F43">
        <w:rPr>
          <w:rFonts w:ascii="Times New Roman" w:hAnsi="Times New Roman" w:cs="Times New Roman"/>
          <w:bCs/>
          <w:sz w:val="28"/>
        </w:rPr>
        <w:t>el temporal, consistente en que el proyecto de ley aprobatoria del tratado internacional haya sido radicado con posterioridad al 30 de julio de 2021, fecha en la cua</w:t>
      </w:r>
      <w:r w:rsidRPr="00E00F43">
        <w:rPr>
          <w:rFonts w:ascii="Times New Roman" w:hAnsi="Times New Roman" w:cs="Times New Roman"/>
          <w:bCs/>
          <w:sz w:val="28"/>
        </w:rPr>
        <w:t>l la Sentencia C-170 de 2021 fue notificada</w:t>
      </w:r>
      <w:r w:rsidRPr="00E00F43">
        <w:rPr>
          <w:rFonts w:ascii="Times New Roman" w:hAnsi="Times New Roman" w:cs="Times New Roman"/>
          <w:bCs/>
          <w:sz w:val="28"/>
        </w:rPr>
        <w:t xml:space="preserve">, y </w:t>
      </w:r>
      <w:r w:rsidRPr="00E00F43">
        <w:rPr>
          <w:rFonts w:ascii="Times New Roman" w:hAnsi="Times New Roman" w:cs="Times New Roman"/>
          <w:bCs/>
          <w:i/>
          <w:iCs/>
          <w:sz w:val="28"/>
        </w:rPr>
        <w:t>(ii)</w:t>
      </w:r>
      <w:r w:rsidRPr="00E00F43">
        <w:rPr>
          <w:rFonts w:ascii="Times New Roman" w:hAnsi="Times New Roman" w:cs="Times New Roman"/>
          <w:bCs/>
          <w:sz w:val="28"/>
        </w:rPr>
        <w:t xml:space="preserve"> el material, referido a que alguna de las disposiciones del tratado analizado contenga una orden de gasto o conceda un beneficio tributario. </w:t>
      </w:r>
    </w:p>
    <w:p w:rsidR="00E009AE" w:rsidRPr="00E00F43" w:rsidRDefault="00E00F43" w:rsidP="00E009AE">
      <w:pPr>
        <w:pStyle w:val="Prrafodelista"/>
        <w:tabs>
          <w:tab w:val="left" w:pos="426"/>
        </w:tabs>
        <w:ind w:left="0"/>
        <w:rPr>
          <w:rFonts w:ascii="Times New Roman" w:hAnsi="Times New Roman" w:cs="Times New Roman"/>
          <w:sz w:val="28"/>
          <w:szCs w:val="24"/>
          <w:lang w:val="es-ES"/>
        </w:rPr>
      </w:pPr>
    </w:p>
    <w:p w:rsidR="00BA75C3"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En el presente caso, la Sala Plena advierte que</w:t>
      </w:r>
      <w:r w:rsidRPr="00E00F43">
        <w:rPr>
          <w:rFonts w:ascii="Times New Roman" w:hAnsi="Times New Roman" w:cs="Times New Roman"/>
          <w:sz w:val="28"/>
        </w:rPr>
        <w:t xml:space="preserve">, desde el punto de vista </w:t>
      </w:r>
      <w:r w:rsidRPr="00E00F43">
        <w:rPr>
          <w:rFonts w:ascii="Times New Roman" w:hAnsi="Times New Roman" w:cs="Times New Roman"/>
          <w:sz w:val="28"/>
        </w:rPr>
        <w:t>temporal</w:t>
      </w:r>
      <w:r w:rsidRPr="00E00F43">
        <w:rPr>
          <w:rFonts w:ascii="Times New Roman" w:hAnsi="Times New Roman" w:cs="Times New Roman"/>
          <w:sz w:val="28"/>
        </w:rPr>
        <w:t xml:space="preserve">, en principio resultaría </w:t>
      </w:r>
      <w:r w:rsidRPr="00E00F43">
        <w:rPr>
          <w:rFonts w:ascii="Times New Roman" w:hAnsi="Times New Roman" w:cs="Times New Roman"/>
          <w:sz w:val="28"/>
        </w:rPr>
        <w:t xml:space="preserve">exigible </w:t>
      </w:r>
      <w:r w:rsidRPr="00E00F43">
        <w:rPr>
          <w:rFonts w:ascii="Times New Roman" w:hAnsi="Times New Roman" w:cs="Times New Roman"/>
          <w:sz w:val="28"/>
        </w:rPr>
        <w:t xml:space="preserve">al Congreso de la República el deber de </w:t>
      </w:r>
      <w:r w:rsidRPr="00E00F43">
        <w:rPr>
          <w:rFonts w:ascii="Times New Roman" w:hAnsi="Times New Roman" w:cs="Times New Roman"/>
          <w:sz w:val="28"/>
        </w:rPr>
        <w:t xml:space="preserve">adelantar el análisis de impacto fiscal de que trata el artículo 7 de la Ley 819 de 2003, </w:t>
      </w:r>
      <w:r w:rsidRPr="00E00F43">
        <w:rPr>
          <w:rFonts w:ascii="Times New Roman" w:hAnsi="Times New Roman" w:cs="Times New Roman"/>
          <w:sz w:val="28"/>
        </w:rPr>
        <w:t xml:space="preserve">dado </w:t>
      </w:r>
      <w:r w:rsidRPr="00E00F43">
        <w:rPr>
          <w:rFonts w:ascii="Times New Roman" w:hAnsi="Times New Roman" w:cs="Times New Roman"/>
          <w:sz w:val="28"/>
        </w:rPr>
        <w:t>que la notificación de la sentencia C-170 de 2021 tu</w:t>
      </w:r>
      <w:r w:rsidRPr="00E00F43">
        <w:rPr>
          <w:rFonts w:ascii="Times New Roman" w:hAnsi="Times New Roman" w:cs="Times New Roman"/>
          <w:sz w:val="28"/>
        </w:rPr>
        <w:t>vo lugar el 30 de julio de 2021</w:t>
      </w:r>
      <w:r w:rsidRPr="00E00F43">
        <w:rPr>
          <w:rFonts w:ascii="Times New Roman" w:hAnsi="Times New Roman" w:cs="Times New Roman"/>
          <w:sz w:val="28"/>
        </w:rPr>
        <w:t>,</w:t>
      </w:r>
      <w:r w:rsidRPr="00E00F43">
        <w:rPr>
          <w:rFonts w:ascii="Times New Roman" w:hAnsi="Times New Roman" w:cs="Times New Roman"/>
          <w:sz w:val="28"/>
        </w:rPr>
        <w:t xml:space="preserve"> y</w:t>
      </w:r>
      <w:r w:rsidRPr="00E00F43">
        <w:rPr>
          <w:rFonts w:ascii="Times New Roman" w:hAnsi="Times New Roman" w:cs="Times New Roman"/>
          <w:sz w:val="28"/>
        </w:rPr>
        <w:t xml:space="preserve"> el proyecto de ley</w:t>
      </w:r>
      <w:r w:rsidRPr="00E00F43">
        <w:rPr>
          <w:rFonts w:ascii="Times New Roman" w:hAnsi="Times New Roman" w:cs="Times New Roman"/>
          <w:sz w:val="28"/>
        </w:rPr>
        <w:t xml:space="preserve"> 335 de 2022 Senado </w:t>
      </w:r>
      <w:r w:rsidRPr="00E00F43">
        <w:rPr>
          <w:rFonts w:ascii="Times New Roman" w:hAnsi="Times New Roman" w:cs="Times New Roman"/>
          <w:sz w:val="28"/>
        </w:rPr>
        <w:t>– 199 de 2022 Cámara</w:t>
      </w:r>
      <w:r w:rsidRPr="00E00F43">
        <w:rPr>
          <w:rFonts w:ascii="Times New Roman" w:hAnsi="Times New Roman" w:cs="Times New Roman"/>
          <w:sz w:val="28"/>
        </w:rPr>
        <w:t xml:space="preserve"> que dio origen a la Ley </w:t>
      </w:r>
      <w:r w:rsidRPr="00E00F43">
        <w:rPr>
          <w:rFonts w:ascii="Times New Roman" w:hAnsi="Times New Roman" w:cs="Times New Roman"/>
          <w:sz w:val="28"/>
        </w:rPr>
        <w:t>2290 de 2023</w:t>
      </w:r>
      <w:r w:rsidRPr="00E00F43">
        <w:rPr>
          <w:rFonts w:ascii="Times New Roman" w:hAnsi="Times New Roman" w:cs="Times New Roman"/>
          <w:sz w:val="28"/>
        </w:rPr>
        <w:t xml:space="preserve"> </w:t>
      </w:r>
      <w:r w:rsidRPr="00E00F43">
        <w:rPr>
          <w:rFonts w:ascii="Times New Roman" w:hAnsi="Times New Roman" w:cs="Times New Roman"/>
          <w:sz w:val="28"/>
        </w:rPr>
        <w:t xml:space="preserve">se radicó </w:t>
      </w:r>
      <w:r w:rsidRPr="00E00F43">
        <w:rPr>
          <w:rFonts w:ascii="Times New Roman" w:hAnsi="Times New Roman" w:cs="Times New Roman"/>
          <w:sz w:val="28"/>
        </w:rPr>
        <w:t xml:space="preserve">por el </w:t>
      </w:r>
      <w:r w:rsidRPr="00E00F43">
        <w:rPr>
          <w:rFonts w:ascii="Times New Roman" w:hAnsi="Times New Roman" w:cs="Times New Roman"/>
          <w:sz w:val="28"/>
        </w:rPr>
        <w:t>Gobierno</w:t>
      </w:r>
      <w:r w:rsidRPr="00E00F43">
        <w:rPr>
          <w:rFonts w:ascii="Times New Roman" w:hAnsi="Times New Roman" w:cs="Times New Roman"/>
          <w:sz w:val="28"/>
        </w:rPr>
        <w:t xml:space="preserve"> nacional el 22 de marzo de 2022</w:t>
      </w:r>
      <w:r w:rsidRPr="00E00F43">
        <w:rPr>
          <w:rStyle w:val="Refdenotaalpie"/>
          <w:rFonts w:ascii="Times New Roman" w:hAnsi="Times New Roman"/>
          <w:sz w:val="28"/>
        </w:rPr>
        <w:footnoteReference w:id="34"/>
      </w:r>
      <w:r w:rsidRPr="00E00F43">
        <w:rPr>
          <w:rFonts w:ascii="Times New Roman" w:hAnsi="Times New Roman" w:cs="Times New Roman"/>
          <w:sz w:val="28"/>
        </w:rPr>
        <w:t xml:space="preserve">, es decir, </w:t>
      </w:r>
      <w:r w:rsidRPr="00E00F43">
        <w:rPr>
          <w:rFonts w:ascii="Times New Roman" w:hAnsi="Times New Roman" w:cs="Times New Roman"/>
          <w:sz w:val="28"/>
        </w:rPr>
        <w:t xml:space="preserve">posterior a aquella fecha. </w:t>
      </w:r>
    </w:p>
    <w:p w:rsidR="00E8603D" w:rsidRPr="00E00F43" w:rsidRDefault="00E00F43" w:rsidP="00076EDF">
      <w:pPr>
        <w:pStyle w:val="Prrafodelista"/>
        <w:rPr>
          <w:rFonts w:ascii="Times New Roman" w:hAnsi="Times New Roman" w:cs="Times New Roman"/>
          <w:sz w:val="28"/>
          <w:szCs w:val="24"/>
          <w:lang w:val="es-ES"/>
        </w:rPr>
      </w:pPr>
    </w:p>
    <w:p w:rsidR="00A87D05"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 xml:space="preserve">No obstante, no ocurre </w:t>
      </w:r>
      <w:r w:rsidRPr="00E00F43">
        <w:rPr>
          <w:rFonts w:ascii="Times New Roman" w:hAnsi="Times New Roman" w:cs="Times New Roman"/>
          <w:sz w:val="28"/>
        </w:rPr>
        <w:t>lo</w:t>
      </w:r>
      <w:r w:rsidRPr="00E00F43">
        <w:rPr>
          <w:rFonts w:ascii="Times New Roman" w:hAnsi="Times New Roman" w:cs="Times New Roman"/>
          <w:sz w:val="28"/>
        </w:rPr>
        <w:t xml:space="preserve"> mismo </w:t>
      </w:r>
      <w:r w:rsidRPr="00E00F43">
        <w:rPr>
          <w:rFonts w:ascii="Times New Roman" w:hAnsi="Times New Roman" w:cs="Times New Roman"/>
          <w:sz w:val="28"/>
        </w:rPr>
        <w:t xml:space="preserve">con el presupuesto </w:t>
      </w:r>
      <w:r w:rsidRPr="00E00F43">
        <w:rPr>
          <w:rFonts w:ascii="Times New Roman" w:hAnsi="Times New Roman" w:cs="Times New Roman"/>
          <w:sz w:val="28"/>
        </w:rPr>
        <w:t>material, pues</w:t>
      </w:r>
      <w:r w:rsidRPr="00E00F43">
        <w:rPr>
          <w:rFonts w:ascii="Times New Roman" w:hAnsi="Times New Roman" w:cs="Times New Roman"/>
          <w:sz w:val="28"/>
        </w:rPr>
        <w:t>,</w:t>
      </w:r>
      <w:r w:rsidRPr="00E00F43">
        <w:rPr>
          <w:rFonts w:ascii="Times New Roman" w:hAnsi="Times New Roman" w:cs="Times New Roman"/>
          <w:sz w:val="28"/>
        </w:rPr>
        <w:t xml:space="preserve"> revisado el contenido integral de </w:t>
      </w:r>
      <w:r w:rsidRPr="00E00F43">
        <w:rPr>
          <w:rFonts w:ascii="Times New Roman" w:hAnsi="Times New Roman" w:cs="Times New Roman"/>
          <w:sz w:val="28"/>
        </w:rPr>
        <w:t xml:space="preserve">la </w:t>
      </w:r>
      <w:r w:rsidRPr="00E00F43">
        <w:rPr>
          <w:rFonts w:ascii="Times New Roman" w:hAnsi="Times New Roman" w:cs="Times New Roman"/>
          <w:sz w:val="28"/>
        </w:rPr>
        <w:t>Ley</w:t>
      </w:r>
      <w:r w:rsidRPr="00E00F43">
        <w:rPr>
          <w:rFonts w:ascii="Times New Roman" w:hAnsi="Times New Roman" w:cs="Times New Roman"/>
          <w:sz w:val="28"/>
        </w:rPr>
        <w:t xml:space="preserve"> 2290 de 2023</w:t>
      </w:r>
      <w:r w:rsidRPr="00E00F43">
        <w:rPr>
          <w:rFonts w:ascii="Times New Roman" w:hAnsi="Times New Roman" w:cs="Times New Roman"/>
          <w:sz w:val="28"/>
        </w:rPr>
        <w:t xml:space="preserve"> </w:t>
      </w:r>
      <w:r w:rsidRPr="00E00F43">
        <w:rPr>
          <w:rFonts w:ascii="Times New Roman" w:hAnsi="Times New Roman" w:cs="Times New Roman"/>
          <w:sz w:val="28"/>
        </w:rPr>
        <w:t>y del instrumento internacional bajo estudio, se observa que su objeto está dirigido a fijar los procedimientos para la adopción de reglamentos técnicos</w:t>
      </w:r>
      <w:r w:rsidRPr="00E00F43">
        <w:rPr>
          <w:rFonts w:ascii="Times New Roman" w:hAnsi="Times New Roman" w:cs="Times New Roman"/>
          <w:sz w:val="28"/>
        </w:rPr>
        <w:t xml:space="preserve"> armonizados de la</w:t>
      </w:r>
      <w:r w:rsidRPr="00E00F43">
        <w:rPr>
          <w:rFonts w:ascii="Times New Roman" w:hAnsi="Times New Roman" w:cs="Times New Roman"/>
          <w:sz w:val="28"/>
        </w:rPr>
        <w:t>s Naciones Unidas</w:t>
      </w:r>
      <w:r w:rsidRPr="00E00F43">
        <w:rPr>
          <w:rFonts w:ascii="Times New Roman" w:hAnsi="Times New Roman" w:cs="Times New Roman"/>
          <w:sz w:val="28"/>
        </w:rPr>
        <w:t xml:space="preserve"> aplicables al uso, fabricación y homologación de vehículos de ruedas, equipos y piezas en los Estados parte.</w:t>
      </w:r>
      <w:r w:rsidRPr="00E00F43">
        <w:rPr>
          <w:rFonts w:ascii="Times New Roman" w:hAnsi="Times New Roman" w:cs="Times New Roman"/>
          <w:sz w:val="28"/>
        </w:rPr>
        <w:t xml:space="preserve"> En dichos procedimientos, no evidencia la Corte que se </w:t>
      </w:r>
      <w:r w:rsidRPr="00E00F43">
        <w:rPr>
          <w:rFonts w:ascii="Times New Roman" w:hAnsi="Times New Roman" w:cs="Times New Roman"/>
          <w:sz w:val="28"/>
        </w:rPr>
        <w:t>ordene gasto o se otorguen beneficios tributarios, en lo</w:t>
      </w:r>
      <w:r w:rsidRPr="00E00F43">
        <w:rPr>
          <w:rFonts w:ascii="Times New Roman" w:hAnsi="Times New Roman" w:cs="Times New Roman"/>
          <w:sz w:val="28"/>
        </w:rPr>
        <w:t>s términos del artículo 7 de la Ley 819 de 2003</w:t>
      </w:r>
      <w:r w:rsidRPr="00E00F43">
        <w:rPr>
          <w:rFonts w:ascii="Times New Roman" w:hAnsi="Times New Roman" w:cs="Times New Roman"/>
          <w:sz w:val="28"/>
        </w:rPr>
        <w:t xml:space="preserve">. De ahí que la Sala Plena comparta la posición expresada por el Ministerio de Hacienda y </w:t>
      </w:r>
      <w:r w:rsidRPr="00E00F43">
        <w:rPr>
          <w:rFonts w:ascii="Times New Roman" w:hAnsi="Times New Roman" w:cs="Times New Roman"/>
          <w:sz w:val="28"/>
        </w:rPr>
        <w:t>C</w:t>
      </w:r>
      <w:r w:rsidRPr="00E00F43">
        <w:rPr>
          <w:rFonts w:ascii="Times New Roman" w:hAnsi="Times New Roman" w:cs="Times New Roman"/>
          <w:sz w:val="28"/>
        </w:rPr>
        <w:t xml:space="preserve">rédito Público en su intervención, en el sentido de que en este caso no era necesariamente exigible al Congreso de la </w:t>
      </w:r>
      <w:r w:rsidRPr="00E00F43">
        <w:rPr>
          <w:rFonts w:ascii="Times New Roman" w:hAnsi="Times New Roman" w:cs="Times New Roman"/>
          <w:sz w:val="28"/>
        </w:rPr>
        <w:t xml:space="preserve">República contar con el análisis de impacto fiscal del </w:t>
      </w:r>
      <w:r w:rsidRPr="00E00F43">
        <w:rPr>
          <w:rFonts w:ascii="Times New Roman" w:hAnsi="Times New Roman" w:cs="Times New Roman"/>
          <w:sz w:val="28"/>
        </w:rPr>
        <w:t xml:space="preserve">proyecto de ley que daría lugar a la aprobación del instrumento internacional de la referencia. </w:t>
      </w:r>
      <w:r w:rsidRPr="00E00F43">
        <w:rPr>
          <w:rFonts w:ascii="Times New Roman" w:hAnsi="Times New Roman" w:cs="Times New Roman"/>
          <w:sz w:val="28"/>
        </w:rPr>
        <w:t xml:space="preserve"> </w:t>
      </w:r>
      <w:r w:rsidRPr="00E00F43">
        <w:rPr>
          <w:rFonts w:ascii="Times New Roman" w:hAnsi="Times New Roman" w:cs="Times New Roman"/>
          <w:sz w:val="28"/>
        </w:rPr>
        <w:t xml:space="preserve"> </w:t>
      </w:r>
      <w:r w:rsidRPr="00E00F43">
        <w:rPr>
          <w:rFonts w:ascii="Times New Roman" w:hAnsi="Times New Roman" w:cs="Times New Roman"/>
          <w:sz w:val="28"/>
        </w:rPr>
        <w:t xml:space="preserve"> </w:t>
      </w:r>
      <w:r w:rsidRPr="00E00F43">
        <w:rPr>
          <w:rFonts w:ascii="Times New Roman" w:hAnsi="Times New Roman" w:cs="Times New Roman"/>
          <w:sz w:val="28"/>
        </w:rPr>
        <w:t xml:space="preserve"> </w:t>
      </w:r>
    </w:p>
    <w:p w:rsidR="002165DD" w:rsidRPr="00E00F43" w:rsidRDefault="00E00F43" w:rsidP="002165DD">
      <w:pPr>
        <w:spacing w:after="0"/>
        <w:rPr>
          <w:rFonts w:ascii="Times New Roman" w:eastAsia="Times New Roman" w:hAnsi="Times New Roman" w:cs="Times New Roman"/>
          <w:bCs/>
          <w:sz w:val="28"/>
          <w:szCs w:val="24"/>
          <w:lang w:val="es-ES"/>
        </w:rPr>
      </w:pPr>
    </w:p>
    <w:p w:rsidR="002165DD" w:rsidRPr="00E00F43" w:rsidRDefault="00E00F43">
      <w:pPr>
        <w:pStyle w:val="Prrafodelista"/>
        <w:numPr>
          <w:ilvl w:val="2"/>
          <w:numId w:val="7"/>
        </w:numPr>
        <w:tabs>
          <w:tab w:val="left" w:pos="426"/>
        </w:tabs>
        <w:ind w:left="0" w:firstLine="0"/>
        <w:rPr>
          <w:rFonts w:ascii="Times New Roman" w:hAnsi="Times New Roman" w:cs="Times New Roman"/>
          <w:b/>
          <w:sz w:val="28"/>
          <w:szCs w:val="24"/>
          <w:lang w:val="es-ES" w:eastAsia="es-CO"/>
        </w:rPr>
      </w:pPr>
      <w:r w:rsidRPr="00E00F43">
        <w:rPr>
          <w:rFonts w:ascii="Times New Roman" w:hAnsi="Times New Roman" w:cs="Times New Roman"/>
          <w:b/>
          <w:sz w:val="28"/>
          <w:szCs w:val="24"/>
          <w:lang w:val="es-ES" w:eastAsia="es-CO"/>
        </w:rPr>
        <w:t>Examen del trámite de la Ley 2</w:t>
      </w:r>
      <w:r w:rsidRPr="00E00F43">
        <w:rPr>
          <w:rFonts w:ascii="Times New Roman" w:hAnsi="Times New Roman" w:cs="Times New Roman"/>
          <w:b/>
          <w:sz w:val="28"/>
          <w:szCs w:val="24"/>
          <w:lang w:val="es-ES" w:eastAsia="es-CO"/>
        </w:rPr>
        <w:t>290</w:t>
      </w:r>
      <w:r w:rsidRPr="00E00F43">
        <w:rPr>
          <w:rFonts w:ascii="Times New Roman" w:hAnsi="Times New Roman" w:cs="Times New Roman"/>
          <w:b/>
          <w:sz w:val="28"/>
          <w:szCs w:val="24"/>
          <w:lang w:val="es-ES" w:eastAsia="es-CO"/>
        </w:rPr>
        <w:t xml:space="preserve"> de 202</w:t>
      </w:r>
      <w:r w:rsidRPr="00E00F43">
        <w:rPr>
          <w:rFonts w:ascii="Times New Roman" w:hAnsi="Times New Roman" w:cs="Times New Roman"/>
          <w:b/>
          <w:sz w:val="28"/>
          <w:szCs w:val="24"/>
          <w:lang w:val="es-ES" w:eastAsia="es-CO"/>
        </w:rPr>
        <w:t>3</w:t>
      </w:r>
      <w:r w:rsidRPr="00E00F43">
        <w:rPr>
          <w:rFonts w:ascii="Times New Roman" w:hAnsi="Times New Roman" w:cs="Times New Roman"/>
          <w:b/>
          <w:sz w:val="28"/>
          <w:szCs w:val="24"/>
          <w:lang w:val="es-ES" w:eastAsia="es-CO"/>
        </w:rPr>
        <w:t xml:space="preserve"> ante el Congreso de la República </w:t>
      </w:r>
    </w:p>
    <w:p w:rsidR="002165DD" w:rsidRPr="00E00F43" w:rsidRDefault="00E00F43" w:rsidP="002165DD">
      <w:pPr>
        <w:spacing w:after="0"/>
        <w:rPr>
          <w:rFonts w:ascii="Times New Roman" w:eastAsia="Times New Roman" w:hAnsi="Times New Roman" w:cs="Times New Roman"/>
          <w:b/>
          <w:i/>
          <w:iCs/>
          <w:sz w:val="28"/>
          <w:szCs w:val="24"/>
          <w:lang w:val="es-ES"/>
        </w:rPr>
      </w:pPr>
    </w:p>
    <w:p w:rsidR="001255C1" w:rsidRPr="00E00F43" w:rsidRDefault="00E00F43" w:rsidP="00A542D4">
      <w:pPr>
        <w:pStyle w:val="Ttulo"/>
        <w:rPr>
          <w:rFonts w:ascii="Times New Roman" w:hAnsi="Times New Roman" w:cs="Times New Roman"/>
          <w:sz w:val="28"/>
          <w:lang w:eastAsia="es-CO"/>
        </w:rPr>
      </w:pPr>
      <w:r w:rsidRPr="00E00F43">
        <w:rPr>
          <w:rFonts w:ascii="Times New Roman" w:hAnsi="Times New Roman" w:cs="Times New Roman"/>
          <w:sz w:val="28"/>
        </w:rPr>
        <w:t xml:space="preserve"> </w:t>
      </w:r>
      <w:r w:rsidRPr="00E00F43">
        <w:rPr>
          <w:rFonts w:ascii="Times New Roman" w:hAnsi="Times New Roman" w:cs="Times New Roman"/>
          <w:sz w:val="28"/>
        </w:rPr>
        <w:t>Las leyes aprobatoria</w:t>
      </w:r>
      <w:r w:rsidRPr="00E00F43">
        <w:rPr>
          <w:rFonts w:ascii="Times New Roman" w:hAnsi="Times New Roman" w:cs="Times New Roman"/>
          <w:sz w:val="28"/>
        </w:rPr>
        <w:t>s de tratados internacionales no disponen de un procedimiento legislativo especial, por lo que el trámite que debe seguirse es el de las leyes ordinarias,</w:t>
      </w:r>
      <w:r w:rsidRPr="00E00F43">
        <w:rPr>
          <w:rStyle w:val="Refdenotaalpie"/>
          <w:rFonts w:ascii="Times New Roman" w:hAnsi="Times New Roman"/>
          <w:sz w:val="28"/>
        </w:rPr>
        <w:footnoteReference w:id="35"/>
      </w:r>
      <w:r w:rsidRPr="00E00F43">
        <w:rPr>
          <w:rFonts w:ascii="Times New Roman" w:hAnsi="Times New Roman" w:cs="Times New Roman"/>
          <w:sz w:val="28"/>
        </w:rPr>
        <w:t xml:space="preserve"> salvo por dos requisitos especiales: </w:t>
      </w:r>
      <w:r w:rsidRPr="00E00F43">
        <w:rPr>
          <w:rFonts w:ascii="Times New Roman" w:hAnsi="Times New Roman" w:cs="Times New Roman"/>
          <w:i/>
          <w:iCs/>
          <w:sz w:val="28"/>
        </w:rPr>
        <w:t>(i)</w:t>
      </w:r>
      <w:r w:rsidRPr="00E00F43">
        <w:rPr>
          <w:rFonts w:ascii="Times New Roman" w:hAnsi="Times New Roman" w:cs="Times New Roman"/>
          <w:sz w:val="28"/>
        </w:rPr>
        <w:t xml:space="preserve"> el debate debe iniciarse en el Senado de la República, por tratarse de asuntos relativos a relaciones internacionales (</w:t>
      </w:r>
      <w:r w:rsidRPr="00E00F43">
        <w:rPr>
          <w:rFonts w:ascii="Times New Roman" w:hAnsi="Times New Roman" w:cs="Times New Roman"/>
          <w:sz w:val="28"/>
        </w:rPr>
        <w:t>a</w:t>
      </w:r>
      <w:r w:rsidRPr="00E00F43">
        <w:rPr>
          <w:rFonts w:ascii="Times New Roman" w:hAnsi="Times New Roman" w:cs="Times New Roman"/>
          <w:sz w:val="28"/>
        </w:rPr>
        <w:t xml:space="preserve">rt. 154, </w:t>
      </w:r>
      <w:r w:rsidRPr="00E00F43">
        <w:rPr>
          <w:rFonts w:ascii="Times New Roman" w:hAnsi="Times New Roman" w:cs="Times New Roman"/>
          <w:sz w:val="28"/>
        </w:rPr>
        <w:t>C.P.</w:t>
      </w:r>
      <w:r w:rsidRPr="00E00F43">
        <w:rPr>
          <w:rFonts w:ascii="Times New Roman" w:hAnsi="Times New Roman" w:cs="Times New Roman"/>
          <w:sz w:val="28"/>
        </w:rPr>
        <w:t>)</w:t>
      </w:r>
      <w:r w:rsidRPr="00E00F43">
        <w:rPr>
          <w:rFonts w:ascii="Times New Roman" w:hAnsi="Times New Roman" w:cs="Times New Roman"/>
          <w:sz w:val="28"/>
        </w:rPr>
        <w:t>,</w:t>
      </w:r>
      <w:r w:rsidRPr="00E00F43">
        <w:rPr>
          <w:rFonts w:ascii="Times New Roman" w:hAnsi="Times New Roman" w:cs="Times New Roman"/>
          <w:sz w:val="28"/>
        </w:rPr>
        <w:t xml:space="preserve"> y </w:t>
      </w:r>
      <w:r w:rsidRPr="00E00F43">
        <w:rPr>
          <w:rFonts w:ascii="Times New Roman" w:hAnsi="Times New Roman" w:cs="Times New Roman"/>
          <w:i/>
          <w:iCs/>
          <w:sz w:val="28"/>
        </w:rPr>
        <w:t>(ii)</w:t>
      </w:r>
      <w:r w:rsidRPr="00E00F43">
        <w:rPr>
          <w:rFonts w:ascii="Times New Roman" w:hAnsi="Times New Roman" w:cs="Times New Roman"/>
          <w:sz w:val="28"/>
        </w:rPr>
        <w:t xml:space="preserve"> una vez ha sido sancionada la ley por el </w:t>
      </w:r>
      <w:r w:rsidRPr="00E00F43">
        <w:rPr>
          <w:rFonts w:ascii="Times New Roman" w:hAnsi="Times New Roman" w:cs="Times New Roman"/>
          <w:sz w:val="28"/>
        </w:rPr>
        <w:t>presidente</w:t>
      </w:r>
      <w:r w:rsidRPr="00E00F43">
        <w:rPr>
          <w:rFonts w:ascii="Times New Roman" w:hAnsi="Times New Roman" w:cs="Times New Roman"/>
          <w:sz w:val="28"/>
        </w:rPr>
        <w:t xml:space="preserve"> de la República, deberá remitirla a la Corte Constitucional </w:t>
      </w:r>
      <w:r w:rsidRPr="00E00F43">
        <w:rPr>
          <w:rFonts w:ascii="Times New Roman" w:hAnsi="Times New Roman" w:cs="Times New Roman"/>
          <w:sz w:val="28"/>
        </w:rPr>
        <w:t>dentro de los 6 días siguientes, para efectos de la revisión integral (</w:t>
      </w:r>
      <w:r w:rsidRPr="00E00F43">
        <w:rPr>
          <w:rFonts w:ascii="Times New Roman" w:hAnsi="Times New Roman" w:cs="Times New Roman"/>
          <w:sz w:val="28"/>
        </w:rPr>
        <w:t>a</w:t>
      </w:r>
      <w:r w:rsidRPr="00E00F43">
        <w:rPr>
          <w:rFonts w:ascii="Times New Roman" w:hAnsi="Times New Roman" w:cs="Times New Roman"/>
          <w:sz w:val="28"/>
        </w:rPr>
        <w:t xml:space="preserve">rt. 241, núm. 10, </w:t>
      </w:r>
      <w:r w:rsidRPr="00E00F43">
        <w:rPr>
          <w:rFonts w:ascii="Times New Roman" w:hAnsi="Times New Roman" w:cs="Times New Roman"/>
          <w:sz w:val="28"/>
        </w:rPr>
        <w:t>C.P.</w:t>
      </w:r>
      <w:r w:rsidRPr="00E00F43">
        <w:rPr>
          <w:rFonts w:ascii="Times New Roman" w:hAnsi="Times New Roman" w:cs="Times New Roman"/>
          <w:sz w:val="28"/>
        </w:rPr>
        <w:t>)</w:t>
      </w:r>
      <w:r w:rsidRPr="00E00F43">
        <w:rPr>
          <w:rFonts w:ascii="Times New Roman" w:hAnsi="Times New Roman" w:cs="Times New Roman"/>
          <w:sz w:val="28"/>
          <w:vertAlign w:val="superscript"/>
        </w:rPr>
        <w:footnoteReference w:id="36"/>
      </w:r>
      <w:r w:rsidRPr="00E00F43">
        <w:rPr>
          <w:rFonts w:ascii="Times New Roman" w:hAnsi="Times New Roman" w:cs="Times New Roman"/>
          <w:sz w:val="28"/>
        </w:rPr>
        <w:t>.</w:t>
      </w:r>
    </w:p>
    <w:p w:rsidR="003402AE" w:rsidRPr="00E00F43" w:rsidRDefault="00E00F43" w:rsidP="00076EDF">
      <w:pPr>
        <w:pStyle w:val="Prrafodelista"/>
        <w:tabs>
          <w:tab w:val="left" w:pos="426"/>
        </w:tabs>
        <w:ind w:left="0"/>
        <w:rPr>
          <w:rFonts w:ascii="Times New Roman" w:hAnsi="Times New Roman" w:cs="Times New Roman"/>
          <w:sz w:val="28"/>
          <w:szCs w:val="24"/>
          <w:lang w:val="es-ES" w:eastAsia="es-CO"/>
        </w:rPr>
      </w:pPr>
    </w:p>
    <w:p w:rsidR="002165DD" w:rsidRPr="00E00F43" w:rsidRDefault="00E00F43" w:rsidP="00A542D4">
      <w:pPr>
        <w:pStyle w:val="Ttulo"/>
        <w:rPr>
          <w:rFonts w:ascii="Times New Roman" w:hAnsi="Times New Roman" w:cs="Times New Roman"/>
          <w:sz w:val="28"/>
          <w:lang w:eastAsia="es-CO"/>
        </w:rPr>
      </w:pPr>
      <w:r w:rsidRPr="00E00F43">
        <w:rPr>
          <w:rFonts w:ascii="Times New Roman" w:hAnsi="Times New Roman" w:cs="Times New Roman"/>
          <w:sz w:val="28"/>
        </w:rPr>
        <w:t xml:space="preserve"> </w:t>
      </w:r>
      <w:r w:rsidRPr="00E00F43">
        <w:rPr>
          <w:rFonts w:ascii="Times New Roman" w:hAnsi="Times New Roman" w:cs="Times New Roman"/>
          <w:sz w:val="28"/>
        </w:rPr>
        <w:t xml:space="preserve">Teniendo en cuenta el procedimiento que guía las leyes ordinarias, especialmente lo previsto en los artículos 150 a 169 de la Carta y en la Ley 5ª de 1992, </w:t>
      </w:r>
      <w:r w:rsidRPr="00E00F43">
        <w:rPr>
          <w:rFonts w:ascii="Times New Roman" w:hAnsi="Times New Roman" w:cs="Times New Roman"/>
          <w:sz w:val="28"/>
        </w:rPr>
        <w:t>la Sala Plena ha resumido las etapas del trámite legislativo que revisa la Corte, así:</w:t>
      </w:r>
    </w:p>
    <w:p w:rsidR="002165DD" w:rsidRPr="00E00F43" w:rsidRDefault="00E00F43" w:rsidP="002165DD">
      <w:pPr>
        <w:tabs>
          <w:tab w:val="left" w:pos="567"/>
        </w:tabs>
        <w:spacing w:after="0"/>
        <w:rPr>
          <w:rFonts w:ascii="Times New Roman" w:eastAsia="Times New Roman" w:hAnsi="Times New Roman" w:cs="Times New Roman"/>
          <w:sz w:val="28"/>
          <w:szCs w:val="24"/>
          <w:lang w:val="es-ES"/>
        </w:rPr>
      </w:pP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r w:rsidRPr="00E00F43">
        <w:rPr>
          <w:rFonts w:ascii="Times New Roman" w:eastAsia="Times New Roman" w:hAnsi="Times New Roman" w:cs="Times New Roman"/>
          <w:iCs/>
          <w:sz w:val="28"/>
          <w:lang w:val="es-ES"/>
        </w:rPr>
        <w:t xml:space="preserve">“(i) Inicio del trámite de la ley aprobatoria en el Senado de la República (art. 154 </w:t>
      </w:r>
      <w:r w:rsidRPr="00E00F43">
        <w:rPr>
          <w:rFonts w:ascii="Times New Roman" w:eastAsia="Times New Roman" w:hAnsi="Times New Roman" w:cs="Times New Roman"/>
          <w:iCs/>
          <w:sz w:val="28"/>
          <w:lang w:val="es-ES"/>
        </w:rPr>
        <w:t>C.P.</w:t>
      </w:r>
      <w:r w:rsidRPr="00E00F43">
        <w:rPr>
          <w:rFonts w:ascii="Times New Roman" w:eastAsia="Times New Roman" w:hAnsi="Times New Roman" w:cs="Times New Roman"/>
          <w:iCs/>
          <w:sz w:val="28"/>
          <w:lang w:val="es-ES"/>
        </w:rPr>
        <w:t>).</w:t>
      </w: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r w:rsidRPr="00E00F43">
        <w:rPr>
          <w:rFonts w:ascii="Times New Roman" w:eastAsia="Times New Roman" w:hAnsi="Times New Roman" w:cs="Times New Roman"/>
          <w:iCs/>
          <w:sz w:val="28"/>
          <w:lang w:val="es-ES"/>
        </w:rPr>
        <w:t>(ii) Publicación del proyecto de ley antes de darle curso en la comisión re</w:t>
      </w:r>
      <w:r w:rsidRPr="00E00F43">
        <w:rPr>
          <w:rFonts w:ascii="Times New Roman" w:eastAsia="Times New Roman" w:hAnsi="Times New Roman" w:cs="Times New Roman"/>
          <w:iCs/>
          <w:sz w:val="28"/>
          <w:lang w:val="es-ES"/>
        </w:rPr>
        <w:t xml:space="preserve">spectiva (art. 157, núm. 1 </w:t>
      </w:r>
      <w:r w:rsidRPr="00E00F43">
        <w:rPr>
          <w:rFonts w:ascii="Times New Roman" w:eastAsia="Times New Roman" w:hAnsi="Times New Roman" w:cs="Times New Roman"/>
          <w:iCs/>
          <w:sz w:val="28"/>
          <w:lang w:val="es-ES"/>
        </w:rPr>
        <w:t>C.P.</w:t>
      </w:r>
      <w:r w:rsidRPr="00E00F43">
        <w:rPr>
          <w:rFonts w:ascii="Times New Roman" w:eastAsia="Times New Roman" w:hAnsi="Times New Roman" w:cs="Times New Roman"/>
          <w:iCs/>
          <w:sz w:val="28"/>
          <w:lang w:val="es-ES"/>
        </w:rPr>
        <w:t>).</w:t>
      </w:r>
    </w:p>
    <w:p w:rsidR="002165DD" w:rsidRPr="00E00F43" w:rsidRDefault="00E00F43" w:rsidP="002165DD">
      <w:pPr>
        <w:tabs>
          <w:tab w:val="left" w:pos="567"/>
        </w:tabs>
        <w:spacing w:after="0"/>
        <w:ind w:left="567" w:right="27"/>
        <w:rPr>
          <w:rFonts w:ascii="Times New Roman" w:eastAsia="Times New Roman" w:hAnsi="Times New Roman" w:cs="Times New Roman"/>
          <w:iCs/>
          <w:sz w:val="28"/>
          <w:lang w:val="es-ES"/>
        </w:rPr>
      </w:pP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r w:rsidRPr="00E00F43">
        <w:rPr>
          <w:rFonts w:ascii="Times New Roman" w:eastAsia="Times New Roman" w:hAnsi="Times New Roman" w:cs="Times New Roman"/>
          <w:iCs/>
          <w:sz w:val="28"/>
          <w:lang w:val="es-ES"/>
        </w:rPr>
        <w:t xml:space="preserve">(iii) Aprobación en primer debate en las comisiones respectivas de Senado y Cámara, y en segundo debate en las plenarias de esas corporaciones (art. 157, núm. 2 y 3 </w:t>
      </w:r>
      <w:r w:rsidRPr="00E00F43">
        <w:rPr>
          <w:rFonts w:ascii="Times New Roman" w:eastAsia="Times New Roman" w:hAnsi="Times New Roman" w:cs="Times New Roman"/>
          <w:iCs/>
          <w:sz w:val="28"/>
          <w:lang w:val="es-ES"/>
        </w:rPr>
        <w:t>C.P.</w:t>
      </w:r>
      <w:r w:rsidRPr="00E00F43">
        <w:rPr>
          <w:rFonts w:ascii="Times New Roman" w:eastAsia="Times New Roman" w:hAnsi="Times New Roman" w:cs="Times New Roman"/>
          <w:iCs/>
          <w:sz w:val="28"/>
          <w:lang w:val="es-ES"/>
        </w:rPr>
        <w:t>).</w:t>
      </w: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r w:rsidRPr="00E00F43">
        <w:rPr>
          <w:rFonts w:ascii="Times New Roman" w:eastAsia="Times New Roman" w:hAnsi="Times New Roman" w:cs="Times New Roman"/>
          <w:iCs/>
          <w:sz w:val="28"/>
          <w:lang w:val="es-ES"/>
        </w:rPr>
        <w:t>(iv) Publicación y reparto del informe de ponenc</w:t>
      </w:r>
      <w:r w:rsidRPr="00E00F43">
        <w:rPr>
          <w:rFonts w:ascii="Times New Roman" w:eastAsia="Times New Roman" w:hAnsi="Times New Roman" w:cs="Times New Roman"/>
          <w:iCs/>
          <w:sz w:val="28"/>
          <w:lang w:val="es-ES"/>
        </w:rPr>
        <w:t>ia previo a los cuatro debates correspondientes y del texto aprobado en cada uno de ellos (arts. 144, 156 y 157 de la Ley 5ª de 1992).</w:t>
      </w:r>
    </w:p>
    <w:p w:rsidR="002165DD" w:rsidRPr="00E00F43" w:rsidRDefault="00E00F43" w:rsidP="002165DD">
      <w:pPr>
        <w:tabs>
          <w:tab w:val="left" w:pos="567"/>
        </w:tabs>
        <w:spacing w:after="0"/>
        <w:ind w:left="567" w:right="27"/>
        <w:rPr>
          <w:rFonts w:ascii="Times New Roman" w:eastAsia="Times New Roman" w:hAnsi="Times New Roman" w:cs="Times New Roman"/>
          <w:iCs/>
          <w:sz w:val="28"/>
          <w:lang w:val="es-ES"/>
        </w:rPr>
      </w:pPr>
    </w:p>
    <w:p w:rsidR="002165DD" w:rsidRPr="00E00F43" w:rsidRDefault="00E00F43" w:rsidP="002165DD">
      <w:pPr>
        <w:tabs>
          <w:tab w:val="left" w:pos="567"/>
        </w:tabs>
        <w:spacing w:after="0"/>
        <w:ind w:left="567" w:right="332" w:hanging="141"/>
        <w:rPr>
          <w:rFonts w:ascii="Times New Roman" w:eastAsia="Times New Roman" w:hAnsi="Times New Roman" w:cs="Times New Roman"/>
          <w:iCs/>
          <w:sz w:val="28"/>
          <w:lang w:val="es-ES"/>
        </w:rPr>
      </w:pPr>
      <w:r w:rsidRPr="00E00F43">
        <w:rPr>
          <w:rFonts w:ascii="Times New Roman" w:eastAsia="Times New Roman" w:hAnsi="Times New Roman" w:cs="Times New Roman"/>
          <w:i/>
          <w:iCs/>
          <w:sz w:val="28"/>
          <w:lang w:val="es-ES"/>
        </w:rPr>
        <w:t xml:space="preserve">  </w:t>
      </w:r>
      <w:r w:rsidRPr="00E00F43">
        <w:rPr>
          <w:rFonts w:ascii="Times New Roman" w:eastAsia="Times New Roman" w:hAnsi="Times New Roman" w:cs="Times New Roman"/>
          <w:sz w:val="28"/>
          <w:lang w:val="es-ES"/>
        </w:rPr>
        <w:t xml:space="preserve">(v) Anuncio previo en el que se informe de la sesión en que se efectuará la discusión y votación del proyecto en cada uno de los cuatro debates correspondientes, según el inciso final del artículo 160 de la Constitución Política adicionado por el artículo </w:t>
      </w:r>
      <w:r w:rsidRPr="00E00F43">
        <w:rPr>
          <w:rFonts w:ascii="Times New Roman" w:eastAsia="Times New Roman" w:hAnsi="Times New Roman" w:cs="Times New Roman"/>
          <w:sz w:val="28"/>
          <w:lang w:val="es-ES"/>
        </w:rPr>
        <w:t xml:space="preserve">8 del Acto Legislativo 01 de 2003 la cual </w:t>
      </w:r>
      <w:r w:rsidRPr="00E00F43">
        <w:rPr>
          <w:rFonts w:ascii="Times New Roman" w:eastAsia="Times New Roman" w:hAnsi="Times New Roman" w:cs="Times New Roman"/>
          <w:iCs/>
          <w:sz w:val="28"/>
          <w:lang w:val="es-ES"/>
        </w:rPr>
        <w:t>ordena que: 1) la fecha de votación de los proyectos de ley sea previamente anunciada; 2) el anuncio de tal votación se realice en sesión distinta a la de la sesión en que es sometido a su aprobación; y 3) la votac</w:t>
      </w:r>
      <w:r w:rsidRPr="00E00F43">
        <w:rPr>
          <w:rFonts w:ascii="Times New Roman" w:eastAsia="Times New Roman" w:hAnsi="Times New Roman" w:cs="Times New Roman"/>
          <w:iCs/>
          <w:sz w:val="28"/>
          <w:lang w:val="es-ES"/>
        </w:rPr>
        <w:t>ión se efectúe el día en que fue anunciada. La Corte ha señalado, además, que, si bien no es exigible una fórmula específica para realizar el anuncio, sí deben utilizarse expresiones de las que sea posible inferir con claridad para qué se convoca a los con</w:t>
      </w:r>
      <w:r w:rsidRPr="00E00F43">
        <w:rPr>
          <w:rFonts w:ascii="Times New Roman" w:eastAsia="Times New Roman" w:hAnsi="Times New Roman" w:cs="Times New Roman"/>
          <w:iCs/>
          <w:sz w:val="28"/>
          <w:lang w:val="es-ES"/>
        </w:rPr>
        <w:t>gresistas y que se haga para una sesión posterior, es decir, para “una fecha futura prefijada y determinada, o por lo menos, determinable”.</w:t>
      </w: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r w:rsidRPr="00E00F43">
        <w:rPr>
          <w:rFonts w:ascii="Times New Roman" w:eastAsia="Times New Roman" w:hAnsi="Times New Roman" w:cs="Times New Roman"/>
          <w:iCs/>
          <w:sz w:val="28"/>
          <w:lang w:val="es-ES"/>
        </w:rPr>
        <w:t xml:space="preserve">(vi) Quórum decisorio al momento de la aprobación del proyecto en cada uno de los cuatro debates correspondientes. </w:t>
      </w:r>
      <w:r w:rsidRPr="00E00F43">
        <w:rPr>
          <w:rFonts w:ascii="Times New Roman" w:eastAsia="Times New Roman" w:hAnsi="Times New Roman" w:cs="Times New Roman"/>
          <w:iCs/>
          <w:sz w:val="28"/>
          <w:lang w:val="es-ES"/>
        </w:rPr>
        <w:t>Tratándose de proyectos de ley aprobatoria de tratados internacionales aplica la regla general prevista en el artículo 145 de la Constitución, según la cual se exige la presencia de la mayoría de los integrantes de la respectiva comisión o plenaria.</w:t>
      </w: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r w:rsidRPr="00E00F43">
        <w:rPr>
          <w:rFonts w:ascii="Times New Roman" w:eastAsia="Times New Roman" w:hAnsi="Times New Roman" w:cs="Times New Roman"/>
          <w:iCs/>
          <w:sz w:val="28"/>
          <w:lang w:val="es-ES"/>
        </w:rPr>
        <w:t>(vii)</w:t>
      </w:r>
      <w:r w:rsidRPr="00E00F43">
        <w:rPr>
          <w:rFonts w:ascii="Times New Roman" w:eastAsia="Times New Roman" w:hAnsi="Times New Roman" w:cs="Times New Roman"/>
          <w:iCs/>
          <w:sz w:val="28"/>
          <w:lang w:val="es-ES"/>
        </w:rPr>
        <w:t xml:space="preserve"> Votación en debida forma en cada uno de los respectivos debates. Al respecto, el artículo 133 </w:t>
      </w:r>
      <w:r w:rsidRPr="00E00F43">
        <w:rPr>
          <w:rFonts w:ascii="Times New Roman" w:eastAsia="Times New Roman" w:hAnsi="Times New Roman" w:cs="Times New Roman"/>
          <w:iCs/>
          <w:sz w:val="28"/>
          <w:lang w:val="es-ES"/>
        </w:rPr>
        <w:t>s</w:t>
      </w:r>
      <w:r w:rsidRPr="00E00F43">
        <w:rPr>
          <w:rFonts w:ascii="Times New Roman" w:eastAsia="Times New Roman" w:hAnsi="Times New Roman" w:cs="Times New Roman"/>
          <w:iCs/>
          <w:sz w:val="28"/>
          <w:lang w:val="es-ES"/>
        </w:rPr>
        <w:t>uperior establece que, salvo las excepciones previstas en la ley, la votación de los proyectos de ley debe efectuarse de manera nominal y pública. El artículo 1</w:t>
      </w:r>
      <w:r w:rsidRPr="00E00F43">
        <w:rPr>
          <w:rFonts w:ascii="Times New Roman" w:eastAsia="Times New Roman" w:hAnsi="Times New Roman" w:cs="Times New Roman"/>
          <w:iCs/>
          <w:sz w:val="28"/>
          <w:lang w:val="es-ES"/>
        </w:rPr>
        <w:t>29 de la Ley 5ª de 1992 (modificado por el artículo 1º de la Ley 1431 de 2011), establece las hipótesis en que, para hacer efectivo el principio de celeridad de los procedimientos, puede exceptuarse esta regla general para admitir la votación ordinaria.</w:t>
      </w: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r w:rsidRPr="00E00F43">
        <w:rPr>
          <w:rFonts w:ascii="Times New Roman" w:eastAsia="Times New Roman" w:hAnsi="Times New Roman" w:cs="Times New Roman"/>
          <w:iCs/>
          <w:sz w:val="28"/>
          <w:lang w:val="es-ES"/>
        </w:rPr>
        <w:t> </w:t>
      </w: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r w:rsidRPr="00E00F43">
        <w:rPr>
          <w:rFonts w:ascii="Times New Roman" w:eastAsia="Times New Roman" w:hAnsi="Times New Roman" w:cs="Times New Roman"/>
          <w:iCs/>
          <w:sz w:val="28"/>
          <w:lang w:val="es-ES"/>
        </w:rPr>
        <w:t xml:space="preserve">(viii) Aprobación en cada uno de los respectivos debates por la regla de mayoría correspondiente. Para el caso de leyes aprobatorias de tratados internacionales, la aprobación requiere la mayoría de los votos de los asistentes (mayoría simple), de acuerdo </w:t>
      </w:r>
      <w:r w:rsidRPr="00E00F43">
        <w:rPr>
          <w:rFonts w:ascii="Times New Roman" w:eastAsia="Times New Roman" w:hAnsi="Times New Roman" w:cs="Times New Roman"/>
          <w:iCs/>
          <w:sz w:val="28"/>
          <w:lang w:val="es-ES"/>
        </w:rPr>
        <w:t xml:space="preserve">con lo establecido en el artículo 146 </w:t>
      </w:r>
      <w:r w:rsidRPr="00E00F43">
        <w:rPr>
          <w:rFonts w:ascii="Times New Roman" w:eastAsia="Times New Roman" w:hAnsi="Times New Roman" w:cs="Times New Roman"/>
          <w:iCs/>
          <w:sz w:val="28"/>
          <w:lang w:val="es-ES"/>
        </w:rPr>
        <w:t>s</w:t>
      </w:r>
      <w:r w:rsidRPr="00E00F43">
        <w:rPr>
          <w:rFonts w:ascii="Times New Roman" w:eastAsia="Times New Roman" w:hAnsi="Times New Roman" w:cs="Times New Roman"/>
          <w:iCs/>
          <w:sz w:val="28"/>
          <w:lang w:val="es-ES"/>
        </w:rPr>
        <w:t>uperior.</w:t>
      </w: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r w:rsidRPr="00E00F43">
        <w:rPr>
          <w:rFonts w:ascii="Times New Roman" w:eastAsia="Times New Roman" w:hAnsi="Times New Roman" w:cs="Times New Roman"/>
          <w:iCs/>
          <w:sz w:val="28"/>
          <w:lang w:val="es-ES"/>
        </w:rPr>
        <w:t> </w:t>
      </w: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r w:rsidRPr="00E00F43">
        <w:rPr>
          <w:rFonts w:ascii="Times New Roman" w:eastAsia="Times New Roman" w:hAnsi="Times New Roman" w:cs="Times New Roman"/>
          <w:iCs/>
          <w:sz w:val="28"/>
          <w:lang w:val="es-ES"/>
        </w:rPr>
        <w:t xml:space="preserve">(ix) Cumplimiento de la regla de lapso entre debates prevista en el artículo 160 </w:t>
      </w:r>
      <w:r w:rsidRPr="00E00F43">
        <w:rPr>
          <w:rFonts w:ascii="Times New Roman" w:eastAsia="Times New Roman" w:hAnsi="Times New Roman" w:cs="Times New Roman"/>
          <w:iCs/>
          <w:sz w:val="28"/>
          <w:lang w:val="es-ES"/>
        </w:rPr>
        <w:t>de la Constitución</w:t>
      </w:r>
      <w:r w:rsidRPr="00E00F43">
        <w:rPr>
          <w:rFonts w:ascii="Times New Roman" w:eastAsia="Times New Roman" w:hAnsi="Times New Roman" w:cs="Times New Roman"/>
          <w:iCs/>
          <w:sz w:val="28"/>
          <w:lang w:val="es-ES"/>
        </w:rPr>
        <w:t xml:space="preserve">, según la cual entre el primero y el segundo debate en cada cámara deberá mediar un lapso no inferior a </w:t>
      </w:r>
      <w:r w:rsidRPr="00E00F43">
        <w:rPr>
          <w:rFonts w:ascii="Times New Roman" w:eastAsia="Times New Roman" w:hAnsi="Times New Roman" w:cs="Times New Roman"/>
          <w:iCs/>
          <w:sz w:val="28"/>
          <w:lang w:val="es-ES"/>
        </w:rPr>
        <w:t>ocho (8) días, y entre la aprobación del proyecto en una de las cámaras y la iniciación del debate en la otra, habrán de transcurrir no menos de quince (15) días.</w:t>
      </w: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r w:rsidRPr="00E00F43">
        <w:rPr>
          <w:rFonts w:ascii="Times New Roman" w:eastAsia="Times New Roman" w:hAnsi="Times New Roman" w:cs="Times New Roman"/>
          <w:iCs/>
          <w:sz w:val="28"/>
          <w:lang w:val="es-ES"/>
        </w:rPr>
        <w:t> </w:t>
      </w: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r w:rsidRPr="00E00F43">
        <w:rPr>
          <w:rFonts w:ascii="Times New Roman" w:eastAsia="Times New Roman" w:hAnsi="Times New Roman" w:cs="Times New Roman"/>
          <w:iCs/>
          <w:sz w:val="28"/>
          <w:lang w:val="es-ES"/>
        </w:rPr>
        <w:t xml:space="preserve">(x) Que se haya surtido el trámite de conciliación, en caso de existir discrepancias entre </w:t>
      </w:r>
      <w:r w:rsidRPr="00E00F43">
        <w:rPr>
          <w:rFonts w:ascii="Times New Roman" w:eastAsia="Times New Roman" w:hAnsi="Times New Roman" w:cs="Times New Roman"/>
          <w:iCs/>
          <w:sz w:val="28"/>
          <w:lang w:val="es-ES"/>
        </w:rPr>
        <w:t xml:space="preserve">los textos aprobados en el Senado y la Cámara de Representantes, y la publicación del texto aprobado por las plenarias de Senado y Cámara (art. 161 </w:t>
      </w:r>
      <w:r w:rsidRPr="00E00F43">
        <w:rPr>
          <w:rFonts w:ascii="Times New Roman" w:eastAsia="Times New Roman" w:hAnsi="Times New Roman" w:cs="Times New Roman"/>
          <w:iCs/>
          <w:sz w:val="28"/>
          <w:lang w:val="es-ES"/>
        </w:rPr>
        <w:t>C.P.</w:t>
      </w:r>
      <w:r w:rsidRPr="00E00F43">
        <w:rPr>
          <w:rFonts w:ascii="Times New Roman" w:eastAsia="Times New Roman" w:hAnsi="Times New Roman" w:cs="Times New Roman"/>
          <w:iCs/>
          <w:sz w:val="28"/>
          <w:lang w:val="es-ES"/>
        </w:rPr>
        <w:t>).</w:t>
      </w: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r w:rsidRPr="00E00F43">
        <w:rPr>
          <w:rFonts w:ascii="Times New Roman" w:eastAsia="Times New Roman" w:hAnsi="Times New Roman" w:cs="Times New Roman"/>
          <w:iCs/>
          <w:sz w:val="28"/>
          <w:lang w:val="es-ES"/>
        </w:rPr>
        <w:t xml:space="preserve">(xi) Que el trámite del proyecto no haya excedido dos legislaturas (art. 162 </w:t>
      </w:r>
      <w:r w:rsidRPr="00E00F43">
        <w:rPr>
          <w:rFonts w:ascii="Times New Roman" w:eastAsia="Times New Roman" w:hAnsi="Times New Roman" w:cs="Times New Roman"/>
          <w:iCs/>
          <w:sz w:val="28"/>
          <w:lang w:val="es-ES"/>
        </w:rPr>
        <w:t>C.P.</w:t>
      </w:r>
      <w:r w:rsidRPr="00E00F43">
        <w:rPr>
          <w:rFonts w:ascii="Times New Roman" w:eastAsia="Times New Roman" w:hAnsi="Times New Roman" w:cs="Times New Roman"/>
          <w:iCs/>
          <w:sz w:val="28"/>
          <w:lang w:val="es-ES"/>
        </w:rPr>
        <w:t>).</w:t>
      </w: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r w:rsidRPr="00E00F43">
        <w:rPr>
          <w:rFonts w:ascii="Times New Roman" w:eastAsia="Times New Roman" w:hAnsi="Times New Roman" w:cs="Times New Roman"/>
          <w:iCs/>
          <w:sz w:val="28"/>
          <w:lang w:val="es-ES"/>
        </w:rPr>
        <w:t>(xii) Que el pr</w:t>
      </w:r>
      <w:r w:rsidRPr="00E00F43">
        <w:rPr>
          <w:rFonts w:ascii="Times New Roman" w:eastAsia="Times New Roman" w:hAnsi="Times New Roman" w:cs="Times New Roman"/>
          <w:iCs/>
          <w:sz w:val="28"/>
          <w:lang w:val="es-ES"/>
        </w:rPr>
        <w:t xml:space="preserve">oyecto reciba sanción del </w:t>
      </w:r>
      <w:r w:rsidRPr="00E00F43">
        <w:rPr>
          <w:rFonts w:ascii="Times New Roman" w:eastAsia="Times New Roman" w:hAnsi="Times New Roman" w:cs="Times New Roman"/>
          <w:iCs/>
          <w:sz w:val="28"/>
          <w:lang w:val="es-ES"/>
        </w:rPr>
        <w:t>Gobierno</w:t>
      </w:r>
      <w:r w:rsidRPr="00E00F43">
        <w:rPr>
          <w:rFonts w:ascii="Times New Roman" w:eastAsia="Times New Roman" w:hAnsi="Times New Roman" w:cs="Times New Roman"/>
          <w:iCs/>
          <w:sz w:val="28"/>
          <w:lang w:val="es-ES"/>
        </w:rPr>
        <w:t xml:space="preserve"> y, en caso de objeciones, que se haya surtido el trámite correspondiente (arts. 165 a 168 </w:t>
      </w:r>
      <w:r w:rsidRPr="00E00F43">
        <w:rPr>
          <w:rFonts w:ascii="Times New Roman" w:eastAsia="Times New Roman" w:hAnsi="Times New Roman" w:cs="Times New Roman"/>
          <w:iCs/>
          <w:sz w:val="28"/>
          <w:lang w:val="es-ES"/>
        </w:rPr>
        <w:t>C.P.</w:t>
      </w:r>
      <w:r w:rsidRPr="00E00F43">
        <w:rPr>
          <w:rFonts w:ascii="Times New Roman" w:eastAsia="Times New Roman" w:hAnsi="Times New Roman" w:cs="Times New Roman"/>
          <w:iCs/>
          <w:sz w:val="28"/>
          <w:lang w:val="es-ES"/>
        </w:rPr>
        <w:t>).</w:t>
      </w: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p>
    <w:p w:rsidR="002165DD" w:rsidRPr="00E00F43" w:rsidRDefault="00E00F43" w:rsidP="002165DD">
      <w:pPr>
        <w:tabs>
          <w:tab w:val="left" w:pos="567"/>
        </w:tabs>
        <w:spacing w:after="0"/>
        <w:ind w:left="567" w:right="332"/>
        <w:rPr>
          <w:rFonts w:ascii="Times New Roman" w:eastAsia="Times New Roman" w:hAnsi="Times New Roman" w:cs="Times New Roman"/>
          <w:iCs/>
          <w:sz w:val="28"/>
          <w:lang w:val="es-ES"/>
        </w:rPr>
      </w:pPr>
      <w:r w:rsidRPr="00E00F43">
        <w:rPr>
          <w:rFonts w:ascii="Times New Roman" w:eastAsia="Times New Roman" w:hAnsi="Times New Roman" w:cs="Times New Roman"/>
          <w:iCs/>
          <w:sz w:val="28"/>
          <w:lang w:val="es-ES"/>
        </w:rPr>
        <w:t xml:space="preserve">(xiii) Remisión oportuna del tratado y de su ley aprobatoria a la Corte Constitucional (art. 241 núm. 10 </w:t>
      </w:r>
      <w:r w:rsidRPr="00E00F43">
        <w:rPr>
          <w:rFonts w:ascii="Times New Roman" w:eastAsia="Times New Roman" w:hAnsi="Times New Roman" w:cs="Times New Roman"/>
          <w:iCs/>
          <w:sz w:val="28"/>
          <w:lang w:val="es-ES"/>
        </w:rPr>
        <w:t>C.P.</w:t>
      </w:r>
      <w:r w:rsidRPr="00E00F43">
        <w:rPr>
          <w:rFonts w:ascii="Times New Roman" w:eastAsia="Times New Roman" w:hAnsi="Times New Roman" w:cs="Times New Roman"/>
          <w:iCs/>
          <w:sz w:val="28"/>
          <w:lang w:val="es-ES"/>
        </w:rPr>
        <w:t>)”</w:t>
      </w:r>
      <w:r w:rsidRPr="00E00F43">
        <w:rPr>
          <w:rFonts w:ascii="Times New Roman" w:eastAsia="Times New Roman" w:hAnsi="Times New Roman" w:cs="Times New Roman"/>
          <w:iCs/>
          <w:sz w:val="28"/>
          <w:vertAlign w:val="superscript"/>
          <w:lang w:val="es-ES"/>
        </w:rPr>
        <w:footnoteReference w:id="37"/>
      </w:r>
      <w:r w:rsidRPr="00E00F43">
        <w:rPr>
          <w:rFonts w:ascii="Times New Roman" w:eastAsia="Times New Roman" w:hAnsi="Times New Roman" w:cs="Times New Roman"/>
          <w:iCs/>
          <w:sz w:val="28"/>
          <w:lang w:val="es-ES"/>
        </w:rPr>
        <w:t>.</w:t>
      </w:r>
    </w:p>
    <w:p w:rsidR="002165DD" w:rsidRPr="00E00F43" w:rsidRDefault="00E00F43" w:rsidP="002165DD">
      <w:pPr>
        <w:spacing w:after="0"/>
        <w:ind w:right="27"/>
        <w:rPr>
          <w:rFonts w:ascii="Times New Roman" w:eastAsia="Times New Roman" w:hAnsi="Times New Roman" w:cs="Times New Roman"/>
          <w:sz w:val="28"/>
          <w:szCs w:val="24"/>
          <w:lang w:val="es-ES"/>
        </w:rPr>
      </w:pPr>
    </w:p>
    <w:p w:rsidR="00B347AC" w:rsidRPr="00E00F43" w:rsidRDefault="00E00F43" w:rsidP="00A542D4">
      <w:pPr>
        <w:pStyle w:val="Ttulo"/>
        <w:rPr>
          <w:rFonts w:ascii="Times New Roman" w:hAnsi="Times New Roman" w:cs="Times New Roman"/>
          <w:iCs/>
          <w:sz w:val="28"/>
          <w:lang w:eastAsia="es-CO"/>
        </w:rPr>
      </w:pPr>
      <w:r w:rsidRPr="00E00F43">
        <w:rPr>
          <w:rFonts w:ascii="Times New Roman" w:hAnsi="Times New Roman" w:cs="Times New Roman"/>
          <w:sz w:val="28"/>
        </w:rPr>
        <w:t xml:space="preserve"> </w:t>
      </w:r>
      <w:r w:rsidRPr="00E00F43">
        <w:rPr>
          <w:rFonts w:ascii="Times New Roman" w:hAnsi="Times New Roman" w:cs="Times New Roman"/>
          <w:sz w:val="28"/>
        </w:rPr>
        <w:t xml:space="preserve">A la </w:t>
      </w:r>
      <w:r w:rsidRPr="00E00F43">
        <w:rPr>
          <w:rFonts w:ascii="Times New Roman" w:hAnsi="Times New Roman" w:cs="Times New Roman"/>
          <w:sz w:val="28"/>
        </w:rPr>
        <w:t>luz de estos pasos que orientan la discusión y aprobación de un tratado internacional al interior del</w:t>
      </w:r>
      <w:r w:rsidRPr="00E00F43">
        <w:rPr>
          <w:rFonts w:ascii="Times New Roman" w:hAnsi="Times New Roman" w:cs="Times New Roman"/>
          <w:sz w:val="28"/>
        </w:rPr>
        <w:t xml:space="preserve"> Congreso de la República, pasa la Sala a analizar el procedimiento adelantado en el caso del </w:t>
      </w:r>
      <w:r w:rsidRPr="00E00F43">
        <w:rPr>
          <w:rFonts w:ascii="Times New Roman" w:hAnsi="Times New Roman" w:cs="Times New Roman"/>
          <w:sz w:val="28"/>
        </w:rPr>
        <w:t>“Acuerdo Relativo a la Adopción de Reglamentos Técnicos Armon</w:t>
      </w:r>
      <w:r w:rsidRPr="00E00F43">
        <w:rPr>
          <w:rFonts w:ascii="Times New Roman" w:hAnsi="Times New Roman" w:cs="Times New Roman"/>
          <w:sz w:val="28"/>
        </w:rPr>
        <w:t>izados de las Naciones Unidas aplicables a los vehículos de ruedas y los equipos y piezas que puedan montarse o utilizarse en estos, y sobre las condiciones de reconocimiento recíproco de las homologaciones concedidas conforme a dichos reglamentos de las N</w:t>
      </w:r>
      <w:r w:rsidRPr="00E00F43">
        <w:rPr>
          <w:rFonts w:ascii="Times New Roman" w:hAnsi="Times New Roman" w:cs="Times New Roman"/>
          <w:sz w:val="28"/>
        </w:rPr>
        <w:t xml:space="preserve">aciones Unidas”. </w:t>
      </w:r>
      <w:r w:rsidRPr="00E00F43">
        <w:rPr>
          <w:rFonts w:ascii="Times New Roman" w:hAnsi="Times New Roman" w:cs="Times New Roman"/>
          <w:i/>
          <w:sz w:val="28"/>
        </w:rPr>
        <w:t xml:space="preserve"> </w:t>
      </w:r>
    </w:p>
    <w:p w:rsidR="00B347AC" w:rsidRPr="00E00F43" w:rsidRDefault="00E00F43" w:rsidP="00B347AC">
      <w:pPr>
        <w:pStyle w:val="Prrafodelista"/>
        <w:tabs>
          <w:tab w:val="left" w:pos="426"/>
        </w:tabs>
        <w:ind w:left="0"/>
        <w:rPr>
          <w:rFonts w:ascii="Times New Roman" w:hAnsi="Times New Roman" w:cs="Times New Roman"/>
          <w:b/>
          <w:bCs/>
          <w:iCs/>
          <w:sz w:val="28"/>
          <w:szCs w:val="24"/>
          <w:lang w:val="es-ES"/>
        </w:rPr>
      </w:pPr>
    </w:p>
    <w:p w:rsidR="002165DD" w:rsidRPr="00E00F43" w:rsidRDefault="00E00F43">
      <w:pPr>
        <w:pStyle w:val="Prrafodelista"/>
        <w:numPr>
          <w:ilvl w:val="3"/>
          <w:numId w:val="7"/>
        </w:numPr>
        <w:tabs>
          <w:tab w:val="left" w:pos="851"/>
        </w:tabs>
        <w:ind w:left="0" w:firstLine="0"/>
        <w:rPr>
          <w:rFonts w:ascii="Times New Roman" w:hAnsi="Times New Roman" w:cs="Times New Roman"/>
          <w:iCs/>
          <w:sz w:val="28"/>
          <w:szCs w:val="24"/>
          <w:lang w:val="es-ES" w:eastAsia="es-CO"/>
        </w:rPr>
      </w:pPr>
      <w:r w:rsidRPr="00E00F43">
        <w:rPr>
          <w:rFonts w:ascii="Times New Roman" w:hAnsi="Times New Roman" w:cs="Times New Roman"/>
          <w:b/>
          <w:bCs/>
          <w:iCs/>
          <w:sz w:val="28"/>
          <w:szCs w:val="24"/>
          <w:lang w:val="es-ES"/>
        </w:rPr>
        <w:t>Trámite en el Senado de la República</w:t>
      </w:r>
    </w:p>
    <w:p w:rsidR="002165DD" w:rsidRPr="00E00F43" w:rsidRDefault="00E00F43" w:rsidP="002165DD">
      <w:pPr>
        <w:spacing w:after="0"/>
        <w:rPr>
          <w:rFonts w:ascii="Times New Roman" w:eastAsia="Times New Roman" w:hAnsi="Times New Roman" w:cs="Times New Roman"/>
          <w:bCs/>
          <w:sz w:val="28"/>
          <w:szCs w:val="24"/>
          <w:lang w:val="es-ES"/>
        </w:rPr>
      </w:pPr>
    </w:p>
    <w:p w:rsidR="001255C1" w:rsidRPr="00E00F43" w:rsidRDefault="00E00F43" w:rsidP="00A542D4">
      <w:pPr>
        <w:pStyle w:val="Ttulo"/>
        <w:rPr>
          <w:rFonts w:ascii="Times New Roman" w:hAnsi="Times New Roman" w:cs="Times New Roman"/>
          <w:sz w:val="28"/>
        </w:rPr>
      </w:pPr>
      <w:r w:rsidRPr="00E00F43">
        <w:rPr>
          <w:rFonts w:ascii="Times New Roman" w:hAnsi="Times New Roman" w:cs="Times New Roman"/>
          <w:i/>
          <w:iCs/>
          <w:sz w:val="28"/>
        </w:rPr>
        <w:t xml:space="preserve"> </w:t>
      </w:r>
      <w:r w:rsidRPr="00E00F43">
        <w:rPr>
          <w:rFonts w:ascii="Times New Roman" w:hAnsi="Times New Roman" w:cs="Times New Roman"/>
          <w:i/>
          <w:iCs/>
          <w:sz w:val="28"/>
        </w:rPr>
        <w:t>Inicio.</w:t>
      </w:r>
      <w:r w:rsidRPr="00E00F43">
        <w:rPr>
          <w:rFonts w:ascii="Times New Roman" w:hAnsi="Times New Roman" w:cs="Times New Roman"/>
          <w:sz w:val="28"/>
        </w:rPr>
        <w:t xml:space="preserve"> En cumplimiento del artículo 154 superior y tratándose de un tratado internacional, el </w:t>
      </w:r>
      <w:r w:rsidRPr="00E00F43">
        <w:rPr>
          <w:rFonts w:ascii="Times New Roman" w:hAnsi="Times New Roman" w:cs="Times New Roman"/>
          <w:sz w:val="28"/>
        </w:rPr>
        <w:t>24 de febrero de 2022,</w:t>
      </w:r>
      <w:r w:rsidRPr="00E00F43">
        <w:rPr>
          <w:rFonts w:ascii="Times New Roman" w:hAnsi="Times New Roman" w:cs="Times New Roman"/>
          <w:sz w:val="28"/>
        </w:rPr>
        <w:t xml:space="preserve"> la ministra de </w:t>
      </w:r>
      <w:r w:rsidRPr="00E00F43">
        <w:rPr>
          <w:rFonts w:ascii="Times New Roman" w:hAnsi="Times New Roman" w:cs="Times New Roman"/>
          <w:sz w:val="28"/>
        </w:rPr>
        <w:t>r</w:t>
      </w:r>
      <w:r w:rsidRPr="00E00F43">
        <w:rPr>
          <w:rFonts w:ascii="Times New Roman" w:hAnsi="Times New Roman" w:cs="Times New Roman"/>
          <w:sz w:val="28"/>
        </w:rPr>
        <w:t xml:space="preserve">elaciones </w:t>
      </w:r>
      <w:r w:rsidRPr="00E00F43">
        <w:rPr>
          <w:rFonts w:ascii="Times New Roman" w:hAnsi="Times New Roman" w:cs="Times New Roman"/>
          <w:sz w:val="28"/>
        </w:rPr>
        <w:t>e</w:t>
      </w:r>
      <w:r w:rsidRPr="00E00F43">
        <w:rPr>
          <w:rFonts w:ascii="Times New Roman" w:hAnsi="Times New Roman" w:cs="Times New Roman"/>
          <w:sz w:val="28"/>
        </w:rPr>
        <w:t xml:space="preserve">xteriores, </w:t>
      </w:r>
      <w:r w:rsidRPr="00E00F43">
        <w:rPr>
          <w:rFonts w:ascii="Times New Roman" w:hAnsi="Times New Roman" w:cs="Times New Roman"/>
          <w:sz w:val="28"/>
        </w:rPr>
        <w:t xml:space="preserve">Martha Lucía Ramírez Blanco, el ministro </w:t>
      </w:r>
      <w:r w:rsidRPr="00E00F43">
        <w:rPr>
          <w:rFonts w:ascii="Times New Roman" w:hAnsi="Times New Roman" w:cs="Times New Roman"/>
          <w:sz w:val="28"/>
        </w:rPr>
        <w:t xml:space="preserve">de </w:t>
      </w:r>
      <w:r w:rsidRPr="00E00F43">
        <w:rPr>
          <w:rFonts w:ascii="Times New Roman" w:hAnsi="Times New Roman" w:cs="Times New Roman"/>
          <w:sz w:val="28"/>
        </w:rPr>
        <w:t>A</w:t>
      </w:r>
      <w:r w:rsidRPr="00E00F43">
        <w:rPr>
          <w:rFonts w:ascii="Times New Roman" w:hAnsi="Times New Roman" w:cs="Times New Roman"/>
          <w:sz w:val="28"/>
        </w:rPr>
        <w:t xml:space="preserve">mbiente y </w:t>
      </w:r>
      <w:r w:rsidRPr="00E00F43">
        <w:rPr>
          <w:rFonts w:ascii="Times New Roman" w:hAnsi="Times New Roman" w:cs="Times New Roman"/>
          <w:sz w:val="28"/>
        </w:rPr>
        <w:t>D</w:t>
      </w:r>
      <w:r w:rsidRPr="00E00F43">
        <w:rPr>
          <w:rFonts w:ascii="Times New Roman" w:hAnsi="Times New Roman" w:cs="Times New Roman"/>
          <w:sz w:val="28"/>
        </w:rPr>
        <w:t xml:space="preserve">esarrollo </w:t>
      </w:r>
      <w:r w:rsidRPr="00E00F43">
        <w:rPr>
          <w:rFonts w:ascii="Times New Roman" w:hAnsi="Times New Roman" w:cs="Times New Roman"/>
          <w:sz w:val="28"/>
        </w:rPr>
        <w:t>S</w:t>
      </w:r>
      <w:r w:rsidRPr="00E00F43">
        <w:rPr>
          <w:rFonts w:ascii="Times New Roman" w:hAnsi="Times New Roman" w:cs="Times New Roman"/>
          <w:sz w:val="28"/>
        </w:rPr>
        <w:t xml:space="preserve">ostenible, Carlos Eduardo Correa Escaf, y la ministra de </w:t>
      </w:r>
      <w:r w:rsidRPr="00E00F43">
        <w:rPr>
          <w:rFonts w:ascii="Times New Roman" w:hAnsi="Times New Roman" w:cs="Times New Roman"/>
          <w:sz w:val="28"/>
        </w:rPr>
        <w:t>T</w:t>
      </w:r>
      <w:r w:rsidRPr="00E00F43">
        <w:rPr>
          <w:rFonts w:ascii="Times New Roman" w:hAnsi="Times New Roman" w:cs="Times New Roman"/>
          <w:sz w:val="28"/>
        </w:rPr>
        <w:t>ransporte, Ángela María Orozco Gómez</w:t>
      </w:r>
      <w:r w:rsidRPr="00E00F43">
        <w:rPr>
          <w:rFonts w:ascii="Times New Roman" w:hAnsi="Times New Roman" w:cs="Times New Roman"/>
          <w:sz w:val="28"/>
        </w:rPr>
        <w:t>, autorizaron y presentaron el proyecto de ley aprobatorio del “Acuerdo Relativo a la Adopción de Reglamentos Técnicos Armonizados de la</w:t>
      </w:r>
      <w:r w:rsidRPr="00E00F43">
        <w:rPr>
          <w:rFonts w:ascii="Times New Roman" w:hAnsi="Times New Roman" w:cs="Times New Roman"/>
          <w:sz w:val="28"/>
        </w:rPr>
        <w:t>s Naciones Unidas aplicables a los vehículos de ruedas y los equipos y piezas que puedan montarse o utilizarse en estos, y sobre las condiciones de reconocimiento recíproco de las homologaciones concedidas conforme a dichos reglamentos de las Naciones Unid</w:t>
      </w:r>
      <w:r w:rsidRPr="00E00F43">
        <w:rPr>
          <w:rFonts w:ascii="Times New Roman" w:hAnsi="Times New Roman" w:cs="Times New Roman"/>
          <w:sz w:val="28"/>
        </w:rPr>
        <w:t>as”, a efectos de que fuera sometido a consideración del Congreso de la República</w:t>
      </w:r>
      <w:r w:rsidRPr="00E00F43">
        <w:rPr>
          <w:rFonts w:ascii="Times New Roman" w:hAnsi="Times New Roman" w:cs="Times New Roman"/>
          <w:sz w:val="28"/>
          <w:vertAlign w:val="superscript"/>
        </w:rPr>
        <w:footnoteReference w:id="38"/>
      </w:r>
      <w:r w:rsidRPr="00E00F43">
        <w:rPr>
          <w:rFonts w:ascii="Times New Roman" w:hAnsi="Times New Roman" w:cs="Times New Roman"/>
          <w:sz w:val="28"/>
        </w:rPr>
        <w:t>.</w:t>
      </w:r>
      <w:r w:rsidRPr="00E00F43">
        <w:rPr>
          <w:rFonts w:ascii="Times New Roman" w:hAnsi="Times New Roman" w:cs="Times New Roman"/>
          <w:sz w:val="28"/>
        </w:rPr>
        <w:t xml:space="preserve"> Así, el proyecto fue radicado en la Secretaría General del Senado el </w:t>
      </w:r>
      <w:r w:rsidRPr="00E00F43">
        <w:rPr>
          <w:rFonts w:ascii="Times New Roman" w:hAnsi="Times New Roman" w:cs="Times New Roman"/>
          <w:sz w:val="28"/>
        </w:rPr>
        <w:t xml:space="preserve">22 de marzo </w:t>
      </w:r>
      <w:r w:rsidRPr="00E00F43">
        <w:rPr>
          <w:rFonts w:ascii="Times New Roman" w:hAnsi="Times New Roman" w:cs="Times New Roman"/>
          <w:sz w:val="28"/>
        </w:rPr>
        <w:t>de 202</w:t>
      </w:r>
      <w:r w:rsidRPr="00E00F43">
        <w:rPr>
          <w:rFonts w:ascii="Times New Roman" w:hAnsi="Times New Roman" w:cs="Times New Roman"/>
          <w:sz w:val="28"/>
        </w:rPr>
        <w:t>2</w:t>
      </w:r>
      <w:r w:rsidRPr="00E00F43">
        <w:rPr>
          <w:rFonts w:ascii="Times New Roman" w:hAnsi="Times New Roman" w:cs="Times New Roman"/>
          <w:sz w:val="28"/>
        </w:rPr>
        <w:t xml:space="preserve">, donde se le asignó el número </w:t>
      </w:r>
      <w:r w:rsidRPr="00E00F43">
        <w:rPr>
          <w:rFonts w:ascii="Times New Roman" w:hAnsi="Times New Roman" w:cs="Times New Roman"/>
          <w:sz w:val="28"/>
        </w:rPr>
        <w:t>33</w:t>
      </w:r>
      <w:r w:rsidRPr="00E00F43">
        <w:rPr>
          <w:rFonts w:ascii="Times New Roman" w:hAnsi="Times New Roman" w:cs="Times New Roman"/>
          <w:sz w:val="28"/>
        </w:rPr>
        <w:t>5</w:t>
      </w:r>
      <w:r w:rsidRPr="00E00F43">
        <w:rPr>
          <w:rFonts w:ascii="Times New Roman" w:hAnsi="Times New Roman" w:cs="Times New Roman"/>
          <w:sz w:val="28"/>
        </w:rPr>
        <w:t xml:space="preserve"> </w:t>
      </w:r>
      <w:r w:rsidRPr="00E00F43">
        <w:rPr>
          <w:rFonts w:ascii="Times New Roman" w:hAnsi="Times New Roman" w:cs="Times New Roman"/>
          <w:sz w:val="28"/>
        </w:rPr>
        <w:t>de 202</w:t>
      </w:r>
      <w:r w:rsidRPr="00E00F43">
        <w:rPr>
          <w:rFonts w:ascii="Times New Roman" w:hAnsi="Times New Roman" w:cs="Times New Roman"/>
          <w:sz w:val="28"/>
        </w:rPr>
        <w:t>2</w:t>
      </w:r>
      <w:r w:rsidRPr="00E00F43">
        <w:rPr>
          <w:rFonts w:ascii="Times New Roman" w:hAnsi="Times New Roman" w:cs="Times New Roman"/>
          <w:sz w:val="28"/>
          <w:vertAlign w:val="superscript"/>
        </w:rPr>
        <w:footnoteReference w:id="39"/>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 xml:space="preserve">El proyecto fue repartido a la </w:t>
      </w:r>
      <w:r w:rsidRPr="00E00F43">
        <w:rPr>
          <w:rFonts w:ascii="Times New Roman" w:hAnsi="Times New Roman" w:cs="Times New Roman"/>
          <w:sz w:val="28"/>
        </w:rPr>
        <w:t>c</w:t>
      </w:r>
      <w:r w:rsidRPr="00E00F43">
        <w:rPr>
          <w:rFonts w:ascii="Times New Roman" w:hAnsi="Times New Roman" w:cs="Times New Roman"/>
          <w:sz w:val="28"/>
        </w:rPr>
        <w:t xml:space="preserve">omisión </w:t>
      </w:r>
      <w:r w:rsidRPr="00E00F43">
        <w:rPr>
          <w:rFonts w:ascii="Times New Roman" w:hAnsi="Times New Roman" w:cs="Times New Roman"/>
          <w:sz w:val="28"/>
        </w:rPr>
        <w:t>S</w:t>
      </w:r>
      <w:r w:rsidRPr="00E00F43">
        <w:rPr>
          <w:rFonts w:ascii="Times New Roman" w:hAnsi="Times New Roman" w:cs="Times New Roman"/>
          <w:sz w:val="28"/>
        </w:rPr>
        <w:t>egunda del Senado, competente para tramitar proyectos de ley mediante los cuales se aprueban tratados internacionales suscritos por el Estado colombiano</w:t>
      </w:r>
      <w:r w:rsidRPr="00E00F43">
        <w:rPr>
          <w:rFonts w:ascii="Times New Roman" w:hAnsi="Times New Roman" w:cs="Times New Roman"/>
          <w:sz w:val="28"/>
        </w:rPr>
        <w:t xml:space="preserve">. </w:t>
      </w:r>
      <w:r w:rsidRPr="00E00F43">
        <w:rPr>
          <w:rFonts w:ascii="Times New Roman" w:hAnsi="Times New Roman" w:cs="Times New Roman"/>
          <w:sz w:val="28"/>
        </w:rPr>
        <w:t>La publicación oficial del proyecto y su exposición de motivos consta en la Gaceta del Congre</w:t>
      </w:r>
      <w:r w:rsidRPr="00E00F43">
        <w:rPr>
          <w:rFonts w:ascii="Times New Roman" w:hAnsi="Times New Roman" w:cs="Times New Roman"/>
          <w:sz w:val="28"/>
        </w:rPr>
        <w:t>so</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225 </w:t>
      </w:r>
      <w:r w:rsidRPr="00E00F43">
        <w:rPr>
          <w:rFonts w:ascii="Times New Roman" w:hAnsi="Times New Roman" w:cs="Times New Roman"/>
          <w:sz w:val="28"/>
        </w:rPr>
        <w:t xml:space="preserve">del </w:t>
      </w:r>
      <w:r w:rsidRPr="00E00F43">
        <w:rPr>
          <w:rFonts w:ascii="Times New Roman" w:hAnsi="Times New Roman" w:cs="Times New Roman"/>
          <w:sz w:val="28"/>
        </w:rPr>
        <w:t>19 de marzo de 2022</w:t>
      </w:r>
      <w:r w:rsidRPr="00E00F43">
        <w:rPr>
          <w:rFonts w:ascii="Times New Roman" w:hAnsi="Times New Roman" w:cs="Times New Roman"/>
          <w:sz w:val="28"/>
          <w:vertAlign w:val="superscript"/>
        </w:rPr>
        <w:footnoteReference w:id="40"/>
      </w:r>
      <w:r w:rsidRPr="00E00F43">
        <w:rPr>
          <w:rFonts w:ascii="Times New Roman" w:hAnsi="Times New Roman" w:cs="Times New Roman"/>
          <w:sz w:val="28"/>
        </w:rPr>
        <w:t>.</w:t>
      </w:r>
    </w:p>
    <w:p w:rsidR="001255C1" w:rsidRPr="00E00F43" w:rsidRDefault="00E00F43" w:rsidP="00A542D4">
      <w:pPr>
        <w:pStyle w:val="Ttulo"/>
        <w:numPr>
          <w:ilvl w:val="0"/>
          <w:numId w:val="0"/>
        </w:numPr>
        <w:rPr>
          <w:rFonts w:ascii="Times New Roman" w:hAnsi="Times New Roman" w:cs="Times New Roman"/>
          <w:sz w:val="28"/>
        </w:rPr>
      </w:pPr>
    </w:p>
    <w:p w:rsidR="001255C1" w:rsidRPr="00E00F43" w:rsidRDefault="00E00F43" w:rsidP="00A542D4">
      <w:pPr>
        <w:pStyle w:val="Ttulo"/>
        <w:rPr>
          <w:rFonts w:ascii="Times New Roman" w:hAnsi="Times New Roman" w:cs="Times New Roman"/>
          <w:sz w:val="28"/>
        </w:rPr>
      </w:pPr>
      <w:r w:rsidRPr="00E00F43">
        <w:rPr>
          <w:rFonts w:ascii="Times New Roman" w:hAnsi="Times New Roman" w:cs="Times New Roman"/>
          <w:i/>
          <w:iCs/>
          <w:sz w:val="28"/>
        </w:rPr>
        <w:t xml:space="preserve"> </w:t>
      </w:r>
      <w:r w:rsidRPr="00E00F43">
        <w:rPr>
          <w:rFonts w:ascii="Times New Roman" w:hAnsi="Times New Roman" w:cs="Times New Roman"/>
          <w:i/>
          <w:iCs/>
          <w:sz w:val="28"/>
        </w:rPr>
        <w:t xml:space="preserve">Ponencia para primer debate. </w:t>
      </w:r>
      <w:r w:rsidRPr="00E00F43">
        <w:rPr>
          <w:rFonts w:ascii="Times New Roman" w:hAnsi="Times New Roman" w:cs="Times New Roman"/>
          <w:sz w:val="28"/>
        </w:rPr>
        <w:t>F</w:t>
      </w:r>
      <w:r w:rsidRPr="00E00F43">
        <w:rPr>
          <w:rFonts w:ascii="Times New Roman" w:hAnsi="Times New Roman" w:cs="Times New Roman"/>
          <w:sz w:val="28"/>
        </w:rPr>
        <w:t xml:space="preserve">ue elaborada por la senadora Paola Holguín Moreno ante la designación </w:t>
      </w:r>
      <w:r w:rsidRPr="00E00F43">
        <w:rPr>
          <w:rFonts w:ascii="Times New Roman" w:hAnsi="Times New Roman" w:cs="Times New Roman"/>
          <w:sz w:val="28"/>
        </w:rPr>
        <w:t>de</w:t>
      </w:r>
      <w:r w:rsidRPr="00E00F43">
        <w:rPr>
          <w:rFonts w:ascii="Times New Roman" w:hAnsi="Times New Roman" w:cs="Times New Roman"/>
          <w:sz w:val="28"/>
        </w:rPr>
        <w:t xml:space="preserve"> la </w:t>
      </w:r>
      <w:r w:rsidRPr="00E00F43">
        <w:rPr>
          <w:rFonts w:ascii="Times New Roman" w:hAnsi="Times New Roman" w:cs="Times New Roman"/>
          <w:sz w:val="28"/>
        </w:rPr>
        <w:t>m</w:t>
      </w:r>
      <w:r w:rsidRPr="00E00F43">
        <w:rPr>
          <w:rFonts w:ascii="Times New Roman" w:hAnsi="Times New Roman" w:cs="Times New Roman"/>
          <w:sz w:val="28"/>
        </w:rPr>
        <w:t xml:space="preserve">esa </w:t>
      </w:r>
      <w:r w:rsidRPr="00E00F43">
        <w:rPr>
          <w:rFonts w:ascii="Times New Roman" w:hAnsi="Times New Roman" w:cs="Times New Roman"/>
          <w:sz w:val="28"/>
        </w:rPr>
        <w:t>d</w:t>
      </w:r>
      <w:r w:rsidRPr="00E00F43">
        <w:rPr>
          <w:rFonts w:ascii="Times New Roman" w:hAnsi="Times New Roman" w:cs="Times New Roman"/>
          <w:sz w:val="28"/>
        </w:rPr>
        <w:t xml:space="preserve">irectiva de la </w:t>
      </w:r>
      <w:r w:rsidRPr="00E00F43">
        <w:rPr>
          <w:rFonts w:ascii="Times New Roman" w:hAnsi="Times New Roman" w:cs="Times New Roman"/>
          <w:sz w:val="28"/>
        </w:rPr>
        <w:t>c</w:t>
      </w:r>
      <w:r w:rsidRPr="00E00F43">
        <w:rPr>
          <w:rFonts w:ascii="Times New Roman" w:hAnsi="Times New Roman" w:cs="Times New Roman"/>
          <w:sz w:val="28"/>
        </w:rPr>
        <w:t xml:space="preserve">omisión </w:t>
      </w:r>
      <w:r w:rsidRPr="00E00F43">
        <w:rPr>
          <w:rFonts w:ascii="Times New Roman" w:hAnsi="Times New Roman" w:cs="Times New Roman"/>
          <w:sz w:val="28"/>
        </w:rPr>
        <w:t>s</w:t>
      </w:r>
      <w:r w:rsidRPr="00E00F43">
        <w:rPr>
          <w:rFonts w:ascii="Times New Roman" w:hAnsi="Times New Roman" w:cs="Times New Roman"/>
          <w:sz w:val="28"/>
        </w:rPr>
        <w:t>egunda del Senado. La mencionada senadora rindió concepto favorable, el cual fue</w:t>
      </w:r>
      <w:r w:rsidRPr="00E00F43">
        <w:rPr>
          <w:rFonts w:ascii="Times New Roman" w:hAnsi="Times New Roman" w:cs="Times New Roman"/>
          <w:sz w:val="28"/>
        </w:rPr>
        <w:t xml:space="preserve"> publicado en la Gaceta del Congreso</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409</w:t>
      </w:r>
      <w:r w:rsidRPr="00E00F43">
        <w:rPr>
          <w:rFonts w:ascii="Times New Roman" w:hAnsi="Times New Roman" w:cs="Times New Roman"/>
          <w:sz w:val="28"/>
        </w:rPr>
        <w:t xml:space="preserve"> del </w:t>
      </w:r>
      <w:r w:rsidRPr="00E00F43">
        <w:rPr>
          <w:rFonts w:ascii="Times New Roman" w:hAnsi="Times New Roman" w:cs="Times New Roman"/>
          <w:sz w:val="28"/>
        </w:rPr>
        <w:t>4 de mayo de 2022</w:t>
      </w:r>
      <w:r w:rsidRPr="00E00F43">
        <w:rPr>
          <w:rFonts w:ascii="Times New Roman" w:hAnsi="Times New Roman" w:cs="Times New Roman"/>
          <w:sz w:val="28"/>
          <w:vertAlign w:val="superscript"/>
        </w:rPr>
        <w:footnoteReference w:id="41"/>
      </w:r>
      <w:r w:rsidRPr="00E00F43">
        <w:rPr>
          <w:rFonts w:ascii="Times New Roman" w:hAnsi="Times New Roman" w:cs="Times New Roman"/>
          <w:sz w:val="28"/>
        </w:rPr>
        <w:t>.</w:t>
      </w:r>
      <w:r w:rsidRPr="00E00F43">
        <w:rPr>
          <w:rFonts w:ascii="Times New Roman" w:hAnsi="Times New Roman" w:cs="Times New Roman"/>
          <w:sz w:val="28"/>
        </w:rPr>
        <w:t xml:space="preserve"> </w:t>
      </w:r>
    </w:p>
    <w:p w:rsidR="001255C1" w:rsidRPr="00E00F43" w:rsidRDefault="00E00F43" w:rsidP="00A542D4">
      <w:pPr>
        <w:pStyle w:val="Ttulo"/>
        <w:numPr>
          <w:ilvl w:val="0"/>
          <w:numId w:val="0"/>
        </w:numPr>
        <w:rPr>
          <w:rFonts w:ascii="Times New Roman" w:hAnsi="Times New Roman" w:cs="Times New Roman"/>
          <w:i/>
          <w:iCs/>
          <w:sz w:val="28"/>
        </w:rPr>
      </w:pPr>
    </w:p>
    <w:p w:rsidR="003818D6" w:rsidRPr="00E00F43" w:rsidRDefault="00E00F43" w:rsidP="00A542D4">
      <w:pPr>
        <w:pStyle w:val="Ttulo"/>
        <w:rPr>
          <w:rFonts w:ascii="Times New Roman" w:hAnsi="Times New Roman" w:cs="Times New Roman"/>
          <w:sz w:val="28"/>
        </w:rPr>
      </w:pPr>
      <w:r w:rsidRPr="00E00F43">
        <w:rPr>
          <w:rFonts w:ascii="Times New Roman" w:hAnsi="Times New Roman" w:cs="Times New Roman"/>
          <w:i/>
          <w:iCs/>
          <w:sz w:val="28"/>
        </w:rPr>
        <w:t xml:space="preserve"> </w:t>
      </w:r>
      <w:r w:rsidRPr="00E00F43">
        <w:rPr>
          <w:rFonts w:ascii="Times New Roman" w:hAnsi="Times New Roman" w:cs="Times New Roman"/>
          <w:i/>
          <w:iCs/>
          <w:sz w:val="28"/>
        </w:rPr>
        <w:t xml:space="preserve">Anuncio para primer debate. </w:t>
      </w:r>
      <w:r w:rsidRPr="00E00F43">
        <w:rPr>
          <w:rFonts w:ascii="Times New Roman" w:hAnsi="Times New Roman" w:cs="Times New Roman"/>
          <w:sz w:val="28"/>
        </w:rPr>
        <w:t xml:space="preserve">El proyecto de ley </w:t>
      </w:r>
      <w:r w:rsidRPr="00E00F43">
        <w:rPr>
          <w:rFonts w:ascii="Times New Roman" w:hAnsi="Times New Roman" w:cs="Times New Roman"/>
          <w:sz w:val="28"/>
        </w:rPr>
        <w:t>335</w:t>
      </w:r>
      <w:r w:rsidRPr="00E00F43">
        <w:rPr>
          <w:rFonts w:ascii="Times New Roman" w:hAnsi="Times New Roman" w:cs="Times New Roman"/>
          <w:sz w:val="28"/>
        </w:rPr>
        <w:t xml:space="preserve"> de 202</w:t>
      </w:r>
      <w:r w:rsidRPr="00E00F43">
        <w:rPr>
          <w:rFonts w:ascii="Times New Roman" w:hAnsi="Times New Roman" w:cs="Times New Roman"/>
          <w:sz w:val="28"/>
        </w:rPr>
        <w:t>2</w:t>
      </w:r>
      <w:r w:rsidRPr="00E00F43">
        <w:rPr>
          <w:rFonts w:ascii="Times New Roman" w:hAnsi="Times New Roman" w:cs="Times New Roman"/>
          <w:sz w:val="28"/>
        </w:rPr>
        <w:t xml:space="preserve"> fue anunciado para primer debate en la </w:t>
      </w:r>
      <w:r w:rsidRPr="00E00F43">
        <w:rPr>
          <w:rFonts w:ascii="Times New Roman" w:hAnsi="Times New Roman" w:cs="Times New Roman"/>
          <w:sz w:val="28"/>
        </w:rPr>
        <w:t>c</w:t>
      </w:r>
      <w:r w:rsidRPr="00E00F43">
        <w:rPr>
          <w:rFonts w:ascii="Times New Roman" w:hAnsi="Times New Roman" w:cs="Times New Roman"/>
          <w:sz w:val="28"/>
        </w:rPr>
        <w:t xml:space="preserve">omisión </w:t>
      </w:r>
      <w:r w:rsidRPr="00E00F43">
        <w:rPr>
          <w:rFonts w:ascii="Times New Roman" w:hAnsi="Times New Roman" w:cs="Times New Roman"/>
          <w:sz w:val="28"/>
        </w:rPr>
        <w:t>s</w:t>
      </w:r>
      <w:r w:rsidRPr="00E00F43">
        <w:rPr>
          <w:rFonts w:ascii="Times New Roman" w:hAnsi="Times New Roman" w:cs="Times New Roman"/>
          <w:sz w:val="28"/>
        </w:rPr>
        <w:t xml:space="preserve">egunda del Senado en la sesión ordinaria del </w:t>
      </w:r>
      <w:r w:rsidRPr="00E00F43">
        <w:rPr>
          <w:rFonts w:ascii="Times New Roman" w:hAnsi="Times New Roman" w:cs="Times New Roman"/>
          <w:sz w:val="28"/>
        </w:rPr>
        <w:t>10 de mayo de 2022</w:t>
      </w:r>
      <w:r w:rsidRPr="00E00F43">
        <w:rPr>
          <w:rFonts w:ascii="Times New Roman" w:hAnsi="Times New Roman" w:cs="Times New Roman"/>
          <w:sz w:val="28"/>
        </w:rPr>
        <w:t xml:space="preserve">, indicando que la discusión y votación de este se llevaría a cabo “en la próxima sesión” de </w:t>
      </w:r>
      <w:r w:rsidRPr="00E00F43">
        <w:rPr>
          <w:rFonts w:ascii="Times New Roman" w:hAnsi="Times New Roman" w:cs="Times New Roman"/>
          <w:sz w:val="28"/>
        </w:rPr>
        <w:t>esa</w:t>
      </w:r>
      <w:r w:rsidRPr="00E00F43">
        <w:rPr>
          <w:rFonts w:ascii="Times New Roman" w:hAnsi="Times New Roman" w:cs="Times New Roman"/>
          <w:sz w:val="28"/>
        </w:rPr>
        <w:t xml:space="preserve"> </w:t>
      </w:r>
      <w:r w:rsidRPr="00E00F43">
        <w:rPr>
          <w:rFonts w:ascii="Times New Roman" w:hAnsi="Times New Roman" w:cs="Times New Roman"/>
          <w:sz w:val="28"/>
        </w:rPr>
        <w:t>c</w:t>
      </w:r>
      <w:r w:rsidRPr="00E00F43">
        <w:rPr>
          <w:rFonts w:ascii="Times New Roman" w:hAnsi="Times New Roman" w:cs="Times New Roman"/>
          <w:sz w:val="28"/>
        </w:rPr>
        <w:t>omisión, tal como consta en el Acta</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22</w:t>
      </w:r>
      <w:r w:rsidRPr="00E00F43">
        <w:rPr>
          <w:rFonts w:ascii="Times New Roman" w:hAnsi="Times New Roman" w:cs="Times New Roman"/>
          <w:sz w:val="28"/>
        </w:rPr>
        <w:t xml:space="preserve"> del </w:t>
      </w:r>
      <w:r w:rsidRPr="00E00F43">
        <w:rPr>
          <w:rFonts w:ascii="Times New Roman" w:hAnsi="Times New Roman" w:cs="Times New Roman"/>
          <w:sz w:val="28"/>
        </w:rPr>
        <w:t>10 de mayo de 2022</w:t>
      </w:r>
      <w:r w:rsidRPr="00E00F43">
        <w:rPr>
          <w:rFonts w:ascii="Times New Roman" w:hAnsi="Times New Roman" w:cs="Times New Roman"/>
          <w:sz w:val="28"/>
        </w:rPr>
        <w:t>, publicada en la Gaceta del Congreso</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835 del 13 de julio de 2022</w:t>
      </w:r>
      <w:r w:rsidRPr="00E00F43">
        <w:rPr>
          <w:rFonts w:ascii="Times New Roman" w:hAnsi="Times New Roman" w:cs="Times New Roman"/>
          <w:sz w:val="28"/>
          <w:vertAlign w:val="superscript"/>
        </w:rPr>
        <w:footnoteReference w:id="42"/>
      </w:r>
      <w:r w:rsidRPr="00E00F43">
        <w:rPr>
          <w:rFonts w:ascii="Times New Roman" w:hAnsi="Times New Roman" w:cs="Times New Roman"/>
          <w:sz w:val="28"/>
        </w:rPr>
        <w:t>.</w:t>
      </w:r>
      <w:r w:rsidRPr="00E00F43">
        <w:rPr>
          <w:rFonts w:ascii="Times New Roman" w:hAnsi="Times New Roman" w:cs="Times New Roman"/>
          <w:sz w:val="28"/>
        </w:rPr>
        <w:t xml:space="preserve"> </w:t>
      </w:r>
    </w:p>
    <w:p w:rsidR="003818D6" w:rsidRPr="00E00F43" w:rsidRDefault="00E00F43" w:rsidP="00A542D4">
      <w:pPr>
        <w:pStyle w:val="Ttulo"/>
        <w:numPr>
          <w:ilvl w:val="0"/>
          <w:numId w:val="0"/>
        </w:numPr>
        <w:rPr>
          <w:rFonts w:ascii="Times New Roman" w:hAnsi="Times New Roman" w:cs="Times New Roman"/>
          <w:sz w:val="28"/>
        </w:rPr>
      </w:pPr>
    </w:p>
    <w:p w:rsidR="00374EF2" w:rsidRPr="00E00F43" w:rsidRDefault="00E00F43" w:rsidP="00A542D4">
      <w:pPr>
        <w:pStyle w:val="Ttulo"/>
        <w:rPr>
          <w:rFonts w:ascii="Times New Roman" w:hAnsi="Times New Roman" w:cs="Times New Roman"/>
          <w:sz w:val="28"/>
        </w:rPr>
      </w:pPr>
      <w:r w:rsidRPr="00E00F43">
        <w:rPr>
          <w:rFonts w:ascii="Times New Roman" w:hAnsi="Times New Roman" w:cs="Times New Roman"/>
          <w:sz w:val="28"/>
        </w:rPr>
        <w:t xml:space="preserve"> </w:t>
      </w:r>
      <w:r w:rsidRPr="00E00F43">
        <w:rPr>
          <w:rFonts w:ascii="Times New Roman" w:hAnsi="Times New Roman" w:cs="Times New Roman"/>
          <w:sz w:val="28"/>
        </w:rPr>
        <w:t>A propósito</w:t>
      </w:r>
      <w:r w:rsidRPr="00E00F43">
        <w:rPr>
          <w:rFonts w:ascii="Times New Roman" w:hAnsi="Times New Roman" w:cs="Times New Roman"/>
          <w:sz w:val="28"/>
        </w:rPr>
        <w:t xml:space="preserve"> de lo anterior</w:t>
      </w:r>
      <w:r w:rsidRPr="00E00F43">
        <w:rPr>
          <w:rFonts w:ascii="Times New Roman" w:hAnsi="Times New Roman" w:cs="Times New Roman"/>
          <w:sz w:val="28"/>
        </w:rPr>
        <w:t xml:space="preserve">, es importante </w:t>
      </w:r>
      <w:r w:rsidRPr="00E00F43">
        <w:rPr>
          <w:rFonts w:ascii="Times New Roman" w:hAnsi="Times New Roman" w:cs="Times New Roman"/>
          <w:sz w:val="28"/>
        </w:rPr>
        <w:t xml:space="preserve">tener en cuenta </w:t>
      </w:r>
      <w:r w:rsidRPr="00E00F43">
        <w:rPr>
          <w:rFonts w:ascii="Times New Roman" w:hAnsi="Times New Roman" w:cs="Times New Roman"/>
          <w:sz w:val="28"/>
        </w:rPr>
        <w:t>que la jurisprudencia constitucional no exige el uso de fórmulas sacramentales</w:t>
      </w:r>
      <w:r w:rsidRPr="00E00F43">
        <w:rPr>
          <w:rFonts w:ascii="Times New Roman" w:hAnsi="Times New Roman" w:cs="Times New Roman"/>
          <w:sz w:val="28"/>
        </w:rPr>
        <w:t xml:space="preserve"> </w:t>
      </w:r>
      <w:r w:rsidRPr="00E00F43">
        <w:rPr>
          <w:rFonts w:ascii="Times New Roman" w:hAnsi="Times New Roman" w:cs="Times New Roman"/>
          <w:sz w:val="28"/>
        </w:rPr>
        <w:t xml:space="preserve">para </w:t>
      </w:r>
      <w:r w:rsidRPr="00E00F43">
        <w:rPr>
          <w:rFonts w:ascii="Times New Roman" w:hAnsi="Times New Roman" w:cs="Times New Roman"/>
          <w:sz w:val="28"/>
        </w:rPr>
        <w:t xml:space="preserve">el análisis de </w:t>
      </w:r>
      <w:r w:rsidRPr="00E00F43">
        <w:rPr>
          <w:rFonts w:ascii="Times New Roman" w:hAnsi="Times New Roman" w:cs="Times New Roman"/>
          <w:sz w:val="28"/>
        </w:rPr>
        <w:t>este requisito</w:t>
      </w:r>
      <w:r w:rsidRPr="00E00F43">
        <w:rPr>
          <w:rFonts w:ascii="Times New Roman" w:hAnsi="Times New Roman" w:cs="Times New Roman"/>
          <w:sz w:val="28"/>
        </w:rPr>
        <w:t>. Según ha dicho esta Corporación,</w:t>
      </w:r>
      <w:r w:rsidRPr="00E00F43">
        <w:rPr>
          <w:rFonts w:ascii="Times New Roman" w:hAnsi="Times New Roman" w:cs="Times New Roman"/>
          <w:sz w:val="28"/>
        </w:rPr>
        <w:t xml:space="preserve"> </w:t>
      </w:r>
      <w:r w:rsidRPr="00E00F43">
        <w:rPr>
          <w:rFonts w:ascii="Times New Roman" w:hAnsi="Times New Roman" w:cs="Times New Roman"/>
          <w:sz w:val="28"/>
        </w:rPr>
        <w:t xml:space="preserve">es suficiente que </w:t>
      </w:r>
      <w:r w:rsidRPr="00E00F43">
        <w:rPr>
          <w:rFonts w:ascii="Times New Roman" w:hAnsi="Times New Roman" w:cs="Times New Roman"/>
          <w:sz w:val="28"/>
        </w:rPr>
        <w:t>el anuncio, o los anuncios</w:t>
      </w:r>
      <w:r w:rsidRPr="00E00F43">
        <w:rPr>
          <w:rFonts w:ascii="Times New Roman" w:hAnsi="Times New Roman" w:cs="Times New Roman"/>
          <w:sz w:val="28"/>
        </w:rPr>
        <w:t xml:space="preserve"> sucesivos</w:t>
      </w:r>
      <w:r w:rsidRPr="00E00F43">
        <w:rPr>
          <w:rFonts w:ascii="Times New Roman" w:hAnsi="Times New Roman" w:cs="Times New Roman"/>
          <w:sz w:val="28"/>
        </w:rPr>
        <w:t>, tenga</w:t>
      </w:r>
      <w:r w:rsidRPr="00E00F43">
        <w:rPr>
          <w:rFonts w:ascii="Times New Roman" w:hAnsi="Times New Roman" w:cs="Times New Roman"/>
          <w:sz w:val="28"/>
        </w:rPr>
        <w:t>n la entidad</w:t>
      </w:r>
      <w:r w:rsidRPr="00E00F43">
        <w:rPr>
          <w:rFonts w:ascii="Times New Roman" w:hAnsi="Times New Roman" w:cs="Times New Roman"/>
          <w:sz w:val="28"/>
        </w:rPr>
        <w:t xml:space="preserve"> </w:t>
      </w:r>
      <w:r w:rsidRPr="00E00F43">
        <w:rPr>
          <w:rFonts w:ascii="Times New Roman" w:hAnsi="Times New Roman" w:cs="Times New Roman"/>
          <w:sz w:val="28"/>
        </w:rPr>
        <w:t xml:space="preserve">para transmitir inequívocamente la intención de someter a votación un determinado proyecto en una fecha </w:t>
      </w:r>
      <w:r w:rsidRPr="00E00F43">
        <w:rPr>
          <w:rFonts w:ascii="Times New Roman" w:hAnsi="Times New Roman" w:cs="Times New Roman"/>
          <w:sz w:val="28"/>
        </w:rPr>
        <w:t xml:space="preserve">que sea </w:t>
      </w:r>
      <w:r w:rsidRPr="00E00F43">
        <w:rPr>
          <w:rFonts w:ascii="Times New Roman" w:hAnsi="Times New Roman" w:cs="Times New Roman"/>
          <w:sz w:val="28"/>
        </w:rPr>
        <w:t>determinada o determinable</w:t>
      </w:r>
      <w:r w:rsidRPr="00E00F43">
        <w:rPr>
          <w:rFonts w:ascii="Times New Roman" w:hAnsi="Times New Roman" w:cs="Times New Roman"/>
          <w:sz w:val="28"/>
          <w:vertAlign w:val="superscript"/>
        </w:rPr>
        <w:footnoteReference w:id="43"/>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Así, se ha explicado que</w:t>
      </w:r>
      <w:r w:rsidRPr="00E00F43">
        <w:rPr>
          <w:rFonts w:ascii="Times New Roman" w:hAnsi="Times New Roman" w:cs="Times New Roman"/>
          <w:sz w:val="28"/>
        </w:rPr>
        <w:t xml:space="preserve"> en estos eventos la referencia a la “próxima sesión” y la consecutividad de las actas</w:t>
      </w:r>
      <w:r w:rsidRPr="00E00F43">
        <w:rPr>
          <w:rFonts w:ascii="Times New Roman" w:hAnsi="Times New Roman" w:cs="Times New Roman"/>
          <w:sz w:val="28"/>
        </w:rPr>
        <w:t>, por ejemplo,</w:t>
      </w:r>
      <w:r w:rsidRPr="00E00F43">
        <w:rPr>
          <w:rFonts w:ascii="Times New Roman" w:hAnsi="Times New Roman" w:cs="Times New Roman"/>
          <w:sz w:val="28"/>
        </w:rPr>
        <w:t xml:space="preserve"> son criterios que permiten validar el cumplimiento de los anuncios previos y sus propósitos. En ese </w:t>
      </w:r>
      <w:r w:rsidRPr="00E00F43">
        <w:rPr>
          <w:rFonts w:ascii="Times New Roman" w:hAnsi="Times New Roman" w:cs="Times New Roman"/>
          <w:sz w:val="28"/>
        </w:rPr>
        <w:t xml:space="preserve">mismo </w:t>
      </w:r>
      <w:r w:rsidRPr="00E00F43">
        <w:rPr>
          <w:rFonts w:ascii="Times New Roman" w:hAnsi="Times New Roman" w:cs="Times New Roman"/>
          <w:sz w:val="28"/>
        </w:rPr>
        <w:t>sentido, recientemente la Sala Plena recordó que:</w:t>
      </w:r>
      <w:r w:rsidRPr="00E00F43">
        <w:rPr>
          <w:rFonts w:ascii="Times New Roman" w:hAnsi="Times New Roman" w:cs="Times New Roman"/>
          <w:sz w:val="28"/>
        </w:rPr>
        <w:t xml:space="preserve"> </w:t>
      </w:r>
    </w:p>
    <w:p w:rsidR="001255C1" w:rsidRPr="00E00F43" w:rsidRDefault="00E00F43" w:rsidP="00374EF2">
      <w:pPr>
        <w:pStyle w:val="Prrafodelista"/>
        <w:tabs>
          <w:tab w:val="left" w:pos="426"/>
        </w:tabs>
        <w:ind w:left="0"/>
        <w:rPr>
          <w:rFonts w:ascii="Times New Roman" w:hAnsi="Times New Roman" w:cs="Times New Roman"/>
          <w:sz w:val="28"/>
          <w:szCs w:val="24"/>
          <w:lang w:val="es-ES"/>
        </w:rPr>
      </w:pPr>
    </w:p>
    <w:p w:rsidR="00374EF2" w:rsidRPr="00E00F43" w:rsidRDefault="00E00F43" w:rsidP="00374EF2">
      <w:pPr>
        <w:pStyle w:val="Prrafodelista"/>
        <w:tabs>
          <w:tab w:val="left" w:pos="426"/>
        </w:tabs>
        <w:ind w:left="567" w:right="335"/>
        <w:rPr>
          <w:rFonts w:ascii="Times New Roman" w:hAnsi="Times New Roman" w:cs="Times New Roman"/>
          <w:bCs/>
          <w:sz w:val="28"/>
          <w:lang w:val="es-ES" w:eastAsia="es-CO"/>
        </w:rPr>
      </w:pPr>
      <w:r w:rsidRPr="00E00F43">
        <w:rPr>
          <w:rFonts w:ascii="Times New Roman" w:hAnsi="Times New Roman" w:cs="Times New Roman"/>
          <w:bCs/>
          <w:sz w:val="28"/>
          <w:lang w:val="es-ES" w:eastAsia="es-CO"/>
        </w:rPr>
        <w:t>“la consecutividad de las actas puede ser utilizada como criterio para verificar el cumplimiento del requisito del anuncio previo</w:t>
      </w:r>
      <w:r w:rsidRPr="00E00F43">
        <w:rPr>
          <w:rFonts w:ascii="Times New Roman" w:hAnsi="Times New Roman" w:cs="Times New Roman"/>
          <w:bCs/>
          <w:sz w:val="28"/>
          <w:vertAlign w:val="superscript"/>
          <w:lang w:val="es-ES" w:eastAsia="es-CO"/>
        </w:rPr>
        <w:footnoteReference w:id="44"/>
      </w:r>
      <w:r w:rsidRPr="00E00F43">
        <w:rPr>
          <w:rFonts w:ascii="Times New Roman" w:hAnsi="Times New Roman" w:cs="Times New Roman"/>
          <w:bCs/>
          <w:sz w:val="28"/>
          <w:lang w:val="es-ES" w:eastAsia="es-CO"/>
        </w:rPr>
        <w:t>. Por ejemplo, en la sentencia C-947 de 2015, la Corte concluyó que se cumplió con el requisito del anuncio previo porque l</w:t>
      </w:r>
      <w:r w:rsidRPr="00E00F43">
        <w:rPr>
          <w:rFonts w:ascii="Times New Roman" w:hAnsi="Times New Roman" w:cs="Times New Roman"/>
          <w:bCs/>
          <w:sz w:val="28"/>
          <w:lang w:val="es-ES" w:eastAsia="es-CO"/>
        </w:rPr>
        <w:t>a expresión “próxima sesión” era determinable y se acudió al consecutivo de las actas de la sesión plenaria del Senado. Es decir, el número del acta de la sesión en la que se discutió y aprobó el proyecto correspondió al número siguiente del acta en la que</w:t>
      </w:r>
      <w:r w:rsidRPr="00E00F43">
        <w:rPr>
          <w:rFonts w:ascii="Times New Roman" w:hAnsi="Times New Roman" w:cs="Times New Roman"/>
          <w:bCs/>
          <w:sz w:val="28"/>
          <w:lang w:val="es-ES" w:eastAsia="es-CO"/>
        </w:rPr>
        <w:t xml:space="preserve"> se hizo el anuncio previo, mediante el uso de la expresión “próxima sesión”. Por eso, se pudo establecer que el proyecto de ley se votó en la sesión siguiente a aquella en la que se hizo el anuncio. Igualmente, en la sentencia C-408 de 2017, en la que eva</w:t>
      </w:r>
      <w:r w:rsidRPr="00E00F43">
        <w:rPr>
          <w:rFonts w:ascii="Times New Roman" w:hAnsi="Times New Roman" w:cs="Times New Roman"/>
          <w:bCs/>
          <w:sz w:val="28"/>
          <w:lang w:val="es-ES" w:eastAsia="es-CO"/>
        </w:rPr>
        <w:t>luó una reforma a la Ley 5ª de 1992, la Corte concluyó que el proyecto cumplió con el requisito del anuncio previo en uno de los debates, con fundamento en el consecutivo de las actas. La Sala Plena consideró que era posible determinar la fecha en la que s</w:t>
      </w:r>
      <w:r w:rsidRPr="00E00F43">
        <w:rPr>
          <w:rFonts w:ascii="Times New Roman" w:hAnsi="Times New Roman" w:cs="Times New Roman"/>
          <w:bCs/>
          <w:sz w:val="28"/>
          <w:lang w:val="es-ES" w:eastAsia="es-CO"/>
        </w:rPr>
        <w:t>e votaría el proyecto porque la sesión en la que se discutió y aprobó correspondía al número siguiente del acta del anuncio</w:t>
      </w:r>
      <w:r w:rsidRPr="00E00F43">
        <w:rPr>
          <w:rFonts w:ascii="Times New Roman" w:hAnsi="Times New Roman" w:cs="Times New Roman"/>
          <w:bCs/>
          <w:sz w:val="28"/>
          <w:vertAlign w:val="superscript"/>
          <w:lang w:val="es-ES" w:eastAsia="es-CO"/>
        </w:rPr>
        <w:footnoteReference w:id="45"/>
      </w:r>
      <w:r w:rsidRPr="00E00F43">
        <w:rPr>
          <w:rFonts w:ascii="Times New Roman" w:hAnsi="Times New Roman" w:cs="Times New Roman"/>
          <w:bCs/>
          <w:sz w:val="28"/>
          <w:lang w:val="es-ES" w:eastAsia="es-CO"/>
        </w:rPr>
        <w:t>. || Asimismo, el número consecutivo de las actas fue utilizado como criterio para dar por cumplido el requisito del artículo 160 su</w:t>
      </w:r>
      <w:r w:rsidRPr="00E00F43">
        <w:rPr>
          <w:rFonts w:ascii="Times New Roman" w:hAnsi="Times New Roman" w:cs="Times New Roman"/>
          <w:bCs/>
          <w:sz w:val="28"/>
          <w:lang w:val="es-ES" w:eastAsia="es-CO"/>
        </w:rPr>
        <w:t>perior en la sentencia C-165 de 2023, que estudió la constitucionalidad del “Tratado de Marrakech para facilitar el acceso a las obras publicadas a las personas ciegas, con discapacidad visual o con otras dificultades para acceder al texto impreso”. En dic</w:t>
      </w:r>
      <w:r w:rsidRPr="00E00F43">
        <w:rPr>
          <w:rFonts w:ascii="Times New Roman" w:hAnsi="Times New Roman" w:cs="Times New Roman"/>
          <w:bCs/>
          <w:sz w:val="28"/>
          <w:lang w:val="es-ES" w:eastAsia="es-CO"/>
        </w:rPr>
        <w:t>ha ocasión, al analizar un anuncio previo en el que se había empleado la expresión de próxima sesión, se infirió, utilizando como criterio el número consecutivo de las actas, que el proyecto de ley, en efecto, se había debatido y votado en la sesión previa</w:t>
      </w:r>
      <w:r w:rsidRPr="00E00F43">
        <w:rPr>
          <w:rFonts w:ascii="Times New Roman" w:hAnsi="Times New Roman" w:cs="Times New Roman"/>
          <w:bCs/>
          <w:sz w:val="28"/>
          <w:lang w:val="es-ES" w:eastAsia="es-CO"/>
        </w:rPr>
        <w:t>mente anunciada”</w:t>
      </w:r>
      <w:r w:rsidRPr="00E00F43">
        <w:rPr>
          <w:rStyle w:val="Refdenotaalpie"/>
          <w:rFonts w:ascii="Times New Roman" w:hAnsi="Times New Roman"/>
          <w:bCs/>
          <w:sz w:val="28"/>
          <w:lang w:val="es-ES" w:eastAsia="es-CO"/>
        </w:rPr>
        <w:footnoteReference w:id="46"/>
      </w:r>
      <w:r w:rsidRPr="00E00F43">
        <w:rPr>
          <w:rFonts w:ascii="Times New Roman" w:hAnsi="Times New Roman" w:cs="Times New Roman"/>
          <w:bCs/>
          <w:sz w:val="28"/>
          <w:lang w:val="es-ES" w:eastAsia="es-CO"/>
        </w:rPr>
        <w:t>.</w:t>
      </w:r>
    </w:p>
    <w:p w:rsidR="001255C1" w:rsidRPr="00E00F43" w:rsidRDefault="00E00F43" w:rsidP="001255C1">
      <w:pPr>
        <w:pStyle w:val="Prrafodelista"/>
        <w:rPr>
          <w:rFonts w:ascii="Times New Roman" w:hAnsi="Times New Roman" w:cs="Times New Roman"/>
          <w:bCs/>
          <w:i/>
          <w:iCs/>
          <w:sz w:val="28"/>
          <w:szCs w:val="24"/>
          <w:lang w:val="es-ES" w:eastAsia="es-CO"/>
        </w:rPr>
      </w:pPr>
    </w:p>
    <w:p w:rsidR="00374EF2" w:rsidRPr="00E00F43" w:rsidRDefault="00E00F43" w:rsidP="00A542D4">
      <w:pPr>
        <w:pStyle w:val="Ttulo"/>
        <w:rPr>
          <w:rFonts w:ascii="Times New Roman" w:hAnsi="Times New Roman" w:cs="Times New Roman"/>
          <w:sz w:val="28"/>
        </w:rPr>
      </w:pPr>
      <w:r w:rsidRPr="00E00F43">
        <w:rPr>
          <w:rFonts w:ascii="Times New Roman" w:hAnsi="Times New Roman" w:cs="Times New Roman"/>
          <w:i/>
          <w:sz w:val="28"/>
        </w:rPr>
        <w:t xml:space="preserve"> </w:t>
      </w:r>
      <w:r w:rsidRPr="00E00F43">
        <w:rPr>
          <w:rFonts w:ascii="Times New Roman" w:hAnsi="Times New Roman" w:cs="Times New Roman"/>
          <w:sz w:val="28"/>
        </w:rPr>
        <w:t xml:space="preserve">De este modo, la </w:t>
      </w:r>
      <w:r w:rsidRPr="00E00F43">
        <w:rPr>
          <w:rFonts w:ascii="Times New Roman" w:hAnsi="Times New Roman" w:cs="Times New Roman"/>
          <w:sz w:val="28"/>
        </w:rPr>
        <w:t>Sala Plena</w:t>
      </w:r>
      <w:r w:rsidRPr="00E00F43">
        <w:rPr>
          <w:rFonts w:ascii="Times New Roman" w:hAnsi="Times New Roman" w:cs="Times New Roman"/>
          <w:sz w:val="28"/>
        </w:rPr>
        <w:t xml:space="preserve"> reitera el cumplimiento de este requisito</w:t>
      </w:r>
      <w:r w:rsidRPr="00E00F43">
        <w:rPr>
          <w:rFonts w:ascii="Times New Roman" w:hAnsi="Times New Roman" w:cs="Times New Roman"/>
          <w:sz w:val="28"/>
        </w:rPr>
        <w:t xml:space="preserve"> en el caso de la referencia</w:t>
      </w:r>
      <w:r w:rsidRPr="00E00F43">
        <w:rPr>
          <w:rFonts w:ascii="Times New Roman" w:hAnsi="Times New Roman" w:cs="Times New Roman"/>
          <w:sz w:val="28"/>
        </w:rPr>
        <w:t xml:space="preserve"> porque: (i) </w:t>
      </w:r>
      <w:r w:rsidRPr="00E00F43">
        <w:rPr>
          <w:rFonts w:ascii="Times New Roman" w:hAnsi="Times New Roman" w:cs="Times New Roman"/>
          <w:sz w:val="28"/>
        </w:rPr>
        <w:t xml:space="preserve">la mención de </w:t>
      </w:r>
      <w:r w:rsidRPr="00E00F43">
        <w:rPr>
          <w:rFonts w:ascii="Times New Roman" w:hAnsi="Times New Roman" w:cs="Times New Roman"/>
          <w:sz w:val="28"/>
        </w:rPr>
        <w:t>la “próxima sesión” en el anuncio daba lugar a que fuera determinable el momento de la discusión y aprobación</w:t>
      </w:r>
      <w:r w:rsidRPr="00E00F43">
        <w:rPr>
          <w:rFonts w:ascii="Times New Roman" w:hAnsi="Times New Roman" w:cs="Times New Roman"/>
          <w:sz w:val="28"/>
        </w:rPr>
        <w:t xml:space="preserve"> del proyecto de ley</w:t>
      </w:r>
      <w:r w:rsidRPr="00E00F43">
        <w:rPr>
          <w:rFonts w:ascii="Times New Roman" w:hAnsi="Times New Roman" w:cs="Times New Roman"/>
          <w:sz w:val="28"/>
        </w:rPr>
        <w:t>; (ii) en efecto tal convocatoria se cumplió</w:t>
      </w:r>
      <w:r w:rsidRPr="00E00F43">
        <w:rPr>
          <w:rFonts w:ascii="Times New Roman" w:hAnsi="Times New Roman" w:cs="Times New Roman"/>
          <w:sz w:val="28"/>
        </w:rPr>
        <w:t>,</w:t>
      </w:r>
      <w:r w:rsidRPr="00E00F43">
        <w:rPr>
          <w:rFonts w:ascii="Times New Roman" w:hAnsi="Times New Roman" w:cs="Times New Roman"/>
          <w:sz w:val="28"/>
        </w:rPr>
        <w:t xml:space="preserve"> y (iii) </w:t>
      </w:r>
      <w:r w:rsidRPr="00E00F43">
        <w:rPr>
          <w:rFonts w:ascii="Times New Roman" w:hAnsi="Times New Roman" w:cs="Times New Roman"/>
          <w:sz w:val="28"/>
        </w:rPr>
        <w:t>hubo</w:t>
      </w:r>
      <w:r w:rsidRPr="00E00F43">
        <w:rPr>
          <w:rFonts w:ascii="Times New Roman" w:hAnsi="Times New Roman" w:cs="Times New Roman"/>
          <w:sz w:val="28"/>
        </w:rPr>
        <w:t xml:space="preserve"> consecutividad plena en las actas respectivas (22 y 23), como </w:t>
      </w:r>
      <w:r w:rsidRPr="00E00F43">
        <w:rPr>
          <w:rFonts w:ascii="Times New Roman" w:hAnsi="Times New Roman" w:cs="Times New Roman"/>
          <w:sz w:val="28"/>
        </w:rPr>
        <w:t xml:space="preserve">se </w:t>
      </w:r>
      <w:r w:rsidRPr="00E00F43">
        <w:rPr>
          <w:rFonts w:ascii="Times New Roman" w:hAnsi="Times New Roman" w:cs="Times New Roman"/>
          <w:sz w:val="28"/>
        </w:rPr>
        <w:t>verá enseguida</w:t>
      </w:r>
      <w:r w:rsidRPr="00E00F43">
        <w:rPr>
          <w:rFonts w:ascii="Times New Roman" w:hAnsi="Times New Roman" w:cs="Times New Roman"/>
          <w:sz w:val="28"/>
        </w:rPr>
        <w:t xml:space="preserve"> en la revisión del siguiente requisito</w:t>
      </w:r>
      <w:r w:rsidRPr="00E00F43">
        <w:rPr>
          <w:rFonts w:ascii="Times New Roman" w:hAnsi="Times New Roman" w:cs="Times New Roman"/>
          <w:sz w:val="28"/>
        </w:rPr>
        <w:t xml:space="preserve">.  </w:t>
      </w:r>
    </w:p>
    <w:p w:rsidR="00374EF2" w:rsidRPr="00E00F43" w:rsidRDefault="00E00F43" w:rsidP="00374EF2">
      <w:pPr>
        <w:pStyle w:val="Prrafodelista"/>
        <w:tabs>
          <w:tab w:val="left" w:pos="426"/>
        </w:tabs>
        <w:ind w:left="0"/>
        <w:rPr>
          <w:rFonts w:ascii="Times New Roman" w:hAnsi="Times New Roman" w:cs="Times New Roman"/>
          <w:bCs/>
          <w:sz w:val="28"/>
          <w:szCs w:val="24"/>
          <w:lang w:val="es-ES" w:eastAsia="es-CO"/>
        </w:rPr>
      </w:pPr>
    </w:p>
    <w:p w:rsidR="00637592" w:rsidRPr="00E00F43" w:rsidRDefault="00E00F43" w:rsidP="00A542D4">
      <w:pPr>
        <w:pStyle w:val="Ttulo"/>
        <w:rPr>
          <w:rFonts w:ascii="Times New Roman" w:hAnsi="Times New Roman" w:cs="Times New Roman"/>
          <w:sz w:val="28"/>
        </w:rPr>
      </w:pPr>
      <w:r w:rsidRPr="00E00F43">
        <w:rPr>
          <w:rFonts w:ascii="Times New Roman" w:hAnsi="Times New Roman" w:cs="Times New Roman"/>
          <w:i/>
          <w:iCs/>
          <w:sz w:val="28"/>
        </w:rPr>
        <w:t xml:space="preserve"> </w:t>
      </w:r>
      <w:r w:rsidRPr="00E00F43">
        <w:rPr>
          <w:rFonts w:ascii="Times New Roman" w:hAnsi="Times New Roman" w:cs="Times New Roman"/>
          <w:i/>
          <w:iCs/>
          <w:sz w:val="28"/>
        </w:rPr>
        <w:t>Discusión y aprobación</w:t>
      </w:r>
      <w:r w:rsidRPr="00E00F43">
        <w:rPr>
          <w:rFonts w:ascii="Times New Roman" w:hAnsi="Times New Roman" w:cs="Times New Roman"/>
          <w:i/>
          <w:iCs/>
          <w:sz w:val="28"/>
        </w:rPr>
        <w:t xml:space="preserve"> en primer debate</w:t>
      </w:r>
      <w:r w:rsidRPr="00E00F43">
        <w:rPr>
          <w:rFonts w:ascii="Times New Roman" w:hAnsi="Times New Roman" w:cs="Times New Roman"/>
          <w:i/>
          <w:iCs/>
          <w:sz w:val="28"/>
        </w:rPr>
        <w:t xml:space="preserve">. </w:t>
      </w:r>
      <w:r w:rsidRPr="00E00F43">
        <w:rPr>
          <w:rFonts w:ascii="Times New Roman" w:hAnsi="Times New Roman" w:cs="Times New Roman"/>
          <w:sz w:val="28"/>
        </w:rPr>
        <w:t>La discusión</w:t>
      </w:r>
      <w:r w:rsidRPr="00E00F43">
        <w:rPr>
          <w:rFonts w:ascii="Times New Roman" w:hAnsi="Times New Roman" w:cs="Times New Roman"/>
          <w:sz w:val="28"/>
        </w:rPr>
        <w:t xml:space="preserve"> y aprobación del referido proyecto de ley se llev</w:t>
      </w:r>
      <w:r w:rsidRPr="00E00F43">
        <w:rPr>
          <w:rFonts w:ascii="Times New Roman" w:hAnsi="Times New Roman" w:cs="Times New Roman"/>
          <w:sz w:val="28"/>
        </w:rPr>
        <w:t>aron</w:t>
      </w:r>
      <w:r w:rsidRPr="00E00F43">
        <w:rPr>
          <w:rFonts w:ascii="Times New Roman" w:hAnsi="Times New Roman" w:cs="Times New Roman"/>
          <w:sz w:val="28"/>
        </w:rPr>
        <w:t xml:space="preserve"> a cabo en la sesión inmediatamente siguiente a la sesión en que se efectuó el anuncio, esto es, el 17 de </w:t>
      </w:r>
      <w:r w:rsidRPr="00E00F43">
        <w:rPr>
          <w:rFonts w:ascii="Times New Roman" w:hAnsi="Times New Roman" w:cs="Times New Roman"/>
          <w:sz w:val="28"/>
        </w:rPr>
        <w:t>mayo</w:t>
      </w:r>
      <w:r w:rsidRPr="00E00F43">
        <w:rPr>
          <w:rFonts w:ascii="Times New Roman" w:hAnsi="Times New Roman" w:cs="Times New Roman"/>
          <w:sz w:val="28"/>
        </w:rPr>
        <w:t xml:space="preserve"> de 202</w:t>
      </w:r>
      <w:r w:rsidRPr="00E00F43">
        <w:rPr>
          <w:rFonts w:ascii="Times New Roman" w:hAnsi="Times New Roman" w:cs="Times New Roman"/>
          <w:sz w:val="28"/>
        </w:rPr>
        <w:t>2</w:t>
      </w:r>
      <w:r w:rsidRPr="00E00F43">
        <w:rPr>
          <w:rFonts w:ascii="Times New Roman" w:hAnsi="Times New Roman" w:cs="Times New Roman"/>
          <w:sz w:val="28"/>
        </w:rPr>
        <w:t>. Consta en el Acta</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2</w:t>
      </w:r>
      <w:r w:rsidRPr="00E00F43">
        <w:rPr>
          <w:rFonts w:ascii="Times New Roman" w:hAnsi="Times New Roman" w:cs="Times New Roman"/>
          <w:sz w:val="28"/>
        </w:rPr>
        <w:t xml:space="preserve">3 </w:t>
      </w:r>
      <w:r w:rsidRPr="00E00F43">
        <w:rPr>
          <w:rFonts w:ascii="Times New Roman" w:hAnsi="Times New Roman" w:cs="Times New Roman"/>
          <w:sz w:val="28"/>
        </w:rPr>
        <w:t>d</w:t>
      </w:r>
      <w:bookmarkStart w:id="8" w:name="_Hlk103247470"/>
      <w:r w:rsidRPr="00E00F43">
        <w:rPr>
          <w:rFonts w:ascii="Times New Roman" w:hAnsi="Times New Roman" w:cs="Times New Roman"/>
          <w:sz w:val="28"/>
        </w:rPr>
        <w:t xml:space="preserve">el mismo día, expedida por </w:t>
      </w:r>
      <w:bookmarkEnd w:id="8"/>
      <w:r w:rsidRPr="00E00F43">
        <w:rPr>
          <w:rFonts w:ascii="Times New Roman" w:hAnsi="Times New Roman" w:cs="Times New Roman"/>
          <w:sz w:val="28"/>
        </w:rPr>
        <w:t xml:space="preserve">la </w:t>
      </w:r>
      <w:r w:rsidRPr="00E00F43">
        <w:rPr>
          <w:rFonts w:ascii="Times New Roman" w:hAnsi="Times New Roman" w:cs="Times New Roman"/>
          <w:sz w:val="28"/>
        </w:rPr>
        <w:t>c</w:t>
      </w:r>
      <w:r w:rsidRPr="00E00F43">
        <w:rPr>
          <w:rFonts w:ascii="Times New Roman" w:hAnsi="Times New Roman" w:cs="Times New Roman"/>
          <w:sz w:val="28"/>
        </w:rPr>
        <w:t xml:space="preserve">omisión </w:t>
      </w:r>
      <w:r w:rsidRPr="00E00F43">
        <w:rPr>
          <w:rFonts w:ascii="Times New Roman" w:hAnsi="Times New Roman" w:cs="Times New Roman"/>
          <w:sz w:val="28"/>
        </w:rPr>
        <w:t>s</w:t>
      </w:r>
      <w:r w:rsidRPr="00E00F43">
        <w:rPr>
          <w:rFonts w:ascii="Times New Roman" w:hAnsi="Times New Roman" w:cs="Times New Roman"/>
          <w:sz w:val="28"/>
        </w:rPr>
        <w:t>egunda del Senad</w:t>
      </w:r>
      <w:r w:rsidRPr="00E00F43">
        <w:rPr>
          <w:rFonts w:ascii="Times New Roman" w:hAnsi="Times New Roman" w:cs="Times New Roman"/>
          <w:sz w:val="28"/>
        </w:rPr>
        <w:t>o, contenida en la Gaceta del Congreso</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 xml:space="preserve">836 </w:t>
      </w:r>
      <w:r w:rsidRPr="00E00F43">
        <w:rPr>
          <w:rFonts w:ascii="Times New Roman" w:hAnsi="Times New Roman" w:cs="Times New Roman"/>
          <w:sz w:val="28"/>
        </w:rPr>
        <w:t xml:space="preserve">del </w:t>
      </w:r>
      <w:r w:rsidRPr="00E00F43">
        <w:rPr>
          <w:rFonts w:ascii="Times New Roman" w:hAnsi="Times New Roman" w:cs="Times New Roman"/>
          <w:sz w:val="28"/>
        </w:rPr>
        <w:t>13 de julio de 2022</w:t>
      </w:r>
      <w:r w:rsidRPr="00E00F43">
        <w:rPr>
          <w:rFonts w:ascii="Times New Roman" w:hAnsi="Times New Roman" w:cs="Times New Roman"/>
          <w:sz w:val="28"/>
        </w:rPr>
        <w:t>, que el referido proyecto de ley contó con el quórum deliberatorio y decisorio exigido constitucionalmente</w:t>
      </w:r>
      <w:r w:rsidRPr="00E00F43">
        <w:rPr>
          <w:rFonts w:ascii="Times New Roman" w:hAnsi="Times New Roman" w:cs="Times New Roman"/>
          <w:sz w:val="28"/>
          <w:vertAlign w:val="superscript"/>
        </w:rPr>
        <w:footnoteReference w:id="47"/>
      </w:r>
      <w:r w:rsidRPr="00E00F43">
        <w:rPr>
          <w:rFonts w:ascii="Times New Roman" w:hAnsi="Times New Roman" w:cs="Times New Roman"/>
          <w:sz w:val="28"/>
        </w:rPr>
        <w:t>,</w:t>
      </w:r>
      <w:r w:rsidRPr="00E00F43">
        <w:rPr>
          <w:rFonts w:ascii="Times New Roman" w:hAnsi="Times New Roman" w:cs="Times New Roman"/>
          <w:sz w:val="28"/>
        </w:rPr>
        <w:t xml:space="preserve"> pues a la sesión asistieron y participaron en la votación </w:t>
      </w:r>
      <w:r w:rsidRPr="00E00F43">
        <w:rPr>
          <w:rFonts w:ascii="Times New Roman" w:hAnsi="Times New Roman" w:cs="Times New Roman"/>
          <w:sz w:val="28"/>
        </w:rPr>
        <w:t xml:space="preserve">8 </w:t>
      </w:r>
      <w:r w:rsidRPr="00E00F43">
        <w:rPr>
          <w:rFonts w:ascii="Times New Roman" w:hAnsi="Times New Roman" w:cs="Times New Roman"/>
          <w:sz w:val="28"/>
        </w:rPr>
        <w:t xml:space="preserve">de los 13 senadores que integran dicha comisión. </w:t>
      </w:r>
      <w:r w:rsidRPr="00E00F43">
        <w:rPr>
          <w:rFonts w:ascii="Times New Roman" w:hAnsi="Times New Roman" w:cs="Times New Roman"/>
          <w:sz w:val="28"/>
        </w:rPr>
        <w:t>Adicionalmente</w:t>
      </w:r>
      <w:r w:rsidRPr="00E00F43">
        <w:rPr>
          <w:rFonts w:ascii="Times New Roman" w:hAnsi="Times New Roman" w:cs="Times New Roman"/>
          <w:sz w:val="28"/>
        </w:rPr>
        <w:t xml:space="preserve">, el proyecto de ley se discutió y aprobó en primer debate, con votación nominal y pública de 8 votos a favor y </w:t>
      </w:r>
      <w:r w:rsidRPr="00E00F43">
        <w:rPr>
          <w:rFonts w:ascii="Times New Roman" w:hAnsi="Times New Roman" w:cs="Times New Roman"/>
          <w:sz w:val="28"/>
        </w:rPr>
        <w:t xml:space="preserve">0 </w:t>
      </w:r>
      <w:r w:rsidRPr="00E00F43">
        <w:rPr>
          <w:rFonts w:ascii="Times New Roman" w:hAnsi="Times New Roman" w:cs="Times New Roman"/>
          <w:sz w:val="28"/>
        </w:rPr>
        <w:t>en contr</w:t>
      </w:r>
      <w:r w:rsidRPr="00E00F43">
        <w:rPr>
          <w:rFonts w:ascii="Times New Roman" w:hAnsi="Times New Roman" w:cs="Times New Roman"/>
          <w:sz w:val="28"/>
        </w:rPr>
        <w:t>a, lo cual se predicó tanto de</w:t>
      </w:r>
      <w:r w:rsidRPr="00E00F43">
        <w:rPr>
          <w:rFonts w:ascii="Times New Roman" w:hAnsi="Times New Roman" w:cs="Times New Roman"/>
          <w:sz w:val="28"/>
        </w:rPr>
        <w:t xml:space="preserve"> la proposición con que termina el inform</w:t>
      </w:r>
      <w:r w:rsidRPr="00E00F43">
        <w:rPr>
          <w:rFonts w:ascii="Times New Roman" w:hAnsi="Times New Roman" w:cs="Times New Roman"/>
          <w:sz w:val="28"/>
        </w:rPr>
        <w:t>e de ponencia,</w:t>
      </w:r>
      <w:r w:rsidRPr="00E00F43">
        <w:rPr>
          <w:rFonts w:ascii="Times New Roman" w:hAnsi="Times New Roman" w:cs="Times New Roman"/>
          <w:sz w:val="28"/>
        </w:rPr>
        <w:t xml:space="preserve"> como d</w:t>
      </w:r>
      <w:r w:rsidRPr="00E00F43">
        <w:rPr>
          <w:rFonts w:ascii="Times New Roman" w:hAnsi="Times New Roman" w:cs="Times New Roman"/>
          <w:sz w:val="28"/>
        </w:rPr>
        <w:t xml:space="preserve">el título del proyecto, </w:t>
      </w:r>
      <w:r w:rsidRPr="00E00F43">
        <w:rPr>
          <w:rFonts w:ascii="Times New Roman" w:hAnsi="Times New Roman" w:cs="Times New Roman"/>
          <w:sz w:val="28"/>
        </w:rPr>
        <w:t>d</w:t>
      </w:r>
      <w:r w:rsidRPr="00E00F43">
        <w:rPr>
          <w:rFonts w:ascii="Times New Roman" w:hAnsi="Times New Roman" w:cs="Times New Roman"/>
          <w:sz w:val="28"/>
        </w:rPr>
        <w:t>el articula</w:t>
      </w:r>
      <w:r w:rsidRPr="00E00F43">
        <w:rPr>
          <w:rFonts w:ascii="Times New Roman" w:hAnsi="Times New Roman" w:cs="Times New Roman"/>
          <w:sz w:val="28"/>
        </w:rPr>
        <w:t xml:space="preserve">do y </w:t>
      </w:r>
      <w:r w:rsidRPr="00E00F43">
        <w:rPr>
          <w:rFonts w:ascii="Times New Roman" w:hAnsi="Times New Roman" w:cs="Times New Roman"/>
          <w:sz w:val="28"/>
        </w:rPr>
        <w:t>d</w:t>
      </w:r>
      <w:r w:rsidRPr="00E00F43">
        <w:rPr>
          <w:rFonts w:ascii="Times New Roman" w:hAnsi="Times New Roman" w:cs="Times New Roman"/>
          <w:sz w:val="28"/>
        </w:rPr>
        <w:t>el querer de los senadores de que el proyecto tuviera segundo debate. Allí mismo se dispuso que el proyecto siguiera su curso, y se nombró a la misma senadora, Paola Holguín Moreno, como ponent</w:t>
      </w:r>
      <w:r w:rsidRPr="00E00F43">
        <w:rPr>
          <w:rFonts w:ascii="Times New Roman" w:hAnsi="Times New Roman" w:cs="Times New Roman"/>
          <w:sz w:val="28"/>
        </w:rPr>
        <w:t>e para segundo debate</w:t>
      </w:r>
      <w:r w:rsidRPr="00E00F43">
        <w:rPr>
          <w:rFonts w:ascii="Times New Roman" w:hAnsi="Times New Roman" w:cs="Times New Roman"/>
          <w:sz w:val="28"/>
          <w:vertAlign w:val="superscript"/>
        </w:rPr>
        <w:footnoteReference w:id="48"/>
      </w:r>
      <w:r w:rsidRPr="00E00F43">
        <w:rPr>
          <w:rFonts w:ascii="Times New Roman" w:hAnsi="Times New Roman" w:cs="Times New Roman"/>
          <w:sz w:val="28"/>
        </w:rPr>
        <w:t>.</w:t>
      </w:r>
      <w:r w:rsidRPr="00E00F43">
        <w:rPr>
          <w:rFonts w:ascii="Times New Roman" w:hAnsi="Times New Roman" w:cs="Times New Roman"/>
          <w:sz w:val="28"/>
        </w:rPr>
        <w:t xml:space="preserve"> El mecanismo y los resultados de la votación fueron ratificados por la certificación enviada por el secretario de la </w:t>
      </w:r>
      <w:r w:rsidRPr="00E00F43">
        <w:rPr>
          <w:rFonts w:ascii="Times New Roman" w:hAnsi="Times New Roman" w:cs="Times New Roman"/>
          <w:sz w:val="28"/>
        </w:rPr>
        <w:t>c</w:t>
      </w:r>
      <w:r w:rsidRPr="00E00F43">
        <w:rPr>
          <w:rFonts w:ascii="Times New Roman" w:hAnsi="Times New Roman" w:cs="Times New Roman"/>
          <w:sz w:val="28"/>
        </w:rPr>
        <w:t xml:space="preserve">omisión </w:t>
      </w:r>
      <w:r w:rsidRPr="00E00F43">
        <w:rPr>
          <w:rFonts w:ascii="Times New Roman" w:hAnsi="Times New Roman" w:cs="Times New Roman"/>
          <w:sz w:val="28"/>
        </w:rPr>
        <w:t>s</w:t>
      </w:r>
      <w:r w:rsidRPr="00E00F43">
        <w:rPr>
          <w:rFonts w:ascii="Times New Roman" w:hAnsi="Times New Roman" w:cs="Times New Roman"/>
          <w:sz w:val="28"/>
        </w:rPr>
        <w:t>egunda</w:t>
      </w:r>
      <w:r w:rsidRPr="00E00F43">
        <w:rPr>
          <w:rFonts w:ascii="Times New Roman" w:hAnsi="Times New Roman" w:cs="Times New Roman"/>
          <w:sz w:val="28"/>
        </w:rPr>
        <w:t xml:space="preserve"> del Senado</w:t>
      </w:r>
      <w:r w:rsidRPr="00E00F43">
        <w:rPr>
          <w:rFonts w:ascii="Times New Roman" w:hAnsi="Times New Roman" w:cs="Times New Roman"/>
          <w:sz w:val="28"/>
        </w:rPr>
        <w:t>, Diego Alejandro González González, a la Corte Constitucional</w:t>
      </w:r>
      <w:r w:rsidRPr="00E00F43">
        <w:rPr>
          <w:rFonts w:ascii="Times New Roman" w:hAnsi="Times New Roman" w:cs="Times New Roman"/>
          <w:sz w:val="28"/>
          <w:vertAlign w:val="superscript"/>
        </w:rPr>
        <w:footnoteReference w:id="49"/>
      </w:r>
      <w:r w:rsidRPr="00E00F43">
        <w:rPr>
          <w:rFonts w:ascii="Times New Roman" w:hAnsi="Times New Roman" w:cs="Times New Roman"/>
          <w:sz w:val="28"/>
        </w:rPr>
        <w:t>.</w:t>
      </w:r>
      <w:r w:rsidRPr="00E00F43">
        <w:rPr>
          <w:rFonts w:ascii="Times New Roman" w:hAnsi="Times New Roman" w:cs="Times New Roman"/>
          <w:sz w:val="28"/>
        </w:rPr>
        <w:t xml:space="preserve"> </w:t>
      </w:r>
    </w:p>
    <w:p w:rsidR="00637592" w:rsidRPr="00E00F43" w:rsidRDefault="00E00F43" w:rsidP="00637592">
      <w:pPr>
        <w:pStyle w:val="Prrafodelista"/>
        <w:tabs>
          <w:tab w:val="left" w:pos="426"/>
        </w:tabs>
        <w:ind w:left="0"/>
        <w:rPr>
          <w:rFonts w:ascii="Times New Roman" w:hAnsi="Times New Roman" w:cs="Times New Roman"/>
          <w:bCs/>
          <w:sz w:val="28"/>
          <w:szCs w:val="24"/>
          <w:lang w:val="es-ES" w:eastAsia="es-CO"/>
        </w:rPr>
      </w:pPr>
    </w:p>
    <w:p w:rsidR="001255C1" w:rsidRPr="00E00F43" w:rsidRDefault="00E00F43" w:rsidP="00A542D4">
      <w:pPr>
        <w:pStyle w:val="Ttulo"/>
        <w:rPr>
          <w:rFonts w:ascii="Times New Roman" w:hAnsi="Times New Roman" w:cs="Times New Roman"/>
          <w:bCs/>
          <w:sz w:val="28"/>
          <w:lang w:eastAsia="es-CO"/>
        </w:rPr>
      </w:pPr>
      <w:r w:rsidRPr="00E00F43">
        <w:rPr>
          <w:rFonts w:ascii="Times New Roman" w:hAnsi="Times New Roman" w:cs="Times New Roman"/>
          <w:bCs/>
          <w:i/>
          <w:iCs/>
          <w:sz w:val="28"/>
          <w:lang w:eastAsia="es-CO"/>
        </w:rPr>
        <w:t xml:space="preserve"> </w:t>
      </w:r>
      <w:r w:rsidRPr="00E00F43">
        <w:rPr>
          <w:rFonts w:ascii="Times New Roman" w:hAnsi="Times New Roman" w:cs="Times New Roman"/>
          <w:bCs/>
          <w:i/>
          <w:iCs/>
          <w:sz w:val="28"/>
          <w:lang w:eastAsia="es-CO"/>
        </w:rPr>
        <w:t>Publicación</w:t>
      </w:r>
      <w:r w:rsidRPr="00E00F43">
        <w:rPr>
          <w:rFonts w:ascii="Times New Roman" w:hAnsi="Times New Roman" w:cs="Times New Roman"/>
          <w:bCs/>
          <w:i/>
          <w:iCs/>
          <w:sz w:val="28"/>
          <w:lang w:eastAsia="es-CO"/>
        </w:rPr>
        <w:t xml:space="preserve"> del text</w:t>
      </w:r>
      <w:r w:rsidRPr="00E00F43">
        <w:rPr>
          <w:rFonts w:ascii="Times New Roman" w:hAnsi="Times New Roman" w:cs="Times New Roman"/>
          <w:bCs/>
          <w:i/>
          <w:iCs/>
          <w:sz w:val="28"/>
          <w:lang w:eastAsia="es-CO"/>
        </w:rPr>
        <w:t xml:space="preserve">o aprobado </w:t>
      </w:r>
      <w:r w:rsidRPr="00E00F43">
        <w:rPr>
          <w:rFonts w:ascii="Times New Roman" w:hAnsi="Times New Roman" w:cs="Times New Roman"/>
          <w:bCs/>
          <w:i/>
          <w:iCs/>
          <w:sz w:val="28"/>
          <w:lang w:eastAsia="es-CO"/>
        </w:rPr>
        <w:t>en</w:t>
      </w:r>
      <w:r w:rsidRPr="00E00F43">
        <w:rPr>
          <w:rFonts w:ascii="Times New Roman" w:hAnsi="Times New Roman" w:cs="Times New Roman"/>
          <w:bCs/>
          <w:i/>
          <w:iCs/>
          <w:sz w:val="28"/>
          <w:lang w:eastAsia="es-CO"/>
        </w:rPr>
        <w:t xml:space="preserve"> primer debate</w:t>
      </w:r>
      <w:r w:rsidRPr="00E00F43">
        <w:rPr>
          <w:rFonts w:ascii="Times New Roman" w:hAnsi="Times New Roman" w:cs="Times New Roman"/>
          <w:bCs/>
          <w:i/>
          <w:iCs/>
          <w:sz w:val="28"/>
          <w:lang w:eastAsia="es-CO"/>
        </w:rPr>
        <w:t>.</w:t>
      </w:r>
      <w:r w:rsidRPr="00E00F43">
        <w:rPr>
          <w:rFonts w:ascii="Times New Roman" w:hAnsi="Times New Roman" w:cs="Times New Roman"/>
          <w:sz w:val="28"/>
        </w:rPr>
        <w:t xml:space="preserve"> El texto definitivo del </w:t>
      </w:r>
      <w:r w:rsidRPr="00E00F43">
        <w:rPr>
          <w:rFonts w:ascii="Times New Roman" w:hAnsi="Times New Roman" w:cs="Times New Roman"/>
          <w:sz w:val="28"/>
        </w:rPr>
        <w:t>p</w:t>
      </w:r>
      <w:r w:rsidRPr="00E00F43">
        <w:rPr>
          <w:rFonts w:ascii="Times New Roman" w:hAnsi="Times New Roman" w:cs="Times New Roman"/>
          <w:bCs/>
          <w:sz w:val="28"/>
          <w:lang w:eastAsia="es-CO"/>
        </w:rPr>
        <w:t xml:space="preserve">royecto de </w:t>
      </w:r>
      <w:r w:rsidRPr="00E00F43">
        <w:rPr>
          <w:rFonts w:ascii="Times New Roman" w:hAnsi="Times New Roman" w:cs="Times New Roman"/>
          <w:bCs/>
          <w:sz w:val="28"/>
          <w:lang w:eastAsia="es-CO"/>
        </w:rPr>
        <w:t>l</w:t>
      </w:r>
      <w:r w:rsidRPr="00E00F43">
        <w:rPr>
          <w:rFonts w:ascii="Times New Roman" w:hAnsi="Times New Roman" w:cs="Times New Roman"/>
          <w:bCs/>
          <w:sz w:val="28"/>
          <w:lang w:eastAsia="es-CO"/>
        </w:rPr>
        <w:t>ey 335 de 2022,</w:t>
      </w:r>
      <w:r w:rsidRPr="00E00F43">
        <w:rPr>
          <w:rFonts w:ascii="Times New Roman" w:hAnsi="Times New Roman" w:cs="Times New Roman"/>
          <w:sz w:val="28"/>
        </w:rPr>
        <w:t xml:space="preserve"> aprobado por la </w:t>
      </w:r>
      <w:r w:rsidRPr="00E00F43">
        <w:rPr>
          <w:rFonts w:ascii="Times New Roman" w:hAnsi="Times New Roman" w:cs="Times New Roman"/>
          <w:sz w:val="28"/>
        </w:rPr>
        <w:t>c</w:t>
      </w:r>
      <w:r w:rsidRPr="00E00F43">
        <w:rPr>
          <w:rFonts w:ascii="Times New Roman" w:hAnsi="Times New Roman" w:cs="Times New Roman"/>
          <w:sz w:val="28"/>
        </w:rPr>
        <w:t xml:space="preserve">omisión </w:t>
      </w:r>
      <w:r w:rsidRPr="00E00F43">
        <w:rPr>
          <w:rFonts w:ascii="Times New Roman" w:hAnsi="Times New Roman" w:cs="Times New Roman"/>
          <w:sz w:val="28"/>
        </w:rPr>
        <w:t>s</w:t>
      </w:r>
      <w:r w:rsidRPr="00E00F43">
        <w:rPr>
          <w:rFonts w:ascii="Times New Roman" w:hAnsi="Times New Roman" w:cs="Times New Roman"/>
          <w:sz w:val="28"/>
        </w:rPr>
        <w:t xml:space="preserve">egunda del Senado de la República, fue publicado el 17 de mayo de 2022, tal como consta en </w:t>
      </w:r>
      <w:r w:rsidRPr="00E00F43">
        <w:rPr>
          <w:rFonts w:ascii="Times New Roman" w:hAnsi="Times New Roman" w:cs="Times New Roman"/>
          <w:bCs/>
          <w:sz w:val="28"/>
          <w:lang w:eastAsia="es-CO"/>
        </w:rPr>
        <w:t>la Gaceta del Congreso</w:t>
      </w:r>
      <w:r w:rsidRPr="00E00F43">
        <w:rPr>
          <w:rFonts w:ascii="Times New Roman" w:hAnsi="Times New Roman" w:cs="Times New Roman"/>
          <w:bCs/>
          <w:sz w:val="28"/>
          <w:lang w:eastAsia="es-CO"/>
        </w:rPr>
        <w:t xml:space="preserve"> n.</w:t>
      </w:r>
      <w:r w:rsidRPr="00E00F43">
        <w:rPr>
          <w:rFonts w:ascii="Times New Roman" w:hAnsi="Times New Roman" w:cs="Times New Roman"/>
          <w:bCs/>
          <w:sz w:val="28"/>
          <w:lang w:eastAsia="es-CO"/>
        </w:rPr>
        <w:t>°</w:t>
      </w:r>
      <w:r w:rsidRPr="00E00F43">
        <w:rPr>
          <w:rFonts w:ascii="Times New Roman" w:hAnsi="Times New Roman" w:cs="Times New Roman"/>
          <w:bCs/>
          <w:sz w:val="28"/>
          <w:lang w:eastAsia="es-CO"/>
        </w:rPr>
        <w:t xml:space="preserve"> 590 del 31 de mayo de 2022</w:t>
      </w:r>
      <w:r w:rsidRPr="00E00F43">
        <w:rPr>
          <w:rFonts w:ascii="Times New Roman" w:hAnsi="Times New Roman" w:cs="Times New Roman"/>
          <w:sz w:val="28"/>
          <w:vertAlign w:val="superscript"/>
        </w:rPr>
        <w:footnoteReference w:id="50"/>
      </w:r>
      <w:r w:rsidRPr="00E00F43">
        <w:rPr>
          <w:rFonts w:ascii="Times New Roman" w:hAnsi="Times New Roman" w:cs="Times New Roman"/>
          <w:bCs/>
          <w:sz w:val="28"/>
          <w:lang w:eastAsia="es-CO"/>
        </w:rPr>
        <w:t>.</w:t>
      </w:r>
    </w:p>
    <w:p w:rsidR="001255C1" w:rsidRPr="00E00F43" w:rsidRDefault="00E00F43" w:rsidP="001255C1">
      <w:pPr>
        <w:pStyle w:val="Prrafodelista"/>
        <w:tabs>
          <w:tab w:val="left" w:pos="426"/>
        </w:tabs>
        <w:ind w:left="0"/>
        <w:rPr>
          <w:rFonts w:ascii="Times New Roman" w:hAnsi="Times New Roman" w:cs="Times New Roman"/>
          <w:bCs/>
          <w:sz w:val="28"/>
          <w:szCs w:val="24"/>
          <w:lang w:val="es-ES" w:eastAsia="es-CO"/>
        </w:rPr>
      </w:pPr>
    </w:p>
    <w:p w:rsidR="001255C1" w:rsidRPr="00E00F43" w:rsidRDefault="00E00F43" w:rsidP="00A542D4">
      <w:pPr>
        <w:pStyle w:val="Ttulo"/>
        <w:rPr>
          <w:rFonts w:ascii="Times New Roman" w:hAnsi="Times New Roman" w:cs="Times New Roman"/>
          <w:sz w:val="28"/>
        </w:rPr>
      </w:pPr>
      <w:r w:rsidRPr="00E00F43">
        <w:rPr>
          <w:rFonts w:ascii="Times New Roman" w:hAnsi="Times New Roman" w:cs="Times New Roman"/>
          <w:i/>
          <w:iCs/>
          <w:sz w:val="28"/>
        </w:rPr>
        <w:t xml:space="preserve"> </w:t>
      </w:r>
      <w:r w:rsidRPr="00E00F43">
        <w:rPr>
          <w:rFonts w:ascii="Times New Roman" w:hAnsi="Times New Roman" w:cs="Times New Roman"/>
          <w:i/>
          <w:iCs/>
          <w:sz w:val="28"/>
        </w:rPr>
        <w:t xml:space="preserve">Ponencia para segundo debate. </w:t>
      </w:r>
      <w:r w:rsidRPr="00E00F43">
        <w:rPr>
          <w:rFonts w:ascii="Times New Roman" w:hAnsi="Times New Roman" w:cs="Times New Roman"/>
          <w:sz w:val="28"/>
        </w:rPr>
        <w:t xml:space="preserve">En la misma </w:t>
      </w:r>
      <w:r w:rsidRPr="00E00F43">
        <w:rPr>
          <w:rFonts w:ascii="Times New Roman" w:hAnsi="Times New Roman" w:cs="Times New Roman"/>
          <w:sz w:val="28"/>
        </w:rPr>
        <w:t>Gaceta del Congreso</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590 del 31 de mayo de 2022,</w:t>
      </w:r>
      <w:r w:rsidRPr="00E00F43">
        <w:rPr>
          <w:rFonts w:ascii="Times New Roman" w:hAnsi="Times New Roman" w:cs="Times New Roman"/>
          <w:sz w:val="28"/>
        </w:rPr>
        <w:t xml:space="preserve"> se publicó el informe de ponencia</w:t>
      </w:r>
      <w:r w:rsidRPr="00E00F43">
        <w:rPr>
          <w:rFonts w:ascii="Times New Roman" w:hAnsi="Times New Roman" w:cs="Times New Roman"/>
          <w:sz w:val="28"/>
        </w:rPr>
        <w:t xml:space="preserve"> positivo</w:t>
      </w:r>
      <w:r w:rsidRPr="00E00F43">
        <w:rPr>
          <w:rFonts w:ascii="Times New Roman" w:hAnsi="Times New Roman" w:cs="Times New Roman"/>
          <w:sz w:val="28"/>
        </w:rPr>
        <w:t xml:space="preserve">, donde se propuso surtir segundo debate al </w:t>
      </w:r>
      <w:r w:rsidRPr="00E00F43">
        <w:rPr>
          <w:rFonts w:ascii="Times New Roman" w:hAnsi="Times New Roman" w:cs="Times New Roman"/>
          <w:sz w:val="28"/>
        </w:rPr>
        <w:t>p</w:t>
      </w:r>
      <w:r w:rsidRPr="00E00F43">
        <w:rPr>
          <w:rFonts w:ascii="Times New Roman" w:hAnsi="Times New Roman" w:cs="Times New Roman"/>
          <w:sz w:val="28"/>
        </w:rPr>
        <w:t xml:space="preserve">royecto de </w:t>
      </w:r>
      <w:r w:rsidRPr="00E00F43">
        <w:rPr>
          <w:rFonts w:ascii="Times New Roman" w:hAnsi="Times New Roman" w:cs="Times New Roman"/>
          <w:sz w:val="28"/>
        </w:rPr>
        <w:t>l</w:t>
      </w:r>
      <w:r w:rsidRPr="00E00F43">
        <w:rPr>
          <w:rFonts w:ascii="Times New Roman" w:hAnsi="Times New Roman" w:cs="Times New Roman"/>
          <w:sz w:val="28"/>
        </w:rPr>
        <w:t xml:space="preserve">ey </w:t>
      </w:r>
      <w:r w:rsidRPr="00E00F43">
        <w:rPr>
          <w:rFonts w:ascii="Times New Roman" w:hAnsi="Times New Roman" w:cs="Times New Roman"/>
          <w:sz w:val="28"/>
        </w:rPr>
        <w:t>335 de 2022</w:t>
      </w:r>
      <w:r w:rsidRPr="00E00F43">
        <w:rPr>
          <w:rFonts w:ascii="Times New Roman" w:hAnsi="Times New Roman" w:cs="Times New Roman"/>
          <w:sz w:val="28"/>
        </w:rPr>
        <w:t xml:space="preserve"> ante la </w:t>
      </w:r>
      <w:r w:rsidRPr="00E00F43">
        <w:rPr>
          <w:rFonts w:ascii="Times New Roman" w:hAnsi="Times New Roman" w:cs="Times New Roman"/>
          <w:sz w:val="28"/>
        </w:rPr>
        <w:t>p</w:t>
      </w:r>
      <w:r w:rsidRPr="00E00F43">
        <w:rPr>
          <w:rFonts w:ascii="Times New Roman" w:hAnsi="Times New Roman" w:cs="Times New Roman"/>
          <w:sz w:val="28"/>
        </w:rPr>
        <w:t>lenaria del Senado de la República. Tu</w:t>
      </w:r>
      <w:r w:rsidRPr="00E00F43">
        <w:rPr>
          <w:rFonts w:ascii="Times New Roman" w:hAnsi="Times New Roman" w:cs="Times New Roman"/>
          <w:sz w:val="28"/>
        </w:rPr>
        <w:t>vo como ponente a la senadora Paola Holguín</w:t>
      </w:r>
      <w:r w:rsidRPr="00E00F43">
        <w:rPr>
          <w:rFonts w:ascii="Times New Roman" w:hAnsi="Times New Roman" w:cs="Times New Roman"/>
          <w:sz w:val="28"/>
        </w:rPr>
        <w:t xml:space="preserve"> Moreno</w:t>
      </w:r>
      <w:r w:rsidRPr="00E00F43">
        <w:rPr>
          <w:rFonts w:ascii="Times New Roman" w:hAnsi="Times New Roman" w:cs="Times New Roman"/>
          <w:sz w:val="28"/>
          <w:vertAlign w:val="superscript"/>
        </w:rPr>
        <w:footnoteReference w:id="51"/>
      </w:r>
      <w:r w:rsidRPr="00E00F43">
        <w:rPr>
          <w:rFonts w:ascii="Times New Roman" w:hAnsi="Times New Roman" w:cs="Times New Roman"/>
          <w:sz w:val="28"/>
        </w:rPr>
        <w:t>.</w:t>
      </w:r>
      <w:r w:rsidRPr="00E00F43">
        <w:rPr>
          <w:rFonts w:ascii="Times New Roman" w:hAnsi="Times New Roman" w:cs="Times New Roman"/>
          <w:sz w:val="28"/>
        </w:rPr>
        <w:t xml:space="preserve"> </w:t>
      </w:r>
    </w:p>
    <w:p w:rsidR="001255C1" w:rsidRPr="00E00F43" w:rsidRDefault="00E00F43" w:rsidP="00A542D4">
      <w:pPr>
        <w:pStyle w:val="Ttulo"/>
        <w:numPr>
          <w:ilvl w:val="0"/>
          <w:numId w:val="0"/>
        </w:numPr>
        <w:rPr>
          <w:rFonts w:ascii="Times New Roman" w:hAnsi="Times New Roman" w:cs="Times New Roman"/>
          <w:i/>
          <w:iCs/>
          <w:sz w:val="28"/>
        </w:rPr>
      </w:pPr>
    </w:p>
    <w:p w:rsidR="001255C1" w:rsidRPr="00E00F43" w:rsidRDefault="00E00F43" w:rsidP="00A542D4">
      <w:pPr>
        <w:pStyle w:val="Ttulo"/>
        <w:rPr>
          <w:rFonts w:ascii="Times New Roman" w:hAnsi="Times New Roman" w:cs="Times New Roman"/>
          <w:sz w:val="28"/>
        </w:rPr>
      </w:pPr>
      <w:r w:rsidRPr="00E00F43">
        <w:rPr>
          <w:rFonts w:ascii="Times New Roman" w:hAnsi="Times New Roman" w:cs="Times New Roman"/>
          <w:i/>
          <w:iCs/>
          <w:sz w:val="28"/>
        </w:rPr>
        <w:t xml:space="preserve"> </w:t>
      </w:r>
      <w:r w:rsidRPr="00E00F43">
        <w:rPr>
          <w:rFonts w:ascii="Times New Roman" w:hAnsi="Times New Roman" w:cs="Times New Roman"/>
          <w:i/>
          <w:iCs/>
          <w:sz w:val="28"/>
        </w:rPr>
        <w:t xml:space="preserve">Anuncio para segundo debate. </w:t>
      </w:r>
      <w:r w:rsidRPr="00E00F43">
        <w:rPr>
          <w:rFonts w:ascii="Times New Roman" w:hAnsi="Times New Roman" w:cs="Times New Roman"/>
          <w:sz w:val="28"/>
        </w:rPr>
        <w:t>El proyecto de la referencia fue anunciado para discusión y aprobación</w:t>
      </w:r>
      <w:r w:rsidRPr="00E00F43">
        <w:rPr>
          <w:rFonts w:ascii="Times New Roman" w:hAnsi="Times New Roman" w:cs="Times New Roman"/>
          <w:i/>
          <w:iCs/>
          <w:sz w:val="28"/>
        </w:rPr>
        <w:t xml:space="preserve"> </w:t>
      </w:r>
      <w:r w:rsidRPr="00E00F43">
        <w:rPr>
          <w:rFonts w:ascii="Times New Roman" w:hAnsi="Times New Roman" w:cs="Times New Roman"/>
          <w:sz w:val="28"/>
        </w:rPr>
        <w:t>“</w:t>
      </w:r>
      <w:r w:rsidRPr="00E00F43">
        <w:rPr>
          <w:rFonts w:ascii="Times New Roman" w:hAnsi="Times New Roman" w:cs="Times New Roman"/>
          <w:sz w:val="28"/>
        </w:rPr>
        <w:t>en la próxima sesión</w:t>
      </w:r>
      <w:r w:rsidRPr="00E00F43">
        <w:rPr>
          <w:rFonts w:ascii="Times New Roman" w:hAnsi="Times New Roman" w:cs="Times New Roman"/>
          <w:sz w:val="28"/>
        </w:rPr>
        <w:t>”,</w:t>
      </w:r>
      <w:r w:rsidRPr="00E00F43">
        <w:rPr>
          <w:rFonts w:ascii="Times New Roman" w:hAnsi="Times New Roman" w:cs="Times New Roman"/>
          <w:i/>
          <w:iCs/>
          <w:sz w:val="28"/>
        </w:rPr>
        <w:t xml:space="preserve"> </w:t>
      </w:r>
      <w:r w:rsidRPr="00E00F43">
        <w:rPr>
          <w:rFonts w:ascii="Times New Roman" w:hAnsi="Times New Roman" w:cs="Times New Roman"/>
          <w:sz w:val="28"/>
        </w:rPr>
        <w:t>el 23 de agosto de 2022</w:t>
      </w:r>
      <w:r w:rsidRPr="00E00F43">
        <w:rPr>
          <w:rFonts w:ascii="Times New Roman" w:hAnsi="Times New Roman" w:cs="Times New Roman"/>
          <w:sz w:val="28"/>
        </w:rPr>
        <w:t>, lo cual consta en el Acta</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7</w:t>
      </w:r>
      <w:r w:rsidRPr="00E00F43">
        <w:rPr>
          <w:rFonts w:ascii="Times New Roman" w:hAnsi="Times New Roman" w:cs="Times New Roman"/>
          <w:sz w:val="28"/>
        </w:rPr>
        <w:t xml:space="preserve"> publicada en la Gaceta</w:t>
      </w:r>
      <w:r w:rsidRPr="00E00F43">
        <w:rPr>
          <w:rFonts w:ascii="Times New Roman" w:hAnsi="Times New Roman" w:cs="Times New Roman"/>
          <w:sz w:val="28"/>
        </w:rPr>
        <w:t xml:space="preserve"> del Congreso</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1287 d</w:t>
      </w:r>
      <w:r w:rsidRPr="00E00F43">
        <w:rPr>
          <w:rFonts w:ascii="Times New Roman" w:hAnsi="Times New Roman" w:cs="Times New Roman"/>
          <w:sz w:val="28"/>
        </w:rPr>
        <w:t xml:space="preserve">el </w:t>
      </w:r>
      <w:r w:rsidRPr="00E00F43">
        <w:rPr>
          <w:rFonts w:ascii="Times New Roman" w:hAnsi="Times New Roman" w:cs="Times New Roman"/>
          <w:sz w:val="28"/>
        </w:rPr>
        <w:t>20 de octubre de 2022</w:t>
      </w:r>
      <w:r w:rsidRPr="00E00F43">
        <w:rPr>
          <w:rFonts w:ascii="Times New Roman" w:hAnsi="Times New Roman" w:cs="Times New Roman"/>
          <w:sz w:val="28"/>
          <w:vertAlign w:val="superscript"/>
        </w:rPr>
        <w:footnoteReference w:id="52"/>
      </w:r>
      <w:r w:rsidRPr="00E00F43">
        <w:rPr>
          <w:rFonts w:ascii="Times New Roman" w:hAnsi="Times New Roman" w:cs="Times New Roman"/>
          <w:sz w:val="28"/>
        </w:rPr>
        <w:t>.</w:t>
      </w:r>
      <w:r w:rsidRPr="00E00F43">
        <w:rPr>
          <w:rFonts w:ascii="Times New Roman" w:hAnsi="Times New Roman" w:cs="Times New Roman"/>
          <w:sz w:val="28"/>
        </w:rPr>
        <w:t xml:space="preserve"> Al respecto</w:t>
      </w:r>
      <w:r w:rsidRPr="00E00F43">
        <w:rPr>
          <w:rFonts w:ascii="Times New Roman" w:hAnsi="Times New Roman" w:cs="Times New Roman"/>
          <w:sz w:val="28"/>
        </w:rPr>
        <w:t>, es necesario no perder de vista que, como ya se mencionó</w:t>
      </w:r>
      <w:r w:rsidRPr="00E00F43">
        <w:rPr>
          <w:rStyle w:val="Refdenotaalpie"/>
          <w:rFonts w:ascii="Times New Roman" w:hAnsi="Times New Roman"/>
          <w:bCs/>
          <w:sz w:val="28"/>
          <w:lang w:eastAsia="es-CO"/>
        </w:rPr>
        <w:footnoteReference w:id="53"/>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el que la discusión y aprobación se den efectivamente en la sesión inmediatamente posterior</w:t>
      </w:r>
      <w:r w:rsidRPr="00E00F43">
        <w:rPr>
          <w:rFonts w:ascii="Times New Roman" w:hAnsi="Times New Roman" w:cs="Times New Roman"/>
          <w:sz w:val="28"/>
        </w:rPr>
        <w:t xml:space="preserve"> –en la</w:t>
      </w:r>
      <w:r w:rsidRPr="00E00F43">
        <w:rPr>
          <w:rFonts w:ascii="Times New Roman" w:hAnsi="Times New Roman" w:cs="Times New Roman"/>
          <w:sz w:val="28"/>
        </w:rPr>
        <w:t xml:space="preserve"> corporación</w:t>
      </w:r>
      <w:r w:rsidRPr="00E00F43">
        <w:rPr>
          <w:rFonts w:ascii="Times New Roman" w:hAnsi="Times New Roman" w:cs="Times New Roman"/>
          <w:sz w:val="28"/>
        </w:rPr>
        <w:t xml:space="preserve"> respectiva</w:t>
      </w:r>
      <w:r w:rsidRPr="00E00F43">
        <w:rPr>
          <w:rFonts w:ascii="Times New Roman" w:hAnsi="Times New Roman" w:cs="Times New Roman"/>
          <w:sz w:val="28"/>
        </w:rPr>
        <w:t>–</w:t>
      </w:r>
      <w:r w:rsidRPr="00E00F43">
        <w:rPr>
          <w:rFonts w:ascii="Times New Roman" w:hAnsi="Times New Roman" w:cs="Times New Roman"/>
          <w:sz w:val="28"/>
        </w:rPr>
        <w:t>y el que exista consecutividad en las actas</w:t>
      </w:r>
      <w:r w:rsidRPr="00E00F43">
        <w:rPr>
          <w:rFonts w:ascii="Times New Roman" w:hAnsi="Times New Roman" w:cs="Times New Roman"/>
          <w:sz w:val="28"/>
        </w:rPr>
        <w:t xml:space="preserve"> </w:t>
      </w:r>
      <w:r w:rsidRPr="00E00F43">
        <w:rPr>
          <w:rFonts w:ascii="Times New Roman" w:hAnsi="Times New Roman" w:cs="Times New Roman"/>
          <w:sz w:val="28"/>
        </w:rPr>
        <w:t>son criterios que permiten validar el cumplimiento de los anuncios</w:t>
      </w:r>
      <w:r w:rsidRPr="00E00F43">
        <w:rPr>
          <w:rFonts w:ascii="Times New Roman" w:hAnsi="Times New Roman" w:cs="Times New Roman"/>
          <w:sz w:val="28"/>
        </w:rPr>
        <w:t xml:space="preserve">. Esto ocurre en este caso, </w:t>
      </w:r>
      <w:r w:rsidRPr="00E00F43">
        <w:rPr>
          <w:rFonts w:ascii="Times New Roman" w:hAnsi="Times New Roman" w:cs="Times New Roman"/>
          <w:sz w:val="28"/>
        </w:rPr>
        <w:t>como lo muestra la verificación del siguiente requisito.</w:t>
      </w:r>
    </w:p>
    <w:p w:rsidR="001255C1" w:rsidRPr="00E00F43" w:rsidRDefault="00E00F43" w:rsidP="00A542D4">
      <w:pPr>
        <w:pStyle w:val="Ttulo"/>
        <w:numPr>
          <w:ilvl w:val="0"/>
          <w:numId w:val="0"/>
        </w:numPr>
        <w:rPr>
          <w:rFonts w:ascii="Times New Roman" w:hAnsi="Times New Roman" w:cs="Times New Roman"/>
          <w:i/>
          <w:iCs/>
          <w:sz w:val="28"/>
        </w:rPr>
      </w:pPr>
    </w:p>
    <w:p w:rsidR="002165DD" w:rsidRPr="00E00F43" w:rsidRDefault="00E00F43" w:rsidP="00A542D4">
      <w:pPr>
        <w:pStyle w:val="Ttulo"/>
        <w:rPr>
          <w:rFonts w:ascii="Times New Roman" w:hAnsi="Times New Roman" w:cs="Times New Roman"/>
          <w:i/>
          <w:iCs/>
          <w:sz w:val="28"/>
        </w:rPr>
      </w:pPr>
      <w:r w:rsidRPr="00E00F43">
        <w:rPr>
          <w:rFonts w:ascii="Times New Roman" w:hAnsi="Times New Roman" w:cs="Times New Roman"/>
          <w:i/>
          <w:iCs/>
          <w:sz w:val="28"/>
        </w:rPr>
        <w:t xml:space="preserve"> </w:t>
      </w:r>
      <w:r w:rsidRPr="00E00F43">
        <w:rPr>
          <w:rFonts w:ascii="Times New Roman" w:hAnsi="Times New Roman" w:cs="Times New Roman"/>
          <w:i/>
          <w:iCs/>
          <w:sz w:val="28"/>
        </w:rPr>
        <w:t xml:space="preserve">Discusión y aprobación. </w:t>
      </w:r>
      <w:r w:rsidRPr="00E00F43">
        <w:rPr>
          <w:rFonts w:ascii="Times New Roman" w:hAnsi="Times New Roman" w:cs="Times New Roman"/>
          <w:sz w:val="28"/>
        </w:rPr>
        <w:t>Consta en el Acta</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8</w:t>
      </w:r>
      <w:r w:rsidRPr="00E00F43">
        <w:rPr>
          <w:rFonts w:ascii="Times New Roman" w:hAnsi="Times New Roman" w:cs="Times New Roman"/>
          <w:sz w:val="28"/>
        </w:rPr>
        <w:t xml:space="preserve"> de la sesión plenaria del </w:t>
      </w:r>
      <w:r w:rsidRPr="00E00F43">
        <w:rPr>
          <w:rFonts w:ascii="Times New Roman" w:hAnsi="Times New Roman" w:cs="Times New Roman"/>
          <w:sz w:val="28"/>
        </w:rPr>
        <w:t>6 de septiembre de 2022</w:t>
      </w:r>
      <w:r w:rsidRPr="00E00F43">
        <w:rPr>
          <w:rFonts w:ascii="Times New Roman" w:hAnsi="Times New Roman" w:cs="Times New Roman"/>
          <w:sz w:val="28"/>
        </w:rPr>
        <w:t xml:space="preserve"> que asistieron </w:t>
      </w:r>
      <w:r w:rsidRPr="00E00F43">
        <w:rPr>
          <w:rFonts w:ascii="Times New Roman" w:hAnsi="Times New Roman" w:cs="Times New Roman"/>
          <w:sz w:val="28"/>
        </w:rPr>
        <w:t>92</w:t>
      </w:r>
      <w:r w:rsidRPr="00E00F43">
        <w:rPr>
          <w:rFonts w:ascii="Times New Roman" w:hAnsi="Times New Roman" w:cs="Times New Roman"/>
          <w:sz w:val="28"/>
        </w:rPr>
        <w:t xml:space="preserve"> </w:t>
      </w:r>
      <w:r w:rsidRPr="00E00F43">
        <w:rPr>
          <w:rFonts w:ascii="Times New Roman" w:hAnsi="Times New Roman" w:cs="Times New Roman"/>
          <w:sz w:val="28"/>
        </w:rPr>
        <w:t>senadores y senadoras, de la totalidad de</w:t>
      </w:r>
      <w:r w:rsidRPr="00E00F43">
        <w:rPr>
          <w:rFonts w:ascii="Times New Roman" w:hAnsi="Times New Roman" w:cs="Times New Roman"/>
          <w:sz w:val="28"/>
        </w:rPr>
        <w:t xml:space="preserve"> la </w:t>
      </w:r>
      <w:r w:rsidRPr="00E00F43">
        <w:rPr>
          <w:rFonts w:ascii="Times New Roman" w:hAnsi="Times New Roman" w:cs="Times New Roman"/>
          <w:sz w:val="28"/>
        </w:rPr>
        <w:t>p</w:t>
      </w:r>
      <w:r w:rsidRPr="00E00F43">
        <w:rPr>
          <w:rFonts w:ascii="Times New Roman" w:hAnsi="Times New Roman" w:cs="Times New Roman"/>
          <w:sz w:val="28"/>
        </w:rPr>
        <w:t>lenaria del Senado de la Repúblic</w:t>
      </w:r>
      <w:r w:rsidRPr="00E00F43">
        <w:rPr>
          <w:rFonts w:ascii="Times New Roman" w:hAnsi="Times New Roman" w:cs="Times New Roman"/>
          <w:sz w:val="28"/>
        </w:rPr>
        <w:t xml:space="preserve">a. De esta manera, se </w:t>
      </w:r>
      <w:r w:rsidRPr="00E00F43">
        <w:rPr>
          <w:rFonts w:ascii="Times New Roman" w:hAnsi="Times New Roman" w:cs="Times New Roman"/>
          <w:sz w:val="28"/>
        </w:rPr>
        <w:t>certificó el registro de quórum decisorio</w:t>
      </w:r>
      <w:r w:rsidRPr="00E00F43">
        <w:rPr>
          <w:rFonts w:ascii="Times New Roman" w:hAnsi="Times New Roman" w:cs="Times New Roman"/>
          <w:sz w:val="28"/>
        </w:rPr>
        <w:t>.</w:t>
      </w:r>
      <w:r w:rsidRPr="00E00F43">
        <w:rPr>
          <w:rStyle w:val="Refdenotaalpie"/>
          <w:rFonts w:ascii="Times New Roman" w:hAnsi="Times New Roman"/>
          <w:bCs/>
          <w:sz w:val="28"/>
          <w:lang w:eastAsia="es-CO"/>
        </w:rPr>
        <w:footnoteReference w:id="54"/>
      </w:r>
      <w:r w:rsidRPr="00E00F43">
        <w:rPr>
          <w:rFonts w:ascii="Times New Roman" w:hAnsi="Times New Roman" w:cs="Times New Roman"/>
          <w:sz w:val="28"/>
        </w:rPr>
        <w:t xml:space="preserve"> Después de discutir el proyecto, con votac</w:t>
      </w:r>
      <w:r w:rsidRPr="00E00F43">
        <w:rPr>
          <w:rFonts w:ascii="Times New Roman" w:hAnsi="Times New Roman" w:cs="Times New Roman"/>
          <w:sz w:val="28"/>
        </w:rPr>
        <w:t xml:space="preserve">ión nominal y pública, se aprobó la proposición positiva con que termina el informe de ponencia, con </w:t>
      </w:r>
      <w:r w:rsidRPr="00E00F43">
        <w:rPr>
          <w:rFonts w:ascii="Times New Roman" w:hAnsi="Times New Roman" w:cs="Times New Roman"/>
          <w:sz w:val="28"/>
        </w:rPr>
        <w:t>59</w:t>
      </w:r>
      <w:r w:rsidRPr="00E00F43">
        <w:rPr>
          <w:rFonts w:ascii="Times New Roman" w:hAnsi="Times New Roman" w:cs="Times New Roman"/>
          <w:sz w:val="28"/>
        </w:rPr>
        <w:t xml:space="preserve"> votos a favor y </w:t>
      </w:r>
      <w:r w:rsidRPr="00E00F43">
        <w:rPr>
          <w:rFonts w:ascii="Times New Roman" w:hAnsi="Times New Roman" w:cs="Times New Roman"/>
          <w:sz w:val="28"/>
        </w:rPr>
        <w:t xml:space="preserve">2 </w:t>
      </w:r>
      <w:r w:rsidRPr="00E00F43">
        <w:rPr>
          <w:rFonts w:ascii="Times New Roman" w:hAnsi="Times New Roman" w:cs="Times New Roman"/>
          <w:sz w:val="28"/>
        </w:rPr>
        <w:t>en contra, mientras que el articulado, el título y la decisión de continuar con el trámite en la Cámara de Representantes se aprobaron</w:t>
      </w:r>
      <w:r w:rsidRPr="00E00F43">
        <w:rPr>
          <w:rFonts w:ascii="Times New Roman" w:hAnsi="Times New Roman" w:cs="Times New Roman"/>
          <w:sz w:val="28"/>
        </w:rPr>
        <w:t xml:space="preserve"> con 6</w:t>
      </w:r>
      <w:r w:rsidRPr="00E00F43">
        <w:rPr>
          <w:rFonts w:ascii="Times New Roman" w:hAnsi="Times New Roman" w:cs="Times New Roman"/>
          <w:sz w:val="28"/>
        </w:rPr>
        <w:t>7</w:t>
      </w:r>
      <w:r w:rsidRPr="00E00F43">
        <w:rPr>
          <w:rFonts w:ascii="Times New Roman" w:hAnsi="Times New Roman" w:cs="Times New Roman"/>
          <w:sz w:val="28"/>
        </w:rPr>
        <w:t xml:space="preserve"> votos a favor y </w:t>
      </w:r>
      <w:r w:rsidRPr="00E00F43">
        <w:rPr>
          <w:rFonts w:ascii="Times New Roman" w:hAnsi="Times New Roman" w:cs="Times New Roman"/>
          <w:sz w:val="28"/>
        </w:rPr>
        <w:t>0</w:t>
      </w:r>
      <w:r w:rsidRPr="00E00F43">
        <w:rPr>
          <w:rFonts w:ascii="Times New Roman" w:hAnsi="Times New Roman" w:cs="Times New Roman"/>
          <w:sz w:val="28"/>
        </w:rPr>
        <w:t xml:space="preserve"> en contra</w:t>
      </w:r>
      <w:r w:rsidRPr="00E00F43">
        <w:rPr>
          <w:rFonts w:ascii="Times New Roman" w:hAnsi="Times New Roman" w:cs="Times New Roman"/>
          <w:sz w:val="28"/>
        </w:rPr>
        <w:t>. Todo lo anterior</w:t>
      </w:r>
      <w:r w:rsidRPr="00E00F43">
        <w:rPr>
          <w:rFonts w:ascii="Times New Roman" w:hAnsi="Times New Roman" w:cs="Times New Roman"/>
          <w:sz w:val="28"/>
        </w:rPr>
        <w:t xml:space="preserve"> consta en la Gaceta</w:t>
      </w:r>
      <w:r w:rsidRPr="00E00F43">
        <w:rPr>
          <w:rFonts w:ascii="Times New Roman" w:hAnsi="Times New Roman" w:cs="Times New Roman"/>
          <w:sz w:val="28"/>
        </w:rPr>
        <w:t xml:space="preserve"> del Congreso</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1288</w:t>
      </w:r>
      <w:r w:rsidRPr="00E00F43">
        <w:rPr>
          <w:rFonts w:ascii="Times New Roman" w:hAnsi="Times New Roman" w:cs="Times New Roman"/>
          <w:sz w:val="28"/>
        </w:rPr>
        <w:t xml:space="preserve"> del </w:t>
      </w:r>
      <w:r w:rsidRPr="00E00F43">
        <w:rPr>
          <w:rFonts w:ascii="Times New Roman" w:hAnsi="Times New Roman" w:cs="Times New Roman"/>
          <w:sz w:val="28"/>
        </w:rPr>
        <w:t>20 de octubre de 2022</w:t>
      </w:r>
      <w:r w:rsidRPr="00E00F43">
        <w:rPr>
          <w:rFonts w:ascii="Times New Roman" w:hAnsi="Times New Roman" w:cs="Times New Roman"/>
          <w:sz w:val="28"/>
          <w:vertAlign w:val="superscript"/>
        </w:rPr>
        <w:footnoteReference w:id="55"/>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El mecanismo y los resultados de la votación fueron ratificados por el secretario general del Senado, Gregorio Eljach Pacheco, en co</w:t>
      </w:r>
      <w:r w:rsidRPr="00E00F43">
        <w:rPr>
          <w:rFonts w:ascii="Times New Roman" w:hAnsi="Times New Roman" w:cs="Times New Roman"/>
          <w:sz w:val="28"/>
        </w:rPr>
        <w:t>municación enviada a la Corte Constitucional</w:t>
      </w:r>
      <w:r w:rsidRPr="00E00F43">
        <w:rPr>
          <w:rFonts w:ascii="Times New Roman" w:hAnsi="Times New Roman" w:cs="Times New Roman"/>
          <w:sz w:val="28"/>
          <w:vertAlign w:val="superscript"/>
        </w:rPr>
        <w:footnoteReference w:id="56"/>
      </w:r>
      <w:r w:rsidRPr="00E00F43">
        <w:rPr>
          <w:rFonts w:ascii="Times New Roman" w:hAnsi="Times New Roman" w:cs="Times New Roman"/>
          <w:sz w:val="28"/>
        </w:rPr>
        <w:t>.</w:t>
      </w:r>
    </w:p>
    <w:p w:rsidR="0001387F" w:rsidRPr="00E00F43" w:rsidRDefault="00E00F43" w:rsidP="00A542D4">
      <w:pPr>
        <w:pStyle w:val="Ttulo"/>
        <w:numPr>
          <w:ilvl w:val="0"/>
          <w:numId w:val="0"/>
        </w:numPr>
        <w:rPr>
          <w:rFonts w:ascii="Times New Roman" w:hAnsi="Times New Roman" w:cs="Times New Roman"/>
          <w:bCs/>
          <w:i/>
          <w:iCs/>
          <w:sz w:val="28"/>
          <w:lang w:eastAsia="es-CO"/>
        </w:rPr>
      </w:pPr>
    </w:p>
    <w:p w:rsidR="00637592" w:rsidRPr="00E00F43" w:rsidRDefault="00E00F43" w:rsidP="00A542D4">
      <w:pPr>
        <w:pStyle w:val="Ttulo"/>
        <w:rPr>
          <w:rFonts w:ascii="Times New Roman" w:hAnsi="Times New Roman" w:cs="Times New Roman"/>
          <w:bCs/>
          <w:i/>
          <w:iCs/>
          <w:sz w:val="28"/>
          <w:lang w:eastAsia="es-CO"/>
        </w:rPr>
      </w:pPr>
      <w:r w:rsidRPr="00E00F43">
        <w:rPr>
          <w:rFonts w:ascii="Times New Roman" w:hAnsi="Times New Roman" w:cs="Times New Roman"/>
          <w:bCs/>
          <w:i/>
          <w:iCs/>
          <w:sz w:val="28"/>
          <w:lang w:eastAsia="es-CO"/>
        </w:rPr>
        <w:t xml:space="preserve"> </w:t>
      </w:r>
      <w:r w:rsidRPr="00E00F43">
        <w:rPr>
          <w:rFonts w:ascii="Times New Roman" w:hAnsi="Times New Roman" w:cs="Times New Roman"/>
          <w:bCs/>
          <w:i/>
          <w:iCs/>
          <w:sz w:val="28"/>
          <w:lang w:eastAsia="es-CO"/>
        </w:rPr>
        <w:t>Publicación definitiva.</w:t>
      </w:r>
      <w:r w:rsidRPr="00E00F43">
        <w:rPr>
          <w:rFonts w:ascii="Times New Roman" w:hAnsi="Times New Roman" w:cs="Times New Roman"/>
          <w:bCs/>
          <w:sz w:val="28"/>
          <w:lang w:eastAsia="es-CO"/>
        </w:rPr>
        <w:t xml:space="preserve"> En la Gaceta del Congreso</w:t>
      </w:r>
      <w:r w:rsidRPr="00E00F43">
        <w:rPr>
          <w:rFonts w:ascii="Times New Roman" w:hAnsi="Times New Roman" w:cs="Times New Roman"/>
          <w:bCs/>
          <w:sz w:val="28"/>
          <w:lang w:eastAsia="es-CO"/>
        </w:rPr>
        <w:t xml:space="preserve"> n.</w:t>
      </w:r>
      <w:r w:rsidRPr="00E00F43">
        <w:rPr>
          <w:rFonts w:ascii="Times New Roman" w:hAnsi="Times New Roman" w:cs="Times New Roman"/>
          <w:bCs/>
          <w:sz w:val="28"/>
          <w:lang w:eastAsia="es-CO"/>
        </w:rPr>
        <w:t>°</w:t>
      </w:r>
      <w:r w:rsidRPr="00E00F43">
        <w:rPr>
          <w:rFonts w:ascii="Times New Roman" w:hAnsi="Times New Roman" w:cs="Times New Roman"/>
          <w:bCs/>
          <w:sz w:val="28"/>
          <w:lang w:eastAsia="es-CO"/>
        </w:rPr>
        <w:t xml:space="preserve"> </w:t>
      </w:r>
      <w:r w:rsidRPr="00E00F43">
        <w:rPr>
          <w:rFonts w:ascii="Times New Roman" w:hAnsi="Times New Roman" w:cs="Times New Roman"/>
          <w:bCs/>
          <w:sz w:val="28"/>
          <w:lang w:eastAsia="es-CO"/>
        </w:rPr>
        <w:t>1051 del 8 de septiembre de 2022,</w:t>
      </w:r>
      <w:r w:rsidRPr="00E00F43">
        <w:rPr>
          <w:rFonts w:ascii="Times New Roman" w:hAnsi="Times New Roman" w:cs="Times New Roman"/>
          <w:bCs/>
          <w:sz w:val="28"/>
          <w:lang w:eastAsia="es-CO"/>
        </w:rPr>
        <w:t xml:space="preserve"> se realizó la publicación del texto definitivo del </w:t>
      </w:r>
      <w:r w:rsidRPr="00E00F43">
        <w:rPr>
          <w:rFonts w:ascii="Times New Roman" w:hAnsi="Times New Roman" w:cs="Times New Roman"/>
          <w:bCs/>
          <w:sz w:val="28"/>
          <w:lang w:eastAsia="es-CO"/>
        </w:rPr>
        <w:t>p</w:t>
      </w:r>
      <w:r w:rsidRPr="00E00F43">
        <w:rPr>
          <w:rFonts w:ascii="Times New Roman" w:hAnsi="Times New Roman" w:cs="Times New Roman"/>
          <w:bCs/>
          <w:sz w:val="28"/>
          <w:lang w:eastAsia="es-CO"/>
        </w:rPr>
        <w:t xml:space="preserve">royecto de </w:t>
      </w:r>
      <w:r w:rsidRPr="00E00F43">
        <w:rPr>
          <w:rFonts w:ascii="Times New Roman" w:hAnsi="Times New Roman" w:cs="Times New Roman"/>
          <w:bCs/>
          <w:sz w:val="28"/>
          <w:lang w:eastAsia="es-CO"/>
        </w:rPr>
        <w:t>l</w:t>
      </w:r>
      <w:r w:rsidRPr="00E00F43">
        <w:rPr>
          <w:rFonts w:ascii="Times New Roman" w:hAnsi="Times New Roman" w:cs="Times New Roman"/>
          <w:bCs/>
          <w:sz w:val="28"/>
          <w:lang w:eastAsia="es-CO"/>
        </w:rPr>
        <w:t xml:space="preserve">ey </w:t>
      </w:r>
      <w:r w:rsidRPr="00E00F43">
        <w:rPr>
          <w:rFonts w:ascii="Times New Roman" w:hAnsi="Times New Roman" w:cs="Times New Roman"/>
          <w:bCs/>
          <w:sz w:val="28"/>
          <w:lang w:eastAsia="es-CO"/>
        </w:rPr>
        <w:t>335</w:t>
      </w:r>
      <w:r w:rsidRPr="00E00F43">
        <w:rPr>
          <w:rFonts w:ascii="Times New Roman" w:hAnsi="Times New Roman" w:cs="Times New Roman"/>
          <w:bCs/>
          <w:sz w:val="28"/>
          <w:lang w:eastAsia="es-CO"/>
        </w:rPr>
        <w:t xml:space="preserve"> de 202</w:t>
      </w:r>
      <w:r w:rsidRPr="00E00F43">
        <w:rPr>
          <w:rFonts w:ascii="Times New Roman" w:hAnsi="Times New Roman" w:cs="Times New Roman"/>
          <w:bCs/>
          <w:sz w:val="28"/>
          <w:lang w:eastAsia="es-CO"/>
        </w:rPr>
        <w:t>2</w:t>
      </w:r>
      <w:r w:rsidRPr="00E00F43">
        <w:rPr>
          <w:rFonts w:ascii="Times New Roman" w:hAnsi="Times New Roman" w:cs="Times New Roman"/>
          <w:bCs/>
          <w:sz w:val="28"/>
          <w:lang w:eastAsia="es-CO"/>
        </w:rPr>
        <w:t xml:space="preserve"> Senado, aprobado en la sesión plenaria</w:t>
      </w:r>
      <w:r w:rsidRPr="00E00F43">
        <w:rPr>
          <w:rFonts w:ascii="Times New Roman" w:hAnsi="Times New Roman" w:cs="Times New Roman"/>
          <w:bCs/>
          <w:sz w:val="28"/>
          <w:lang w:eastAsia="es-CO"/>
        </w:rPr>
        <w:t xml:space="preserve"> de esta Corporación</w:t>
      </w:r>
      <w:r w:rsidRPr="00E00F43">
        <w:rPr>
          <w:rFonts w:ascii="Times New Roman" w:hAnsi="Times New Roman" w:cs="Times New Roman"/>
          <w:bCs/>
          <w:sz w:val="28"/>
          <w:lang w:eastAsia="es-CO"/>
        </w:rPr>
        <w:t xml:space="preserve"> del día </w:t>
      </w:r>
      <w:r w:rsidRPr="00E00F43">
        <w:rPr>
          <w:rFonts w:ascii="Times New Roman" w:hAnsi="Times New Roman" w:cs="Times New Roman"/>
          <w:bCs/>
          <w:sz w:val="28"/>
          <w:lang w:eastAsia="es-CO"/>
        </w:rPr>
        <w:t>6 de septiembre de 2022</w:t>
      </w:r>
      <w:r w:rsidRPr="00E00F43">
        <w:rPr>
          <w:rFonts w:ascii="Times New Roman" w:hAnsi="Times New Roman" w:cs="Times New Roman"/>
          <w:sz w:val="28"/>
          <w:vertAlign w:val="superscript"/>
        </w:rPr>
        <w:footnoteReference w:id="57"/>
      </w:r>
      <w:r w:rsidRPr="00E00F43">
        <w:rPr>
          <w:rFonts w:ascii="Times New Roman" w:hAnsi="Times New Roman" w:cs="Times New Roman"/>
          <w:bCs/>
          <w:sz w:val="28"/>
          <w:lang w:eastAsia="es-CO"/>
        </w:rPr>
        <w:t xml:space="preserve">. </w:t>
      </w:r>
    </w:p>
    <w:p w:rsidR="00637592" w:rsidRPr="00E00F43" w:rsidRDefault="00E00F43" w:rsidP="00A542D4">
      <w:pPr>
        <w:pStyle w:val="Ttulo"/>
        <w:numPr>
          <w:ilvl w:val="0"/>
          <w:numId w:val="0"/>
        </w:numPr>
        <w:rPr>
          <w:rFonts w:ascii="Times New Roman" w:hAnsi="Times New Roman" w:cs="Times New Roman"/>
          <w:bCs/>
          <w:i/>
          <w:iCs/>
          <w:sz w:val="28"/>
          <w:lang w:eastAsia="es-CO"/>
        </w:rPr>
      </w:pPr>
    </w:p>
    <w:p w:rsidR="002165DD" w:rsidRPr="00E00F43" w:rsidRDefault="00E00F43" w:rsidP="00A542D4">
      <w:pPr>
        <w:pStyle w:val="Ttulo"/>
        <w:rPr>
          <w:rFonts w:ascii="Times New Roman" w:hAnsi="Times New Roman" w:cs="Times New Roman"/>
          <w:bCs/>
          <w:i/>
          <w:iCs/>
          <w:sz w:val="28"/>
          <w:lang w:eastAsia="es-CO"/>
        </w:rPr>
      </w:pPr>
      <w:r w:rsidRPr="00E00F43">
        <w:rPr>
          <w:rFonts w:ascii="Times New Roman" w:hAnsi="Times New Roman" w:cs="Times New Roman"/>
          <w:bCs/>
          <w:i/>
          <w:iCs/>
          <w:sz w:val="28"/>
          <w:lang w:eastAsia="es-CO"/>
        </w:rPr>
        <w:t xml:space="preserve"> </w:t>
      </w:r>
      <w:r w:rsidRPr="00E00F43">
        <w:rPr>
          <w:rFonts w:ascii="Times New Roman" w:hAnsi="Times New Roman" w:cs="Times New Roman"/>
          <w:bCs/>
          <w:i/>
          <w:iCs/>
          <w:sz w:val="28"/>
          <w:lang w:eastAsia="es-CO"/>
        </w:rPr>
        <w:t xml:space="preserve">Lapso entre debates. </w:t>
      </w:r>
      <w:r w:rsidRPr="00E00F43">
        <w:rPr>
          <w:rFonts w:ascii="Times New Roman" w:hAnsi="Times New Roman" w:cs="Times New Roman"/>
          <w:bCs/>
          <w:sz w:val="28"/>
          <w:lang w:eastAsia="es-CO"/>
        </w:rPr>
        <w:t xml:space="preserve">En cumplimiento del artículo 160 superior, entre el primer y el segundo debate en el Senado transcurrió un lapso no inferior a ocho días, pues el debate en la </w:t>
      </w:r>
      <w:r w:rsidRPr="00E00F43">
        <w:rPr>
          <w:rFonts w:ascii="Times New Roman" w:hAnsi="Times New Roman" w:cs="Times New Roman"/>
          <w:bCs/>
          <w:sz w:val="28"/>
          <w:lang w:eastAsia="es-CO"/>
        </w:rPr>
        <w:t>c</w:t>
      </w:r>
      <w:r w:rsidRPr="00E00F43">
        <w:rPr>
          <w:rFonts w:ascii="Times New Roman" w:hAnsi="Times New Roman" w:cs="Times New Roman"/>
          <w:bCs/>
          <w:sz w:val="28"/>
          <w:lang w:eastAsia="es-CO"/>
        </w:rPr>
        <w:t xml:space="preserve">omisión </w:t>
      </w:r>
      <w:r w:rsidRPr="00E00F43">
        <w:rPr>
          <w:rFonts w:ascii="Times New Roman" w:hAnsi="Times New Roman" w:cs="Times New Roman"/>
          <w:bCs/>
          <w:sz w:val="28"/>
          <w:lang w:eastAsia="es-CO"/>
        </w:rPr>
        <w:t>s</w:t>
      </w:r>
      <w:r w:rsidRPr="00E00F43">
        <w:rPr>
          <w:rFonts w:ascii="Times New Roman" w:hAnsi="Times New Roman" w:cs="Times New Roman"/>
          <w:bCs/>
          <w:sz w:val="28"/>
          <w:lang w:eastAsia="es-CO"/>
        </w:rPr>
        <w:t>egunda t</w:t>
      </w:r>
      <w:r w:rsidRPr="00E00F43">
        <w:rPr>
          <w:rFonts w:ascii="Times New Roman" w:hAnsi="Times New Roman" w:cs="Times New Roman"/>
          <w:bCs/>
          <w:sz w:val="28"/>
          <w:lang w:eastAsia="es-CO"/>
        </w:rPr>
        <w:t xml:space="preserve">uvo lugar el día 17 </w:t>
      </w:r>
      <w:r w:rsidRPr="00E00F43">
        <w:rPr>
          <w:rFonts w:ascii="Times New Roman" w:hAnsi="Times New Roman" w:cs="Times New Roman"/>
          <w:bCs/>
          <w:sz w:val="28"/>
          <w:lang w:eastAsia="es-CO"/>
        </w:rPr>
        <w:t>de mayo de 2022</w:t>
      </w:r>
      <w:r w:rsidRPr="00E00F43">
        <w:rPr>
          <w:rFonts w:ascii="Times New Roman" w:hAnsi="Times New Roman" w:cs="Times New Roman"/>
          <w:bCs/>
          <w:sz w:val="28"/>
          <w:lang w:eastAsia="es-CO"/>
        </w:rPr>
        <w:t xml:space="preserve">, y en </w:t>
      </w:r>
      <w:r w:rsidRPr="00E00F43">
        <w:rPr>
          <w:rFonts w:ascii="Times New Roman" w:hAnsi="Times New Roman" w:cs="Times New Roman"/>
          <w:bCs/>
          <w:sz w:val="28"/>
          <w:lang w:eastAsia="es-CO"/>
        </w:rPr>
        <w:t>p</w:t>
      </w:r>
      <w:r w:rsidRPr="00E00F43">
        <w:rPr>
          <w:rFonts w:ascii="Times New Roman" w:hAnsi="Times New Roman" w:cs="Times New Roman"/>
          <w:bCs/>
          <w:sz w:val="28"/>
          <w:lang w:eastAsia="es-CO"/>
        </w:rPr>
        <w:t>lenaria</w:t>
      </w:r>
      <w:r w:rsidRPr="00E00F43">
        <w:rPr>
          <w:rFonts w:ascii="Times New Roman" w:hAnsi="Times New Roman" w:cs="Times New Roman"/>
          <w:bCs/>
          <w:sz w:val="28"/>
          <w:lang w:eastAsia="es-CO"/>
        </w:rPr>
        <w:t xml:space="preserve"> del Senado</w:t>
      </w:r>
      <w:r w:rsidRPr="00E00F43">
        <w:rPr>
          <w:rFonts w:ascii="Times New Roman" w:hAnsi="Times New Roman" w:cs="Times New Roman"/>
          <w:bCs/>
          <w:sz w:val="28"/>
          <w:lang w:eastAsia="es-CO"/>
        </w:rPr>
        <w:t xml:space="preserve"> el día </w:t>
      </w:r>
      <w:r w:rsidRPr="00E00F43">
        <w:rPr>
          <w:rFonts w:ascii="Times New Roman" w:hAnsi="Times New Roman" w:cs="Times New Roman"/>
          <w:bCs/>
          <w:sz w:val="28"/>
          <w:lang w:eastAsia="es-CO"/>
        </w:rPr>
        <w:t>6 de septiembre de 2022</w:t>
      </w:r>
      <w:r w:rsidRPr="00E00F43">
        <w:rPr>
          <w:rFonts w:ascii="Times New Roman" w:hAnsi="Times New Roman" w:cs="Times New Roman"/>
          <w:bCs/>
          <w:sz w:val="28"/>
          <w:lang w:eastAsia="es-CO"/>
        </w:rPr>
        <w:t>. Adicionalmente, como se evidencia a continuación, entre la aprobación en el Senado y la iniciación del debate en la Cámara de Representantes transcurrieron más de</w:t>
      </w:r>
      <w:r w:rsidRPr="00E00F43">
        <w:rPr>
          <w:rFonts w:ascii="Times New Roman" w:hAnsi="Times New Roman" w:cs="Times New Roman"/>
          <w:bCs/>
          <w:sz w:val="28"/>
          <w:lang w:eastAsia="es-CO"/>
        </w:rPr>
        <w:t xml:space="preserve"> 15 días. </w:t>
      </w:r>
    </w:p>
    <w:p w:rsidR="002165DD" w:rsidRPr="00E00F43" w:rsidRDefault="00E00F43" w:rsidP="002165DD">
      <w:pPr>
        <w:spacing w:after="0"/>
        <w:rPr>
          <w:rFonts w:ascii="Times New Roman" w:eastAsia="Times New Roman" w:hAnsi="Times New Roman" w:cs="Times New Roman"/>
          <w:bCs/>
          <w:i/>
          <w:iCs/>
          <w:sz w:val="28"/>
          <w:szCs w:val="24"/>
          <w:lang w:val="es-ES"/>
        </w:rPr>
      </w:pPr>
    </w:p>
    <w:p w:rsidR="002165DD" w:rsidRPr="00E00F43" w:rsidRDefault="00E00F43">
      <w:pPr>
        <w:pStyle w:val="Prrafodelista"/>
        <w:numPr>
          <w:ilvl w:val="3"/>
          <w:numId w:val="7"/>
        </w:numPr>
        <w:tabs>
          <w:tab w:val="left" w:pos="851"/>
        </w:tabs>
        <w:spacing w:line="276" w:lineRule="auto"/>
        <w:ind w:left="0" w:firstLine="0"/>
        <w:contextualSpacing/>
        <w:rPr>
          <w:rFonts w:ascii="Times New Roman" w:hAnsi="Times New Roman" w:cs="Times New Roman"/>
          <w:b/>
          <w:sz w:val="28"/>
          <w:szCs w:val="24"/>
          <w:lang w:val="es-ES" w:eastAsia="es-CO"/>
        </w:rPr>
      </w:pPr>
      <w:r w:rsidRPr="00E00F43">
        <w:rPr>
          <w:rFonts w:ascii="Times New Roman" w:hAnsi="Times New Roman" w:cs="Times New Roman"/>
          <w:b/>
          <w:sz w:val="28"/>
          <w:szCs w:val="24"/>
          <w:lang w:val="es-ES" w:eastAsia="es-CO"/>
        </w:rPr>
        <w:t xml:space="preserve">Trámite en la Cámara de Representantes  </w:t>
      </w:r>
    </w:p>
    <w:p w:rsidR="002165DD" w:rsidRPr="00E00F43" w:rsidRDefault="00E00F43" w:rsidP="002165DD">
      <w:pPr>
        <w:spacing w:after="0"/>
        <w:rPr>
          <w:rFonts w:ascii="Times New Roman" w:eastAsia="Times New Roman" w:hAnsi="Times New Roman" w:cs="Times New Roman"/>
          <w:bCs/>
          <w:i/>
          <w:iCs/>
          <w:sz w:val="28"/>
          <w:szCs w:val="24"/>
          <w:lang w:val="es-ES"/>
        </w:rPr>
      </w:pPr>
    </w:p>
    <w:p w:rsidR="00637592" w:rsidRPr="00E00F43" w:rsidRDefault="00E00F43" w:rsidP="00A16E54">
      <w:pPr>
        <w:pStyle w:val="Ttulo"/>
        <w:rPr>
          <w:rFonts w:ascii="Times New Roman" w:hAnsi="Times New Roman" w:cs="Times New Roman"/>
          <w:i/>
          <w:iCs/>
          <w:sz w:val="28"/>
        </w:rPr>
      </w:pPr>
      <w:r w:rsidRPr="00E00F43">
        <w:rPr>
          <w:rFonts w:ascii="Times New Roman" w:hAnsi="Times New Roman" w:cs="Times New Roman"/>
          <w:i/>
          <w:iCs/>
          <w:sz w:val="28"/>
        </w:rPr>
        <w:t xml:space="preserve"> </w:t>
      </w:r>
      <w:r w:rsidRPr="00E00F43">
        <w:rPr>
          <w:rFonts w:ascii="Times New Roman" w:hAnsi="Times New Roman" w:cs="Times New Roman"/>
          <w:i/>
          <w:iCs/>
          <w:sz w:val="28"/>
        </w:rPr>
        <w:t xml:space="preserve">Ponencia para primer debate. </w:t>
      </w:r>
      <w:r w:rsidRPr="00E00F43">
        <w:rPr>
          <w:rFonts w:ascii="Times New Roman" w:hAnsi="Times New Roman" w:cs="Times New Roman"/>
          <w:sz w:val="28"/>
        </w:rPr>
        <w:t>La Gaceta del Congreso</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1335</w:t>
      </w:r>
      <w:r w:rsidRPr="00E00F43">
        <w:rPr>
          <w:rFonts w:ascii="Times New Roman" w:hAnsi="Times New Roman" w:cs="Times New Roman"/>
          <w:sz w:val="28"/>
        </w:rPr>
        <w:t xml:space="preserve"> del </w:t>
      </w:r>
      <w:r w:rsidRPr="00E00F43">
        <w:rPr>
          <w:rFonts w:ascii="Times New Roman" w:hAnsi="Times New Roman" w:cs="Times New Roman"/>
          <w:sz w:val="28"/>
        </w:rPr>
        <w:t>27 de octubre de 2022</w:t>
      </w:r>
      <w:r w:rsidRPr="00E00F43">
        <w:rPr>
          <w:rFonts w:ascii="Times New Roman" w:hAnsi="Times New Roman" w:cs="Times New Roman"/>
          <w:sz w:val="28"/>
        </w:rPr>
        <w:t xml:space="preserve"> contiene el informe de ponencia</w:t>
      </w:r>
      <w:r w:rsidRPr="00E00F43">
        <w:rPr>
          <w:rStyle w:val="Refdenotaalpie"/>
          <w:rFonts w:ascii="Times New Roman" w:hAnsi="Times New Roman"/>
          <w:bCs/>
          <w:sz w:val="28"/>
          <w:lang w:eastAsia="es-CO"/>
        </w:rPr>
        <w:footnoteReference w:id="58"/>
      </w:r>
      <w:r w:rsidRPr="00E00F43">
        <w:rPr>
          <w:rFonts w:ascii="Times New Roman" w:hAnsi="Times New Roman" w:cs="Times New Roman"/>
          <w:sz w:val="28"/>
        </w:rPr>
        <w:t xml:space="preserve"> y texto propuesto para primer debate al proyecto de ley mencionado</w:t>
      </w:r>
      <w:r w:rsidRPr="00E00F43">
        <w:rPr>
          <w:rFonts w:ascii="Times New Roman" w:hAnsi="Times New Roman" w:cs="Times New Roman"/>
          <w:sz w:val="28"/>
          <w:vertAlign w:val="superscript"/>
        </w:rPr>
        <w:footnoteReference w:id="59"/>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 xml:space="preserve">al cual se le asignó el número </w:t>
      </w:r>
      <w:r w:rsidRPr="00E00F43">
        <w:rPr>
          <w:rFonts w:ascii="Times New Roman" w:hAnsi="Times New Roman" w:cs="Times New Roman"/>
          <w:sz w:val="28"/>
        </w:rPr>
        <w:t>199 de 2022</w:t>
      </w:r>
      <w:r w:rsidRPr="00E00F43">
        <w:rPr>
          <w:rFonts w:ascii="Times New Roman" w:hAnsi="Times New Roman" w:cs="Times New Roman"/>
          <w:sz w:val="28"/>
        </w:rPr>
        <w:t xml:space="preserve"> en la Cámara</w:t>
      </w:r>
      <w:r w:rsidRPr="00E00F43">
        <w:rPr>
          <w:rFonts w:ascii="Times New Roman" w:hAnsi="Times New Roman" w:cs="Times New Roman"/>
          <w:sz w:val="28"/>
        </w:rPr>
        <w:t xml:space="preserve">. </w:t>
      </w:r>
      <w:r w:rsidRPr="00E00F43">
        <w:rPr>
          <w:rFonts w:ascii="Times New Roman" w:hAnsi="Times New Roman" w:cs="Times New Roman"/>
          <w:sz w:val="28"/>
        </w:rPr>
        <w:t xml:space="preserve">En </w:t>
      </w:r>
      <w:r w:rsidRPr="00E00F43">
        <w:rPr>
          <w:rFonts w:ascii="Times New Roman" w:hAnsi="Times New Roman" w:cs="Times New Roman"/>
          <w:sz w:val="28"/>
        </w:rPr>
        <w:t>este</w:t>
      </w:r>
      <w:r w:rsidRPr="00E00F43">
        <w:rPr>
          <w:rFonts w:ascii="Times New Roman" w:hAnsi="Times New Roman" w:cs="Times New Roman"/>
          <w:sz w:val="28"/>
        </w:rPr>
        <w:t xml:space="preserve">, previa designación como ponentes por parte de la mesa directiva de la </w:t>
      </w:r>
      <w:r w:rsidRPr="00E00F43">
        <w:rPr>
          <w:rFonts w:ascii="Times New Roman" w:hAnsi="Times New Roman" w:cs="Times New Roman"/>
          <w:sz w:val="28"/>
        </w:rPr>
        <w:t>c</w:t>
      </w:r>
      <w:r w:rsidRPr="00E00F43">
        <w:rPr>
          <w:rFonts w:ascii="Times New Roman" w:hAnsi="Times New Roman" w:cs="Times New Roman"/>
          <w:sz w:val="28"/>
        </w:rPr>
        <w:t xml:space="preserve">omisión </w:t>
      </w:r>
      <w:r w:rsidRPr="00E00F43">
        <w:rPr>
          <w:rFonts w:ascii="Times New Roman" w:hAnsi="Times New Roman" w:cs="Times New Roman"/>
          <w:sz w:val="28"/>
        </w:rPr>
        <w:t>s</w:t>
      </w:r>
      <w:r w:rsidRPr="00E00F43">
        <w:rPr>
          <w:rFonts w:ascii="Times New Roman" w:hAnsi="Times New Roman" w:cs="Times New Roman"/>
          <w:sz w:val="28"/>
        </w:rPr>
        <w:t xml:space="preserve">egunda de la Cámara de Representantes, </w:t>
      </w:r>
      <w:r w:rsidRPr="00E00F43">
        <w:rPr>
          <w:rFonts w:ascii="Times New Roman" w:hAnsi="Times New Roman" w:cs="Times New Roman"/>
          <w:sz w:val="28"/>
        </w:rPr>
        <w:t xml:space="preserve">los </w:t>
      </w:r>
      <w:r w:rsidRPr="00E00F43">
        <w:rPr>
          <w:rFonts w:ascii="Times New Roman" w:hAnsi="Times New Roman" w:cs="Times New Roman"/>
          <w:sz w:val="28"/>
        </w:rPr>
        <w:t>congresistas</w:t>
      </w:r>
      <w:r w:rsidRPr="00E00F43">
        <w:rPr>
          <w:rFonts w:ascii="Times New Roman" w:hAnsi="Times New Roman" w:cs="Times New Roman"/>
          <w:sz w:val="28"/>
        </w:rPr>
        <w:t xml:space="preserve"> </w:t>
      </w:r>
      <w:r w:rsidRPr="00E00F43">
        <w:rPr>
          <w:rFonts w:ascii="Times New Roman" w:hAnsi="Times New Roman" w:cs="Times New Roman"/>
          <w:sz w:val="28"/>
        </w:rPr>
        <w:t xml:space="preserve">Juana Carolina Londoño Jaramillo, Mónica Karina </w:t>
      </w:r>
      <w:r w:rsidRPr="00E00F43">
        <w:rPr>
          <w:rFonts w:ascii="Times New Roman" w:hAnsi="Times New Roman" w:cs="Times New Roman"/>
          <w:sz w:val="28"/>
        </w:rPr>
        <w:t>Bocanegra Pantoja, Álvaro Mauricio Londoño Lugo, Carmen Felisa Ramírez Boscan y Jorge Rodrigo Tovar Vélez</w:t>
      </w:r>
      <w:r w:rsidRPr="00E00F43">
        <w:rPr>
          <w:rFonts w:ascii="Times New Roman" w:hAnsi="Times New Roman" w:cs="Times New Roman"/>
          <w:sz w:val="28"/>
        </w:rPr>
        <w:t xml:space="preserve"> </w:t>
      </w:r>
      <w:r w:rsidRPr="00E00F43">
        <w:rPr>
          <w:rFonts w:ascii="Times New Roman" w:hAnsi="Times New Roman" w:cs="Times New Roman"/>
          <w:sz w:val="28"/>
        </w:rPr>
        <w:t>r</w:t>
      </w:r>
      <w:r w:rsidRPr="00E00F43">
        <w:rPr>
          <w:rFonts w:ascii="Times New Roman" w:hAnsi="Times New Roman" w:cs="Times New Roman"/>
          <w:sz w:val="28"/>
        </w:rPr>
        <w:t>indieron concepto favorable.</w:t>
      </w:r>
      <w:r w:rsidRPr="00E00F43">
        <w:rPr>
          <w:rFonts w:ascii="Times New Roman" w:hAnsi="Times New Roman" w:cs="Times New Roman"/>
          <w:sz w:val="28"/>
        </w:rPr>
        <w:t xml:space="preserve"> Además, en consideración </w:t>
      </w:r>
      <w:r w:rsidRPr="00E00F43">
        <w:rPr>
          <w:rFonts w:ascii="Times New Roman" w:hAnsi="Times New Roman" w:cs="Times New Roman"/>
          <w:sz w:val="28"/>
        </w:rPr>
        <w:t xml:space="preserve">de </w:t>
      </w:r>
      <w:r w:rsidRPr="00E00F43">
        <w:rPr>
          <w:rFonts w:ascii="Times New Roman" w:hAnsi="Times New Roman" w:cs="Times New Roman"/>
          <w:sz w:val="28"/>
        </w:rPr>
        <w:t xml:space="preserve">que la ponencia fue presentada el </w:t>
      </w:r>
      <w:r w:rsidRPr="00E00F43">
        <w:rPr>
          <w:rFonts w:ascii="Times New Roman" w:hAnsi="Times New Roman" w:cs="Times New Roman"/>
          <w:sz w:val="28"/>
        </w:rPr>
        <w:t>27 de octubre de 2022</w:t>
      </w:r>
      <w:r w:rsidRPr="00E00F43">
        <w:rPr>
          <w:rFonts w:ascii="Times New Roman" w:hAnsi="Times New Roman" w:cs="Times New Roman"/>
          <w:sz w:val="28"/>
        </w:rPr>
        <w:t xml:space="preserve">, </w:t>
      </w:r>
      <w:r w:rsidRPr="00E00F43">
        <w:rPr>
          <w:rFonts w:ascii="Times New Roman" w:hAnsi="Times New Roman" w:cs="Times New Roman"/>
          <w:sz w:val="28"/>
        </w:rPr>
        <w:t xml:space="preserve">es claro que </w:t>
      </w:r>
      <w:r w:rsidRPr="00E00F43">
        <w:rPr>
          <w:rFonts w:ascii="Times New Roman" w:hAnsi="Times New Roman" w:cs="Times New Roman"/>
          <w:sz w:val="28"/>
        </w:rPr>
        <w:t>se satisfacen ampliame</w:t>
      </w:r>
      <w:r w:rsidRPr="00E00F43">
        <w:rPr>
          <w:rFonts w:ascii="Times New Roman" w:hAnsi="Times New Roman" w:cs="Times New Roman"/>
          <w:sz w:val="28"/>
        </w:rPr>
        <w:t xml:space="preserve">nte los tiempos de espera entre </w:t>
      </w:r>
      <w:r w:rsidRPr="00E00F43">
        <w:rPr>
          <w:rFonts w:ascii="Times New Roman" w:hAnsi="Times New Roman" w:cs="Times New Roman"/>
          <w:sz w:val="28"/>
        </w:rPr>
        <w:t xml:space="preserve">ambas cámaras </w:t>
      </w:r>
      <w:r w:rsidRPr="00E00F43">
        <w:rPr>
          <w:rFonts w:ascii="Times New Roman" w:hAnsi="Times New Roman" w:cs="Times New Roman"/>
          <w:sz w:val="28"/>
        </w:rPr>
        <w:t>del Congreso de la República, que consagra el artículo 160 superior</w:t>
      </w:r>
      <w:r w:rsidRPr="00E00F43">
        <w:rPr>
          <w:rStyle w:val="Refdenotaalpie"/>
          <w:rFonts w:ascii="Times New Roman" w:hAnsi="Times New Roman"/>
          <w:bCs/>
          <w:sz w:val="28"/>
          <w:lang w:eastAsia="es-CO"/>
        </w:rPr>
        <w:footnoteReference w:id="60"/>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i/>
          <w:iCs/>
          <w:sz w:val="28"/>
        </w:rPr>
        <w:t xml:space="preserve"> </w:t>
      </w:r>
    </w:p>
    <w:p w:rsidR="00637592" w:rsidRPr="00E00F43" w:rsidRDefault="00E00F43" w:rsidP="00637592">
      <w:pPr>
        <w:pStyle w:val="Prrafodelista"/>
        <w:tabs>
          <w:tab w:val="left" w:pos="426"/>
        </w:tabs>
        <w:ind w:left="0"/>
        <w:rPr>
          <w:rFonts w:ascii="Times New Roman" w:hAnsi="Times New Roman" w:cs="Times New Roman"/>
          <w:bCs/>
          <w:i/>
          <w:iCs/>
          <w:sz w:val="28"/>
          <w:szCs w:val="24"/>
          <w:lang w:val="es-ES" w:eastAsia="es-CO"/>
        </w:rPr>
      </w:pPr>
    </w:p>
    <w:p w:rsidR="00637592" w:rsidRPr="00E00F43" w:rsidRDefault="00E00F43" w:rsidP="00A16E54">
      <w:pPr>
        <w:pStyle w:val="Ttulo"/>
        <w:rPr>
          <w:rFonts w:ascii="Times New Roman" w:hAnsi="Times New Roman" w:cs="Times New Roman"/>
          <w:i/>
          <w:iCs/>
          <w:sz w:val="28"/>
        </w:rPr>
      </w:pPr>
      <w:r w:rsidRPr="00E00F43">
        <w:rPr>
          <w:rFonts w:ascii="Times New Roman" w:hAnsi="Times New Roman" w:cs="Times New Roman"/>
          <w:i/>
          <w:iCs/>
          <w:sz w:val="28"/>
        </w:rPr>
        <w:t xml:space="preserve"> </w:t>
      </w:r>
      <w:r w:rsidRPr="00E00F43">
        <w:rPr>
          <w:rFonts w:ascii="Times New Roman" w:hAnsi="Times New Roman" w:cs="Times New Roman"/>
          <w:i/>
          <w:iCs/>
          <w:sz w:val="28"/>
        </w:rPr>
        <w:t xml:space="preserve">Anuncio para primer debate. </w:t>
      </w:r>
      <w:r w:rsidRPr="00E00F43">
        <w:rPr>
          <w:rFonts w:ascii="Times New Roman" w:hAnsi="Times New Roman" w:cs="Times New Roman"/>
          <w:sz w:val="28"/>
        </w:rPr>
        <w:t>El proyecto de ley</w:t>
      </w:r>
      <w:r w:rsidRPr="00E00F43">
        <w:rPr>
          <w:rFonts w:ascii="Times New Roman" w:hAnsi="Times New Roman" w:cs="Times New Roman"/>
          <w:sz w:val="28"/>
        </w:rPr>
        <w:t xml:space="preserve"> 199 de 2022 </w:t>
      </w:r>
      <w:r w:rsidRPr="00E00F43">
        <w:rPr>
          <w:rFonts w:ascii="Times New Roman" w:hAnsi="Times New Roman" w:cs="Times New Roman"/>
          <w:sz w:val="28"/>
        </w:rPr>
        <w:t xml:space="preserve">Cámara fue anunciado en la sesión ordinaria de la </w:t>
      </w:r>
      <w:r w:rsidRPr="00E00F43">
        <w:rPr>
          <w:rFonts w:ascii="Times New Roman" w:hAnsi="Times New Roman" w:cs="Times New Roman"/>
          <w:sz w:val="28"/>
        </w:rPr>
        <w:t>c</w:t>
      </w:r>
      <w:r w:rsidRPr="00E00F43">
        <w:rPr>
          <w:rFonts w:ascii="Times New Roman" w:hAnsi="Times New Roman" w:cs="Times New Roman"/>
          <w:sz w:val="28"/>
        </w:rPr>
        <w:t xml:space="preserve">omisión </w:t>
      </w:r>
      <w:r w:rsidRPr="00E00F43">
        <w:rPr>
          <w:rFonts w:ascii="Times New Roman" w:hAnsi="Times New Roman" w:cs="Times New Roman"/>
          <w:sz w:val="28"/>
        </w:rPr>
        <w:t>s</w:t>
      </w:r>
      <w:r w:rsidRPr="00E00F43">
        <w:rPr>
          <w:rFonts w:ascii="Times New Roman" w:hAnsi="Times New Roman" w:cs="Times New Roman"/>
          <w:sz w:val="28"/>
        </w:rPr>
        <w:t>egunda de la Cám</w:t>
      </w:r>
      <w:r w:rsidRPr="00E00F43">
        <w:rPr>
          <w:rFonts w:ascii="Times New Roman" w:hAnsi="Times New Roman" w:cs="Times New Roman"/>
          <w:sz w:val="28"/>
        </w:rPr>
        <w:t>ara de Representantes</w:t>
      </w:r>
      <w:r w:rsidRPr="00E00F43">
        <w:rPr>
          <w:rFonts w:ascii="Times New Roman" w:hAnsi="Times New Roman" w:cs="Times New Roman"/>
          <w:sz w:val="28"/>
        </w:rPr>
        <w:t xml:space="preserve"> celebrada</w:t>
      </w:r>
      <w:r w:rsidRPr="00E00F43">
        <w:rPr>
          <w:rFonts w:ascii="Times New Roman" w:hAnsi="Times New Roman" w:cs="Times New Roman"/>
          <w:sz w:val="28"/>
        </w:rPr>
        <w:t xml:space="preserve"> el </w:t>
      </w:r>
      <w:r w:rsidRPr="00E00F43">
        <w:rPr>
          <w:rFonts w:ascii="Times New Roman" w:hAnsi="Times New Roman" w:cs="Times New Roman"/>
          <w:sz w:val="28"/>
        </w:rPr>
        <w:t>1 de noviembre de 2022</w:t>
      </w:r>
      <w:r w:rsidRPr="00E00F43">
        <w:rPr>
          <w:rFonts w:ascii="Times New Roman" w:hAnsi="Times New Roman" w:cs="Times New Roman"/>
          <w:sz w:val="28"/>
        </w:rPr>
        <w:t xml:space="preserve">, </w:t>
      </w:r>
      <w:r w:rsidRPr="00E00F43">
        <w:rPr>
          <w:rFonts w:ascii="Times New Roman" w:hAnsi="Times New Roman" w:cs="Times New Roman"/>
          <w:sz w:val="28"/>
        </w:rPr>
        <w:t xml:space="preserve">“para la próxima sesión donde se realice discusión y votación de proyectos de ley en primer debate”, </w:t>
      </w:r>
      <w:r w:rsidRPr="00E00F43">
        <w:rPr>
          <w:rFonts w:ascii="Times New Roman" w:hAnsi="Times New Roman" w:cs="Times New Roman"/>
          <w:sz w:val="28"/>
        </w:rPr>
        <w:t>t</w:t>
      </w:r>
      <w:r w:rsidRPr="00E00F43">
        <w:rPr>
          <w:rFonts w:ascii="Times New Roman" w:hAnsi="Times New Roman" w:cs="Times New Roman"/>
          <w:sz w:val="28"/>
          <w:lang w:eastAsia="es-MX"/>
        </w:rPr>
        <w:t xml:space="preserve">al como consta en </w:t>
      </w:r>
      <w:r w:rsidRPr="00E00F43">
        <w:rPr>
          <w:rFonts w:ascii="Times New Roman" w:hAnsi="Times New Roman" w:cs="Times New Roman"/>
          <w:sz w:val="28"/>
        </w:rPr>
        <w:t>el Acta</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10 del mismo día</w:t>
      </w:r>
      <w:r w:rsidRPr="00E00F43">
        <w:rPr>
          <w:rFonts w:ascii="Times New Roman" w:hAnsi="Times New Roman" w:cs="Times New Roman"/>
          <w:sz w:val="28"/>
        </w:rPr>
        <w:t>, incluida en</w:t>
      </w:r>
      <w:r w:rsidRPr="00E00F43">
        <w:rPr>
          <w:rFonts w:ascii="Times New Roman" w:hAnsi="Times New Roman" w:cs="Times New Roman"/>
          <w:sz w:val="28"/>
          <w:lang w:eastAsia="es-MX"/>
        </w:rPr>
        <w:t xml:space="preserve"> la Gaceta</w:t>
      </w:r>
      <w:r w:rsidRPr="00E00F43">
        <w:rPr>
          <w:rFonts w:ascii="Times New Roman" w:hAnsi="Times New Roman" w:cs="Times New Roman"/>
          <w:sz w:val="28"/>
          <w:lang w:eastAsia="es-MX"/>
        </w:rPr>
        <w:t xml:space="preserve"> del Congreso</w:t>
      </w:r>
      <w:r w:rsidRPr="00E00F43">
        <w:rPr>
          <w:rFonts w:ascii="Times New Roman" w:hAnsi="Times New Roman" w:cs="Times New Roman"/>
          <w:sz w:val="28"/>
          <w:lang w:eastAsia="es-MX"/>
        </w:rPr>
        <w:t xml:space="preserve"> n.</w:t>
      </w:r>
      <w:r w:rsidRPr="00E00F43">
        <w:rPr>
          <w:rFonts w:ascii="Times New Roman" w:hAnsi="Times New Roman" w:cs="Times New Roman"/>
          <w:sz w:val="28"/>
          <w:lang w:eastAsia="es-MX"/>
        </w:rPr>
        <w:t>°</w:t>
      </w:r>
      <w:r w:rsidRPr="00E00F43">
        <w:rPr>
          <w:rFonts w:ascii="Times New Roman" w:hAnsi="Times New Roman" w:cs="Times New Roman"/>
          <w:sz w:val="28"/>
          <w:lang w:eastAsia="es-MX"/>
        </w:rPr>
        <w:t xml:space="preserve"> </w:t>
      </w:r>
      <w:r w:rsidRPr="00E00F43">
        <w:rPr>
          <w:rFonts w:ascii="Times New Roman" w:hAnsi="Times New Roman" w:cs="Times New Roman"/>
          <w:sz w:val="28"/>
        </w:rPr>
        <w:t>464</w:t>
      </w:r>
      <w:r w:rsidRPr="00E00F43">
        <w:rPr>
          <w:rFonts w:ascii="Times New Roman" w:hAnsi="Times New Roman" w:cs="Times New Roman"/>
          <w:sz w:val="28"/>
        </w:rPr>
        <w:t xml:space="preserve"> del </w:t>
      </w:r>
      <w:r w:rsidRPr="00E00F43">
        <w:rPr>
          <w:rFonts w:ascii="Times New Roman" w:hAnsi="Times New Roman" w:cs="Times New Roman"/>
          <w:sz w:val="28"/>
        </w:rPr>
        <w:t>10 de mayo de 2023</w:t>
      </w:r>
      <w:r w:rsidRPr="00E00F43">
        <w:rPr>
          <w:rFonts w:ascii="Times New Roman" w:hAnsi="Times New Roman" w:cs="Times New Roman"/>
          <w:sz w:val="28"/>
          <w:vertAlign w:val="superscript"/>
        </w:rPr>
        <w:footnoteReference w:id="61"/>
      </w:r>
      <w:r w:rsidRPr="00E00F43">
        <w:rPr>
          <w:rFonts w:ascii="Times New Roman" w:hAnsi="Times New Roman" w:cs="Times New Roman"/>
          <w:sz w:val="28"/>
        </w:rPr>
        <w:t>.</w:t>
      </w:r>
      <w:r w:rsidRPr="00E00F43">
        <w:rPr>
          <w:rFonts w:ascii="Times New Roman" w:hAnsi="Times New Roman" w:cs="Times New Roman"/>
          <w:sz w:val="28"/>
        </w:rPr>
        <w:t xml:space="preserve"> De esta manera</w:t>
      </w:r>
      <w:r w:rsidRPr="00E00F43">
        <w:rPr>
          <w:rFonts w:ascii="Times New Roman" w:hAnsi="Times New Roman" w:cs="Times New Roman"/>
          <w:sz w:val="28"/>
        </w:rPr>
        <w:t xml:space="preserve">, era determinable el momento en el que se adelantaría la fase posterior del trámite legislativo. </w:t>
      </w:r>
      <w:r w:rsidRPr="00E00F43">
        <w:rPr>
          <w:rFonts w:ascii="Times New Roman" w:hAnsi="Times New Roman" w:cs="Times New Roman"/>
          <w:sz w:val="28"/>
        </w:rPr>
        <w:t>En este</w:t>
      </w:r>
      <w:r w:rsidRPr="00E00F43">
        <w:rPr>
          <w:rFonts w:ascii="Times New Roman" w:hAnsi="Times New Roman" w:cs="Times New Roman"/>
          <w:sz w:val="28"/>
        </w:rPr>
        <w:t xml:space="preserve"> punto la Sala se remite nuevamente al estudio hecho </w:t>
      </w:r>
      <w:r w:rsidRPr="00E00F43">
        <w:rPr>
          <w:rFonts w:ascii="Times New Roman" w:hAnsi="Times New Roman" w:cs="Times New Roman"/>
          <w:sz w:val="28"/>
        </w:rPr>
        <w:t xml:space="preserve">frente a los anuncios </w:t>
      </w:r>
      <w:r w:rsidRPr="00E00F43">
        <w:rPr>
          <w:rFonts w:ascii="Times New Roman" w:hAnsi="Times New Roman" w:cs="Times New Roman"/>
          <w:sz w:val="28"/>
        </w:rPr>
        <w:t>anteriores, en el sentido de que</w:t>
      </w:r>
      <w:r w:rsidRPr="00E00F43">
        <w:rPr>
          <w:rFonts w:ascii="Times New Roman" w:hAnsi="Times New Roman" w:cs="Times New Roman"/>
          <w:sz w:val="28"/>
        </w:rPr>
        <w:t>:</w:t>
      </w:r>
      <w:r w:rsidRPr="00E00F43">
        <w:rPr>
          <w:rFonts w:ascii="Times New Roman" w:hAnsi="Times New Roman" w:cs="Times New Roman"/>
          <w:sz w:val="28"/>
        </w:rPr>
        <w:t xml:space="preserve"> (i) la </w:t>
      </w:r>
      <w:r w:rsidRPr="00E00F43">
        <w:rPr>
          <w:rFonts w:ascii="Times New Roman" w:hAnsi="Times New Roman" w:cs="Times New Roman"/>
          <w:sz w:val="28"/>
        </w:rPr>
        <w:t xml:space="preserve">referencia a la “próxima sesión”, (ii) la discusión y </w:t>
      </w:r>
      <w:r w:rsidRPr="00E00F43">
        <w:rPr>
          <w:rFonts w:ascii="Times New Roman" w:hAnsi="Times New Roman" w:cs="Times New Roman"/>
          <w:sz w:val="28"/>
        </w:rPr>
        <w:t>la aprobación se hayan dado efectivamente en la convocatoria subsiguiente y (iii) que exista consecutividad en las actas, son criterios suficientes para dar por superado este requisito, lo cual se satis</w:t>
      </w:r>
      <w:r w:rsidRPr="00E00F43">
        <w:rPr>
          <w:rFonts w:ascii="Times New Roman" w:hAnsi="Times New Roman" w:cs="Times New Roman"/>
          <w:sz w:val="28"/>
        </w:rPr>
        <w:t>face sin problemas en esta oportunidad</w:t>
      </w:r>
      <w:r w:rsidRPr="00E00F43">
        <w:rPr>
          <w:rStyle w:val="Refdenotaalpie"/>
          <w:rFonts w:ascii="Times New Roman" w:hAnsi="Times New Roman"/>
          <w:bCs/>
          <w:sz w:val="28"/>
          <w:lang w:eastAsia="es-CO"/>
        </w:rPr>
        <w:footnoteReference w:id="62"/>
      </w:r>
      <w:r w:rsidRPr="00E00F43">
        <w:rPr>
          <w:rFonts w:ascii="Times New Roman" w:hAnsi="Times New Roman" w:cs="Times New Roman"/>
          <w:sz w:val="28"/>
        </w:rPr>
        <w:t>.</w:t>
      </w:r>
      <w:r w:rsidRPr="00E00F43">
        <w:rPr>
          <w:rFonts w:ascii="Times New Roman" w:hAnsi="Times New Roman" w:cs="Times New Roman"/>
          <w:sz w:val="28"/>
        </w:rPr>
        <w:t xml:space="preserve"> </w:t>
      </w:r>
    </w:p>
    <w:p w:rsidR="00C3343B" w:rsidRPr="00E00F43" w:rsidRDefault="00E00F43" w:rsidP="00C3343B">
      <w:pPr>
        <w:pStyle w:val="Prrafodelista"/>
        <w:tabs>
          <w:tab w:val="left" w:pos="426"/>
        </w:tabs>
        <w:ind w:left="0"/>
        <w:rPr>
          <w:rFonts w:ascii="Times New Roman" w:hAnsi="Times New Roman" w:cs="Times New Roman"/>
          <w:bCs/>
          <w:i/>
          <w:iCs/>
          <w:sz w:val="28"/>
          <w:szCs w:val="24"/>
          <w:lang w:val="es-ES" w:eastAsia="es-CO"/>
        </w:rPr>
      </w:pPr>
    </w:p>
    <w:p w:rsidR="00637592" w:rsidRPr="00E00F43" w:rsidRDefault="00E00F43" w:rsidP="00A16E54">
      <w:pPr>
        <w:pStyle w:val="Ttulo"/>
        <w:rPr>
          <w:rFonts w:ascii="Times New Roman" w:hAnsi="Times New Roman" w:cs="Times New Roman"/>
          <w:i/>
          <w:iCs/>
          <w:sz w:val="28"/>
        </w:rPr>
      </w:pPr>
      <w:r w:rsidRPr="00E00F43">
        <w:rPr>
          <w:rFonts w:ascii="Times New Roman" w:hAnsi="Times New Roman" w:cs="Times New Roman"/>
          <w:i/>
          <w:iCs/>
          <w:sz w:val="28"/>
        </w:rPr>
        <w:t xml:space="preserve"> </w:t>
      </w:r>
      <w:r w:rsidRPr="00E00F43">
        <w:rPr>
          <w:rFonts w:ascii="Times New Roman" w:hAnsi="Times New Roman" w:cs="Times New Roman"/>
          <w:i/>
          <w:iCs/>
          <w:sz w:val="28"/>
        </w:rPr>
        <w:t>Discusión y aprobación.</w:t>
      </w:r>
      <w:r w:rsidRPr="00E00F43">
        <w:rPr>
          <w:rFonts w:ascii="Times New Roman" w:hAnsi="Times New Roman" w:cs="Times New Roman"/>
          <w:i/>
          <w:iCs/>
          <w:sz w:val="28"/>
        </w:rPr>
        <w:t xml:space="preserve"> </w:t>
      </w:r>
      <w:r w:rsidRPr="00E00F43">
        <w:rPr>
          <w:rFonts w:ascii="Times New Roman" w:hAnsi="Times New Roman" w:cs="Times New Roman"/>
          <w:sz w:val="28"/>
        </w:rPr>
        <w:t>Efectivamente, e</w:t>
      </w:r>
      <w:r w:rsidRPr="00E00F43">
        <w:rPr>
          <w:rFonts w:ascii="Times New Roman" w:hAnsi="Times New Roman" w:cs="Times New Roman"/>
          <w:sz w:val="28"/>
        </w:rPr>
        <w:t xml:space="preserve">n la </w:t>
      </w:r>
      <w:r w:rsidRPr="00E00F43">
        <w:rPr>
          <w:rFonts w:ascii="Times New Roman" w:hAnsi="Times New Roman" w:cs="Times New Roman"/>
          <w:sz w:val="28"/>
        </w:rPr>
        <w:t xml:space="preserve">siguiente </w:t>
      </w:r>
      <w:r w:rsidRPr="00E00F43">
        <w:rPr>
          <w:rFonts w:ascii="Times New Roman" w:hAnsi="Times New Roman" w:cs="Times New Roman"/>
          <w:sz w:val="28"/>
        </w:rPr>
        <w:t>sesión</w:t>
      </w:r>
      <w:r w:rsidRPr="00E00F43">
        <w:rPr>
          <w:rFonts w:ascii="Times New Roman" w:hAnsi="Times New Roman" w:cs="Times New Roman"/>
          <w:sz w:val="28"/>
        </w:rPr>
        <w:t>, celebrada el 16 de noviembre de 2022</w:t>
      </w:r>
      <w:r w:rsidRPr="00E00F43">
        <w:rPr>
          <w:rFonts w:ascii="Times New Roman" w:hAnsi="Times New Roman" w:cs="Times New Roman"/>
          <w:sz w:val="28"/>
        </w:rPr>
        <w:t>, tuvo lugar la discusión del citado proyecto de ley. Según consta en el Acta</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11</w:t>
      </w:r>
      <w:r w:rsidRPr="00E00F43">
        <w:rPr>
          <w:rFonts w:ascii="Times New Roman" w:hAnsi="Times New Roman" w:cs="Times New Roman"/>
          <w:sz w:val="28"/>
        </w:rPr>
        <w:t xml:space="preserve"> de 202</w:t>
      </w:r>
      <w:r w:rsidRPr="00E00F43">
        <w:rPr>
          <w:rFonts w:ascii="Times New Roman" w:hAnsi="Times New Roman" w:cs="Times New Roman"/>
          <w:sz w:val="28"/>
        </w:rPr>
        <w:t>2</w:t>
      </w:r>
      <w:r w:rsidRPr="00E00F43">
        <w:rPr>
          <w:rFonts w:ascii="Times New Roman" w:hAnsi="Times New Roman" w:cs="Times New Roman"/>
          <w:sz w:val="28"/>
        </w:rPr>
        <w:t xml:space="preserve">, incluida en la </w:t>
      </w:r>
      <w:r w:rsidRPr="00E00F43">
        <w:rPr>
          <w:rFonts w:ascii="Times New Roman" w:hAnsi="Times New Roman" w:cs="Times New Roman"/>
          <w:sz w:val="28"/>
        </w:rPr>
        <w:t>Gaceta del Congreso</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469 del 11 de mayo de 202</w:t>
      </w:r>
      <w:r w:rsidRPr="00E00F43">
        <w:rPr>
          <w:rFonts w:ascii="Times New Roman" w:hAnsi="Times New Roman" w:cs="Times New Roman"/>
          <w:sz w:val="28"/>
        </w:rPr>
        <w:t>3</w:t>
      </w:r>
      <w:r w:rsidRPr="00E00F43">
        <w:rPr>
          <w:rFonts w:ascii="Times New Roman" w:hAnsi="Times New Roman" w:cs="Times New Roman"/>
          <w:sz w:val="28"/>
          <w:vertAlign w:val="superscript"/>
        </w:rPr>
        <w:footnoteReference w:id="63"/>
      </w:r>
      <w:r w:rsidRPr="00E00F43">
        <w:rPr>
          <w:rFonts w:ascii="Times New Roman" w:hAnsi="Times New Roman" w:cs="Times New Roman"/>
          <w:sz w:val="28"/>
        </w:rPr>
        <w:t>,</w:t>
      </w:r>
      <w:r w:rsidRPr="00E00F43">
        <w:rPr>
          <w:rFonts w:ascii="Times New Roman" w:hAnsi="Times New Roman" w:cs="Times New Roman"/>
          <w:sz w:val="28"/>
        </w:rPr>
        <w:t xml:space="preserve"> a la sesión asistieron 1</w:t>
      </w:r>
      <w:r w:rsidRPr="00E00F43">
        <w:rPr>
          <w:rFonts w:ascii="Times New Roman" w:hAnsi="Times New Roman" w:cs="Times New Roman"/>
          <w:sz w:val="28"/>
        </w:rPr>
        <w:t>5</w:t>
      </w:r>
      <w:r w:rsidRPr="00E00F43">
        <w:rPr>
          <w:rFonts w:ascii="Times New Roman" w:hAnsi="Times New Roman" w:cs="Times New Roman"/>
          <w:sz w:val="28"/>
        </w:rPr>
        <w:t xml:space="preserve"> de los </w:t>
      </w:r>
      <w:r w:rsidRPr="00E00F43">
        <w:rPr>
          <w:rFonts w:ascii="Times New Roman" w:hAnsi="Times New Roman" w:cs="Times New Roman"/>
          <w:sz w:val="28"/>
        </w:rPr>
        <w:t xml:space="preserve">20 </w:t>
      </w:r>
      <w:r w:rsidRPr="00E00F43">
        <w:rPr>
          <w:rFonts w:ascii="Times New Roman" w:hAnsi="Times New Roman" w:cs="Times New Roman"/>
          <w:sz w:val="28"/>
        </w:rPr>
        <w:t xml:space="preserve">representantes que componen la </w:t>
      </w:r>
      <w:r w:rsidRPr="00E00F43">
        <w:rPr>
          <w:rFonts w:ascii="Times New Roman" w:hAnsi="Times New Roman" w:cs="Times New Roman"/>
          <w:sz w:val="28"/>
        </w:rPr>
        <w:t>c</w:t>
      </w:r>
      <w:r w:rsidRPr="00E00F43">
        <w:rPr>
          <w:rFonts w:ascii="Times New Roman" w:hAnsi="Times New Roman" w:cs="Times New Roman"/>
          <w:sz w:val="28"/>
        </w:rPr>
        <w:t xml:space="preserve">omisión </w:t>
      </w:r>
      <w:r w:rsidRPr="00E00F43">
        <w:rPr>
          <w:rFonts w:ascii="Times New Roman" w:hAnsi="Times New Roman" w:cs="Times New Roman"/>
          <w:sz w:val="28"/>
        </w:rPr>
        <w:t>s</w:t>
      </w:r>
      <w:r w:rsidRPr="00E00F43">
        <w:rPr>
          <w:rFonts w:ascii="Times New Roman" w:hAnsi="Times New Roman" w:cs="Times New Roman"/>
          <w:sz w:val="28"/>
        </w:rPr>
        <w:t xml:space="preserve">egunda </w:t>
      </w:r>
      <w:r w:rsidRPr="00E00F43">
        <w:rPr>
          <w:rFonts w:ascii="Times New Roman" w:hAnsi="Times New Roman" w:cs="Times New Roman"/>
          <w:sz w:val="28"/>
        </w:rPr>
        <w:t>c</w:t>
      </w:r>
      <w:r w:rsidRPr="00E00F43">
        <w:rPr>
          <w:rFonts w:ascii="Times New Roman" w:hAnsi="Times New Roman" w:cs="Times New Roman"/>
          <w:sz w:val="28"/>
        </w:rPr>
        <w:t>onstitucional</w:t>
      </w:r>
      <w:r w:rsidRPr="00E00F43">
        <w:rPr>
          <w:rFonts w:ascii="Times New Roman" w:hAnsi="Times New Roman" w:cs="Times New Roman"/>
          <w:sz w:val="28"/>
        </w:rPr>
        <w:t xml:space="preserve"> permanente</w:t>
      </w:r>
      <w:r w:rsidRPr="00E00F43">
        <w:rPr>
          <w:rFonts w:ascii="Times New Roman" w:hAnsi="Times New Roman" w:cs="Times New Roman"/>
          <w:sz w:val="28"/>
        </w:rPr>
        <w:t xml:space="preserve"> de la Cámara de Representantes, por lo que se garantizó el quórum </w:t>
      </w:r>
      <w:r w:rsidRPr="00E00F43">
        <w:rPr>
          <w:rFonts w:ascii="Times New Roman" w:hAnsi="Times New Roman" w:cs="Times New Roman"/>
          <w:sz w:val="28"/>
        </w:rPr>
        <w:t>decisorio</w:t>
      </w:r>
      <w:r w:rsidRPr="00E00F43">
        <w:rPr>
          <w:rFonts w:ascii="Times New Roman" w:hAnsi="Times New Roman" w:cs="Times New Roman"/>
          <w:sz w:val="28"/>
        </w:rPr>
        <w:t xml:space="preserve">. </w:t>
      </w:r>
      <w:r w:rsidRPr="00E00F43">
        <w:rPr>
          <w:rFonts w:ascii="Times New Roman" w:hAnsi="Times New Roman" w:cs="Times New Roman"/>
          <w:sz w:val="28"/>
        </w:rPr>
        <w:t>Como resultado s</w:t>
      </w:r>
      <w:r w:rsidRPr="00E00F43">
        <w:rPr>
          <w:rFonts w:ascii="Times New Roman" w:hAnsi="Times New Roman" w:cs="Times New Roman"/>
          <w:sz w:val="28"/>
        </w:rPr>
        <w:t xml:space="preserve">e obtuvo </w:t>
      </w:r>
      <w:r w:rsidRPr="00E00F43">
        <w:rPr>
          <w:rFonts w:ascii="Times New Roman" w:hAnsi="Times New Roman" w:cs="Times New Roman"/>
          <w:sz w:val="28"/>
        </w:rPr>
        <w:t xml:space="preserve">la aprobación, con votación nominal y pública, </w:t>
      </w:r>
      <w:r w:rsidRPr="00E00F43">
        <w:rPr>
          <w:rFonts w:ascii="Times New Roman" w:hAnsi="Times New Roman" w:cs="Times New Roman"/>
          <w:sz w:val="28"/>
        </w:rPr>
        <w:t>de la proposición positiva con que termina el informe de ponencia, del articulado, del título y de la decisión de continuar con el trámite en la Cámara de Representantes, con 15 votos a favor y ningun</w:t>
      </w:r>
      <w:r w:rsidRPr="00E00F43">
        <w:rPr>
          <w:rFonts w:ascii="Times New Roman" w:hAnsi="Times New Roman" w:cs="Times New Roman"/>
          <w:sz w:val="28"/>
        </w:rPr>
        <w:t>o en contra</w:t>
      </w:r>
      <w:r w:rsidRPr="00E00F43">
        <w:rPr>
          <w:rFonts w:ascii="Times New Roman" w:hAnsi="Times New Roman" w:cs="Times New Roman"/>
          <w:sz w:val="28"/>
        </w:rPr>
        <w:t xml:space="preserve">. El mecanismo y los resultados de la votación fueron ratificados por la subsecretaria de la </w:t>
      </w:r>
      <w:r w:rsidRPr="00E00F43">
        <w:rPr>
          <w:rFonts w:ascii="Times New Roman" w:hAnsi="Times New Roman" w:cs="Times New Roman"/>
          <w:sz w:val="28"/>
        </w:rPr>
        <w:t>c</w:t>
      </w:r>
      <w:r w:rsidRPr="00E00F43">
        <w:rPr>
          <w:rFonts w:ascii="Times New Roman" w:hAnsi="Times New Roman" w:cs="Times New Roman"/>
          <w:sz w:val="28"/>
        </w:rPr>
        <w:t xml:space="preserve">omisión </w:t>
      </w:r>
      <w:r w:rsidRPr="00E00F43">
        <w:rPr>
          <w:rFonts w:ascii="Times New Roman" w:hAnsi="Times New Roman" w:cs="Times New Roman"/>
          <w:sz w:val="28"/>
        </w:rPr>
        <w:t>s</w:t>
      </w:r>
      <w:r w:rsidRPr="00E00F43">
        <w:rPr>
          <w:rFonts w:ascii="Times New Roman" w:hAnsi="Times New Roman" w:cs="Times New Roman"/>
          <w:sz w:val="28"/>
        </w:rPr>
        <w:t>egunda de la Cámara de Representantes, Carmen Susana Arias Perdomo, en comunicación enviada a la Corte Constitucional</w:t>
      </w:r>
      <w:r w:rsidRPr="00E00F43">
        <w:rPr>
          <w:rFonts w:ascii="Times New Roman" w:hAnsi="Times New Roman" w:cs="Times New Roman"/>
          <w:sz w:val="28"/>
          <w:vertAlign w:val="superscript"/>
        </w:rPr>
        <w:footnoteReference w:id="64"/>
      </w:r>
      <w:r w:rsidRPr="00E00F43">
        <w:rPr>
          <w:rFonts w:ascii="Times New Roman" w:hAnsi="Times New Roman" w:cs="Times New Roman"/>
          <w:sz w:val="28"/>
        </w:rPr>
        <w:t xml:space="preserve">. </w:t>
      </w:r>
    </w:p>
    <w:p w:rsidR="00637592" w:rsidRPr="00E00F43" w:rsidRDefault="00E00F43" w:rsidP="00637592">
      <w:pPr>
        <w:pStyle w:val="Prrafodelista"/>
        <w:rPr>
          <w:rFonts w:ascii="Times New Roman" w:hAnsi="Times New Roman" w:cs="Times New Roman"/>
          <w:sz w:val="28"/>
          <w:szCs w:val="24"/>
          <w:lang w:val="es-ES"/>
        </w:rPr>
      </w:pPr>
    </w:p>
    <w:p w:rsidR="00551C94" w:rsidRPr="00E00F43" w:rsidRDefault="00E00F43" w:rsidP="00A16E54">
      <w:pPr>
        <w:pStyle w:val="Ttulo"/>
        <w:rPr>
          <w:rFonts w:ascii="Times New Roman" w:hAnsi="Times New Roman" w:cs="Times New Roman"/>
          <w:bCs/>
          <w:i/>
          <w:iCs/>
          <w:sz w:val="28"/>
          <w:lang w:eastAsia="es-CO"/>
        </w:rPr>
      </w:pPr>
      <w:r w:rsidRPr="00E00F43">
        <w:rPr>
          <w:rFonts w:ascii="Times New Roman" w:hAnsi="Times New Roman" w:cs="Times New Roman"/>
          <w:i/>
          <w:iCs/>
          <w:sz w:val="28"/>
        </w:rPr>
        <w:t xml:space="preserve"> </w:t>
      </w:r>
      <w:r w:rsidRPr="00E00F43">
        <w:rPr>
          <w:rFonts w:ascii="Times New Roman" w:hAnsi="Times New Roman" w:cs="Times New Roman"/>
          <w:i/>
          <w:iCs/>
          <w:sz w:val="28"/>
        </w:rPr>
        <w:t>Publicación de</w:t>
      </w:r>
      <w:r w:rsidRPr="00E00F43">
        <w:rPr>
          <w:rFonts w:ascii="Times New Roman" w:hAnsi="Times New Roman" w:cs="Times New Roman"/>
          <w:i/>
          <w:iCs/>
          <w:sz w:val="28"/>
        </w:rPr>
        <w:t xml:space="preserve">l </w:t>
      </w:r>
      <w:r w:rsidRPr="00E00F43">
        <w:rPr>
          <w:rFonts w:ascii="Times New Roman" w:hAnsi="Times New Roman" w:cs="Times New Roman"/>
          <w:i/>
          <w:iCs/>
          <w:sz w:val="28"/>
        </w:rPr>
        <w:t>texto aprobado en primer debate</w:t>
      </w:r>
      <w:r w:rsidRPr="00E00F43">
        <w:rPr>
          <w:rFonts w:ascii="Times New Roman" w:hAnsi="Times New Roman" w:cs="Times New Roman"/>
          <w:i/>
          <w:iCs/>
          <w:sz w:val="28"/>
        </w:rPr>
        <w:t xml:space="preserve">. </w:t>
      </w:r>
      <w:r w:rsidRPr="00E00F43">
        <w:rPr>
          <w:rFonts w:ascii="Times New Roman" w:hAnsi="Times New Roman" w:cs="Times New Roman"/>
          <w:sz w:val="28"/>
        </w:rPr>
        <w:t xml:space="preserve">El texto definitivo del </w:t>
      </w:r>
      <w:r w:rsidRPr="00E00F43">
        <w:rPr>
          <w:rFonts w:ascii="Times New Roman" w:hAnsi="Times New Roman" w:cs="Times New Roman"/>
          <w:bCs/>
          <w:sz w:val="28"/>
          <w:lang w:eastAsia="es-CO"/>
        </w:rPr>
        <w:t xml:space="preserve">proyecto de ley </w:t>
      </w:r>
      <w:r w:rsidRPr="00E00F43">
        <w:rPr>
          <w:rFonts w:ascii="Times New Roman" w:hAnsi="Times New Roman" w:cs="Times New Roman"/>
          <w:bCs/>
          <w:sz w:val="28"/>
          <w:lang w:eastAsia="es-CO"/>
        </w:rPr>
        <w:t>199</w:t>
      </w:r>
      <w:r w:rsidRPr="00E00F43">
        <w:rPr>
          <w:rFonts w:ascii="Times New Roman" w:hAnsi="Times New Roman" w:cs="Times New Roman"/>
          <w:bCs/>
          <w:sz w:val="28"/>
          <w:lang w:eastAsia="es-CO"/>
        </w:rPr>
        <w:t xml:space="preserve"> </w:t>
      </w:r>
      <w:r w:rsidRPr="00E00F43">
        <w:rPr>
          <w:rFonts w:ascii="Times New Roman" w:hAnsi="Times New Roman" w:cs="Times New Roman"/>
          <w:bCs/>
          <w:sz w:val="28"/>
          <w:lang w:eastAsia="es-CO"/>
        </w:rPr>
        <w:t>de 202</w:t>
      </w:r>
      <w:r w:rsidRPr="00E00F43">
        <w:rPr>
          <w:rFonts w:ascii="Times New Roman" w:hAnsi="Times New Roman" w:cs="Times New Roman"/>
          <w:bCs/>
          <w:sz w:val="28"/>
          <w:lang w:eastAsia="es-CO"/>
        </w:rPr>
        <w:t>2</w:t>
      </w:r>
      <w:r w:rsidRPr="00E00F43">
        <w:rPr>
          <w:rFonts w:ascii="Times New Roman" w:hAnsi="Times New Roman" w:cs="Times New Roman"/>
          <w:bCs/>
          <w:sz w:val="28"/>
          <w:lang w:eastAsia="es-CO"/>
        </w:rPr>
        <w:t>,</w:t>
      </w:r>
      <w:r w:rsidRPr="00E00F43">
        <w:rPr>
          <w:rFonts w:ascii="Times New Roman" w:hAnsi="Times New Roman" w:cs="Times New Roman"/>
          <w:sz w:val="28"/>
        </w:rPr>
        <w:t xml:space="preserve"> aprobado por la </w:t>
      </w:r>
      <w:r w:rsidRPr="00E00F43">
        <w:rPr>
          <w:rFonts w:ascii="Times New Roman" w:hAnsi="Times New Roman" w:cs="Times New Roman"/>
          <w:sz w:val="28"/>
        </w:rPr>
        <w:t>c</w:t>
      </w:r>
      <w:r w:rsidRPr="00E00F43">
        <w:rPr>
          <w:rFonts w:ascii="Times New Roman" w:hAnsi="Times New Roman" w:cs="Times New Roman"/>
          <w:sz w:val="28"/>
        </w:rPr>
        <w:t xml:space="preserve">omisión </w:t>
      </w:r>
      <w:r w:rsidRPr="00E00F43">
        <w:rPr>
          <w:rFonts w:ascii="Times New Roman" w:hAnsi="Times New Roman" w:cs="Times New Roman"/>
          <w:sz w:val="28"/>
        </w:rPr>
        <w:t>s</w:t>
      </w:r>
      <w:r w:rsidRPr="00E00F43">
        <w:rPr>
          <w:rFonts w:ascii="Times New Roman" w:hAnsi="Times New Roman" w:cs="Times New Roman"/>
          <w:sz w:val="28"/>
        </w:rPr>
        <w:t xml:space="preserve">egunda </w:t>
      </w:r>
      <w:r w:rsidRPr="00E00F43">
        <w:rPr>
          <w:rFonts w:ascii="Times New Roman" w:hAnsi="Times New Roman" w:cs="Times New Roman"/>
          <w:bCs/>
          <w:sz w:val="28"/>
          <w:lang w:eastAsia="es-CO"/>
        </w:rPr>
        <w:t>de la Cámara de Representantes</w:t>
      </w:r>
      <w:r w:rsidRPr="00E00F43">
        <w:rPr>
          <w:rFonts w:ascii="Times New Roman" w:hAnsi="Times New Roman" w:cs="Times New Roman"/>
          <w:sz w:val="28"/>
        </w:rPr>
        <w:t xml:space="preserve">, fue publicado el </w:t>
      </w:r>
      <w:r w:rsidRPr="00E00F43">
        <w:rPr>
          <w:rFonts w:ascii="Times New Roman" w:hAnsi="Times New Roman" w:cs="Times New Roman"/>
          <w:sz w:val="28"/>
        </w:rPr>
        <w:t>28 de noviembre de 2022</w:t>
      </w:r>
      <w:r w:rsidRPr="00E00F43">
        <w:rPr>
          <w:rFonts w:ascii="Times New Roman" w:hAnsi="Times New Roman" w:cs="Times New Roman"/>
          <w:sz w:val="28"/>
        </w:rPr>
        <w:t xml:space="preserve">, tal como consta en </w:t>
      </w:r>
      <w:r w:rsidRPr="00E00F43">
        <w:rPr>
          <w:rFonts w:ascii="Times New Roman" w:hAnsi="Times New Roman" w:cs="Times New Roman"/>
          <w:bCs/>
          <w:sz w:val="28"/>
          <w:lang w:eastAsia="es-CO"/>
        </w:rPr>
        <w:t>la Gaceta del Congreso</w:t>
      </w:r>
      <w:r w:rsidRPr="00E00F43">
        <w:rPr>
          <w:rFonts w:ascii="Times New Roman" w:hAnsi="Times New Roman" w:cs="Times New Roman"/>
          <w:bCs/>
          <w:sz w:val="28"/>
          <w:lang w:eastAsia="es-CO"/>
        </w:rPr>
        <w:t xml:space="preserve"> n.</w:t>
      </w:r>
      <w:r w:rsidRPr="00E00F43">
        <w:rPr>
          <w:rFonts w:ascii="Times New Roman" w:hAnsi="Times New Roman" w:cs="Times New Roman"/>
          <w:bCs/>
          <w:sz w:val="28"/>
          <w:lang w:eastAsia="es-CO"/>
        </w:rPr>
        <w:t>°</w:t>
      </w:r>
      <w:r w:rsidRPr="00E00F43">
        <w:rPr>
          <w:rFonts w:ascii="Times New Roman" w:hAnsi="Times New Roman" w:cs="Times New Roman"/>
          <w:bCs/>
          <w:sz w:val="28"/>
          <w:lang w:eastAsia="es-CO"/>
        </w:rPr>
        <w:t xml:space="preserve"> </w:t>
      </w:r>
      <w:r w:rsidRPr="00E00F43">
        <w:rPr>
          <w:rFonts w:ascii="Times New Roman" w:hAnsi="Times New Roman" w:cs="Times New Roman"/>
          <w:bCs/>
          <w:sz w:val="28"/>
          <w:lang w:eastAsia="es-CO"/>
        </w:rPr>
        <w:t xml:space="preserve">1526 de la misma </w:t>
      </w:r>
      <w:r w:rsidRPr="00E00F43">
        <w:rPr>
          <w:rFonts w:ascii="Times New Roman" w:hAnsi="Times New Roman" w:cs="Times New Roman"/>
          <w:bCs/>
          <w:sz w:val="28"/>
          <w:lang w:eastAsia="es-CO"/>
        </w:rPr>
        <w:t>fecha</w:t>
      </w:r>
      <w:r w:rsidRPr="00E00F43">
        <w:rPr>
          <w:rFonts w:ascii="Times New Roman" w:hAnsi="Times New Roman" w:cs="Times New Roman"/>
          <w:bCs/>
          <w:sz w:val="28"/>
          <w:vertAlign w:val="superscript"/>
          <w:lang w:eastAsia="es-CO"/>
        </w:rPr>
        <w:footnoteReference w:id="65"/>
      </w:r>
      <w:r w:rsidRPr="00E00F43">
        <w:rPr>
          <w:rFonts w:ascii="Times New Roman" w:hAnsi="Times New Roman" w:cs="Times New Roman"/>
          <w:bCs/>
          <w:sz w:val="28"/>
          <w:lang w:eastAsia="es-CO"/>
        </w:rPr>
        <w:t xml:space="preserve">. </w:t>
      </w:r>
      <w:r w:rsidRPr="00E00F43">
        <w:rPr>
          <w:rFonts w:ascii="Times New Roman" w:hAnsi="Times New Roman" w:cs="Times New Roman"/>
          <w:bCs/>
          <w:sz w:val="28"/>
          <w:lang w:eastAsia="es-CO"/>
        </w:rPr>
        <w:t xml:space="preserve"> </w:t>
      </w:r>
      <w:r w:rsidRPr="00E00F43">
        <w:rPr>
          <w:rFonts w:ascii="Times New Roman" w:hAnsi="Times New Roman" w:cs="Times New Roman"/>
          <w:bCs/>
          <w:i/>
          <w:iCs/>
          <w:sz w:val="28"/>
          <w:lang w:eastAsia="es-CO"/>
        </w:rPr>
        <w:t xml:space="preserve">  </w:t>
      </w:r>
    </w:p>
    <w:p w:rsidR="00551C94" w:rsidRPr="00E00F43" w:rsidRDefault="00E00F43" w:rsidP="00551C94">
      <w:pPr>
        <w:pStyle w:val="Prrafodelista"/>
        <w:rPr>
          <w:rFonts w:ascii="Times New Roman" w:hAnsi="Times New Roman" w:cs="Times New Roman"/>
          <w:bCs/>
          <w:i/>
          <w:iCs/>
          <w:sz w:val="28"/>
          <w:szCs w:val="24"/>
          <w:lang w:val="es-ES" w:eastAsia="es-CO"/>
        </w:rPr>
      </w:pPr>
    </w:p>
    <w:p w:rsidR="00637592" w:rsidRPr="00E00F43" w:rsidRDefault="00E00F43" w:rsidP="00A16E54">
      <w:pPr>
        <w:pStyle w:val="Ttulo"/>
        <w:rPr>
          <w:rFonts w:ascii="Times New Roman" w:hAnsi="Times New Roman" w:cs="Times New Roman"/>
          <w:i/>
          <w:iCs/>
          <w:sz w:val="28"/>
        </w:rPr>
      </w:pPr>
      <w:r w:rsidRPr="00E00F43">
        <w:rPr>
          <w:rFonts w:ascii="Times New Roman" w:hAnsi="Times New Roman" w:cs="Times New Roman"/>
          <w:i/>
          <w:iCs/>
          <w:sz w:val="28"/>
        </w:rPr>
        <w:t xml:space="preserve"> </w:t>
      </w:r>
      <w:r w:rsidRPr="00E00F43">
        <w:rPr>
          <w:rFonts w:ascii="Times New Roman" w:hAnsi="Times New Roman" w:cs="Times New Roman"/>
          <w:i/>
          <w:iCs/>
          <w:sz w:val="28"/>
        </w:rPr>
        <w:t xml:space="preserve">Ponencia para segundo debate. </w:t>
      </w:r>
      <w:r w:rsidRPr="00E00F43">
        <w:rPr>
          <w:rFonts w:ascii="Times New Roman" w:hAnsi="Times New Roman" w:cs="Times New Roman"/>
          <w:sz w:val="28"/>
        </w:rPr>
        <w:t>En la misma Gaceta del Congreso</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1526 del 28 de noviembre de 2022, se publicó el informe de ponencia positivo y se propuso surtir </w:t>
      </w:r>
      <w:r w:rsidRPr="00E00F43">
        <w:rPr>
          <w:rFonts w:ascii="Times New Roman" w:hAnsi="Times New Roman" w:cs="Times New Roman"/>
          <w:sz w:val="28"/>
        </w:rPr>
        <w:t xml:space="preserve">el </w:t>
      </w:r>
      <w:r w:rsidRPr="00E00F43">
        <w:rPr>
          <w:rFonts w:ascii="Times New Roman" w:hAnsi="Times New Roman" w:cs="Times New Roman"/>
          <w:sz w:val="28"/>
        </w:rPr>
        <w:t xml:space="preserve">segundo debate al </w:t>
      </w:r>
      <w:r w:rsidRPr="00E00F43">
        <w:rPr>
          <w:rFonts w:ascii="Times New Roman" w:hAnsi="Times New Roman" w:cs="Times New Roman"/>
          <w:sz w:val="28"/>
        </w:rPr>
        <w:t>p</w:t>
      </w:r>
      <w:r w:rsidRPr="00E00F43">
        <w:rPr>
          <w:rFonts w:ascii="Times New Roman" w:hAnsi="Times New Roman" w:cs="Times New Roman"/>
          <w:sz w:val="28"/>
        </w:rPr>
        <w:t xml:space="preserve">royecto de </w:t>
      </w:r>
      <w:r w:rsidRPr="00E00F43">
        <w:rPr>
          <w:rFonts w:ascii="Times New Roman" w:hAnsi="Times New Roman" w:cs="Times New Roman"/>
          <w:sz w:val="28"/>
        </w:rPr>
        <w:t>l</w:t>
      </w:r>
      <w:r w:rsidRPr="00E00F43">
        <w:rPr>
          <w:rFonts w:ascii="Times New Roman" w:hAnsi="Times New Roman" w:cs="Times New Roman"/>
          <w:sz w:val="28"/>
        </w:rPr>
        <w:t xml:space="preserve">ey </w:t>
      </w:r>
      <w:r w:rsidRPr="00E00F43">
        <w:rPr>
          <w:rFonts w:ascii="Times New Roman" w:hAnsi="Times New Roman" w:cs="Times New Roman"/>
          <w:sz w:val="28"/>
        </w:rPr>
        <w:t>199</w:t>
      </w:r>
      <w:r w:rsidRPr="00E00F43">
        <w:rPr>
          <w:rFonts w:ascii="Times New Roman" w:hAnsi="Times New Roman" w:cs="Times New Roman"/>
          <w:sz w:val="28"/>
        </w:rPr>
        <w:t xml:space="preserve"> de 2022 ante la Plenaria de la Cámara de Representantes. Tuvo como ponentes los mismos representantes que fungieron como tal en el primer debate</w:t>
      </w:r>
      <w:r w:rsidRPr="00E00F43">
        <w:rPr>
          <w:rFonts w:ascii="Times New Roman" w:hAnsi="Times New Roman" w:cs="Times New Roman"/>
          <w:sz w:val="28"/>
          <w:vertAlign w:val="superscript"/>
        </w:rPr>
        <w:footnoteReference w:id="66"/>
      </w:r>
      <w:r w:rsidRPr="00E00F43">
        <w:rPr>
          <w:rFonts w:ascii="Times New Roman" w:hAnsi="Times New Roman" w:cs="Times New Roman"/>
          <w:sz w:val="28"/>
        </w:rPr>
        <w:t xml:space="preserve">. </w:t>
      </w:r>
    </w:p>
    <w:p w:rsidR="00637592" w:rsidRPr="00E00F43" w:rsidRDefault="00E00F43" w:rsidP="00A16E54">
      <w:pPr>
        <w:pStyle w:val="Ttulo"/>
        <w:numPr>
          <w:ilvl w:val="0"/>
          <w:numId w:val="0"/>
        </w:numPr>
        <w:rPr>
          <w:rFonts w:ascii="Times New Roman" w:hAnsi="Times New Roman" w:cs="Times New Roman"/>
          <w:i/>
          <w:iCs/>
          <w:sz w:val="28"/>
        </w:rPr>
      </w:pPr>
    </w:p>
    <w:p w:rsidR="00637592" w:rsidRPr="00E00F43" w:rsidRDefault="00E00F43" w:rsidP="00A16E54">
      <w:pPr>
        <w:pStyle w:val="Ttulo"/>
        <w:rPr>
          <w:rFonts w:ascii="Times New Roman" w:hAnsi="Times New Roman" w:cs="Times New Roman"/>
          <w:i/>
          <w:iCs/>
          <w:sz w:val="28"/>
        </w:rPr>
      </w:pPr>
      <w:r w:rsidRPr="00E00F43">
        <w:rPr>
          <w:rFonts w:ascii="Times New Roman" w:hAnsi="Times New Roman" w:cs="Times New Roman"/>
          <w:i/>
          <w:iCs/>
          <w:sz w:val="28"/>
        </w:rPr>
        <w:t xml:space="preserve"> </w:t>
      </w:r>
      <w:r w:rsidRPr="00E00F43">
        <w:rPr>
          <w:rFonts w:ascii="Times New Roman" w:hAnsi="Times New Roman" w:cs="Times New Roman"/>
          <w:i/>
          <w:iCs/>
          <w:sz w:val="28"/>
        </w:rPr>
        <w:t xml:space="preserve">Anuncio para segundo debate. </w:t>
      </w:r>
      <w:r w:rsidRPr="00E00F43">
        <w:rPr>
          <w:rFonts w:ascii="Times New Roman" w:hAnsi="Times New Roman" w:cs="Times New Roman"/>
          <w:sz w:val="28"/>
        </w:rPr>
        <w:t xml:space="preserve">El proyecto de la referencia fue anunciado para segundo debate en la sesión </w:t>
      </w:r>
      <w:r w:rsidRPr="00E00F43">
        <w:rPr>
          <w:rFonts w:ascii="Times New Roman" w:hAnsi="Times New Roman" w:cs="Times New Roman"/>
          <w:sz w:val="28"/>
        </w:rPr>
        <w:t xml:space="preserve">ordinaria del </w:t>
      </w:r>
      <w:r w:rsidRPr="00E00F43">
        <w:rPr>
          <w:rFonts w:ascii="Times New Roman" w:hAnsi="Times New Roman" w:cs="Times New Roman"/>
          <w:sz w:val="28"/>
        </w:rPr>
        <w:t>30 de noviembre de 2022</w:t>
      </w:r>
      <w:r w:rsidRPr="00E00F43">
        <w:rPr>
          <w:rFonts w:ascii="Times New Roman" w:hAnsi="Times New Roman" w:cs="Times New Roman"/>
          <w:sz w:val="28"/>
        </w:rPr>
        <w:t>, como consta en el Acta</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35</w:t>
      </w:r>
      <w:r w:rsidRPr="00E00F43">
        <w:rPr>
          <w:rFonts w:ascii="Times New Roman" w:hAnsi="Times New Roman" w:cs="Times New Roman"/>
          <w:sz w:val="28"/>
        </w:rPr>
        <w:t xml:space="preserve"> de ese mismo día, contenida en la Gaceta del Congreso</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352</w:t>
      </w:r>
      <w:r w:rsidRPr="00E00F43">
        <w:rPr>
          <w:rFonts w:ascii="Times New Roman" w:hAnsi="Times New Roman" w:cs="Times New Roman"/>
          <w:sz w:val="28"/>
        </w:rPr>
        <w:t xml:space="preserve"> de1 </w:t>
      </w:r>
      <w:r w:rsidRPr="00E00F43">
        <w:rPr>
          <w:rFonts w:ascii="Times New Roman" w:hAnsi="Times New Roman" w:cs="Times New Roman"/>
          <w:sz w:val="28"/>
        </w:rPr>
        <w:t>20 de abril de 2023</w:t>
      </w:r>
      <w:r w:rsidRPr="00E00F43">
        <w:rPr>
          <w:rFonts w:ascii="Times New Roman" w:hAnsi="Times New Roman" w:cs="Times New Roman"/>
          <w:sz w:val="28"/>
        </w:rPr>
        <w:t>.</w:t>
      </w:r>
      <w:r w:rsidRPr="00E00F43">
        <w:rPr>
          <w:rFonts w:ascii="Times New Roman" w:hAnsi="Times New Roman" w:cs="Times New Roman"/>
          <w:sz w:val="28"/>
        </w:rPr>
        <w:t xml:space="preserve"> El anuncio se hizo “para la sesión Plenaria del día lunes a las 2 de la tarde o para la siguiente se</w:t>
      </w:r>
      <w:r w:rsidRPr="00E00F43">
        <w:rPr>
          <w:rFonts w:ascii="Times New Roman" w:hAnsi="Times New Roman" w:cs="Times New Roman"/>
          <w:sz w:val="28"/>
        </w:rPr>
        <w:t>sión Plenaria en el lunes 5 o la sesión Plenaria en la cual se debatan proyectos de ley o acto legislativo”</w:t>
      </w:r>
      <w:r w:rsidRPr="00E00F43">
        <w:rPr>
          <w:rFonts w:ascii="Times New Roman" w:hAnsi="Times New Roman" w:cs="Times New Roman"/>
          <w:sz w:val="28"/>
          <w:vertAlign w:val="superscript"/>
        </w:rPr>
        <w:footnoteReference w:id="67"/>
      </w:r>
      <w:r w:rsidRPr="00E00F43">
        <w:rPr>
          <w:rFonts w:ascii="Times New Roman" w:hAnsi="Times New Roman" w:cs="Times New Roman"/>
          <w:i/>
          <w:iCs/>
          <w:sz w:val="28"/>
        </w:rPr>
        <w:t>.</w:t>
      </w:r>
    </w:p>
    <w:p w:rsidR="00637592" w:rsidRPr="00E00F43" w:rsidRDefault="00E00F43" w:rsidP="00A16E54">
      <w:pPr>
        <w:pStyle w:val="Ttulo"/>
        <w:numPr>
          <w:ilvl w:val="0"/>
          <w:numId w:val="0"/>
        </w:numPr>
        <w:rPr>
          <w:rFonts w:ascii="Times New Roman" w:hAnsi="Times New Roman" w:cs="Times New Roman"/>
          <w:i/>
          <w:iCs/>
          <w:sz w:val="28"/>
        </w:rPr>
      </w:pPr>
    </w:p>
    <w:p w:rsidR="00637592" w:rsidRPr="00E00F43" w:rsidRDefault="00E00F43" w:rsidP="00A16E54">
      <w:pPr>
        <w:pStyle w:val="Ttulo"/>
        <w:rPr>
          <w:rFonts w:ascii="Times New Roman" w:hAnsi="Times New Roman" w:cs="Times New Roman"/>
          <w:i/>
          <w:iCs/>
          <w:sz w:val="28"/>
        </w:rPr>
      </w:pPr>
      <w:r w:rsidRPr="00E00F43">
        <w:rPr>
          <w:rFonts w:ascii="Times New Roman" w:hAnsi="Times New Roman" w:cs="Times New Roman"/>
          <w:i/>
          <w:iCs/>
          <w:sz w:val="28"/>
        </w:rPr>
        <w:t xml:space="preserve"> </w:t>
      </w:r>
      <w:r w:rsidRPr="00E00F43">
        <w:rPr>
          <w:rFonts w:ascii="Times New Roman" w:hAnsi="Times New Roman" w:cs="Times New Roman"/>
          <w:i/>
          <w:iCs/>
          <w:sz w:val="28"/>
        </w:rPr>
        <w:t xml:space="preserve">Discusión y aprobación. </w:t>
      </w:r>
      <w:r w:rsidRPr="00E00F43">
        <w:rPr>
          <w:rFonts w:ascii="Times New Roman" w:hAnsi="Times New Roman" w:cs="Times New Roman"/>
          <w:sz w:val="28"/>
        </w:rPr>
        <w:t xml:space="preserve">En cumplimiento del anuncio realizado, el proyecto de </w:t>
      </w:r>
      <w:r w:rsidRPr="00E00F43">
        <w:rPr>
          <w:rFonts w:ascii="Times New Roman" w:hAnsi="Times New Roman" w:cs="Times New Roman"/>
          <w:sz w:val="28"/>
        </w:rPr>
        <w:t>ley 199 de 2022</w:t>
      </w:r>
      <w:r w:rsidRPr="00E00F43">
        <w:rPr>
          <w:rFonts w:ascii="Times New Roman" w:hAnsi="Times New Roman" w:cs="Times New Roman"/>
          <w:sz w:val="28"/>
        </w:rPr>
        <w:t xml:space="preserve"> </w:t>
      </w:r>
      <w:r w:rsidRPr="00E00F43">
        <w:rPr>
          <w:rFonts w:ascii="Times New Roman" w:hAnsi="Times New Roman" w:cs="Times New Roman"/>
          <w:sz w:val="28"/>
        </w:rPr>
        <w:t xml:space="preserve">Cámara </w:t>
      </w:r>
      <w:r w:rsidRPr="00E00F43">
        <w:rPr>
          <w:rFonts w:ascii="Times New Roman" w:hAnsi="Times New Roman" w:cs="Times New Roman"/>
          <w:sz w:val="28"/>
        </w:rPr>
        <w:t>fue discutido y votado en la sesión plenari</w:t>
      </w:r>
      <w:r w:rsidRPr="00E00F43">
        <w:rPr>
          <w:rFonts w:ascii="Times New Roman" w:hAnsi="Times New Roman" w:cs="Times New Roman"/>
          <w:sz w:val="28"/>
        </w:rPr>
        <w:t xml:space="preserve">a del </w:t>
      </w:r>
      <w:r w:rsidRPr="00E00F43">
        <w:rPr>
          <w:rFonts w:ascii="Times New Roman" w:hAnsi="Times New Roman" w:cs="Times New Roman"/>
          <w:sz w:val="28"/>
        </w:rPr>
        <w:t xml:space="preserve">lunes </w:t>
      </w:r>
      <w:r w:rsidRPr="00E00F43">
        <w:rPr>
          <w:rFonts w:ascii="Times New Roman" w:hAnsi="Times New Roman" w:cs="Times New Roman"/>
          <w:sz w:val="28"/>
        </w:rPr>
        <w:t>5 de diciembre de 2022,</w:t>
      </w:r>
      <w:r w:rsidRPr="00E00F43">
        <w:rPr>
          <w:rFonts w:ascii="Times New Roman" w:hAnsi="Times New Roman" w:cs="Times New Roman"/>
          <w:sz w:val="28"/>
        </w:rPr>
        <w:t xml:space="preserve"> que correspondió a la siguiente al anuncio,</w:t>
      </w:r>
      <w:r w:rsidRPr="00E00F43">
        <w:rPr>
          <w:rFonts w:ascii="Times New Roman" w:hAnsi="Times New Roman" w:cs="Times New Roman"/>
          <w:sz w:val="28"/>
        </w:rPr>
        <w:t xml:space="preserve"> tal como consta en el Acta</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36 de la misma fecha, </w:t>
      </w:r>
      <w:r w:rsidRPr="00E00F43">
        <w:rPr>
          <w:rFonts w:ascii="Times New Roman" w:hAnsi="Times New Roman" w:cs="Times New Roman"/>
          <w:sz w:val="28"/>
        </w:rPr>
        <w:t>publicada en la Gaceta</w:t>
      </w:r>
      <w:r w:rsidRPr="00E00F43">
        <w:rPr>
          <w:rFonts w:ascii="Times New Roman" w:hAnsi="Times New Roman" w:cs="Times New Roman"/>
          <w:sz w:val="28"/>
        </w:rPr>
        <w:t xml:space="preserve"> del Congreso</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298</w:t>
      </w:r>
      <w:r w:rsidRPr="00E00F43">
        <w:rPr>
          <w:rFonts w:ascii="Times New Roman" w:hAnsi="Times New Roman" w:cs="Times New Roman"/>
          <w:sz w:val="28"/>
        </w:rPr>
        <w:t xml:space="preserve"> del </w:t>
      </w:r>
      <w:r w:rsidRPr="00E00F43">
        <w:rPr>
          <w:rFonts w:ascii="Times New Roman" w:hAnsi="Times New Roman" w:cs="Times New Roman"/>
          <w:sz w:val="28"/>
        </w:rPr>
        <w:t xml:space="preserve">12 de abril de 2023. Allí mismo se acredita que </w:t>
      </w:r>
      <w:r w:rsidRPr="00E00F43">
        <w:rPr>
          <w:rFonts w:ascii="Times New Roman" w:hAnsi="Times New Roman" w:cs="Times New Roman"/>
          <w:sz w:val="28"/>
        </w:rPr>
        <w:t xml:space="preserve">se aprobó por votación nominal y pública la proposición con que termina el informe de ponencia con </w:t>
      </w:r>
      <w:r w:rsidRPr="00E00F43">
        <w:rPr>
          <w:rFonts w:ascii="Times New Roman" w:hAnsi="Times New Roman" w:cs="Times New Roman"/>
          <w:sz w:val="28"/>
        </w:rPr>
        <w:t>12</w:t>
      </w:r>
      <w:r w:rsidRPr="00E00F43">
        <w:rPr>
          <w:rFonts w:ascii="Times New Roman" w:hAnsi="Times New Roman" w:cs="Times New Roman"/>
          <w:sz w:val="28"/>
        </w:rPr>
        <w:t>3</w:t>
      </w:r>
      <w:r w:rsidRPr="00E00F43">
        <w:rPr>
          <w:rFonts w:ascii="Times New Roman" w:hAnsi="Times New Roman" w:cs="Times New Roman"/>
          <w:sz w:val="28"/>
        </w:rPr>
        <w:t xml:space="preserve"> </w:t>
      </w:r>
      <w:r w:rsidRPr="00E00F43">
        <w:rPr>
          <w:rFonts w:ascii="Times New Roman" w:hAnsi="Times New Roman" w:cs="Times New Roman"/>
          <w:sz w:val="28"/>
        </w:rPr>
        <w:t>votos a favor y ninguno en contra</w:t>
      </w:r>
      <w:r w:rsidRPr="00E00F43">
        <w:rPr>
          <w:rStyle w:val="Refdenotaalpie"/>
          <w:rFonts w:ascii="Times New Roman" w:hAnsi="Times New Roman"/>
          <w:bCs/>
          <w:sz w:val="28"/>
          <w:lang w:eastAsia="es-CO"/>
        </w:rPr>
        <w:footnoteReference w:id="68"/>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el articulado fue aprobado con 113 votos a favor y ninguno en contra</w:t>
      </w:r>
      <w:r w:rsidRPr="00E00F43">
        <w:rPr>
          <w:rStyle w:val="Refdenotaalpie"/>
          <w:rFonts w:ascii="Times New Roman" w:hAnsi="Times New Roman"/>
          <w:bCs/>
          <w:sz w:val="28"/>
          <w:lang w:eastAsia="es-CO"/>
        </w:rPr>
        <w:footnoteReference w:id="69"/>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 xml:space="preserve">y el título y la pregunta de si se quiere que </w:t>
      </w:r>
      <w:r w:rsidRPr="00E00F43">
        <w:rPr>
          <w:rFonts w:ascii="Times New Roman" w:hAnsi="Times New Roman" w:cs="Times New Roman"/>
          <w:sz w:val="28"/>
        </w:rPr>
        <w:t xml:space="preserve">sea ley de la República </w:t>
      </w:r>
      <w:r w:rsidRPr="00E00F43">
        <w:rPr>
          <w:rFonts w:ascii="Times New Roman" w:hAnsi="Times New Roman" w:cs="Times New Roman"/>
          <w:sz w:val="28"/>
        </w:rPr>
        <w:t xml:space="preserve">se aprobó </w:t>
      </w:r>
      <w:r w:rsidRPr="00E00F43">
        <w:rPr>
          <w:rFonts w:ascii="Times New Roman" w:hAnsi="Times New Roman" w:cs="Times New Roman"/>
          <w:sz w:val="28"/>
        </w:rPr>
        <w:t>con 1</w:t>
      </w:r>
      <w:r w:rsidRPr="00E00F43">
        <w:rPr>
          <w:rFonts w:ascii="Times New Roman" w:hAnsi="Times New Roman" w:cs="Times New Roman"/>
          <w:sz w:val="28"/>
        </w:rPr>
        <w:t>29</w:t>
      </w:r>
      <w:r w:rsidRPr="00E00F43">
        <w:rPr>
          <w:rFonts w:ascii="Times New Roman" w:hAnsi="Times New Roman" w:cs="Times New Roman"/>
          <w:sz w:val="28"/>
        </w:rPr>
        <w:t xml:space="preserve"> votos a favor y ninguno en contra</w:t>
      </w:r>
      <w:r w:rsidRPr="00E00F43">
        <w:rPr>
          <w:rFonts w:ascii="Times New Roman" w:hAnsi="Times New Roman" w:cs="Times New Roman"/>
          <w:sz w:val="28"/>
        </w:rPr>
        <w:t>,</w:t>
      </w:r>
      <w:r w:rsidRPr="00E00F43">
        <w:rPr>
          <w:rFonts w:ascii="Times New Roman" w:hAnsi="Times New Roman" w:cs="Times New Roman"/>
          <w:sz w:val="28"/>
          <w:vertAlign w:val="superscript"/>
        </w:rPr>
        <w:footnoteReference w:id="70"/>
      </w:r>
      <w:r w:rsidRPr="00E00F43">
        <w:rPr>
          <w:rFonts w:ascii="Times New Roman" w:hAnsi="Times New Roman" w:cs="Times New Roman"/>
          <w:sz w:val="28"/>
        </w:rPr>
        <w:t xml:space="preserve"> todo lo cual e</w:t>
      </w:r>
      <w:r w:rsidRPr="00E00F43">
        <w:rPr>
          <w:rFonts w:ascii="Times New Roman" w:hAnsi="Times New Roman" w:cs="Times New Roman"/>
          <w:sz w:val="28"/>
        </w:rPr>
        <w:t>videncia</w:t>
      </w:r>
      <w:r w:rsidRPr="00E00F43">
        <w:rPr>
          <w:rFonts w:ascii="Times New Roman" w:hAnsi="Times New Roman" w:cs="Times New Roman"/>
          <w:sz w:val="28"/>
        </w:rPr>
        <w:t xml:space="preserve">, </w:t>
      </w:r>
      <w:r w:rsidRPr="00E00F43">
        <w:rPr>
          <w:rFonts w:ascii="Times New Roman" w:hAnsi="Times New Roman" w:cs="Times New Roman"/>
          <w:sz w:val="28"/>
        </w:rPr>
        <w:t>también</w:t>
      </w:r>
      <w:r w:rsidRPr="00E00F43">
        <w:rPr>
          <w:rFonts w:ascii="Times New Roman" w:hAnsi="Times New Roman" w:cs="Times New Roman"/>
          <w:sz w:val="28"/>
        </w:rPr>
        <w:t>,</w:t>
      </w:r>
      <w:r w:rsidRPr="00E00F43">
        <w:rPr>
          <w:rFonts w:ascii="Times New Roman" w:hAnsi="Times New Roman" w:cs="Times New Roman"/>
          <w:sz w:val="28"/>
        </w:rPr>
        <w:t xml:space="preserve"> el cumplimiento del quórum decisorio</w:t>
      </w:r>
      <w:r w:rsidRPr="00E00F43">
        <w:rPr>
          <w:rStyle w:val="Refdenotaalpie"/>
          <w:rFonts w:ascii="Times New Roman" w:hAnsi="Times New Roman"/>
          <w:bCs/>
          <w:sz w:val="28"/>
          <w:lang w:eastAsia="es-CO"/>
        </w:rPr>
        <w:footnoteReference w:id="71"/>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 xml:space="preserve">El mecanismo y los resultados de la votación fueron ratificados por el secretario general de la Cámara de </w:t>
      </w:r>
      <w:r w:rsidRPr="00E00F43">
        <w:rPr>
          <w:rFonts w:ascii="Times New Roman" w:hAnsi="Times New Roman" w:cs="Times New Roman"/>
          <w:sz w:val="28"/>
        </w:rPr>
        <w:t>Representantes, Jaime Luis Lacouture Peñaloza, en comunicación enviada a la Corte Constitucional</w:t>
      </w:r>
      <w:r w:rsidRPr="00E00F43">
        <w:rPr>
          <w:rFonts w:ascii="Times New Roman" w:hAnsi="Times New Roman" w:cs="Times New Roman"/>
          <w:sz w:val="28"/>
          <w:vertAlign w:val="superscript"/>
        </w:rPr>
        <w:footnoteReference w:id="72"/>
      </w:r>
      <w:r w:rsidRPr="00E00F43">
        <w:rPr>
          <w:rFonts w:ascii="Times New Roman" w:hAnsi="Times New Roman" w:cs="Times New Roman"/>
          <w:sz w:val="28"/>
        </w:rPr>
        <w:t>.</w:t>
      </w:r>
    </w:p>
    <w:p w:rsidR="00637592" w:rsidRPr="00E00F43" w:rsidRDefault="00E00F43" w:rsidP="00A16E54">
      <w:pPr>
        <w:pStyle w:val="Ttulo"/>
        <w:numPr>
          <w:ilvl w:val="0"/>
          <w:numId w:val="0"/>
        </w:numPr>
        <w:rPr>
          <w:rFonts w:ascii="Times New Roman" w:hAnsi="Times New Roman" w:cs="Times New Roman"/>
          <w:i/>
          <w:iCs/>
          <w:sz w:val="28"/>
        </w:rPr>
      </w:pPr>
    </w:p>
    <w:p w:rsidR="007477C5" w:rsidRPr="00E00F43" w:rsidRDefault="00E00F43" w:rsidP="00A16E54">
      <w:pPr>
        <w:pStyle w:val="Ttulo"/>
        <w:rPr>
          <w:rFonts w:ascii="Times New Roman" w:hAnsi="Times New Roman" w:cs="Times New Roman"/>
          <w:i/>
          <w:iCs/>
          <w:sz w:val="28"/>
        </w:rPr>
      </w:pPr>
      <w:r w:rsidRPr="00E00F43">
        <w:rPr>
          <w:rFonts w:ascii="Times New Roman" w:hAnsi="Times New Roman" w:cs="Times New Roman"/>
          <w:i/>
          <w:iCs/>
          <w:sz w:val="28"/>
        </w:rPr>
        <w:t xml:space="preserve"> </w:t>
      </w:r>
      <w:r w:rsidRPr="00E00F43">
        <w:rPr>
          <w:rFonts w:ascii="Times New Roman" w:hAnsi="Times New Roman" w:cs="Times New Roman"/>
          <w:i/>
          <w:iCs/>
          <w:sz w:val="28"/>
        </w:rPr>
        <w:t xml:space="preserve">Publicación </w:t>
      </w:r>
      <w:r w:rsidRPr="00E00F43">
        <w:rPr>
          <w:rFonts w:ascii="Times New Roman" w:hAnsi="Times New Roman" w:cs="Times New Roman"/>
          <w:i/>
          <w:iCs/>
          <w:sz w:val="28"/>
        </w:rPr>
        <w:t>del texto definitivo aprobado en segundo debate</w:t>
      </w:r>
      <w:r w:rsidRPr="00E00F43">
        <w:rPr>
          <w:rFonts w:ascii="Times New Roman" w:hAnsi="Times New Roman" w:cs="Times New Roman"/>
          <w:i/>
          <w:iCs/>
          <w:sz w:val="28"/>
        </w:rPr>
        <w:t xml:space="preserve">. </w:t>
      </w:r>
      <w:r w:rsidRPr="00E00F43">
        <w:rPr>
          <w:rFonts w:ascii="Times New Roman" w:hAnsi="Times New Roman" w:cs="Times New Roman"/>
          <w:sz w:val="28"/>
        </w:rPr>
        <w:t>En la Gaceta del Congreso</w:t>
      </w:r>
      <w:r w:rsidRPr="00E00F43">
        <w:rPr>
          <w:rFonts w:ascii="Times New Roman" w:hAnsi="Times New Roman" w:cs="Times New Roman"/>
          <w:sz w:val="28"/>
        </w:rPr>
        <w:t xml:space="preserve"> n.</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1736</w:t>
      </w:r>
      <w:r w:rsidRPr="00E00F43">
        <w:rPr>
          <w:rFonts w:ascii="Times New Roman" w:hAnsi="Times New Roman" w:cs="Times New Roman"/>
          <w:sz w:val="28"/>
        </w:rPr>
        <w:t xml:space="preserve"> del </w:t>
      </w:r>
      <w:r w:rsidRPr="00E00F43">
        <w:rPr>
          <w:rFonts w:ascii="Times New Roman" w:hAnsi="Times New Roman" w:cs="Times New Roman"/>
          <w:sz w:val="28"/>
        </w:rPr>
        <w:t>29 de diciembre de 202</w:t>
      </w:r>
      <w:r w:rsidRPr="00E00F43">
        <w:rPr>
          <w:rFonts w:ascii="Times New Roman" w:hAnsi="Times New Roman" w:cs="Times New Roman"/>
          <w:sz w:val="28"/>
        </w:rPr>
        <w:t>2</w:t>
      </w:r>
      <w:r w:rsidRPr="00E00F43">
        <w:rPr>
          <w:rFonts w:ascii="Times New Roman" w:hAnsi="Times New Roman" w:cs="Times New Roman"/>
          <w:sz w:val="28"/>
        </w:rPr>
        <w:t xml:space="preserve"> se publicó el texto definitivo del </w:t>
      </w:r>
      <w:r w:rsidRPr="00E00F43">
        <w:rPr>
          <w:rFonts w:ascii="Times New Roman" w:hAnsi="Times New Roman" w:cs="Times New Roman"/>
          <w:sz w:val="28"/>
        </w:rPr>
        <w:t>p</w:t>
      </w:r>
      <w:r w:rsidRPr="00E00F43">
        <w:rPr>
          <w:rFonts w:ascii="Times New Roman" w:hAnsi="Times New Roman" w:cs="Times New Roman"/>
          <w:sz w:val="28"/>
        </w:rPr>
        <w:t xml:space="preserve">royecto de </w:t>
      </w:r>
      <w:r w:rsidRPr="00E00F43">
        <w:rPr>
          <w:rFonts w:ascii="Times New Roman" w:hAnsi="Times New Roman" w:cs="Times New Roman"/>
          <w:sz w:val="28"/>
        </w:rPr>
        <w:t>l</w:t>
      </w:r>
      <w:r w:rsidRPr="00E00F43">
        <w:rPr>
          <w:rFonts w:ascii="Times New Roman" w:hAnsi="Times New Roman" w:cs="Times New Roman"/>
          <w:sz w:val="28"/>
        </w:rPr>
        <w:t xml:space="preserve">ey </w:t>
      </w:r>
      <w:r w:rsidRPr="00E00F43">
        <w:rPr>
          <w:rFonts w:ascii="Times New Roman" w:hAnsi="Times New Roman" w:cs="Times New Roman"/>
          <w:sz w:val="28"/>
        </w:rPr>
        <w:t>199</w:t>
      </w:r>
      <w:r w:rsidRPr="00E00F43">
        <w:rPr>
          <w:rFonts w:ascii="Times New Roman" w:hAnsi="Times New Roman" w:cs="Times New Roman"/>
          <w:sz w:val="28"/>
        </w:rPr>
        <w:t xml:space="preserve"> de 202</w:t>
      </w:r>
      <w:r w:rsidRPr="00E00F43">
        <w:rPr>
          <w:rFonts w:ascii="Times New Roman" w:hAnsi="Times New Roman" w:cs="Times New Roman"/>
          <w:sz w:val="28"/>
        </w:rPr>
        <w:t>2</w:t>
      </w:r>
      <w:r w:rsidRPr="00E00F43">
        <w:rPr>
          <w:rFonts w:ascii="Times New Roman" w:hAnsi="Times New Roman" w:cs="Times New Roman"/>
          <w:sz w:val="28"/>
        </w:rPr>
        <w:t xml:space="preserve"> aprobado</w:t>
      </w:r>
      <w:r w:rsidRPr="00E00F43">
        <w:rPr>
          <w:rFonts w:ascii="Times New Roman" w:hAnsi="Times New Roman" w:cs="Times New Roman"/>
          <w:sz w:val="28"/>
        </w:rPr>
        <w:t xml:space="preserve"> en la </w:t>
      </w:r>
      <w:r w:rsidRPr="00E00F43">
        <w:rPr>
          <w:rFonts w:ascii="Times New Roman" w:hAnsi="Times New Roman" w:cs="Times New Roman"/>
          <w:sz w:val="28"/>
        </w:rPr>
        <w:t>p</w:t>
      </w:r>
      <w:r w:rsidRPr="00E00F43">
        <w:rPr>
          <w:rFonts w:ascii="Times New Roman" w:hAnsi="Times New Roman" w:cs="Times New Roman"/>
          <w:sz w:val="28"/>
        </w:rPr>
        <w:t>lenaria de la Cámara de Representantes</w:t>
      </w:r>
      <w:r w:rsidRPr="00E00F43">
        <w:rPr>
          <w:rFonts w:ascii="Times New Roman" w:hAnsi="Times New Roman" w:cs="Times New Roman"/>
          <w:sz w:val="28"/>
          <w:vertAlign w:val="superscript"/>
        </w:rPr>
        <w:footnoteReference w:id="73"/>
      </w:r>
      <w:r w:rsidRPr="00E00F43">
        <w:rPr>
          <w:rFonts w:ascii="Times New Roman" w:hAnsi="Times New Roman" w:cs="Times New Roman"/>
          <w:sz w:val="28"/>
        </w:rPr>
        <w:t xml:space="preserve">. </w:t>
      </w:r>
    </w:p>
    <w:p w:rsidR="007477C5" w:rsidRPr="00E00F43" w:rsidRDefault="00E00F43" w:rsidP="00A16E54">
      <w:pPr>
        <w:pStyle w:val="Ttulo"/>
        <w:numPr>
          <w:ilvl w:val="0"/>
          <w:numId w:val="0"/>
        </w:numPr>
        <w:rPr>
          <w:rFonts w:ascii="Times New Roman" w:hAnsi="Times New Roman" w:cs="Times New Roman"/>
          <w:i/>
          <w:iCs/>
          <w:sz w:val="28"/>
        </w:rPr>
      </w:pPr>
    </w:p>
    <w:p w:rsidR="003100AA" w:rsidRPr="00E00F43" w:rsidRDefault="00E00F43" w:rsidP="00A16E54">
      <w:pPr>
        <w:pStyle w:val="Ttulo"/>
        <w:rPr>
          <w:rFonts w:ascii="Times New Roman" w:hAnsi="Times New Roman" w:cs="Times New Roman"/>
          <w:i/>
          <w:iCs/>
          <w:sz w:val="28"/>
        </w:rPr>
      </w:pPr>
      <w:r w:rsidRPr="00E00F43">
        <w:rPr>
          <w:rFonts w:ascii="Times New Roman" w:hAnsi="Times New Roman" w:cs="Times New Roman"/>
          <w:i/>
          <w:iCs/>
          <w:sz w:val="28"/>
        </w:rPr>
        <w:t xml:space="preserve"> </w:t>
      </w:r>
      <w:r w:rsidRPr="00E00F43">
        <w:rPr>
          <w:rFonts w:ascii="Times New Roman" w:hAnsi="Times New Roman" w:cs="Times New Roman"/>
          <w:i/>
          <w:iCs/>
          <w:sz w:val="28"/>
        </w:rPr>
        <w:t>Lapso entre debates</w:t>
      </w:r>
      <w:r w:rsidRPr="00E00F43">
        <w:rPr>
          <w:rFonts w:ascii="Times New Roman" w:hAnsi="Times New Roman" w:cs="Times New Roman"/>
          <w:sz w:val="28"/>
        </w:rPr>
        <w:t>. En cumplimiento del artículo 160 superior, entre el primer y el segundo debate en la Cámara de Representantes t</w:t>
      </w:r>
      <w:r w:rsidRPr="00E00F43">
        <w:rPr>
          <w:rFonts w:ascii="Times New Roman" w:hAnsi="Times New Roman" w:cs="Times New Roman"/>
          <w:sz w:val="28"/>
        </w:rPr>
        <w:t xml:space="preserve">ranscurrió un lapso no inferior a ocho días, pues el debate en </w:t>
      </w:r>
      <w:r w:rsidRPr="00E00F43">
        <w:rPr>
          <w:rFonts w:ascii="Times New Roman" w:hAnsi="Times New Roman" w:cs="Times New Roman"/>
          <w:sz w:val="28"/>
        </w:rPr>
        <w:t>c</w:t>
      </w:r>
      <w:r w:rsidRPr="00E00F43">
        <w:rPr>
          <w:rFonts w:ascii="Times New Roman" w:hAnsi="Times New Roman" w:cs="Times New Roman"/>
          <w:sz w:val="28"/>
        </w:rPr>
        <w:t xml:space="preserve">omisión </w:t>
      </w:r>
      <w:r w:rsidRPr="00E00F43">
        <w:rPr>
          <w:rFonts w:ascii="Times New Roman" w:hAnsi="Times New Roman" w:cs="Times New Roman"/>
          <w:sz w:val="28"/>
        </w:rPr>
        <w:t>s</w:t>
      </w:r>
      <w:r w:rsidRPr="00E00F43">
        <w:rPr>
          <w:rFonts w:ascii="Times New Roman" w:hAnsi="Times New Roman" w:cs="Times New Roman"/>
          <w:sz w:val="28"/>
        </w:rPr>
        <w:t xml:space="preserve">egunda tuvo lugar el día </w:t>
      </w:r>
      <w:r w:rsidRPr="00E00F43">
        <w:rPr>
          <w:rFonts w:ascii="Times New Roman" w:hAnsi="Times New Roman" w:cs="Times New Roman"/>
          <w:sz w:val="28"/>
        </w:rPr>
        <w:t>16 de noviembre de 2022</w:t>
      </w:r>
      <w:r w:rsidRPr="00E00F43">
        <w:rPr>
          <w:rFonts w:ascii="Times New Roman" w:hAnsi="Times New Roman" w:cs="Times New Roman"/>
          <w:sz w:val="28"/>
        </w:rPr>
        <w:t xml:space="preserve"> y en </w:t>
      </w:r>
      <w:r w:rsidRPr="00E00F43">
        <w:rPr>
          <w:rFonts w:ascii="Times New Roman" w:hAnsi="Times New Roman" w:cs="Times New Roman"/>
          <w:sz w:val="28"/>
        </w:rPr>
        <w:t>p</w:t>
      </w:r>
      <w:r w:rsidRPr="00E00F43">
        <w:rPr>
          <w:rFonts w:ascii="Times New Roman" w:hAnsi="Times New Roman" w:cs="Times New Roman"/>
          <w:sz w:val="28"/>
        </w:rPr>
        <w:t xml:space="preserve">lenaria el día </w:t>
      </w:r>
      <w:r w:rsidRPr="00E00F43">
        <w:rPr>
          <w:rFonts w:ascii="Times New Roman" w:hAnsi="Times New Roman" w:cs="Times New Roman"/>
          <w:sz w:val="28"/>
        </w:rPr>
        <w:t>5 de diciembre del mismo año</w:t>
      </w:r>
      <w:r w:rsidRPr="00E00F43">
        <w:rPr>
          <w:rFonts w:ascii="Times New Roman" w:hAnsi="Times New Roman" w:cs="Times New Roman"/>
          <w:sz w:val="28"/>
        </w:rPr>
        <w:t xml:space="preserve">. </w:t>
      </w:r>
    </w:p>
    <w:p w:rsidR="003100AA" w:rsidRPr="00E00F43" w:rsidRDefault="00E00F43" w:rsidP="003100AA">
      <w:pPr>
        <w:pStyle w:val="Prrafodelista"/>
        <w:rPr>
          <w:rFonts w:ascii="Times New Roman" w:hAnsi="Times New Roman" w:cs="Times New Roman"/>
          <w:bCs/>
          <w:i/>
          <w:iCs/>
          <w:sz w:val="28"/>
          <w:szCs w:val="24"/>
          <w:lang w:val="es-ES" w:eastAsia="es-CO"/>
        </w:rPr>
      </w:pPr>
    </w:p>
    <w:p w:rsidR="00B44EA9" w:rsidRPr="00E00F43" w:rsidRDefault="00E00F43" w:rsidP="00A16E54">
      <w:pPr>
        <w:pStyle w:val="Ttulo"/>
        <w:rPr>
          <w:rFonts w:ascii="Times New Roman" w:hAnsi="Times New Roman" w:cs="Times New Roman"/>
          <w:i/>
          <w:iCs/>
          <w:sz w:val="28"/>
        </w:rPr>
      </w:pPr>
      <w:r w:rsidRPr="00E00F43">
        <w:rPr>
          <w:rFonts w:ascii="Times New Roman" w:hAnsi="Times New Roman" w:cs="Times New Roman"/>
          <w:i/>
          <w:iCs/>
          <w:sz w:val="28"/>
        </w:rPr>
        <w:t xml:space="preserve"> </w:t>
      </w:r>
      <w:r w:rsidRPr="00E00F43">
        <w:rPr>
          <w:rFonts w:ascii="Times New Roman" w:hAnsi="Times New Roman" w:cs="Times New Roman"/>
          <w:i/>
          <w:iCs/>
          <w:sz w:val="28"/>
        </w:rPr>
        <w:t>Trámite del proyecto sin exceder dos legislaturas</w:t>
      </w:r>
      <w:r w:rsidRPr="00E00F43">
        <w:rPr>
          <w:rFonts w:ascii="Times New Roman" w:hAnsi="Times New Roman" w:cs="Times New Roman"/>
          <w:sz w:val="28"/>
        </w:rPr>
        <w:t xml:space="preserve">. El proyecto de ley fue tramitado sin que superara dos legislaturas, toda vez que fue radicado en el Senado en </w:t>
      </w:r>
      <w:r w:rsidRPr="00E00F43">
        <w:rPr>
          <w:rFonts w:ascii="Times New Roman" w:hAnsi="Times New Roman" w:cs="Times New Roman"/>
          <w:sz w:val="28"/>
        </w:rPr>
        <w:t>marzo de 2022</w:t>
      </w:r>
      <w:r w:rsidRPr="00E00F43">
        <w:rPr>
          <w:rFonts w:ascii="Times New Roman" w:hAnsi="Times New Roman" w:cs="Times New Roman"/>
          <w:sz w:val="28"/>
        </w:rPr>
        <w:t xml:space="preserve"> y su trámite finalizó en </w:t>
      </w:r>
      <w:r w:rsidRPr="00E00F43">
        <w:rPr>
          <w:rFonts w:ascii="Times New Roman" w:hAnsi="Times New Roman" w:cs="Times New Roman"/>
          <w:sz w:val="28"/>
        </w:rPr>
        <w:t>diciembre del mismo año.</w:t>
      </w:r>
    </w:p>
    <w:p w:rsidR="002165DD" w:rsidRPr="00E00F43" w:rsidRDefault="00E00F43" w:rsidP="002165DD">
      <w:pPr>
        <w:spacing w:after="0"/>
        <w:rPr>
          <w:rFonts w:ascii="Times New Roman" w:eastAsia="Times New Roman" w:hAnsi="Times New Roman" w:cs="Times New Roman"/>
          <w:bCs/>
          <w:i/>
          <w:iCs/>
          <w:sz w:val="28"/>
          <w:szCs w:val="24"/>
          <w:lang w:val="es-ES"/>
        </w:rPr>
      </w:pPr>
    </w:p>
    <w:p w:rsidR="002165DD" w:rsidRPr="00E00F43" w:rsidRDefault="00E00F43">
      <w:pPr>
        <w:pStyle w:val="Prrafodelista"/>
        <w:numPr>
          <w:ilvl w:val="2"/>
          <w:numId w:val="7"/>
        </w:numPr>
        <w:spacing w:line="276" w:lineRule="auto"/>
        <w:ind w:left="0" w:firstLine="0"/>
        <w:contextualSpacing/>
        <w:rPr>
          <w:rFonts w:ascii="Times New Roman" w:hAnsi="Times New Roman" w:cs="Times New Roman"/>
          <w:b/>
          <w:sz w:val="28"/>
          <w:szCs w:val="24"/>
          <w:lang w:val="es-ES" w:eastAsia="es-CO"/>
        </w:rPr>
      </w:pPr>
      <w:r w:rsidRPr="00E00F43">
        <w:rPr>
          <w:rFonts w:ascii="Times New Roman" w:hAnsi="Times New Roman" w:cs="Times New Roman"/>
          <w:b/>
          <w:sz w:val="28"/>
          <w:szCs w:val="24"/>
          <w:lang w:val="es-ES" w:eastAsia="es-CO"/>
        </w:rPr>
        <w:t xml:space="preserve">Se respetaron los principios de consecutividad e identidad flexible </w:t>
      </w:r>
    </w:p>
    <w:p w:rsidR="002165DD" w:rsidRPr="00E00F43" w:rsidRDefault="00E00F43" w:rsidP="002165DD">
      <w:pPr>
        <w:spacing w:after="0"/>
        <w:rPr>
          <w:rFonts w:ascii="Times New Roman" w:eastAsia="Times New Roman" w:hAnsi="Times New Roman" w:cs="Times New Roman"/>
          <w:b/>
          <w:i/>
          <w:iCs/>
          <w:sz w:val="28"/>
          <w:szCs w:val="24"/>
          <w:lang w:val="es-ES"/>
        </w:rPr>
      </w:pPr>
    </w:p>
    <w:p w:rsidR="00016E83" w:rsidRPr="00E00F43" w:rsidRDefault="00E00F43" w:rsidP="00A16E54">
      <w:pPr>
        <w:pStyle w:val="Ttulo"/>
        <w:rPr>
          <w:rFonts w:ascii="Times New Roman" w:hAnsi="Times New Roman" w:cs="Times New Roman"/>
          <w:i/>
          <w:iCs/>
          <w:sz w:val="28"/>
        </w:rPr>
      </w:pPr>
      <w:r w:rsidRPr="00E00F43">
        <w:rPr>
          <w:rFonts w:ascii="Times New Roman" w:hAnsi="Times New Roman" w:cs="Times New Roman"/>
          <w:sz w:val="28"/>
        </w:rPr>
        <w:t xml:space="preserve">El </w:t>
      </w:r>
      <w:r w:rsidRPr="00E00F43">
        <w:rPr>
          <w:rFonts w:ascii="Times New Roman" w:hAnsi="Times New Roman" w:cs="Times New Roman"/>
          <w:sz w:val="28"/>
        </w:rPr>
        <w:t>principio de consecutividad, ha dicho la Corte, se desprende del contenido del artículo 157 constitucional, que impone “la obligación del legislador de cumplir con el trámite legislativo, lo cual implica (i) estudiar y debatir todos los temas propuestos an</w:t>
      </w:r>
      <w:r w:rsidRPr="00E00F43">
        <w:rPr>
          <w:rFonts w:ascii="Times New Roman" w:hAnsi="Times New Roman" w:cs="Times New Roman"/>
          <w:sz w:val="28"/>
        </w:rPr>
        <w:t>te las cámaras legislativas;  (ii) ejercer en cada una de sus células sus respectivas competencias de debate y aprobación de los textos propuestos sin eludir o delegar esta facultad a otra instancia legislativa; y (iii) debatir, aprobar o improbar el artic</w:t>
      </w:r>
      <w:r w:rsidRPr="00E00F43">
        <w:rPr>
          <w:rFonts w:ascii="Times New Roman" w:hAnsi="Times New Roman" w:cs="Times New Roman"/>
          <w:sz w:val="28"/>
        </w:rPr>
        <w:t>ulado propuesto para primer o segundo debate, así como las proposiciones que lo modifiquen o adicionen. En caso de que ocurra una irregularidad asociada a estas obligaciones de conocer en cada una de las cámaras el texto a aprobar, se puede llegar a config</w:t>
      </w:r>
      <w:r w:rsidRPr="00E00F43">
        <w:rPr>
          <w:rFonts w:ascii="Times New Roman" w:hAnsi="Times New Roman" w:cs="Times New Roman"/>
          <w:sz w:val="28"/>
        </w:rPr>
        <w:t>urar un vicio de procedimiento por elusión que vulnera el principio de consecutividad”</w:t>
      </w:r>
      <w:r w:rsidRPr="00E00F43">
        <w:rPr>
          <w:rFonts w:ascii="Times New Roman" w:hAnsi="Times New Roman" w:cs="Times New Roman"/>
          <w:sz w:val="28"/>
          <w:vertAlign w:val="superscript"/>
        </w:rPr>
        <w:footnoteReference w:id="74"/>
      </w:r>
      <w:r w:rsidRPr="00E00F43">
        <w:rPr>
          <w:rFonts w:ascii="Times New Roman" w:hAnsi="Times New Roman" w:cs="Times New Roman"/>
          <w:sz w:val="28"/>
        </w:rPr>
        <w:t>.</w:t>
      </w:r>
      <w:r w:rsidRPr="00E00F43">
        <w:rPr>
          <w:rFonts w:ascii="Times New Roman" w:hAnsi="Times New Roman" w:cs="Times New Roman"/>
          <w:sz w:val="28"/>
        </w:rPr>
        <w:t xml:space="preserve"> </w:t>
      </w:r>
    </w:p>
    <w:p w:rsidR="00016E83" w:rsidRPr="00E00F43" w:rsidRDefault="00E00F43" w:rsidP="00A16E54">
      <w:pPr>
        <w:pStyle w:val="Ttulo"/>
        <w:numPr>
          <w:ilvl w:val="0"/>
          <w:numId w:val="0"/>
        </w:numPr>
        <w:rPr>
          <w:rFonts w:ascii="Times New Roman" w:hAnsi="Times New Roman" w:cs="Times New Roman"/>
          <w:i/>
          <w:iCs/>
          <w:sz w:val="28"/>
        </w:rPr>
      </w:pPr>
    </w:p>
    <w:p w:rsidR="00016E83" w:rsidRPr="00E00F43" w:rsidRDefault="00E00F43" w:rsidP="00A16E54">
      <w:pPr>
        <w:pStyle w:val="Ttulo"/>
        <w:rPr>
          <w:rFonts w:ascii="Times New Roman" w:hAnsi="Times New Roman" w:cs="Times New Roman"/>
          <w:i/>
          <w:iCs/>
          <w:sz w:val="28"/>
        </w:rPr>
      </w:pPr>
      <w:r w:rsidRPr="00E00F43">
        <w:rPr>
          <w:rFonts w:ascii="Times New Roman" w:hAnsi="Times New Roman" w:cs="Times New Roman"/>
          <w:sz w:val="28"/>
        </w:rPr>
        <w:t>Por su parte, el principio de identidad flexible hace referencia a que las diferentes materias que conforman la iniciativa sean conocidas por las instancias legislat</w:t>
      </w:r>
      <w:r w:rsidRPr="00E00F43">
        <w:rPr>
          <w:rFonts w:ascii="Times New Roman" w:hAnsi="Times New Roman" w:cs="Times New Roman"/>
          <w:sz w:val="28"/>
        </w:rPr>
        <w:t>ivas. Si bien es posible que durante el segundo debate se introduzcan modificaciones al articulado, estas deben tratar sobre materias analizadas en el primero o de asuntos que guarden conexidad con aquellas</w:t>
      </w:r>
      <w:r w:rsidRPr="00E00F43">
        <w:rPr>
          <w:rFonts w:ascii="Times New Roman" w:hAnsi="Times New Roman" w:cs="Times New Roman"/>
          <w:sz w:val="28"/>
          <w:vertAlign w:val="superscript"/>
        </w:rPr>
        <w:footnoteReference w:id="75"/>
      </w:r>
      <w:r w:rsidRPr="00E00F43">
        <w:rPr>
          <w:rFonts w:ascii="Times New Roman" w:hAnsi="Times New Roman" w:cs="Times New Roman"/>
          <w:sz w:val="28"/>
        </w:rPr>
        <w:t>.</w:t>
      </w:r>
      <w:r w:rsidRPr="00E00F43">
        <w:rPr>
          <w:rFonts w:ascii="Times New Roman" w:hAnsi="Times New Roman" w:cs="Times New Roman"/>
          <w:sz w:val="28"/>
        </w:rPr>
        <w:t xml:space="preserve"> </w:t>
      </w:r>
    </w:p>
    <w:p w:rsidR="00016E83" w:rsidRPr="00E00F43" w:rsidRDefault="00E00F43" w:rsidP="00A16E54">
      <w:pPr>
        <w:pStyle w:val="Ttulo"/>
        <w:numPr>
          <w:ilvl w:val="0"/>
          <w:numId w:val="0"/>
        </w:numPr>
        <w:rPr>
          <w:rFonts w:ascii="Times New Roman" w:hAnsi="Times New Roman" w:cs="Times New Roman"/>
          <w:sz w:val="28"/>
        </w:rPr>
      </w:pPr>
    </w:p>
    <w:p w:rsidR="003100AA" w:rsidRPr="00E00F43" w:rsidRDefault="00E00F43" w:rsidP="00A16E54">
      <w:pPr>
        <w:pStyle w:val="Ttulo"/>
        <w:rPr>
          <w:rFonts w:ascii="Times New Roman" w:hAnsi="Times New Roman" w:cs="Times New Roman"/>
          <w:i/>
          <w:iCs/>
          <w:sz w:val="28"/>
        </w:rPr>
      </w:pPr>
      <w:r w:rsidRPr="00E00F43">
        <w:rPr>
          <w:rFonts w:ascii="Times New Roman" w:hAnsi="Times New Roman" w:cs="Times New Roman"/>
          <w:sz w:val="28"/>
        </w:rPr>
        <w:t>En suma, “mientras la consecutividad está enf</w:t>
      </w:r>
      <w:r w:rsidRPr="00E00F43">
        <w:rPr>
          <w:rFonts w:ascii="Times New Roman" w:hAnsi="Times New Roman" w:cs="Times New Roman"/>
          <w:sz w:val="28"/>
        </w:rPr>
        <w:t>ocada a que el proyecto de ley cumpla con los debates exigidos en comisiones y plenarias del Congreso, la identidad obliga a que las diferentes materias que conforman la iniciativa sean conocidas por esas instancias legislativas, pues de no ser así, las mi</w:t>
      </w:r>
      <w:r w:rsidRPr="00E00F43">
        <w:rPr>
          <w:rFonts w:ascii="Times New Roman" w:hAnsi="Times New Roman" w:cs="Times New Roman"/>
          <w:sz w:val="28"/>
        </w:rPr>
        <w:t>smas no cumplirían con el requisito de deliberación democrática en cada una de esas etapas”</w:t>
      </w:r>
      <w:r w:rsidRPr="00E00F43">
        <w:rPr>
          <w:rFonts w:ascii="Times New Roman" w:hAnsi="Times New Roman" w:cs="Times New Roman"/>
          <w:sz w:val="28"/>
          <w:vertAlign w:val="superscript"/>
        </w:rPr>
        <w:footnoteReference w:id="76"/>
      </w:r>
      <w:r w:rsidRPr="00E00F43">
        <w:rPr>
          <w:rFonts w:ascii="Times New Roman" w:hAnsi="Times New Roman" w:cs="Times New Roman"/>
          <w:sz w:val="28"/>
        </w:rPr>
        <w:t>.</w:t>
      </w:r>
    </w:p>
    <w:p w:rsidR="003100AA" w:rsidRPr="00E00F43" w:rsidRDefault="00E00F43" w:rsidP="00A16E54">
      <w:pPr>
        <w:pStyle w:val="Ttulo"/>
        <w:numPr>
          <w:ilvl w:val="0"/>
          <w:numId w:val="0"/>
        </w:numPr>
        <w:rPr>
          <w:rFonts w:ascii="Times New Roman" w:hAnsi="Times New Roman" w:cs="Times New Roman"/>
          <w:i/>
          <w:iCs/>
          <w:sz w:val="28"/>
        </w:rPr>
      </w:pPr>
    </w:p>
    <w:p w:rsidR="002165DD" w:rsidRPr="00E00F43" w:rsidRDefault="00E00F43" w:rsidP="00A16E54">
      <w:pPr>
        <w:pStyle w:val="Ttulo"/>
        <w:rPr>
          <w:rFonts w:ascii="Times New Roman" w:hAnsi="Times New Roman" w:cs="Times New Roman"/>
          <w:i/>
          <w:iCs/>
          <w:sz w:val="28"/>
        </w:rPr>
      </w:pPr>
      <w:r w:rsidRPr="00E00F43">
        <w:rPr>
          <w:rFonts w:ascii="Times New Roman" w:hAnsi="Times New Roman" w:cs="Times New Roman"/>
          <w:sz w:val="28"/>
        </w:rPr>
        <w:t xml:space="preserve"> </w:t>
      </w:r>
      <w:r w:rsidRPr="00E00F43">
        <w:rPr>
          <w:rFonts w:ascii="Times New Roman" w:hAnsi="Times New Roman" w:cs="Times New Roman"/>
          <w:sz w:val="28"/>
        </w:rPr>
        <w:t>La Sala Plena encuentra satisfechos los principios de consecutividad e identidad flexible en el presente caso. En efecto, de los antecedentes legislativos se de</w:t>
      </w:r>
      <w:r w:rsidRPr="00E00F43">
        <w:rPr>
          <w:rFonts w:ascii="Times New Roman" w:hAnsi="Times New Roman" w:cs="Times New Roman"/>
          <w:sz w:val="28"/>
        </w:rPr>
        <w:t xml:space="preserve">sprende que la </w:t>
      </w:r>
      <w:r w:rsidRPr="00E00F43">
        <w:rPr>
          <w:rFonts w:ascii="Times New Roman" w:hAnsi="Times New Roman" w:cs="Times New Roman"/>
          <w:sz w:val="28"/>
        </w:rPr>
        <w:t>Ley 2290 del 13 de febrero de 2023</w:t>
      </w:r>
      <w:r w:rsidRPr="00E00F43">
        <w:rPr>
          <w:rFonts w:ascii="Times New Roman" w:hAnsi="Times New Roman" w:cs="Times New Roman"/>
          <w:sz w:val="28"/>
        </w:rPr>
        <w:t xml:space="preserve"> fue aprobada en los cuatro debates y en el curso de estos no se presentó ninguna </w:t>
      </w:r>
      <w:r w:rsidRPr="00E00F43">
        <w:rPr>
          <w:rFonts w:ascii="Times New Roman" w:hAnsi="Times New Roman" w:cs="Times New Roman"/>
          <w:sz w:val="28"/>
        </w:rPr>
        <w:t>modificación que desconociera dichos principios. De ahí que el texto del proyecto de ley, además, no fuera sometido a concili</w:t>
      </w:r>
      <w:r w:rsidRPr="00E00F43">
        <w:rPr>
          <w:rFonts w:ascii="Times New Roman" w:hAnsi="Times New Roman" w:cs="Times New Roman"/>
          <w:sz w:val="28"/>
        </w:rPr>
        <w:t xml:space="preserve">ación. </w:t>
      </w:r>
    </w:p>
    <w:p w:rsidR="000B2F6E" w:rsidRPr="00E00F43" w:rsidRDefault="00E00F43" w:rsidP="00076EDF">
      <w:pPr>
        <w:pStyle w:val="Prrafodelista"/>
        <w:rPr>
          <w:rFonts w:ascii="Times New Roman" w:hAnsi="Times New Roman" w:cs="Times New Roman"/>
          <w:bCs/>
          <w:i/>
          <w:iCs/>
          <w:sz w:val="28"/>
          <w:szCs w:val="24"/>
          <w:lang w:val="es-ES" w:eastAsia="es-CO"/>
        </w:rPr>
      </w:pPr>
    </w:p>
    <w:p w:rsidR="000B2F6E" w:rsidRPr="00E00F43" w:rsidRDefault="00E00F43">
      <w:pPr>
        <w:pStyle w:val="Prrafodelista"/>
        <w:numPr>
          <w:ilvl w:val="2"/>
          <w:numId w:val="7"/>
        </w:numPr>
        <w:tabs>
          <w:tab w:val="left" w:pos="426"/>
        </w:tabs>
        <w:ind w:left="0" w:firstLine="0"/>
        <w:rPr>
          <w:rFonts w:ascii="Times New Roman" w:hAnsi="Times New Roman" w:cs="Times New Roman"/>
          <w:b/>
          <w:sz w:val="28"/>
          <w:szCs w:val="24"/>
          <w:lang w:val="es-ES" w:eastAsia="es-CO"/>
        </w:rPr>
      </w:pPr>
      <w:r w:rsidRPr="00E00F43">
        <w:rPr>
          <w:rFonts w:ascii="Times New Roman" w:hAnsi="Times New Roman" w:cs="Times New Roman"/>
          <w:b/>
          <w:sz w:val="28"/>
          <w:szCs w:val="24"/>
          <w:lang w:val="es-ES" w:eastAsia="es-CO"/>
        </w:rPr>
        <w:t>Sanción y remisión</w:t>
      </w:r>
    </w:p>
    <w:p w:rsidR="000B2F6E" w:rsidRPr="00E00F43" w:rsidRDefault="00E00F43" w:rsidP="00076EDF">
      <w:pPr>
        <w:pStyle w:val="Prrafodelista"/>
        <w:rPr>
          <w:rFonts w:ascii="Times New Roman" w:hAnsi="Times New Roman" w:cs="Times New Roman"/>
          <w:bCs/>
          <w:i/>
          <w:iCs/>
          <w:sz w:val="28"/>
          <w:szCs w:val="24"/>
          <w:lang w:val="es-ES" w:eastAsia="es-CO"/>
        </w:rPr>
      </w:pPr>
    </w:p>
    <w:p w:rsidR="003100AA" w:rsidRPr="00E00F43" w:rsidRDefault="00E00F43" w:rsidP="00A16E54">
      <w:pPr>
        <w:pStyle w:val="Ttulo"/>
        <w:rPr>
          <w:rFonts w:ascii="Times New Roman" w:hAnsi="Times New Roman" w:cs="Times New Roman"/>
          <w:sz w:val="28"/>
        </w:rPr>
      </w:pPr>
      <w:r w:rsidRPr="00E00F43">
        <w:rPr>
          <w:rFonts w:ascii="Times New Roman" w:hAnsi="Times New Roman" w:cs="Times New Roman"/>
          <w:bCs/>
          <w:i/>
          <w:iCs/>
          <w:sz w:val="28"/>
          <w:lang w:eastAsia="es-CO"/>
        </w:rPr>
        <w:t xml:space="preserve"> </w:t>
      </w:r>
      <w:r w:rsidRPr="00E00F43">
        <w:rPr>
          <w:rFonts w:ascii="Times New Roman" w:hAnsi="Times New Roman" w:cs="Times New Roman"/>
          <w:sz w:val="28"/>
        </w:rPr>
        <w:t xml:space="preserve">Aunque la omisión de este requisito “no configura propiamente un vicio de forma o de procedimiento en la formación del Tratado y de su ley aprobatoria, pues se trata de una irregularidad externa, que más bien compromete la responsabilidad del </w:t>
      </w:r>
      <w:r w:rsidRPr="00E00F43">
        <w:rPr>
          <w:rFonts w:ascii="Times New Roman" w:hAnsi="Times New Roman" w:cs="Times New Roman"/>
          <w:sz w:val="28"/>
        </w:rPr>
        <w:t>Gobierno</w:t>
      </w:r>
      <w:r w:rsidRPr="00E00F43">
        <w:rPr>
          <w:rFonts w:ascii="Times New Roman" w:hAnsi="Times New Roman" w:cs="Times New Roman"/>
          <w:sz w:val="28"/>
        </w:rPr>
        <w:t xml:space="preserve"> al i</w:t>
      </w:r>
      <w:r w:rsidRPr="00E00F43">
        <w:rPr>
          <w:rFonts w:ascii="Times New Roman" w:hAnsi="Times New Roman" w:cs="Times New Roman"/>
          <w:sz w:val="28"/>
        </w:rPr>
        <w:t>ncumplir un deber constitucional”</w:t>
      </w:r>
      <w:r w:rsidRPr="00E00F43">
        <w:rPr>
          <w:rFonts w:ascii="Times New Roman" w:hAnsi="Times New Roman" w:cs="Times New Roman"/>
          <w:sz w:val="28"/>
          <w:vertAlign w:val="superscript"/>
        </w:rPr>
        <w:footnoteReference w:id="77"/>
      </w:r>
      <w:r w:rsidRPr="00E00F43">
        <w:rPr>
          <w:rFonts w:ascii="Times New Roman" w:hAnsi="Times New Roman" w:cs="Times New Roman"/>
          <w:sz w:val="28"/>
        </w:rPr>
        <w:t>,</w:t>
      </w:r>
      <w:r w:rsidRPr="00E00F43">
        <w:rPr>
          <w:rFonts w:ascii="Times New Roman" w:hAnsi="Times New Roman" w:cs="Times New Roman"/>
          <w:sz w:val="28"/>
        </w:rPr>
        <w:t xml:space="preserve"> en este caso la Corte constata que la remisión se efectuó dentro del término previsto en el numeral 10 del artículo 241 de la Constitución Política, esto es, dentro de los seis días siguientes a la sanción de la misma. E</w:t>
      </w:r>
      <w:r w:rsidRPr="00E00F43">
        <w:rPr>
          <w:rFonts w:ascii="Times New Roman" w:hAnsi="Times New Roman" w:cs="Times New Roman"/>
          <w:sz w:val="28"/>
        </w:rPr>
        <w:t xml:space="preserve">n efecto, el 13 de febrero de 2023, el presidente de la </w:t>
      </w:r>
      <w:r w:rsidRPr="00E00F43">
        <w:rPr>
          <w:rFonts w:ascii="Times New Roman" w:hAnsi="Times New Roman" w:cs="Times New Roman"/>
          <w:sz w:val="28"/>
        </w:rPr>
        <w:t>R</w:t>
      </w:r>
      <w:r w:rsidRPr="00E00F43">
        <w:rPr>
          <w:rFonts w:ascii="Times New Roman" w:hAnsi="Times New Roman" w:cs="Times New Roman"/>
          <w:sz w:val="28"/>
        </w:rPr>
        <w:t xml:space="preserve">epública, Gustavo Petro Urrego, sancionó la Ley </w:t>
      </w:r>
      <w:r w:rsidRPr="00E00F43">
        <w:rPr>
          <w:rFonts w:ascii="Times New Roman" w:hAnsi="Times New Roman" w:cs="Times New Roman"/>
          <w:sz w:val="28"/>
        </w:rPr>
        <w:t>2290 de 2023</w:t>
      </w:r>
      <w:r w:rsidRPr="00E00F43">
        <w:rPr>
          <w:rFonts w:ascii="Times New Roman" w:hAnsi="Times New Roman" w:cs="Times New Roman"/>
          <w:sz w:val="28"/>
        </w:rPr>
        <w:t xml:space="preserve">. Asimismo, firmaron el </w:t>
      </w:r>
      <w:r w:rsidRPr="00E00F43">
        <w:rPr>
          <w:rFonts w:ascii="Times New Roman" w:hAnsi="Times New Roman" w:cs="Times New Roman"/>
          <w:sz w:val="28"/>
        </w:rPr>
        <w:t>ministro</w:t>
      </w:r>
      <w:r w:rsidRPr="00E00F43">
        <w:rPr>
          <w:rFonts w:ascii="Times New Roman" w:hAnsi="Times New Roman" w:cs="Times New Roman"/>
          <w:sz w:val="28"/>
        </w:rPr>
        <w:t xml:space="preserve"> de Relaciones Exteriores, </w:t>
      </w:r>
      <w:r w:rsidRPr="00E00F43">
        <w:rPr>
          <w:rFonts w:ascii="Times New Roman" w:hAnsi="Times New Roman" w:cs="Times New Roman"/>
          <w:sz w:val="28"/>
        </w:rPr>
        <w:t>Álvaro Leyva Durán</w:t>
      </w:r>
      <w:r w:rsidRPr="00E00F43">
        <w:rPr>
          <w:rFonts w:ascii="Times New Roman" w:hAnsi="Times New Roman" w:cs="Times New Roman"/>
          <w:sz w:val="28"/>
        </w:rPr>
        <w:t xml:space="preserve">; </w:t>
      </w:r>
      <w:r w:rsidRPr="00E00F43">
        <w:rPr>
          <w:rFonts w:ascii="Times New Roman" w:hAnsi="Times New Roman" w:cs="Times New Roman"/>
          <w:sz w:val="28"/>
        </w:rPr>
        <w:t>la ministra de Ambiente y Desarrollo Sostenible, María Susan</w:t>
      </w:r>
      <w:r w:rsidRPr="00E00F43">
        <w:rPr>
          <w:rFonts w:ascii="Times New Roman" w:hAnsi="Times New Roman" w:cs="Times New Roman"/>
          <w:sz w:val="28"/>
        </w:rPr>
        <w:t>a Muhamad González, y el ministro de Transporte, Guillermo Francisco Reyes González</w:t>
      </w:r>
      <w:r w:rsidRPr="00E00F43">
        <w:rPr>
          <w:rFonts w:ascii="Times New Roman" w:hAnsi="Times New Roman" w:cs="Times New Roman"/>
          <w:sz w:val="28"/>
          <w:vertAlign w:val="superscript"/>
        </w:rPr>
        <w:footnoteReference w:id="78"/>
      </w:r>
      <w:r w:rsidRPr="00E00F43">
        <w:rPr>
          <w:rFonts w:ascii="Times New Roman" w:hAnsi="Times New Roman" w:cs="Times New Roman"/>
          <w:sz w:val="28"/>
        </w:rPr>
        <w:t>.</w:t>
      </w:r>
      <w:r w:rsidRPr="00E00F43">
        <w:rPr>
          <w:rFonts w:ascii="Times New Roman" w:hAnsi="Times New Roman" w:cs="Times New Roman"/>
          <w:sz w:val="28"/>
        </w:rPr>
        <w:t xml:space="preserve"> A continuación, y siguiendo el procedimiento constitucional para las leyes aprobatorias de tratados internacionales, el </w:t>
      </w:r>
      <w:r w:rsidRPr="00E00F43">
        <w:rPr>
          <w:rFonts w:ascii="Times New Roman" w:hAnsi="Times New Roman" w:cs="Times New Roman"/>
          <w:sz w:val="28"/>
        </w:rPr>
        <w:t>21 de febrero de 2023</w:t>
      </w:r>
      <w:r w:rsidRPr="00E00F43">
        <w:rPr>
          <w:rFonts w:ascii="Times New Roman" w:hAnsi="Times New Roman" w:cs="Times New Roman"/>
          <w:sz w:val="28"/>
        </w:rPr>
        <w:t>, el secretario jurídico de l</w:t>
      </w:r>
      <w:r w:rsidRPr="00E00F43">
        <w:rPr>
          <w:rFonts w:ascii="Times New Roman" w:hAnsi="Times New Roman" w:cs="Times New Roman"/>
          <w:sz w:val="28"/>
        </w:rPr>
        <w:t xml:space="preserve">a Presidencia de la República, </w:t>
      </w:r>
      <w:r w:rsidRPr="00E00F43">
        <w:rPr>
          <w:rFonts w:ascii="Times New Roman" w:hAnsi="Times New Roman" w:cs="Times New Roman"/>
          <w:sz w:val="28"/>
        </w:rPr>
        <w:t>Vladimir Fernández Andrade</w:t>
      </w:r>
      <w:r w:rsidRPr="00E00F43">
        <w:rPr>
          <w:rFonts w:ascii="Times New Roman" w:hAnsi="Times New Roman" w:cs="Times New Roman"/>
          <w:sz w:val="28"/>
        </w:rPr>
        <w:t xml:space="preserve">, remitió a la Corte Constitucional para su revisión integral y previa, copia auténtica de la Ley </w:t>
      </w:r>
      <w:r w:rsidRPr="00E00F43">
        <w:rPr>
          <w:rFonts w:ascii="Times New Roman" w:hAnsi="Times New Roman" w:cs="Times New Roman"/>
          <w:sz w:val="28"/>
        </w:rPr>
        <w:t xml:space="preserve">2290 de 2023, </w:t>
      </w:r>
      <w:r w:rsidRPr="00E00F43">
        <w:rPr>
          <w:rFonts w:ascii="Times New Roman" w:hAnsi="Times New Roman" w:cs="Times New Roman"/>
          <w:sz w:val="28"/>
        </w:rPr>
        <w:t>p</w:t>
      </w:r>
      <w:r w:rsidRPr="00E00F43">
        <w:rPr>
          <w:rFonts w:ascii="Times New Roman" w:hAnsi="Times New Roman" w:cs="Times New Roman"/>
          <w:sz w:val="28"/>
        </w:rPr>
        <w:t>or medio de la cual se aprueba el ‘Acuerdo Relativo a la Adopción de Reglamentos Técni</w:t>
      </w:r>
      <w:r w:rsidRPr="00E00F43">
        <w:rPr>
          <w:rFonts w:ascii="Times New Roman" w:hAnsi="Times New Roman" w:cs="Times New Roman"/>
          <w:sz w:val="28"/>
        </w:rPr>
        <w:t>cos Armonizados de las Naciones Unidas aplicables a los vehículos de ruedas y los equipos y piezas que puedan montarse o utilizarse en estos, y sobre las condiciones de reconocimiento recíproco de las homologaciones concedidas conforme a dichos reglamentos</w:t>
      </w:r>
      <w:r w:rsidRPr="00E00F43">
        <w:rPr>
          <w:rFonts w:ascii="Times New Roman" w:hAnsi="Times New Roman" w:cs="Times New Roman"/>
          <w:sz w:val="28"/>
        </w:rPr>
        <w:t xml:space="preserve"> de las Naciones Unidas’, suscrito en Ginebra, el 20 de marzo de 1958</w:t>
      </w:r>
      <w:r w:rsidRPr="00E00F43">
        <w:rPr>
          <w:rFonts w:ascii="Times New Roman" w:hAnsi="Times New Roman" w:cs="Times New Roman"/>
          <w:sz w:val="28"/>
        </w:rPr>
        <w:t>.</w:t>
      </w:r>
    </w:p>
    <w:p w:rsidR="003100AA" w:rsidRPr="00E00F43" w:rsidRDefault="00E00F43" w:rsidP="002165DD">
      <w:pPr>
        <w:spacing w:after="0"/>
        <w:rPr>
          <w:rFonts w:ascii="Times New Roman" w:eastAsia="Times New Roman" w:hAnsi="Times New Roman" w:cs="Times New Roman"/>
          <w:b/>
          <w:i/>
          <w:iCs/>
          <w:sz w:val="28"/>
          <w:szCs w:val="24"/>
          <w:lang w:val="es-ES"/>
        </w:rPr>
      </w:pPr>
    </w:p>
    <w:p w:rsidR="002165DD" w:rsidRPr="00E00F43" w:rsidRDefault="00E00F43">
      <w:pPr>
        <w:pStyle w:val="Prrafodelista"/>
        <w:numPr>
          <w:ilvl w:val="2"/>
          <w:numId w:val="7"/>
        </w:numPr>
        <w:ind w:left="0" w:firstLine="0"/>
        <w:rPr>
          <w:rFonts w:ascii="Times New Roman" w:hAnsi="Times New Roman" w:cs="Times New Roman"/>
          <w:b/>
          <w:sz w:val="28"/>
          <w:szCs w:val="24"/>
          <w:lang w:val="es-ES" w:eastAsia="es-CO"/>
        </w:rPr>
      </w:pPr>
      <w:r w:rsidRPr="00E00F43">
        <w:rPr>
          <w:rFonts w:ascii="Times New Roman" w:hAnsi="Times New Roman" w:cs="Times New Roman"/>
          <w:b/>
          <w:sz w:val="28"/>
          <w:szCs w:val="24"/>
          <w:lang w:val="es-ES" w:eastAsia="es-CO"/>
        </w:rPr>
        <w:t xml:space="preserve">Conclusión del análisis formal </w:t>
      </w:r>
    </w:p>
    <w:p w:rsidR="00B347AC" w:rsidRPr="00E00F43" w:rsidRDefault="00E00F43" w:rsidP="00B347AC">
      <w:pPr>
        <w:spacing w:after="0"/>
        <w:rPr>
          <w:rFonts w:ascii="Times New Roman" w:eastAsia="Times New Roman" w:hAnsi="Times New Roman" w:cs="Times New Roman"/>
          <w:b/>
          <w:i/>
          <w:iCs/>
          <w:sz w:val="28"/>
          <w:szCs w:val="24"/>
          <w:lang w:val="es-ES"/>
        </w:rPr>
      </w:pPr>
    </w:p>
    <w:p w:rsidR="00B347AC" w:rsidRPr="00E00F43" w:rsidRDefault="00E00F43" w:rsidP="00A16E54">
      <w:pPr>
        <w:pStyle w:val="Ttulo"/>
        <w:rPr>
          <w:rFonts w:ascii="Times New Roman" w:hAnsi="Times New Roman" w:cs="Times New Roman"/>
          <w:sz w:val="28"/>
        </w:rPr>
      </w:pPr>
      <w:r w:rsidRPr="00E00F43">
        <w:rPr>
          <w:rFonts w:ascii="Times New Roman" w:hAnsi="Times New Roman" w:cs="Times New Roman"/>
          <w:sz w:val="28"/>
        </w:rPr>
        <w:t xml:space="preserve"> El proyecto de la ley aprobatoria del Acuerdo Relativo a la Adopción de Reglamentos Técnicos Armonizados de las Naciones Unidas aplicables a los vehículos de ruedas y los equipos y piezas que puedan montarse o utilizarse en estos, y sobre las condiciones </w:t>
      </w:r>
      <w:r w:rsidRPr="00E00F43">
        <w:rPr>
          <w:rFonts w:ascii="Times New Roman" w:hAnsi="Times New Roman" w:cs="Times New Roman"/>
          <w:sz w:val="28"/>
        </w:rPr>
        <w:t xml:space="preserve">de reconocimiento recíproco de las homologaciones concedidas conforme a dichos reglamentos de las Naciones Unidas, cumplió las exigencias requeridas por la Constitución: </w:t>
      </w:r>
      <w:bookmarkStart w:id="12" w:name="_Hlk99026225"/>
      <w:r w:rsidRPr="00E00F43">
        <w:rPr>
          <w:rFonts w:ascii="Times New Roman" w:hAnsi="Times New Roman" w:cs="Times New Roman"/>
          <w:i/>
          <w:iCs/>
          <w:sz w:val="28"/>
        </w:rPr>
        <w:t>(i)</w:t>
      </w:r>
      <w:r w:rsidRPr="00E00F43">
        <w:rPr>
          <w:rFonts w:ascii="Times New Roman" w:hAnsi="Times New Roman" w:cs="Times New Roman"/>
          <w:sz w:val="28"/>
        </w:rPr>
        <w:t xml:space="preserve"> surtió los cuatro debates de aprobación con el quórum exigido y las mayorías neces</w:t>
      </w:r>
      <w:r w:rsidRPr="00E00F43">
        <w:rPr>
          <w:rFonts w:ascii="Times New Roman" w:hAnsi="Times New Roman" w:cs="Times New Roman"/>
          <w:sz w:val="28"/>
        </w:rPr>
        <w:t xml:space="preserve">arias; </w:t>
      </w:r>
      <w:r w:rsidRPr="00E00F43">
        <w:rPr>
          <w:rFonts w:ascii="Times New Roman" w:hAnsi="Times New Roman" w:cs="Times New Roman"/>
          <w:i/>
          <w:iCs/>
          <w:sz w:val="28"/>
        </w:rPr>
        <w:t>(ii)</w:t>
      </w:r>
      <w:r w:rsidRPr="00E00F43">
        <w:rPr>
          <w:rFonts w:ascii="Times New Roman" w:hAnsi="Times New Roman" w:cs="Times New Roman"/>
          <w:sz w:val="28"/>
        </w:rPr>
        <w:t xml:space="preserve"> contó con las publicaciones del proyecto y las ponencias para cada debate; </w:t>
      </w:r>
      <w:r w:rsidRPr="00E00F43">
        <w:rPr>
          <w:rFonts w:ascii="Times New Roman" w:hAnsi="Times New Roman" w:cs="Times New Roman"/>
          <w:i/>
          <w:iCs/>
          <w:sz w:val="28"/>
        </w:rPr>
        <w:t>(iii)</w:t>
      </w:r>
      <w:r w:rsidRPr="00E00F43">
        <w:rPr>
          <w:rFonts w:ascii="Times New Roman" w:hAnsi="Times New Roman" w:cs="Times New Roman"/>
          <w:sz w:val="28"/>
        </w:rPr>
        <w:t xml:space="preserve"> recibió los anuncios previos a cada votación; </w:t>
      </w:r>
      <w:r w:rsidRPr="00E00F43">
        <w:rPr>
          <w:rFonts w:ascii="Times New Roman" w:hAnsi="Times New Roman" w:cs="Times New Roman"/>
          <w:i/>
          <w:iCs/>
          <w:sz w:val="28"/>
        </w:rPr>
        <w:t>(iv)</w:t>
      </w:r>
      <w:r w:rsidRPr="00E00F43">
        <w:rPr>
          <w:rFonts w:ascii="Times New Roman" w:hAnsi="Times New Roman" w:cs="Times New Roman"/>
          <w:sz w:val="28"/>
        </w:rPr>
        <w:t xml:space="preserve"> cumplió los términos obligatorios entre las votaciones en comisión y plenaria de ambas cámaras, y entre Senado y</w:t>
      </w:r>
      <w:r w:rsidRPr="00E00F43">
        <w:rPr>
          <w:rFonts w:ascii="Times New Roman" w:hAnsi="Times New Roman" w:cs="Times New Roman"/>
          <w:sz w:val="28"/>
        </w:rPr>
        <w:t xml:space="preserve"> Cámara de Representantes; (v) su trámite no excedió dos legislaturas; </w:t>
      </w:r>
      <w:r w:rsidRPr="00E00F43">
        <w:rPr>
          <w:rFonts w:ascii="Times New Roman" w:hAnsi="Times New Roman" w:cs="Times New Roman"/>
          <w:i/>
          <w:iCs/>
          <w:sz w:val="28"/>
        </w:rPr>
        <w:t>(vi)</w:t>
      </w:r>
      <w:r w:rsidRPr="00E00F43">
        <w:rPr>
          <w:rFonts w:ascii="Times New Roman" w:hAnsi="Times New Roman" w:cs="Times New Roman"/>
          <w:sz w:val="28"/>
        </w:rPr>
        <w:t xml:space="preserve"> fue enviado dentro del término constitucional a este Tribunal para su revisión integral, y </w:t>
      </w:r>
      <w:r w:rsidRPr="00E00F43">
        <w:rPr>
          <w:rFonts w:ascii="Times New Roman" w:hAnsi="Times New Roman" w:cs="Times New Roman"/>
          <w:i/>
          <w:iCs/>
          <w:sz w:val="28"/>
        </w:rPr>
        <w:t>(vii)</w:t>
      </w:r>
      <w:r w:rsidRPr="00E00F43">
        <w:rPr>
          <w:rFonts w:ascii="Times New Roman" w:hAnsi="Times New Roman" w:cs="Times New Roman"/>
          <w:sz w:val="28"/>
        </w:rPr>
        <w:t xml:space="preserve"> se respetaron los principios de consecutividad e identidad flexible.</w:t>
      </w:r>
    </w:p>
    <w:p w:rsidR="00B347AC" w:rsidRPr="00E00F43" w:rsidRDefault="00E00F43" w:rsidP="00A16E54">
      <w:pPr>
        <w:pStyle w:val="Ttulo"/>
        <w:numPr>
          <w:ilvl w:val="0"/>
          <w:numId w:val="0"/>
        </w:numPr>
        <w:rPr>
          <w:rFonts w:ascii="Times New Roman" w:hAnsi="Times New Roman" w:cs="Times New Roman"/>
          <w:sz w:val="28"/>
        </w:rPr>
      </w:pPr>
    </w:p>
    <w:p w:rsidR="00B347AC" w:rsidRPr="00E00F43" w:rsidRDefault="00E00F43" w:rsidP="00A16E54">
      <w:pPr>
        <w:pStyle w:val="Ttulo"/>
        <w:rPr>
          <w:rFonts w:ascii="Times New Roman" w:hAnsi="Times New Roman" w:cs="Times New Roman"/>
          <w:sz w:val="28"/>
        </w:rPr>
      </w:pPr>
      <w:r w:rsidRPr="00E00F43">
        <w:rPr>
          <w:rFonts w:ascii="Times New Roman" w:hAnsi="Times New Roman" w:cs="Times New Roman"/>
          <w:sz w:val="28"/>
        </w:rPr>
        <w:t xml:space="preserve"> A modo de síntesis, el trámite que se surtió tanto en la comisión como en la sesión plenaria del Senado de la República puede evidenciarse en las actas de las sesiones y en las gacetas respectivas del Congreso, así:</w:t>
      </w:r>
    </w:p>
    <w:p w:rsidR="00B347AC" w:rsidRPr="00E00F43" w:rsidRDefault="00E00F43" w:rsidP="00B347AC">
      <w:pPr>
        <w:spacing w:after="0"/>
        <w:rPr>
          <w:rFonts w:ascii="Times New Roman" w:eastAsia="Times New Roman" w:hAnsi="Times New Roman" w:cs="Times New Roman"/>
          <w:bCs/>
          <w:sz w:val="28"/>
          <w:szCs w:val="24"/>
          <w:lang w:val="es-ES"/>
        </w:rPr>
      </w:pPr>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1985"/>
        <w:gridCol w:w="1984"/>
        <w:gridCol w:w="1889"/>
        <w:gridCol w:w="1622"/>
      </w:tblGrid>
      <w:tr w:rsidR="00273412" w:rsidRPr="00E00F43" w:rsidTr="00DB0230">
        <w:trPr>
          <w:jc w:val="center"/>
        </w:trPr>
        <w:tc>
          <w:tcPr>
            <w:tcW w:w="1417" w:type="dxa"/>
            <w:vAlign w:val="center"/>
          </w:tcPr>
          <w:p w:rsidR="00B347AC" w:rsidRPr="00E00F43" w:rsidRDefault="00E00F43" w:rsidP="00DB0230">
            <w:pPr>
              <w:spacing w:after="0"/>
              <w:jc w:val="center"/>
              <w:rPr>
                <w:rFonts w:ascii="Times New Roman" w:eastAsia="Times New Roman" w:hAnsi="Times New Roman" w:cs="Times New Roman"/>
                <w:b/>
                <w:bCs/>
                <w:sz w:val="28"/>
                <w:szCs w:val="20"/>
                <w:lang w:val="es-ES"/>
              </w:rPr>
            </w:pPr>
            <w:r w:rsidRPr="00E00F43">
              <w:rPr>
                <w:rFonts w:ascii="Times New Roman" w:eastAsia="Times New Roman" w:hAnsi="Times New Roman" w:cs="Times New Roman"/>
                <w:b/>
                <w:bCs/>
                <w:sz w:val="28"/>
                <w:szCs w:val="20"/>
                <w:lang w:val="es-ES"/>
              </w:rPr>
              <w:t>Presentación del proyecto de ley: GC 2</w:t>
            </w:r>
            <w:r w:rsidRPr="00E00F43">
              <w:rPr>
                <w:rFonts w:ascii="Times New Roman" w:eastAsia="Times New Roman" w:hAnsi="Times New Roman" w:cs="Times New Roman"/>
                <w:b/>
                <w:bCs/>
                <w:sz w:val="28"/>
                <w:szCs w:val="20"/>
                <w:lang w:val="es-ES"/>
              </w:rPr>
              <w:t>25 del 29 de marzo de 2022</w:t>
            </w:r>
          </w:p>
        </w:tc>
        <w:tc>
          <w:tcPr>
            <w:tcW w:w="1985" w:type="dxa"/>
            <w:vAlign w:val="center"/>
          </w:tcPr>
          <w:p w:rsidR="00B347AC" w:rsidRPr="00E00F43" w:rsidRDefault="00E00F43" w:rsidP="00DB0230">
            <w:pPr>
              <w:spacing w:after="0"/>
              <w:jc w:val="center"/>
              <w:rPr>
                <w:rFonts w:ascii="Times New Roman" w:eastAsia="Times New Roman" w:hAnsi="Times New Roman" w:cs="Times New Roman"/>
                <w:b/>
                <w:bCs/>
                <w:sz w:val="28"/>
                <w:szCs w:val="20"/>
                <w:lang w:val="es-ES"/>
              </w:rPr>
            </w:pPr>
            <w:r w:rsidRPr="00E00F43">
              <w:rPr>
                <w:rFonts w:ascii="Times New Roman" w:eastAsia="Times New Roman" w:hAnsi="Times New Roman" w:cs="Times New Roman"/>
                <w:b/>
                <w:bCs/>
                <w:sz w:val="28"/>
                <w:szCs w:val="20"/>
                <w:lang w:val="es-ES"/>
              </w:rPr>
              <w:t>Ponencia</w:t>
            </w:r>
          </w:p>
        </w:tc>
        <w:tc>
          <w:tcPr>
            <w:tcW w:w="1984" w:type="dxa"/>
            <w:vAlign w:val="center"/>
          </w:tcPr>
          <w:p w:rsidR="00B347AC" w:rsidRPr="00E00F43" w:rsidRDefault="00E00F43" w:rsidP="00DB0230">
            <w:pPr>
              <w:spacing w:after="0"/>
              <w:jc w:val="center"/>
              <w:rPr>
                <w:rFonts w:ascii="Times New Roman" w:eastAsia="Times New Roman" w:hAnsi="Times New Roman" w:cs="Times New Roman"/>
                <w:b/>
                <w:bCs/>
                <w:sz w:val="28"/>
                <w:szCs w:val="20"/>
                <w:lang w:val="es-ES"/>
              </w:rPr>
            </w:pPr>
            <w:r w:rsidRPr="00E00F43">
              <w:rPr>
                <w:rFonts w:ascii="Times New Roman" w:eastAsia="Times New Roman" w:hAnsi="Times New Roman" w:cs="Times New Roman"/>
                <w:b/>
                <w:bCs/>
                <w:sz w:val="28"/>
                <w:szCs w:val="20"/>
                <w:lang w:val="es-ES"/>
              </w:rPr>
              <w:t>Anuncio</w:t>
            </w:r>
          </w:p>
        </w:tc>
        <w:tc>
          <w:tcPr>
            <w:tcW w:w="1889" w:type="dxa"/>
            <w:vAlign w:val="center"/>
          </w:tcPr>
          <w:p w:rsidR="00B347AC" w:rsidRPr="00E00F43" w:rsidRDefault="00E00F43" w:rsidP="00DB0230">
            <w:pPr>
              <w:spacing w:after="0"/>
              <w:jc w:val="center"/>
              <w:rPr>
                <w:rFonts w:ascii="Times New Roman" w:eastAsia="Times New Roman" w:hAnsi="Times New Roman" w:cs="Times New Roman"/>
                <w:b/>
                <w:bCs/>
                <w:sz w:val="28"/>
                <w:szCs w:val="20"/>
                <w:lang w:val="es-ES"/>
              </w:rPr>
            </w:pPr>
            <w:r w:rsidRPr="00E00F43">
              <w:rPr>
                <w:rFonts w:ascii="Times New Roman" w:eastAsia="Times New Roman" w:hAnsi="Times New Roman" w:cs="Times New Roman"/>
                <w:b/>
                <w:bCs/>
                <w:sz w:val="28"/>
                <w:szCs w:val="20"/>
                <w:lang w:val="es-ES"/>
              </w:rPr>
              <w:t>Discusión y aprobación</w:t>
            </w:r>
          </w:p>
        </w:tc>
        <w:tc>
          <w:tcPr>
            <w:tcW w:w="1622" w:type="dxa"/>
            <w:vAlign w:val="center"/>
          </w:tcPr>
          <w:p w:rsidR="00B347AC" w:rsidRPr="00E00F43" w:rsidRDefault="00E00F43" w:rsidP="00DB0230">
            <w:pPr>
              <w:spacing w:after="0"/>
              <w:jc w:val="center"/>
              <w:rPr>
                <w:rFonts w:ascii="Times New Roman" w:eastAsia="Times New Roman" w:hAnsi="Times New Roman" w:cs="Times New Roman"/>
                <w:b/>
                <w:bCs/>
                <w:sz w:val="28"/>
                <w:szCs w:val="20"/>
                <w:lang w:val="es-ES"/>
              </w:rPr>
            </w:pPr>
            <w:r w:rsidRPr="00E00F43">
              <w:rPr>
                <w:rFonts w:ascii="Times New Roman" w:eastAsia="Times New Roman" w:hAnsi="Times New Roman" w:cs="Times New Roman"/>
                <w:b/>
                <w:bCs/>
                <w:sz w:val="28"/>
                <w:szCs w:val="20"/>
                <w:lang w:val="es-ES"/>
              </w:rPr>
              <w:t>Publicación</w:t>
            </w:r>
          </w:p>
        </w:tc>
      </w:tr>
      <w:tr w:rsidR="00273412" w:rsidRPr="00E00F43" w:rsidTr="00DB0230">
        <w:trPr>
          <w:trHeight w:val="2118"/>
          <w:jc w:val="center"/>
        </w:trPr>
        <w:tc>
          <w:tcPr>
            <w:tcW w:w="1417" w:type="dxa"/>
            <w:vAlign w:val="center"/>
          </w:tcPr>
          <w:p w:rsidR="00B347AC" w:rsidRPr="00E00F43" w:rsidRDefault="00E00F43" w:rsidP="00DB0230">
            <w:pPr>
              <w:spacing w:after="0"/>
              <w:rPr>
                <w:rFonts w:ascii="Times New Roman" w:eastAsia="Times New Roman" w:hAnsi="Times New Roman" w:cs="Times New Roman"/>
                <w:b/>
                <w:sz w:val="28"/>
                <w:szCs w:val="20"/>
                <w:lang w:val="es-ES"/>
              </w:rPr>
            </w:pPr>
            <w:r w:rsidRPr="00E00F43">
              <w:rPr>
                <w:rFonts w:ascii="Times New Roman" w:eastAsia="Times New Roman" w:hAnsi="Times New Roman" w:cs="Times New Roman"/>
                <w:b/>
                <w:sz w:val="28"/>
                <w:szCs w:val="20"/>
                <w:lang w:val="es-ES"/>
              </w:rPr>
              <w:t>Primer debate (Comisión)</w:t>
            </w:r>
          </w:p>
        </w:tc>
        <w:tc>
          <w:tcPr>
            <w:tcW w:w="1985" w:type="dxa"/>
          </w:tcPr>
          <w:p w:rsidR="00B347AC" w:rsidRPr="00E00F43" w:rsidRDefault="00E00F43" w:rsidP="00DB0230">
            <w:pPr>
              <w:spacing w:after="0"/>
              <w:rPr>
                <w:rFonts w:ascii="Times New Roman" w:eastAsia="Times New Roman" w:hAnsi="Times New Roman" w:cs="Times New Roman"/>
                <w:bCs/>
                <w:sz w:val="28"/>
                <w:szCs w:val="20"/>
                <w:lang w:val="es-ES"/>
              </w:rPr>
            </w:pPr>
            <w:r w:rsidRPr="00E00F43">
              <w:rPr>
                <w:rFonts w:ascii="Times New Roman" w:eastAsia="Times New Roman" w:hAnsi="Times New Roman" w:cs="Times New Roman"/>
                <w:bCs/>
                <w:sz w:val="28"/>
                <w:szCs w:val="20"/>
                <w:lang w:val="es-ES"/>
              </w:rPr>
              <w:t>Gaceta del Congreso 409 del 4 de mayo de 2022.</w:t>
            </w:r>
          </w:p>
        </w:tc>
        <w:tc>
          <w:tcPr>
            <w:tcW w:w="1984" w:type="dxa"/>
          </w:tcPr>
          <w:p w:rsidR="00B347AC" w:rsidRPr="00E00F43" w:rsidRDefault="00E00F43" w:rsidP="00DB0230">
            <w:pPr>
              <w:spacing w:after="0"/>
              <w:rPr>
                <w:rFonts w:ascii="Times New Roman" w:eastAsia="Times New Roman" w:hAnsi="Times New Roman" w:cs="Times New Roman"/>
                <w:bCs/>
                <w:sz w:val="28"/>
                <w:szCs w:val="20"/>
                <w:lang w:val="es-ES"/>
              </w:rPr>
            </w:pPr>
            <w:r w:rsidRPr="00E00F43">
              <w:rPr>
                <w:rFonts w:ascii="Times New Roman" w:eastAsia="Times New Roman" w:hAnsi="Times New Roman" w:cs="Times New Roman"/>
                <w:bCs/>
                <w:sz w:val="28"/>
                <w:szCs w:val="20"/>
                <w:lang w:val="es-ES"/>
              </w:rPr>
              <w:t>Acta 22 del 10 de mayo de 2022, publicada en la Gaceta del Congreso 835 del 13 de julio de 2022.</w:t>
            </w:r>
          </w:p>
        </w:tc>
        <w:tc>
          <w:tcPr>
            <w:tcW w:w="1889" w:type="dxa"/>
          </w:tcPr>
          <w:p w:rsidR="00B347AC" w:rsidRPr="00E00F43" w:rsidRDefault="00E00F43" w:rsidP="00DB0230">
            <w:pPr>
              <w:spacing w:after="0"/>
              <w:rPr>
                <w:rFonts w:ascii="Times New Roman" w:eastAsia="Times New Roman" w:hAnsi="Times New Roman" w:cs="Times New Roman"/>
                <w:bCs/>
                <w:sz w:val="28"/>
                <w:szCs w:val="20"/>
                <w:lang w:val="es-ES"/>
              </w:rPr>
            </w:pPr>
            <w:r w:rsidRPr="00E00F43">
              <w:rPr>
                <w:rFonts w:ascii="Times New Roman" w:eastAsia="Times New Roman" w:hAnsi="Times New Roman" w:cs="Times New Roman"/>
                <w:bCs/>
                <w:sz w:val="28"/>
                <w:szCs w:val="20"/>
                <w:lang w:val="es-ES"/>
              </w:rPr>
              <w:t>Acta 23</w:t>
            </w:r>
            <w:r w:rsidRPr="00E00F43">
              <w:rPr>
                <w:rFonts w:ascii="Times New Roman" w:eastAsia="Times New Roman" w:hAnsi="Times New Roman" w:cs="Times New Roman"/>
                <w:bCs/>
                <w:sz w:val="28"/>
                <w:szCs w:val="20"/>
                <w:lang w:val="es-ES"/>
              </w:rPr>
              <w:t xml:space="preserve"> del 17 de mayo de 2022, publicada en la Gaceta del Congreso 836 del 13 de julio de 2022.</w:t>
            </w:r>
          </w:p>
        </w:tc>
        <w:tc>
          <w:tcPr>
            <w:tcW w:w="1622" w:type="dxa"/>
          </w:tcPr>
          <w:p w:rsidR="00B347AC" w:rsidRPr="00E00F43" w:rsidRDefault="00E00F43" w:rsidP="00DB0230">
            <w:pPr>
              <w:spacing w:after="0"/>
              <w:rPr>
                <w:rFonts w:ascii="Times New Roman" w:eastAsia="Times New Roman" w:hAnsi="Times New Roman" w:cs="Times New Roman"/>
                <w:bCs/>
                <w:sz w:val="28"/>
                <w:szCs w:val="20"/>
                <w:lang w:val="es-ES"/>
              </w:rPr>
            </w:pPr>
            <w:r w:rsidRPr="00E00F43">
              <w:rPr>
                <w:rFonts w:ascii="Times New Roman" w:eastAsia="Times New Roman" w:hAnsi="Times New Roman" w:cs="Times New Roman"/>
                <w:bCs/>
                <w:sz w:val="28"/>
                <w:szCs w:val="20"/>
                <w:lang w:val="es-ES"/>
              </w:rPr>
              <w:t>Gaceta del Congreso 590 del 31 de mayo de 2022.</w:t>
            </w:r>
          </w:p>
        </w:tc>
      </w:tr>
      <w:tr w:rsidR="00B347AC" w:rsidRPr="00E00F43" w:rsidTr="00DB0230">
        <w:trPr>
          <w:trHeight w:val="274"/>
          <w:jc w:val="center"/>
        </w:trPr>
        <w:tc>
          <w:tcPr>
            <w:tcW w:w="1417" w:type="dxa"/>
            <w:vAlign w:val="center"/>
          </w:tcPr>
          <w:p w:rsidR="00B347AC" w:rsidRPr="00E00F43" w:rsidRDefault="00E00F43" w:rsidP="00DB0230">
            <w:pPr>
              <w:spacing w:after="0"/>
              <w:rPr>
                <w:rFonts w:ascii="Times New Roman" w:eastAsia="Times New Roman" w:hAnsi="Times New Roman" w:cs="Times New Roman"/>
                <w:b/>
                <w:sz w:val="28"/>
                <w:szCs w:val="20"/>
                <w:lang w:val="es-ES"/>
              </w:rPr>
            </w:pPr>
            <w:r w:rsidRPr="00E00F43">
              <w:rPr>
                <w:rFonts w:ascii="Times New Roman" w:eastAsia="Times New Roman" w:hAnsi="Times New Roman" w:cs="Times New Roman"/>
                <w:b/>
                <w:sz w:val="28"/>
                <w:szCs w:val="20"/>
                <w:lang w:val="es-ES"/>
              </w:rPr>
              <w:t>Segundo debate (Plenaria)</w:t>
            </w:r>
          </w:p>
        </w:tc>
        <w:tc>
          <w:tcPr>
            <w:tcW w:w="1985" w:type="dxa"/>
          </w:tcPr>
          <w:p w:rsidR="00B347AC" w:rsidRPr="00E00F43" w:rsidRDefault="00E00F43" w:rsidP="00DB0230">
            <w:pPr>
              <w:spacing w:after="0"/>
              <w:rPr>
                <w:rFonts w:ascii="Times New Roman" w:eastAsia="Times New Roman" w:hAnsi="Times New Roman" w:cs="Times New Roman"/>
                <w:bCs/>
                <w:sz w:val="28"/>
                <w:szCs w:val="20"/>
                <w:lang w:val="es-ES"/>
              </w:rPr>
            </w:pPr>
            <w:r w:rsidRPr="00E00F43">
              <w:rPr>
                <w:rFonts w:ascii="Times New Roman" w:eastAsia="Times New Roman" w:hAnsi="Times New Roman" w:cs="Times New Roman"/>
                <w:bCs/>
                <w:sz w:val="28"/>
                <w:szCs w:val="20"/>
                <w:lang w:val="es-ES"/>
              </w:rPr>
              <w:t>Gaceta del Congreso 590 del 31 de mayo de 2022.</w:t>
            </w:r>
          </w:p>
        </w:tc>
        <w:tc>
          <w:tcPr>
            <w:tcW w:w="1984" w:type="dxa"/>
          </w:tcPr>
          <w:p w:rsidR="00B347AC" w:rsidRPr="00E00F43" w:rsidRDefault="00E00F43" w:rsidP="00DB0230">
            <w:pPr>
              <w:spacing w:after="0"/>
              <w:rPr>
                <w:rFonts w:ascii="Times New Roman" w:eastAsia="Times New Roman" w:hAnsi="Times New Roman" w:cs="Times New Roman"/>
                <w:bCs/>
                <w:sz w:val="28"/>
                <w:szCs w:val="20"/>
                <w:lang w:val="es-ES"/>
              </w:rPr>
            </w:pPr>
            <w:r w:rsidRPr="00E00F43">
              <w:rPr>
                <w:rFonts w:ascii="Times New Roman" w:eastAsia="Times New Roman" w:hAnsi="Times New Roman" w:cs="Times New Roman"/>
                <w:bCs/>
                <w:sz w:val="28"/>
                <w:szCs w:val="20"/>
                <w:lang w:val="es-ES"/>
              </w:rPr>
              <w:t xml:space="preserve">Acta 7 del 23 de agosto de 2022, publicada </w:t>
            </w:r>
            <w:r w:rsidRPr="00E00F43">
              <w:rPr>
                <w:rFonts w:ascii="Times New Roman" w:eastAsia="Times New Roman" w:hAnsi="Times New Roman" w:cs="Times New Roman"/>
                <w:bCs/>
                <w:sz w:val="28"/>
                <w:szCs w:val="20"/>
                <w:lang w:val="es-ES"/>
              </w:rPr>
              <w:t>en la Gaceta 1287 del 20 de octubre de 2022.</w:t>
            </w:r>
          </w:p>
        </w:tc>
        <w:tc>
          <w:tcPr>
            <w:tcW w:w="1889" w:type="dxa"/>
          </w:tcPr>
          <w:p w:rsidR="00B347AC" w:rsidRPr="00E00F43" w:rsidRDefault="00E00F43" w:rsidP="00DB0230">
            <w:pPr>
              <w:spacing w:after="0"/>
              <w:rPr>
                <w:rFonts w:ascii="Times New Roman" w:eastAsia="Times New Roman" w:hAnsi="Times New Roman" w:cs="Times New Roman"/>
                <w:bCs/>
                <w:sz w:val="28"/>
                <w:szCs w:val="20"/>
                <w:lang w:val="es-ES"/>
              </w:rPr>
            </w:pPr>
            <w:r w:rsidRPr="00E00F43">
              <w:rPr>
                <w:rFonts w:ascii="Times New Roman" w:eastAsia="Times New Roman" w:hAnsi="Times New Roman" w:cs="Times New Roman"/>
                <w:bCs/>
                <w:sz w:val="28"/>
                <w:szCs w:val="20"/>
                <w:lang w:val="es-ES"/>
              </w:rPr>
              <w:t>Acta 8 del 6 de septiembre de 2022, publicada en la Gaceta del Congreso 1288 del 20 de octubre de 2022.</w:t>
            </w:r>
          </w:p>
        </w:tc>
        <w:tc>
          <w:tcPr>
            <w:tcW w:w="1622" w:type="dxa"/>
          </w:tcPr>
          <w:p w:rsidR="00B347AC" w:rsidRPr="00E00F43" w:rsidRDefault="00E00F43" w:rsidP="00DB0230">
            <w:pPr>
              <w:spacing w:after="0"/>
              <w:rPr>
                <w:rFonts w:ascii="Times New Roman" w:eastAsia="Times New Roman" w:hAnsi="Times New Roman" w:cs="Times New Roman"/>
                <w:bCs/>
                <w:sz w:val="28"/>
                <w:szCs w:val="20"/>
                <w:lang w:val="es-ES"/>
              </w:rPr>
            </w:pPr>
            <w:r w:rsidRPr="00E00F43">
              <w:rPr>
                <w:rFonts w:ascii="Times New Roman" w:eastAsia="Times New Roman" w:hAnsi="Times New Roman" w:cs="Times New Roman"/>
                <w:bCs/>
                <w:sz w:val="28"/>
                <w:szCs w:val="20"/>
                <w:lang w:val="es-ES"/>
              </w:rPr>
              <w:t>Gaceta del Congreso 1051 del 8 de septiembre de 2022.</w:t>
            </w:r>
          </w:p>
        </w:tc>
      </w:tr>
    </w:tbl>
    <w:p w:rsidR="00B347AC" w:rsidRPr="00E00F43" w:rsidRDefault="00E00F43" w:rsidP="00B347AC">
      <w:pPr>
        <w:spacing w:after="0"/>
        <w:rPr>
          <w:rFonts w:ascii="Times New Roman" w:eastAsia="Times New Roman" w:hAnsi="Times New Roman" w:cs="Times New Roman"/>
          <w:bCs/>
          <w:sz w:val="28"/>
          <w:szCs w:val="24"/>
          <w:lang w:val="es-ES"/>
        </w:rPr>
      </w:pPr>
    </w:p>
    <w:bookmarkEnd w:id="12"/>
    <w:p w:rsidR="00B347AC" w:rsidRPr="00E00F43" w:rsidRDefault="00E00F43" w:rsidP="001E11D7">
      <w:pPr>
        <w:pStyle w:val="Ttulo"/>
        <w:rPr>
          <w:rFonts w:ascii="Times New Roman" w:hAnsi="Times New Roman" w:cs="Times New Roman"/>
          <w:sz w:val="28"/>
        </w:rPr>
      </w:pPr>
      <w:r w:rsidRPr="00E00F43">
        <w:rPr>
          <w:rFonts w:ascii="Times New Roman" w:hAnsi="Times New Roman" w:cs="Times New Roman"/>
          <w:sz w:val="28"/>
        </w:rPr>
        <w:t xml:space="preserve"> El trámite que se surtió tanto en la comisión como en la sesión plenaria de la Cámara de Representantes puede evidenciarse en las actas de las sesiones y en las gacetas respectivas del Congreso, así:</w:t>
      </w:r>
    </w:p>
    <w:p w:rsidR="00B347AC" w:rsidRPr="00E00F43" w:rsidRDefault="00E00F43" w:rsidP="00B347AC">
      <w:pPr>
        <w:pStyle w:val="Prrafodelista"/>
        <w:tabs>
          <w:tab w:val="left" w:pos="426"/>
        </w:tabs>
        <w:ind w:left="0"/>
        <w:rPr>
          <w:rFonts w:ascii="Times New Roman" w:hAnsi="Times New Roman" w:cs="Times New Roman"/>
          <w:bCs/>
          <w:sz w:val="28"/>
          <w:szCs w:val="24"/>
          <w:lang w:val="es-ES" w:eastAsia="es-CO"/>
        </w:rPr>
      </w:pPr>
    </w:p>
    <w:tbl>
      <w:tblPr>
        <w:tblW w:w="8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2"/>
        <w:gridCol w:w="1985"/>
        <w:gridCol w:w="1991"/>
        <w:gridCol w:w="1760"/>
        <w:gridCol w:w="1762"/>
      </w:tblGrid>
      <w:tr w:rsidR="00273412" w:rsidRPr="00E00F43" w:rsidTr="00DB0230">
        <w:trPr>
          <w:jc w:val="center"/>
        </w:trPr>
        <w:tc>
          <w:tcPr>
            <w:tcW w:w="1422" w:type="dxa"/>
            <w:vAlign w:val="center"/>
          </w:tcPr>
          <w:p w:rsidR="00B347AC" w:rsidRPr="00E00F43" w:rsidRDefault="00E00F43" w:rsidP="00DB0230">
            <w:pPr>
              <w:spacing w:after="0"/>
              <w:jc w:val="center"/>
              <w:rPr>
                <w:rFonts w:ascii="Times New Roman" w:eastAsia="Times New Roman" w:hAnsi="Times New Roman" w:cs="Times New Roman"/>
                <w:b/>
                <w:bCs/>
                <w:sz w:val="28"/>
                <w:szCs w:val="20"/>
                <w:lang w:val="es-ES"/>
              </w:rPr>
            </w:pPr>
          </w:p>
        </w:tc>
        <w:tc>
          <w:tcPr>
            <w:tcW w:w="1985" w:type="dxa"/>
            <w:vAlign w:val="center"/>
          </w:tcPr>
          <w:p w:rsidR="00B347AC" w:rsidRPr="00E00F43" w:rsidRDefault="00E00F43" w:rsidP="00DB0230">
            <w:pPr>
              <w:spacing w:after="0"/>
              <w:jc w:val="center"/>
              <w:rPr>
                <w:rFonts w:ascii="Times New Roman" w:eastAsia="Times New Roman" w:hAnsi="Times New Roman" w:cs="Times New Roman"/>
                <w:b/>
                <w:bCs/>
                <w:sz w:val="28"/>
                <w:szCs w:val="20"/>
                <w:lang w:val="es-ES"/>
              </w:rPr>
            </w:pPr>
            <w:r w:rsidRPr="00E00F43">
              <w:rPr>
                <w:rFonts w:ascii="Times New Roman" w:eastAsia="Times New Roman" w:hAnsi="Times New Roman" w:cs="Times New Roman"/>
                <w:b/>
                <w:bCs/>
                <w:sz w:val="28"/>
                <w:szCs w:val="20"/>
                <w:lang w:val="es-ES"/>
              </w:rPr>
              <w:t>Ponencia</w:t>
            </w:r>
          </w:p>
        </w:tc>
        <w:tc>
          <w:tcPr>
            <w:tcW w:w="1991" w:type="dxa"/>
            <w:vAlign w:val="center"/>
          </w:tcPr>
          <w:p w:rsidR="00B347AC" w:rsidRPr="00E00F43" w:rsidRDefault="00E00F43" w:rsidP="00DB0230">
            <w:pPr>
              <w:spacing w:after="0"/>
              <w:jc w:val="center"/>
              <w:rPr>
                <w:rFonts w:ascii="Times New Roman" w:eastAsia="Times New Roman" w:hAnsi="Times New Roman" w:cs="Times New Roman"/>
                <w:b/>
                <w:bCs/>
                <w:sz w:val="28"/>
                <w:szCs w:val="20"/>
                <w:lang w:val="es-ES"/>
              </w:rPr>
            </w:pPr>
            <w:r w:rsidRPr="00E00F43">
              <w:rPr>
                <w:rFonts w:ascii="Times New Roman" w:eastAsia="Times New Roman" w:hAnsi="Times New Roman" w:cs="Times New Roman"/>
                <w:b/>
                <w:bCs/>
                <w:sz w:val="28"/>
                <w:szCs w:val="20"/>
                <w:lang w:val="es-ES"/>
              </w:rPr>
              <w:t>Anuncio</w:t>
            </w:r>
          </w:p>
        </w:tc>
        <w:tc>
          <w:tcPr>
            <w:tcW w:w="1760" w:type="dxa"/>
            <w:vAlign w:val="center"/>
          </w:tcPr>
          <w:p w:rsidR="00B347AC" w:rsidRPr="00E00F43" w:rsidRDefault="00E00F43" w:rsidP="00DB0230">
            <w:pPr>
              <w:spacing w:after="0"/>
              <w:jc w:val="center"/>
              <w:rPr>
                <w:rFonts w:ascii="Times New Roman" w:eastAsia="Times New Roman" w:hAnsi="Times New Roman" w:cs="Times New Roman"/>
                <w:b/>
                <w:bCs/>
                <w:sz w:val="28"/>
                <w:szCs w:val="20"/>
                <w:lang w:val="es-ES"/>
              </w:rPr>
            </w:pPr>
            <w:r w:rsidRPr="00E00F43">
              <w:rPr>
                <w:rFonts w:ascii="Times New Roman" w:eastAsia="Times New Roman" w:hAnsi="Times New Roman" w:cs="Times New Roman"/>
                <w:b/>
                <w:bCs/>
                <w:sz w:val="28"/>
                <w:szCs w:val="20"/>
                <w:lang w:val="es-ES"/>
              </w:rPr>
              <w:t>Discusión y aprobación</w:t>
            </w:r>
          </w:p>
        </w:tc>
        <w:tc>
          <w:tcPr>
            <w:tcW w:w="1762" w:type="dxa"/>
            <w:vAlign w:val="center"/>
          </w:tcPr>
          <w:p w:rsidR="00B347AC" w:rsidRPr="00E00F43" w:rsidRDefault="00E00F43" w:rsidP="00DB0230">
            <w:pPr>
              <w:spacing w:after="0"/>
              <w:jc w:val="center"/>
              <w:rPr>
                <w:rFonts w:ascii="Times New Roman" w:eastAsia="Times New Roman" w:hAnsi="Times New Roman" w:cs="Times New Roman"/>
                <w:b/>
                <w:bCs/>
                <w:sz w:val="28"/>
                <w:szCs w:val="20"/>
                <w:lang w:val="es-ES"/>
              </w:rPr>
            </w:pPr>
            <w:r w:rsidRPr="00E00F43">
              <w:rPr>
                <w:rFonts w:ascii="Times New Roman" w:eastAsia="Times New Roman" w:hAnsi="Times New Roman" w:cs="Times New Roman"/>
                <w:b/>
                <w:bCs/>
                <w:sz w:val="28"/>
                <w:szCs w:val="20"/>
                <w:lang w:val="es-ES"/>
              </w:rPr>
              <w:t>Publicación</w:t>
            </w:r>
          </w:p>
        </w:tc>
      </w:tr>
      <w:tr w:rsidR="00273412" w:rsidRPr="00E00F43" w:rsidTr="00DB0230">
        <w:trPr>
          <w:trHeight w:val="2234"/>
          <w:jc w:val="center"/>
        </w:trPr>
        <w:tc>
          <w:tcPr>
            <w:tcW w:w="1422" w:type="dxa"/>
            <w:vAlign w:val="center"/>
          </w:tcPr>
          <w:p w:rsidR="00B347AC" w:rsidRPr="00E00F43" w:rsidRDefault="00E00F43" w:rsidP="00DB0230">
            <w:pPr>
              <w:spacing w:after="0"/>
              <w:rPr>
                <w:rFonts w:ascii="Times New Roman" w:eastAsia="Times New Roman" w:hAnsi="Times New Roman" w:cs="Times New Roman"/>
                <w:b/>
                <w:sz w:val="28"/>
                <w:szCs w:val="20"/>
                <w:lang w:val="es-ES"/>
              </w:rPr>
            </w:pPr>
            <w:r w:rsidRPr="00E00F43">
              <w:rPr>
                <w:rFonts w:ascii="Times New Roman" w:eastAsia="Times New Roman" w:hAnsi="Times New Roman" w:cs="Times New Roman"/>
                <w:b/>
                <w:sz w:val="28"/>
                <w:szCs w:val="20"/>
                <w:lang w:val="es-ES"/>
              </w:rPr>
              <w:t>Primer debate (Comisión)</w:t>
            </w:r>
          </w:p>
        </w:tc>
        <w:tc>
          <w:tcPr>
            <w:tcW w:w="1985" w:type="dxa"/>
          </w:tcPr>
          <w:p w:rsidR="00B347AC" w:rsidRPr="00E00F43" w:rsidRDefault="00E00F43" w:rsidP="00DB0230">
            <w:pPr>
              <w:spacing w:after="0"/>
              <w:rPr>
                <w:rFonts w:ascii="Times New Roman" w:eastAsia="Times New Roman" w:hAnsi="Times New Roman" w:cs="Times New Roman"/>
                <w:bCs/>
                <w:sz w:val="28"/>
                <w:szCs w:val="20"/>
                <w:lang w:val="es-ES"/>
              </w:rPr>
            </w:pPr>
            <w:r w:rsidRPr="00E00F43">
              <w:rPr>
                <w:rFonts w:ascii="Times New Roman" w:eastAsia="Times New Roman" w:hAnsi="Times New Roman" w:cs="Times New Roman"/>
                <w:bCs/>
                <w:sz w:val="28"/>
                <w:szCs w:val="20"/>
                <w:lang w:val="es-ES"/>
              </w:rPr>
              <w:t>Gaceta del Congreso 1335 del 27 de octubre de 2022.</w:t>
            </w:r>
          </w:p>
        </w:tc>
        <w:tc>
          <w:tcPr>
            <w:tcW w:w="1991" w:type="dxa"/>
          </w:tcPr>
          <w:p w:rsidR="00B347AC" w:rsidRPr="00E00F43" w:rsidRDefault="00E00F43" w:rsidP="00DB0230">
            <w:pPr>
              <w:spacing w:after="0"/>
              <w:rPr>
                <w:rFonts w:ascii="Times New Roman" w:eastAsia="Times New Roman" w:hAnsi="Times New Roman" w:cs="Times New Roman"/>
                <w:bCs/>
                <w:sz w:val="28"/>
                <w:szCs w:val="20"/>
                <w:lang w:val="es-ES"/>
              </w:rPr>
            </w:pPr>
            <w:r w:rsidRPr="00E00F43">
              <w:rPr>
                <w:rFonts w:ascii="Times New Roman" w:eastAsia="Times New Roman" w:hAnsi="Times New Roman" w:cs="Times New Roman"/>
                <w:bCs/>
                <w:sz w:val="28"/>
                <w:szCs w:val="20"/>
                <w:lang w:val="es-ES"/>
              </w:rPr>
              <w:t>Acta número 10 del 1 de noviembre de 2022, publicada en</w:t>
            </w:r>
            <w:r w:rsidRPr="00E00F43">
              <w:rPr>
                <w:rFonts w:ascii="Times New Roman" w:eastAsia="Times New Roman" w:hAnsi="Times New Roman" w:cs="Times New Roman"/>
                <w:sz w:val="28"/>
                <w:szCs w:val="20"/>
                <w:lang w:val="es-ES" w:eastAsia="es-MX"/>
              </w:rPr>
              <w:t xml:space="preserve"> la Gaceta del Congreso </w:t>
            </w:r>
            <w:r w:rsidRPr="00E00F43">
              <w:rPr>
                <w:rFonts w:ascii="Times New Roman" w:eastAsia="Times New Roman" w:hAnsi="Times New Roman" w:cs="Times New Roman"/>
                <w:bCs/>
                <w:sz w:val="28"/>
                <w:szCs w:val="20"/>
                <w:lang w:val="es-ES"/>
              </w:rPr>
              <w:t>464 del 10 de mayo de 2023.</w:t>
            </w:r>
          </w:p>
        </w:tc>
        <w:tc>
          <w:tcPr>
            <w:tcW w:w="1760" w:type="dxa"/>
          </w:tcPr>
          <w:p w:rsidR="00B347AC" w:rsidRPr="00E00F43" w:rsidRDefault="00E00F43" w:rsidP="00DB0230">
            <w:pPr>
              <w:spacing w:after="0"/>
              <w:rPr>
                <w:rFonts w:ascii="Times New Roman" w:eastAsia="Times New Roman" w:hAnsi="Times New Roman" w:cs="Times New Roman"/>
                <w:bCs/>
                <w:sz w:val="28"/>
                <w:szCs w:val="20"/>
                <w:lang w:val="es-ES"/>
              </w:rPr>
            </w:pPr>
            <w:r w:rsidRPr="00E00F43">
              <w:rPr>
                <w:rFonts w:ascii="Times New Roman" w:eastAsia="Times New Roman" w:hAnsi="Times New Roman" w:cs="Times New Roman"/>
                <w:bCs/>
                <w:sz w:val="28"/>
                <w:szCs w:val="20"/>
                <w:lang w:val="es-ES"/>
              </w:rPr>
              <w:t xml:space="preserve">Acta número 11 del 16 de noviembre de 2022, publicada en la Gaceta del </w:t>
            </w:r>
            <w:r w:rsidRPr="00E00F43">
              <w:rPr>
                <w:rFonts w:ascii="Times New Roman" w:eastAsia="Times New Roman" w:hAnsi="Times New Roman" w:cs="Times New Roman"/>
                <w:bCs/>
                <w:sz w:val="28"/>
                <w:szCs w:val="20"/>
                <w:lang w:val="es-ES"/>
              </w:rPr>
              <w:t>Congreso 469 del 11 de mayo de 2023.</w:t>
            </w:r>
          </w:p>
        </w:tc>
        <w:tc>
          <w:tcPr>
            <w:tcW w:w="1762" w:type="dxa"/>
          </w:tcPr>
          <w:p w:rsidR="00B347AC" w:rsidRPr="00E00F43" w:rsidRDefault="00E00F43" w:rsidP="00DB0230">
            <w:pPr>
              <w:spacing w:after="0"/>
              <w:rPr>
                <w:rFonts w:ascii="Times New Roman" w:eastAsia="Times New Roman" w:hAnsi="Times New Roman" w:cs="Times New Roman"/>
                <w:bCs/>
                <w:sz w:val="28"/>
                <w:szCs w:val="20"/>
                <w:lang w:val="es-ES"/>
              </w:rPr>
            </w:pPr>
            <w:r w:rsidRPr="00E00F43">
              <w:rPr>
                <w:rFonts w:ascii="Times New Roman" w:eastAsia="Times New Roman" w:hAnsi="Times New Roman" w:cs="Times New Roman"/>
                <w:bCs/>
                <w:sz w:val="28"/>
                <w:szCs w:val="20"/>
                <w:lang w:val="es-ES"/>
              </w:rPr>
              <w:t xml:space="preserve">Gaceta del Congreso </w:t>
            </w:r>
            <w:r w:rsidRPr="00E00F43">
              <w:rPr>
                <w:rFonts w:ascii="Times New Roman" w:hAnsi="Times New Roman" w:cs="Times New Roman"/>
                <w:bCs/>
                <w:sz w:val="28"/>
                <w:szCs w:val="20"/>
                <w:lang w:val="es-ES"/>
              </w:rPr>
              <w:t>1526 del 28 de noviembre de 2022.</w:t>
            </w:r>
          </w:p>
        </w:tc>
      </w:tr>
      <w:tr w:rsidR="00B347AC" w:rsidRPr="00E00F43" w:rsidTr="00DB0230">
        <w:trPr>
          <w:trHeight w:val="987"/>
          <w:jc w:val="center"/>
        </w:trPr>
        <w:tc>
          <w:tcPr>
            <w:tcW w:w="1422" w:type="dxa"/>
            <w:vAlign w:val="center"/>
          </w:tcPr>
          <w:p w:rsidR="00B347AC" w:rsidRPr="00E00F43" w:rsidRDefault="00E00F43" w:rsidP="00DB0230">
            <w:pPr>
              <w:spacing w:after="0"/>
              <w:rPr>
                <w:rFonts w:ascii="Times New Roman" w:eastAsia="Times New Roman" w:hAnsi="Times New Roman" w:cs="Times New Roman"/>
                <w:b/>
                <w:sz w:val="28"/>
                <w:szCs w:val="20"/>
                <w:lang w:val="es-ES"/>
              </w:rPr>
            </w:pPr>
            <w:r w:rsidRPr="00E00F43">
              <w:rPr>
                <w:rFonts w:ascii="Times New Roman" w:eastAsia="Times New Roman" w:hAnsi="Times New Roman" w:cs="Times New Roman"/>
                <w:b/>
                <w:sz w:val="28"/>
                <w:szCs w:val="20"/>
                <w:lang w:val="es-ES"/>
              </w:rPr>
              <w:t>Segundo debate (Plenaria)</w:t>
            </w:r>
          </w:p>
        </w:tc>
        <w:tc>
          <w:tcPr>
            <w:tcW w:w="1985" w:type="dxa"/>
          </w:tcPr>
          <w:p w:rsidR="00B347AC" w:rsidRPr="00E00F43" w:rsidRDefault="00E00F43" w:rsidP="00DB0230">
            <w:pPr>
              <w:spacing w:after="0"/>
              <w:rPr>
                <w:rFonts w:ascii="Times New Roman" w:eastAsia="Times New Roman" w:hAnsi="Times New Roman" w:cs="Times New Roman"/>
                <w:bCs/>
                <w:sz w:val="28"/>
                <w:szCs w:val="20"/>
                <w:lang w:val="es-ES"/>
              </w:rPr>
            </w:pPr>
            <w:r w:rsidRPr="00E00F43">
              <w:rPr>
                <w:rFonts w:ascii="Times New Roman" w:eastAsia="Times New Roman" w:hAnsi="Times New Roman" w:cs="Times New Roman"/>
                <w:bCs/>
                <w:sz w:val="28"/>
                <w:szCs w:val="20"/>
                <w:lang w:val="es-ES"/>
              </w:rPr>
              <w:t xml:space="preserve">Gaceta del Congreso </w:t>
            </w:r>
            <w:r w:rsidRPr="00E00F43">
              <w:rPr>
                <w:rFonts w:ascii="Times New Roman" w:hAnsi="Times New Roman" w:cs="Times New Roman"/>
                <w:bCs/>
                <w:sz w:val="28"/>
                <w:szCs w:val="20"/>
                <w:lang w:val="es-ES"/>
              </w:rPr>
              <w:t>1526 del 28 de noviembre de 2022.</w:t>
            </w:r>
          </w:p>
        </w:tc>
        <w:tc>
          <w:tcPr>
            <w:tcW w:w="1991" w:type="dxa"/>
          </w:tcPr>
          <w:p w:rsidR="00B347AC" w:rsidRPr="00E00F43" w:rsidRDefault="00E00F43" w:rsidP="00DB0230">
            <w:pPr>
              <w:spacing w:after="0"/>
              <w:rPr>
                <w:rFonts w:ascii="Times New Roman" w:eastAsia="Times New Roman" w:hAnsi="Times New Roman" w:cs="Times New Roman"/>
                <w:bCs/>
                <w:sz w:val="28"/>
                <w:szCs w:val="20"/>
                <w:lang w:val="es-ES"/>
              </w:rPr>
            </w:pPr>
            <w:r w:rsidRPr="00E00F43">
              <w:rPr>
                <w:rFonts w:ascii="Times New Roman" w:eastAsia="Times New Roman" w:hAnsi="Times New Roman" w:cs="Times New Roman"/>
                <w:bCs/>
                <w:sz w:val="28"/>
                <w:szCs w:val="20"/>
                <w:lang w:val="es-ES"/>
              </w:rPr>
              <w:t xml:space="preserve">Acta </w:t>
            </w:r>
            <w:r w:rsidRPr="00E00F43">
              <w:rPr>
                <w:rFonts w:ascii="Times New Roman" w:hAnsi="Times New Roman" w:cs="Times New Roman"/>
                <w:bCs/>
                <w:sz w:val="28"/>
                <w:szCs w:val="20"/>
                <w:lang w:val="es-ES"/>
              </w:rPr>
              <w:t>35</w:t>
            </w:r>
            <w:r w:rsidRPr="00E00F43">
              <w:rPr>
                <w:rFonts w:ascii="Times New Roman" w:eastAsia="Times New Roman" w:hAnsi="Times New Roman" w:cs="Times New Roman"/>
                <w:bCs/>
                <w:sz w:val="28"/>
                <w:szCs w:val="20"/>
                <w:lang w:val="es-ES"/>
              </w:rPr>
              <w:t xml:space="preserve"> del 30 de noviembre de 2022, publicada en la Gaceta del Congreso </w:t>
            </w:r>
            <w:r w:rsidRPr="00E00F43">
              <w:rPr>
                <w:rFonts w:ascii="Times New Roman" w:hAnsi="Times New Roman" w:cs="Times New Roman"/>
                <w:bCs/>
                <w:sz w:val="28"/>
                <w:szCs w:val="20"/>
                <w:lang w:val="es-ES"/>
              </w:rPr>
              <w:t>352</w:t>
            </w:r>
            <w:r w:rsidRPr="00E00F43">
              <w:rPr>
                <w:rFonts w:ascii="Times New Roman" w:eastAsia="Times New Roman" w:hAnsi="Times New Roman" w:cs="Times New Roman"/>
                <w:bCs/>
                <w:sz w:val="28"/>
                <w:szCs w:val="20"/>
                <w:lang w:val="es-ES"/>
              </w:rPr>
              <w:t xml:space="preserve"> de1 </w:t>
            </w:r>
            <w:r w:rsidRPr="00E00F43">
              <w:rPr>
                <w:rFonts w:ascii="Times New Roman" w:hAnsi="Times New Roman" w:cs="Times New Roman"/>
                <w:bCs/>
                <w:sz w:val="28"/>
                <w:szCs w:val="20"/>
                <w:lang w:val="es-ES"/>
              </w:rPr>
              <w:t xml:space="preserve">20 </w:t>
            </w:r>
            <w:r w:rsidRPr="00E00F43">
              <w:rPr>
                <w:rFonts w:ascii="Times New Roman" w:hAnsi="Times New Roman" w:cs="Times New Roman"/>
                <w:bCs/>
                <w:sz w:val="28"/>
                <w:szCs w:val="20"/>
                <w:lang w:val="es-ES"/>
              </w:rPr>
              <w:t>de abril de 2023</w:t>
            </w:r>
          </w:p>
        </w:tc>
        <w:tc>
          <w:tcPr>
            <w:tcW w:w="1760" w:type="dxa"/>
          </w:tcPr>
          <w:p w:rsidR="00B347AC" w:rsidRPr="00E00F43" w:rsidRDefault="00E00F43" w:rsidP="00DB0230">
            <w:pPr>
              <w:spacing w:after="0"/>
              <w:rPr>
                <w:rFonts w:ascii="Times New Roman" w:eastAsia="Times New Roman" w:hAnsi="Times New Roman" w:cs="Times New Roman"/>
                <w:bCs/>
                <w:sz w:val="28"/>
                <w:szCs w:val="20"/>
                <w:lang w:val="es-ES"/>
              </w:rPr>
            </w:pPr>
            <w:r w:rsidRPr="00E00F43">
              <w:rPr>
                <w:rFonts w:ascii="Times New Roman" w:hAnsi="Times New Roman" w:cs="Times New Roman"/>
                <w:bCs/>
                <w:sz w:val="28"/>
                <w:szCs w:val="20"/>
                <w:lang w:val="es-ES"/>
              </w:rPr>
              <w:t xml:space="preserve">Acta 36 del 5 de diciembre de 2022, </w:t>
            </w:r>
            <w:r w:rsidRPr="00E00F43">
              <w:rPr>
                <w:rFonts w:ascii="Times New Roman" w:eastAsia="Times New Roman" w:hAnsi="Times New Roman" w:cs="Times New Roman"/>
                <w:bCs/>
                <w:sz w:val="28"/>
                <w:szCs w:val="20"/>
                <w:lang w:val="es-ES"/>
              </w:rPr>
              <w:t xml:space="preserve">publicada en la Gaceta del Congreso </w:t>
            </w:r>
            <w:r w:rsidRPr="00E00F43">
              <w:rPr>
                <w:rFonts w:ascii="Times New Roman" w:hAnsi="Times New Roman" w:cs="Times New Roman"/>
                <w:bCs/>
                <w:sz w:val="28"/>
                <w:szCs w:val="20"/>
                <w:lang w:val="es-ES"/>
              </w:rPr>
              <w:t>298</w:t>
            </w:r>
            <w:r w:rsidRPr="00E00F43">
              <w:rPr>
                <w:rFonts w:ascii="Times New Roman" w:eastAsia="Times New Roman" w:hAnsi="Times New Roman" w:cs="Times New Roman"/>
                <w:bCs/>
                <w:sz w:val="28"/>
                <w:szCs w:val="20"/>
                <w:lang w:val="es-ES"/>
              </w:rPr>
              <w:t xml:space="preserve"> del </w:t>
            </w:r>
            <w:r w:rsidRPr="00E00F43">
              <w:rPr>
                <w:rFonts w:ascii="Times New Roman" w:hAnsi="Times New Roman" w:cs="Times New Roman"/>
                <w:bCs/>
                <w:sz w:val="28"/>
                <w:szCs w:val="20"/>
                <w:lang w:val="es-ES"/>
              </w:rPr>
              <w:t>12 de abril de 2023.</w:t>
            </w:r>
          </w:p>
        </w:tc>
        <w:tc>
          <w:tcPr>
            <w:tcW w:w="1762" w:type="dxa"/>
          </w:tcPr>
          <w:p w:rsidR="00B347AC" w:rsidRPr="00E00F43" w:rsidRDefault="00E00F43" w:rsidP="00DB0230">
            <w:pPr>
              <w:spacing w:after="0"/>
              <w:rPr>
                <w:rFonts w:ascii="Times New Roman" w:eastAsia="Times New Roman" w:hAnsi="Times New Roman" w:cs="Times New Roman"/>
                <w:bCs/>
                <w:sz w:val="28"/>
                <w:szCs w:val="20"/>
                <w:lang w:val="es-ES"/>
              </w:rPr>
            </w:pPr>
            <w:r w:rsidRPr="00E00F43">
              <w:rPr>
                <w:rFonts w:ascii="Times New Roman" w:eastAsia="Times New Roman" w:hAnsi="Times New Roman" w:cs="Times New Roman"/>
                <w:bCs/>
                <w:sz w:val="28"/>
                <w:szCs w:val="20"/>
                <w:lang w:val="es-ES"/>
              </w:rPr>
              <w:t xml:space="preserve">Gaceta del Congreso </w:t>
            </w:r>
            <w:r w:rsidRPr="00E00F43">
              <w:rPr>
                <w:rFonts w:ascii="Times New Roman" w:hAnsi="Times New Roman" w:cs="Times New Roman"/>
                <w:bCs/>
                <w:sz w:val="28"/>
                <w:szCs w:val="20"/>
                <w:lang w:val="es-ES"/>
              </w:rPr>
              <w:t>1736</w:t>
            </w:r>
            <w:r w:rsidRPr="00E00F43">
              <w:rPr>
                <w:rFonts w:ascii="Times New Roman" w:eastAsia="Times New Roman" w:hAnsi="Times New Roman" w:cs="Times New Roman"/>
                <w:bCs/>
                <w:sz w:val="28"/>
                <w:szCs w:val="20"/>
                <w:lang w:val="es-ES"/>
              </w:rPr>
              <w:t xml:space="preserve"> del </w:t>
            </w:r>
            <w:r w:rsidRPr="00E00F43">
              <w:rPr>
                <w:rFonts w:ascii="Times New Roman" w:hAnsi="Times New Roman" w:cs="Times New Roman"/>
                <w:bCs/>
                <w:sz w:val="28"/>
                <w:szCs w:val="20"/>
                <w:lang w:val="es-ES"/>
              </w:rPr>
              <w:t>29 de diciembre de 2022.</w:t>
            </w:r>
          </w:p>
        </w:tc>
      </w:tr>
    </w:tbl>
    <w:p w:rsidR="00B347AC" w:rsidRPr="00E00F43" w:rsidRDefault="00E00F43" w:rsidP="00B347AC">
      <w:pPr>
        <w:pStyle w:val="Prrafodelista"/>
        <w:tabs>
          <w:tab w:val="left" w:pos="426"/>
        </w:tabs>
        <w:ind w:left="0"/>
        <w:rPr>
          <w:rFonts w:ascii="Times New Roman" w:hAnsi="Times New Roman" w:cs="Times New Roman"/>
          <w:bCs/>
          <w:sz w:val="28"/>
          <w:szCs w:val="24"/>
          <w:lang w:val="es-ES" w:eastAsia="es-CO"/>
        </w:rPr>
      </w:pPr>
    </w:p>
    <w:p w:rsidR="00B347AC" w:rsidRPr="00E00F43" w:rsidRDefault="00E00F43">
      <w:pPr>
        <w:pStyle w:val="Prrafodelista"/>
        <w:numPr>
          <w:ilvl w:val="1"/>
          <w:numId w:val="7"/>
        </w:numPr>
        <w:tabs>
          <w:tab w:val="left" w:pos="426"/>
        </w:tabs>
        <w:ind w:left="0" w:firstLine="0"/>
        <w:rPr>
          <w:rFonts w:ascii="Times New Roman" w:hAnsi="Times New Roman" w:cs="Times New Roman"/>
          <w:b/>
          <w:sz w:val="28"/>
          <w:szCs w:val="24"/>
          <w:lang w:val="es-ES" w:eastAsia="es-CO"/>
        </w:rPr>
      </w:pPr>
      <w:r w:rsidRPr="00E00F43">
        <w:rPr>
          <w:rFonts w:ascii="Times New Roman" w:hAnsi="Times New Roman" w:cs="Times New Roman"/>
          <w:b/>
          <w:bCs/>
          <w:sz w:val="28"/>
          <w:szCs w:val="24"/>
          <w:lang w:val="es-ES"/>
        </w:rPr>
        <w:t>Análisis material</w:t>
      </w:r>
      <w:r w:rsidRPr="00E00F43">
        <w:rPr>
          <w:rFonts w:ascii="Times New Roman" w:hAnsi="Times New Roman" w:cs="Times New Roman"/>
          <w:b/>
          <w:bCs/>
          <w:sz w:val="28"/>
          <w:szCs w:val="24"/>
          <w:lang w:val="es-ES"/>
        </w:rPr>
        <w:t xml:space="preserve"> del instrumento</w:t>
      </w:r>
      <w:r w:rsidRPr="00E00F43">
        <w:rPr>
          <w:rFonts w:ascii="Times New Roman" w:hAnsi="Times New Roman" w:cs="Times New Roman"/>
          <w:b/>
          <w:bCs/>
          <w:sz w:val="28"/>
          <w:szCs w:val="24"/>
          <w:lang w:val="es-ES"/>
        </w:rPr>
        <w:t xml:space="preserve">: el </w:t>
      </w:r>
      <w:bookmarkStart w:id="13" w:name="_Hlk160185023"/>
      <w:r w:rsidRPr="00E00F43">
        <w:rPr>
          <w:rFonts w:ascii="Times New Roman" w:hAnsi="Times New Roman" w:cs="Times New Roman"/>
          <w:b/>
          <w:bCs/>
          <w:sz w:val="28"/>
          <w:szCs w:val="24"/>
          <w:lang w:val="es-ES"/>
        </w:rPr>
        <w:t>“Acuerdo Relativo a la Adopción de Reglamentos Técnicos Armonizados de las Naciones Unidas aplicables a los vehículos de ruedas y los equipos y piezas que puedan montarse o utilizarse en estos, y sobre las condiciones de reconocimiento recíproco de las hom</w:t>
      </w:r>
      <w:r w:rsidRPr="00E00F43">
        <w:rPr>
          <w:rFonts w:ascii="Times New Roman" w:hAnsi="Times New Roman" w:cs="Times New Roman"/>
          <w:b/>
          <w:bCs/>
          <w:sz w:val="28"/>
          <w:szCs w:val="24"/>
          <w:lang w:val="es-ES"/>
        </w:rPr>
        <w:t xml:space="preserve">ologaciones concedidas conforme a dichos reglamentos de las Naciones Unidas” </w:t>
      </w:r>
      <w:bookmarkEnd w:id="13"/>
      <w:r w:rsidRPr="00E00F43">
        <w:rPr>
          <w:rFonts w:ascii="Times New Roman" w:hAnsi="Times New Roman" w:cs="Times New Roman"/>
          <w:b/>
          <w:bCs/>
          <w:sz w:val="28"/>
          <w:szCs w:val="24"/>
          <w:lang w:val="es-ES"/>
        </w:rPr>
        <w:t>es compatible con la Constitución Política</w:t>
      </w:r>
    </w:p>
    <w:p w:rsidR="00B347AC" w:rsidRPr="00E00F43" w:rsidRDefault="00E00F43" w:rsidP="00B347AC">
      <w:pPr>
        <w:pStyle w:val="Prrafodelista"/>
        <w:tabs>
          <w:tab w:val="left" w:pos="426"/>
        </w:tabs>
        <w:ind w:left="0"/>
        <w:rPr>
          <w:rFonts w:ascii="Times New Roman" w:hAnsi="Times New Roman" w:cs="Times New Roman"/>
          <w:bCs/>
          <w:sz w:val="28"/>
          <w:szCs w:val="24"/>
          <w:lang w:val="es-ES" w:eastAsia="es-CO"/>
        </w:rPr>
      </w:pPr>
    </w:p>
    <w:p w:rsidR="00B347AC" w:rsidRPr="00E00F43" w:rsidRDefault="00E00F43" w:rsidP="001E11D7">
      <w:pPr>
        <w:pStyle w:val="Ttulo"/>
        <w:rPr>
          <w:rFonts w:ascii="Times New Roman" w:hAnsi="Times New Roman" w:cs="Times New Roman"/>
          <w:bCs/>
          <w:sz w:val="28"/>
          <w:lang w:eastAsia="es-CO"/>
        </w:rPr>
      </w:pPr>
      <w:r w:rsidRPr="00E00F43">
        <w:rPr>
          <w:rFonts w:ascii="Times New Roman" w:hAnsi="Times New Roman" w:cs="Times New Roman"/>
          <w:sz w:val="28"/>
        </w:rPr>
        <w:t xml:space="preserve">Verificado el cumplimiento del trámite de aprobación del instrumento internacional, pasa la Corte a realizar el análisis del contenido </w:t>
      </w:r>
      <w:r w:rsidRPr="00E00F43">
        <w:rPr>
          <w:rFonts w:ascii="Times New Roman" w:hAnsi="Times New Roman" w:cs="Times New Roman"/>
          <w:sz w:val="28"/>
        </w:rPr>
        <w:t>del mismo. Para el efecto, (i) en primer lugar, hará una breve referencia al contexto y finalidad del instrumento internacional y luego (ii) analizará la constitucionalidad material del articulado</w:t>
      </w:r>
      <w:r w:rsidRPr="00E00F43">
        <w:rPr>
          <w:rFonts w:ascii="Times New Roman" w:hAnsi="Times New Roman" w:cs="Times New Roman"/>
          <w:sz w:val="28"/>
        </w:rPr>
        <w:t>, incluyendo su apéndice y los anexos</w:t>
      </w:r>
      <w:r w:rsidRPr="00E00F43">
        <w:rPr>
          <w:rFonts w:ascii="Times New Roman" w:hAnsi="Times New Roman" w:cs="Times New Roman"/>
          <w:sz w:val="28"/>
        </w:rPr>
        <w:t>.</w:t>
      </w:r>
    </w:p>
    <w:p w:rsidR="0070342E" w:rsidRPr="00E00F43" w:rsidRDefault="00E00F43" w:rsidP="0070342E">
      <w:pPr>
        <w:pStyle w:val="Prrafodelista"/>
        <w:tabs>
          <w:tab w:val="left" w:pos="426"/>
        </w:tabs>
        <w:ind w:left="0"/>
        <w:rPr>
          <w:rFonts w:ascii="Times New Roman" w:hAnsi="Times New Roman" w:cs="Times New Roman"/>
          <w:bCs/>
          <w:sz w:val="28"/>
          <w:szCs w:val="24"/>
          <w:lang w:val="es-ES" w:eastAsia="es-CO"/>
        </w:rPr>
      </w:pPr>
    </w:p>
    <w:p w:rsidR="0070342E" w:rsidRPr="00E00F43" w:rsidRDefault="00E00F43">
      <w:pPr>
        <w:pStyle w:val="Prrafodelista"/>
        <w:numPr>
          <w:ilvl w:val="2"/>
          <w:numId w:val="7"/>
        </w:numPr>
        <w:tabs>
          <w:tab w:val="left" w:pos="567"/>
        </w:tabs>
        <w:ind w:left="0" w:firstLine="0"/>
        <w:contextualSpacing/>
        <w:rPr>
          <w:rFonts w:ascii="Times New Roman" w:hAnsi="Times New Roman" w:cs="Times New Roman"/>
          <w:sz w:val="28"/>
          <w:szCs w:val="24"/>
          <w:lang w:val="es-ES"/>
        </w:rPr>
      </w:pPr>
      <w:r w:rsidRPr="00E00F43">
        <w:rPr>
          <w:rFonts w:ascii="Times New Roman" w:hAnsi="Times New Roman" w:cs="Times New Roman"/>
          <w:b/>
          <w:bCs/>
          <w:sz w:val="28"/>
          <w:szCs w:val="24"/>
          <w:lang w:val="es-ES"/>
        </w:rPr>
        <w:t>Contexto y finalidad</w:t>
      </w:r>
      <w:r w:rsidRPr="00E00F43">
        <w:rPr>
          <w:rFonts w:ascii="Times New Roman" w:hAnsi="Times New Roman" w:cs="Times New Roman"/>
          <w:b/>
          <w:bCs/>
          <w:sz w:val="28"/>
          <w:szCs w:val="24"/>
          <w:lang w:val="es-ES"/>
        </w:rPr>
        <w:t xml:space="preserve"> del instrumento internacional objeto de revisión</w:t>
      </w:r>
    </w:p>
    <w:p w:rsidR="0070342E" w:rsidRPr="00E00F43" w:rsidRDefault="00E00F43" w:rsidP="0070342E">
      <w:pPr>
        <w:pStyle w:val="Prrafodelista"/>
        <w:tabs>
          <w:tab w:val="left" w:pos="426"/>
        </w:tabs>
        <w:ind w:left="0"/>
        <w:rPr>
          <w:rFonts w:ascii="Times New Roman" w:hAnsi="Times New Roman" w:cs="Times New Roman"/>
          <w:bCs/>
          <w:sz w:val="28"/>
          <w:szCs w:val="24"/>
          <w:lang w:val="es-ES" w:eastAsia="es-CO"/>
        </w:rPr>
      </w:pPr>
    </w:p>
    <w:bookmarkEnd w:id="1"/>
    <w:bookmarkEnd w:id="2"/>
    <w:p w:rsidR="0070342E"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lang w:eastAsia="es-CO"/>
        </w:rPr>
        <w:t xml:space="preserve"> </w:t>
      </w:r>
      <w:r w:rsidRPr="00E00F43">
        <w:rPr>
          <w:rFonts w:ascii="Times New Roman" w:hAnsi="Times New Roman" w:cs="Times New Roman"/>
          <w:sz w:val="28"/>
        </w:rPr>
        <w:t>El “Acuerdo Relativo a la Adopción de Reglamentos Técnicos Armonizados de las Naciones Unidas aplicables a los vehículos de ruedas y los equipos y piezas que puedan montarse o utilizarse en estos, y sobre</w:t>
      </w:r>
      <w:r w:rsidRPr="00E00F43">
        <w:rPr>
          <w:rFonts w:ascii="Times New Roman" w:hAnsi="Times New Roman" w:cs="Times New Roman"/>
          <w:sz w:val="28"/>
        </w:rPr>
        <w:t xml:space="preserve"> las condiciones de reconocimiento recíproco de las homologaciones concedidas conforme a dichos reglamentos de las Naciones Unidas” es parte de la normatividad internacional general reguladora de la actividad de los vehículos de motor. Corresponde a la Rev</w:t>
      </w:r>
      <w:r w:rsidRPr="00E00F43">
        <w:rPr>
          <w:rFonts w:ascii="Times New Roman" w:hAnsi="Times New Roman" w:cs="Times New Roman"/>
          <w:sz w:val="28"/>
        </w:rPr>
        <w:t>isión 3 (versión más actualizada) del instrumento internacional adoptado en Ginebra, el 20 de marzo de 1958, por iniciativa de la Comisión Económica para Europa de las Naciones Unidas, originalmente titulado “Acuerdo relativo a la adopción de condiciones u</w:t>
      </w:r>
      <w:r w:rsidRPr="00E00F43">
        <w:rPr>
          <w:rFonts w:ascii="Times New Roman" w:hAnsi="Times New Roman" w:cs="Times New Roman"/>
          <w:sz w:val="28"/>
        </w:rPr>
        <w:t>niformes de homologaciones y reconocimiento recíproco de la homologación de equipos y piezas de vehículos de motor” y comúnmente conocido como el “Acuerdo de 1958”.</w:t>
      </w:r>
    </w:p>
    <w:p w:rsidR="0070342E" w:rsidRPr="00E00F43" w:rsidRDefault="00E00F43" w:rsidP="001E11D7">
      <w:pPr>
        <w:pStyle w:val="Ttulo"/>
        <w:numPr>
          <w:ilvl w:val="0"/>
          <w:numId w:val="0"/>
        </w:numPr>
        <w:rPr>
          <w:rFonts w:ascii="Times New Roman" w:hAnsi="Times New Roman" w:cs="Times New Roman"/>
          <w:sz w:val="28"/>
          <w:lang w:eastAsia="es-CO"/>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 </w:t>
      </w:r>
      <w:r w:rsidRPr="00E00F43">
        <w:rPr>
          <w:rFonts w:ascii="Times New Roman" w:hAnsi="Times New Roman" w:cs="Times New Roman"/>
          <w:sz w:val="28"/>
        </w:rPr>
        <w:t xml:space="preserve">La Revisión 3 del “Acuerdo de 1958” entró en vigor el 14 de septiembre de 2017 y es uno </w:t>
      </w:r>
      <w:r w:rsidRPr="00E00F43">
        <w:rPr>
          <w:rFonts w:ascii="Times New Roman" w:hAnsi="Times New Roman" w:cs="Times New Roman"/>
          <w:sz w:val="28"/>
        </w:rPr>
        <w:t>de los instrumentos administrados por el Foro Mundial para la Armonización de la Reglamentación sobre Vehículos, reconocido con las siglas WP.29. Con este tratado, se fijan las reglas de procedimiento para establecer, adoptar o aplicar los reglamentos de l</w:t>
      </w:r>
      <w:r w:rsidRPr="00E00F43">
        <w:rPr>
          <w:rFonts w:ascii="Times New Roman" w:hAnsi="Times New Roman" w:cs="Times New Roman"/>
          <w:sz w:val="28"/>
        </w:rPr>
        <w:t>a ONU que versarán sobre las condiciones técnicas de: (i) el rendimiento de los vehículos de motor, así como los sistemas y partes usadas en éstos</w:t>
      </w:r>
      <w:r w:rsidRPr="00E00F43">
        <w:rPr>
          <w:rFonts w:ascii="Times New Roman" w:hAnsi="Times New Roman" w:cs="Times New Roman"/>
          <w:sz w:val="28"/>
        </w:rPr>
        <w:t>,</w:t>
      </w:r>
      <w:r w:rsidRPr="00E00F43">
        <w:rPr>
          <w:rFonts w:ascii="Times New Roman" w:hAnsi="Times New Roman" w:cs="Times New Roman"/>
          <w:sz w:val="28"/>
        </w:rPr>
        <w:t xml:space="preserve"> y (ii) el otorgamiento de las homologaciones de estos equipos que hagan los Estados y el reconocimiento mutu</w:t>
      </w:r>
      <w:r w:rsidRPr="00E00F43">
        <w:rPr>
          <w:rFonts w:ascii="Times New Roman" w:hAnsi="Times New Roman" w:cs="Times New Roman"/>
          <w:sz w:val="28"/>
        </w:rPr>
        <w:t>o de las mismas. De este modo, el instrumento procura la uniformidad normativa en materia de rendimiento vehicular, a través de la estandarización de las condiciones de funcionamiento que serán exigidas por los Estados parte.</w:t>
      </w:r>
    </w:p>
    <w:p w:rsidR="00021E63" w:rsidRPr="00E00F43" w:rsidRDefault="00E00F43" w:rsidP="001E11D7">
      <w:pPr>
        <w:pStyle w:val="Ttulo"/>
        <w:numPr>
          <w:ilvl w:val="0"/>
          <w:numId w:val="0"/>
        </w:numPr>
        <w:rPr>
          <w:rFonts w:ascii="Times New Roman" w:hAnsi="Times New Roman" w:cs="Times New Roman"/>
          <w:sz w:val="28"/>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 </w:t>
      </w:r>
      <w:r w:rsidRPr="00E00F43">
        <w:rPr>
          <w:rFonts w:ascii="Times New Roman" w:hAnsi="Times New Roman" w:cs="Times New Roman"/>
          <w:sz w:val="28"/>
        </w:rPr>
        <w:t>La importancia y finalidades</w:t>
      </w:r>
      <w:r w:rsidRPr="00E00F43">
        <w:rPr>
          <w:rFonts w:ascii="Times New Roman" w:hAnsi="Times New Roman" w:cs="Times New Roman"/>
          <w:sz w:val="28"/>
        </w:rPr>
        <w:t xml:space="preserve"> del Acuerdo están asociadas, entonces, a las misiones mismas del Foro Mundial WP.29, relacionadas con la adopción de las mejores prácticas posibles en materia de seguridad vial y personal, protección del medio ambiente, cooperación comercial, intercambio </w:t>
      </w:r>
      <w:r w:rsidRPr="00E00F43">
        <w:rPr>
          <w:rFonts w:ascii="Times New Roman" w:hAnsi="Times New Roman" w:cs="Times New Roman"/>
          <w:sz w:val="28"/>
        </w:rPr>
        <w:t>de prácticas y conocimientos técnicos, y la armonización derivada de la estandarización de procedimientos y condiciones de funcionamiento de los automotores, con miras a mejorar la vida cotidiana de las personas</w:t>
      </w:r>
      <w:r w:rsidRPr="00E00F43">
        <w:rPr>
          <w:rStyle w:val="Refdenotaalpie"/>
          <w:rFonts w:ascii="Times New Roman" w:hAnsi="Times New Roman"/>
          <w:bCs/>
          <w:sz w:val="28"/>
        </w:rPr>
        <w:footnoteReference w:id="79"/>
      </w:r>
      <w:r w:rsidRPr="00E00F43">
        <w:rPr>
          <w:rFonts w:ascii="Times New Roman" w:hAnsi="Times New Roman" w:cs="Times New Roman"/>
          <w:sz w:val="28"/>
        </w:rPr>
        <w:t>.</w:t>
      </w:r>
    </w:p>
    <w:p w:rsidR="00021E63" w:rsidRPr="00E00F43" w:rsidRDefault="00E00F43" w:rsidP="001E11D7">
      <w:pPr>
        <w:pStyle w:val="Ttulo"/>
        <w:numPr>
          <w:ilvl w:val="0"/>
          <w:numId w:val="0"/>
        </w:numPr>
        <w:rPr>
          <w:rFonts w:ascii="Times New Roman" w:hAnsi="Times New Roman" w:cs="Times New Roman"/>
          <w:sz w:val="28"/>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 </w:t>
      </w:r>
      <w:r w:rsidRPr="00E00F43">
        <w:rPr>
          <w:rFonts w:ascii="Times New Roman" w:hAnsi="Times New Roman" w:cs="Times New Roman"/>
          <w:sz w:val="28"/>
        </w:rPr>
        <w:t xml:space="preserve">En este contexto, resulta importante traer a colación la exposición de motivos presentada por el </w:t>
      </w:r>
      <w:r w:rsidRPr="00E00F43">
        <w:rPr>
          <w:rFonts w:ascii="Times New Roman" w:hAnsi="Times New Roman" w:cs="Times New Roman"/>
          <w:sz w:val="28"/>
        </w:rPr>
        <w:t>Gobierno</w:t>
      </w:r>
      <w:r w:rsidRPr="00E00F43">
        <w:rPr>
          <w:rFonts w:ascii="Times New Roman" w:hAnsi="Times New Roman" w:cs="Times New Roman"/>
          <w:sz w:val="28"/>
        </w:rPr>
        <w:t xml:space="preserve"> nacional junto con el proyecto que terminaría en la Ley 2290 de 2023</w:t>
      </w:r>
      <w:r w:rsidRPr="00E00F43">
        <w:rPr>
          <w:rStyle w:val="Refdenotaalpie"/>
          <w:rFonts w:ascii="Times New Roman" w:hAnsi="Times New Roman"/>
          <w:bCs/>
          <w:sz w:val="28"/>
        </w:rPr>
        <w:footnoteReference w:id="80"/>
      </w:r>
      <w:r w:rsidRPr="00E00F43">
        <w:rPr>
          <w:rFonts w:ascii="Times New Roman" w:hAnsi="Times New Roman" w:cs="Times New Roman"/>
          <w:sz w:val="28"/>
        </w:rPr>
        <w:t xml:space="preserve">. Allí se resalta la relevancia del instrumento internacional y la justificación </w:t>
      </w:r>
      <w:r w:rsidRPr="00E00F43">
        <w:rPr>
          <w:rFonts w:ascii="Times New Roman" w:hAnsi="Times New Roman" w:cs="Times New Roman"/>
          <w:sz w:val="28"/>
        </w:rPr>
        <w:t>de la adhesión de Colombia al mismo. En particular, se destaca la relación del Acuerdo de 1958 con la protección del derecho a la vida y la integridad humana, especialmente en el ámbito de la siniestralidad vial. Sobre esto último, se afirma que la acciden</w:t>
      </w:r>
      <w:r w:rsidRPr="00E00F43">
        <w:rPr>
          <w:rFonts w:ascii="Times New Roman" w:hAnsi="Times New Roman" w:cs="Times New Roman"/>
          <w:sz w:val="28"/>
        </w:rPr>
        <w:t>talidad en las vías es una problemática global, que causa millones de muertes anuales, y que en Colombia esta situación significó, para el año 2019, 6826 muertes humanas y 36812 personas lesionadas.</w:t>
      </w:r>
    </w:p>
    <w:p w:rsidR="00021E63" w:rsidRPr="00E00F43" w:rsidRDefault="00E00F43" w:rsidP="001E11D7">
      <w:pPr>
        <w:pStyle w:val="Ttulo"/>
        <w:numPr>
          <w:ilvl w:val="0"/>
          <w:numId w:val="0"/>
        </w:numPr>
        <w:rPr>
          <w:rFonts w:ascii="Times New Roman" w:hAnsi="Times New Roman" w:cs="Times New Roman"/>
          <w:sz w:val="28"/>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 </w:t>
      </w:r>
      <w:r w:rsidRPr="00E00F43">
        <w:rPr>
          <w:rFonts w:ascii="Times New Roman" w:hAnsi="Times New Roman" w:cs="Times New Roman"/>
          <w:sz w:val="28"/>
        </w:rPr>
        <w:t xml:space="preserve">Asimismo, el </w:t>
      </w:r>
      <w:r w:rsidRPr="00E00F43">
        <w:rPr>
          <w:rFonts w:ascii="Times New Roman" w:hAnsi="Times New Roman" w:cs="Times New Roman"/>
          <w:sz w:val="28"/>
        </w:rPr>
        <w:t>Gobierno</w:t>
      </w:r>
      <w:r w:rsidRPr="00E00F43">
        <w:rPr>
          <w:rFonts w:ascii="Times New Roman" w:hAnsi="Times New Roman" w:cs="Times New Roman"/>
          <w:sz w:val="28"/>
        </w:rPr>
        <w:t xml:space="preserve"> nacional explicó, por un lado, qu</w:t>
      </w:r>
      <w:r w:rsidRPr="00E00F43">
        <w:rPr>
          <w:rFonts w:ascii="Times New Roman" w:hAnsi="Times New Roman" w:cs="Times New Roman"/>
          <w:sz w:val="28"/>
        </w:rPr>
        <w:t>e ha implementado acciones basadas en el enfoque del “Sistema Seguro”, con miras a reducir la accidentalidad y enfrentar sus consecuencias. Esta labor incluye mejorar la seguridad de los vehículos automotores y la infraestructura vial, así como promover ca</w:t>
      </w:r>
      <w:r w:rsidRPr="00E00F43">
        <w:rPr>
          <w:rFonts w:ascii="Times New Roman" w:hAnsi="Times New Roman" w:cs="Times New Roman"/>
          <w:sz w:val="28"/>
        </w:rPr>
        <w:t>mbios de comportamiento en los actores viales. Por otro lado, se destaca la relevancia de adoptar estándares internacionales de seguridad en los vehículos, a lo que contribuiría significativamente la adhesión de Colombia al Acuerdo de 1958 de la Organizaci</w:t>
      </w:r>
      <w:r w:rsidRPr="00E00F43">
        <w:rPr>
          <w:rFonts w:ascii="Times New Roman" w:hAnsi="Times New Roman" w:cs="Times New Roman"/>
          <w:sz w:val="28"/>
        </w:rPr>
        <w:t xml:space="preserve">ón de las Naciones Unidas. Para el </w:t>
      </w:r>
      <w:r w:rsidRPr="00E00F43">
        <w:rPr>
          <w:rFonts w:ascii="Times New Roman" w:hAnsi="Times New Roman" w:cs="Times New Roman"/>
          <w:sz w:val="28"/>
        </w:rPr>
        <w:t>Gobierno</w:t>
      </w:r>
      <w:r w:rsidRPr="00E00F43">
        <w:rPr>
          <w:rFonts w:ascii="Times New Roman" w:hAnsi="Times New Roman" w:cs="Times New Roman"/>
          <w:sz w:val="28"/>
        </w:rPr>
        <w:t xml:space="preserve"> nacional, este instrumento internacional proporciona un marco regulatorio que mejora las condiciones para la fabricación y homologación de vehículos, sus partes y equipos, lo que ayudaría a garantizar un alto niv</w:t>
      </w:r>
      <w:r w:rsidRPr="00E00F43">
        <w:rPr>
          <w:rFonts w:ascii="Times New Roman" w:hAnsi="Times New Roman" w:cs="Times New Roman"/>
          <w:sz w:val="28"/>
        </w:rPr>
        <w:t>el de seguridad y protección ambiental.</w:t>
      </w:r>
    </w:p>
    <w:p w:rsidR="00021E63" w:rsidRPr="00E00F43" w:rsidRDefault="00E00F43" w:rsidP="001E11D7">
      <w:pPr>
        <w:pStyle w:val="Ttulo"/>
        <w:numPr>
          <w:ilvl w:val="0"/>
          <w:numId w:val="0"/>
        </w:numPr>
        <w:rPr>
          <w:rFonts w:ascii="Times New Roman" w:hAnsi="Times New Roman" w:cs="Times New Roman"/>
          <w:sz w:val="28"/>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 </w:t>
      </w:r>
      <w:r w:rsidRPr="00E00F43">
        <w:rPr>
          <w:rFonts w:ascii="Times New Roman" w:hAnsi="Times New Roman" w:cs="Times New Roman"/>
          <w:sz w:val="28"/>
        </w:rPr>
        <w:t xml:space="preserve">En ese sentido, se indica que en el país existe la necesidad de armonizar la regulación vehicular con los estándares internacionales, lo cual es parte del Plan Nacional de Seguridad Vial. Esto no solo mejoraría la </w:t>
      </w:r>
      <w:r w:rsidRPr="00E00F43">
        <w:rPr>
          <w:rFonts w:ascii="Times New Roman" w:hAnsi="Times New Roman" w:cs="Times New Roman"/>
          <w:sz w:val="28"/>
        </w:rPr>
        <w:t>seguridad en las carreteras, sino que facilitaría el comercio internacional y promovería el desarrollo tecnológico y económico, sobre todo en la industria automotriz. Por tanto, se insiste en que el Acuerdo de 1958 es altamente ventajoso para la nación.</w:t>
      </w:r>
    </w:p>
    <w:p w:rsidR="00E86496" w:rsidRPr="00E00F43" w:rsidRDefault="00E00F43" w:rsidP="001E11D7">
      <w:pPr>
        <w:pStyle w:val="Ttulo"/>
        <w:numPr>
          <w:ilvl w:val="0"/>
          <w:numId w:val="0"/>
        </w:numPr>
        <w:rPr>
          <w:rFonts w:ascii="Times New Roman" w:hAnsi="Times New Roman" w:cs="Times New Roman"/>
          <w:sz w:val="28"/>
          <w:lang w:eastAsia="es-CO"/>
        </w:rPr>
      </w:pPr>
    </w:p>
    <w:p w:rsidR="00E86496"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lang w:eastAsia="es-CO"/>
        </w:rPr>
        <w:t xml:space="preserve"> </w:t>
      </w:r>
      <w:r w:rsidRPr="00E00F43">
        <w:rPr>
          <w:rFonts w:ascii="Times New Roman" w:hAnsi="Times New Roman" w:cs="Times New Roman"/>
          <w:sz w:val="28"/>
          <w:lang w:eastAsia="es-CO"/>
        </w:rPr>
        <w:t xml:space="preserve">Desde la perspectiva </w:t>
      </w:r>
      <w:r w:rsidRPr="00E00F43">
        <w:rPr>
          <w:rFonts w:ascii="Times New Roman" w:hAnsi="Times New Roman" w:cs="Times New Roman"/>
          <w:sz w:val="28"/>
          <w:lang w:eastAsia="es-CO"/>
        </w:rPr>
        <w:t xml:space="preserve">de las razones por las que este instrumento sería especialmente relevante para Colombia y, por ende, la necesidad de su adopción, se señala que </w:t>
      </w:r>
      <w:r w:rsidRPr="00E00F43">
        <w:rPr>
          <w:rFonts w:ascii="Times New Roman" w:hAnsi="Times New Roman" w:cs="Times New Roman"/>
          <w:sz w:val="28"/>
          <w:lang w:eastAsia="es-CO"/>
        </w:rPr>
        <w:t>acoger</w:t>
      </w:r>
      <w:r w:rsidRPr="00E00F43">
        <w:rPr>
          <w:rFonts w:ascii="Times New Roman" w:hAnsi="Times New Roman" w:cs="Times New Roman"/>
          <w:sz w:val="28"/>
          <w:lang w:eastAsia="es-CO"/>
        </w:rPr>
        <w:t xml:space="preserve"> los reglamentos ONU y </w:t>
      </w:r>
      <w:r w:rsidRPr="00E00F43">
        <w:rPr>
          <w:rFonts w:ascii="Times New Roman" w:hAnsi="Times New Roman" w:cs="Times New Roman"/>
          <w:sz w:val="28"/>
          <w:lang w:eastAsia="es-CO"/>
        </w:rPr>
        <w:t xml:space="preserve">contribuir </w:t>
      </w:r>
      <w:r w:rsidRPr="00E00F43">
        <w:rPr>
          <w:rFonts w:ascii="Times New Roman" w:hAnsi="Times New Roman" w:cs="Times New Roman"/>
          <w:sz w:val="28"/>
          <w:lang w:eastAsia="es-CO"/>
        </w:rPr>
        <w:t>en su diseño e implementación, con miras al mejoram</w:t>
      </w:r>
      <w:r w:rsidRPr="00E00F43">
        <w:rPr>
          <w:rFonts w:ascii="Times New Roman" w:hAnsi="Times New Roman" w:cs="Times New Roman"/>
          <w:sz w:val="28"/>
          <w:lang w:eastAsia="es-CO"/>
        </w:rPr>
        <w:t>iento de la seguridad vial, conlleva</w:t>
      </w:r>
      <w:r w:rsidRPr="00E00F43">
        <w:rPr>
          <w:rFonts w:ascii="Times New Roman" w:hAnsi="Times New Roman" w:cs="Times New Roman"/>
          <w:sz w:val="28"/>
          <w:lang w:eastAsia="es-CO"/>
        </w:rPr>
        <w:t xml:space="preserve"> para el país </w:t>
      </w:r>
      <w:r w:rsidRPr="00E00F43">
        <w:rPr>
          <w:rFonts w:ascii="Times New Roman" w:hAnsi="Times New Roman" w:cs="Times New Roman"/>
          <w:sz w:val="28"/>
          <w:lang w:eastAsia="es-CO"/>
        </w:rPr>
        <w:t xml:space="preserve">la reducción de impactos negativos en la salud y aumenta las posibilidades de salvar vidas y prevenir las distintas discapacidades que pueden ser generadas por los accidentes de tránsito. Sobre todo, </w:t>
      </w:r>
      <w:r w:rsidRPr="00E00F43">
        <w:rPr>
          <w:rFonts w:ascii="Times New Roman" w:hAnsi="Times New Roman" w:cs="Times New Roman"/>
          <w:sz w:val="28"/>
          <w:lang w:eastAsia="es-CO"/>
        </w:rPr>
        <w:t xml:space="preserve">ante </w:t>
      </w:r>
      <w:r w:rsidRPr="00E00F43">
        <w:rPr>
          <w:rFonts w:ascii="Times New Roman" w:hAnsi="Times New Roman" w:cs="Times New Roman"/>
          <w:sz w:val="28"/>
          <w:lang w:eastAsia="es-CO"/>
        </w:rPr>
        <w:t>l</w:t>
      </w:r>
      <w:r w:rsidRPr="00E00F43">
        <w:rPr>
          <w:rFonts w:ascii="Times New Roman" w:hAnsi="Times New Roman" w:cs="Times New Roman"/>
          <w:sz w:val="28"/>
          <w:lang w:eastAsia="es-CO"/>
        </w:rPr>
        <w:t>a</w:t>
      </w:r>
      <w:r w:rsidRPr="00E00F43">
        <w:rPr>
          <w:rFonts w:ascii="Times New Roman" w:hAnsi="Times New Roman" w:cs="Times New Roman"/>
          <w:sz w:val="28"/>
          <w:lang w:eastAsia="es-CO"/>
        </w:rPr>
        <w:t xml:space="preserve"> lamentable</w:t>
      </w:r>
      <w:r w:rsidRPr="00E00F43">
        <w:rPr>
          <w:rFonts w:ascii="Times New Roman" w:hAnsi="Times New Roman" w:cs="Times New Roman"/>
          <w:sz w:val="28"/>
          <w:lang w:eastAsia="es-CO"/>
        </w:rPr>
        <w:t xml:space="preserve"> realidad</w:t>
      </w:r>
      <w:r w:rsidRPr="00E00F43">
        <w:rPr>
          <w:rFonts w:ascii="Times New Roman" w:hAnsi="Times New Roman" w:cs="Times New Roman"/>
          <w:sz w:val="28"/>
          <w:lang w:eastAsia="es-CO"/>
        </w:rPr>
        <w:t xml:space="preserve"> nacional </w:t>
      </w:r>
      <w:r w:rsidRPr="00E00F43">
        <w:rPr>
          <w:rFonts w:ascii="Times New Roman" w:hAnsi="Times New Roman" w:cs="Times New Roman"/>
          <w:sz w:val="28"/>
          <w:lang w:eastAsia="es-CO"/>
        </w:rPr>
        <w:t>que muestra una altísima tasa de accidentes con lesiones y personas fallecidas</w:t>
      </w:r>
      <w:r w:rsidRPr="00E00F43">
        <w:rPr>
          <w:rFonts w:ascii="Times New Roman" w:hAnsi="Times New Roman" w:cs="Times New Roman"/>
          <w:sz w:val="28"/>
          <w:lang w:eastAsia="es-CO"/>
        </w:rPr>
        <w:t>,</w:t>
      </w:r>
      <w:r w:rsidRPr="00E00F43">
        <w:rPr>
          <w:rFonts w:ascii="Times New Roman" w:hAnsi="Times New Roman" w:cs="Times New Roman"/>
          <w:sz w:val="28"/>
          <w:lang w:eastAsia="es-CO"/>
        </w:rPr>
        <w:t xml:space="preserve"> cuando</w:t>
      </w:r>
      <w:r w:rsidRPr="00E00F43">
        <w:rPr>
          <w:rFonts w:ascii="Times New Roman" w:hAnsi="Times New Roman" w:cs="Times New Roman"/>
          <w:sz w:val="28"/>
          <w:lang w:eastAsia="es-CO"/>
        </w:rPr>
        <w:t xml:space="preserve"> </w:t>
      </w:r>
      <w:r w:rsidRPr="00E00F43">
        <w:rPr>
          <w:rFonts w:ascii="Times New Roman" w:hAnsi="Times New Roman" w:cs="Times New Roman"/>
          <w:sz w:val="28"/>
          <w:lang w:eastAsia="es-CO"/>
        </w:rPr>
        <w:t xml:space="preserve">están involucrados </w:t>
      </w:r>
      <w:r w:rsidRPr="00E00F43">
        <w:rPr>
          <w:rFonts w:ascii="Times New Roman" w:hAnsi="Times New Roman" w:cs="Times New Roman"/>
          <w:sz w:val="28"/>
          <w:lang w:eastAsia="es-CO"/>
        </w:rPr>
        <w:t xml:space="preserve">vehículos automotores. Asimismo, se destaca que el tratado </w:t>
      </w:r>
      <w:r w:rsidRPr="00E00F43">
        <w:rPr>
          <w:rFonts w:ascii="Times New Roman" w:hAnsi="Times New Roman" w:cs="Times New Roman"/>
          <w:sz w:val="28"/>
          <w:lang w:eastAsia="es-CO"/>
        </w:rPr>
        <w:t xml:space="preserve">bajo estudio </w:t>
      </w:r>
      <w:r w:rsidRPr="00E00F43">
        <w:rPr>
          <w:rFonts w:ascii="Times New Roman" w:hAnsi="Times New Roman" w:cs="Times New Roman"/>
          <w:sz w:val="28"/>
          <w:lang w:eastAsia="es-CO"/>
        </w:rPr>
        <w:t xml:space="preserve">implica </w:t>
      </w:r>
      <w:r w:rsidRPr="00E00F43">
        <w:rPr>
          <w:rFonts w:ascii="Times New Roman" w:hAnsi="Times New Roman" w:cs="Times New Roman"/>
          <w:sz w:val="28"/>
          <w:lang w:eastAsia="es-CO"/>
        </w:rPr>
        <w:t>impactos</w:t>
      </w:r>
      <w:r w:rsidRPr="00E00F43">
        <w:rPr>
          <w:rFonts w:ascii="Times New Roman" w:hAnsi="Times New Roman" w:cs="Times New Roman"/>
          <w:sz w:val="28"/>
          <w:lang w:eastAsia="es-CO"/>
        </w:rPr>
        <w:t xml:space="preserve"> económicos </w:t>
      </w:r>
      <w:r w:rsidRPr="00E00F43">
        <w:rPr>
          <w:rFonts w:ascii="Times New Roman" w:hAnsi="Times New Roman" w:cs="Times New Roman"/>
          <w:sz w:val="28"/>
          <w:lang w:eastAsia="es-CO"/>
        </w:rPr>
        <w:t>positivo</w:t>
      </w:r>
      <w:r w:rsidRPr="00E00F43">
        <w:rPr>
          <w:rFonts w:ascii="Times New Roman" w:hAnsi="Times New Roman" w:cs="Times New Roman"/>
          <w:sz w:val="28"/>
          <w:lang w:eastAsia="es-CO"/>
        </w:rPr>
        <w:t>s en términ</w:t>
      </w:r>
      <w:r w:rsidRPr="00E00F43">
        <w:rPr>
          <w:rFonts w:ascii="Times New Roman" w:hAnsi="Times New Roman" w:cs="Times New Roman"/>
          <w:sz w:val="28"/>
          <w:lang w:eastAsia="es-CO"/>
        </w:rPr>
        <w:t xml:space="preserve">os de ingresos, generación de empleo e intercambio comercial, </w:t>
      </w:r>
      <w:r w:rsidRPr="00E00F43">
        <w:rPr>
          <w:rFonts w:ascii="Times New Roman" w:hAnsi="Times New Roman" w:cs="Times New Roman"/>
          <w:sz w:val="28"/>
          <w:lang w:eastAsia="es-CO"/>
        </w:rPr>
        <w:t>por</w:t>
      </w:r>
      <w:r w:rsidRPr="00E00F43">
        <w:rPr>
          <w:rFonts w:ascii="Times New Roman" w:hAnsi="Times New Roman" w:cs="Times New Roman"/>
          <w:sz w:val="28"/>
          <w:lang w:eastAsia="es-CO"/>
        </w:rPr>
        <w:t xml:space="preserve"> la participación e interacción industrial que el </w:t>
      </w:r>
      <w:r w:rsidRPr="00E00F43">
        <w:rPr>
          <w:rFonts w:ascii="Times New Roman" w:hAnsi="Times New Roman" w:cs="Times New Roman"/>
          <w:sz w:val="28"/>
          <w:lang w:eastAsia="es-CO"/>
        </w:rPr>
        <w:t>a</w:t>
      </w:r>
      <w:r w:rsidRPr="00E00F43">
        <w:rPr>
          <w:rFonts w:ascii="Times New Roman" w:hAnsi="Times New Roman" w:cs="Times New Roman"/>
          <w:sz w:val="28"/>
          <w:lang w:eastAsia="es-CO"/>
        </w:rPr>
        <w:t>cuerdo promueve</w:t>
      </w:r>
      <w:r w:rsidRPr="00E00F43">
        <w:rPr>
          <w:rFonts w:ascii="Times New Roman" w:hAnsi="Times New Roman" w:cs="Times New Roman"/>
          <w:sz w:val="28"/>
          <w:lang w:eastAsia="es-CO"/>
        </w:rPr>
        <w:t xml:space="preserve"> entre los Estados parte</w:t>
      </w:r>
      <w:r w:rsidRPr="00E00F43">
        <w:rPr>
          <w:rFonts w:ascii="Times New Roman" w:hAnsi="Times New Roman" w:cs="Times New Roman"/>
          <w:sz w:val="28"/>
          <w:lang w:eastAsia="es-CO"/>
        </w:rPr>
        <w:t xml:space="preserve">. </w:t>
      </w:r>
    </w:p>
    <w:p w:rsidR="00BE2120" w:rsidRPr="00E00F43" w:rsidRDefault="00E00F43" w:rsidP="001E11D7">
      <w:pPr>
        <w:pStyle w:val="Ttulo"/>
        <w:numPr>
          <w:ilvl w:val="0"/>
          <w:numId w:val="0"/>
        </w:numPr>
        <w:rPr>
          <w:rFonts w:ascii="Times New Roman" w:hAnsi="Times New Roman" w:cs="Times New Roman"/>
          <w:sz w:val="28"/>
          <w:lang w:eastAsia="es-CO"/>
        </w:rPr>
      </w:pPr>
    </w:p>
    <w:p w:rsidR="002D107F"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lang w:eastAsia="es-CO"/>
        </w:rPr>
        <w:t xml:space="preserve"> </w:t>
      </w:r>
      <w:r w:rsidRPr="00E00F43">
        <w:rPr>
          <w:rFonts w:ascii="Times New Roman" w:hAnsi="Times New Roman" w:cs="Times New Roman"/>
          <w:sz w:val="28"/>
          <w:lang w:eastAsia="es-CO"/>
        </w:rPr>
        <w:t xml:space="preserve">Finalmente, en relación con los beneficios </w:t>
      </w:r>
      <w:r w:rsidRPr="00E00F43">
        <w:rPr>
          <w:rFonts w:ascii="Times New Roman" w:hAnsi="Times New Roman" w:cs="Times New Roman"/>
          <w:sz w:val="28"/>
          <w:lang w:eastAsia="es-CO"/>
        </w:rPr>
        <w:t xml:space="preserve">concretos </w:t>
      </w:r>
      <w:r w:rsidRPr="00E00F43">
        <w:rPr>
          <w:rFonts w:ascii="Times New Roman" w:hAnsi="Times New Roman" w:cs="Times New Roman"/>
          <w:sz w:val="28"/>
          <w:lang w:eastAsia="es-CO"/>
        </w:rPr>
        <w:t xml:space="preserve">que traería para Colombia la adhesión al tratado, se resaltan al menos </w:t>
      </w:r>
      <w:r w:rsidRPr="00E00F43">
        <w:rPr>
          <w:rFonts w:ascii="Times New Roman" w:hAnsi="Times New Roman" w:cs="Times New Roman"/>
          <w:sz w:val="28"/>
          <w:lang w:eastAsia="es-CO"/>
        </w:rPr>
        <w:t>siete</w:t>
      </w:r>
      <w:r w:rsidRPr="00E00F43">
        <w:rPr>
          <w:rFonts w:ascii="Times New Roman" w:hAnsi="Times New Roman" w:cs="Times New Roman"/>
          <w:sz w:val="28"/>
          <w:lang w:eastAsia="es-CO"/>
        </w:rPr>
        <w:t xml:space="preserve"> aspectos de trascendencia: (i) mejoramiento en la seguridad de los vehículos que circulan en el territorio nacional; (ii) eficiencia administrativa al </w:t>
      </w:r>
      <w:r w:rsidRPr="00E00F43">
        <w:rPr>
          <w:rFonts w:ascii="Times New Roman" w:hAnsi="Times New Roman" w:cs="Times New Roman"/>
          <w:sz w:val="28"/>
          <w:lang w:eastAsia="es-CO"/>
        </w:rPr>
        <w:t>estandarizar la regulación</w:t>
      </w:r>
      <w:r w:rsidRPr="00E00F43">
        <w:rPr>
          <w:rFonts w:ascii="Times New Roman" w:hAnsi="Times New Roman" w:cs="Times New Roman"/>
          <w:sz w:val="28"/>
          <w:lang w:eastAsia="es-CO"/>
        </w:rPr>
        <w:t xml:space="preserve">; </w:t>
      </w:r>
      <w:r w:rsidRPr="00E00F43">
        <w:rPr>
          <w:rFonts w:ascii="Times New Roman" w:hAnsi="Times New Roman" w:cs="Times New Roman"/>
          <w:sz w:val="28"/>
          <w:lang w:eastAsia="es-CO"/>
        </w:rPr>
        <w:t>(iii) integración regional, pues Colombia sería el primer país de América Latina y el Caribe en adherirse a este instrumento; (iv) generación e intercambio de conocimiento científico, técnico e industrial por la participación en la discusión sobre los está</w:t>
      </w:r>
      <w:r w:rsidRPr="00E00F43">
        <w:rPr>
          <w:rFonts w:ascii="Times New Roman" w:hAnsi="Times New Roman" w:cs="Times New Roman"/>
          <w:sz w:val="28"/>
          <w:lang w:eastAsia="es-CO"/>
        </w:rPr>
        <w:t>ndares internacionales de seguridad vehicular; (v) mejoramiento en las condiciones medioambientales y de seguridad</w:t>
      </w:r>
      <w:r w:rsidRPr="00E00F43">
        <w:rPr>
          <w:rFonts w:ascii="Times New Roman" w:hAnsi="Times New Roman" w:cs="Times New Roman"/>
          <w:sz w:val="28"/>
          <w:lang w:eastAsia="es-CO"/>
        </w:rPr>
        <w:t>, dadas las exigencias de emisión de gases y de fabricación; (vi) ubica a Colombia en un lugar de alto cumplimiento de las recomendaciones int</w:t>
      </w:r>
      <w:r w:rsidRPr="00E00F43">
        <w:rPr>
          <w:rFonts w:ascii="Times New Roman" w:hAnsi="Times New Roman" w:cs="Times New Roman"/>
          <w:sz w:val="28"/>
          <w:lang w:eastAsia="es-CO"/>
        </w:rPr>
        <w:t xml:space="preserve">ernacionales, pues el </w:t>
      </w:r>
      <w:r w:rsidRPr="00E00F43">
        <w:rPr>
          <w:rFonts w:ascii="Times New Roman" w:hAnsi="Times New Roman" w:cs="Times New Roman"/>
          <w:sz w:val="28"/>
          <w:lang w:eastAsia="es-CO"/>
        </w:rPr>
        <w:t>a</w:t>
      </w:r>
      <w:r w:rsidRPr="00E00F43">
        <w:rPr>
          <w:rFonts w:ascii="Times New Roman" w:hAnsi="Times New Roman" w:cs="Times New Roman"/>
          <w:sz w:val="28"/>
          <w:lang w:eastAsia="es-CO"/>
        </w:rPr>
        <w:t xml:space="preserve">cuerdo </w:t>
      </w:r>
      <w:r w:rsidRPr="00E00F43">
        <w:rPr>
          <w:rFonts w:ascii="Times New Roman" w:hAnsi="Times New Roman" w:cs="Times New Roman"/>
          <w:sz w:val="28"/>
          <w:lang w:eastAsia="es-CO"/>
        </w:rPr>
        <w:t xml:space="preserve">entraña la estandarización de </w:t>
      </w:r>
      <w:r w:rsidRPr="00E00F43">
        <w:rPr>
          <w:rFonts w:ascii="Times New Roman" w:hAnsi="Times New Roman" w:cs="Times New Roman"/>
          <w:sz w:val="28"/>
          <w:lang w:eastAsia="es-CO"/>
        </w:rPr>
        <w:t xml:space="preserve">las condiciones de seguridad vial y </w:t>
      </w:r>
      <w:r w:rsidRPr="00E00F43">
        <w:rPr>
          <w:rFonts w:ascii="Times New Roman" w:hAnsi="Times New Roman" w:cs="Times New Roman"/>
          <w:sz w:val="28"/>
          <w:lang w:eastAsia="es-CO"/>
        </w:rPr>
        <w:t>de protección ambiental,</w:t>
      </w:r>
      <w:r w:rsidRPr="00E00F43">
        <w:rPr>
          <w:rFonts w:ascii="Times New Roman" w:hAnsi="Times New Roman" w:cs="Times New Roman"/>
          <w:sz w:val="28"/>
          <w:lang w:eastAsia="es-CO"/>
        </w:rPr>
        <w:t xml:space="preserve"> a partir de directrices de la OMS y de la ONU</w:t>
      </w:r>
      <w:r w:rsidRPr="00E00F43">
        <w:rPr>
          <w:rFonts w:ascii="Times New Roman" w:hAnsi="Times New Roman" w:cs="Times New Roman"/>
          <w:sz w:val="28"/>
          <w:lang w:eastAsia="es-CO"/>
        </w:rPr>
        <w:t>,</w:t>
      </w:r>
      <w:r w:rsidRPr="00E00F43">
        <w:rPr>
          <w:rFonts w:ascii="Times New Roman" w:hAnsi="Times New Roman" w:cs="Times New Roman"/>
          <w:sz w:val="28"/>
          <w:lang w:eastAsia="es-CO"/>
        </w:rPr>
        <w:t xml:space="preserve"> y (vii) </w:t>
      </w:r>
      <w:r w:rsidRPr="00E00F43">
        <w:rPr>
          <w:rFonts w:ascii="Times New Roman" w:hAnsi="Times New Roman" w:cs="Times New Roman"/>
          <w:sz w:val="28"/>
          <w:lang w:eastAsia="es-CO"/>
        </w:rPr>
        <w:t xml:space="preserve">aumento de </w:t>
      </w:r>
      <w:r w:rsidRPr="00E00F43">
        <w:rPr>
          <w:rFonts w:ascii="Times New Roman" w:hAnsi="Times New Roman" w:cs="Times New Roman"/>
          <w:sz w:val="28"/>
          <w:lang w:eastAsia="es-CO"/>
        </w:rPr>
        <w:t>empleabilidad y desarrollo tecnológico</w:t>
      </w:r>
      <w:r w:rsidRPr="00E00F43">
        <w:rPr>
          <w:rFonts w:ascii="Times New Roman" w:hAnsi="Times New Roman" w:cs="Times New Roman"/>
          <w:sz w:val="28"/>
          <w:lang w:eastAsia="es-CO"/>
        </w:rPr>
        <w:t xml:space="preserve"> porque</w:t>
      </w:r>
      <w:r w:rsidRPr="00E00F43">
        <w:rPr>
          <w:rFonts w:ascii="Times New Roman" w:hAnsi="Times New Roman" w:cs="Times New Roman"/>
          <w:sz w:val="28"/>
          <w:lang w:eastAsia="es-CO"/>
        </w:rPr>
        <w:t xml:space="preserve"> este tratado impulsa la</w:t>
      </w:r>
      <w:r w:rsidRPr="00E00F43">
        <w:rPr>
          <w:rFonts w:ascii="Times New Roman" w:hAnsi="Times New Roman" w:cs="Times New Roman"/>
          <w:sz w:val="28"/>
          <w:lang w:eastAsia="es-CO"/>
        </w:rPr>
        <w:t xml:space="preserve"> creación de laboratorios de ensayo en el país y acarrea </w:t>
      </w:r>
      <w:r w:rsidRPr="00E00F43">
        <w:rPr>
          <w:rFonts w:ascii="Times New Roman" w:hAnsi="Times New Roman" w:cs="Times New Roman"/>
          <w:sz w:val="28"/>
          <w:lang w:eastAsia="es-CO"/>
        </w:rPr>
        <w:t xml:space="preserve">el desarrollo de talentos </w:t>
      </w:r>
      <w:r w:rsidRPr="00E00F43">
        <w:rPr>
          <w:rFonts w:ascii="Times New Roman" w:hAnsi="Times New Roman" w:cs="Times New Roman"/>
          <w:sz w:val="28"/>
          <w:lang w:eastAsia="es-CO"/>
        </w:rPr>
        <w:t>en la industria de los automóviles.</w:t>
      </w:r>
      <w:r w:rsidRPr="00E00F43">
        <w:rPr>
          <w:rFonts w:ascii="Times New Roman" w:hAnsi="Times New Roman" w:cs="Times New Roman"/>
          <w:sz w:val="28"/>
          <w:lang w:eastAsia="es-CO"/>
        </w:rPr>
        <w:t xml:space="preserve"> </w:t>
      </w:r>
    </w:p>
    <w:p w:rsidR="002D107F" w:rsidRPr="00E00F43" w:rsidRDefault="00E00F43" w:rsidP="001E11D7">
      <w:pPr>
        <w:pStyle w:val="Ttulo"/>
        <w:numPr>
          <w:ilvl w:val="0"/>
          <w:numId w:val="0"/>
        </w:numPr>
        <w:rPr>
          <w:rFonts w:ascii="Times New Roman" w:hAnsi="Times New Roman" w:cs="Times New Roman"/>
          <w:sz w:val="28"/>
          <w:lang w:eastAsia="es-CO"/>
        </w:rPr>
      </w:pPr>
    </w:p>
    <w:p w:rsidR="00EA1ABB"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lang w:eastAsia="es-CO"/>
        </w:rPr>
        <w:t>Además, para la Corte es claro que esta normatividad, desde el punto de vista del contexto interno, se inscribe en el desarrollo y cump</w:t>
      </w:r>
      <w:r w:rsidRPr="00E00F43">
        <w:rPr>
          <w:rFonts w:ascii="Times New Roman" w:hAnsi="Times New Roman" w:cs="Times New Roman"/>
          <w:sz w:val="28"/>
          <w:lang w:eastAsia="es-CO"/>
        </w:rPr>
        <w:t xml:space="preserve">limiento de la Ley 2251 de 2022; en especial de lo dispuesto en el artículo 3° sobre la obligatoriedad de la reglamentación sobre vehículos automotores, en el que se resaltan al menos dos mandatos relevantes a propósito de la adopción de este tratado: por </w:t>
      </w:r>
      <w:r w:rsidRPr="00E00F43">
        <w:rPr>
          <w:rFonts w:ascii="Times New Roman" w:hAnsi="Times New Roman" w:cs="Times New Roman"/>
          <w:sz w:val="28"/>
          <w:lang w:eastAsia="es-CO"/>
        </w:rPr>
        <w:t xml:space="preserve">un lado, el inciso tercero, según el cual “de manera gradual y en un plazo no mayor a 3 años, el Ministerio de Transporte elaborará un cronograma y el plan de trabajo para la implementación del </w:t>
      </w:r>
      <w:r w:rsidRPr="00E00F43">
        <w:rPr>
          <w:rFonts w:ascii="Times New Roman" w:hAnsi="Times New Roman" w:cs="Times New Roman"/>
          <w:sz w:val="28"/>
          <w:lang w:eastAsia="es-CO"/>
        </w:rPr>
        <w:t>a</w:t>
      </w:r>
      <w:r w:rsidRPr="00E00F43">
        <w:rPr>
          <w:rFonts w:ascii="Times New Roman" w:hAnsi="Times New Roman" w:cs="Times New Roman"/>
          <w:sz w:val="28"/>
          <w:lang w:eastAsia="es-CO"/>
        </w:rPr>
        <w:t>cuerdo de las Naciones Unidas de 1958”; y el parágrafo, en el</w:t>
      </w:r>
      <w:r w:rsidRPr="00E00F43">
        <w:rPr>
          <w:rFonts w:ascii="Times New Roman" w:hAnsi="Times New Roman" w:cs="Times New Roman"/>
          <w:sz w:val="28"/>
          <w:lang w:eastAsia="es-CO"/>
        </w:rPr>
        <w:t xml:space="preserve"> que se indica que “el término de tres años de que trata el presente artículo, comenzará a contar una vez entre en vigencia la norma que ratifique el Acuerdo internacional de las Naciones Unidas sobre vehículos de motor de 1958”</w:t>
      </w:r>
      <w:r w:rsidRPr="00E00F43">
        <w:rPr>
          <w:rStyle w:val="Refdenotaalpie"/>
          <w:rFonts w:ascii="Times New Roman" w:hAnsi="Times New Roman"/>
          <w:bCs/>
          <w:sz w:val="28"/>
          <w:lang w:eastAsia="es-CO"/>
        </w:rPr>
        <w:footnoteReference w:id="81"/>
      </w:r>
      <w:r w:rsidRPr="00E00F43">
        <w:rPr>
          <w:rFonts w:ascii="Times New Roman" w:hAnsi="Times New Roman" w:cs="Times New Roman"/>
          <w:sz w:val="28"/>
          <w:lang w:eastAsia="es-CO"/>
        </w:rPr>
        <w:t>.</w:t>
      </w:r>
    </w:p>
    <w:p w:rsidR="00EA1ABB" w:rsidRPr="00E00F43" w:rsidRDefault="00E00F43" w:rsidP="001E11D7">
      <w:pPr>
        <w:pStyle w:val="Ttulo"/>
        <w:numPr>
          <w:ilvl w:val="0"/>
          <w:numId w:val="0"/>
        </w:numPr>
        <w:rPr>
          <w:rFonts w:ascii="Times New Roman" w:hAnsi="Times New Roman" w:cs="Times New Roman"/>
          <w:sz w:val="28"/>
          <w:lang w:eastAsia="es-CO"/>
        </w:rPr>
      </w:pPr>
    </w:p>
    <w:p w:rsidR="0004348C"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lang w:eastAsia="es-CO"/>
        </w:rPr>
        <w:t xml:space="preserve"> </w:t>
      </w:r>
      <w:r w:rsidRPr="00E00F43">
        <w:rPr>
          <w:rFonts w:ascii="Times New Roman" w:hAnsi="Times New Roman" w:cs="Times New Roman"/>
          <w:sz w:val="28"/>
          <w:lang w:eastAsia="es-CO"/>
        </w:rPr>
        <w:t xml:space="preserve">En resumen, según la </w:t>
      </w:r>
      <w:r w:rsidRPr="00E00F43">
        <w:rPr>
          <w:rFonts w:ascii="Times New Roman" w:hAnsi="Times New Roman" w:cs="Times New Roman"/>
          <w:sz w:val="28"/>
          <w:lang w:eastAsia="es-CO"/>
        </w:rPr>
        <w:t>exposición de motivos, con el Acuerdo de 1958, Revisión 3, Colombia avanza en materia de seguridad vial y vehicular, y se hace partícipe de un escenario internacional de alto nivel, con miras a maximizar la protección</w:t>
      </w:r>
      <w:r w:rsidRPr="00E00F43">
        <w:rPr>
          <w:rFonts w:ascii="Times New Roman" w:hAnsi="Times New Roman" w:cs="Times New Roman"/>
          <w:sz w:val="28"/>
          <w:lang w:eastAsia="es-CO"/>
        </w:rPr>
        <w:t xml:space="preserve"> de</w:t>
      </w:r>
      <w:r w:rsidRPr="00E00F43">
        <w:rPr>
          <w:rFonts w:ascii="Times New Roman" w:hAnsi="Times New Roman" w:cs="Times New Roman"/>
          <w:sz w:val="28"/>
          <w:lang w:eastAsia="es-CO"/>
        </w:rPr>
        <w:t xml:space="preserve"> los derechos humanos que se ven en </w:t>
      </w:r>
      <w:r w:rsidRPr="00E00F43">
        <w:rPr>
          <w:rFonts w:ascii="Times New Roman" w:hAnsi="Times New Roman" w:cs="Times New Roman"/>
          <w:sz w:val="28"/>
          <w:lang w:eastAsia="es-CO"/>
        </w:rPr>
        <w:t xml:space="preserve">riesgo </w:t>
      </w:r>
      <w:r w:rsidRPr="00E00F43">
        <w:rPr>
          <w:rFonts w:ascii="Times New Roman" w:hAnsi="Times New Roman" w:cs="Times New Roman"/>
          <w:sz w:val="28"/>
          <w:lang w:eastAsia="es-CO"/>
        </w:rPr>
        <w:t xml:space="preserve">con </w:t>
      </w:r>
      <w:r w:rsidRPr="00E00F43">
        <w:rPr>
          <w:rFonts w:ascii="Times New Roman" w:hAnsi="Times New Roman" w:cs="Times New Roman"/>
          <w:sz w:val="28"/>
          <w:lang w:eastAsia="es-CO"/>
        </w:rPr>
        <w:t>el uso y circulación de vehículos de ruedas, sus equipos y partes.</w:t>
      </w:r>
      <w:r w:rsidRPr="00E00F43">
        <w:rPr>
          <w:rFonts w:ascii="Times New Roman" w:hAnsi="Times New Roman" w:cs="Times New Roman"/>
          <w:sz w:val="28"/>
          <w:lang w:eastAsia="es-CO"/>
        </w:rPr>
        <w:t xml:space="preserve"> </w:t>
      </w:r>
    </w:p>
    <w:p w:rsidR="00EA1ABB" w:rsidRPr="00E00F43" w:rsidRDefault="00E00F43" w:rsidP="00EA1ABB">
      <w:pPr>
        <w:pStyle w:val="Prrafodelista"/>
        <w:tabs>
          <w:tab w:val="left" w:pos="426"/>
        </w:tabs>
        <w:ind w:left="0"/>
        <w:rPr>
          <w:rFonts w:ascii="Times New Roman" w:hAnsi="Times New Roman" w:cs="Times New Roman"/>
          <w:bCs/>
          <w:sz w:val="28"/>
          <w:szCs w:val="24"/>
          <w:lang w:val="es-ES" w:eastAsia="es-CO"/>
        </w:rPr>
      </w:pPr>
    </w:p>
    <w:p w:rsidR="00021E63" w:rsidRPr="00E00F43" w:rsidRDefault="00E00F43">
      <w:pPr>
        <w:pStyle w:val="Prrafodelista"/>
        <w:numPr>
          <w:ilvl w:val="2"/>
          <w:numId w:val="7"/>
        </w:numPr>
        <w:tabs>
          <w:tab w:val="left" w:pos="426"/>
        </w:tabs>
        <w:ind w:left="0" w:firstLine="0"/>
        <w:rPr>
          <w:rFonts w:ascii="Times New Roman" w:hAnsi="Times New Roman" w:cs="Times New Roman"/>
          <w:bCs/>
          <w:sz w:val="28"/>
          <w:szCs w:val="24"/>
          <w:lang w:val="es-ES" w:eastAsia="es-CO"/>
        </w:rPr>
      </w:pPr>
      <w:r w:rsidRPr="00E00F43">
        <w:rPr>
          <w:rFonts w:ascii="Times New Roman" w:hAnsi="Times New Roman" w:cs="Times New Roman"/>
          <w:b/>
          <w:bCs/>
          <w:sz w:val="28"/>
          <w:szCs w:val="24"/>
          <w:lang w:val="es-ES"/>
        </w:rPr>
        <w:t>El</w:t>
      </w:r>
      <w:r w:rsidRPr="00E00F43">
        <w:rPr>
          <w:rFonts w:ascii="Times New Roman" w:hAnsi="Times New Roman" w:cs="Times New Roman"/>
          <w:b/>
          <w:bCs/>
          <w:sz w:val="28"/>
          <w:szCs w:val="24"/>
          <w:lang w:val="es-ES"/>
        </w:rPr>
        <w:t xml:space="preserve"> contenido del</w:t>
      </w:r>
      <w:r w:rsidRPr="00E00F43">
        <w:rPr>
          <w:rFonts w:ascii="Times New Roman" w:hAnsi="Times New Roman" w:cs="Times New Roman"/>
          <w:b/>
          <w:sz w:val="28"/>
          <w:szCs w:val="24"/>
          <w:lang w:val="es-ES"/>
        </w:rPr>
        <w:t xml:space="preserve"> “Acuerdo Relativo a la Adopción de Reglamentos Técnicos Armonizados de las Naciones Unidas aplicables a los vehículos de ruedas y los equipos y piezas que pued</w:t>
      </w:r>
      <w:r w:rsidRPr="00E00F43">
        <w:rPr>
          <w:rFonts w:ascii="Times New Roman" w:hAnsi="Times New Roman" w:cs="Times New Roman"/>
          <w:b/>
          <w:sz w:val="28"/>
          <w:szCs w:val="24"/>
          <w:lang w:val="es-ES"/>
        </w:rPr>
        <w:t>an montarse o utilizarse en estos, y sobre las condiciones de reconocimiento recíproco de las homologaciones concedidas conforme a dichos reglamentos de las Naciones Unidas”</w:t>
      </w:r>
    </w:p>
    <w:p w:rsidR="00021E63" w:rsidRPr="00E00F43" w:rsidRDefault="00E00F43" w:rsidP="00021E63">
      <w:pPr>
        <w:pStyle w:val="Prrafodelista"/>
        <w:rPr>
          <w:rFonts w:ascii="Times New Roman" w:hAnsi="Times New Roman" w:cs="Times New Roman"/>
          <w:bCs/>
          <w:sz w:val="28"/>
          <w:szCs w:val="24"/>
          <w:lang w:val="es-ES" w:eastAsia="es-CO"/>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 E</w:t>
      </w:r>
      <w:r w:rsidRPr="00E00F43">
        <w:rPr>
          <w:rFonts w:ascii="Times New Roman" w:hAnsi="Times New Roman" w:cs="Times New Roman"/>
          <w:sz w:val="28"/>
        </w:rPr>
        <w:t xml:space="preserve">l </w:t>
      </w:r>
      <w:r w:rsidRPr="00E00F43">
        <w:rPr>
          <w:rFonts w:ascii="Times New Roman" w:hAnsi="Times New Roman" w:cs="Times New Roman"/>
          <w:sz w:val="28"/>
        </w:rPr>
        <w:t>A</w:t>
      </w:r>
      <w:r w:rsidRPr="00E00F43">
        <w:rPr>
          <w:rFonts w:ascii="Times New Roman" w:hAnsi="Times New Roman" w:cs="Times New Roman"/>
          <w:sz w:val="28"/>
        </w:rPr>
        <w:t xml:space="preserve">cuerdo se compone de un preámbulo, 17 artículos, un apéndice y 8 anexos. El </w:t>
      </w:r>
      <w:r w:rsidRPr="00E00F43">
        <w:rPr>
          <w:rFonts w:ascii="Times New Roman" w:hAnsi="Times New Roman" w:cs="Times New Roman"/>
          <w:sz w:val="28"/>
        </w:rPr>
        <w:t xml:space="preserve">artículo 1 consta de 8 numerales, en los que se hace referencia a la manera en la que los Estados parte establecerán los reglamentos ONU sobre los vehículos de ruedas, así como sus equipos y piezas; la conformación de un Comité de Administración; la forma </w:t>
      </w:r>
      <w:r w:rsidRPr="00E00F43">
        <w:rPr>
          <w:rFonts w:ascii="Times New Roman" w:hAnsi="Times New Roman" w:cs="Times New Roman"/>
          <w:sz w:val="28"/>
        </w:rPr>
        <w:t>de notificación de adopción de los reglamentos; la entrada en vigor de los mismos; la posibilidad de abstenerse de aplicar alguno de los reglamentos o frente a los que haya habido abstención previa; e incorpora un listado de definiciones. El artículo 2 est</w:t>
      </w:r>
      <w:r w:rsidRPr="00E00F43">
        <w:rPr>
          <w:rFonts w:ascii="Times New Roman" w:hAnsi="Times New Roman" w:cs="Times New Roman"/>
          <w:sz w:val="28"/>
        </w:rPr>
        <w:t>á conformado por 4 numerales relativos a la concesión de homologaciones de tipo. El artículo 3, a su vez, incluye dos numerales sobre la aceptación en los ordenamientos internos de las homologaciones de tipo que sean expedidas o concedidas conforme a los r</w:t>
      </w:r>
      <w:r w:rsidRPr="00E00F43">
        <w:rPr>
          <w:rFonts w:ascii="Times New Roman" w:hAnsi="Times New Roman" w:cs="Times New Roman"/>
          <w:sz w:val="28"/>
        </w:rPr>
        <w:t>eglamentos ONU.</w:t>
      </w:r>
    </w:p>
    <w:p w:rsidR="00021E63" w:rsidRPr="00E00F43" w:rsidRDefault="00E00F43" w:rsidP="001E11D7">
      <w:pPr>
        <w:pStyle w:val="Ttulo"/>
        <w:numPr>
          <w:ilvl w:val="0"/>
          <w:numId w:val="0"/>
        </w:numPr>
        <w:rPr>
          <w:rFonts w:ascii="Times New Roman" w:hAnsi="Times New Roman" w:cs="Times New Roman"/>
          <w:sz w:val="28"/>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 </w:t>
      </w:r>
      <w:r w:rsidRPr="00E00F43">
        <w:rPr>
          <w:rFonts w:ascii="Times New Roman" w:hAnsi="Times New Roman" w:cs="Times New Roman"/>
          <w:sz w:val="28"/>
        </w:rPr>
        <w:t>El artículo 4 contiene 5 numerales que se refieren a las consecuencias en los casos en los que se advierta que algún vehículo, pieza o equipo cuenta con homologaciones que no son conformes a los reglamentos ONU. El artículo 5, con 3 numer</w:t>
      </w:r>
      <w:r w:rsidRPr="00E00F43">
        <w:rPr>
          <w:rFonts w:ascii="Times New Roman" w:hAnsi="Times New Roman" w:cs="Times New Roman"/>
          <w:sz w:val="28"/>
        </w:rPr>
        <w:t>ales, menciona el modo en que los Estados parte comunicarán sus decisiones de conceder homologaciones de tipo o negarlas. El artículo 6 se refiere a los Estados que podrán ser parte del Acuerdo, así como la manera en la que se realizará la adhesión al mism</w:t>
      </w:r>
      <w:r w:rsidRPr="00E00F43">
        <w:rPr>
          <w:rFonts w:ascii="Times New Roman" w:hAnsi="Times New Roman" w:cs="Times New Roman"/>
          <w:sz w:val="28"/>
        </w:rPr>
        <w:t xml:space="preserve">o. El artículo 7 consta de 3 numerales relativos a la entrada en vigencia del </w:t>
      </w:r>
      <w:r w:rsidRPr="00E00F43">
        <w:rPr>
          <w:rFonts w:ascii="Times New Roman" w:hAnsi="Times New Roman" w:cs="Times New Roman"/>
          <w:sz w:val="28"/>
        </w:rPr>
        <w:t>A</w:t>
      </w:r>
      <w:r w:rsidRPr="00E00F43">
        <w:rPr>
          <w:rFonts w:ascii="Times New Roman" w:hAnsi="Times New Roman" w:cs="Times New Roman"/>
          <w:sz w:val="28"/>
        </w:rPr>
        <w:t xml:space="preserve">cuerdo. El artículo 8 también está contenido en 3 numerales, sobre el trámite y efectos de la denuncia del tratado. El artículo 9 está integrado por 2 numerales referentes a la </w:t>
      </w:r>
      <w:r w:rsidRPr="00E00F43">
        <w:rPr>
          <w:rFonts w:ascii="Times New Roman" w:hAnsi="Times New Roman" w:cs="Times New Roman"/>
          <w:sz w:val="28"/>
        </w:rPr>
        <w:t xml:space="preserve">aplicación territorial del instrumento. El artículo 10 tiene 4 numerales acerca de cómo tramitar las discrepancias entre los Estados parte sobre el contenido del </w:t>
      </w:r>
      <w:r w:rsidRPr="00E00F43">
        <w:rPr>
          <w:rFonts w:ascii="Times New Roman" w:hAnsi="Times New Roman" w:cs="Times New Roman"/>
          <w:sz w:val="28"/>
        </w:rPr>
        <w:t>A</w:t>
      </w:r>
      <w:r w:rsidRPr="00E00F43">
        <w:rPr>
          <w:rFonts w:ascii="Times New Roman" w:hAnsi="Times New Roman" w:cs="Times New Roman"/>
          <w:sz w:val="28"/>
        </w:rPr>
        <w:t xml:space="preserve">cuerdo o de los reglamentos ONU. </w:t>
      </w:r>
    </w:p>
    <w:p w:rsidR="00021E63" w:rsidRPr="00E00F43" w:rsidRDefault="00E00F43" w:rsidP="001E11D7">
      <w:pPr>
        <w:pStyle w:val="Ttulo"/>
        <w:numPr>
          <w:ilvl w:val="0"/>
          <w:numId w:val="0"/>
        </w:numPr>
        <w:rPr>
          <w:rFonts w:ascii="Times New Roman" w:hAnsi="Times New Roman" w:cs="Times New Roman"/>
          <w:sz w:val="28"/>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 </w:t>
      </w:r>
      <w:r w:rsidRPr="00E00F43">
        <w:rPr>
          <w:rFonts w:ascii="Times New Roman" w:hAnsi="Times New Roman" w:cs="Times New Roman"/>
          <w:sz w:val="28"/>
        </w:rPr>
        <w:t xml:space="preserve">El artículo 11, por su parte, se refiere a las reservas </w:t>
      </w:r>
      <w:r w:rsidRPr="00E00F43">
        <w:rPr>
          <w:rFonts w:ascii="Times New Roman" w:hAnsi="Times New Roman" w:cs="Times New Roman"/>
          <w:sz w:val="28"/>
        </w:rPr>
        <w:t>procedentes frente al tratado. El artículo</w:t>
      </w:r>
      <w:r w:rsidRPr="00E00F43">
        <w:rPr>
          <w:rFonts w:ascii="Times New Roman" w:hAnsi="Times New Roman" w:cs="Times New Roman"/>
          <w:sz w:val="28"/>
        </w:rPr>
        <w:t xml:space="preserve"> </w:t>
      </w:r>
      <w:r w:rsidRPr="00E00F43">
        <w:rPr>
          <w:rFonts w:ascii="Times New Roman" w:hAnsi="Times New Roman" w:cs="Times New Roman"/>
          <w:sz w:val="28"/>
        </w:rPr>
        <w:t xml:space="preserve">12 fija el procedimiento para reformar los reglamentos ONU. El artículo 13 alude a la manera en la que se podrá modificar el texto del </w:t>
      </w:r>
      <w:r w:rsidRPr="00E00F43">
        <w:rPr>
          <w:rFonts w:ascii="Times New Roman" w:hAnsi="Times New Roman" w:cs="Times New Roman"/>
          <w:sz w:val="28"/>
        </w:rPr>
        <w:t>A</w:t>
      </w:r>
      <w:r w:rsidRPr="00E00F43">
        <w:rPr>
          <w:rFonts w:ascii="Times New Roman" w:hAnsi="Times New Roman" w:cs="Times New Roman"/>
          <w:sz w:val="28"/>
        </w:rPr>
        <w:t>cuerdo o de su apéndice. El artículo 13 bis a la modificación de los anexos. El artículo 14 establece las notificaciones a cargo del secretario general del Comité de Administración. El artículo 15 se refiere a los efectos y/o consecuencias de las nuevas mo</w:t>
      </w:r>
      <w:r w:rsidRPr="00E00F43">
        <w:rPr>
          <w:rFonts w:ascii="Times New Roman" w:hAnsi="Times New Roman" w:cs="Times New Roman"/>
          <w:sz w:val="28"/>
        </w:rPr>
        <w:t xml:space="preserve">dificaciones del instrumento. El artículo 16 describe el lugar e idiomas de adopción del </w:t>
      </w:r>
      <w:r w:rsidRPr="00E00F43">
        <w:rPr>
          <w:rFonts w:ascii="Times New Roman" w:hAnsi="Times New Roman" w:cs="Times New Roman"/>
          <w:sz w:val="28"/>
        </w:rPr>
        <w:t>A</w:t>
      </w:r>
      <w:r w:rsidRPr="00E00F43">
        <w:rPr>
          <w:rFonts w:ascii="Times New Roman" w:hAnsi="Times New Roman" w:cs="Times New Roman"/>
          <w:sz w:val="28"/>
        </w:rPr>
        <w:t>cuerdo. Finalmente, el Apéndice contiene las reglas de composición y funcionamiento de un Comité de Administración, así como 8 anexos que especifican las disposicione</w:t>
      </w:r>
      <w:r w:rsidRPr="00E00F43">
        <w:rPr>
          <w:rFonts w:ascii="Times New Roman" w:hAnsi="Times New Roman" w:cs="Times New Roman"/>
          <w:sz w:val="28"/>
        </w:rPr>
        <w:t xml:space="preserve">s administrativas y de procedimiento que son aplicables a los reglamentos ONU sobre los vehículos de ruedas, los equipos y piezas. </w:t>
      </w:r>
    </w:p>
    <w:p w:rsidR="0085152B" w:rsidRPr="00E00F43" w:rsidRDefault="00E00F43" w:rsidP="001E11D7">
      <w:pPr>
        <w:pStyle w:val="Ttulo"/>
        <w:numPr>
          <w:ilvl w:val="0"/>
          <w:numId w:val="0"/>
        </w:numPr>
        <w:rPr>
          <w:rFonts w:ascii="Times New Roman" w:hAnsi="Times New Roman" w:cs="Times New Roman"/>
          <w:sz w:val="28"/>
          <w:lang w:eastAsia="es-CO"/>
        </w:rPr>
      </w:pPr>
    </w:p>
    <w:p w:rsidR="0085152B"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lang w:eastAsia="es-CO"/>
        </w:rPr>
        <w:t xml:space="preserve"> </w:t>
      </w:r>
      <w:r w:rsidRPr="00E00F43">
        <w:rPr>
          <w:rFonts w:ascii="Times New Roman" w:hAnsi="Times New Roman" w:cs="Times New Roman"/>
          <w:sz w:val="28"/>
          <w:lang w:eastAsia="es-CO"/>
        </w:rPr>
        <w:t>Hecha esta reseña, en adelante la Sala se ocupará de verificar la compatibilidad constitucional del instrumento internacio</w:t>
      </w:r>
      <w:r w:rsidRPr="00E00F43">
        <w:rPr>
          <w:rFonts w:ascii="Times New Roman" w:hAnsi="Times New Roman" w:cs="Times New Roman"/>
          <w:sz w:val="28"/>
          <w:lang w:eastAsia="es-CO"/>
        </w:rPr>
        <w:t xml:space="preserve">nal. </w:t>
      </w:r>
      <w:r w:rsidRPr="00E00F43">
        <w:rPr>
          <w:rFonts w:ascii="Times New Roman" w:hAnsi="Times New Roman" w:cs="Times New Roman"/>
          <w:sz w:val="28"/>
        </w:rPr>
        <w:t>Este</w:t>
      </w:r>
      <w:r w:rsidRPr="00E00F43">
        <w:rPr>
          <w:rFonts w:ascii="Times New Roman" w:hAnsi="Times New Roman" w:cs="Times New Roman"/>
          <w:sz w:val="28"/>
        </w:rPr>
        <w:t xml:space="preserve"> estudio</w:t>
      </w:r>
      <w:r w:rsidRPr="00E00F43">
        <w:rPr>
          <w:rFonts w:ascii="Times New Roman" w:hAnsi="Times New Roman" w:cs="Times New Roman"/>
          <w:sz w:val="28"/>
        </w:rPr>
        <w:t xml:space="preserve"> se abordará</w:t>
      </w:r>
      <w:r w:rsidRPr="00E00F43">
        <w:rPr>
          <w:rFonts w:ascii="Times New Roman" w:hAnsi="Times New Roman" w:cs="Times New Roman"/>
          <w:sz w:val="28"/>
        </w:rPr>
        <w:t xml:space="preserve"> agrupando las normas, según la materia de que traten.</w:t>
      </w:r>
      <w:r w:rsidRPr="00E00F43">
        <w:rPr>
          <w:rFonts w:ascii="Times New Roman" w:hAnsi="Times New Roman" w:cs="Times New Roman"/>
          <w:sz w:val="28"/>
          <w:lang w:eastAsia="es-CO"/>
        </w:rPr>
        <w:t xml:space="preserve"> </w:t>
      </w:r>
    </w:p>
    <w:p w:rsidR="00021E63" w:rsidRPr="00E00F43" w:rsidRDefault="00E00F43" w:rsidP="00021E63">
      <w:pPr>
        <w:pStyle w:val="Prrafodelista"/>
        <w:tabs>
          <w:tab w:val="left" w:pos="426"/>
        </w:tabs>
        <w:ind w:left="0"/>
        <w:rPr>
          <w:rFonts w:ascii="Times New Roman" w:hAnsi="Times New Roman" w:cs="Times New Roman"/>
          <w:bCs/>
          <w:sz w:val="28"/>
          <w:szCs w:val="24"/>
          <w:lang w:val="es-ES" w:eastAsia="es-CO"/>
        </w:rPr>
      </w:pPr>
    </w:p>
    <w:p w:rsidR="00021E63" w:rsidRPr="00E00F43" w:rsidRDefault="00E00F43">
      <w:pPr>
        <w:pStyle w:val="Prrafodelista"/>
        <w:numPr>
          <w:ilvl w:val="2"/>
          <w:numId w:val="7"/>
        </w:numPr>
        <w:tabs>
          <w:tab w:val="left" w:pos="426"/>
        </w:tabs>
        <w:ind w:left="0" w:firstLine="0"/>
        <w:rPr>
          <w:rFonts w:ascii="Times New Roman" w:hAnsi="Times New Roman" w:cs="Times New Roman"/>
          <w:b/>
          <w:bCs/>
          <w:sz w:val="28"/>
          <w:szCs w:val="24"/>
          <w:lang w:val="es-ES" w:eastAsia="es-CO"/>
        </w:rPr>
      </w:pPr>
      <w:r w:rsidRPr="00E00F43">
        <w:rPr>
          <w:rFonts w:ascii="Times New Roman" w:hAnsi="Times New Roman" w:cs="Times New Roman"/>
          <w:b/>
          <w:bCs/>
          <w:sz w:val="28"/>
          <w:szCs w:val="24"/>
          <w:lang w:val="es-ES" w:eastAsia="es-CO"/>
        </w:rPr>
        <w:t>El preámbulo</w:t>
      </w:r>
    </w:p>
    <w:p w:rsidR="00021E63" w:rsidRPr="00E00F43" w:rsidRDefault="00E00F43" w:rsidP="00021E63">
      <w:pPr>
        <w:pStyle w:val="Prrafodelista"/>
        <w:tabs>
          <w:tab w:val="left" w:pos="426"/>
        </w:tabs>
        <w:ind w:left="0"/>
        <w:rPr>
          <w:rFonts w:ascii="Times New Roman" w:hAnsi="Times New Roman" w:cs="Times New Roman"/>
          <w:bCs/>
          <w:sz w:val="28"/>
          <w:szCs w:val="24"/>
          <w:lang w:val="es-ES" w:eastAsia="es-CO"/>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lang w:eastAsia="es-CO"/>
        </w:rPr>
        <w:t xml:space="preserve"> </w:t>
      </w:r>
      <w:r w:rsidRPr="00E00F43">
        <w:rPr>
          <w:rFonts w:ascii="Times New Roman" w:hAnsi="Times New Roman" w:cs="Times New Roman"/>
          <w:sz w:val="28"/>
        </w:rPr>
        <w:t xml:space="preserve">El preámbulo del </w:t>
      </w:r>
      <w:r w:rsidRPr="00E00F43">
        <w:rPr>
          <w:rFonts w:ascii="Times New Roman" w:hAnsi="Times New Roman" w:cs="Times New Roman"/>
          <w:sz w:val="28"/>
        </w:rPr>
        <w:t>A</w:t>
      </w:r>
      <w:r w:rsidRPr="00E00F43">
        <w:rPr>
          <w:rFonts w:ascii="Times New Roman" w:hAnsi="Times New Roman" w:cs="Times New Roman"/>
          <w:sz w:val="28"/>
        </w:rPr>
        <w:t>cuerdo describe sus finalidades y las integra en cinco postulados centrales, a saber: (i) “reducir los obstáculos técnicos al comercio in</w:t>
      </w:r>
      <w:r w:rsidRPr="00E00F43">
        <w:rPr>
          <w:rFonts w:ascii="Times New Roman" w:hAnsi="Times New Roman" w:cs="Times New Roman"/>
          <w:sz w:val="28"/>
        </w:rPr>
        <w:t>ternacional”, a través de la armonización de las condiciones que deben cumplir los vehículos de ruedas, equipos y piezas a utilizarse en los Estados parte; (ii) reconocer la importancia de “la seguridad, la protección del medio ambiente, la eficiencia ener</w:t>
      </w:r>
      <w:r w:rsidRPr="00E00F43">
        <w:rPr>
          <w:rFonts w:ascii="Times New Roman" w:hAnsi="Times New Roman" w:cs="Times New Roman"/>
          <w:sz w:val="28"/>
        </w:rPr>
        <w:t>gética y la protección antirrobo”; (iii) aplicar los reglamentos ONU siempre que sea posible; (iv) facilitar la aceptación de los vehículos, piezas y equipos que cuenten con homologación conforme a los reglamentos ONU, y (v) establecer un régimen internaci</w:t>
      </w:r>
      <w:r w:rsidRPr="00E00F43">
        <w:rPr>
          <w:rFonts w:ascii="Times New Roman" w:hAnsi="Times New Roman" w:cs="Times New Roman"/>
          <w:sz w:val="28"/>
        </w:rPr>
        <w:t>onal mutuo, simplificado y común de homologación de tipo sobre vehículos, piezas y equipos.</w:t>
      </w:r>
    </w:p>
    <w:p w:rsidR="00021E63" w:rsidRPr="00E00F43" w:rsidRDefault="00E00F43" w:rsidP="00DB0D94">
      <w:pPr>
        <w:pStyle w:val="Ttulo"/>
        <w:numPr>
          <w:ilvl w:val="0"/>
          <w:numId w:val="0"/>
        </w:numPr>
        <w:rPr>
          <w:rFonts w:ascii="Times New Roman" w:hAnsi="Times New Roman" w:cs="Times New Roman"/>
          <w:sz w:val="28"/>
          <w:lang w:eastAsia="es-CO"/>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Estas finalidades no sólo son compatibles con la Constitución Política, sino que están protegidas por ésta. De una parte, se trata de contenidos normativos que se </w:t>
      </w:r>
      <w:r w:rsidRPr="00E00F43">
        <w:rPr>
          <w:rFonts w:ascii="Times New Roman" w:hAnsi="Times New Roman" w:cs="Times New Roman"/>
          <w:sz w:val="28"/>
        </w:rPr>
        <w:t>enmarcan en el deber general del Estado de garantizar los derechos a la vida y a la seguridad de sus habitantes. Particularmente en el ámbito vehicular, frente al cual esta Corporación ha resaltado la necesidad de maximizar el respeto por la seguridad vial</w:t>
      </w:r>
      <w:r w:rsidRPr="00E00F43">
        <w:rPr>
          <w:rFonts w:ascii="Times New Roman" w:hAnsi="Times New Roman" w:cs="Times New Roman"/>
          <w:sz w:val="28"/>
        </w:rPr>
        <w:t>, como eje central de la legislación interna en materia de transportes</w:t>
      </w:r>
      <w:r w:rsidRPr="00E00F43">
        <w:rPr>
          <w:rFonts w:ascii="Times New Roman" w:hAnsi="Times New Roman" w:cs="Times New Roman"/>
          <w:sz w:val="28"/>
        </w:rPr>
        <w:t xml:space="preserve"> porque</w:t>
      </w:r>
      <w:r w:rsidRPr="00E00F43">
        <w:rPr>
          <w:rFonts w:ascii="Times New Roman" w:hAnsi="Times New Roman" w:cs="Times New Roman"/>
          <w:sz w:val="28"/>
        </w:rPr>
        <w:t>, se sabe, allí se forjan actividades que son en sí mismas peligrosas y de alto riesgo</w:t>
      </w:r>
      <w:r w:rsidRPr="00E00F43">
        <w:rPr>
          <w:rStyle w:val="Refdenotaalpie"/>
          <w:rFonts w:ascii="Times New Roman" w:hAnsi="Times New Roman"/>
          <w:bCs/>
          <w:sz w:val="28"/>
        </w:rPr>
        <w:footnoteReference w:id="82"/>
      </w:r>
      <w:r w:rsidRPr="00E00F43">
        <w:rPr>
          <w:rFonts w:ascii="Times New Roman" w:hAnsi="Times New Roman" w:cs="Times New Roman"/>
          <w:sz w:val="28"/>
        </w:rPr>
        <w:t xml:space="preserve">. De otra parte, es claro que el fortalecimiento y promoción del comercio internacional del </w:t>
      </w:r>
      <w:r w:rsidRPr="00E00F43">
        <w:rPr>
          <w:rFonts w:ascii="Times New Roman" w:hAnsi="Times New Roman" w:cs="Times New Roman"/>
          <w:sz w:val="28"/>
        </w:rPr>
        <w:t>país es también un deber del Estado</w:t>
      </w:r>
      <w:r w:rsidRPr="00E00F43">
        <w:rPr>
          <w:rStyle w:val="Refdenotaalpie"/>
          <w:rFonts w:ascii="Times New Roman" w:hAnsi="Times New Roman"/>
          <w:bCs/>
          <w:sz w:val="28"/>
        </w:rPr>
        <w:footnoteReference w:id="83"/>
      </w:r>
      <w:r w:rsidRPr="00E00F43">
        <w:rPr>
          <w:rFonts w:ascii="Times New Roman" w:hAnsi="Times New Roman" w:cs="Times New Roman"/>
          <w:sz w:val="28"/>
        </w:rPr>
        <w:t xml:space="preserve">. Por ende, la finalidad contemplada en el </w:t>
      </w:r>
      <w:r w:rsidRPr="00E00F43">
        <w:rPr>
          <w:rFonts w:ascii="Times New Roman" w:hAnsi="Times New Roman" w:cs="Times New Roman"/>
          <w:sz w:val="28"/>
        </w:rPr>
        <w:t>A</w:t>
      </w:r>
      <w:r w:rsidRPr="00E00F43">
        <w:rPr>
          <w:rFonts w:ascii="Times New Roman" w:hAnsi="Times New Roman" w:cs="Times New Roman"/>
          <w:sz w:val="28"/>
        </w:rPr>
        <w:t>cuerdo, asociada a esta materia, es acorde con el principio de la internacionalización de las relaciones políticas, económicas, sociales y ecológicas, protegido en los artículo</w:t>
      </w:r>
      <w:r w:rsidRPr="00E00F43">
        <w:rPr>
          <w:rFonts w:ascii="Times New Roman" w:hAnsi="Times New Roman" w:cs="Times New Roman"/>
          <w:sz w:val="28"/>
        </w:rPr>
        <w:t>s 226 y 227 de la Constitución Política; así como con el mandato constitucional de promoción de la prosperidad general (art. 2</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C.P.</w:t>
      </w:r>
      <w:r w:rsidRPr="00E00F43">
        <w:rPr>
          <w:rFonts w:ascii="Times New Roman" w:hAnsi="Times New Roman" w:cs="Times New Roman"/>
          <w:sz w:val="28"/>
        </w:rPr>
        <w:t xml:space="preserve">), </w:t>
      </w:r>
      <w:r w:rsidRPr="00E00F43">
        <w:rPr>
          <w:rFonts w:ascii="Times New Roman" w:hAnsi="Times New Roman" w:cs="Times New Roman"/>
          <w:sz w:val="28"/>
        </w:rPr>
        <w:t>el ejercicio del derecho fundamental a la libre circulación</w:t>
      </w:r>
      <w:r w:rsidRPr="00E00F43">
        <w:rPr>
          <w:rFonts w:ascii="Times New Roman" w:hAnsi="Times New Roman" w:cs="Times New Roman"/>
          <w:sz w:val="28"/>
        </w:rPr>
        <w:t xml:space="preserve"> (</w:t>
      </w:r>
      <w:r w:rsidRPr="00E00F43">
        <w:rPr>
          <w:rFonts w:ascii="Times New Roman" w:hAnsi="Times New Roman" w:cs="Times New Roman"/>
          <w:sz w:val="28"/>
        </w:rPr>
        <w:t>a</w:t>
      </w:r>
      <w:r w:rsidRPr="00E00F43">
        <w:rPr>
          <w:rFonts w:ascii="Times New Roman" w:hAnsi="Times New Roman" w:cs="Times New Roman"/>
          <w:sz w:val="28"/>
        </w:rPr>
        <w:t>rt. 24</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C.P.</w:t>
      </w:r>
      <w:r w:rsidRPr="00E00F43">
        <w:rPr>
          <w:rFonts w:ascii="Times New Roman" w:hAnsi="Times New Roman" w:cs="Times New Roman"/>
          <w:sz w:val="28"/>
        </w:rPr>
        <w:t>)</w:t>
      </w:r>
      <w:r w:rsidRPr="00E00F43">
        <w:rPr>
          <w:rFonts w:ascii="Times New Roman" w:hAnsi="Times New Roman" w:cs="Times New Roman"/>
          <w:sz w:val="28"/>
        </w:rPr>
        <w:t xml:space="preserve">, que debe darse </w:t>
      </w:r>
      <w:r w:rsidRPr="00E00F43">
        <w:rPr>
          <w:rFonts w:ascii="Times New Roman" w:hAnsi="Times New Roman" w:cs="Times New Roman"/>
          <w:sz w:val="28"/>
        </w:rPr>
        <w:t xml:space="preserve">con las mayores </w:t>
      </w:r>
      <w:r w:rsidRPr="00E00F43">
        <w:rPr>
          <w:rFonts w:ascii="Times New Roman" w:hAnsi="Times New Roman" w:cs="Times New Roman"/>
          <w:sz w:val="28"/>
        </w:rPr>
        <w:t xml:space="preserve">condiciones </w:t>
      </w:r>
      <w:r w:rsidRPr="00E00F43">
        <w:rPr>
          <w:rFonts w:ascii="Times New Roman" w:hAnsi="Times New Roman" w:cs="Times New Roman"/>
          <w:sz w:val="28"/>
        </w:rPr>
        <w:t>de seguridad</w:t>
      </w:r>
      <w:r w:rsidRPr="00E00F43">
        <w:rPr>
          <w:rFonts w:ascii="Times New Roman" w:hAnsi="Times New Roman" w:cs="Times New Roman"/>
          <w:sz w:val="28"/>
        </w:rPr>
        <w:t xml:space="preserve"> posibles (</w:t>
      </w:r>
      <w:r w:rsidRPr="00E00F43">
        <w:rPr>
          <w:rFonts w:ascii="Times New Roman" w:hAnsi="Times New Roman" w:cs="Times New Roman"/>
          <w:sz w:val="28"/>
        </w:rPr>
        <w:t>a</w:t>
      </w:r>
      <w:r w:rsidRPr="00E00F43">
        <w:rPr>
          <w:rFonts w:ascii="Times New Roman" w:hAnsi="Times New Roman" w:cs="Times New Roman"/>
          <w:sz w:val="28"/>
        </w:rPr>
        <w:t>rt. 2</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C.P.</w:t>
      </w:r>
      <w:r w:rsidRPr="00E00F43">
        <w:rPr>
          <w:rFonts w:ascii="Times New Roman" w:hAnsi="Times New Roman" w:cs="Times New Roman"/>
          <w:sz w:val="28"/>
        </w:rPr>
        <w:t>)</w:t>
      </w:r>
      <w:r w:rsidRPr="00E00F43">
        <w:rPr>
          <w:rFonts w:ascii="Times New Roman" w:hAnsi="Times New Roman" w:cs="Times New Roman"/>
          <w:sz w:val="28"/>
        </w:rPr>
        <w:t>, y la garantía del derecho al trabajo en condiciones dignas (</w:t>
      </w:r>
      <w:r w:rsidRPr="00E00F43">
        <w:rPr>
          <w:rFonts w:ascii="Times New Roman" w:hAnsi="Times New Roman" w:cs="Times New Roman"/>
          <w:sz w:val="28"/>
        </w:rPr>
        <w:t>a</w:t>
      </w:r>
      <w:r w:rsidRPr="00E00F43">
        <w:rPr>
          <w:rFonts w:ascii="Times New Roman" w:hAnsi="Times New Roman" w:cs="Times New Roman"/>
          <w:sz w:val="28"/>
        </w:rPr>
        <w:t>rt. 25</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C.P.</w:t>
      </w:r>
      <w:r w:rsidRPr="00E00F43">
        <w:rPr>
          <w:rFonts w:ascii="Times New Roman" w:hAnsi="Times New Roman" w:cs="Times New Roman"/>
          <w:sz w:val="28"/>
        </w:rPr>
        <w:t>)</w:t>
      </w:r>
      <w:r w:rsidRPr="00E00F43">
        <w:rPr>
          <w:rFonts w:ascii="Times New Roman" w:hAnsi="Times New Roman" w:cs="Times New Roman"/>
          <w:sz w:val="28"/>
        </w:rPr>
        <w:t xml:space="preserve">. </w:t>
      </w:r>
    </w:p>
    <w:p w:rsidR="00021E63" w:rsidRPr="00E00F43" w:rsidRDefault="00E00F43" w:rsidP="001E11D7">
      <w:pPr>
        <w:pStyle w:val="Ttulo"/>
        <w:numPr>
          <w:ilvl w:val="0"/>
          <w:numId w:val="0"/>
        </w:numPr>
        <w:rPr>
          <w:rFonts w:ascii="Times New Roman" w:hAnsi="Times New Roman" w:cs="Times New Roman"/>
          <w:sz w:val="28"/>
        </w:rPr>
      </w:pPr>
    </w:p>
    <w:p w:rsidR="00256162"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El preámbulo del instrumento hace referencia igualmente a la estandarización de las condiciones que deben cumplir los vehículos de ruedas, e</w:t>
      </w:r>
      <w:r w:rsidRPr="00E00F43">
        <w:rPr>
          <w:rFonts w:ascii="Times New Roman" w:hAnsi="Times New Roman" w:cs="Times New Roman"/>
          <w:sz w:val="28"/>
        </w:rPr>
        <w:t xml:space="preserve">quipos y piezas, con miras a la protección y fomento del medio ambiente, así como </w:t>
      </w:r>
      <w:r w:rsidRPr="00E00F43">
        <w:rPr>
          <w:rFonts w:ascii="Times New Roman" w:hAnsi="Times New Roman" w:cs="Times New Roman"/>
          <w:sz w:val="28"/>
        </w:rPr>
        <w:t xml:space="preserve">de la </w:t>
      </w:r>
      <w:r w:rsidRPr="00E00F43">
        <w:rPr>
          <w:rFonts w:ascii="Times New Roman" w:hAnsi="Times New Roman" w:cs="Times New Roman"/>
          <w:sz w:val="28"/>
        </w:rPr>
        <w:t xml:space="preserve">eficiencia energética. Propósitos que son especialmente salvaguardados por nuestro ordenamiento constitucional. Sobre todo, tratándose de la función social y ecológica </w:t>
      </w:r>
      <w:r w:rsidRPr="00E00F43">
        <w:rPr>
          <w:rFonts w:ascii="Times New Roman" w:hAnsi="Times New Roman" w:cs="Times New Roman"/>
          <w:sz w:val="28"/>
        </w:rPr>
        <w:t>de la propiedad privada (art. 58</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C.P.</w:t>
      </w:r>
      <w:r w:rsidRPr="00E00F43">
        <w:rPr>
          <w:rFonts w:ascii="Times New Roman" w:hAnsi="Times New Roman" w:cs="Times New Roman"/>
          <w:sz w:val="28"/>
        </w:rPr>
        <w:t>), así como sus limitaciones</w:t>
      </w:r>
      <w:r w:rsidRPr="00E00F43">
        <w:rPr>
          <w:rFonts w:ascii="Times New Roman" w:hAnsi="Times New Roman" w:cs="Times New Roman"/>
          <w:sz w:val="28"/>
        </w:rPr>
        <w:t>, que en este caso es pertinente resaltar.</w:t>
      </w:r>
    </w:p>
    <w:p w:rsidR="00256162" w:rsidRPr="00E00F43" w:rsidRDefault="00E00F43" w:rsidP="001E11D7">
      <w:pPr>
        <w:pStyle w:val="Ttulo"/>
        <w:numPr>
          <w:ilvl w:val="0"/>
          <w:numId w:val="0"/>
        </w:numPr>
        <w:rPr>
          <w:rFonts w:ascii="Times New Roman" w:hAnsi="Times New Roman" w:cs="Times New Roman"/>
          <w:sz w:val="28"/>
        </w:rPr>
      </w:pPr>
    </w:p>
    <w:p w:rsidR="00256162" w:rsidRPr="00E00F43" w:rsidRDefault="00E00F43" w:rsidP="001E11D7">
      <w:pPr>
        <w:pStyle w:val="Ttulo"/>
        <w:rPr>
          <w:rFonts w:ascii="Times New Roman" w:hAnsi="Times New Roman" w:cs="Times New Roman"/>
          <w:sz w:val="28"/>
        </w:rPr>
      </w:pPr>
      <w:r w:rsidRPr="00E00F43">
        <w:rPr>
          <w:rFonts w:ascii="Times New Roman" w:hAnsi="Times New Roman" w:cs="Times New Roman"/>
          <w:sz w:val="28"/>
        </w:rPr>
        <w:t>A propósito de lo anterior</w:t>
      </w:r>
      <w:r w:rsidRPr="00E00F43">
        <w:rPr>
          <w:rFonts w:ascii="Times New Roman" w:hAnsi="Times New Roman" w:cs="Times New Roman"/>
          <w:sz w:val="28"/>
        </w:rPr>
        <w:t>,</w:t>
      </w:r>
      <w:r w:rsidRPr="00E00F43">
        <w:rPr>
          <w:rFonts w:ascii="Times New Roman" w:hAnsi="Times New Roman" w:cs="Times New Roman"/>
          <w:sz w:val="28"/>
        </w:rPr>
        <w:t xml:space="preserve"> debe </w:t>
      </w:r>
      <w:r w:rsidRPr="00E00F43">
        <w:rPr>
          <w:rFonts w:ascii="Times New Roman" w:hAnsi="Times New Roman" w:cs="Times New Roman"/>
          <w:sz w:val="28"/>
        </w:rPr>
        <w:t>exaltarse</w:t>
      </w:r>
      <w:r w:rsidRPr="00E00F43">
        <w:rPr>
          <w:rFonts w:ascii="Times New Roman" w:hAnsi="Times New Roman" w:cs="Times New Roman"/>
          <w:sz w:val="28"/>
        </w:rPr>
        <w:t xml:space="preserve"> la evidente compatibilidad del </w:t>
      </w:r>
      <w:r w:rsidRPr="00E00F43">
        <w:rPr>
          <w:rFonts w:ascii="Times New Roman" w:hAnsi="Times New Roman" w:cs="Times New Roman"/>
          <w:sz w:val="28"/>
        </w:rPr>
        <w:t xml:space="preserve">instrumento </w:t>
      </w:r>
      <w:r w:rsidRPr="00E00F43">
        <w:rPr>
          <w:rFonts w:ascii="Times New Roman" w:hAnsi="Times New Roman" w:cs="Times New Roman"/>
          <w:sz w:val="28"/>
        </w:rPr>
        <w:t xml:space="preserve">con la salvaguarda de </w:t>
      </w:r>
      <w:r w:rsidRPr="00E00F43">
        <w:rPr>
          <w:rFonts w:ascii="Times New Roman" w:hAnsi="Times New Roman" w:cs="Times New Roman"/>
          <w:sz w:val="28"/>
        </w:rPr>
        <w:t>las garantías de</w:t>
      </w:r>
      <w:r w:rsidRPr="00E00F43">
        <w:rPr>
          <w:rFonts w:ascii="Times New Roman" w:hAnsi="Times New Roman" w:cs="Times New Roman"/>
          <w:sz w:val="28"/>
        </w:rPr>
        <w:t xml:space="preserve"> los consumidores, </w:t>
      </w:r>
      <w:r w:rsidRPr="00E00F43">
        <w:rPr>
          <w:rFonts w:ascii="Times New Roman" w:hAnsi="Times New Roman" w:cs="Times New Roman"/>
          <w:sz w:val="28"/>
        </w:rPr>
        <w:t>que</w:t>
      </w:r>
      <w:r w:rsidRPr="00E00F43">
        <w:rPr>
          <w:rFonts w:ascii="Times New Roman" w:hAnsi="Times New Roman" w:cs="Times New Roman"/>
          <w:sz w:val="28"/>
        </w:rPr>
        <w:t xml:space="preserve"> son reconocidas </w:t>
      </w:r>
      <w:r w:rsidRPr="00E00F43">
        <w:rPr>
          <w:rFonts w:ascii="Times New Roman" w:hAnsi="Times New Roman" w:cs="Times New Roman"/>
          <w:sz w:val="28"/>
        </w:rPr>
        <w:t>como un derecho colectivo expresamente protegido en nuestro ordenamiento</w:t>
      </w:r>
      <w:r w:rsidRPr="00E00F43">
        <w:rPr>
          <w:rFonts w:ascii="Times New Roman" w:hAnsi="Times New Roman" w:cs="Times New Roman"/>
          <w:sz w:val="28"/>
        </w:rPr>
        <w:t>,</w:t>
      </w:r>
      <w:r w:rsidRPr="00E00F43">
        <w:rPr>
          <w:rFonts w:ascii="Times New Roman" w:hAnsi="Times New Roman" w:cs="Times New Roman"/>
          <w:sz w:val="28"/>
        </w:rPr>
        <w:t xml:space="preserve"> sobre todo de conformidad con el artículo 78 de la Constitución. </w:t>
      </w:r>
      <w:r w:rsidRPr="00E00F43">
        <w:rPr>
          <w:rFonts w:ascii="Times New Roman" w:hAnsi="Times New Roman" w:cs="Times New Roman"/>
          <w:sz w:val="28"/>
        </w:rPr>
        <w:t>En ese sentido, esta corporación ha indicado que el derecho de los consumidores no se agota en la di</w:t>
      </w:r>
      <w:r w:rsidRPr="00E00F43">
        <w:rPr>
          <w:rFonts w:ascii="Times New Roman" w:hAnsi="Times New Roman" w:cs="Times New Roman"/>
          <w:sz w:val="28"/>
        </w:rPr>
        <w:t>sponibilidad de los bienes y servicios, sino que contempla distintas facetas que son esenciales para determinar su alcance. Así, se ha dicho, este derecho incluye “pretensiones, intereses y situaciones de orden sustancial (calidad de bienes y servicios; in</w:t>
      </w:r>
      <w:r w:rsidRPr="00E00F43">
        <w:rPr>
          <w:rFonts w:ascii="Times New Roman" w:hAnsi="Times New Roman" w:cs="Times New Roman"/>
          <w:sz w:val="28"/>
        </w:rPr>
        <w:t>formación); de orden procesal (exigibilidad judicial de garantías; indemnización de perjuicios por productos defectuosos; acciones de clase etc.); y de orden participativo (frente a la administración pública y a los órganos reguladores)”</w:t>
      </w:r>
      <w:r w:rsidRPr="00E00F43">
        <w:rPr>
          <w:rStyle w:val="Refdenotaalpie"/>
          <w:rFonts w:ascii="Times New Roman" w:hAnsi="Times New Roman"/>
          <w:bCs/>
          <w:sz w:val="28"/>
        </w:rPr>
        <w:footnoteReference w:id="84"/>
      </w:r>
      <w:r w:rsidRPr="00E00F43">
        <w:rPr>
          <w:rFonts w:ascii="Times New Roman" w:hAnsi="Times New Roman" w:cs="Times New Roman"/>
          <w:sz w:val="28"/>
        </w:rPr>
        <w:t>, todas las cuales</w:t>
      </w:r>
      <w:r w:rsidRPr="00E00F43">
        <w:rPr>
          <w:rFonts w:ascii="Times New Roman" w:hAnsi="Times New Roman" w:cs="Times New Roman"/>
          <w:sz w:val="28"/>
        </w:rPr>
        <w:t xml:space="preserve"> es posible verlas reflejadas en las finalidades perseguidas por el Acuerdo de 1958 al prever el mejoramiento de las condiciones de seguridad y desempeño de los vehículos de ruedas, piezas y equipos.</w:t>
      </w:r>
      <w:r w:rsidRPr="00E00F43">
        <w:rPr>
          <w:rFonts w:ascii="Times New Roman" w:hAnsi="Times New Roman" w:cs="Times New Roman"/>
          <w:sz w:val="28"/>
        </w:rPr>
        <w:t xml:space="preserve"> </w:t>
      </w:r>
    </w:p>
    <w:p w:rsidR="00434FE2" w:rsidRPr="00E00F43" w:rsidRDefault="00E00F43" w:rsidP="001E11D7">
      <w:pPr>
        <w:pStyle w:val="Ttulo"/>
        <w:numPr>
          <w:ilvl w:val="0"/>
          <w:numId w:val="0"/>
        </w:numPr>
        <w:rPr>
          <w:rFonts w:ascii="Times New Roman" w:hAnsi="Times New Roman" w:cs="Times New Roman"/>
          <w:sz w:val="28"/>
        </w:rPr>
      </w:pPr>
    </w:p>
    <w:p w:rsidR="00256162" w:rsidRPr="00E00F43" w:rsidRDefault="00E00F43" w:rsidP="001E11D7">
      <w:pPr>
        <w:pStyle w:val="Ttulo"/>
        <w:rPr>
          <w:rFonts w:ascii="Times New Roman" w:hAnsi="Times New Roman" w:cs="Times New Roman"/>
          <w:sz w:val="28"/>
        </w:rPr>
      </w:pPr>
      <w:r w:rsidRPr="00E00F43">
        <w:rPr>
          <w:rFonts w:ascii="Times New Roman" w:hAnsi="Times New Roman" w:cs="Times New Roman"/>
          <w:sz w:val="28"/>
        </w:rPr>
        <w:t>Lo</w:t>
      </w:r>
      <w:r w:rsidRPr="00E00F43">
        <w:rPr>
          <w:rFonts w:ascii="Times New Roman" w:hAnsi="Times New Roman" w:cs="Times New Roman"/>
          <w:sz w:val="28"/>
        </w:rPr>
        <w:t xml:space="preserve"> expuesto s</w:t>
      </w:r>
      <w:r w:rsidRPr="00E00F43">
        <w:rPr>
          <w:rFonts w:ascii="Times New Roman" w:hAnsi="Times New Roman" w:cs="Times New Roman"/>
          <w:sz w:val="28"/>
        </w:rPr>
        <w:t xml:space="preserve">e enlaza </w:t>
      </w:r>
      <w:r w:rsidRPr="00E00F43">
        <w:rPr>
          <w:rFonts w:ascii="Times New Roman" w:hAnsi="Times New Roman" w:cs="Times New Roman"/>
          <w:sz w:val="28"/>
        </w:rPr>
        <w:t xml:space="preserve">armónicamente </w:t>
      </w:r>
      <w:r w:rsidRPr="00E00F43">
        <w:rPr>
          <w:rFonts w:ascii="Times New Roman" w:hAnsi="Times New Roman" w:cs="Times New Roman"/>
          <w:sz w:val="28"/>
        </w:rPr>
        <w:t>c</w:t>
      </w:r>
      <w:r w:rsidRPr="00E00F43">
        <w:rPr>
          <w:rFonts w:ascii="Times New Roman" w:hAnsi="Times New Roman" w:cs="Times New Roman"/>
          <w:sz w:val="28"/>
        </w:rPr>
        <w:t>on los beneficios</w:t>
      </w:r>
      <w:r w:rsidRPr="00E00F43">
        <w:rPr>
          <w:rFonts w:ascii="Times New Roman" w:hAnsi="Times New Roman" w:cs="Times New Roman"/>
          <w:sz w:val="28"/>
        </w:rPr>
        <w:t xml:space="preserve"> resaltados en la exposición de motivos, que ya fueron reseñados en esta providencia. En particular, resulta oportuno no dejar de lado la misión de eficacia a la que le apunta el Acuerdo de 1958, la cual </w:t>
      </w:r>
      <w:r w:rsidRPr="00E00F43">
        <w:rPr>
          <w:rFonts w:ascii="Times New Roman" w:hAnsi="Times New Roman" w:cs="Times New Roman"/>
          <w:sz w:val="28"/>
        </w:rPr>
        <w:t xml:space="preserve">es </w:t>
      </w:r>
      <w:r w:rsidRPr="00E00F43">
        <w:rPr>
          <w:rFonts w:ascii="Times New Roman" w:hAnsi="Times New Roman" w:cs="Times New Roman"/>
          <w:sz w:val="28"/>
        </w:rPr>
        <w:t>acorde con el marco constitucional de</w:t>
      </w:r>
      <w:r w:rsidRPr="00E00F43">
        <w:rPr>
          <w:rFonts w:ascii="Times New Roman" w:hAnsi="Times New Roman" w:cs="Times New Roman"/>
          <w:sz w:val="28"/>
        </w:rPr>
        <w:t>l</w:t>
      </w:r>
      <w:r w:rsidRPr="00E00F43">
        <w:rPr>
          <w:rFonts w:ascii="Times New Roman" w:hAnsi="Times New Roman" w:cs="Times New Roman"/>
          <w:sz w:val="28"/>
        </w:rPr>
        <w:t xml:space="preserve"> desenvolvimiento de la función pública en Colombia. En especial, con el artículo 209 superior, en el que se </w:t>
      </w:r>
      <w:r w:rsidRPr="00E00F43">
        <w:rPr>
          <w:rFonts w:ascii="Times New Roman" w:hAnsi="Times New Roman" w:cs="Times New Roman"/>
          <w:sz w:val="28"/>
        </w:rPr>
        <w:t xml:space="preserve">impone el despliegue de las </w:t>
      </w:r>
      <w:r w:rsidRPr="00E00F43">
        <w:rPr>
          <w:rFonts w:ascii="Times New Roman" w:hAnsi="Times New Roman" w:cs="Times New Roman"/>
          <w:sz w:val="28"/>
        </w:rPr>
        <w:t>actuaciones</w:t>
      </w:r>
      <w:r w:rsidRPr="00E00F43">
        <w:rPr>
          <w:rFonts w:ascii="Times New Roman" w:hAnsi="Times New Roman" w:cs="Times New Roman"/>
          <w:sz w:val="28"/>
        </w:rPr>
        <w:t xml:space="preserve"> de la administración siempre en perspectiva d</w:t>
      </w:r>
      <w:r w:rsidRPr="00E00F43">
        <w:rPr>
          <w:rFonts w:ascii="Times New Roman" w:hAnsi="Times New Roman" w:cs="Times New Roman"/>
          <w:sz w:val="28"/>
        </w:rPr>
        <w:t>el adecuado cumplimiento de los fines del Estado</w:t>
      </w:r>
      <w:r w:rsidRPr="00E00F43">
        <w:rPr>
          <w:rFonts w:ascii="Times New Roman" w:hAnsi="Times New Roman" w:cs="Times New Roman"/>
          <w:sz w:val="28"/>
        </w:rPr>
        <w:t>; propugnando,</w:t>
      </w:r>
      <w:r w:rsidRPr="00E00F43">
        <w:rPr>
          <w:rFonts w:ascii="Times New Roman" w:hAnsi="Times New Roman" w:cs="Times New Roman"/>
          <w:sz w:val="28"/>
        </w:rPr>
        <w:t xml:space="preserve"> al mismo tiempo, por el ejercicio efectivo de las labores de vigilancia y control, las cuales son primordiales en la implementación del instrumento internacional objeto de revisión. </w:t>
      </w:r>
    </w:p>
    <w:p w:rsidR="00256162" w:rsidRPr="00E00F43" w:rsidRDefault="00E00F43" w:rsidP="001E11D7">
      <w:pPr>
        <w:pStyle w:val="Ttulo"/>
        <w:numPr>
          <w:ilvl w:val="0"/>
          <w:numId w:val="0"/>
        </w:numPr>
        <w:rPr>
          <w:rFonts w:ascii="Times New Roman" w:hAnsi="Times New Roman" w:cs="Times New Roman"/>
          <w:sz w:val="28"/>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Finalmente, </w:t>
      </w:r>
      <w:r w:rsidRPr="00E00F43">
        <w:rPr>
          <w:rFonts w:ascii="Times New Roman" w:hAnsi="Times New Roman" w:cs="Times New Roman"/>
          <w:sz w:val="28"/>
        </w:rPr>
        <w:t>no sobra resaltar la evidente relación de este grupo de dis</w:t>
      </w:r>
      <w:r w:rsidRPr="00E00F43">
        <w:rPr>
          <w:rFonts w:ascii="Times New Roman" w:hAnsi="Times New Roman" w:cs="Times New Roman"/>
          <w:sz w:val="28"/>
        </w:rPr>
        <w:t xml:space="preserve">posiciones </w:t>
      </w:r>
      <w:r w:rsidRPr="00E00F43">
        <w:rPr>
          <w:rFonts w:ascii="Times New Roman" w:hAnsi="Times New Roman" w:cs="Times New Roman"/>
          <w:sz w:val="28"/>
        </w:rPr>
        <w:t xml:space="preserve">con el impulso del bienestar y </w:t>
      </w:r>
      <w:r w:rsidRPr="00E00F43">
        <w:rPr>
          <w:rFonts w:ascii="Times New Roman" w:hAnsi="Times New Roman" w:cs="Times New Roman"/>
          <w:sz w:val="28"/>
        </w:rPr>
        <w:t xml:space="preserve">la </w:t>
      </w:r>
      <w:r w:rsidRPr="00E00F43">
        <w:rPr>
          <w:rFonts w:ascii="Times New Roman" w:hAnsi="Times New Roman" w:cs="Times New Roman"/>
          <w:sz w:val="28"/>
        </w:rPr>
        <w:t>prosperidad económica y social</w:t>
      </w:r>
      <w:r w:rsidRPr="00E00F43">
        <w:rPr>
          <w:rFonts w:ascii="Times New Roman" w:hAnsi="Times New Roman" w:cs="Times New Roman"/>
          <w:sz w:val="28"/>
        </w:rPr>
        <w:t xml:space="preserve"> de</w:t>
      </w:r>
      <w:r w:rsidRPr="00E00F43">
        <w:rPr>
          <w:rFonts w:ascii="Times New Roman" w:hAnsi="Times New Roman" w:cs="Times New Roman"/>
          <w:sz w:val="28"/>
        </w:rPr>
        <w:t>l</w:t>
      </w:r>
      <w:r w:rsidRPr="00E00F43">
        <w:rPr>
          <w:rFonts w:ascii="Times New Roman" w:hAnsi="Times New Roman" w:cs="Times New Roman"/>
          <w:sz w:val="28"/>
        </w:rPr>
        <w:t xml:space="preserve"> país</w:t>
      </w:r>
      <w:r w:rsidRPr="00E00F43">
        <w:rPr>
          <w:rFonts w:ascii="Times New Roman" w:hAnsi="Times New Roman" w:cs="Times New Roman"/>
          <w:sz w:val="28"/>
        </w:rPr>
        <w:t>, de acuerdo con los artículos 333 y 334 de la Constitución Política.</w:t>
      </w:r>
      <w:r w:rsidRPr="00E00F43">
        <w:rPr>
          <w:rFonts w:ascii="Times New Roman" w:hAnsi="Times New Roman" w:cs="Times New Roman"/>
          <w:sz w:val="28"/>
        </w:rPr>
        <w:t xml:space="preserve"> Asunto que fue uniformemente manifestado por todos los intervinientes en este trámite constitucional y</w:t>
      </w:r>
      <w:r w:rsidRPr="00E00F43">
        <w:rPr>
          <w:rFonts w:ascii="Times New Roman" w:hAnsi="Times New Roman" w:cs="Times New Roman"/>
          <w:sz w:val="28"/>
        </w:rPr>
        <w:t xml:space="preserve"> por</w:t>
      </w:r>
      <w:r w:rsidRPr="00E00F43">
        <w:rPr>
          <w:rFonts w:ascii="Times New Roman" w:hAnsi="Times New Roman" w:cs="Times New Roman"/>
          <w:sz w:val="28"/>
        </w:rPr>
        <w:t xml:space="preserve"> la procuradora general de la nación en su concepto rendido ante la Corte.</w:t>
      </w:r>
    </w:p>
    <w:p w:rsidR="00021E63" w:rsidRPr="00E00F43" w:rsidRDefault="00E00F43" w:rsidP="001E11D7">
      <w:pPr>
        <w:pStyle w:val="Ttulo"/>
        <w:numPr>
          <w:ilvl w:val="0"/>
          <w:numId w:val="0"/>
        </w:numPr>
        <w:rPr>
          <w:rFonts w:ascii="Times New Roman" w:hAnsi="Times New Roman" w:cs="Times New Roman"/>
          <w:sz w:val="28"/>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Así, para la Sala Plena, el preámbulo del “Acuerdo Relativo a la Adopción de Reglamentos Técnicos Armonizados de las Naciones Unidas aplicables a los vehículos de ruedas y los </w:t>
      </w:r>
      <w:r w:rsidRPr="00E00F43">
        <w:rPr>
          <w:rFonts w:ascii="Times New Roman" w:hAnsi="Times New Roman" w:cs="Times New Roman"/>
          <w:sz w:val="28"/>
        </w:rPr>
        <w:t>equipos y piezas que puedan montarse o utilizarse en estos, y sobre las condiciones de reconocimiento recíproco de las homologaciones concedidas conforme a dichos reglamentos de las Naciones Unidas” es compatible con la Constitución</w:t>
      </w:r>
      <w:r w:rsidRPr="00E00F43">
        <w:rPr>
          <w:rFonts w:ascii="Times New Roman" w:hAnsi="Times New Roman" w:cs="Times New Roman"/>
          <w:sz w:val="28"/>
        </w:rPr>
        <w:t xml:space="preserve"> por lo que. a</w:t>
      </w:r>
      <w:r w:rsidRPr="00E00F43">
        <w:rPr>
          <w:rFonts w:ascii="Times New Roman" w:hAnsi="Times New Roman" w:cs="Times New Roman"/>
          <w:sz w:val="28"/>
        </w:rPr>
        <w:t xml:space="preserve"> continuac</w:t>
      </w:r>
      <w:r w:rsidRPr="00E00F43">
        <w:rPr>
          <w:rFonts w:ascii="Times New Roman" w:hAnsi="Times New Roman" w:cs="Times New Roman"/>
          <w:sz w:val="28"/>
        </w:rPr>
        <w:t>ión</w:t>
      </w:r>
      <w:r w:rsidRPr="00E00F43">
        <w:rPr>
          <w:rFonts w:ascii="Times New Roman" w:hAnsi="Times New Roman" w:cs="Times New Roman"/>
          <w:sz w:val="28"/>
        </w:rPr>
        <w:t xml:space="preserve">, </w:t>
      </w:r>
      <w:r w:rsidRPr="00E00F43">
        <w:rPr>
          <w:rFonts w:ascii="Times New Roman" w:hAnsi="Times New Roman" w:cs="Times New Roman"/>
          <w:sz w:val="28"/>
        </w:rPr>
        <w:t>se hará la revisión de sus artículos</w:t>
      </w:r>
      <w:r w:rsidRPr="00E00F43">
        <w:rPr>
          <w:rFonts w:ascii="Times New Roman" w:hAnsi="Times New Roman" w:cs="Times New Roman"/>
          <w:sz w:val="28"/>
        </w:rPr>
        <w:t xml:space="preserve">, </w:t>
      </w:r>
      <w:r w:rsidRPr="00E00F43">
        <w:rPr>
          <w:rFonts w:ascii="Times New Roman" w:hAnsi="Times New Roman" w:cs="Times New Roman"/>
          <w:sz w:val="28"/>
        </w:rPr>
        <w:t>apéndice</w:t>
      </w:r>
      <w:r w:rsidRPr="00E00F43">
        <w:rPr>
          <w:rFonts w:ascii="Times New Roman" w:hAnsi="Times New Roman" w:cs="Times New Roman"/>
          <w:sz w:val="28"/>
        </w:rPr>
        <w:t xml:space="preserve"> y anexos</w:t>
      </w:r>
      <w:r w:rsidRPr="00E00F43">
        <w:rPr>
          <w:rFonts w:ascii="Times New Roman" w:hAnsi="Times New Roman" w:cs="Times New Roman"/>
          <w:sz w:val="28"/>
        </w:rPr>
        <w:t xml:space="preserve">. </w:t>
      </w:r>
    </w:p>
    <w:p w:rsidR="00021E63" w:rsidRPr="00E00F43" w:rsidRDefault="00E00F43" w:rsidP="00021E63">
      <w:pPr>
        <w:pStyle w:val="Prrafodelista"/>
        <w:rPr>
          <w:rFonts w:ascii="Times New Roman" w:hAnsi="Times New Roman" w:cs="Times New Roman"/>
          <w:bCs/>
          <w:sz w:val="28"/>
          <w:szCs w:val="24"/>
          <w:lang w:val="es-ES" w:eastAsia="es-CO"/>
        </w:rPr>
      </w:pPr>
    </w:p>
    <w:p w:rsidR="00021E63" w:rsidRPr="00E00F43" w:rsidRDefault="00E00F43">
      <w:pPr>
        <w:pStyle w:val="Prrafodelista"/>
        <w:numPr>
          <w:ilvl w:val="2"/>
          <w:numId w:val="7"/>
        </w:numPr>
        <w:tabs>
          <w:tab w:val="left" w:pos="426"/>
        </w:tabs>
        <w:ind w:left="0" w:firstLine="0"/>
        <w:rPr>
          <w:rFonts w:ascii="Times New Roman" w:hAnsi="Times New Roman" w:cs="Times New Roman"/>
          <w:b/>
          <w:bCs/>
          <w:sz w:val="28"/>
          <w:szCs w:val="24"/>
          <w:lang w:val="es-ES" w:eastAsia="es-CO"/>
        </w:rPr>
      </w:pPr>
      <w:r w:rsidRPr="00E00F43">
        <w:rPr>
          <w:rFonts w:ascii="Times New Roman" w:hAnsi="Times New Roman" w:cs="Times New Roman"/>
          <w:b/>
          <w:bCs/>
          <w:sz w:val="28"/>
          <w:szCs w:val="24"/>
          <w:lang w:val="es-ES"/>
        </w:rPr>
        <w:t>Artículo 1</w:t>
      </w:r>
      <w:r w:rsidRPr="00E00F43">
        <w:rPr>
          <w:rFonts w:ascii="Times New Roman" w:hAnsi="Times New Roman" w:cs="Times New Roman"/>
          <w:b/>
          <w:bCs/>
          <w:sz w:val="28"/>
          <w:szCs w:val="24"/>
          <w:lang w:val="es-ES"/>
        </w:rPr>
        <w:t>º</w:t>
      </w:r>
      <w:r w:rsidRPr="00E00F43">
        <w:rPr>
          <w:rFonts w:ascii="Times New Roman" w:hAnsi="Times New Roman" w:cs="Times New Roman"/>
          <w:b/>
          <w:bCs/>
          <w:sz w:val="28"/>
          <w:szCs w:val="24"/>
          <w:lang w:val="es-ES"/>
        </w:rPr>
        <w:t xml:space="preserve"> y Apéndice del Acuerdo: de la conformación y funcionamiento del Comité de Administración, definiciones relevantes y reglas asociadas a la voluntad estatal en la adopción de los reg</w:t>
      </w:r>
      <w:r w:rsidRPr="00E00F43">
        <w:rPr>
          <w:rFonts w:ascii="Times New Roman" w:hAnsi="Times New Roman" w:cs="Times New Roman"/>
          <w:b/>
          <w:bCs/>
          <w:sz w:val="28"/>
          <w:szCs w:val="24"/>
          <w:lang w:val="es-ES"/>
        </w:rPr>
        <w:t>lamentos ONU sobre vehículos, equipos y partes</w:t>
      </w:r>
    </w:p>
    <w:p w:rsidR="00021E63" w:rsidRPr="00E00F43" w:rsidRDefault="00E00F43" w:rsidP="00021E63">
      <w:pPr>
        <w:pStyle w:val="Prrafodelista"/>
        <w:rPr>
          <w:rFonts w:ascii="Times New Roman" w:hAnsi="Times New Roman" w:cs="Times New Roman"/>
          <w:bCs/>
          <w:sz w:val="28"/>
          <w:szCs w:val="24"/>
          <w:lang w:val="es-ES" w:eastAsia="es-CO"/>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El Artículo 1° es la disposición más extensa del instrumento, por lo que la Sala abordará su análisis a partir de los numerales que la componen. Además, adelantará su estudio junto con el Apéndice del </w:t>
      </w:r>
      <w:r w:rsidRPr="00E00F43">
        <w:rPr>
          <w:rFonts w:ascii="Times New Roman" w:hAnsi="Times New Roman" w:cs="Times New Roman"/>
          <w:sz w:val="28"/>
        </w:rPr>
        <w:t>A</w:t>
      </w:r>
      <w:r w:rsidRPr="00E00F43">
        <w:rPr>
          <w:rFonts w:ascii="Times New Roman" w:hAnsi="Times New Roman" w:cs="Times New Roman"/>
          <w:sz w:val="28"/>
        </w:rPr>
        <w:t>cuerdo, al versar sobre la misma materia.</w:t>
      </w:r>
    </w:p>
    <w:p w:rsidR="00021E63" w:rsidRPr="00E00F43" w:rsidRDefault="00E00F43" w:rsidP="001E11D7">
      <w:pPr>
        <w:pStyle w:val="Ttulo"/>
        <w:numPr>
          <w:ilvl w:val="0"/>
          <w:numId w:val="0"/>
        </w:numPr>
        <w:rPr>
          <w:rFonts w:ascii="Times New Roman" w:hAnsi="Times New Roman" w:cs="Times New Roman"/>
          <w:sz w:val="28"/>
          <w:lang w:eastAsia="es-CO"/>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En el primer numeral del </w:t>
      </w:r>
      <w:r w:rsidRPr="00E00F43">
        <w:rPr>
          <w:rFonts w:ascii="Times New Roman" w:hAnsi="Times New Roman" w:cs="Times New Roman"/>
          <w:sz w:val="28"/>
        </w:rPr>
        <w:t>a</w:t>
      </w:r>
      <w:r w:rsidRPr="00E00F43">
        <w:rPr>
          <w:rFonts w:ascii="Times New Roman" w:hAnsi="Times New Roman" w:cs="Times New Roman"/>
          <w:sz w:val="28"/>
        </w:rPr>
        <w:t>rtículo 1°, el instrumento se refiere a dos asuntos particulares, por un lado, a la conformación de un Comité de Administración a través del cual los Estados parte establecerán los reglamentos de las Naciones Unidas relativos a los vehículos de ruedas, equ</w:t>
      </w:r>
      <w:r w:rsidRPr="00E00F43">
        <w:rPr>
          <w:rFonts w:ascii="Times New Roman" w:hAnsi="Times New Roman" w:cs="Times New Roman"/>
          <w:sz w:val="28"/>
        </w:rPr>
        <w:t xml:space="preserve">ipos y piezas, el cual funcionará de conformidad con el Apéndice; y por otro lado, un grupo de definiciones relevantes. Sobre todos estos aspectos, la Corte no encuentra objeción constitucional alguna, como pasa a explicarse. </w:t>
      </w:r>
    </w:p>
    <w:p w:rsidR="00021E63" w:rsidRPr="00E00F43" w:rsidRDefault="00E00F43" w:rsidP="001E11D7">
      <w:pPr>
        <w:pStyle w:val="Ttulo"/>
        <w:numPr>
          <w:ilvl w:val="0"/>
          <w:numId w:val="0"/>
        </w:numPr>
        <w:rPr>
          <w:rFonts w:ascii="Times New Roman" w:hAnsi="Times New Roman" w:cs="Times New Roman"/>
          <w:sz w:val="28"/>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En relación con el Comité de</w:t>
      </w:r>
      <w:r w:rsidRPr="00E00F43">
        <w:rPr>
          <w:rFonts w:ascii="Times New Roman" w:hAnsi="Times New Roman" w:cs="Times New Roman"/>
          <w:sz w:val="28"/>
        </w:rPr>
        <w:t xml:space="preserve"> Administración, el</w:t>
      </w:r>
      <w:r w:rsidRPr="00E00F43">
        <w:rPr>
          <w:rFonts w:ascii="Times New Roman" w:hAnsi="Times New Roman" w:cs="Times New Roman"/>
          <w:sz w:val="28"/>
        </w:rPr>
        <w:t xml:space="preserve"> </w:t>
      </w:r>
      <w:r w:rsidRPr="00E00F43">
        <w:rPr>
          <w:rFonts w:ascii="Times New Roman" w:hAnsi="Times New Roman" w:cs="Times New Roman"/>
          <w:sz w:val="28"/>
        </w:rPr>
        <w:t>A</w:t>
      </w:r>
      <w:r w:rsidRPr="00E00F43">
        <w:rPr>
          <w:rFonts w:ascii="Times New Roman" w:hAnsi="Times New Roman" w:cs="Times New Roman"/>
          <w:sz w:val="28"/>
        </w:rPr>
        <w:t>cuerdo señala que estará conformado por todos los Estados parte y que estará sujeto a las disposiciones contenidas en el Apéndice del instrumento. Este último contiene, a su vez, el Reglamento Interno del Comité; en éste se señala que:</w:t>
      </w:r>
      <w:r w:rsidRPr="00E00F43">
        <w:rPr>
          <w:rFonts w:ascii="Times New Roman" w:hAnsi="Times New Roman" w:cs="Times New Roman"/>
          <w:sz w:val="28"/>
        </w:rPr>
        <w:t xml:space="preserve"> (i) el secretario ejecutivo de la Comisión Económica para Europa estará a cargo de las funciones de secretaría del Comité; (ii) la titularidad de la presidencia y vicepresidencia será elegida por el Comité, todos los años; (iii) la manera en la que se con</w:t>
      </w:r>
      <w:r w:rsidRPr="00E00F43">
        <w:rPr>
          <w:rFonts w:ascii="Times New Roman" w:hAnsi="Times New Roman" w:cs="Times New Roman"/>
          <w:sz w:val="28"/>
        </w:rPr>
        <w:t>vocará al Comité será a través del Secretario General de la ONU; (iv) los proyectos de modificaciones y solicitudes de homologación con exención de nuevas tecnologías se someterán a votación del Comité y cada Estado parte tendrá un voto, siendo necesario e</w:t>
      </w:r>
      <w:r w:rsidRPr="00E00F43">
        <w:rPr>
          <w:rFonts w:ascii="Times New Roman" w:hAnsi="Times New Roman" w:cs="Times New Roman"/>
          <w:sz w:val="28"/>
        </w:rPr>
        <w:t xml:space="preserve">l voto de la mitad de las partes para aprobar decisiones y una mayoría de cuatro quintas partes de los presentes para aprobar un proyecto; y (iv) en el caso de la modificación de los anexos que versan sobre disposiciones administrativas y de procedimiento </w:t>
      </w:r>
      <w:r w:rsidRPr="00E00F43">
        <w:rPr>
          <w:rFonts w:ascii="Times New Roman" w:hAnsi="Times New Roman" w:cs="Times New Roman"/>
          <w:sz w:val="28"/>
        </w:rPr>
        <w:t>se aprobarán por unanimidad de los presentes.</w:t>
      </w:r>
    </w:p>
    <w:p w:rsidR="00021E63" w:rsidRPr="00E00F43" w:rsidRDefault="00E00F43" w:rsidP="001E11D7">
      <w:pPr>
        <w:pStyle w:val="Ttulo"/>
        <w:numPr>
          <w:ilvl w:val="0"/>
          <w:numId w:val="0"/>
        </w:numPr>
        <w:rPr>
          <w:rFonts w:ascii="Times New Roman" w:hAnsi="Times New Roman" w:cs="Times New Roman"/>
          <w:sz w:val="28"/>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Con la estructuración y la adopción de estas reglas de funcionamiento del Comité de Administración, la Corte no encuentra que se desconozcan los contenidos de la Constitución. Por el contrario, se trata de una</w:t>
      </w:r>
      <w:r w:rsidRPr="00E00F43">
        <w:rPr>
          <w:rFonts w:ascii="Times New Roman" w:hAnsi="Times New Roman" w:cs="Times New Roman"/>
          <w:sz w:val="28"/>
        </w:rPr>
        <w:t xml:space="preserve"> serie de disposiciones que son indispensables para dar aplicación al tratado, pues a través de este Comité se adoptan las decisiones sobre las reglamentaciones a las que se refiere el </w:t>
      </w:r>
      <w:r w:rsidRPr="00E00F43">
        <w:rPr>
          <w:rFonts w:ascii="Times New Roman" w:hAnsi="Times New Roman" w:cs="Times New Roman"/>
          <w:sz w:val="28"/>
        </w:rPr>
        <w:t>A</w:t>
      </w:r>
      <w:r w:rsidRPr="00E00F43">
        <w:rPr>
          <w:rFonts w:ascii="Times New Roman" w:hAnsi="Times New Roman" w:cs="Times New Roman"/>
          <w:sz w:val="28"/>
        </w:rPr>
        <w:t>cuerdo. Además, su integración garantiza los mandatos de autodetermina</w:t>
      </w:r>
      <w:r w:rsidRPr="00E00F43">
        <w:rPr>
          <w:rFonts w:ascii="Times New Roman" w:hAnsi="Times New Roman" w:cs="Times New Roman"/>
          <w:sz w:val="28"/>
        </w:rPr>
        <w:t xml:space="preserve">ción y reciprocidad que guían las relaciones internacionales de Colombia, tal como lo dispone el artículo 9 de la Constitución, al ordenarse la participación de todos los Estados parte en la conformación del mismo. </w:t>
      </w:r>
      <w:r w:rsidRPr="00E00F43">
        <w:rPr>
          <w:rFonts w:ascii="Times New Roman" w:hAnsi="Times New Roman" w:cs="Times New Roman"/>
          <w:sz w:val="28"/>
        </w:rPr>
        <w:t>De igual modo</w:t>
      </w:r>
      <w:r w:rsidRPr="00E00F43">
        <w:rPr>
          <w:rFonts w:ascii="Times New Roman" w:hAnsi="Times New Roman" w:cs="Times New Roman"/>
          <w:sz w:val="28"/>
        </w:rPr>
        <w:t xml:space="preserve">, es necesario no perder de </w:t>
      </w:r>
      <w:r w:rsidRPr="00E00F43">
        <w:rPr>
          <w:rFonts w:ascii="Times New Roman" w:hAnsi="Times New Roman" w:cs="Times New Roman"/>
          <w:sz w:val="28"/>
        </w:rPr>
        <w:t>vista que esta Corporación ha declarado la constitucionalidad de este tipo de mecanismos instrumentales que regularmente son creados para hacer efectivo el contenido de los tratados internacionales, sobre todo cuando se trata de la fijación de reglas sobre</w:t>
      </w:r>
      <w:r w:rsidRPr="00E00F43">
        <w:rPr>
          <w:rFonts w:ascii="Times New Roman" w:hAnsi="Times New Roman" w:cs="Times New Roman"/>
          <w:sz w:val="28"/>
        </w:rPr>
        <w:t xml:space="preserve"> algunas materias concretas.</w:t>
      </w:r>
      <w:r w:rsidRPr="00E00F43">
        <w:rPr>
          <w:rStyle w:val="Refdenotaalpie"/>
          <w:rFonts w:ascii="Times New Roman" w:hAnsi="Times New Roman"/>
          <w:bCs/>
          <w:sz w:val="28"/>
        </w:rPr>
        <w:footnoteReference w:id="85"/>
      </w:r>
      <w:r w:rsidRPr="00E00F43">
        <w:rPr>
          <w:rFonts w:ascii="Times New Roman" w:hAnsi="Times New Roman" w:cs="Times New Roman"/>
          <w:sz w:val="28"/>
        </w:rPr>
        <w:t xml:space="preserve"> En este caso, sobre las condiciones de seguridad en los vehículos, partes y equipos.</w:t>
      </w:r>
    </w:p>
    <w:p w:rsidR="00021E63" w:rsidRPr="00E00F43" w:rsidRDefault="00E00F43" w:rsidP="001E11D7">
      <w:pPr>
        <w:pStyle w:val="Ttulo"/>
        <w:numPr>
          <w:ilvl w:val="0"/>
          <w:numId w:val="0"/>
        </w:numPr>
        <w:rPr>
          <w:rFonts w:ascii="Times New Roman" w:hAnsi="Times New Roman" w:cs="Times New Roman"/>
          <w:sz w:val="28"/>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En relación con las definiciones, el artículo 1 del </w:t>
      </w:r>
      <w:r w:rsidRPr="00E00F43">
        <w:rPr>
          <w:rFonts w:ascii="Times New Roman" w:hAnsi="Times New Roman" w:cs="Times New Roman"/>
          <w:sz w:val="28"/>
        </w:rPr>
        <w:t>a</w:t>
      </w:r>
      <w:r w:rsidRPr="00E00F43">
        <w:rPr>
          <w:rFonts w:ascii="Times New Roman" w:hAnsi="Times New Roman" w:cs="Times New Roman"/>
          <w:sz w:val="28"/>
        </w:rPr>
        <w:t>cuerdo señala qué entender por “vehículos de ruedas, equipos y piezas”, por “homologaci</w:t>
      </w:r>
      <w:r w:rsidRPr="00E00F43">
        <w:rPr>
          <w:rFonts w:ascii="Times New Roman" w:hAnsi="Times New Roman" w:cs="Times New Roman"/>
          <w:sz w:val="28"/>
        </w:rPr>
        <w:t xml:space="preserve">ones de tipo con arreglo a un reglamento de las Naciones Unidas”, por “homologación de tipo de vehículos completos”, por “versión de un reglamento de las Naciones Unidas”, y por la frase “que aplique un reglamento de las Naciones Unidas”. Sobre el sentido </w:t>
      </w:r>
      <w:r w:rsidRPr="00E00F43">
        <w:rPr>
          <w:rFonts w:ascii="Times New Roman" w:hAnsi="Times New Roman" w:cs="Times New Roman"/>
          <w:sz w:val="28"/>
        </w:rPr>
        <w:t>y alcance de estas expresiones, la Corte no encuentra ningún problema de inconstitucionalidad. De hecho, la jurisprudencia de esta Corporación ha precisado que, por regla general, las definiciones contenidas en los tratados internacionales son herramientas</w:t>
      </w:r>
      <w:r w:rsidRPr="00E00F43">
        <w:rPr>
          <w:rFonts w:ascii="Times New Roman" w:hAnsi="Times New Roman" w:cs="Times New Roman"/>
          <w:sz w:val="28"/>
        </w:rPr>
        <w:t xml:space="preserve"> indispensables, pues determinan su adecuada implementación y contribuyen a la efectividad de principios como el de legalidad y seguridad jurídica. En ese sentido, para el caso, no se evidencian razones que lleven a concluir que el primer numeral del artíc</w:t>
      </w:r>
      <w:r w:rsidRPr="00E00F43">
        <w:rPr>
          <w:rFonts w:ascii="Times New Roman" w:hAnsi="Times New Roman" w:cs="Times New Roman"/>
          <w:sz w:val="28"/>
        </w:rPr>
        <w:t xml:space="preserve">ulo 1° no sea acorde con los contenidos de la Carta Política. Esta misma conclusión se predica del octavo numeral, en el que se incorpora la definición de “[p]artes contratantes que apliquen un reglamento de las Naciones Unidas”. </w:t>
      </w:r>
    </w:p>
    <w:p w:rsidR="00021E63" w:rsidRPr="00E00F43" w:rsidRDefault="00E00F43" w:rsidP="001E11D7">
      <w:pPr>
        <w:pStyle w:val="Ttulo"/>
        <w:numPr>
          <w:ilvl w:val="0"/>
          <w:numId w:val="0"/>
        </w:numPr>
        <w:rPr>
          <w:rFonts w:ascii="Times New Roman" w:hAnsi="Times New Roman" w:cs="Times New Roman"/>
          <w:sz w:val="28"/>
          <w:lang w:eastAsia="es-CO"/>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A su turno, los numerale</w:t>
      </w:r>
      <w:r w:rsidRPr="00E00F43">
        <w:rPr>
          <w:rFonts w:ascii="Times New Roman" w:hAnsi="Times New Roman" w:cs="Times New Roman"/>
          <w:sz w:val="28"/>
        </w:rPr>
        <w:t>s dos a siete fijan un conjunto de reglas instrumentales y procedimentales de funcionamiento del Comité de Administración, así como de adopción y aplicación formal de los reglamentos. En concreto, se establece (i) de nuevo, que el Comité está integrado por</w:t>
      </w:r>
      <w:r w:rsidRPr="00E00F43">
        <w:rPr>
          <w:rFonts w:ascii="Times New Roman" w:hAnsi="Times New Roman" w:cs="Times New Roman"/>
          <w:sz w:val="28"/>
        </w:rPr>
        <w:t xml:space="preserve"> todos los Estados parte; (ii) que cuando el Comité adopt</w:t>
      </w:r>
      <w:r w:rsidRPr="00E00F43">
        <w:rPr>
          <w:rFonts w:ascii="Times New Roman" w:hAnsi="Times New Roman" w:cs="Times New Roman"/>
          <w:sz w:val="28"/>
        </w:rPr>
        <w:t>e</w:t>
      </w:r>
      <w:r w:rsidRPr="00E00F43">
        <w:rPr>
          <w:rFonts w:ascii="Times New Roman" w:hAnsi="Times New Roman" w:cs="Times New Roman"/>
          <w:sz w:val="28"/>
        </w:rPr>
        <w:t xml:space="preserve"> un reglamento, lo remitirá al Secretario General y éste lo notificará “lo antes posible” a los Estados; (iii) que el reglamento respectivo se entiende adoptado, salvo que, en máximo seis meses, más</w:t>
      </w:r>
      <w:r w:rsidRPr="00E00F43">
        <w:rPr>
          <w:rFonts w:ascii="Times New Roman" w:hAnsi="Times New Roman" w:cs="Times New Roman"/>
          <w:sz w:val="28"/>
        </w:rPr>
        <w:t xml:space="preserve"> de una quinta parte de los Estados comunique su desacuerdo; (iv) asimismo, se señalan los contenidos mínimos que debe tener el reglamento; (v) se menciona que se adoptará un reglamento </w:t>
      </w:r>
      <w:r w:rsidRPr="00E00F43">
        <w:rPr>
          <w:rFonts w:ascii="Times New Roman" w:hAnsi="Times New Roman" w:cs="Times New Roman"/>
          <w:sz w:val="28"/>
        </w:rPr>
        <w:t xml:space="preserve">particular </w:t>
      </w:r>
      <w:r w:rsidRPr="00E00F43">
        <w:rPr>
          <w:rFonts w:ascii="Times New Roman" w:hAnsi="Times New Roman" w:cs="Times New Roman"/>
          <w:sz w:val="28"/>
        </w:rPr>
        <w:t xml:space="preserve">de homologación para el caso de los vehículos completos, y </w:t>
      </w:r>
      <w:r w:rsidRPr="00E00F43">
        <w:rPr>
          <w:rFonts w:ascii="Times New Roman" w:hAnsi="Times New Roman" w:cs="Times New Roman"/>
          <w:sz w:val="28"/>
        </w:rPr>
        <w:t>que en ést</w:t>
      </w:r>
      <w:r w:rsidRPr="00E00F43">
        <w:rPr>
          <w:rFonts w:ascii="Times New Roman" w:hAnsi="Times New Roman" w:cs="Times New Roman"/>
          <w:sz w:val="28"/>
        </w:rPr>
        <w:t>e</w:t>
      </w:r>
      <w:r w:rsidRPr="00E00F43">
        <w:rPr>
          <w:rFonts w:ascii="Times New Roman" w:hAnsi="Times New Roman" w:cs="Times New Roman"/>
          <w:sz w:val="28"/>
        </w:rPr>
        <w:t xml:space="preserve"> se señalará el ámbito de aplicación, los procedimientos administrativos y los requisitos técnicos. También, (vi) se indica que los reglamentos acogidos por el Comité entrarán en vigor en el momento en el que se señale en los mismos. </w:t>
      </w:r>
    </w:p>
    <w:p w:rsidR="00021E63" w:rsidRPr="00E00F43" w:rsidRDefault="00E00F43" w:rsidP="001E11D7">
      <w:pPr>
        <w:pStyle w:val="Ttulo"/>
        <w:numPr>
          <w:ilvl w:val="0"/>
          <w:numId w:val="0"/>
        </w:numPr>
        <w:rPr>
          <w:rFonts w:ascii="Times New Roman" w:hAnsi="Times New Roman" w:cs="Times New Roman"/>
          <w:sz w:val="28"/>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En el cas</w:t>
      </w:r>
      <w:r w:rsidRPr="00E00F43">
        <w:rPr>
          <w:rFonts w:ascii="Times New Roman" w:hAnsi="Times New Roman" w:cs="Times New Roman"/>
          <w:sz w:val="28"/>
        </w:rPr>
        <w:t>o del numeral quinto, se dispone una regla concreta para los nuevos Estados parte y/o los que depositan instrumento de adhesión, como es el caso de Colombia. Al respecto, esta norma señala tres cosas importantes: (i) estos Estados podrán declarar que no ap</w:t>
      </w:r>
      <w:r w:rsidRPr="00E00F43">
        <w:rPr>
          <w:rFonts w:ascii="Times New Roman" w:hAnsi="Times New Roman" w:cs="Times New Roman"/>
          <w:sz w:val="28"/>
        </w:rPr>
        <w:t xml:space="preserve">licarán alguno o todos los reglamentos anexos al </w:t>
      </w:r>
      <w:r w:rsidRPr="00E00F43">
        <w:rPr>
          <w:rFonts w:ascii="Times New Roman" w:hAnsi="Times New Roman" w:cs="Times New Roman"/>
          <w:sz w:val="28"/>
        </w:rPr>
        <w:t>A</w:t>
      </w:r>
      <w:r w:rsidRPr="00E00F43">
        <w:rPr>
          <w:rFonts w:ascii="Times New Roman" w:hAnsi="Times New Roman" w:cs="Times New Roman"/>
          <w:sz w:val="28"/>
        </w:rPr>
        <w:t>cuerdo; (ii) en el caso de que esté en curso la formulación y adopción de algún reglamento, éste le será comunicado al nuevo Estado y aquel podrá manifestar su desacuerdo hasta seis meses después del depósi</w:t>
      </w:r>
      <w:r w:rsidRPr="00E00F43">
        <w:rPr>
          <w:rFonts w:ascii="Times New Roman" w:hAnsi="Times New Roman" w:cs="Times New Roman"/>
          <w:sz w:val="28"/>
        </w:rPr>
        <w:t xml:space="preserve">to del instrumento de adhesión; y (iii) el </w:t>
      </w:r>
      <w:r w:rsidRPr="00E00F43">
        <w:rPr>
          <w:rFonts w:ascii="Times New Roman" w:hAnsi="Times New Roman" w:cs="Times New Roman"/>
          <w:sz w:val="28"/>
        </w:rPr>
        <w:t>secretario general</w:t>
      </w:r>
      <w:r w:rsidRPr="00E00F43">
        <w:rPr>
          <w:rFonts w:ascii="Times New Roman" w:hAnsi="Times New Roman" w:cs="Times New Roman"/>
          <w:sz w:val="28"/>
        </w:rPr>
        <w:t xml:space="preserve"> comunicará tales novedades a los demás Estados parte. </w:t>
      </w:r>
    </w:p>
    <w:p w:rsidR="00021E63" w:rsidRPr="00E00F43" w:rsidRDefault="00E00F43" w:rsidP="001E11D7">
      <w:pPr>
        <w:pStyle w:val="Ttulo"/>
        <w:numPr>
          <w:ilvl w:val="0"/>
          <w:numId w:val="0"/>
        </w:numPr>
        <w:rPr>
          <w:rFonts w:ascii="Times New Roman" w:hAnsi="Times New Roman" w:cs="Times New Roman"/>
          <w:sz w:val="28"/>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Asimismo, los numerales sexto y séptimo señalan reglas sobre la voluntad de los Estados parte frente a la aplicabilidad de los reglamentos</w:t>
      </w:r>
      <w:r w:rsidRPr="00E00F43">
        <w:rPr>
          <w:rFonts w:ascii="Times New Roman" w:hAnsi="Times New Roman" w:cs="Times New Roman"/>
          <w:sz w:val="28"/>
        </w:rPr>
        <w:t>. Primero, cualquiera podrá decidir en cualquier momento la intención de dejar de aplicar alguno de los reglamentos, con un preaviso de un año; segundo, también podrá comunicar su intención de adoptar un reglamento frente al cual había manifestado previame</w:t>
      </w:r>
      <w:r w:rsidRPr="00E00F43">
        <w:rPr>
          <w:rFonts w:ascii="Times New Roman" w:hAnsi="Times New Roman" w:cs="Times New Roman"/>
          <w:sz w:val="28"/>
        </w:rPr>
        <w:t xml:space="preserve">nte su inaplicabilidad, de manera que éste entrará a regir en el sexagésimo día siguiente a la notificación. </w:t>
      </w:r>
    </w:p>
    <w:p w:rsidR="00021E63" w:rsidRPr="00E00F43" w:rsidRDefault="00E00F43" w:rsidP="001E11D7">
      <w:pPr>
        <w:pStyle w:val="Ttulo"/>
        <w:numPr>
          <w:ilvl w:val="0"/>
          <w:numId w:val="0"/>
        </w:numPr>
        <w:rPr>
          <w:rFonts w:ascii="Times New Roman" w:hAnsi="Times New Roman" w:cs="Times New Roman"/>
          <w:sz w:val="28"/>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Al igual que las hasta ahora analizadas, las normas contenidas en los numerales dos a siete se ajustan a la Constitución. En primer lugar, su con</w:t>
      </w:r>
      <w:r w:rsidRPr="00E00F43">
        <w:rPr>
          <w:rFonts w:ascii="Times New Roman" w:hAnsi="Times New Roman" w:cs="Times New Roman"/>
          <w:sz w:val="28"/>
        </w:rPr>
        <w:t>tenido es estrictamente procedimental y se armoniza plenamente con los contenidos de la Constitución Política, al ser respetuoso de la autodeterminación de los Estados parte, siendo ese un principio que, como ya ha quedado claro, gobierna las relaciones ex</w:t>
      </w:r>
      <w:r w:rsidRPr="00E00F43">
        <w:rPr>
          <w:rFonts w:ascii="Times New Roman" w:hAnsi="Times New Roman" w:cs="Times New Roman"/>
          <w:sz w:val="28"/>
        </w:rPr>
        <w:t xml:space="preserve">teriores de Colombia, a la luz de los artículos 9, 226 y 227 superiores. Es más, estas reglas son particularmente cuidadosas en garantizar los mecanismos no solo de participación en la creación y adopción de los reglamentos ONU, sino </w:t>
      </w:r>
      <w:r w:rsidRPr="00E00F43">
        <w:rPr>
          <w:rFonts w:ascii="Times New Roman" w:hAnsi="Times New Roman" w:cs="Times New Roman"/>
          <w:sz w:val="28"/>
        </w:rPr>
        <w:t>en la</w:t>
      </w:r>
      <w:r w:rsidRPr="00E00F43">
        <w:rPr>
          <w:rFonts w:ascii="Times New Roman" w:hAnsi="Times New Roman" w:cs="Times New Roman"/>
          <w:sz w:val="28"/>
        </w:rPr>
        <w:t xml:space="preserve"> formulación de o</w:t>
      </w:r>
      <w:r w:rsidRPr="00E00F43">
        <w:rPr>
          <w:rFonts w:ascii="Times New Roman" w:hAnsi="Times New Roman" w:cs="Times New Roman"/>
          <w:sz w:val="28"/>
        </w:rPr>
        <w:t xml:space="preserve">bjeciones e, incluso, </w:t>
      </w:r>
      <w:r w:rsidRPr="00E00F43">
        <w:rPr>
          <w:rFonts w:ascii="Times New Roman" w:hAnsi="Times New Roman" w:cs="Times New Roman"/>
          <w:sz w:val="28"/>
        </w:rPr>
        <w:t>en la</w:t>
      </w:r>
      <w:r w:rsidRPr="00E00F43">
        <w:rPr>
          <w:rFonts w:ascii="Times New Roman" w:hAnsi="Times New Roman" w:cs="Times New Roman"/>
          <w:sz w:val="28"/>
        </w:rPr>
        <w:t xml:space="preserve"> inaplicabilidad de los mismos, de acuerdo con la voluntad internacional de las partes, todo lo cual muestra un claro respeto por la soberanía estatal (</w:t>
      </w:r>
      <w:r w:rsidRPr="00E00F43">
        <w:rPr>
          <w:rFonts w:ascii="Times New Roman" w:hAnsi="Times New Roman" w:cs="Times New Roman"/>
          <w:sz w:val="28"/>
        </w:rPr>
        <w:t>a</w:t>
      </w:r>
      <w:r w:rsidRPr="00E00F43">
        <w:rPr>
          <w:rFonts w:ascii="Times New Roman" w:hAnsi="Times New Roman" w:cs="Times New Roman"/>
          <w:sz w:val="28"/>
        </w:rPr>
        <w:t>rt. 3</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C.P.</w:t>
      </w:r>
      <w:r w:rsidRPr="00E00F43">
        <w:rPr>
          <w:rFonts w:ascii="Times New Roman" w:hAnsi="Times New Roman" w:cs="Times New Roman"/>
          <w:sz w:val="28"/>
        </w:rPr>
        <w:t>). Esto, además, es especialmente relevante en el caso de los nue</w:t>
      </w:r>
      <w:r w:rsidRPr="00E00F43">
        <w:rPr>
          <w:rFonts w:ascii="Times New Roman" w:hAnsi="Times New Roman" w:cs="Times New Roman"/>
          <w:sz w:val="28"/>
        </w:rPr>
        <w:t>vos Estados parte, a los cuales el instrumento le respeta expresamente su autonomía frente a la adopción de los reglamentos existentes y en trámite. De hecho, el Estado que se adhiere, como sería el caso de Colombia, debe informar si aplica uno, varios o t</w:t>
      </w:r>
      <w:r w:rsidRPr="00E00F43">
        <w:rPr>
          <w:rFonts w:ascii="Times New Roman" w:hAnsi="Times New Roman" w:cs="Times New Roman"/>
          <w:sz w:val="28"/>
        </w:rPr>
        <w:t xml:space="preserve">odos los reglamentos adoptados y aprobados por la ONU sobre la materia, e incluso tiene la posibilidad de mantener su propia legislación nacional o la regional, lo que se acompasa con la soberanía nacional y con la autodeterminación de los pueblos.  </w:t>
      </w:r>
    </w:p>
    <w:p w:rsidR="00021E63" w:rsidRPr="00E00F43" w:rsidRDefault="00E00F43" w:rsidP="001E11D7">
      <w:pPr>
        <w:pStyle w:val="Ttulo"/>
        <w:numPr>
          <w:ilvl w:val="0"/>
          <w:numId w:val="0"/>
        </w:numPr>
        <w:rPr>
          <w:rFonts w:ascii="Times New Roman" w:hAnsi="Times New Roman" w:cs="Times New Roman"/>
          <w:sz w:val="28"/>
          <w:lang w:eastAsia="es-CO"/>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Por </w:t>
      </w:r>
      <w:r w:rsidRPr="00E00F43">
        <w:rPr>
          <w:rFonts w:ascii="Times New Roman" w:hAnsi="Times New Roman" w:cs="Times New Roman"/>
          <w:sz w:val="28"/>
        </w:rPr>
        <w:t xml:space="preserve">último, estas disposiciones reflejan la preocupación del </w:t>
      </w:r>
      <w:r w:rsidRPr="00E00F43">
        <w:rPr>
          <w:rFonts w:ascii="Times New Roman" w:hAnsi="Times New Roman" w:cs="Times New Roman"/>
          <w:sz w:val="28"/>
        </w:rPr>
        <w:t>A</w:t>
      </w:r>
      <w:r w:rsidRPr="00E00F43">
        <w:rPr>
          <w:rFonts w:ascii="Times New Roman" w:hAnsi="Times New Roman" w:cs="Times New Roman"/>
          <w:sz w:val="28"/>
        </w:rPr>
        <w:t>cuerdo por garantizar la mayor celeridad y transparencia técnica posible</w:t>
      </w:r>
      <w:r w:rsidRPr="00E00F43">
        <w:rPr>
          <w:rFonts w:ascii="Times New Roman" w:hAnsi="Times New Roman" w:cs="Times New Roman"/>
          <w:sz w:val="28"/>
        </w:rPr>
        <w:t>s</w:t>
      </w:r>
      <w:r w:rsidRPr="00E00F43">
        <w:rPr>
          <w:rFonts w:ascii="Times New Roman" w:hAnsi="Times New Roman" w:cs="Times New Roman"/>
          <w:sz w:val="28"/>
        </w:rPr>
        <w:t xml:space="preserve"> en la fijación de los reglamentos ONU, al describir el contenido mínimo que éstos deben tener y el trámite que deben seguir,</w:t>
      </w:r>
      <w:r w:rsidRPr="00E00F43">
        <w:rPr>
          <w:rFonts w:ascii="Times New Roman" w:hAnsi="Times New Roman" w:cs="Times New Roman"/>
          <w:sz w:val="28"/>
        </w:rPr>
        <w:t xml:space="preserve"> con un amplio respeto por la participación de los Estados parte. Esto debe ser leído</w:t>
      </w:r>
      <w:r w:rsidRPr="00E00F43">
        <w:rPr>
          <w:rFonts w:ascii="Times New Roman" w:hAnsi="Times New Roman" w:cs="Times New Roman"/>
          <w:sz w:val="28"/>
        </w:rPr>
        <w:t>, además,</w:t>
      </w:r>
      <w:r w:rsidRPr="00E00F43">
        <w:rPr>
          <w:rFonts w:ascii="Times New Roman" w:hAnsi="Times New Roman" w:cs="Times New Roman"/>
          <w:sz w:val="28"/>
        </w:rPr>
        <w:t xml:space="preserve"> en perspectiva de las importantes finalidades que motivan la existencia de este tratado, tal como se reseñó en el anterior acápite considerativo, asociadas esenc</w:t>
      </w:r>
      <w:r w:rsidRPr="00E00F43">
        <w:rPr>
          <w:rFonts w:ascii="Times New Roman" w:hAnsi="Times New Roman" w:cs="Times New Roman"/>
          <w:sz w:val="28"/>
        </w:rPr>
        <w:t xml:space="preserve">ialmente al mejoramiento de la calidad de vida de las personas </w:t>
      </w:r>
      <w:r w:rsidRPr="00E00F43">
        <w:rPr>
          <w:rFonts w:ascii="Times New Roman" w:hAnsi="Times New Roman" w:cs="Times New Roman"/>
          <w:sz w:val="28"/>
        </w:rPr>
        <w:t>–</w:t>
      </w:r>
      <w:r w:rsidRPr="00E00F43">
        <w:rPr>
          <w:rFonts w:ascii="Times New Roman" w:hAnsi="Times New Roman" w:cs="Times New Roman"/>
          <w:sz w:val="28"/>
        </w:rPr>
        <w:t>sobre todo en términos del derecho a la vida y a la seguridad personal</w:t>
      </w:r>
      <w:r w:rsidRPr="00E00F43">
        <w:rPr>
          <w:rFonts w:ascii="Times New Roman" w:hAnsi="Times New Roman" w:cs="Times New Roman"/>
          <w:sz w:val="28"/>
        </w:rPr>
        <w:t>–</w:t>
      </w:r>
      <w:r w:rsidRPr="00E00F43">
        <w:rPr>
          <w:rFonts w:ascii="Times New Roman" w:hAnsi="Times New Roman" w:cs="Times New Roman"/>
          <w:sz w:val="28"/>
        </w:rPr>
        <w:t>, a la protección del medio ambiente y a la cooperación internacional efectiva; todas amparadas, también, por nuestro ord</w:t>
      </w:r>
      <w:r w:rsidRPr="00E00F43">
        <w:rPr>
          <w:rFonts w:ascii="Times New Roman" w:hAnsi="Times New Roman" w:cs="Times New Roman"/>
          <w:sz w:val="28"/>
        </w:rPr>
        <w:t xml:space="preserve">enamiento constitucional. Se trata, en últimas, de reglas instrumentales que son indispensables para materializar los propósitos y fines del </w:t>
      </w:r>
      <w:r w:rsidRPr="00E00F43">
        <w:rPr>
          <w:rFonts w:ascii="Times New Roman" w:hAnsi="Times New Roman" w:cs="Times New Roman"/>
          <w:sz w:val="28"/>
        </w:rPr>
        <w:t>A</w:t>
      </w:r>
      <w:r w:rsidRPr="00E00F43">
        <w:rPr>
          <w:rFonts w:ascii="Times New Roman" w:hAnsi="Times New Roman" w:cs="Times New Roman"/>
          <w:sz w:val="28"/>
        </w:rPr>
        <w:t>cuerdo.</w:t>
      </w:r>
    </w:p>
    <w:p w:rsidR="0034361D" w:rsidRPr="00E00F43" w:rsidRDefault="00E00F43" w:rsidP="001E11D7">
      <w:pPr>
        <w:pStyle w:val="Ttulo"/>
        <w:numPr>
          <w:ilvl w:val="0"/>
          <w:numId w:val="0"/>
        </w:numPr>
        <w:rPr>
          <w:rFonts w:ascii="Times New Roman" w:hAnsi="Times New Roman" w:cs="Times New Roman"/>
          <w:sz w:val="28"/>
          <w:lang w:eastAsia="es-CO"/>
        </w:rPr>
      </w:pPr>
    </w:p>
    <w:p w:rsidR="0034361D"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Con todo, en esta ocasión </w:t>
      </w:r>
      <w:r w:rsidRPr="00E00F43">
        <w:rPr>
          <w:rFonts w:ascii="Times New Roman" w:hAnsi="Times New Roman" w:cs="Times New Roman"/>
          <w:sz w:val="28"/>
        </w:rPr>
        <w:t>es</w:t>
      </w:r>
      <w:r w:rsidRPr="00E00F43">
        <w:rPr>
          <w:rFonts w:ascii="Times New Roman" w:hAnsi="Times New Roman" w:cs="Times New Roman"/>
          <w:sz w:val="28"/>
        </w:rPr>
        <w:t xml:space="preserve"> </w:t>
      </w:r>
      <w:r w:rsidRPr="00E00F43">
        <w:rPr>
          <w:rFonts w:ascii="Times New Roman" w:hAnsi="Times New Roman" w:cs="Times New Roman"/>
          <w:sz w:val="28"/>
        </w:rPr>
        <w:t>pertinente</w:t>
      </w:r>
      <w:r w:rsidRPr="00E00F43">
        <w:rPr>
          <w:rFonts w:ascii="Times New Roman" w:hAnsi="Times New Roman" w:cs="Times New Roman"/>
          <w:sz w:val="28"/>
        </w:rPr>
        <w:t xml:space="preserve"> </w:t>
      </w:r>
      <w:r w:rsidRPr="00E00F43">
        <w:rPr>
          <w:rFonts w:ascii="Times New Roman" w:hAnsi="Times New Roman" w:cs="Times New Roman"/>
          <w:sz w:val="28"/>
        </w:rPr>
        <w:t>recordar</w:t>
      </w:r>
      <w:r w:rsidRPr="00E00F43">
        <w:rPr>
          <w:rFonts w:ascii="Times New Roman" w:hAnsi="Times New Roman" w:cs="Times New Roman"/>
          <w:sz w:val="28"/>
        </w:rPr>
        <w:t xml:space="preserve"> que, en materia de modificación de los instrumentos internacionales suscritos por Colombia </w:t>
      </w:r>
      <w:r w:rsidRPr="00E00F43">
        <w:rPr>
          <w:rFonts w:ascii="Times New Roman" w:hAnsi="Times New Roman" w:cs="Times New Roman"/>
          <w:sz w:val="28"/>
        </w:rPr>
        <w:t xml:space="preserve">y de </w:t>
      </w:r>
      <w:r w:rsidRPr="00E00F43">
        <w:rPr>
          <w:rFonts w:ascii="Times New Roman" w:hAnsi="Times New Roman" w:cs="Times New Roman"/>
          <w:sz w:val="28"/>
        </w:rPr>
        <w:t>in</w:t>
      </w:r>
      <w:r w:rsidRPr="00E00F43">
        <w:rPr>
          <w:rFonts w:ascii="Times New Roman" w:hAnsi="Times New Roman" w:cs="Times New Roman"/>
          <w:sz w:val="28"/>
        </w:rPr>
        <w:t xml:space="preserve">troducción </w:t>
      </w:r>
      <w:r w:rsidRPr="00E00F43">
        <w:rPr>
          <w:rFonts w:ascii="Times New Roman" w:hAnsi="Times New Roman" w:cs="Times New Roman"/>
          <w:sz w:val="28"/>
        </w:rPr>
        <w:t>de nuevas disposiciones derivadas</w:t>
      </w:r>
      <w:r w:rsidRPr="00E00F43">
        <w:rPr>
          <w:rFonts w:ascii="Times New Roman" w:hAnsi="Times New Roman" w:cs="Times New Roman"/>
          <w:sz w:val="28"/>
        </w:rPr>
        <w:t xml:space="preserve"> directamente </w:t>
      </w:r>
      <w:r w:rsidRPr="00E00F43">
        <w:rPr>
          <w:rFonts w:ascii="Times New Roman" w:hAnsi="Times New Roman" w:cs="Times New Roman"/>
          <w:sz w:val="28"/>
        </w:rPr>
        <w:t xml:space="preserve">de aquellos, </w:t>
      </w:r>
      <w:r w:rsidRPr="00E00F43">
        <w:rPr>
          <w:rFonts w:ascii="Times New Roman" w:hAnsi="Times New Roman" w:cs="Times New Roman"/>
          <w:sz w:val="28"/>
        </w:rPr>
        <w:t>la Corte</w:t>
      </w:r>
      <w:r w:rsidRPr="00E00F43">
        <w:rPr>
          <w:rFonts w:ascii="Times New Roman" w:hAnsi="Times New Roman" w:cs="Times New Roman"/>
          <w:sz w:val="28"/>
        </w:rPr>
        <w:t xml:space="preserve"> ha sido especialmente clara en precisar que las enmiendas que se surtan con p</w:t>
      </w:r>
      <w:r w:rsidRPr="00E00F43">
        <w:rPr>
          <w:rFonts w:ascii="Times New Roman" w:hAnsi="Times New Roman" w:cs="Times New Roman"/>
          <w:sz w:val="28"/>
        </w:rPr>
        <w:t xml:space="preserve">osterioridad sobre el tratado respectivo, </w:t>
      </w:r>
      <w:r w:rsidRPr="00E00F43">
        <w:rPr>
          <w:rFonts w:ascii="Times New Roman" w:hAnsi="Times New Roman" w:cs="Times New Roman"/>
          <w:i/>
          <w:sz w:val="28"/>
        </w:rPr>
        <w:t>y que impliquen nuevas obligaciones para el Estado</w:t>
      </w:r>
      <w:r w:rsidRPr="00E00F43">
        <w:rPr>
          <w:rFonts w:ascii="Times New Roman" w:hAnsi="Times New Roman" w:cs="Times New Roman"/>
          <w:sz w:val="28"/>
        </w:rPr>
        <w:t xml:space="preserve">, deben someterse a las reglas del derecho interno sobre la aprobación de </w:t>
      </w:r>
      <w:r w:rsidRPr="00E00F43">
        <w:rPr>
          <w:rFonts w:ascii="Times New Roman" w:hAnsi="Times New Roman" w:cs="Times New Roman"/>
          <w:sz w:val="28"/>
        </w:rPr>
        <w:t>cualquier tratado internacional</w:t>
      </w:r>
      <w:r w:rsidRPr="00E00F43">
        <w:rPr>
          <w:rFonts w:ascii="Times New Roman" w:hAnsi="Times New Roman" w:cs="Times New Roman"/>
          <w:sz w:val="28"/>
        </w:rPr>
        <w:t xml:space="preserve">. Así, por ejemplo, en la Sentencia C-822 de 2012, </w:t>
      </w:r>
      <w:r w:rsidRPr="00E00F43">
        <w:rPr>
          <w:rFonts w:ascii="Times New Roman" w:hAnsi="Times New Roman" w:cs="Times New Roman"/>
          <w:sz w:val="28"/>
        </w:rPr>
        <w:t>se</w:t>
      </w:r>
      <w:r w:rsidRPr="00E00F43">
        <w:rPr>
          <w:rFonts w:ascii="Times New Roman" w:hAnsi="Times New Roman" w:cs="Times New Roman"/>
          <w:sz w:val="28"/>
        </w:rPr>
        <w:t xml:space="preserve"> expli</w:t>
      </w:r>
      <w:r w:rsidRPr="00E00F43">
        <w:rPr>
          <w:rFonts w:ascii="Times New Roman" w:hAnsi="Times New Roman" w:cs="Times New Roman"/>
          <w:sz w:val="28"/>
        </w:rPr>
        <w:t>có que:</w:t>
      </w:r>
    </w:p>
    <w:p w:rsidR="0034361D" w:rsidRPr="00E00F43" w:rsidRDefault="00E00F43" w:rsidP="0034361D">
      <w:pPr>
        <w:pStyle w:val="Prrafodelista"/>
        <w:ind w:right="335"/>
        <w:rPr>
          <w:rFonts w:ascii="Times New Roman" w:hAnsi="Times New Roman" w:cs="Times New Roman"/>
          <w:bCs/>
          <w:sz w:val="28"/>
          <w:szCs w:val="24"/>
          <w:lang w:val="es-ES"/>
        </w:rPr>
      </w:pPr>
    </w:p>
    <w:p w:rsidR="0034361D" w:rsidRPr="00E00F43" w:rsidRDefault="00E00F43" w:rsidP="0034361D">
      <w:pPr>
        <w:pStyle w:val="Prrafodelista"/>
        <w:ind w:right="335"/>
        <w:rPr>
          <w:rFonts w:ascii="Times New Roman" w:hAnsi="Times New Roman" w:cs="Times New Roman"/>
          <w:bCs/>
          <w:sz w:val="28"/>
          <w:szCs w:val="24"/>
          <w:lang w:val="es-ES"/>
        </w:rPr>
      </w:pPr>
      <w:r w:rsidRPr="00E00F43">
        <w:rPr>
          <w:rFonts w:ascii="Times New Roman" w:hAnsi="Times New Roman" w:cs="Times New Roman"/>
          <w:bCs/>
          <w:sz w:val="28"/>
          <w:szCs w:val="24"/>
          <w:lang w:val="es-ES"/>
        </w:rPr>
        <w:t>“[las] modificaciones deben someterse a lo dispuesto en el ordenamiento interno para la aprobación de tratados internacionales, esto es, a la aprobación del Congreso de la República (artículo 150-16) y al control automático de la Corte Constitucio</w:t>
      </w:r>
      <w:r w:rsidRPr="00E00F43">
        <w:rPr>
          <w:rFonts w:ascii="Times New Roman" w:hAnsi="Times New Roman" w:cs="Times New Roman"/>
          <w:bCs/>
          <w:sz w:val="28"/>
          <w:szCs w:val="24"/>
          <w:lang w:val="es-ES"/>
        </w:rPr>
        <w:t>nal (artículo 241-10).   En efecto, este artículo dispone: “Las Altas Partes contratantes se reservan la facultad de aportar de común acuerdo a la presente Convención todas las modificaciones cuya experiencia demostrasen ser de utilidad”. || El motivo para</w:t>
      </w:r>
      <w:r w:rsidRPr="00E00F43">
        <w:rPr>
          <w:rFonts w:ascii="Times New Roman" w:hAnsi="Times New Roman" w:cs="Times New Roman"/>
          <w:bCs/>
          <w:sz w:val="28"/>
          <w:szCs w:val="24"/>
          <w:lang w:val="es-ES"/>
        </w:rPr>
        <w:t xml:space="preserve"> exigir que las modificaciones introducidas a la Convención inicialmente suscrita se sometan a la aprobación del Congreso y al control de la Corte Constitucional, se sustentan en que dichas reformas (en menor o mayor grado) transforman las obligaciones y l</w:t>
      </w:r>
      <w:r w:rsidRPr="00E00F43">
        <w:rPr>
          <w:rFonts w:ascii="Times New Roman" w:hAnsi="Times New Roman" w:cs="Times New Roman"/>
          <w:bCs/>
          <w:sz w:val="28"/>
          <w:szCs w:val="24"/>
          <w:lang w:val="es-ES"/>
        </w:rPr>
        <w:t>as condiciones anteriormente pactadas. Por consiguiente, el Presidente de la República sólo puede manifestar su consentimiento una vez cumplidos dichos requisitos constitucionales”</w:t>
      </w:r>
      <w:r w:rsidRPr="00E00F43">
        <w:rPr>
          <w:rStyle w:val="Refdenotaalpie"/>
          <w:rFonts w:ascii="Times New Roman" w:hAnsi="Times New Roman"/>
          <w:bCs/>
          <w:sz w:val="28"/>
          <w:szCs w:val="24"/>
          <w:lang w:val="es-ES"/>
        </w:rPr>
        <w:footnoteReference w:id="86"/>
      </w:r>
      <w:r w:rsidRPr="00E00F43">
        <w:rPr>
          <w:rFonts w:ascii="Times New Roman" w:hAnsi="Times New Roman" w:cs="Times New Roman"/>
          <w:bCs/>
          <w:sz w:val="28"/>
          <w:szCs w:val="24"/>
          <w:lang w:val="es-ES"/>
        </w:rPr>
        <w:t>.</w:t>
      </w:r>
    </w:p>
    <w:p w:rsidR="0034361D" w:rsidRPr="00E00F43" w:rsidRDefault="00E00F43" w:rsidP="0034361D">
      <w:pPr>
        <w:pStyle w:val="Prrafodelista"/>
        <w:rPr>
          <w:rFonts w:ascii="Times New Roman" w:hAnsi="Times New Roman" w:cs="Times New Roman"/>
          <w:bCs/>
          <w:sz w:val="28"/>
          <w:szCs w:val="24"/>
          <w:lang w:val="es-ES"/>
        </w:rPr>
      </w:pPr>
    </w:p>
    <w:p w:rsidR="00727CB7"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Lo anterior es importante en el estudio de este eje temático, conformado</w:t>
      </w:r>
      <w:r w:rsidRPr="00E00F43">
        <w:rPr>
          <w:rFonts w:ascii="Times New Roman" w:hAnsi="Times New Roman" w:cs="Times New Roman"/>
          <w:sz w:val="28"/>
        </w:rPr>
        <w:t xml:space="preserve"> por el </w:t>
      </w:r>
      <w:r w:rsidRPr="00E00F43">
        <w:rPr>
          <w:rFonts w:ascii="Times New Roman" w:hAnsi="Times New Roman" w:cs="Times New Roman"/>
          <w:sz w:val="28"/>
        </w:rPr>
        <w:t>A</w:t>
      </w:r>
      <w:r w:rsidRPr="00E00F43">
        <w:rPr>
          <w:rFonts w:ascii="Times New Roman" w:hAnsi="Times New Roman" w:cs="Times New Roman"/>
          <w:sz w:val="28"/>
        </w:rPr>
        <w:t xml:space="preserve">rtículo 1° y el </w:t>
      </w:r>
      <w:r w:rsidRPr="00E00F43">
        <w:rPr>
          <w:rFonts w:ascii="Times New Roman" w:hAnsi="Times New Roman" w:cs="Times New Roman"/>
          <w:sz w:val="28"/>
        </w:rPr>
        <w:t>A</w:t>
      </w:r>
      <w:r w:rsidRPr="00E00F43">
        <w:rPr>
          <w:rFonts w:ascii="Times New Roman" w:hAnsi="Times New Roman" w:cs="Times New Roman"/>
          <w:sz w:val="28"/>
        </w:rPr>
        <w:t>péndice del Acuerdo</w:t>
      </w:r>
      <w:r w:rsidRPr="00E00F43">
        <w:rPr>
          <w:rFonts w:ascii="Times New Roman" w:hAnsi="Times New Roman" w:cs="Times New Roman"/>
          <w:sz w:val="28"/>
        </w:rPr>
        <w:t xml:space="preserve"> de 1958</w:t>
      </w:r>
      <w:r w:rsidRPr="00E00F43">
        <w:rPr>
          <w:rFonts w:ascii="Times New Roman" w:hAnsi="Times New Roman" w:cs="Times New Roman"/>
          <w:sz w:val="28"/>
        </w:rPr>
        <w:t>,</w:t>
      </w:r>
      <w:r w:rsidRPr="00E00F43">
        <w:rPr>
          <w:rFonts w:ascii="Times New Roman" w:hAnsi="Times New Roman" w:cs="Times New Roman"/>
          <w:sz w:val="28"/>
        </w:rPr>
        <w:t xml:space="preserve"> Revisión 3,</w:t>
      </w:r>
      <w:r w:rsidRPr="00E00F43">
        <w:rPr>
          <w:rFonts w:ascii="Times New Roman" w:hAnsi="Times New Roman" w:cs="Times New Roman"/>
          <w:sz w:val="28"/>
        </w:rPr>
        <w:t xml:space="preserve"> pues </w:t>
      </w:r>
      <w:r w:rsidRPr="00E00F43">
        <w:rPr>
          <w:rFonts w:ascii="Times New Roman" w:hAnsi="Times New Roman" w:cs="Times New Roman"/>
          <w:sz w:val="28"/>
        </w:rPr>
        <w:t xml:space="preserve">en </w:t>
      </w:r>
      <w:r w:rsidRPr="00E00F43">
        <w:rPr>
          <w:rFonts w:ascii="Times New Roman" w:hAnsi="Times New Roman" w:cs="Times New Roman"/>
          <w:sz w:val="28"/>
        </w:rPr>
        <w:t xml:space="preserve">ambas disposiciones se </w:t>
      </w:r>
      <w:r w:rsidRPr="00E00F43">
        <w:rPr>
          <w:rFonts w:ascii="Times New Roman" w:hAnsi="Times New Roman" w:cs="Times New Roman"/>
          <w:sz w:val="28"/>
        </w:rPr>
        <w:t xml:space="preserve">prevén </w:t>
      </w:r>
      <w:r w:rsidRPr="00E00F43">
        <w:rPr>
          <w:rFonts w:ascii="Times New Roman" w:hAnsi="Times New Roman" w:cs="Times New Roman"/>
          <w:sz w:val="28"/>
        </w:rPr>
        <w:t>reglas dirigidas no sólo a la adopción de los reglamentos ONU ya existentes, sino a la creación e implementación futura</w:t>
      </w:r>
      <w:r w:rsidRPr="00E00F43">
        <w:rPr>
          <w:rFonts w:ascii="Times New Roman" w:hAnsi="Times New Roman" w:cs="Times New Roman"/>
          <w:sz w:val="28"/>
        </w:rPr>
        <w:t>s</w:t>
      </w:r>
      <w:r w:rsidRPr="00E00F43">
        <w:rPr>
          <w:rFonts w:ascii="Times New Roman" w:hAnsi="Times New Roman" w:cs="Times New Roman"/>
          <w:sz w:val="28"/>
        </w:rPr>
        <w:t xml:space="preserve"> de nuevas reglamentaciones. Pa</w:t>
      </w:r>
      <w:r w:rsidRPr="00E00F43">
        <w:rPr>
          <w:rFonts w:ascii="Times New Roman" w:hAnsi="Times New Roman" w:cs="Times New Roman"/>
          <w:sz w:val="28"/>
        </w:rPr>
        <w:t>ra la Sala, esto último puede dar lugar a que, con posterioridad a la adhesión de Colombia, y e</w:t>
      </w:r>
      <w:r w:rsidRPr="00E00F43">
        <w:rPr>
          <w:rFonts w:ascii="Times New Roman" w:hAnsi="Times New Roman" w:cs="Times New Roman"/>
          <w:sz w:val="28"/>
        </w:rPr>
        <w:t>n el</w:t>
      </w:r>
      <w:r w:rsidRPr="00E00F43">
        <w:rPr>
          <w:rFonts w:ascii="Times New Roman" w:hAnsi="Times New Roman" w:cs="Times New Roman"/>
          <w:sz w:val="28"/>
        </w:rPr>
        <w:t xml:space="preserve"> ejercicio de </w:t>
      </w:r>
      <w:r w:rsidRPr="00E00F43">
        <w:rPr>
          <w:rFonts w:ascii="Times New Roman" w:hAnsi="Times New Roman" w:cs="Times New Roman"/>
          <w:sz w:val="28"/>
        </w:rPr>
        <w:t>las</w:t>
      </w:r>
      <w:r w:rsidRPr="00E00F43">
        <w:rPr>
          <w:rFonts w:ascii="Times New Roman" w:hAnsi="Times New Roman" w:cs="Times New Roman"/>
          <w:sz w:val="28"/>
        </w:rPr>
        <w:t xml:space="preserve"> facultades</w:t>
      </w:r>
      <w:r w:rsidRPr="00E00F43">
        <w:rPr>
          <w:rFonts w:ascii="Times New Roman" w:hAnsi="Times New Roman" w:cs="Times New Roman"/>
          <w:sz w:val="28"/>
        </w:rPr>
        <w:t xml:space="preserve"> de</w:t>
      </w:r>
      <w:r w:rsidRPr="00E00F43">
        <w:rPr>
          <w:rFonts w:ascii="Times New Roman" w:hAnsi="Times New Roman" w:cs="Times New Roman"/>
          <w:sz w:val="28"/>
        </w:rPr>
        <w:t xml:space="preserve"> creación </w:t>
      </w:r>
      <w:r w:rsidRPr="00E00F43">
        <w:rPr>
          <w:rFonts w:ascii="Times New Roman" w:hAnsi="Times New Roman" w:cs="Times New Roman"/>
          <w:sz w:val="28"/>
        </w:rPr>
        <w:t>normativa</w:t>
      </w:r>
      <w:r w:rsidRPr="00E00F43">
        <w:rPr>
          <w:rFonts w:ascii="Times New Roman" w:hAnsi="Times New Roman" w:cs="Times New Roman"/>
          <w:sz w:val="28"/>
        </w:rPr>
        <w:t xml:space="preserve"> para las que está </w:t>
      </w:r>
      <w:r w:rsidRPr="00E00F43">
        <w:rPr>
          <w:rFonts w:ascii="Times New Roman" w:hAnsi="Times New Roman" w:cs="Times New Roman"/>
          <w:sz w:val="28"/>
        </w:rPr>
        <w:t xml:space="preserve">instituido </w:t>
      </w:r>
      <w:r w:rsidRPr="00E00F43">
        <w:rPr>
          <w:rFonts w:ascii="Times New Roman" w:hAnsi="Times New Roman" w:cs="Times New Roman"/>
          <w:sz w:val="28"/>
        </w:rPr>
        <w:t xml:space="preserve">el Comité de Administración, puedan surgir </w:t>
      </w:r>
      <w:r w:rsidRPr="00E00F43">
        <w:rPr>
          <w:rFonts w:ascii="Times New Roman" w:hAnsi="Times New Roman" w:cs="Times New Roman"/>
          <w:sz w:val="28"/>
        </w:rPr>
        <w:t xml:space="preserve">reglamentos </w:t>
      </w:r>
      <w:r w:rsidRPr="00E00F43">
        <w:rPr>
          <w:rFonts w:ascii="Times New Roman" w:hAnsi="Times New Roman" w:cs="Times New Roman"/>
          <w:sz w:val="28"/>
        </w:rPr>
        <w:t xml:space="preserve">que </w:t>
      </w:r>
      <w:r w:rsidRPr="00E00F43">
        <w:rPr>
          <w:rFonts w:ascii="Times New Roman" w:hAnsi="Times New Roman" w:cs="Times New Roman"/>
          <w:sz w:val="28"/>
        </w:rPr>
        <w:t xml:space="preserve">eventualmente </w:t>
      </w:r>
      <w:r w:rsidRPr="00E00F43">
        <w:rPr>
          <w:rFonts w:ascii="Times New Roman" w:hAnsi="Times New Roman" w:cs="Times New Roman"/>
          <w:sz w:val="28"/>
        </w:rPr>
        <w:t>acarreen nuevas</w:t>
      </w:r>
      <w:r w:rsidRPr="00E00F43">
        <w:rPr>
          <w:rFonts w:ascii="Times New Roman" w:hAnsi="Times New Roman" w:cs="Times New Roman"/>
          <w:sz w:val="28"/>
        </w:rPr>
        <w:t xml:space="preserve"> obligaciones internacionales</w:t>
      </w:r>
      <w:r w:rsidRPr="00E00F43">
        <w:rPr>
          <w:rFonts w:ascii="Times New Roman" w:hAnsi="Times New Roman" w:cs="Times New Roman"/>
          <w:sz w:val="28"/>
        </w:rPr>
        <w:t xml:space="preserve"> para el Estado, que no estuvieron </w:t>
      </w:r>
      <w:r w:rsidRPr="00E00F43">
        <w:rPr>
          <w:rFonts w:ascii="Times New Roman" w:hAnsi="Times New Roman" w:cs="Times New Roman"/>
          <w:sz w:val="28"/>
        </w:rPr>
        <w:t xml:space="preserve">contempladas en la fase </w:t>
      </w:r>
      <w:r w:rsidRPr="00E00F43">
        <w:rPr>
          <w:rFonts w:ascii="Times New Roman" w:hAnsi="Times New Roman" w:cs="Times New Roman"/>
          <w:sz w:val="28"/>
        </w:rPr>
        <w:t xml:space="preserve">de </w:t>
      </w:r>
      <w:r w:rsidRPr="00E00F43">
        <w:rPr>
          <w:rFonts w:ascii="Times New Roman" w:hAnsi="Times New Roman" w:cs="Times New Roman"/>
          <w:sz w:val="28"/>
        </w:rPr>
        <w:t>ratificación del tratado.</w:t>
      </w:r>
    </w:p>
    <w:p w:rsidR="004D5B76" w:rsidRPr="00E00F43" w:rsidRDefault="00E00F43" w:rsidP="001E11D7">
      <w:pPr>
        <w:pStyle w:val="Ttulo"/>
        <w:numPr>
          <w:ilvl w:val="0"/>
          <w:numId w:val="0"/>
        </w:numPr>
        <w:rPr>
          <w:rFonts w:ascii="Times New Roman" w:hAnsi="Times New Roman" w:cs="Times New Roman"/>
          <w:sz w:val="28"/>
          <w:lang w:eastAsia="es-CO"/>
        </w:rPr>
      </w:pPr>
    </w:p>
    <w:p w:rsidR="0034361D"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Ante este panorama, la Corte </w:t>
      </w:r>
      <w:r w:rsidRPr="00E00F43">
        <w:rPr>
          <w:rFonts w:ascii="Times New Roman" w:hAnsi="Times New Roman" w:cs="Times New Roman"/>
          <w:sz w:val="28"/>
        </w:rPr>
        <w:t xml:space="preserve">encuentra necesario acudir al remedio </w:t>
      </w:r>
      <w:r w:rsidRPr="00E00F43">
        <w:rPr>
          <w:rFonts w:ascii="Times New Roman" w:hAnsi="Times New Roman" w:cs="Times New Roman"/>
          <w:sz w:val="28"/>
        </w:rPr>
        <w:t>acogido en otras ocasiones similares</w:t>
      </w:r>
      <w:r w:rsidRPr="00E00F43">
        <w:rPr>
          <w:rFonts w:ascii="Times New Roman" w:hAnsi="Times New Roman" w:cs="Times New Roman"/>
          <w:sz w:val="28"/>
        </w:rPr>
        <w:t xml:space="preserve"> por la jurisprudencia constitucional, en el sentido de </w:t>
      </w:r>
      <w:r w:rsidRPr="00E00F43">
        <w:rPr>
          <w:rFonts w:ascii="Times New Roman" w:hAnsi="Times New Roman" w:cs="Times New Roman"/>
          <w:sz w:val="28"/>
        </w:rPr>
        <w:t>señalar</w:t>
      </w:r>
      <w:r w:rsidRPr="00E00F43">
        <w:rPr>
          <w:rFonts w:ascii="Times New Roman" w:hAnsi="Times New Roman" w:cs="Times New Roman"/>
          <w:sz w:val="28"/>
        </w:rPr>
        <w:t xml:space="preserve"> que</w:t>
      </w:r>
      <w:r w:rsidRPr="00E00F43">
        <w:rPr>
          <w:rFonts w:ascii="Times New Roman" w:hAnsi="Times New Roman" w:cs="Times New Roman"/>
          <w:sz w:val="28"/>
        </w:rPr>
        <w:t>,</w:t>
      </w:r>
      <w:r w:rsidRPr="00E00F43">
        <w:rPr>
          <w:rFonts w:ascii="Times New Roman" w:hAnsi="Times New Roman" w:cs="Times New Roman"/>
          <w:sz w:val="28"/>
        </w:rPr>
        <w:t xml:space="preserve"> aun cuando </w:t>
      </w:r>
      <w:r w:rsidRPr="00E00F43">
        <w:rPr>
          <w:rFonts w:ascii="Times New Roman" w:hAnsi="Times New Roman" w:cs="Times New Roman"/>
          <w:sz w:val="28"/>
        </w:rPr>
        <w:t xml:space="preserve">el </w:t>
      </w:r>
      <w:r w:rsidRPr="00E00F43">
        <w:rPr>
          <w:rFonts w:ascii="Times New Roman" w:hAnsi="Times New Roman" w:cs="Times New Roman"/>
          <w:sz w:val="28"/>
        </w:rPr>
        <w:t>a</w:t>
      </w:r>
      <w:r w:rsidRPr="00E00F43">
        <w:rPr>
          <w:rFonts w:ascii="Times New Roman" w:hAnsi="Times New Roman" w:cs="Times New Roman"/>
          <w:sz w:val="28"/>
        </w:rPr>
        <w:t>rtículo 1° y el Apéndice</w:t>
      </w:r>
      <w:r w:rsidRPr="00E00F43">
        <w:rPr>
          <w:rFonts w:ascii="Times New Roman" w:hAnsi="Times New Roman" w:cs="Times New Roman"/>
          <w:sz w:val="28"/>
        </w:rPr>
        <w:t xml:space="preserve"> del </w:t>
      </w:r>
      <w:r w:rsidRPr="00E00F43">
        <w:rPr>
          <w:rFonts w:ascii="Times New Roman" w:hAnsi="Times New Roman" w:cs="Times New Roman"/>
          <w:sz w:val="28"/>
        </w:rPr>
        <w:t>A</w:t>
      </w:r>
      <w:r w:rsidRPr="00E00F43">
        <w:rPr>
          <w:rFonts w:ascii="Times New Roman" w:hAnsi="Times New Roman" w:cs="Times New Roman"/>
          <w:sz w:val="28"/>
        </w:rPr>
        <w:t>cuerdo</w:t>
      </w:r>
      <w:r w:rsidRPr="00E00F43">
        <w:rPr>
          <w:rFonts w:ascii="Times New Roman" w:hAnsi="Times New Roman" w:cs="Times New Roman"/>
          <w:sz w:val="28"/>
        </w:rPr>
        <w:t xml:space="preserve"> no son contrarios a la Constitución Política</w:t>
      </w:r>
      <w:r w:rsidRPr="00E00F43">
        <w:rPr>
          <w:rFonts w:ascii="Times New Roman" w:hAnsi="Times New Roman" w:cs="Times New Roman"/>
          <w:sz w:val="28"/>
        </w:rPr>
        <w:t xml:space="preserve">, es preciso que el presidente de la </w:t>
      </w:r>
      <w:r w:rsidRPr="00E00F43">
        <w:rPr>
          <w:rFonts w:ascii="Times New Roman" w:hAnsi="Times New Roman" w:cs="Times New Roman"/>
          <w:sz w:val="28"/>
        </w:rPr>
        <w:t>R</w:t>
      </w:r>
      <w:r w:rsidRPr="00E00F43">
        <w:rPr>
          <w:rFonts w:ascii="Times New Roman" w:hAnsi="Times New Roman" w:cs="Times New Roman"/>
          <w:sz w:val="28"/>
        </w:rPr>
        <w:t>epública, al depositar el instrumento de ratificación</w:t>
      </w:r>
      <w:r w:rsidRPr="00E00F43">
        <w:rPr>
          <w:rFonts w:ascii="Times New Roman" w:hAnsi="Times New Roman" w:cs="Times New Roman"/>
          <w:sz w:val="28"/>
        </w:rPr>
        <w:t xml:space="preserve">, realice una declaración interpretativa respecto </w:t>
      </w:r>
      <w:r w:rsidRPr="00E00F43">
        <w:rPr>
          <w:rFonts w:ascii="Times New Roman" w:hAnsi="Times New Roman" w:cs="Times New Roman"/>
          <w:sz w:val="28"/>
        </w:rPr>
        <w:t>de estas disposiciones</w:t>
      </w:r>
      <w:r w:rsidRPr="00E00F43">
        <w:rPr>
          <w:rFonts w:ascii="Times New Roman" w:hAnsi="Times New Roman" w:cs="Times New Roman"/>
          <w:sz w:val="28"/>
        </w:rPr>
        <w:t>, en el sentido</w:t>
      </w:r>
      <w:r w:rsidRPr="00E00F43">
        <w:rPr>
          <w:rFonts w:ascii="Times New Roman" w:hAnsi="Times New Roman" w:cs="Times New Roman"/>
          <w:sz w:val="28"/>
        </w:rPr>
        <w:t xml:space="preserve"> de</w:t>
      </w:r>
      <w:r w:rsidRPr="00E00F43">
        <w:rPr>
          <w:rFonts w:ascii="Times New Roman" w:hAnsi="Times New Roman" w:cs="Times New Roman"/>
          <w:sz w:val="28"/>
        </w:rPr>
        <w:t xml:space="preserve"> que las enmiendas</w:t>
      </w:r>
      <w:r w:rsidRPr="00E00F43">
        <w:rPr>
          <w:rFonts w:ascii="Times New Roman" w:hAnsi="Times New Roman" w:cs="Times New Roman"/>
          <w:sz w:val="28"/>
        </w:rPr>
        <w:t xml:space="preserve"> o </w:t>
      </w:r>
      <w:r w:rsidRPr="00E00F43">
        <w:rPr>
          <w:rFonts w:ascii="Times New Roman" w:hAnsi="Times New Roman" w:cs="Times New Roman"/>
          <w:sz w:val="28"/>
        </w:rPr>
        <w:t xml:space="preserve">la </w:t>
      </w:r>
      <w:r w:rsidRPr="00E00F43">
        <w:rPr>
          <w:rFonts w:ascii="Times New Roman" w:hAnsi="Times New Roman" w:cs="Times New Roman"/>
          <w:sz w:val="28"/>
        </w:rPr>
        <w:t xml:space="preserve">adopción de </w:t>
      </w:r>
      <w:r w:rsidRPr="00E00F43">
        <w:rPr>
          <w:rFonts w:ascii="Times New Roman" w:hAnsi="Times New Roman" w:cs="Times New Roman"/>
          <w:sz w:val="28"/>
        </w:rPr>
        <w:t>futuros</w:t>
      </w:r>
      <w:r w:rsidRPr="00E00F43">
        <w:rPr>
          <w:rFonts w:ascii="Times New Roman" w:hAnsi="Times New Roman" w:cs="Times New Roman"/>
          <w:sz w:val="28"/>
        </w:rPr>
        <w:t xml:space="preserve"> reglamentos, </w:t>
      </w:r>
      <w:r w:rsidRPr="00E00F43">
        <w:rPr>
          <w:rFonts w:ascii="Times New Roman" w:hAnsi="Times New Roman" w:cs="Times New Roman"/>
          <w:sz w:val="28"/>
        </w:rPr>
        <w:t>que impliquen nuevas obligaciones para el Estado colombiano</w:t>
      </w:r>
      <w:r w:rsidRPr="00E00F43">
        <w:rPr>
          <w:rFonts w:ascii="Times New Roman" w:hAnsi="Times New Roman" w:cs="Times New Roman"/>
          <w:sz w:val="28"/>
        </w:rPr>
        <w:t>,</w:t>
      </w:r>
      <w:r w:rsidRPr="00E00F43">
        <w:rPr>
          <w:rFonts w:ascii="Times New Roman" w:hAnsi="Times New Roman" w:cs="Times New Roman"/>
          <w:sz w:val="28"/>
        </w:rPr>
        <w:t xml:space="preserve"> requieren el cumplimiento del procedimiento inte</w:t>
      </w:r>
      <w:r w:rsidRPr="00E00F43">
        <w:rPr>
          <w:rFonts w:ascii="Times New Roman" w:hAnsi="Times New Roman" w:cs="Times New Roman"/>
          <w:sz w:val="28"/>
        </w:rPr>
        <w:t>rno de aprobación y revisión de las mismas</w:t>
      </w:r>
      <w:r w:rsidRPr="00E00F43">
        <w:rPr>
          <w:rFonts w:ascii="Times New Roman" w:hAnsi="Times New Roman" w:cs="Times New Roman"/>
          <w:sz w:val="28"/>
        </w:rPr>
        <w:t>,</w:t>
      </w:r>
      <w:r w:rsidRPr="00E00F43">
        <w:rPr>
          <w:rFonts w:ascii="Times New Roman" w:hAnsi="Times New Roman" w:cs="Times New Roman"/>
          <w:sz w:val="28"/>
        </w:rPr>
        <w:t xml:space="preserve"> que debe ser previo a su ratificación</w:t>
      </w:r>
      <w:r w:rsidRPr="00E00F43">
        <w:rPr>
          <w:rStyle w:val="Refdenotaalpie"/>
          <w:rFonts w:ascii="Times New Roman" w:hAnsi="Times New Roman"/>
          <w:bCs/>
          <w:sz w:val="28"/>
        </w:rPr>
        <w:footnoteReference w:id="87"/>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 xml:space="preserve">de acuerdo con </w:t>
      </w:r>
      <w:r w:rsidRPr="00E00F43">
        <w:rPr>
          <w:rFonts w:ascii="Times New Roman" w:hAnsi="Times New Roman" w:cs="Times New Roman"/>
          <w:sz w:val="28"/>
        </w:rPr>
        <w:t>los artículos 150 numeral 16 y 241 numeral 10 de la Constitución Política</w:t>
      </w:r>
      <w:r w:rsidRPr="00E00F43">
        <w:rPr>
          <w:rStyle w:val="Refdenotaalpie"/>
          <w:rFonts w:ascii="Times New Roman" w:hAnsi="Times New Roman"/>
          <w:bCs/>
          <w:sz w:val="28"/>
        </w:rPr>
        <w:footnoteReference w:id="88"/>
      </w:r>
      <w:r w:rsidRPr="00E00F43">
        <w:rPr>
          <w:rFonts w:ascii="Times New Roman" w:hAnsi="Times New Roman" w:cs="Times New Roman"/>
          <w:sz w:val="28"/>
        </w:rPr>
        <w:t>.</w:t>
      </w:r>
    </w:p>
    <w:p w:rsidR="00727CB7" w:rsidRPr="00E00F43" w:rsidRDefault="00E00F43" w:rsidP="00561848">
      <w:pPr>
        <w:tabs>
          <w:tab w:val="left" w:pos="426"/>
        </w:tabs>
        <w:spacing w:after="0"/>
        <w:rPr>
          <w:rFonts w:ascii="Times New Roman" w:hAnsi="Times New Roman" w:cs="Times New Roman"/>
          <w:b/>
          <w:bCs/>
          <w:i/>
          <w:sz w:val="28"/>
          <w:szCs w:val="24"/>
          <w:lang w:val="es-ES"/>
        </w:rPr>
      </w:pPr>
    </w:p>
    <w:p w:rsidR="00021E63" w:rsidRPr="00E00F43" w:rsidRDefault="00E00F43">
      <w:pPr>
        <w:pStyle w:val="Prrafodelista"/>
        <w:numPr>
          <w:ilvl w:val="2"/>
          <w:numId w:val="7"/>
        </w:numPr>
        <w:tabs>
          <w:tab w:val="left" w:pos="426"/>
        </w:tabs>
        <w:ind w:left="0" w:firstLine="0"/>
        <w:rPr>
          <w:rFonts w:ascii="Times New Roman" w:hAnsi="Times New Roman" w:cs="Times New Roman"/>
          <w:b/>
          <w:bCs/>
          <w:sz w:val="28"/>
          <w:szCs w:val="24"/>
          <w:lang w:val="es-ES"/>
        </w:rPr>
      </w:pPr>
      <w:r w:rsidRPr="00E00F43">
        <w:rPr>
          <w:rFonts w:ascii="Times New Roman" w:hAnsi="Times New Roman" w:cs="Times New Roman"/>
          <w:b/>
          <w:bCs/>
          <w:sz w:val="28"/>
          <w:szCs w:val="24"/>
          <w:lang w:val="es-ES" w:eastAsia="es-CO"/>
        </w:rPr>
        <w:t>Artículos 2 a 5: sobre la aplicación de las homologaciones tipo</w:t>
      </w:r>
    </w:p>
    <w:p w:rsidR="00021E63" w:rsidRPr="00E00F43" w:rsidRDefault="00E00F43" w:rsidP="00561848">
      <w:pPr>
        <w:pStyle w:val="Prrafodelista"/>
        <w:tabs>
          <w:tab w:val="left" w:pos="426"/>
        </w:tabs>
        <w:ind w:left="0"/>
        <w:rPr>
          <w:rFonts w:ascii="Times New Roman" w:hAnsi="Times New Roman" w:cs="Times New Roman"/>
          <w:bCs/>
          <w:sz w:val="28"/>
          <w:szCs w:val="24"/>
          <w:lang w:val="es-ES" w:eastAsia="es-CO"/>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Estas cuatro </w:t>
      </w:r>
      <w:r w:rsidRPr="00E00F43">
        <w:rPr>
          <w:rFonts w:ascii="Times New Roman" w:hAnsi="Times New Roman" w:cs="Times New Roman"/>
          <w:sz w:val="28"/>
        </w:rPr>
        <w:t>normas constituyen el conjunto de reglas de trámite sobre las homologaciones de tipo, que a su vez son entendidas, según las definiciones del artículo 1, como “el procedimiento administrativo por el cual, tras realizar las comprobaciones exigidas, las auto</w:t>
      </w:r>
      <w:r w:rsidRPr="00E00F43">
        <w:rPr>
          <w:rFonts w:ascii="Times New Roman" w:hAnsi="Times New Roman" w:cs="Times New Roman"/>
          <w:sz w:val="28"/>
        </w:rPr>
        <w:t>ridades de homologación de una Parte contratante declaran que un vehículo, equipo o pieza presentado por el fabricante se ajusta a las especificaciones del reglamento de las Naciones Unidas de que se trate. A continuación, el fabricante deberá certificar q</w:t>
      </w:r>
      <w:r w:rsidRPr="00E00F43">
        <w:rPr>
          <w:rFonts w:ascii="Times New Roman" w:hAnsi="Times New Roman" w:cs="Times New Roman"/>
          <w:sz w:val="28"/>
        </w:rPr>
        <w:t>ue todos los vehículos, equipos o piezas que comercialice son idénticos al producto homologado”.</w:t>
      </w:r>
    </w:p>
    <w:p w:rsidR="004D5B76" w:rsidRPr="00E00F43" w:rsidRDefault="00E00F43" w:rsidP="001E11D7">
      <w:pPr>
        <w:pStyle w:val="Ttulo"/>
        <w:numPr>
          <w:ilvl w:val="0"/>
          <w:numId w:val="0"/>
        </w:numPr>
        <w:rPr>
          <w:rFonts w:ascii="Times New Roman" w:hAnsi="Times New Roman" w:cs="Times New Roman"/>
          <w:sz w:val="28"/>
          <w:lang w:eastAsia="es-CO"/>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En esencia, en este grupo de normas se establece que: (i) las homologaciones se concederán siempre que se dispongan de las competencias técnicas necesarias y </w:t>
      </w:r>
      <w:r w:rsidRPr="00E00F43">
        <w:rPr>
          <w:rFonts w:ascii="Times New Roman" w:hAnsi="Times New Roman" w:cs="Times New Roman"/>
          <w:sz w:val="28"/>
        </w:rPr>
        <w:t>se consideren satisfactorias las disposiciones que garanticen que la producción será conforme con el tipo homologado; (ii) los Estados parte que concedan la homologación garantizarán que los vehículos, piezas o equipos se fabrican conforme al tipo; (iii) l</w:t>
      </w:r>
      <w:r w:rsidRPr="00E00F43">
        <w:rPr>
          <w:rFonts w:ascii="Times New Roman" w:hAnsi="Times New Roman" w:cs="Times New Roman"/>
          <w:sz w:val="28"/>
        </w:rPr>
        <w:t>os Estados que expidan homologaciones deberán especificar una autoridad de homologación para el respectivo reglamento, la cual tendrá la responsabilidad sobre el trámite; (iv) la homologación también podrá negarse si no se cumplen las condiciones para el e</w:t>
      </w:r>
      <w:r w:rsidRPr="00E00F43">
        <w:rPr>
          <w:rFonts w:ascii="Times New Roman" w:hAnsi="Times New Roman" w:cs="Times New Roman"/>
          <w:sz w:val="28"/>
        </w:rPr>
        <w:t>fecto; (v) todas las homologaciones de tipo concedidas por un Estado parte, de acuerdo con los reglamentos respectivos, se considerarán conforme a la legislación interna; (vi) en caso de concesión mutua de homologaciones, se aceptará la colocación en el me</w:t>
      </w:r>
      <w:r w:rsidRPr="00E00F43">
        <w:rPr>
          <w:rFonts w:ascii="Times New Roman" w:hAnsi="Times New Roman" w:cs="Times New Roman"/>
          <w:sz w:val="28"/>
        </w:rPr>
        <w:t>rcado sin más ensayos ni documentación; (vii) en caso de que se aplique un reglamento ONU y se verifique que algún vehículo, equipo o pieza no cumple con las condiciones técnicas, pese a tener homologación, se notificarán a las autoridades que la concedier</w:t>
      </w:r>
      <w:r w:rsidRPr="00E00F43">
        <w:rPr>
          <w:rFonts w:ascii="Times New Roman" w:hAnsi="Times New Roman" w:cs="Times New Roman"/>
          <w:sz w:val="28"/>
        </w:rPr>
        <w:t>on para adoptar las medidas de rectificación y verificación, so pena de retirar la homologación temporal o definitivamente; (viii) en estos casos, las partes podrán prohibir la venta y el uso hasta la rectificación; y (ix) a petición de parte, las autorida</w:t>
      </w:r>
      <w:r w:rsidRPr="00E00F43">
        <w:rPr>
          <w:rFonts w:ascii="Times New Roman" w:hAnsi="Times New Roman" w:cs="Times New Roman"/>
          <w:sz w:val="28"/>
        </w:rPr>
        <w:t>des de homologación remitirán los listados de vehículos, equipos o piezas a los que se les haya negado la homologación o se les haya retirado.</w:t>
      </w:r>
    </w:p>
    <w:p w:rsidR="00021E63" w:rsidRPr="00E00F43" w:rsidRDefault="00E00F43" w:rsidP="001E11D7">
      <w:pPr>
        <w:pStyle w:val="Ttulo"/>
        <w:numPr>
          <w:ilvl w:val="0"/>
          <w:numId w:val="0"/>
        </w:numPr>
        <w:rPr>
          <w:rFonts w:ascii="Times New Roman" w:hAnsi="Times New Roman" w:cs="Times New Roman"/>
          <w:sz w:val="28"/>
          <w:lang w:eastAsia="es-CO"/>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Para la Sala Plena, estos artículos no infringen ningún contenido constitucional. De hecho, contienen algunas de</w:t>
      </w:r>
      <w:r w:rsidRPr="00E00F43">
        <w:rPr>
          <w:rFonts w:ascii="Times New Roman" w:hAnsi="Times New Roman" w:cs="Times New Roman"/>
          <w:sz w:val="28"/>
        </w:rPr>
        <w:t xml:space="preserve"> las mayores materializaciones de las finalidades del </w:t>
      </w:r>
      <w:r w:rsidRPr="00E00F43">
        <w:rPr>
          <w:rFonts w:ascii="Times New Roman" w:hAnsi="Times New Roman" w:cs="Times New Roman"/>
          <w:sz w:val="28"/>
        </w:rPr>
        <w:t>A</w:t>
      </w:r>
      <w:r w:rsidRPr="00E00F43">
        <w:rPr>
          <w:rFonts w:ascii="Times New Roman" w:hAnsi="Times New Roman" w:cs="Times New Roman"/>
          <w:sz w:val="28"/>
        </w:rPr>
        <w:t>cuerdo y de las motivaciones que llevaron a su incorporación en la legislación interna. En particular, aunque se trata de normas de mero procedimiento desde el enfoque técnico, en ellas se concretan lo</w:t>
      </w:r>
      <w:r w:rsidRPr="00E00F43">
        <w:rPr>
          <w:rFonts w:ascii="Times New Roman" w:hAnsi="Times New Roman" w:cs="Times New Roman"/>
          <w:sz w:val="28"/>
        </w:rPr>
        <w:t xml:space="preserve">s propósitos de cooperación, armonización normativa e intercambio entre los Estados parte; de ahí que se armonicen con distintos contenidos de la Carta Política. </w:t>
      </w:r>
    </w:p>
    <w:p w:rsidR="00021E63" w:rsidRPr="00E00F43" w:rsidRDefault="00E00F43" w:rsidP="001E11D7">
      <w:pPr>
        <w:pStyle w:val="Ttulo"/>
        <w:numPr>
          <w:ilvl w:val="0"/>
          <w:numId w:val="0"/>
        </w:numPr>
        <w:rPr>
          <w:rFonts w:ascii="Times New Roman" w:hAnsi="Times New Roman" w:cs="Times New Roman"/>
          <w:sz w:val="28"/>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Por un lado, estas reglas propenden por la participación activa de los Estados en la fijació</w:t>
      </w:r>
      <w:r w:rsidRPr="00E00F43">
        <w:rPr>
          <w:rFonts w:ascii="Times New Roman" w:hAnsi="Times New Roman" w:cs="Times New Roman"/>
          <w:sz w:val="28"/>
        </w:rPr>
        <w:t xml:space="preserve">n de los reglamentos que llevan a la estandarización internacional de las exigencias que deben cumplir los vehículos de ruedas, partes y equipos, pero al mismo tiempo ordenan que, según los intereses de cada parte, se tenga autonomía para decidir sobre la </w:t>
      </w:r>
      <w:r w:rsidRPr="00E00F43">
        <w:rPr>
          <w:rFonts w:ascii="Times New Roman" w:hAnsi="Times New Roman" w:cs="Times New Roman"/>
          <w:sz w:val="28"/>
        </w:rPr>
        <w:t>no adopción de determinado</w:t>
      </w:r>
      <w:r w:rsidRPr="00E00F43">
        <w:rPr>
          <w:rFonts w:ascii="Times New Roman" w:hAnsi="Times New Roman" w:cs="Times New Roman"/>
          <w:sz w:val="28"/>
        </w:rPr>
        <w:t>s</w:t>
      </w:r>
      <w:r w:rsidRPr="00E00F43">
        <w:rPr>
          <w:rFonts w:ascii="Times New Roman" w:hAnsi="Times New Roman" w:cs="Times New Roman"/>
          <w:sz w:val="28"/>
        </w:rPr>
        <w:t xml:space="preserve"> reglamento</w:t>
      </w:r>
      <w:r w:rsidRPr="00E00F43">
        <w:rPr>
          <w:rFonts w:ascii="Times New Roman" w:hAnsi="Times New Roman" w:cs="Times New Roman"/>
          <w:sz w:val="28"/>
        </w:rPr>
        <w:t>s</w:t>
      </w:r>
      <w:r w:rsidRPr="00E00F43">
        <w:rPr>
          <w:rFonts w:ascii="Times New Roman" w:hAnsi="Times New Roman" w:cs="Times New Roman"/>
          <w:sz w:val="28"/>
        </w:rPr>
        <w:t>. Por ello, y teniendo claro que estas medidas se dan en el marco de la regulación del mercado vehicular, para la Sala se trata de un conjunto de disposiciones respetuosas de los mandatos de equidad, reciprocidad y co</w:t>
      </w:r>
      <w:r w:rsidRPr="00E00F43">
        <w:rPr>
          <w:rFonts w:ascii="Times New Roman" w:hAnsi="Times New Roman" w:cs="Times New Roman"/>
          <w:sz w:val="28"/>
        </w:rPr>
        <w:t>nveniencia nacional, que orientan los procesos de internacionalización de las relaciones económicas del país, de conformidad con el artículo 226 de la Constitución</w:t>
      </w:r>
      <w:r w:rsidRPr="00E00F43">
        <w:rPr>
          <w:rStyle w:val="Refdenotaalpie"/>
          <w:rFonts w:ascii="Times New Roman" w:hAnsi="Times New Roman"/>
          <w:bCs/>
          <w:sz w:val="28"/>
        </w:rPr>
        <w:footnoteReference w:id="89"/>
      </w:r>
      <w:r w:rsidRPr="00E00F43">
        <w:rPr>
          <w:rFonts w:ascii="Times New Roman" w:hAnsi="Times New Roman" w:cs="Times New Roman"/>
          <w:sz w:val="28"/>
        </w:rPr>
        <w:t>.</w:t>
      </w:r>
      <w:r w:rsidRPr="00E00F43">
        <w:rPr>
          <w:rFonts w:ascii="Times New Roman" w:hAnsi="Times New Roman" w:cs="Times New Roman"/>
          <w:sz w:val="28"/>
        </w:rPr>
        <w:t xml:space="preserve"> Por otro lado, al disponer la participación (con voz y voto) de todos los Estados suscript</w:t>
      </w:r>
      <w:r w:rsidRPr="00E00F43">
        <w:rPr>
          <w:rFonts w:ascii="Times New Roman" w:hAnsi="Times New Roman" w:cs="Times New Roman"/>
          <w:sz w:val="28"/>
        </w:rPr>
        <w:t>ores, Colombia se convierte en un actor técnico activo en la definición de los reglamentos internacionales aplicables a los vehículos de ruedas, partes y equipos. Se trata, entonces, de un escenario de cooperación técnica y de conocimiento relevante, lo cu</w:t>
      </w:r>
      <w:r w:rsidRPr="00E00F43">
        <w:rPr>
          <w:rFonts w:ascii="Times New Roman" w:hAnsi="Times New Roman" w:cs="Times New Roman"/>
          <w:sz w:val="28"/>
        </w:rPr>
        <w:t>al ha sido resaltado por la jurisprudencia de esta Corte como una necesidad para la efectividad de nuestro Estado social de Derecho</w:t>
      </w:r>
      <w:r w:rsidRPr="00E00F43">
        <w:rPr>
          <w:rStyle w:val="Refdenotaalpie"/>
          <w:rFonts w:ascii="Times New Roman" w:hAnsi="Times New Roman"/>
          <w:bCs/>
          <w:sz w:val="28"/>
        </w:rPr>
        <w:footnoteReference w:id="90"/>
      </w:r>
      <w:r w:rsidRPr="00E00F43">
        <w:rPr>
          <w:rFonts w:ascii="Times New Roman" w:hAnsi="Times New Roman" w:cs="Times New Roman"/>
          <w:sz w:val="28"/>
        </w:rPr>
        <w:t>.</w:t>
      </w:r>
    </w:p>
    <w:p w:rsidR="00021E63" w:rsidRPr="00E00F43" w:rsidRDefault="00E00F43" w:rsidP="001E11D7">
      <w:pPr>
        <w:pStyle w:val="Ttulo"/>
        <w:numPr>
          <w:ilvl w:val="0"/>
          <w:numId w:val="0"/>
        </w:numPr>
        <w:rPr>
          <w:rFonts w:ascii="Times New Roman" w:hAnsi="Times New Roman" w:cs="Times New Roman"/>
          <w:sz w:val="28"/>
          <w:lang w:eastAsia="es-CO"/>
        </w:rPr>
      </w:pPr>
    </w:p>
    <w:p w:rsidR="00021E6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Lo anterior, además, debe ser leído en perspectiva de las motivaciones centrales del </w:t>
      </w:r>
      <w:r w:rsidRPr="00E00F43">
        <w:rPr>
          <w:rFonts w:ascii="Times New Roman" w:hAnsi="Times New Roman" w:cs="Times New Roman"/>
          <w:sz w:val="28"/>
        </w:rPr>
        <w:t>A</w:t>
      </w:r>
      <w:r w:rsidRPr="00E00F43">
        <w:rPr>
          <w:rFonts w:ascii="Times New Roman" w:hAnsi="Times New Roman" w:cs="Times New Roman"/>
          <w:sz w:val="28"/>
        </w:rPr>
        <w:t>cuerdo, relacionadas con la fijació</w:t>
      </w:r>
      <w:r w:rsidRPr="00E00F43">
        <w:rPr>
          <w:rFonts w:ascii="Times New Roman" w:hAnsi="Times New Roman" w:cs="Times New Roman"/>
          <w:sz w:val="28"/>
        </w:rPr>
        <w:t>n de mayores estándares de seguridad vehicular para la protección de la vida y del medio ambiente (arts. 2, 11 y 79</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C.P.</w:t>
      </w:r>
      <w:r w:rsidRPr="00E00F43">
        <w:rPr>
          <w:rFonts w:ascii="Times New Roman" w:hAnsi="Times New Roman" w:cs="Times New Roman"/>
          <w:sz w:val="28"/>
        </w:rPr>
        <w:t xml:space="preserve">). </w:t>
      </w:r>
      <w:r w:rsidRPr="00E00F43">
        <w:rPr>
          <w:rFonts w:ascii="Times New Roman" w:hAnsi="Times New Roman" w:cs="Times New Roman"/>
          <w:sz w:val="28"/>
        </w:rPr>
        <w:t>L</w:t>
      </w:r>
      <w:r w:rsidRPr="00E00F43">
        <w:rPr>
          <w:rFonts w:ascii="Times New Roman" w:hAnsi="Times New Roman" w:cs="Times New Roman"/>
          <w:sz w:val="28"/>
        </w:rPr>
        <w:t xml:space="preserve">a incorporación de estas reglas es compatible también con el deber de planificación en el manejo y aprovechamiento de los recursos </w:t>
      </w:r>
      <w:r w:rsidRPr="00E00F43">
        <w:rPr>
          <w:rFonts w:ascii="Times New Roman" w:hAnsi="Times New Roman" w:cs="Times New Roman"/>
          <w:sz w:val="28"/>
        </w:rPr>
        <w:t>naturales, para garantizar su desarrollo sostenible, en los términos del artículo 80 de la Constitución Política, así como con el deber de protección de la salud y la seguridad de los consumidores y usuarios de servicios y productos en el país, contenido e</w:t>
      </w:r>
      <w:r w:rsidRPr="00E00F43">
        <w:rPr>
          <w:rFonts w:ascii="Times New Roman" w:hAnsi="Times New Roman" w:cs="Times New Roman"/>
          <w:sz w:val="28"/>
        </w:rPr>
        <w:t xml:space="preserve">n el artículo 78 superior. En consecuencia, los artículos 2 a 5 del </w:t>
      </w:r>
      <w:r w:rsidRPr="00E00F43">
        <w:rPr>
          <w:rFonts w:ascii="Times New Roman" w:hAnsi="Times New Roman" w:cs="Times New Roman"/>
          <w:sz w:val="28"/>
        </w:rPr>
        <w:t>A</w:t>
      </w:r>
      <w:r w:rsidRPr="00E00F43">
        <w:rPr>
          <w:rFonts w:ascii="Times New Roman" w:hAnsi="Times New Roman" w:cs="Times New Roman"/>
          <w:sz w:val="28"/>
        </w:rPr>
        <w:t xml:space="preserve">cuerdo son </w:t>
      </w:r>
      <w:r w:rsidRPr="00E00F43">
        <w:rPr>
          <w:rFonts w:ascii="Times New Roman" w:hAnsi="Times New Roman" w:cs="Times New Roman"/>
          <w:sz w:val="28"/>
        </w:rPr>
        <w:t xml:space="preserve">plenamente </w:t>
      </w:r>
      <w:r w:rsidRPr="00E00F43">
        <w:rPr>
          <w:rFonts w:ascii="Times New Roman" w:hAnsi="Times New Roman" w:cs="Times New Roman"/>
          <w:sz w:val="28"/>
        </w:rPr>
        <w:t>constitucionales.</w:t>
      </w:r>
    </w:p>
    <w:p w:rsidR="00021E63" w:rsidRPr="00E00F43" w:rsidRDefault="00E00F43" w:rsidP="00021E63">
      <w:pPr>
        <w:pStyle w:val="Prrafodelista"/>
        <w:tabs>
          <w:tab w:val="left" w:pos="426"/>
        </w:tabs>
        <w:ind w:left="0"/>
        <w:rPr>
          <w:rFonts w:ascii="Times New Roman" w:hAnsi="Times New Roman" w:cs="Times New Roman"/>
          <w:bCs/>
          <w:sz w:val="28"/>
          <w:szCs w:val="24"/>
          <w:lang w:val="es-ES" w:eastAsia="es-CO"/>
        </w:rPr>
      </w:pPr>
    </w:p>
    <w:p w:rsidR="00561848" w:rsidRPr="00E00F43" w:rsidRDefault="00E00F43">
      <w:pPr>
        <w:pStyle w:val="Prrafodelista"/>
        <w:numPr>
          <w:ilvl w:val="2"/>
          <w:numId w:val="7"/>
        </w:numPr>
        <w:tabs>
          <w:tab w:val="left" w:pos="426"/>
        </w:tabs>
        <w:ind w:left="0" w:firstLine="0"/>
        <w:rPr>
          <w:rFonts w:ascii="Times New Roman" w:hAnsi="Times New Roman" w:cs="Times New Roman"/>
          <w:b/>
          <w:bCs/>
          <w:sz w:val="28"/>
          <w:szCs w:val="24"/>
          <w:lang w:val="es-ES" w:eastAsia="es-CO"/>
        </w:rPr>
      </w:pPr>
      <w:r w:rsidRPr="00E00F43">
        <w:rPr>
          <w:rFonts w:ascii="Times New Roman" w:hAnsi="Times New Roman" w:cs="Times New Roman"/>
          <w:b/>
          <w:bCs/>
          <w:sz w:val="28"/>
          <w:szCs w:val="24"/>
          <w:lang w:val="es-ES"/>
        </w:rPr>
        <w:t xml:space="preserve">Artículos 6 y 7: sobre adhesión al </w:t>
      </w:r>
      <w:r w:rsidRPr="00E00F43">
        <w:rPr>
          <w:rFonts w:ascii="Times New Roman" w:hAnsi="Times New Roman" w:cs="Times New Roman"/>
          <w:b/>
          <w:bCs/>
          <w:sz w:val="28"/>
          <w:szCs w:val="24"/>
          <w:lang w:val="es-ES"/>
        </w:rPr>
        <w:t>A</w:t>
      </w:r>
      <w:r w:rsidRPr="00E00F43">
        <w:rPr>
          <w:rFonts w:ascii="Times New Roman" w:hAnsi="Times New Roman" w:cs="Times New Roman"/>
          <w:b/>
          <w:bCs/>
          <w:sz w:val="28"/>
          <w:szCs w:val="24"/>
          <w:lang w:val="es-ES"/>
        </w:rPr>
        <w:t>cuerdo</w:t>
      </w:r>
      <w:r w:rsidRPr="00E00F43">
        <w:rPr>
          <w:rFonts w:ascii="Times New Roman" w:hAnsi="Times New Roman" w:cs="Times New Roman"/>
          <w:b/>
          <w:bCs/>
          <w:sz w:val="28"/>
          <w:szCs w:val="24"/>
          <w:lang w:val="es-ES"/>
        </w:rPr>
        <w:t xml:space="preserve"> de 1958</w:t>
      </w:r>
      <w:r w:rsidRPr="00E00F43">
        <w:rPr>
          <w:rFonts w:ascii="Times New Roman" w:hAnsi="Times New Roman" w:cs="Times New Roman"/>
          <w:b/>
          <w:bCs/>
          <w:sz w:val="28"/>
          <w:szCs w:val="24"/>
          <w:lang w:val="es-ES"/>
        </w:rPr>
        <w:t xml:space="preserve"> </w:t>
      </w:r>
      <w:r w:rsidRPr="00E00F43">
        <w:rPr>
          <w:rFonts w:ascii="Times New Roman" w:hAnsi="Times New Roman" w:cs="Times New Roman"/>
          <w:b/>
          <w:bCs/>
          <w:sz w:val="28"/>
          <w:szCs w:val="24"/>
          <w:lang w:val="es-ES"/>
        </w:rPr>
        <w:t>y vigencia</w:t>
      </w:r>
    </w:p>
    <w:p w:rsidR="00561848" w:rsidRPr="00E00F43" w:rsidRDefault="00E00F43" w:rsidP="001E11D7">
      <w:pPr>
        <w:pStyle w:val="Ttulo"/>
        <w:numPr>
          <w:ilvl w:val="0"/>
          <w:numId w:val="0"/>
        </w:numPr>
        <w:rPr>
          <w:rFonts w:ascii="Times New Roman" w:hAnsi="Times New Roman" w:cs="Times New Roman"/>
          <w:sz w:val="28"/>
        </w:rPr>
      </w:pPr>
    </w:p>
    <w:p w:rsidR="00561848" w:rsidRPr="00E00F43" w:rsidRDefault="00E00F43" w:rsidP="001E11D7">
      <w:pPr>
        <w:pStyle w:val="Ttulo"/>
        <w:rPr>
          <w:rFonts w:ascii="Times New Roman" w:hAnsi="Times New Roman" w:cs="Times New Roman"/>
          <w:sz w:val="28"/>
        </w:rPr>
      </w:pPr>
      <w:r w:rsidRPr="00E00F43">
        <w:rPr>
          <w:rFonts w:ascii="Times New Roman" w:hAnsi="Times New Roman" w:cs="Times New Roman"/>
          <w:sz w:val="28"/>
        </w:rPr>
        <w:t xml:space="preserve">En lo pertinente, estas normas establecen que la adhesión al </w:t>
      </w:r>
      <w:r w:rsidRPr="00E00F43">
        <w:rPr>
          <w:rFonts w:ascii="Times New Roman" w:hAnsi="Times New Roman" w:cs="Times New Roman"/>
          <w:sz w:val="28"/>
        </w:rPr>
        <w:t>A</w:t>
      </w:r>
      <w:r w:rsidRPr="00E00F43">
        <w:rPr>
          <w:rFonts w:ascii="Times New Roman" w:hAnsi="Times New Roman" w:cs="Times New Roman"/>
          <w:sz w:val="28"/>
        </w:rPr>
        <w:t xml:space="preserve">cuerdo se hará a </w:t>
      </w:r>
      <w:r w:rsidRPr="00E00F43">
        <w:rPr>
          <w:rFonts w:ascii="Times New Roman" w:hAnsi="Times New Roman" w:cs="Times New Roman"/>
          <w:sz w:val="28"/>
        </w:rPr>
        <w:t>través del depósito de un instrumento ante el secretario general y que, para esos casos, entrará en vigencia en el sexagésimo día siguiente a dicho depósito. Se trata de normas comunes en los instrumentos internacionales que, en distintas ocasiones, la Cor</w:t>
      </w:r>
      <w:r w:rsidRPr="00E00F43">
        <w:rPr>
          <w:rFonts w:ascii="Times New Roman" w:hAnsi="Times New Roman" w:cs="Times New Roman"/>
          <w:sz w:val="28"/>
        </w:rPr>
        <w:t>te ha advertido su conformidad con la Constitución Política</w:t>
      </w:r>
      <w:r w:rsidRPr="00E00F43">
        <w:rPr>
          <w:rFonts w:ascii="Times New Roman" w:hAnsi="Times New Roman" w:cs="Times New Roman"/>
          <w:sz w:val="28"/>
        </w:rPr>
        <w:t xml:space="preserve"> por ser acordes a los mandatos superiores que gobiernan las relaciones exteriores del país</w:t>
      </w:r>
      <w:r w:rsidRPr="00E00F43">
        <w:rPr>
          <w:rFonts w:ascii="Times New Roman" w:hAnsi="Times New Roman" w:cs="Times New Roman"/>
          <w:sz w:val="28"/>
        </w:rPr>
        <w:t>. Por tanto, la Sala concluye que estos contenidos normativos son jurídicamente válidos a la luz de nuestr</w:t>
      </w:r>
      <w:r w:rsidRPr="00E00F43">
        <w:rPr>
          <w:rFonts w:ascii="Times New Roman" w:hAnsi="Times New Roman" w:cs="Times New Roman"/>
          <w:sz w:val="28"/>
        </w:rPr>
        <w:t>o ordenamiento constitucional</w:t>
      </w:r>
      <w:r w:rsidRPr="00E00F43">
        <w:rPr>
          <w:rStyle w:val="Refdenotaalpie"/>
          <w:rFonts w:ascii="Times New Roman" w:hAnsi="Times New Roman"/>
          <w:bCs/>
          <w:sz w:val="28"/>
        </w:rPr>
        <w:footnoteReference w:id="91"/>
      </w:r>
      <w:r w:rsidRPr="00E00F43">
        <w:rPr>
          <w:rFonts w:ascii="Times New Roman" w:hAnsi="Times New Roman" w:cs="Times New Roman"/>
          <w:sz w:val="28"/>
        </w:rPr>
        <w:t>.</w:t>
      </w:r>
      <w:r w:rsidRPr="00E00F43">
        <w:rPr>
          <w:rFonts w:ascii="Times New Roman" w:hAnsi="Times New Roman" w:cs="Times New Roman"/>
          <w:sz w:val="28"/>
        </w:rPr>
        <w:t xml:space="preserve"> </w:t>
      </w:r>
    </w:p>
    <w:p w:rsidR="00561848" w:rsidRPr="00E00F43" w:rsidRDefault="00E00F43" w:rsidP="001E11D7">
      <w:pPr>
        <w:pStyle w:val="Ttulo"/>
        <w:numPr>
          <w:ilvl w:val="0"/>
          <w:numId w:val="0"/>
        </w:numPr>
        <w:rPr>
          <w:rFonts w:ascii="Times New Roman" w:hAnsi="Times New Roman" w:cs="Times New Roman"/>
          <w:sz w:val="28"/>
        </w:rPr>
      </w:pPr>
    </w:p>
    <w:p w:rsidR="00561848" w:rsidRPr="00E00F43" w:rsidRDefault="00E00F43">
      <w:pPr>
        <w:pStyle w:val="Prrafodelista"/>
        <w:numPr>
          <w:ilvl w:val="2"/>
          <w:numId w:val="7"/>
        </w:numPr>
        <w:tabs>
          <w:tab w:val="left" w:pos="426"/>
        </w:tabs>
        <w:ind w:left="0" w:firstLine="0"/>
        <w:rPr>
          <w:rFonts w:ascii="Times New Roman" w:hAnsi="Times New Roman" w:cs="Times New Roman"/>
          <w:b/>
          <w:bCs/>
          <w:sz w:val="28"/>
          <w:szCs w:val="24"/>
          <w:lang w:val="es-ES" w:eastAsia="es-CO"/>
        </w:rPr>
      </w:pPr>
      <w:r w:rsidRPr="00E00F43">
        <w:rPr>
          <w:rFonts w:ascii="Times New Roman" w:hAnsi="Times New Roman" w:cs="Times New Roman"/>
          <w:b/>
          <w:bCs/>
          <w:sz w:val="28"/>
          <w:szCs w:val="24"/>
          <w:lang w:val="es-ES"/>
        </w:rPr>
        <w:t xml:space="preserve">Artículos 8, 9 y 11: sobre denuncia y reservas al </w:t>
      </w:r>
      <w:r w:rsidRPr="00E00F43">
        <w:rPr>
          <w:rFonts w:ascii="Times New Roman" w:hAnsi="Times New Roman" w:cs="Times New Roman"/>
          <w:b/>
          <w:bCs/>
          <w:sz w:val="28"/>
          <w:szCs w:val="24"/>
          <w:lang w:val="es-ES"/>
        </w:rPr>
        <w:t>A</w:t>
      </w:r>
      <w:r w:rsidRPr="00E00F43">
        <w:rPr>
          <w:rFonts w:ascii="Times New Roman" w:hAnsi="Times New Roman" w:cs="Times New Roman"/>
          <w:b/>
          <w:bCs/>
          <w:sz w:val="28"/>
          <w:szCs w:val="24"/>
          <w:lang w:val="es-ES"/>
        </w:rPr>
        <w:t>cuerdo</w:t>
      </w:r>
      <w:r w:rsidRPr="00E00F43">
        <w:rPr>
          <w:rFonts w:ascii="Times New Roman" w:hAnsi="Times New Roman" w:cs="Times New Roman"/>
          <w:b/>
          <w:bCs/>
          <w:sz w:val="28"/>
          <w:szCs w:val="24"/>
          <w:lang w:val="es-ES"/>
        </w:rPr>
        <w:t xml:space="preserve"> de 1958</w:t>
      </w:r>
    </w:p>
    <w:p w:rsidR="00561848" w:rsidRPr="00E00F43" w:rsidRDefault="00E00F43" w:rsidP="00561848">
      <w:pPr>
        <w:pStyle w:val="Prrafodelista"/>
        <w:tabs>
          <w:tab w:val="left" w:pos="426"/>
        </w:tabs>
        <w:ind w:left="0"/>
        <w:rPr>
          <w:rFonts w:ascii="Times New Roman" w:hAnsi="Times New Roman" w:cs="Times New Roman"/>
          <w:bCs/>
          <w:sz w:val="28"/>
          <w:szCs w:val="24"/>
          <w:lang w:val="es-ES" w:eastAsia="es-CO"/>
        </w:rPr>
      </w:pPr>
    </w:p>
    <w:p w:rsidR="00AD2DF9"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En estos artículos se indica que (i) cualquier Estado parte podrá denunciar el </w:t>
      </w:r>
      <w:r w:rsidRPr="00E00F43">
        <w:rPr>
          <w:rFonts w:ascii="Times New Roman" w:hAnsi="Times New Roman" w:cs="Times New Roman"/>
          <w:sz w:val="28"/>
        </w:rPr>
        <w:t>A</w:t>
      </w:r>
      <w:r w:rsidRPr="00E00F43">
        <w:rPr>
          <w:rFonts w:ascii="Times New Roman" w:hAnsi="Times New Roman" w:cs="Times New Roman"/>
          <w:sz w:val="28"/>
        </w:rPr>
        <w:t>cuerdo, con efectos doce meses después de la fecha de recepción de la notif</w:t>
      </w:r>
      <w:r w:rsidRPr="00E00F43">
        <w:rPr>
          <w:rFonts w:ascii="Times New Roman" w:hAnsi="Times New Roman" w:cs="Times New Roman"/>
          <w:sz w:val="28"/>
        </w:rPr>
        <w:t xml:space="preserve">icación correspondiente; (ii) en ese caso las homologaciones concedidas por el Estado que denuncia, serán válidas por el término de los doce meses después </w:t>
      </w:r>
      <w:r w:rsidRPr="00E00F43">
        <w:rPr>
          <w:rFonts w:ascii="Times New Roman" w:hAnsi="Times New Roman" w:cs="Times New Roman"/>
          <w:sz w:val="28"/>
        </w:rPr>
        <w:t xml:space="preserve">de que </w:t>
      </w:r>
      <w:r w:rsidRPr="00E00F43">
        <w:rPr>
          <w:rFonts w:ascii="Times New Roman" w:hAnsi="Times New Roman" w:cs="Times New Roman"/>
          <w:sz w:val="28"/>
        </w:rPr>
        <w:t>se haga efectiva la denuncia; (iii) cualquier Estado podrá informar al momento de la suscripci</w:t>
      </w:r>
      <w:r w:rsidRPr="00E00F43">
        <w:rPr>
          <w:rFonts w:ascii="Times New Roman" w:hAnsi="Times New Roman" w:cs="Times New Roman"/>
          <w:sz w:val="28"/>
        </w:rPr>
        <w:t xml:space="preserve">ón o de la adhesión si el instrumento se aplicará en la totalidad del territorio o en parte de este; (iv) cualquier Estado podrá declararse no vinculado por las cláusulas de resolución de controversias contenidas en el artículo 10 del </w:t>
      </w:r>
      <w:r w:rsidRPr="00E00F43">
        <w:rPr>
          <w:rFonts w:ascii="Times New Roman" w:hAnsi="Times New Roman" w:cs="Times New Roman"/>
          <w:sz w:val="28"/>
        </w:rPr>
        <w:t>A</w:t>
      </w:r>
      <w:r w:rsidRPr="00E00F43">
        <w:rPr>
          <w:rFonts w:ascii="Times New Roman" w:hAnsi="Times New Roman" w:cs="Times New Roman"/>
          <w:sz w:val="28"/>
        </w:rPr>
        <w:t xml:space="preserve">cuerdo y tal reserva podrá ser retirada en cualquier momento; y (v) no se admite ningún otra reserva, aun cuando los Estados tienen la voluntad de manifestar que no tienen intención de aplicar alguno o ninguno de los reglamentos ONU. </w:t>
      </w:r>
    </w:p>
    <w:p w:rsidR="00AD2DF9" w:rsidRPr="00E00F43" w:rsidRDefault="00E00F43" w:rsidP="001E11D7">
      <w:pPr>
        <w:pStyle w:val="Ttulo"/>
        <w:numPr>
          <w:ilvl w:val="0"/>
          <w:numId w:val="0"/>
        </w:numPr>
        <w:rPr>
          <w:rFonts w:ascii="Times New Roman" w:hAnsi="Times New Roman" w:cs="Times New Roman"/>
          <w:sz w:val="28"/>
          <w:lang w:eastAsia="es-CO"/>
        </w:rPr>
      </w:pPr>
    </w:p>
    <w:p w:rsidR="00CC3A19"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Tal como ha ocurrido</w:t>
      </w:r>
      <w:r w:rsidRPr="00E00F43">
        <w:rPr>
          <w:rFonts w:ascii="Times New Roman" w:hAnsi="Times New Roman" w:cs="Times New Roman"/>
          <w:sz w:val="28"/>
        </w:rPr>
        <w:t xml:space="preserve"> al momento de analizar normas similares, en esta ocasión la Sala Plena no encuentra ninguna objeción constitucional en estas disposiciones; por el contrario, resultan plenamente compatibles con el principio de soberanía nacional</w:t>
      </w:r>
      <w:r w:rsidRPr="00E00F43">
        <w:rPr>
          <w:rStyle w:val="Refdenotaalpie"/>
          <w:rFonts w:ascii="Times New Roman" w:hAnsi="Times New Roman"/>
          <w:bCs/>
          <w:sz w:val="28"/>
        </w:rPr>
        <w:footnoteReference w:id="92"/>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De una parte, s</w:t>
      </w:r>
      <w:r w:rsidRPr="00E00F43">
        <w:rPr>
          <w:rFonts w:ascii="Times New Roman" w:hAnsi="Times New Roman" w:cs="Times New Roman"/>
          <w:sz w:val="28"/>
        </w:rPr>
        <w:t xml:space="preserve">obre las </w:t>
      </w:r>
      <w:r w:rsidRPr="00E00F43">
        <w:rPr>
          <w:rFonts w:ascii="Times New Roman" w:hAnsi="Times New Roman" w:cs="Times New Roman"/>
          <w:sz w:val="28"/>
        </w:rPr>
        <w:t xml:space="preserve">denuncias, debe tenerse en cuenta que en Colombia éstas son una manifestación de las competencias asignadas al presidente de la República, en su condición de jefe de Estado y, por consiguiente, </w:t>
      </w:r>
      <w:r w:rsidRPr="00E00F43">
        <w:rPr>
          <w:rFonts w:ascii="Times New Roman" w:hAnsi="Times New Roman" w:cs="Times New Roman"/>
          <w:sz w:val="28"/>
        </w:rPr>
        <w:t xml:space="preserve">como </w:t>
      </w:r>
      <w:r w:rsidRPr="00E00F43">
        <w:rPr>
          <w:rFonts w:ascii="Times New Roman" w:hAnsi="Times New Roman" w:cs="Times New Roman"/>
          <w:sz w:val="28"/>
        </w:rPr>
        <w:t>director de las relaciones internacion</w:t>
      </w:r>
      <w:r w:rsidRPr="00E00F43">
        <w:rPr>
          <w:rFonts w:ascii="Times New Roman" w:hAnsi="Times New Roman" w:cs="Times New Roman"/>
          <w:sz w:val="28"/>
        </w:rPr>
        <w:t>al</w:t>
      </w:r>
      <w:r w:rsidRPr="00E00F43">
        <w:rPr>
          <w:rFonts w:ascii="Times New Roman" w:hAnsi="Times New Roman" w:cs="Times New Roman"/>
          <w:sz w:val="28"/>
        </w:rPr>
        <w:t>es del país, de c</w:t>
      </w:r>
      <w:r w:rsidRPr="00E00F43">
        <w:rPr>
          <w:rFonts w:ascii="Times New Roman" w:hAnsi="Times New Roman" w:cs="Times New Roman"/>
          <w:sz w:val="28"/>
        </w:rPr>
        <w:t xml:space="preserve">onformidad con el artículo 189.2 de la Constitución. </w:t>
      </w:r>
    </w:p>
    <w:p w:rsidR="00CC3A19" w:rsidRPr="00E00F43" w:rsidRDefault="00E00F43" w:rsidP="001E11D7">
      <w:pPr>
        <w:pStyle w:val="Ttulo"/>
        <w:numPr>
          <w:ilvl w:val="0"/>
          <w:numId w:val="0"/>
        </w:numPr>
        <w:rPr>
          <w:rFonts w:ascii="Times New Roman" w:hAnsi="Times New Roman" w:cs="Times New Roman"/>
          <w:sz w:val="28"/>
        </w:rPr>
      </w:pPr>
    </w:p>
    <w:p w:rsidR="00561848"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De otra parte, cláusulas como las contempladas en estas tres disposiciones son plenamente protectoras de la soberanía de Colombia (</w:t>
      </w:r>
      <w:r w:rsidRPr="00E00F43">
        <w:rPr>
          <w:rFonts w:ascii="Times New Roman" w:hAnsi="Times New Roman" w:cs="Times New Roman"/>
          <w:sz w:val="28"/>
        </w:rPr>
        <w:t>a</w:t>
      </w:r>
      <w:r w:rsidRPr="00E00F43">
        <w:rPr>
          <w:rFonts w:ascii="Times New Roman" w:hAnsi="Times New Roman" w:cs="Times New Roman"/>
          <w:sz w:val="28"/>
        </w:rPr>
        <w:t>rts. 9</w:t>
      </w:r>
      <w:r w:rsidRPr="00E00F43">
        <w:rPr>
          <w:rFonts w:ascii="Times New Roman" w:hAnsi="Times New Roman" w:cs="Times New Roman"/>
          <w:sz w:val="28"/>
        </w:rPr>
        <w:t xml:space="preserve"> y</w:t>
      </w:r>
      <w:r w:rsidRPr="00E00F43">
        <w:rPr>
          <w:rFonts w:ascii="Times New Roman" w:hAnsi="Times New Roman" w:cs="Times New Roman"/>
          <w:sz w:val="28"/>
        </w:rPr>
        <w:t xml:space="preserve"> 226</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C.P.</w:t>
      </w:r>
      <w:r w:rsidRPr="00E00F43">
        <w:rPr>
          <w:rFonts w:ascii="Times New Roman" w:hAnsi="Times New Roman" w:cs="Times New Roman"/>
          <w:sz w:val="28"/>
        </w:rPr>
        <w:t>)</w:t>
      </w:r>
      <w:r w:rsidRPr="00E00F43">
        <w:rPr>
          <w:rFonts w:ascii="Times New Roman" w:hAnsi="Times New Roman" w:cs="Times New Roman"/>
          <w:sz w:val="28"/>
        </w:rPr>
        <w:t xml:space="preserve">, así como del principio de </w:t>
      </w:r>
      <w:r w:rsidRPr="00E00F43">
        <w:rPr>
          <w:rFonts w:ascii="Times New Roman" w:hAnsi="Times New Roman" w:cs="Times New Roman"/>
          <w:sz w:val="28"/>
        </w:rPr>
        <w:t xml:space="preserve">voluntariedad </w:t>
      </w:r>
      <w:r w:rsidRPr="00E00F43">
        <w:rPr>
          <w:rFonts w:ascii="Times New Roman" w:hAnsi="Times New Roman" w:cs="Times New Roman"/>
          <w:sz w:val="28"/>
        </w:rPr>
        <w:t>de los E</w:t>
      </w:r>
      <w:r w:rsidRPr="00E00F43">
        <w:rPr>
          <w:rFonts w:ascii="Times New Roman" w:hAnsi="Times New Roman" w:cs="Times New Roman"/>
          <w:sz w:val="28"/>
        </w:rPr>
        <w:t>stados para</w:t>
      </w:r>
      <w:r w:rsidRPr="00E00F43">
        <w:rPr>
          <w:rFonts w:ascii="Times New Roman" w:hAnsi="Times New Roman" w:cs="Times New Roman"/>
          <w:sz w:val="28"/>
        </w:rPr>
        <w:t xml:space="preserve"> celebrar o retirarse de los acuerdos internacionales</w:t>
      </w:r>
      <w:r w:rsidRPr="00E00F43">
        <w:rPr>
          <w:rFonts w:ascii="Times New Roman" w:hAnsi="Times New Roman" w:cs="Times New Roman"/>
          <w:sz w:val="28"/>
        </w:rPr>
        <w:t xml:space="preserve">, en concordancia con lo dispuesto en la </w:t>
      </w:r>
      <w:r w:rsidRPr="00E00F43">
        <w:rPr>
          <w:rFonts w:ascii="Times New Roman" w:hAnsi="Times New Roman" w:cs="Times New Roman"/>
          <w:sz w:val="28"/>
        </w:rPr>
        <w:t>Convención de Viena sobre el Derecho de los Tratados</w:t>
      </w:r>
      <w:r w:rsidRPr="00E00F43">
        <w:rPr>
          <w:rFonts w:ascii="Times New Roman" w:hAnsi="Times New Roman" w:cs="Times New Roman"/>
          <w:sz w:val="28"/>
        </w:rPr>
        <w:t xml:space="preserve">, aprobada en Colombia a través de la Ley 32 de 1985. </w:t>
      </w:r>
    </w:p>
    <w:p w:rsidR="00561848" w:rsidRPr="00E00F43" w:rsidRDefault="00E00F43" w:rsidP="00561848">
      <w:pPr>
        <w:pStyle w:val="Prrafodelista"/>
        <w:tabs>
          <w:tab w:val="left" w:pos="426"/>
        </w:tabs>
        <w:ind w:left="0"/>
        <w:rPr>
          <w:rFonts w:ascii="Times New Roman" w:hAnsi="Times New Roman" w:cs="Times New Roman"/>
          <w:bCs/>
          <w:sz w:val="28"/>
          <w:szCs w:val="24"/>
          <w:lang w:val="es-ES" w:eastAsia="es-CO"/>
        </w:rPr>
      </w:pPr>
    </w:p>
    <w:p w:rsidR="00561848" w:rsidRPr="00E00F43" w:rsidRDefault="00E00F43">
      <w:pPr>
        <w:pStyle w:val="Prrafodelista"/>
        <w:numPr>
          <w:ilvl w:val="2"/>
          <w:numId w:val="7"/>
        </w:numPr>
        <w:tabs>
          <w:tab w:val="left" w:pos="426"/>
        </w:tabs>
        <w:ind w:left="0" w:firstLine="0"/>
        <w:rPr>
          <w:rFonts w:ascii="Times New Roman" w:hAnsi="Times New Roman" w:cs="Times New Roman"/>
          <w:b/>
          <w:bCs/>
          <w:sz w:val="28"/>
          <w:szCs w:val="24"/>
          <w:lang w:val="es-ES" w:eastAsia="es-CO"/>
        </w:rPr>
      </w:pPr>
      <w:r w:rsidRPr="00E00F43">
        <w:rPr>
          <w:rFonts w:ascii="Times New Roman" w:hAnsi="Times New Roman" w:cs="Times New Roman"/>
          <w:b/>
          <w:bCs/>
          <w:sz w:val="28"/>
          <w:szCs w:val="24"/>
          <w:lang w:val="es-ES"/>
        </w:rPr>
        <w:t>Artículo 10</w:t>
      </w:r>
      <w:r w:rsidRPr="00E00F43">
        <w:rPr>
          <w:rFonts w:ascii="Times New Roman" w:hAnsi="Times New Roman" w:cs="Times New Roman"/>
          <w:b/>
          <w:bCs/>
          <w:sz w:val="28"/>
          <w:szCs w:val="24"/>
          <w:lang w:val="es-ES"/>
        </w:rPr>
        <w:t xml:space="preserve"> y Anexo 6</w:t>
      </w:r>
      <w:r w:rsidRPr="00E00F43">
        <w:rPr>
          <w:rFonts w:ascii="Times New Roman" w:hAnsi="Times New Roman" w:cs="Times New Roman"/>
          <w:b/>
          <w:bCs/>
          <w:sz w:val="28"/>
          <w:szCs w:val="24"/>
          <w:lang w:val="es-ES"/>
        </w:rPr>
        <w:t xml:space="preserve">: resolución de </w:t>
      </w:r>
      <w:r w:rsidRPr="00E00F43">
        <w:rPr>
          <w:rFonts w:ascii="Times New Roman" w:hAnsi="Times New Roman" w:cs="Times New Roman"/>
          <w:b/>
          <w:bCs/>
          <w:sz w:val="28"/>
          <w:szCs w:val="24"/>
          <w:lang w:val="es-ES"/>
        </w:rPr>
        <w:t>controversias</w:t>
      </w:r>
    </w:p>
    <w:p w:rsidR="00561848" w:rsidRPr="00E00F43" w:rsidRDefault="00E00F43" w:rsidP="00561848">
      <w:pPr>
        <w:pStyle w:val="Prrafodelista"/>
        <w:tabs>
          <w:tab w:val="left" w:pos="426"/>
        </w:tabs>
        <w:ind w:left="0"/>
        <w:rPr>
          <w:rFonts w:ascii="Times New Roman" w:hAnsi="Times New Roman" w:cs="Times New Roman"/>
          <w:bCs/>
          <w:sz w:val="28"/>
          <w:szCs w:val="24"/>
          <w:lang w:val="es-ES" w:eastAsia="es-CO"/>
        </w:rPr>
      </w:pPr>
    </w:p>
    <w:p w:rsidR="00220FF5"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El artículo 10</w:t>
      </w:r>
      <w:r w:rsidRPr="00E00F43">
        <w:rPr>
          <w:rFonts w:ascii="Times New Roman" w:hAnsi="Times New Roman" w:cs="Times New Roman"/>
          <w:sz w:val="28"/>
        </w:rPr>
        <w:t xml:space="preserve"> contiene tres numerales sobre resolución de discrepancias entre los Estados parte, de los cuales se derivan dos reglas importantes. En primer lugar, se indica que cualquier controversia </w:t>
      </w:r>
      <w:r w:rsidRPr="00E00F43">
        <w:rPr>
          <w:rFonts w:ascii="Times New Roman" w:hAnsi="Times New Roman" w:cs="Times New Roman"/>
          <w:i/>
          <w:iCs/>
          <w:sz w:val="28"/>
        </w:rPr>
        <w:t xml:space="preserve">sobre la interpretación y aplicación </w:t>
      </w:r>
      <w:r w:rsidRPr="00E00F43">
        <w:rPr>
          <w:rFonts w:ascii="Times New Roman" w:hAnsi="Times New Roman" w:cs="Times New Roman"/>
          <w:sz w:val="28"/>
        </w:rPr>
        <w:t>del</w:t>
      </w:r>
      <w:r w:rsidRPr="00E00F43">
        <w:rPr>
          <w:rFonts w:ascii="Times New Roman" w:hAnsi="Times New Roman" w:cs="Times New Roman"/>
          <w:sz w:val="28"/>
        </w:rPr>
        <w:t xml:space="preserve"> </w:t>
      </w:r>
      <w:r w:rsidRPr="00E00F43">
        <w:rPr>
          <w:rFonts w:ascii="Times New Roman" w:hAnsi="Times New Roman" w:cs="Times New Roman"/>
          <w:sz w:val="28"/>
        </w:rPr>
        <w:t>Acuerdo</w:t>
      </w:r>
      <w:r w:rsidRPr="00E00F43">
        <w:rPr>
          <w:rFonts w:ascii="Times New Roman" w:hAnsi="Times New Roman" w:cs="Times New Roman"/>
          <w:sz w:val="28"/>
        </w:rPr>
        <w:t xml:space="preserve"> se solucionará a través de la negociación. De no lograrse, se acudirá al mecanismo de arbitraje, cuyo tribunal estará integrado de común acuerdo entre las partes. En segundo lugar, se </w:t>
      </w:r>
      <w:r w:rsidRPr="00E00F43">
        <w:rPr>
          <w:rFonts w:ascii="Times New Roman" w:hAnsi="Times New Roman" w:cs="Times New Roman"/>
          <w:sz w:val="28"/>
        </w:rPr>
        <w:t>establece</w:t>
      </w:r>
      <w:r w:rsidRPr="00E00F43">
        <w:rPr>
          <w:rFonts w:ascii="Times New Roman" w:hAnsi="Times New Roman" w:cs="Times New Roman"/>
          <w:sz w:val="28"/>
        </w:rPr>
        <w:t xml:space="preserve"> que s</w:t>
      </w:r>
      <w:r w:rsidRPr="00E00F43">
        <w:rPr>
          <w:rFonts w:ascii="Times New Roman" w:hAnsi="Times New Roman" w:cs="Times New Roman"/>
          <w:sz w:val="28"/>
        </w:rPr>
        <w:t>i</w:t>
      </w:r>
      <w:r w:rsidRPr="00E00F43">
        <w:rPr>
          <w:rFonts w:ascii="Times New Roman" w:hAnsi="Times New Roman" w:cs="Times New Roman"/>
          <w:sz w:val="28"/>
        </w:rPr>
        <w:t xml:space="preserve"> la controversia versa sobre la interpretación </w:t>
      </w:r>
      <w:r w:rsidRPr="00E00F43">
        <w:rPr>
          <w:rFonts w:ascii="Times New Roman" w:hAnsi="Times New Roman" w:cs="Times New Roman"/>
          <w:sz w:val="28"/>
        </w:rPr>
        <w:t>y alcance de los reglamentos ONU anexos, se acudirá a la negociación</w:t>
      </w:r>
      <w:r w:rsidRPr="00E00F43">
        <w:rPr>
          <w:rFonts w:ascii="Times New Roman" w:hAnsi="Times New Roman" w:cs="Times New Roman"/>
          <w:sz w:val="28"/>
        </w:rPr>
        <w:t xml:space="preserve">. </w:t>
      </w:r>
    </w:p>
    <w:p w:rsidR="00220FF5" w:rsidRPr="00E00F43" w:rsidRDefault="00E00F43" w:rsidP="00DB0D94">
      <w:pPr>
        <w:pStyle w:val="Ttulo"/>
        <w:numPr>
          <w:ilvl w:val="0"/>
          <w:numId w:val="0"/>
        </w:numPr>
        <w:rPr>
          <w:rFonts w:ascii="Times New Roman" w:hAnsi="Times New Roman" w:cs="Times New Roman"/>
          <w:sz w:val="28"/>
          <w:lang w:eastAsia="es-CO"/>
        </w:rPr>
      </w:pPr>
    </w:p>
    <w:p w:rsidR="00220FF5"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A su vez, el</w:t>
      </w:r>
      <w:r w:rsidRPr="00E00F43">
        <w:rPr>
          <w:rFonts w:ascii="Times New Roman" w:hAnsi="Times New Roman" w:cs="Times New Roman"/>
          <w:sz w:val="28"/>
        </w:rPr>
        <w:t xml:space="preserve"> Anexo 6 prevé los “[p]</w:t>
      </w:r>
      <w:r w:rsidRPr="00E00F43">
        <w:rPr>
          <w:rFonts w:ascii="Times New Roman" w:hAnsi="Times New Roman" w:cs="Times New Roman"/>
          <w:sz w:val="28"/>
          <w:lang w:eastAsia="es-CO"/>
        </w:rPr>
        <w:t>rocedimientos para resolver problemas de interpretación en relación con la aplicación de reglamentos de las Naciones Unidas y concesión de homologaci</w:t>
      </w:r>
      <w:r w:rsidRPr="00E00F43">
        <w:rPr>
          <w:rFonts w:ascii="Times New Roman" w:hAnsi="Times New Roman" w:cs="Times New Roman"/>
          <w:sz w:val="28"/>
          <w:lang w:eastAsia="es-CO"/>
        </w:rPr>
        <w:t>ones con arreglo a dichos reglamentos”, y da alcance al contenido normativo del artículo 10, al detallar las reglas sobre la superación de las discrepa</w:t>
      </w:r>
      <w:r w:rsidRPr="00E00F43">
        <w:rPr>
          <w:rFonts w:ascii="Times New Roman" w:hAnsi="Times New Roman" w:cs="Times New Roman"/>
          <w:sz w:val="28"/>
          <w:lang w:eastAsia="es-CO"/>
        </w:rPr>
        <w:t>n</w:t>
      </w:r>
      <w:r w:rsidRPr="00E00F43">
        <w:rPr>
          <w:rFonts w:ascii="Times New Roman" w:hAnsi="Times New Roman" w:cs="Times New Roman"/>
          <w:sz w:val="28"/>
          <w:lang w:eastAsia="es-CO"/>
        </w:rPr>
        <w:t xml:space="preserve">cias interpretativas que surjan alrededor de los reglamentos ONU. </w:t>
      </w:r>
      <w:r w:rsidRPr="00E00F43">
        <w:rPr>
          <w:rFonts w:ascii="Times New Roman" w:hAnsi="Times New Roman" w:cs="Times New Roman"/>
          <w:sz w:val="28"/>
          <w:lang w:eastAsia="es-CO"/>
        </w:rPr>
        <w:t xml:space="preserve">En este contexto, </w:t>
      </w:r>
      <w:r w:rsidRPr="00E00F43">
        <w:rPr>
          <w:rFonts w:ascii="Times New Roman" w:hAnsi="Times New Roman" w:cs="Times New Roman"/>
          <w:sz w:val="28"/>
          <w:lang w:eastAsia="es-CO"/>
        </w:rPr>
        <w:t>se torna</w:t>
      </w:r>
      <w:r w:rsidRPr="00E00F43">
        <w:rPr>
          <w:rFonts w:ascii="Times New Roman" w:hAnsi="Times New Roman" w:cs="Times New Roman"/>
          <w:sz w:val="28"/>
          <w:lang w:eastAsia="es-CO"/>
        </w:rPr>
        <w:t xml:space="preserve"> de particul</w:t>
      </w:r>
      <w:r w:rsidRPr="00E00F43">
        <w:rPr>
          <w:rFonts w:ascii="Times New Roman" w:hAnsi="Times New Roman" w:cs="Times New Roman"/>
          <w:sz w:val="28"/>
          <w:lang w:eastAsia="es-CO"/>
        </w:rPr>
        <w:t xml:space="preserve">ar interés el numeral 3 </w:t>
      </w:r>
      <w:r w:rsidRPr="00E00F43">
        <w:rPr>
          <w:rFonts w:ascii="Times New Roman" w:hAnsi="Times New Roman" w:cs="Times New Roman"/>
          <w:sz w:val="28"/>
          <w:lang w:eastAsia="es-CO"/>
        </w:rPr>
        <w:t>de este anexo</w:t>
      </w:r>
      <w:r w:rsidRPr="00E00F43">
        <w:rPr>
          <w:rFonts w:ascii="Times New Roman" w:hAnsi="Times New Roman" w:cs="Times New Roman"/>
          <w:sz w:val="28"/>
          <w:lang w:eastAsia="es-CO"/>
        </w:rPr>
        <w:t xml:space="preserve">, en el que se establece el “proceso de arbitraje a través del WP.29 y sus grupos de trabajo auxiliares”. Allí se </w:t>
      </w:r>
      <w:r w:rsidRPr="00E00F43">
        <w:rPr>
          <w:rFonts w:ascii="Times New Roman" w:hAnsi="Times New Roman" w:cs="Times New Roman"/>
          <w:sz w:val="28"/>
          <w:lang w:eastAsia="es-CO"/>
        </w:rPr>
        <w:t>dispone</w:t>
      </w:r>
      <w:r w:rsidRPr="00E00F43">
        <w:rPr>
          <w:rFonts w:ascii="Times New Roman" w:hAnsi="Times New Roman" w:cs="Times New Roman"/>
          <w:sz w:val="28"/>
          <w:lang w:eastAsia="es-CO"/>
        </w:rPr>
        <w:t xml:space="preserve"> que e</w:t>
      </w:r>
      <w:r w:rsidRPr="00E00F43">
        <w:rPr>
          <w:rFonts w:ascii="Times New Roman" w:hAnsi="Times New Roman" w:cs="Times New Roman"/>
          <w:sz w:val="28"/>
          <w:lang w:eastAsia="es-CO"/>
        </w:rPr>
        <w:t>l</w:t>
      </w:r>
      <w:r w:rsidRPr="00E00F43">
        <w:rPr>
          <w:rFonts w:ascii="Times New Roman" w:hAnsi="Times New Roman" w:cs="Times New Roman"/>
          <w:sz w:val="28"/>
          <w:lang w:eastAsia="es-CO"/>
        </w:rPr>
        <w:t xml:space="preserve"> arbitraje será especial, pues funcionará </w:t>
      </w:r>
      <w:r w:rsidRPr="00E00F43">
        <w:rPr>
          <w:rFonts w:ascii="Times New Roman" w:hAnsi="Times New Roman" w:cs="Times New Roman"/>
          <w:sz w:val="28"/>
          <w:lang w:eastAsia="es-CO"/>
        </w:rPr>
        <w:t xml:space="preserve">por conducto </w:t>
      </w:r>
      <w:r w:rsidRPr="00E00F43">
        <w:rPr>
          <w:rFonts w:ascii="Times New Roman" w:hAnsi="Times New Roman" w:cs="Times New Roman"/>
          <w:sz w:val="28"/>
          <w:lang w:eastAsia="es-CO"/>
        </w:rPr>
        <w:t>de los distintos grupos de trabajo</w:t>
      </w:r>
      <w:r w:rsidRPr="00E00F43">
        <w:rPr>
          <w:rFonts w:ascii="Times New Roman" w:hAnsi="Times New Roman" w:cs="Times New Roman"/>
          <w:sz w:val="28"/>
          <w:lang w:eastAsia="es-CO"/>
        </w:rPr>
        <w:t xml:space="preserve"> d</w:t>
      </w:r>
      <w:r w:rsidRPr="00E00F43">
        <w:rPr>
          <w:rFonts w:ascii="Times New Roman" w:hAnsi="Times New Roman" w:cs="Times New Roman"/>
          <w:sz w:val="28"/>
          <w:lang w:eastAsia="es-CO"/>
        </w:rPr>
        <w:t>el WP.29</w:t>
      </w:r>
      <w:r w:rsidRPr="00E00F43">
        <w:rPr>
          <w:rFonts w:ascii="Times New Roman" w:hAnsi="Times New Roman" w:cs="Times New Roman"/>
          <w:sz w:val="28"/>
          <w:lang w:eastAsia="es-CO"/>
        </w:rPr>
        <w:t xml:space="preserve">, </w:t>
      </w:r>
      <w:r w:rsidRPr="00E00F43">
        <w:rPr>
          <w:rFonts w:ascii="Times New Roman" w:hAnsi="Times New Roman" w:cs="Times New Roman"/>
          <w:sz w:val="28"/>
          <w:lang w:eastAsia="es-CO"/>
        </w:rPr>
        <w:t>y en ellos</w:t>
      </w:r>
      <w:r w:rsidRPr="00E00F43">
        <w:rPr>
          <w:rFonts w:ascii="Times New Roman" w:hAnsi="Times New Roman" w:cs="Times New Roman"/>
          <w:sz w:val="28"/>
          <w:lang w:eastAsia="es-CO"/>
        </w:rPr>
        <w:t xml:space="preserve"> se deberán identificar los problemas derivados de las interpretaciones </w:t>
      </w:r>
      <w:r w:rsidRPr="00E00F43">
        <w:rPr>
          <w:rFonts w:ascii="Times New Roman" w:hAnsi="Times New Roman" w:cs="Times New Roman"/>
          <w:sz w:val="28"/>
          <w:lang w:eastAsia="es-CO"/>
        </w:rPr>
        <w:t xml:space="preserve">disímiles, con el propósito de </w:t>
      </w:r>
      <w:r w:rsidRPr="00E00F43">
        <w:rPr>
          <w:rFonts w:ascii="Times New Roman" w:hAnsi="Times New Roman" w:cs="Times New Roman"/>
          <w:sz w:val="28"/>
          <w:lang w:eastAsia="es-CO"/>
        </w:rPr>
        <w:t>hacer frente a estas controversias hermenéuticas</w:t>
      </w:r>
      <w:r w:rsidRPr="00E00F43">
        <w:rPr>
          <w:rFonts w:ascii="Times New Roman" w:hAnsi="Times New Roman" w:cs="Times New Roman"/>
          <w:sz w:val="28"/>
          <w:lang w:eastAsia="es-CO"/>
        </w:rPr>
        <w:t xml:space="preserve">, siempre </w:t>
      </w:r>
      <w:r w:rsidRPr="00E00F43">
        <w:rPr>
          <w:rFonts w:ascii="Times New Roman" w:hAnsi="Times New Roman" w:cs="Times New Roman"/>
          <w:sz w:val="28"/>
          <w:lang w:eastAsia="es-CO"/>
        </w:rPr>
        <w:t>con la participación de las autoridades de homol</w:t>
      </w:r>
      <w:r w:rsidRPr="00E00F43">
        <w:rPr>
          <w:rFonts w:ascii="Times New Roman" w:hAnsi="Times New Roman" w:cs="Times New Roman"/>
          <w:sz w:val="28"/>
          <w:lang w:eastAsia="es-CO"/>
        </w:rPr>
        <w:t>o</w:t>
      </w:r>
      <w:r w:rsidRPr="00E00F43">
        <w:rPr>
          <w:rFonts w:ascii="Times New Roman" w:hAnsi="Times New Roman" w:cs="Times New Roman"/>
          <w:sz w:val="28"/>
          <w:lang w:eastAsia="es-CO"/>
        </w:rPr>
        <w:t>gación, con</w:t>
      </w:r>
      <w:r w:rsidRPr="00E00F43">
        <w:rPr>
          <w:rFonts w:ascii="Times New Roman" w:hAnsi="Times New Roman" w:cs="Times New Roman"/>
          <w:sz w:val="28"/>
          <w:lang w:eastAsia="es-CO"/>
        </w:rPr>
        <w:t xml:space="preserve"> el</w:t>
      </w:r>
      <w:r w:rsidRPr="00E00F43">
        <w:rPr>
          <w:rFonts w:ascii="Times New Roman" w:hAnsi="Times New Roman" w:cs="Times New Roman"/>
          <w:sz w:val="28"/>
          <w:lang w:eastAsia="es-CO"/>
        </w:rPr>
        <w:t xml:space="preserve"> asesoramiento técnico</w:t>
      </w:r>
      <w:r w:rsidRPr="00E00F43">
        <w:rPr>
          <w:rFonts w:ascii="Times New Roman" w:hAnsi="Times New Roman" w:cs="Times New Roman"/>
          <w:sz w:val="28"/>
          <w:lang w:eastAsia="es-CO"/>
        </w:rPr>
        <w:t xml:space="preserve"> necesario</w:t>
      </w:r>
      <w:r w:rsidRPr="00E00F43">
        <w:rPr>
          <w:rFonts w:ascii="Times New Roman" w:hAnsi="Times New Roman" w:cs="Times New Roman"/>
          <w:sz w:val="28"/>
          <w:lang w:eastAsia="es-CO"/>
        </w:rPr>
        <w:t xml:space="preserve"> y procurando llegar a una decisión unánime, </w:t>
      </w:r>
      <w:r w:rsidRPr="00E00F43">
        <w:rPr>
          <w:rFonts w:ascii="Times New Roman" w:hAnsi="Times New Roman" w:cs="Times New Roman"/>
          <w:sz w:val="28"/>
          <w:lang w:eastAsia="es-CO"/>
        </w:rPr>
        <w:t>mediante</w:t>
      </w:r>
      <w:r w:rsidRPr="00E00F43">
        <w:rPr>
          <w:rFonts w:ascii="Times New Roman" w:hAnsi="Times New Roman" w:cs="Times New Roman"/>
          <w:sz w:val="28"/>
          <w:lang w:eastAsia="es-CO"/>
        </w:rPr>
        <w:t xml:space="preserve"> procedimientos transparentes y auditables.</w:t>
      </w:r>
    </w:p>
    <w:p w:rsidR="001C34DB" w:rsidRPr="00E00F43" w:rsidRDefault="00E00F43" w:rsidP="001E11D7">
      <w:pPr>
        <w:pStyle w:val="Ttulo"/>
        <w:numPr>
          <w:ilvl w:val="0"/>
          <w:numId w:val="0"/>
        </w:numPr>
        <w:rPr>
          <w:rFonts w:ascii="Times New Roman" w:hAnsi="Times New Roman" w:cs="Times New Roman"/>
          <w:sz w:val="28"/>
          <w:lang w:eastAsia="es-CO"/>
        </w:rPr>
      </w:pPr>
    </w:p>
    <w:p w:rsidR="00330202"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La Corte tampoco advierte problema alguno de constitucionalidad sobre este conjunto de reglas. Por un lado, </w:t>
      </w:r>
      <w:r w:rsidRPr="00E00F43">
        <w:rPr>
          <w:rFonts w:ascii="Times New Roman" w:hAnsi="Times New Roman" w:cs="Times New Roman"/>
          <w:sz w:val="28"/>
        </w:rPr>
        <w:t>es necesario recor</w:t>
      </w:r>
      <w:r w:rsidRPr="00E00F43">
        <w:rPr>
          <w:rFonts w:ascii="Times New Roman" w:hAnsi="Times New Roman" w:cs="Times New Roman"/>
          <w:sz w:val="28"/>
        </w:rPr>
        <w:t xml:space="preserve">dar que, desde sus primeros pronunciamientos, esta Corporación se ha referido a la constitucionalidad de este tipo de reglas incorporadas en instrumentos internacionales, de manera que ha exaltado la necesidad de reconocer en los mecanismos de </w:t>
      </w:r>
      <w:r w:rsidRPr="00E00F43">
        <w:rPr>
          <w:rFonts w:ascii="Times New Roman" w:hAnsi="Times New Roman" w:cs="Times New Roman"/>
          <w:i/>
          <w:iCs/>
          <w:sz w:val="28"/>
        </w:rPr>
        <w:t xml:space="preserve">negociación </w:t>
      </w:r>
      <w:r w:rsidRPr="00E00F43">
        <w:rPr>
          <w:rFonts w:ascii="Times New Roman" w:hAnsi="Times New Roman" w:cs="Times New Roman"/>
          <w:i/>
          <w:iCs/>
          <w:sz w:val="28"/>
        </w:rPr>
        <w:t>directa</w:t>
      </w:r>
      <w:r w:rsidRPr="00E00F43">
        <w:rPr>
          <w:rFonts w:ascii="Times New Roman" w:hAnsi="Times New Roman" w:cs="Times New Roman"/>
          <w:sz w:val="28"/>
        </w:rPr>
        <w:t xml:space="preserve"> y de </w:t>
      </w:r>
      <w:r w:rsidRPr="00E00F43">
        <w:rPr>
          <w:rFonts w:ascii="Times New Roman" w:hAnsi="Times New Roman" w:cs="Times New Roman"/>
          <w:i/>
          <w:iCs/>
          <w:sz w:val="28"/>
        </w:rPr>
        <w:t xml:space="preserve">arbitraje </w:t>
      </w:r>
      <w:r w:rsidRPr="00E00F43">
        <w:rPr>
          <w:rFonts w:ascii="Times New Roman" w:hAnsi="Times New Roman" w:cs="Times New Roman"/>
          <w:sz w:val="28"/>
        </w:rPr>
        <w:t xml:space="preserve">fórmulas legítimas que materializan </w:t>
      </w:r>
      <w:r w:rsidRPr="00E00F43">
        <w:rPr>
          <w:rFonts w:ascii="Times New Roman" w:hAnsi="Times New Roman" w:cs="Times New Roman"/>
          <w:sz w:val="28"/>
        </w:rPr>
        <w:t xml:space="preserve">el mandato </w:t>
      </w:r>
      <w:r w:rsidRPr="00E00F43">
        <w:rPr>
          <w:rFonts w:ascii="Times New Roman" w:hAnsi="Times New Roman" w:cs="Times New Roman"/>
          <w:sz w:val="28"/>
        </w:rPr>
        <w:t xml:space="preserve">constitucional de </w:t>
      </w:r>
      <w:r w:rsidRPr="00E00F43">
        <w:rPr>
          <w:rFonts w:ascii="Times New Roman" w:hAnsi="Times New Roman" w:cs="Times New Roman"/>
          <w:sz w:val="28"/>
        </w:rPr>
        <w:t>resolución</w:t>
      </w:r>
      <w:r w:rsidRPr="00E00F43">
        <w:rPr>
          <w:rFonts w:ascii="Times New Roman" w:hAnsi="Times New Roman" w:cs="Times New Roman"/>
          <w:sz w:val="28"/>
        </w:rPr>
        <w:t xml:space="preserve"> pacífica</w:t>
      </w:r>
      <w:r w:rsidRPr="00E00F43">
        <w:rPr>
          <w:rFonts w:ascii="Times New Roman" w:hAnsi="Times New Roman" w:cs="Times New Roman"/>
          <w:sz w:val="28"/>
        </w:rPr>
        <w:t xml:space="preserve"> de</w:t>
      </w:r>
      <w:r w:rsidRPr="00E00F43">
        <w:rPr>
          <w:rFonts w:ascii="Times New Roman" w:hAnsi="Times New Roman" w:cs="Times New Roman"/>
          <w:sz w:val="28"/>
        </w:rPr>
        <w:t xml:space="preserve"> los conflictos</w:t>
      </w:r>
      <w:r w:rsidRPr="00E00F43">
        <w:rPr>
          <w:rFonts w:ascii="Times New Roman" w:hAnsi="Times New Roman" w:cs="Times New Roman"/>
          <w:sz w:val="28"/>
        </w:rPr>
        <w:t xml:space="preserve">. </w:t>
      </w:r>
      <w:r w:rsidRPr="00E00F43">
        <w:rPr>
          <w:rFonts w:ascii="Times New Roman" w:hAnsi="Times New Roman" w:cs="Times New Roman"/>
          <w:sz w:val="28"/>
        </w:rPr>
        <w:t>Con ello</w:t>
      </w:r>
      <w:r w:rsidRPr="00E00F43">
        <w:rPr>
          <w:rFonts w:ascii="Times New Roman" w:hAnsi="Times New Roman" w:cs="Times New Roman"/>
          <w:sz w:val="28"/>
        </w:rPr>
        <w:t xml:space="preserve"> se cumplen los fines esenciales del Estado consagrados en el artículo 2 de la Constitución, particularmente los relativo</w:t>
      </w:r>
      <w:r w:rsidRPr="00E00F43">
        <w:rPr>
          <w:rFonts w:ascii="Times New Roman" w:hAnsi="Times New Roman" w:cs="Times New Roman"/>
          <w:sz w:val="28"/>
        </w:rPr>
        <w:t xml:space="preserve">s a la garantía de la participación de todos en las decisiones que los afectan y </w:t>
      </w:r>
      <w:r w:rsidRPr="00E00F43">
        <w:rPr>
          <w:rFonts w:ascii="Times New Roman" w:hAnsi="Times New Roman" w:cs="Times New Roman"/>
          <w:sz w:val="28"/>
        </w:rPr>
        <w:t xml:space="preserve">el aseguramiento de </w:t>
      </w:r>
      <w:r w:rsidRPr="00E00F43">
        <w:rPr>
          <w:rFonts w:ascii="Times New Roman" w:hAnsi="Times New Roman" w:cs="Times New Roman"/>
          <w:sz w:val="28"/>
        </w:rPr>
        <w:t>la convivencia pacífica y la vigencia de un orden justo</w:t>
      </w:r>
      <w:r w:rsidRPr="00E00F43">
        <w:rPr>
          <w:rFonts w:ascii="Times New Roman" w:hAnsi="Times New Roman" w:cs="Times New Roman"/>
          <w:sz w:val="28"/>
        </w:rPr>
        <w:t>.</w:t>
      </w:r>
      <w:r w:rsidRPr="00E00F43">
        <w:rPr>
          <w:rFonts w:ascii="Times New Roman" w:hAnsi="Times New Roman" w:cs="Times New Roman"/>
          <w:sz w:val="28"/>
        </w:rPr>
        <w:t xml:space="preserve"> </w:t>
      </w:r>
    </w:p>
    <w:p w:rsidR="00330202" w:rsidRPr="00E00F43" w:rsidRDefault="00E00F43" w:rsidP="001E11D7">
      <w:pPr>
        <w:pStyle w:val="Ttulo"/>
        <w:numPr>
          <w:ilvl w:val="0"/>
          <w:numId w:val="0"/>
        </w:numPr>
        <w:rPr>
          <w:rFonts w:ascii="Times New Roman" w:hAnsi="Times New Roman" w:cs="Times New Roman"/>
          <w:sz w:val="28"/>
        </w:rPr>
      </w:pPr>
    </w:p>
    <w:p w:rsidR="00561848"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 </w:t>
      </w:r>
      <w:r w:rsidRPr="00E00F43">
        <w:rPr>
          <w:rFonts w:ascii="Times New Roman" w:hAnsi="Times New Roman" w:cs="Times New Roman"/>
          <w:sz w:val="28"/>
        </w:rPr>
        <w:t>Por otro lado, aun cuando el mecanismo de arbitraje previsto en el Acuerdo de 1958 de ninguna m</w:t>
      </w:r>
      <w:r w:rsidRPr="00E00F43">
        <w:rPr>
          <w:rFonts w:ascii="Times New Roman" w:hAnsi="Times New Roman" w:cs="Times New Roman"/>
          <w:sz w:val="28"/>
        </w:rPr>
        <w:t>anera corresponde a aquellos que son usualmente diseñados para las discusiones interestatales o de inversiones –a través de cláusulas compromisorias–, es relevante no perder de vista que esta Corporación ha resaltado</w:t>
      </w:r>
      <w:r w:rsidRPr="00E00F43">
        <w:rPr>
          <w:rFonts w:ascii="Times New Roman" w:hAnsi="Times New Roman" w:cs="Times New Roman"/>
          <w:sz w:val="28"/>
        </w:rPr>
        <w:t xml:space="preserve">, en general, </w:t>
      </w:r>
      <w:r w:rsidRPr="00E00F43">
        <w:rPr>
          <w:rFonts w:ascii="Times New Roman" w:hAnsi="Times New Roman" w:cs="Times New Roman"/>
          <w:sz w:val="28"/>
        </w:rPr>
        <w:t>la validez jurídica del ar</w:t>
      </w:r>
      <w:r w:rsidRPr="00E00F43">
        <w:rPr>
          <w:rFonts w:ascii="Times New Roman" w:hAnsi="Times New Roman" w:cs="Times New Roman"/>
          <w:sz w:val="28"/>
        </w:rPr>
        <w:t>bitraje</w:t>
      </w:r>
      <w:r w:rsidRPr="00E00F43">
        <w:rPr>
          <w:rFonts w:ascii="Times New Roman" w:hAnsi="Times New Roman" w:cs="Times New Roman"/>
          <w:sz w:val="28"/>
        </w:rPr>
        <w:t>. D</w:t>
      </w:r>
      <w:r w:rsidRPr="00E00F43">
        <w:rPr>
          <w:rFonts w:ascii="Times New Roman" w:hAnsi="Times New Roman" w:cs="Times New Roman"/>
          <w:sz w:val="28"/>
        </w:rPr>
        <w:t>e hecho, se ha pronunciado en ese mismo sentido cuando aquel es contemplado</w:t>
      </w:r>
      <w:r w:rsidRPr="00E00F43">
        <w:rPr>
          <w:rFonts w:ascii="Times New Roman" w:hAnsi="Times New Roman" w:cs="Times New Roman"/>
          <w:sz w:val="28"/>
        </w:rPr>
        <w:t xml:space="preserve"> precisamente</w:t>
      </w:r>
      <w:r w:rsidRPr="00E00F43">
        <w:rPr>
          <w:rFonts w:ascii="Times New Roman" w:hAnsi="Times New Roman" w:cs="Times New Roman"/>
          <w:sz w:val="28"/>
        </w:rPr>
        <w:t xml:space="preserve"> para la superación de problemas hermenéuticos alrededor del contenido normativo de los instrumentos internacionales. P</w:t>
      </w:r>
      <w:r w:rsidRPr="00E00F43">
        <w:rPr>
          <w:rFonts w:ascii="Times New Roman" w:hAnsi="Times New Roman" w:cs="Times New Roman"/>
          <w:sz w:val="28"/>
        </w:rPr>
        <w:t>or ejemplo, en la Sentencia C-008 de 19</w:t>
      </w:r>
      <w:r w:rsidRPr="00E00F43">
        <w:rPr>
          <w:rFonts w:ascii="Times New Roman" w:hAnsi="Times New Roman" w:cs="Times New Roman"/>
          <w:sz w:val="28"/>
        </w:rPr>
        <w:t>97, la Sala Plena explicó que:</w:t>
      </w:r>
    </w:p>
    <w:p w:rsidR="00561848" w:rsidRPr="00E00F43" w:rsidRDefault="00E00F43" w:rsidP="00561848">
      <w:pPr>
        <w:pStyle w:val="Prrafodelista"/>
        <w:tabs>
          <w:tab w:val="left" w:pos="426"/>
        </w:tabs>
        <w:ind w:left="540" w:right="335"/>
        <w:rPr>
          <w:rFonts w:ascii="Times New Roman" w:hAnsi="Times New Roman" w:cs="Times New Roman"/>
          <w:bCs/>
          <w:sz w:val="28"/>
          <w:szCs w:val="24"/>
          <w:lang w:val="es-ES"/>
        </w:rPr>
      </w:pPr>
    </w:p>
    <w:p w:rsidR="00561848" w:rsidRPr="00E00F43" w:rsidRDefault="00E00F43" w:rsidP="00561848">
      <w:pPr>
        <w:pStyle w:val="Prrafodelista"/>
        <w:tabs>
          <w:tab w:val="left" w:pos="426"/>
        </w:tabs>
        <w:ind w:left="540" w:right="335"/>
        <w:rPr>
          <w:rFonts w:ascii="Times New Roman" w:hAnsi="Times New Roman" w:cs="Times New Roman"/>
          <w:bCs/>
          <w:sz w:val="28"/>
          <w:szCs w:val="24"/>
          <w:lang w:val="es-ES"/>
        </w:rPr>
      </w:pPr>
      <w:r w:rsidRPr="00E00F43">
        <w:rPr>
          <w:rFonts w:ascii="Times New Roman" w:hAnsi="Times New Roman" w:cs="Times New Roman"/>
          <w:bCs/>
          <w:sz w:val="28"/>
          <w:szCs w:val="24"/>
          <w:lang w:val="es-ES"/>
        </w:rPr>
        <w:t>“el sometimiento de las diferencias surgidas con ocasión de la ejecución, la interpretación y la aplicación del presente tratado a la decisión de tribunales de arbitramento internacionales es coherente con los postulados con</w:t>
      </w:r>
      <w:r w:rsidRPr="00E00F43">
        <w:rPr>
          <w:rFonts w:ascii="Times New Roman" w:hAnsi="Times New Roman" w:cs="Times New Roman"/>
          <w:bCs/>
          <w:sz w:val="28"/>
          <w:szCs w:val="24"/>
          <w:lang w:val="es-ES"/>
        </w:rPr>
        <w:t>stitucionales, tal y como lo señaló en las sentencias C-358/96 y C-379/96. Dijo entonces la Corporación: || Una visión integral de la Constitución permite concluir que ésta busca, como uno de sus propósitos fundamentales, la resolución pacífica de los conf</w:t>
      </w:r>
      <w:r w:rsidRPr="00E00F43">
        <w:rPr>
          <w:rFonts w:ascii="Times New Roman" w:hAnsi="Times New Roman" w:cs="Times New Roman"/>
          <w:bCs/>
          <w:sz w:val="28"/>
          <w:szCs w:val="24"/>
          <w:lang w:val="es-ES"/>
        </w:rPr>
        <w:t>lictos. Para el logro de este objetivo consagra una serie de mecanismos que tienden a desconcentrar la administración de justicia y a establecer mecanismos alternativos de solución de controversias tales como las jurisdicciones especiales, los jueces de pa</w:t>
      </w:r>
      <w:r w:rsidRPr="00E00F43">
        <w:rPr>
          <w:rFonts w:ascii="Times New Roman" w:hAnsi="Times New Roman" w:cs="Times New Roman"/>
          <w:bCs/>
          <w:sz w:val="28"/>
          <w:szCs w:val="24"/>
          <w:lang w:val="es-ES"/>
        </w:rPr>
        <w:t>z, la conciliación o el arbitramento. En razón de la naturaleza de las diferencias que pueden suscitarse con ocasión de las inversiones de que trata el Tratado sub examine, puede llegar a ser mucho más conveniente y pacífico que sea un organismo internacio</w:t>
      </w:r>
      <w:r w:rsidRPr="00E00F43">
        <w:rPr>
          <w:rFonts w:ascii="Times New Roman" w:hAnsi="Times New Roman" w:cs="Times New Roman"/>
          <w:bCs/>
          <w:sz w:val="28"/>
          <w:szCs w:val="24"/>
          <w:lang w:val="es-ES"/>
        </w:rPr>
        <w:t>nal especializado o un tribunal de arbitraje quien las solucione. Por otra parte, la Corte considera que la promoción de la internacionalización de las relaciones políticas, económicas, sociales y ecológicas de que trata el artículo 226 de la Carta no serí</w:t>
      </w:r>
      <w:r w:rsidRPr="00E00F43">
        <w:rPr>
          <w:rFonts w:ascii="Times New Roman" w:hAnsi="Times New Roman" w:cs="Times New Roman"/>
          <w:bCs/>
          <w:sz w:val="28"/>
          <w:szCs w:val="24"/>
          <w:lang w:val="es-ES"/>
        </w:rPr>
        <w:t>a posible sin el recurso, en determinadas oportunidades, a los tribunales internacionales”</w:t>
      </w:r>
      <w:r w:rsidRPr="00E00F43">
        <w:rPr>
          <w:rStyle w:val="Refdenotaalpie"/>
          <w:rFonts w:ascii="Times New Roman" w:hAnsi="Times New Roman"/>
          <w:bCs/>
          <w:sz w:val="28"/>
          <w:szCs w:val="24"/>
          <w:lang w:val="es-ES"/>
        </w:rPr>
        <w:footnoteReference w:id="93"/>
      </w:r>
      <w:r w:rsidRPr="00E00F43">
        <w:rPr>
          <w:rFonts w:ascii="Times New Roman" w:hAnsi="Times New Roman" w:cs="Times New Roman"/>
          <w:bCs/>
          <w:sz w:val="28"/>
          <w:szCs w:val="24"/>
          <w:lang w:val="es-ES"/>
        </w:rPr>
        <w:t>.</w:t>
      </w:r>
    </w:p>
    <w:p w:rsidR="00561848" w:rsidRPr="00E00F43" w:rsidRDefault="00E00F43" w:rsidP="00561848">
      <w:pPr>
        <w:pStyle w:val="Prrafodelista"/>
        <w:tabs>
          <w:tab w:val="left" w:pos="426"/>
        </w:tabs>
        <w:ind w:left="0"/>
        <w:rPr>
          <w:rFonts w:ascii="Times New Roman" w:hAnsi="Times New Roman" w:cs="Times New Roman"/>
          <w:bCs/>
          <w:sz w:val="28"/>
          <w:szCs w:val="24"/>
          <w:lang w:val="es-ES" w:eastAsia="es-CO"/>
        </w:rPr>
      </w:pPr>
    </w:p>
    <w:p w:rsidR="00346EC4" w:rsidRPr="00E00F43" w:rsidRDefault="00E00F43" w:rsidP="001E11D7">
      <w:pPr>
        <w:pStyle w:val="Ttulo"/>
        <w:rPr>
          <w:rFonts w:ascii="Times New Roman" w:hAnsi="Times New Roman" w:cs="Times New Roman"/>
          <w:sz w:val="28"/>
        </w:rPr>
      </w:pPr>
      <w:r w:rsidRPr="00E00F43">
        <w:rPr>
          <w:rFonts w:ascii="Times New Roman" w:hAnsi="Times New Roman" w:cs="Times New Roman"/>
          <w:sz w:val="28"/>
        </w:rPr>
        <w:t>Por tanto, en principio,</w:t>
      </w:r>
      <w:r w:rsidRPr="00E00F43">
        <w:rPr>
          <w:rFonts w:ascii="Times New Roman" w:hAnsi="Times New Roman" w:cs="Times New Roman"/>
          <w:sz w:val="28"/>
        </w:rPr>
        <w:t xml:space="preserve"> no</w:t>
      </w:r>
      <w:r w:rsidRPr="00E00F43">
        <w:rPr>
          <w:rFonts w:ascii="Times New Roman" w:hAnsi="Times New Roman" w:cs="Times New Roman"/>
          <w:sz w:val="28"/>
        </w:rPr>
        <w:t xml:space="preserve"> se</w:t>
      </w:r>
      <w:r w:rsidRPr="00E00F43">
        <w:rPr>
          <w:rFonts w:ascii="Times New Roman" w:hAnsi="Times New Roman" w:cs="Times New Roman"/>
          <w:sz w:val="28"/>
        </w:rPr>
        <w:t xml:space="preserve"> encuentra</w:t>
      </w:r>
      <w:r w:rsidRPr="00E00F43">
        <w:rPr>
          <w:rFonts w:ascii="Times New Roman" w:hAnsi="Times New Roman" w:cs="Times New Roman"/>
          <w:sz w:val="28"/>
        </w:rPr>
        <w:t>n</w:t>
      </w:r>
      <w:r w:rsidRPr="00E00F43">
        <w:rPr>
          <w:rFonts w:ascii="Times New Roman" w:hAnsi="Times New Roman" w:cs="Times New Roman"/>
          <w:sz w:val="28"/>
        </w:rPr>
        <w:t xml:space="preserve"> razones para dudar de la constitucionalidad </w:t>
      </w:r>
      <w:r w:rsidRPr="00E00F43">
        <w:rPr>
          <w:rFonts w:ascii="Times New Roman" w:hAnsi="Times New Roman" w:cs="Times New Roman"/>
          <w:sz w:val="28"/>
        </w:rPr>
        <w:t xml:space="preserve">tanto </w:t>
      </w:r>
      <w:r w:rsidRPr="00E00F43">
        <w:rPr>
          <w:rFonts w:ascii="Times New Roman" w:hAnsi="Times New Roman" w:cs="Times New Roman"/>
          <w:sz w:val="28"/>
        </w:rPr>
        <w:t xml:space="preserve">del artículo 10 del </w:t>
      </w:r>
      <w:r w:rsidRPr="00E00F43">
        <w:rPr>
          <w:rFonts w:ascii="Times New Roman" w:hAnsi="Times New Roman" w:cs="Times New Roman"/>
          <w:sz w:val="28"/>
        </w:rPr>
        <w:t>A</w:t>
      </w:r>
      <w:r w:rsidRPr="00E00F43">
        <w:rPr>
          <w:rFonts w:ascii="Times New Roman" w:hAnsi="Times New Roman" w:cs="Times New Roman"/>
          <w:sz w:val="28"/>
        </w:rPr>
        <w:t>cuerdo</w:t>
      </w:r>
      <w:r w:rsidRPr="00E00F43">
        <w:rPr>
          <w:rFonts w:ascii="Times New Roman" w:hAnsi="Times New Roman" w:cs="Times New Roman"/>
          <w:sz w:val="28"/>
        </w:rPr>
        <w:t xml:space="preserve"> como del Anexo 6 del mismo</w:t>
      </w:r>
      <w:r w:rsidRPr="00E00F43">
        <w:rPr>
          <w:rFonts w:ascii="Times New Roman" w:hAnsi="Times New Roman" w:cs="Times New Roman"/>
          <w:sz w:val="28"/>
        </w:rPr>
        <w:t>.</w:t>
      </w:r>
      <w:r w:rsidRPr="00E00F43">
        <w:rPr>
          <w:rFonts w:ascii="Times New Roman" w:hAnsi="Times New Roman" w:cs="Times New Roman"/>
          <w:sz w:val="28"/>
        </w:rPr>
        <w:t xml:space="preserve"> Sin embargo, llama la atención el último inciso del apartado 3.2 del anexo bajo estudio, en el que se establece que “[e]l grupo de trabajo auxiliar examinará todas las propuestas sobre el problema de interpretación y presentará propuestas formales al WP.2</w:t>
      </w:r>
      <w:r w:rsidRPr="00E00F43">
        <w:rPr>
          <w:rFonts w:ascii="Times New Roman" w:hAnsi="Times New Roman" w:cs="Times New Roman"/>
          <w:sz w:val="28"/>
        </w:rPr>
        <w:t xml:space="preserve">9 a </w:t>
      </w:r>
      <w:r w:rsidRPr="00E00F43">
        <w:rPr>
          <w:rFonts w:ascii="Times New Roman" w:hAnsi="Times New Roman" w:cs="Times New Roman"/>
          <w:sz w:val="28"/>
          <w:u w:val="single"/>
        </w:rPr>
        <w:t>fin de modificar el reglamento de las Naciones Unidas de que se trate</w:t>
      </w:r>
      <w:r w:rsidRPr="00E00F43">
        <w:rPr>
          <w:rFonts w:ascii="Times New Roman" w:hAnsi="Times New Roman" w:cs="Times New Roman"/>
          <w:sz w:val="28"/>
        </w:rPr>
        <w:t xml:space="preserve"> siguiendo los procedimientos normales. El WP.29 examinará el problema como punto prioritario en su siguiente sesión”</w:t>
      </w:r>
      <w:r w:rsidRPr="00E00F43">
        <w:rPr>
          <w:rFonts w:ascii="Times New Roman" w:hAnsi="Times New Roman" w:cs="Times New Roman"/>
          <w:sz w:val="28"/>
        </w:rPr>
        <w:t xml:space="preserve"> (énfasis fuera del original).</w:t>
      </w:r>
      <w:r w:rsidRPr="00E00F43">
        <w:rPr>
          <w:rFonts w:ascii="Times New Roman" w:hAnsi="Times New Roman" w:cs="Times New Roman"/>
          <w:sz w:val="28"/>
        </w:rPr>
        <w:t xml:space="preserve"> Para la Sala</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en este punto se debe</w:t>
      </w:r>
      <w:r w:rsidRPr="00E00F43">
        <w:rPr>
          <w:rFonts w:ascii="Times New Roman" w:hAnsi="Times New Roman" w:cs="Times New Roman"/>
          <w:sz w:val="28"/>
        </w:rPr>
        <w:t xml:space="preserve"> reiterar lo dicho frente al artículo 1 y al apéndice, sobre la posibilidad futura de modificar o incluir nuevas disposiciones. </w:t>
      </w:r>
    </w:p>
    <w:p w:rsidR="00346EC4" w:rsidRPr="00E00F43" w:rsidRDefault="00E00F43" w:rsidP="001E11D7">
      <w:pPr>
        <w:pStyle w:val="Ttulo"/>
        <w:numPr>
          <w:ilvl w:val="0"/>
          <w:numId w:val="0"/>
        </w:numPr>
        <w:rPr>
          <w:rFonts w:ascii="Times New Roman" w:hAnsi="Times New Roman" w:cs="Times New Roman"/>
          <w:sz w:val="28"/>
        </w:rPr>
      </w:pPr>
    </w:p>
    <w:p w:rsidR="00346EC4" w:rsidRPr="00E00F43" w:rsidRDefault="00E00F43" w:rsidP="001E11D7">
      <w:pPr>
        <w:pStyle w:val="Ttulo"/>
        <w:rPr>
          <w:rFonts w:ascii="Times New Roman" w:hAnsi="Times New Roman" w:cs="Times New Roman"/>
          <w:sz w:val="28"/>
        </w:rPr>
      </w:pPr>
      <w:r w:rsidRPr="00E00F43">
        <w:rPr>
          <w:rFonts w:ascii="Times New Roman" w:hAnsi="Times New Roman" w:cs="Times New Roman"/>
          <w:sz w:val="28"/>
        </w:rPr>
        <w:t xml:space="preserve">Como se mencionó, siempre que </w:t>
      </w:r>
      <w:r w:rsidRPr="00E00F43">
        <w:rPr>
          <w:rFonts w:ascii="Times New Roman" w:hAnsi="Times New Roman" w:cs="Times New Roman"/>
          <w:sz w:val="28"/>
        </w:rPr>
        <w:t xml:space="preserve">el uso de las facultades de modificación del </w:t>
      </w:r>
      <w:r w:rsidRPr="00E00F43">
        <w:rPr>
          <w:rFonts w:ascii="Times New Roman" w:hAnsi="Times New Roman" w:cs="Times New Roman"/>
          <w:sz w:val="28"/>
        </w:rPr>
        <w:t>A</w:t>
      </w:r>
      <w:r w:rsidRPr="00E00F43">
        <w:rPr>
          <w:rFonts w:ascii="Times New Roman" w:hAnsi="Times New Roman" w:cs="Times New Roman"/>
          <w:sz w:val="28"/>
        </w:rPr>
        <w:t>cuerdo</w:t>
      </w:r>
      <w:r w:rsidRPr="00E00F43">
        <w:rPr>
          <w:rFonts w:ascii="Times New Roman" w:hAnsi="Times New Roman" w:cs="Times New Roman"/>
          <w:sz w:val="28"/>
        </w:rPr>
        <w:t xml:space="preserve"> y </w:t>
      </w:r>
      <w:r w:rsidRPr="00E00F43">
        <w:rPr>
          <w:rFonts w:ascii="Times New Roman" w:hAnsi="Times New Roman" w:cs="Times New Roman"/>
          <w:sz w:val="28"/>
        </w:rPr>
        <w:t>sus anexos</w:t>
      </w:r>
      <w:r w:rsidRPr="00E00F43">
        <w:rPr>
          <w:rFonts w:ascii="Times New Roman" w:hAnsi="Times New Roman" w:cs="Times New Roman"/>
          <w:sz w:val="28"/>
        </w:rPr>
        <w:t xml:space="preserve">, </w:t>
      </w:r>
      <w:r w:rsidRPr="00E00F43">
        <w:rPr>
          <w:rFonts w:ascii="Times New Roman" w:hAnsi="Times New Roman" w:cs="Times New Roman"/>
          <w:sz w:val="28"/>
        </w:rPr>
        <w:t xml:space="preserve">o de </w:t>
      </w:r>
      <w:r w:rsidRPr="00E00F43">
        <w:rPr>
          <w:rFonts w:ascii="Times New Roman" w:hAnsi="Times New Roman" w:cs="Times New Roman"/>
          <w:sz w:val="28"/>
        </w:rPr>
        <w:t xml:space="preserve">creación </w:t>
      </w:r>
      <w:r w:rsidRPr="00E00F43">
        <w:rPr>
          <w:rFonts w:ascii="Times New Roman" w:hAnsi="Times New Roman" w:cs="Times New Roman"/>
          <w:sz w:val="28"/>
        </w:rPr>
        <w:t xml:space="preserve">de </w:t>
      </w:r>
      <w:r w:rsidRPr="00E00F43">
        <w:rPr>
          <w:rFonts w:ascii="Times New Roman" w:hAnsi="Times New Roman" w:cs="Times New Roman"/>
          <w:sz w:val="28"/>
        </w:rPr>
        <w:t>disposicione</w:t>
      </w:r>
      <w:r w:rsidRPr="00E00F43">
        <w:rPr>
          <w:rFonts w:ascii="Times New Roman" w:hAnsi="Times New Roman" w:cs="Times New Roman"/>
          <w:sz w:val="28"/>
        </w:rPr>
        <w:t>s derivadas de aquellos,</w:t>
      </w:r>
      <w:r w:rsidRPr="00E00F43">
        <w:rPr>
          <w:rFonts w:ascii="Times New Roman" w:hAnsi="Times New Roman" w:cs="Times New Roman"/>
          <w:sz w:val="28"/>
        </w:rPr>
        <w:t xml:space="preserve"> implique obligaciones adicionales para el Estado colombiano, se deberá</w:t>
      </w:r>
      <w:r w:rsidRPr="00E00F43">
        <w:rPr>
          <w:rFonts w:ascii="Times New Roman" w:hAnsi="Times New Roman" w:cs="Times New Roman"/>
          <w:sz w:val="28"/>
        </w:rPr>
        <w:t>n</w:t>
      </w:r>
      <w:r w:rsidRPr="00E00F43">
        <w:rPr>
          <w:rFonts w:ascii="Times New Roman" w:hAnsi="Times New Roman" w:cs="Times New Roman"/>
          <w:sz w:val="28"/>
        </w:rPr>
        <w:t xml:space="preserve"> agotar las reglas de derecho interno sobre ratificación de tratados internacionales</w:t>
      </w:r>
      <w:r w:rsidRPr="00E00F43">
        <w:rPr>
          <w:rFonts w:ascii="Times New Roman" w:hAnsi="Times New Roman" w:cs="Times New Roman"/>
          <w:sz w:val="28"/>
        </w:rPr>
        <w:t xml:space="preserve">. Por tal razón, el Anexo 6 </w:t>
      </w:r>
      <w:r w:rsidRPr="00E00F43">
        <w:rPr>
          <w:rFonts w:ascii="Times New Roman" w:hAnsi="Times New Roman" w:cs="Times New Roman"/>
          <w:sz w:val="28"/>
        </w:rPr>
        <w:t xml:space="preserve">debe estar incluido </w:t>
      </w:r>
      <w:r w:rsidRPr="00E00F43">
        <w:rPr>
          <w:rFonts w:ascii="Times New Roman" w:hAnsi="Times New Roman" w:cs="Times New Roman"/>
          <w:sz w:val="28"/>
        </w:rPr>
        <w:t>en las disposiciones sujetas</w:t>
      </w:r>
      <w:r w:rsidRPr="00E00F43">
        <w:rPr>
          <w:rFonts w:ascii="Times New Roman" w:hAnsi="Times New Roman" w:cs="Times New Roman"/>
          <w:sz w:val="28"/>
        </w:rPr>
        <w:t xml:space="preserve"> a la declaración interpretativa referida en el §1</w:t>
      </w:r>
      <w:r w:rsidRPr="00E00F43">
        <w:rPr>
          <w:rFonts w:ascii="Times New Roman" w:hAnsi="Times New Roman" w:cs="Times New Roman"/>
          <w:sz w:val="28"/>
        </w:rPr>
        <w:t>2</w:t>
      </w:r>
      <w:r w:rsidRPr="00E00F43">
        <w:rPr>
          <w:rFonts w:ascii="Times New Roman" w:hAnsi="Times New Roman" w:cs="Times New Roman"/>
          <w:sz w:val="28"/>
        </w:rPr>
        <w:t>5</w:t>
      </w:r>
      <w:r w:rsidRPr="00E00F43">
        <w:rPr>
          <w:rFonts w:ascii="Times New Roman" w:hAnsi="Times New Roman" w:cs="Times New Roman"/>
          <w:sz w:val="28"/>
        </w:rPr>
        <w:t>, “en el sentido de que las enmiendas o la adopción de futuros reglamentos, que impliquen nuevas obligaciones para el Estado colombiano, requieren el cumplimiento del procedimiento interno de aprobación y</w:t>
      </w:r>
      <w:r w:rsidRPr="00E00F43">
        <w:rPr>
          <w:rFonts w:ascii="Times New Roman" w:hAnsi="Times New Roman" w:cs="Times New Roman"/>
          <w:sz w:val="28"/>
        </w:rPr>
        <w:t xml:space="preserve"> revisión de las mismas, que debe ser previo a su ratificación, previsto en los artículos 150 numeral 16 y 241 numeral 10 de la Constitución Política”</w:t>
      </w:r>
      <w:r w:rsidRPr="00E00F43">
        <w:rPr>
          <w:rFonts w:ascii="Times New Roman" w:hAnsi="Times New Roman" w:cs="Times New Roman"/>
          <w:sz w:val="28"/>
        </w:rPr>
        <w:t>.</w:t>
      </w:r>
    </w:p>
    <w:p w:rsidR="00561848" w:rsidRPr="00E00F43" w:rsidRDefault="00E00F43" w:rsidP="00346EC4">
      <w:pPr>
        <w:pStyle w:val="Prrafodelista"/>
        <w:tabs>
          <w:tab w:val="left" w:pos="426"/>
        </w:tabs>
        <w:ind w:left="0"/>
        <w:rPr>
          <w:rFonts w:ascii="Times New Roman" w:hAnsi="Times New Roman" w:cs="Times New Roman"/>
          <w:bCs/>
          <w:sz w:val="28"/>
          <w:szCs w:val="24"/>
          <w:lang w:val="es-ES" w:eastAsia="es-CO"/>
        </w:rPr>
      </w:pPr>
    </w:p>
    <w:p w:rsidR="00F30351" w:rsidRPr="00E00F43" w:rsidRDefault="00E00F43" w:rsidP="00346EC4">
      <w:pPr>
        <w:pStyle w:val="Prrafodelista"/>
        <w:tabs>
          <w:tab w:val="left" w:pos="426"/>
        </w:tabs>
        <w:ind w:left="0"/>
        <w:rPr>
          <w:rFonts w:ascii="Times New Roman" w:hAnsi="Times New Roman" w:cs="Times New Roman"/>
          <w:bCs/>
          <w:sz w:val="28"/>
          <w:szCs w:val="24"/>
          <w:lang w:val="es-ES" w:eastAsia="es-CO"/>
        </w:rPr>
      </w:pPr>
    </w:p>
    <w:p w:rsidR="00561848" w:rsidRPr="00E00F43" w:rsidRDefault="00E00F43">
      <w:pPr>
        <w:pStyle w:val="Prrafodelista"/>
        <w:numPr>
          <w:ilvl w:val="2"/>
          <w:numId w:val="7"/>
        </w:numPr>
        <w:tabs>
          <w:tab w:val="left" w:pos="426"/>
        </w:tabs>
        <w:ind w:left="0" w:firstLine="0"/>
        <w:rPr>
          <w:rFonts w:ascii="Times New Roman" w:hAnsi="Times New Roman" w:cs="Times New Roman"/>
          <w:b/>
          <w:bCs/>
          <w:sz w:val="28"/>
          <w:szCs w:val="24"/>
          <w:lang w:val="es-ES" w:eastAsia="es-CO"/>
        </w:rPr>
      </w:pPr>
      <w:r w:rsidRPr="00E00F43">
        <w:rPr>
          <w:rFonts w:ascii="Times New Roman" w:hAnsi="Times New Roman" w:cs="Times New Roman"/>
          <w:b/>
          <w:bCs/>
          <w:sz w:val="28"/>
          <w:szCs w:val="24"/>
          <w:lang w:val="es-ES" w:eastAsia="es-CO"/>
        </w:rPr>
        <w:t>Artículos 12, 13</w:t>
      </w:r>
      <w:r w:rsidRPr="00E00F43">
        <w:rPr>
          <w:rFonts w:ascii="Times New Roman" w:hAnsi="Times New Roman" w:cs="Times New Roman"/>
          <w:b/>
          <w:bCs/>
          <w:sz w:val="28"/>
          <w:szCs w:val="24"/>
          <w:lang w:val="es-ES" w:eastAsia="es-CO"/>
        </w:rPr>
        <w:t xml:space="preserve">, 13bis </w:t>
      </w:r>
      <w:r w:rsidRPr="00E00F43">
        <w:rPr>
          <w:rFonts w:ascii="Times New Roman" w:hAnsi="Times New Roman" w:cs="Times New Roman"/>
          <w:b/>
          <w:bCs/>
          <w:sz w:val="28"/>
          <w:szCs w:val="24"/>
          <w:lang w:val="es-ES" w:eastAsia="es-CO"/>
        </w:rPr>
        <w:t xml:space="preserve">y 15: trámite y alcance de las modificaciones al </w:t>
      </w:r>
      <w:r w:rsidRPr="00E00F43">
        <w:rPr>
          <w:rFonts w:ascii="Times New Roman" w:hAnsi="Times New Roman" w:cs="Times New Roman"/>
          <w:b/>
          <w:bCs/>
          <w:sz w:val="28"/>
          <w:szCs w:val="24"/>
          <w:lang w:val="es-ES" w:eastAsia="es-CO"/>
        </w:rPr>
        <w:t>A</w:t>
      </w:r>
      <w:r w:rsidRPr="00E00F43">
        <w:rPr>
          <w:rFonts w:ascii="Times New Roman" w:hAnsi="Times New Roman" w:cs="Times New Roman"/>
          <w:b/>
          <w:bCs/>
          <w:sz w:val="28"/>
          <w:szCs w:val="24"/>
          <w:lang w:val="es-ES" w:eastAsia="es-CO"/>
        </w:rPr>
        <w:t xml:space="preserve">cuerdo o a los reglamentos </w:t>
      </w:r>
      <w:r w:rsidRPr="00E00F43">
        <w:rPr>
          <w:rFonts w:ascii="Times New Roman" w:hAnsi="Times New Roman" w:cs="Times New Roman"/>
          <w:b/>
          <w:bCs/>
          <w:sz w:val="28"/>
          <w:szCs w:val="24"/>
          <w:lang w:val="es-ES" w:eastAsia="es-CO"/>
        </w:rPr>
        <w:t>ONU</w:t>
      </w:r>
    </w:p>
    <w:p w:rsidR="00561848" w:rsidRPr="00E00F43" w:rsidRDefault="00E00F43" w:rsidP="00561848">
      <w:pPr>
        <w:pStyle w:val="Prrafodelista"/>
        <w:tabs>
          <w:tab w:val="left" w:pos="426"/>
        </w:tabs>
        <w:ind w:left="0"/>
        <w:rPr>
          <w:rFonts w:ascii="Times New Roman" w:hAnsi="Times New Roman" w:cs="Times New Roman"/>
          <w:bCs/>
          <w:sz w:val="28"/>
          <w:szCs w:val="24"/>
          <w:lang w:val="es-ES" w:eastAsia="es-CO"/>
        </w:rPr>
      </w:pPr>
    </w:p>
    <w:p w:rsidR="00561848"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Estos artículos integran un conjunto de reglas procedimentales para (i) la modificación de los reglamentos anexos al </w:t>
      </w:r>
      <w:r w:rsidRPr="00E00F43">
        <w:rPr>
          <w:rFonts w:ascii="Times New Roman" w:hAnsi="Times New Roman" w:cs="Times New Roman"/>
          <w:sz w:val="28"/>
        </w:rPr>
        <w:t>A</w:t>
      </w:r>
      <w:r w:rsidRPr="00E00F43">
        <w:rPr>
          <w:rFonts w:ascii="Times New Roman" w:hAnsi="Times New Roman" w:cs="Times New Roman"/>
          <w:sz w:val="28"/>
        </w:rPr>
        <w:t xml:space="preserve">cuerdo; (ii) la modificación del </w:t>
      </w:r>
      <w:r w:rsidRPr="00E00F43">
        <w:rPr>
          <w:rFonts w:ascii="Times New Roman" w:hAnsi="Times New Roman" w:cs="Times New Roman"/>
          <w:sz w:val="28"/>
        </w:rPr>
        <w:t>A</w:t>
      </w:r>
      <w:r w:rsidRPr="00E00F43">
        <w:rPr>
          <w:rFonts w:ascii="Times New Roman" w:hAnsi="Times New Roman" w:cs="Times New Roman"/>
          <w:sz w:val="28"/>
        </w:rPr>
        <w:t xml:space="preserve">cuerdo y (iii) algunas funciones a cargo del </w:t>
      </w:r>
      <w:r w:rsidRPr="00E00F43">
        <w:rPr>
          <w:rFonts w:ascii="Times New Roman" w:hAnsi="Times New Roman" w:cs="Times New Roman"/>
          <w:sz w:val="28"/>
        </w:rPr>
        <w:t>secretario general</w:t>
      </w:r>
      <w:r w:rsidRPr="00E00F43">
        <w:rPr>
          <w:rFonts w:ascii="Times New Roman" w:hAnsi="Times New Roman" w:cs="Times New Roman"/>
          <w:sz w:val="28"/>
        </w:rPr>
        <w:t>. Corresponde a reglas estrictamente</w:t>
      </w:r>
      <w:r w:rsidRPr="00E00F43">
        <w:rPr>
          <w:rFonts w:ascii="Times New Roman" w:hAnsi="Times New Roman" w:cs="Times New Roman"/>
          <w:sz w:val="28"/>
        </w:rPr>
        <w:t xml:space="preserve"> instrumentales que propugnan por la participación de los Estados parte en la estructuración normativa tanto del </w:t>
      </w:r>
      <w:r w:rsidRPr="00E00F43">
        <w:rPr>
          <w:rFonts w:ascii="Times New Roman" w:hAnsi="Times New Roman" w:cs="Times New Roman"/>
          <w:sz w:val="28"/>
        </w:rPr>
        <w:t>A</w:t>
      </w:r>
      <w:r w:rsidRPr="00E00F43">
        <w:rPr>
          <w:rFonts w:ascii="Times New Roman" w:hAnsi="Times New Roman" w:cs="Times New Roman"/>
          <w:sz w:val="28"/>
        </w:rPr>
        <w:t>cuerdo como de los reglamentos ONU, con la misma orientación evidenciada en las normas estudiada</w:t>
      </w:r>
      <w:r w:rsidRPr="00E00F43">
        <w:rPr>
          <w:rFonts w:ascii="Times New Roman" w:hAnsi="Times New Roman" w:cs="Times New Roman"/>
          <w:sz w:val="28"/>
        </w:rPr>
        <w:t>s</w:t>
      </w:r>
      <w:r w:rsidRPr="00E00F43">
        <w:rPr>
          <w:rFonts w:ascii="Times New Roman" w:hAnsi="Times New Roman" w:cs="Times New Roman"/>
          <w:sz w:val="28"/>
        </w:rPr>
        <w:t xml:space="preserve"> hasta ahora. De ahí que se observe un claro </w:t>
      </w:r>
      <w:r w:rsidRPr="00E00F43">
        <w:rPr>
          <w:rFonts w:ascii="Times New Roman" w:hAnsi="Times New Roman" w:cs="Times New Roman"/>
          <w:sz w:val="28"/>
        </w:rPr>
        <w:t>respeto por los mandatos constitucionales de autodeterminación, reciprocidad y equidad, propios del ejercicio de las relaciones internacionales de Colombia, con salvaguarda plena de la soberanía</w:t>
      </w:r>
      <w:r w:rsidRPr="00E00F43">
        <w:rPr>
          <w:rFonts w:ascii="Times New Roman" w:hAnsi="Times New Roman" w:cs="Times New Roman"/>
          <w:sz w:val="28"/>
        </w:rPr>
        <w:t xml:space="preserve">. Por ende, </w:t>
      </w:r>
      <w:r w:rsidRPr="00E00F43">
        <w:rPr>
          <w:rFonts w:ascii="Times New Roman" w:hAnsi="Times New Roman" w:cs="Times New Roman"/>
          <w:sz w:val="28"/>
        </w:rPr>
        <w:t>en principi</w:t>
      </w:r>
      <w:r w:rsidRPr="00E00F43">
        <w:rPr>
          <w:rFonts w:ascii="Times New Roman" w:hAnsi="Times New Roman" w:cs="Times New Roman"/>
          <w:sz w:val="28"/>
        </w:rPr>
        <w:t>o</w:t>
      </w:r>
      <w:r w:rsidRPr="00E00F43">
        <w:rPr>
          <w:rFonts w:ascii="Times New Roman" w:hAnsi="Times New Roman" w:cs="Times New Roman"/>
          <w:sz w:val="28"/>
        </w:rPr>
        <w:t xml:space="preserve"> la Corte encuentra que estas reglas s</w:t>
      </w:r>
      <w:r w:rsidRPr="00E00F43">
        <w:rPr>
          <w:rFonts w:ascii="Times New Roman" w:hAnsi="Times New Roman" w:cs="Times New Roman"/>
          <w:sz w:val="28"/>
        </w:rPr>
        <w:t>on constitucionales.</w:t>
      </w:r>
    </w:p>
    <w:p w:rsidR="00561848" w:rsidRPr="00E00F43" w:rsidRDefault="00E00F43" w:rsidP="001E11D7">
      <w:pPr>
        <w:pStyle w:val="Ttulo"/>
        <w:numPr>
          <w:ilvl w:val="0"/>
          <w:numId w:val="0"/>
        </w:numPr>
        <w:rPr>
          <w:rFonts w:ascii="Times New Roman" w:hAnsi="Times New Roman" w:cs="Times New Roman"/>
          <w:sz w:val="28"/>
          <w:lang w:eastAsia="es-CO"/>
        </w:rPr>
      </w:pPr>
    </w:p>
    <w:p w:rsidR="008F5CB8" w:rsidRPr="00E00F43" w:rsidRDefault="00E00F43" w:rsidP="001E11D7">
      <w:pPr>
        <w:pStyle w:val="Ttulo"/>
        <w:rPr>
          <w:rFonts w:ascii="Times New Roman" w:hAnsi="Times New Roman" w:cs="Times New Roman"/>
          <w:b/>
          <w:sz w:val="28"/>
          <w:lang w:eastAsia="es-CO"/>
        </w:rPr>
      </w:pPr>
      <w:r w:rsidRPr="00E00F43">
        <w:rPr>
          <w:rFonts w:ascii="Times New Roman" w:hAnsi="Times New Roman" w:cs="Times New Roman"/>
          <w:sz w:val="28"/>
        </w:rPr>
        <w:t>No obstante, resulta</w:t>
      </w:r>
      <w:r w:rsidRPr="00E00F43">
        <w:rPr>
          <w:rFonts w:ascii="Times New Roman" w:hAnsi="Times New Roman" w:cs="Times New Roman"/>
          <w:sz w:val="28"/>
        </w:rPr>
        <w:t xml:space="preserve"> </w:t>
      </w:r>
      <w:r w:rsidRPr="00E00F43">
        <w:rPr>
          <w:rFonts w:ascii="Times New Roman" w:hAnsi="Times New Roman" w:cs="Times New Roman"/>
          <w:sz w:val="28"/>
        </w:rPr>
        <w:t xml:space="preserve">indispensable </w:t>
      </w:r>
      <w:r w:rsidRPr="00E00F43">
        <w:rPr>
          <w:rFonts w:ascii="Times New Roman" w:hAnsi="Times New Roman" w:cs="Times New Roman"/>
          <w:sz w:val="28"/>
        </w:rPr>
        <w:t xml:space="preserve">no olvidar el límite constitucional al ejercicio de la facultad de creación normativa contemplada en </w:t>
      </w:r>
      <w:r w:rsidRPr="00E00F43">
        <w:rPr>
          <w:rFonts w:ascii="Times New Roman" w:hAnsi="Times New Roman" w:cs="Times New Roman"/>
          <w:sz w:val="28"/>
        </w:rPr>
        <w:t xml:space="preserve">el </w:t>
      </w:r>
      <w:r w:rsidRPr="00E00F43">
        <w:rPr>
          <w:rFonts w:ascii="Times New Roman" w:hAnsi="Times New Roman" w:cs="Times New Roman"/>
          <w:sz w:val="28"/>
        </w:rPr>
        <w:t>Acuerdo de 1958,</w:t>
      </w:r>
      <w:r w:rsidRPr="00E00F43">
        <w:rPr>
          <w:rFonts w:ascii="Times New Roman" w:hAnsi="Times New Roman" w:cs="Times New Roman"/>
          <w:sz w:val="28"/>
        </w:rPr>
        <w:t xml:space="preserve"> Revisión 3,</w:t>
      </w:r>
      <w:r w:rsidRPr="00E00F43">
        <w:rPr>
          <w:rFonts w:ascii="Times New Roman" w:hAnsi="Times New Roman" w:cs="Times New Roman"/>
          <w:sz w:val="28"/>
        </w:rPr>
        <w:t xml:space="preserve"> reflejada también en estos cuatro artículos que contienen las reglas de </w:t>
      </w:r>
      <w:r w:rsidRPr="00E00F43">
        <w:rPr>
          <w:rFonts w:ascii="Times New Roman" w:hAnsi="Times New Roman" w:cs="Times New Roman"/>
          <w:sz w:val="28"/>
        </w:rPr>
        <w:t>reforma</w:t>
      </w:r>
      <w:r w:rsidRPr="00E00F43">
        <w:rPr>
          <w:rFonts w:ascii="Times New Roman" w:hAnsi="Times New Roman" w:cs="Times New Roman"/>
          <w:sz w:val="28"/>
        </w:rPr>
        <w:t xml:space="preserve"> del instrumento y sus anexos.</w:t>
      </w:r>
      <w:r w:rsidRPr="00E00F43">
        <w:rPr>
          <w:rFonts w:ascii="Times New Roman" w:hAnsi="Times New Roman" w:cs="Times New Roman"/>
          <w:sz w:val="28"/>
        </w:rPr>
        <w:t xml:space="preserve"> </w:t>
      </w:r>
      <w:r w:rsidRPr="00E00F43">
        <w:rPr>
          <w:rFonts w:ascii="Times New Roman" w:hAnsi="Times New Roman" w:cs="Times New Roman"/>
          <w:sz w:val="28"/>
        </w:rPr>
        <w:t xml:space="preserve">Como ha quedado claro, </w:t>
      </w:r>
      <w:r w:rsidRPr="00E00F43">
        <w:rPr>
          <w:rFonts w:ascii="Times New Roman" w:hAnsi="Times New Roman" w:cs="Times New Roman"/>
          <w:sz w:val="28"/>
        </w:rPr>
        <w:t xml:space="preserve">en materia de modificación de los instrumentos internacionales suscritos por Colombia, </w:t>
      </w:r>
      <w:r w:rsidRPr="00E00F43">
        <w:rPr>
          <w:rFonts w:ascii="Times New Roman" w:hAnsi="Times New Roman" w:cs="Times New Roman"/>
          <w:sz w:val="28"/>
        </w:rPr>
        <w:t>cuando ello dé</w:t>
      </w:r>
      <w:r w:rsidRPr="00E00F43">
        <w:rPr>
          <w:rFonts w:ascii="Times New Roman" w:hAnsi="Times New Roman" w:cs="Times New Roman"/>
          <w:sz w:val="28"/>
        </w:rPr>
        <w:t xml:space="preserve"> lugar a nuevas oblig</w:t>
      </w:r>
      <w:r w:rsidRPr="00E00F43">
        <w:rPr>
          <w:rFonts w:ascii="Times New Roman" w:hAnsi="Times New Roman" w:cs="Times New Roman"/>
          <w:sz w:val="28"/>
        </w:rPr>
        <w:t>aciones internacionales</w:t>
      </w:r>
      <w:r w:rsidRPr="00E00F43">
        <w:rPr>
          <w:rFonts w:ascii="Times New Roman" w:hAnsi="Times New Roman" w:cs="Times New Roman"/>
          <w:sz w:val="28"/>
        </w:rPr>
        <w:t xml:space="preserve"> </w:t>
      </w:r>
      <w:r w:rsidRPr="00E00F43">
        <w:rPr>
          <w:rFonts w:ascii="Times New Roman" w:hAnsi="Times New Roman" w:cs="Times New Roman"/>
          <w:sz w:val="28"/>
        </w:rPr>
        <w:t>–no contempladas en la fase de adhesión–,</w:t>
      </w:r>
      <w:r w:rsidRPr="00E00F43">
        <w:rPr>
          <w:rFonts w:ascii="Times New Roman" w:hAnsi="Times New Roman" w:cs="Times New Roman"/>
          <w:sz w:val="28"/>
        </w:rPr>
        <w:t xml:space="preserve"> es imperativo agotar el procedimiento interno de ratificación de instrumentos internacionales para acoger tales obligaciones. En consecuencia,</w:t>
      </w:r>
      <w:r w:rsidRPr="00E00F43">
        <w:rPr>
          <w:rFonts w:ascii="Times New Roman" w:hAnsi="Times New Roman" w:cs="Times New Roman"/>
          <w:sz w:val="28"/>
        </w:rPr>
        <w:t xml:space="preserve"> la Sala Plena incluirá los artículos 12, 13, 13</w:t>
      </w:r>
      <w:r w:rsidRPr="00E00F43">
        <w:rPr>
          <w:rFonts w:ascii="Times New Roman" w:hAnsi="Times New Roman" w:cs="Times New Roman"/>
          <w:sz w:val="28"/>
        </w:rPr>
        <w:t>bis y 15 dentro de las disposiciones frente a las cuales se deberá hacer la declaración presidencial interpretativa</w:t>
      </w:r>
      <w:r w:rsidRPr="00E00F43">
        <w:rPr>
          <w:rFonts w:ascii="Times New Roman" w:hAnsi="Times New Roman" w:cs="Times New Roman"/>
          <w:sz w:val="28"/>
        </w:rPr>
        <w:t xml:space="preserve"> referida en el </w:t>
      </w:r>
      <w:r w:rsidRPr="00E00F43">
        <w:rPr>
          <w:rFonts w:ascii="Times New Roman" w:hAnsi="Times New Roman" w:cs="Times New Roman"/>
          <w:sz w:val="28"/>
          <w:lang w:eastAsia="es-CO"/>
        </w:rPr>
        <w:t>§1</w:t>
      </w:r>
      <w:r w:rsidRPr="00E00F43">
        <w:rPr>
          <w:rFonts w:ascii="Times New Roman" w:hAnsi="Times New Roman" w:cs="Times New Roman"/>
          <w:sz w:val="28"/>
          <w:lang w:eastAsia="es-CO"/>
        </w:rPr>
        <w:t>2</w:t>
      </w:r>
      <w:r w:rsidRPr="00E00F43">
        <w:rPr>
          <w:rFonts w:ascii="Times New Roman" w:hAnsi="Times New Roman" w:cs="Times New Roman"/>
          <w:sz w:val="28"/>
          <w:lang w:eastAsia="es-CO"/>
        </w:rPr>
        <w:t>5</w:t>
      </w:r>
      <w:r w:rsidRPr="00E00F43">
        <w:rPr>
          <w:rFonts w:ascii="Times New Roman" w:hAnsi="Times New Roman" w:cs="Times New Roman"/>
          <w:sz w:val="28"/>
          <w:lang w:eastAsia="es-CO"/>
        </w:rPr>
        <w:t>, en el sentido de manifestar que “</w:t>
      </w:r>
      <w:r w:rsidRPr="00E00F43">
        <w:rPr>
          <w:rFonts w:ascii="Times New Roman" w:hAnsi="Times New Roman" w:cs="Times New Roman"/>
          <w:sz w:val="28"/>
        </w:rPr>
        <w:t xml:space="preserve">las enmiendas o la adopción de futuros reglamentos, que impliquen nuevas obligaciones </w:t>
      </w:r>
      <w:r w:rsidRPr="00E00F43">
        <w:rPr>
          <w:rFonts w:ascii="Times New Roman" w:hAnsi="Times New Roman" w:cs="Times New Roman"/>
          <w:sz w:val="28"/>
        </w:rPr>
        <w:t>para el Estado colombiano, requieren el cumplimiento del procedimiento interno de aprobación y revisión de las mismas, que debe ser previo a su ratificación, previsto en los artículos 150 numeral 16 y 241 numeral 10 de la Constitución Política</w:t>
      </w:r>
      <w:r w:rsidRPr="00E00F43">
        <w:rPr>
          <w:rFonts w:ascii="Times New Roman" w:hAnsi="Times New Roman" w:cs="Times New Roman"/>
          <w:sz w:val="28"/>
          <w:lang w:eastAsia="es-CO"/>
        </w:rPr>
        <w:t>”.</w:t>
      </w:r>
    </w:p>
    <w:p w:rsidR="00561848" w:rsidRPr="00E00F43" w:rsidRDefault="00E00F43" w:rsidP="008F5CB8">
      <w:pPr>
        <w:pStyle w:val="Prrafodelista"/>
        <w:tabs>
          <w:tab w:val="left" w:pos="426"/>
        </w:tabs>
        <w:ind w:left="0"/>
        <w:rPr>
          <w:rFonts w:ascii="Times New Roman" w:hAnsi="Times New Roman" w:cs="Times New Roman"/>
          <w:b/>
          <w:bCs/>
          <w:sz w:val="28"/>
          <w:szCs w:val="24"/>
          <w:lang w:val="es-ES" w:eastAsia="es-CO"/>
        </w:rPr>
      </w:pPr>
      <w:r w:rsidRPr="00E00F43">
        <w:rPr>
          <w:rFonts w:ascii="Times New Roman" w:hAnsi="Times New Roman" w:cs="Times New Roman"/>
          <w:b/>
          <w:bCs/>
          <w:sz w:val="28"/>
          <w:szCs w:val="24"/>
          <w:lang w:val="es-ES" w:eastAsia="es-CO"/>
        </w:rPr>
        <w:t xml:space="preserve"> </w:t>
      </w:r>
    </w:p>
    <w:p w:rsidR="00561848" w:rsidRPr="00E00F43" w:rsidRDefault="00E00F43">
      <w:pPr>
        <w:pStyle w:val="Prrafodelista"/>
        <w:numPr>
          <w:ilvl w:val="2"/>
          <w:numId w:val="7"/>
        </w:numPr>
        <w:tabs>
          <w:tab w:val="left" w:pos="426"/>
        </w:tabs>
        <w:ind w:left="0" w:firstLine="0"/>
        <w:rPr>
          <w:rFonts w:ascii="Times New Roman" w:hAnsi="Times New Roman" w:cs="Times New Roman"/>
          <w:b/>
          <w:bCs/>
          <w:sz w:val="28"/>
          <w:szCs w:val="24"/>
          <w:lang w:val="es-ES" w:eastAsia="es-CO"/>
        </w:rPr>
      </w:pPr>
      <w:r w:rsidRPr="00E00F43">
        <w:rPr>
          <w:rFonts w:ascii="Times New Roman" w:hAnsi="Times New Roman" w:cs="Times New Roman"/>
          <w:b/>
          <w:bCs/>
          <w:sz w:val="28"/>
          <w:szCs w:val="24"/>
          <w:lang w:val="es-ES"/>
        </w:rPr>
        <w:t>Artículo</w:t>
      </w:r>
      <w:r w:rsidRPr="00E00F43">
        <w:rPr>
          <w:rFonts w:ascii="Times New Roman" w:hAnsi="Times New Roman" w:cs="Times New Roman"/>
          <w:b/>
          <w:bCs/>
          <w:sz w:val="28"/>
          <w:szCs w:val="24"/>
          <w:lang w:val="es-ES"/>
        </w:rPr>
        <w:t>s 14 y 16: notificaciones a cargo del secretario general y declaración final</w:t>
      </w:r>
    </w:p>
    <w:p w:rsidR="00561848" w:rsidRPr="00E00F43" w:rsidRDefault="00E00F43" w:rsidP="00561848">
      <w:pPr>
        <w:pStyle w:val="Prrafodelista"/>
        <w:tabs>
          <w:tab w:val="left" w:pos="426"/>
        </w:tabs>
        <w:ind w:left="0"/>
        <w:rPr>
          <w:rFonts w:ascii="Times New Roman" w:hAnsi="Times New Roman" w:cs="Times New Roman"/>
          <w:bCs/>
          <w:sz w:val="28"/>
          <w:szCs w:val="24"/>
          <w:lang w:val="es-ES" w:eastAsia="es-CO"/>
        </w:rPr>
      </w:pPr>
    </w:p>
    <w:p w:rsidR="00D479C8"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E</w:t>
      </w:r>
      <w:r w:rsidRPr="00E00F43">
        <w:rPr>
          <w:rFonts w:ascii="Times New Roman" w:hAnsi="Times New Roman" w:cs="Times New Roman"/>
          <w:sz w:val="28"/>
        </w:rPr>
        <w:t>l</w:t>
      </w:r>
      <w:r w:rsidRPr="00E00F43">
        <w:rPr>
          <w:rFonts w:ascii="Times New Roman" w:hAnsi="Times New Roman" w:cs="Times New Roman"/>
          <w:sz w:val="28"/>
        </w:rPr>
        <w:t xml:space="preserve"> primero de estos artículos asigna una serie de funciones al secretario general que, al ser sólo de trámite de las notificaciones, la Sala Plena no encuentra ninguna infracción</w:t>
      </w:r>
      <w:r w:rsidRPr="00E00F43">
        <w:rPr>
          <w:rFonts w:ascii="Times New Roman" w:hAnsi="Times New Roman" w:cs="Times New Roman"/>
          <w:sz w:val="28"/>
        </w:rPr>
        <w:t xml:space="preserve"> constitucional con su adopción</w:t>
      </w:r>
      <w:r w:rsidRPr="00E00F43">
        <w:rPr>
          <w:rFonts w:ascii="Times New Roman" w:hAnsi="Times New Roman" w:cs="Times New Roman"/>
          <w:sz w:val="28"/>
        </w:rPr>
        <w:t>, por tratarse de reglas estrictamente instrumentales.</w:t>
      </w:r>
      <w:r w:rsidRPr="00E00F43">
        <w:rPr>
          <w:rFonts w:ascii="Times New Roman" w:hAnsi="Times New Roman" w:cs="Times New Roman"/>
          <w:sz w:val="28"/>
        </w:rPr>
        <w:t xml:space="preserve"> </w:t>
      </w:r>
    </w:p>
    <w:p w:rsidR="00D479C8" w:rsidRPr="00E00F43" w:rsidRDefault="00E00F43" w:rsidP="001E11D7">
      <w:pPr>
        <w:pStyle w:val="Ttulo"/>
        <w:numPr>
          <w:ilvl w:val="0"/>
          <w:numId w:val="0"/>
        </w:numPr>
        <w:rPr>
          <w:rFonts w:ascii="Times New Roman" w:hAnsi="Times New Roman" w:cs="Times New Roman"/>
          <w:sz w:val="28"/>
          <w:lang w:eastAsia="es-CO"/>
        </w:rPr>
      </w:pPr>
    </w:p>
    <w:p w:rsidR="00B954C1"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Asimismo, el artículo 16 precisa que el </w:t>
      </w:r>
      <w:r w:rsidRPr="00E00F43">
        <w:rPr>
          <w:rFonts w:ascii="Times New Roman" w:hAnsi="Times New Roman" w:cs="Times New Roman"/>
          <w:sz w:val="28"/>
        </w:rPr>
        <w:t>A</w:t>
      </w:r>
      <w:r w:rsidRPr="00E00F43">
        <w:rPr>
          <w:rFonts w:ascii="Times New Roman" w:hAnsi="Times New Roman" w:cs="Times New Roman"/>
          <w:sz w:val="28"/>
        </w:rPr>
        <w:t xml:space="preserve">cuerdo se adoptó en Ginebra, Suiza, en un solo ejemplar, y en los idiomas inglés, francés y ruso; declaración que de ninguna </w:t>
      </w:r>
      <w:r w:rsidRPr="00E00F43">
        <w:rPr>
          <w:rFonts w:ascii="Times New Roman" w:hAnsi="Times New Roman" w:cs="Times New Roman"/>
          <w:sz w:val="28"/>
        </w:rPr>
        <w:t>manera contraría los contenidos de la Constitución Política de Colombia</w:t>
      </w:r>
      <w:r w:rsidRPr="00E00F43">
        <w:rPr>
          <w:rFonts w:ascii="Times New Roman" w:hAnsi="Times New Roman" w:cs="Times New Roman"/>
          <w:sz w:val="28"/>
        </w:rPr>
        <w:t xml:space="preserve">. De hecho, con ello no se está estableciendo que sólo estos tres idiomas serán los oficiales en el marco del </w:t>
      </w:r>
      <w:r w:rsidRPr="00E00F43">
        <w:rPr>
          <w:rFonts w:ascii="Times New Roman" w:hAnsi="Times New Roman" w:cs="Times New Roman"/>
          <w:sz w:val="28"/>
        </w:rPr>
        <w:t>A</w:t>
      </w:r>
      <w:r w:rsidRPr="00E00F43">
        <w:rPr>
          <w:rFonts w:ascii="Times New Roman" w:hAnsi="Times New Roman" w:cs="Times New Roman"/>
          <w:sz w:val="28"/>
        </w:rPr>
        <w:t>cuerdo, pues únicamente se está describiendo la manera en la que fue cread</w:t>
      </w:r>
      <w:r w:rsidRPr="00E00F43">
        <w:rPr>
          <w:rFonts w:ascii="Times New Roman" w:hAnsi="Times New Roman" w:cs="Times New Roman"/>
          <w:sz w:val="28"/>
        </w:rPr>
        <w:t>o inicialmente el instrumento. Esto es respetuoso del principio de soberanía nacional (</w:t>
      </w:r>
      <w:r w:rsidRPr="00E00F43">
        <w:rPr>
          <w:rFonts w:ascii="Times New Roman" w:hAnsi="Times New Roman" w:cs="Times New Roman"/>
          <w:sz w:val="28"/>
        </w:rPr>
        <w:t>a</w:t>
      </w:r>
      <w:r w:rsidRPr="00E00F43">
        <w:rPr>
          <w:rFonts w:ascii="Times New Roman" w:hAnsi="Times New Roman" w:cs="Times New Roman"/>
          <w:sz w:val="28"/>
        </w:rPr>
        <w:t>rt. 9º</w:t>
      </w:r>
      <w:r w:rsidRPr="00E00F43">
        <w:rPr>
          <w:rFonts w:ascii="Times New Roman" w:hAnsi="Times New Roman" w:cs="Times New Roman"/>
          <w:sz w:val="28"/>
        </w:rPr>
        <w:t>,</w:t>
      </w:r>
      <w:r w:rsidRPr="00E00F43">
        <w:rPr>
          <w:rFonts w:ascii="Times New Roman" w:hAnsi="Times New Roman" w:cs="Times New Roman"/>
          <w:sz w:val="28"/>
        </w:rPr>
        <w:t xml:space="preserve"> </w:t>
      </w:r>
      <w:r w:rsidRPr="00E00F43">
        <w:rPr>
          <w:rFonts w:ascii="Times New Roman" w:hAnsi="Times New Roman" w:cs="Times New Roman"/>
          <w:sz w:val="28"/>
        </w:rPr>
        <w:t>C.P.</w:t>
      </w:r>
      <w:r w:rsidRPr="00E00F43">
        <w:rPr>
          <w:rFonts w:ascii="Times New Roman" w:hAnsi="Times New Roman" w:cs="Times New Roman"/>
          <w:sz w:val="28"/>
        </w:rPr>
        <w:t>), pero también de la regla del castellano como idioma oficial de Colombia (</w:t>
      </w:r>
      <w:r w:rsidRPr="00E00F43">
        <w:rPr>
          <w:rFonts w:ascii="Times New Roman" w:hAnsi="Times New Roman" w:cs="Times New Roman"/>
          <w:sz w:val="28"/>
        </w:rPr>
        <w:t>a</w:t>
      </w:r>
      <w:r w:rsidRPr="00E00F43">
        <w:rPr>
          <w:rFonts w:ascii="Times New Roman" w:hAnsi="Times New Roman" w:cs="Times New Roman"/>
          <w:sz w:val="28"/>
        </w:rPr>
        <w:t>rt. 10</w:t>
      </w:r>
      <w:r w:rsidRPr="00E00F43">
        <w:rPr>
          <w:rFonts w:ascii="Times New Roman" w:hAnsi="Times New Roman" w:cs="Times New Roman"/>
          <w:sz w:val="28"/>
        </w:rPr>
        <w:t>, C.P.</w:t>
      </w:r>
      <w:r w:rsidRPr="00E00F43">
        <w:rPr>
          <w:rFonts w:ascii="Times New Roman" w:hAnsi="Times New Roman" w:cs="Times New Roman"/>
          <w:sz w:val="28"/>
        </w:rPr>
        <w:t>), al margen del que finalmente se use en el ejercicio de las relac</w:t>
      </w:r>
      <w:r w:rsidRPr="00E00F43">
        <w:rPr>
          <w:rFonts w:ascii="Times New Roman" w:hAnsi="Times New Roman" w:cs="Times New Roman"/>
          <w:sz w:val="28"/>
        </w:rPr>
        <w:t xml:space="preserve">iones internacionales derivadas de la aplicación de este </w:t>
      </w:r>
      <w:r w:rsidRPr="00E00F43">
        <w:rPr>
          <w:rFonts w:ascii="Times New Roman" w:hAnsi="Times New Roman" w:cs="Times New Roman"/>
          <w:sz w:val="28"/>
        </w:rPr>
        <w:t>tratado</w:t>
      </w:r>
      <w:r w:rsidRPr="00E00F43">
        <w:rPr>
          <w:rFonts w:ascii="Times New Roman" w:hAnsi="Times New Roman" w:cs="Times New Roman"/>
          <w:sz w:val="28"/>
        </w:rPr>
        <w:t xml:space="preserve">. </w:t>
      </w:r>
    </w:p>
    <w:p w:rsidR="00B954C1" w:rsidRPr="00E00F43" w:rsidRDefault="00E00F43" w:rsidP="001E11D7">
      <w:pPr>
        <w:pStyle w:val="Ttulo"/>
        <w:numPr>
          <w:ilvl w:val="0"/>
          <w:numId w:val="0"/>
        </w:numPr>
        <w:rPr>
          <w:rFonts w:ascii="Times New Roman" w:hAnsi="Times New Roman" w:cs="Times New Roman"/>
          <w:sz w:val="28"/>
          <w:lang w:eastAsia="es-CO"/>
        </w:rPr>
      </w:pPr>
    </w:p>
    <w:p w:rsidR="00561848"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Además, también resulta pertinente seguir el análisis que en otras oportunidades se ha hecho frente a reglas similares, como ocurrió recientemente en la Sentencia C-165 de 2023.</w:t>
      </w:r>
      <w:r w:rsidRPr="00E00F43">
        <w:rPr>
          <w:rStyle w:val="Refdenotaalpie"/>
          <w:rFonts w:ascii="Times New Roman" w:hAnsi="Times New Roman"/>
          <w:bCs/>
          <w:sz w:val="28"/>
        </w:rPr>
        <w:footnoteReference w:id="94"/>
      </w:r>
      <w:r w:rsidRPr="00E00F43">
        <w:rPr>
          <w:rFonts w:ascii="Times New Roman" w:hAnsi="Times New Roman" w:cs="Times New Roman"/>
          <w:sz w:val="28"/>
        </w:rPr>
        <w:t xml:space="preserve"> Allí se i</w:t>
      </w:r>
      <w:r w:rsidRPr="00E00F43">
        <w:rPr>
          <w:rFonts w:ascii="Times New Roman" w:hAnsi="Times New Roman" w:cs="Times New Roman"/>
          <w:sz w:val="28"/>
        </w:rPr>
        <w:t>ndicó que este tipo de disposiciones se ajustan a la Constitución porque “persigue[n] el multilingüismo que es una base del sistema internacional universal. Este principio se encuentra consagrado, entre otros, en la Carta de las Naciones Unidas que estable</w:t>
      </w:r>
      <w:r w:rsidRPr="00E00F43">
        <w:rPr>
          <w:rFonts w:ascii="Times New Roman" w:hAnsi="Times New Roman" w:cs="Times New Roman"/>
          <w:sz w:val="28"/>
        </w:rPr>
        <w:t xml:space="preserve">ce la igualdad sin importar el idioma y la Resolución 2(I) de la Asamblea General de las Naciones Unidas que señala que la organización funcionará según el principio de multilingüismo. La misma Constitución colombiana en sus artículos 7, 8 y 10 adopta una </w:t>
      </w:r>
      <w:r w:rsidRPr="00E00F43">
        <w:rPr>
          <w:rFonts w:ascii="Times New Roman" w:hAnsi="Times New Roman" w:cs="Times New Roman"/>
          <w:sz w:val="28"/>
        </w:rPr>
        <w:t>política plural sobre la cultura y los idiomas”</w:t>
      </w:r>
      <w:r w:rsidRPr="00E00F43">
        <w:rPr>
          <w:rFonts w:ascii="Times New Roman" w:hAnsi="Times New Roman" w:cs="Times New Roman"/>
          <w:sz w:val="28"/>
        </w:rPr>
        <w:t>.</w:t>
      </w:r>
    </w:p>
    <w:p w:rsidR="00561848" w:rsidRPr="00E00F43" w:rsidRDefault="00E00F43" w:rsidP="00561848">
      <w:pPr>
        <w:pStyle w:val="Prrafodelista"/>
        <w:tabs>
          <w:tab w:val="left" w:pos="426"/>
        </w:tabs>
        <w:ind w:left="0"/>
        <w:rPr>
          <w:rFonts w:ascii="Times New Roman" w:hAnsi="Times New Roman" w:cs="Times New Roman"/>
          <w:bCs/>
          <w:sz w:val="28"/>
          <w:szCs w:val="24"/>
          <w:lang w:val="es-ES" w:eastAsia="es-CO"/>
        </w:rPr>
      </w:pPr>
    </w:p>
    <w:p w:rsidR="00561848" w:rsidRPr="00E00F43" w:rsidRDefault="00E00F43">
      <w:pPr>
        <w:pStyle w:val="Prrafodelista"/>
        <w:numPr>
          <w:ilvl w:val="2"/>
          <w:numId w:val="7"/>
        </w:numPr>
        <w:tabs>
          <w:tab w:val="left" w:pos="426"/>
        </w:tabs>
        <w:ind w:left="0" w:firstLine="0"/>
        <w:rPr>
          <w:rFonts w:ascii="Times New Roman" w:hAnsi="Times New Roman" w:cs="Times New Roman"/>
          <w:b/>
          <w:bCs/>
          <w:sz w:val="28"/>
          <w:szCs w:val="24"/>
          <w:lang w:val="es-ES" w:eastAsia="es-CO"/>
        </w:rPr>
      </w:pPr>
      <w:r w:rsidRPr="00E00F43">
        <w:rPr>
          <w:rFonts w:ascii="Times New Roman" w:hAnsi="Times New Roman" w:cs="Times New Roman"/>
          <w:b/>
          <w:bCs/>
          <w:sz w:val="28"/>
          <w:szCs w:val="24"/>
          <w:lang w:val="es-ES" w:eastAsia="es-CO"/>
        </w:rPr>
        <w:t>Anexos</w:t>
      </w:r>
    </w:p>
    <w:p w:rsidR="00561848" w:rsidRPr="00E00F43" w:rsidRDefault="00E00F43" w:rsidP="001E11D7">
      <w:pPr>
        <w:pStyle w:val="Ttulo"/>
        <w:numPr>
          <w:ilvl w:val="0"/>
          <w:numId w:val="0"/>
        </w:numPr>
        <w:rPr>
          <w:rFonts w:ascii="Times New Roman" w:hAnsi="Times New Roman" w:cs="Times New Roman"/>
          <w:sz w:val="28"/>
        </w:rPr>
      </w:pPr>
    </w:p>
    <w:p w:rsidR="00D46858" w:rsidRPr="00E00F43" w:rsidRDefault="00E00F43" w:rsidP="001E11D7">
      <w:pPr>
        <w:pStyle w:val="Ttulo"/>
        <w:rPr>
          <w:rFonts w:ascii="Times New Roman" w:hAnsi="Times New Roman" w:cs="Times New Roman"/>
          <w:sz w:val="28"/>
        </w:rPr>
      </w:pPr>
      <w:r w:rsidRPr="00E00F43">
        <w:rPr>
          <w:rFonts w:ascii="Times New Roman" w:hAnsi="Times New Roman" w:cs="Times New Roman"/>
          <w:sz w:val="28"/>
        </w:rPr>
        <w:t xml:space="preserve">En este acápite se analizará la constitucionalidad de los anexos del Acuerdo de 1958, Revisión 3, para lo cual es preciso recordar que el Anexo 6 ya fue estudiado en conjunto con el artículo 10 del </w:t>
      </w:r>
      <w:r w:rsidRPr="00E00F43">
        <w:rPr>
          <w:rFonts w:ascii="Times New Roman" w:hAnsi="Times New Roman" w:cs="Times New Roman"/>
          <w:sz w:val="28"/>
        </w:rPr>
        <w:t xml:space="preserve">instrumento, por lo que la Sala se </w:t>
      </w:r>
      <w:r w:rsidRPr="00E00F43">
        <w:rPr>
          <w:rFonts w:ascii="Times New Roman" w:hAnsi="Times New Roman" w:cs="Times New Roman"/>
          <w:sz w:val="28"/>
        </w:rPr>
        <w:t xml:space="preserve">detendrá </w:t>
      </w:r>
      <w:r w:rsidRPr="00E00F43">
        <w:rPr>
          <w:rFonts w:ascii="Times New Roman" w:hAnsi="Times New Roman" w:cs="Times New Roman"/>
          <w:sz w:val="28"/>
        </w:rPr>
        <w:t>en los</w:t>
      </w:r>
      <w:r w:rsidRPr="00E00F43">
        <w:rPr>
          <w:rFonts w:ascii="Times New Roman" w:hAnsi="Times New Roman" w:cs="Times New Roman"/>
          <w:sz w:val="28"/>
        </w:rPr>
        <w:t xml:space="preserve"> siete</w:t>
      </w:r>
      <w:r w:rsidRPr="00E00F43">
        <w:rPr>
          <w:rFonts w:ascii="Times New Roman" w:hAnsi="Times New Roman" w:cs="Times New Roman"/>
          <w:sz w:val="28"/>
        </w:rPr>
        <w:t xml:space="preserve"> restantes. </w:t>
      </w:r>
    </w:p>
    <w:p w:rsidR="00D46858" w:rsidRPr="00E00F43" w:rsidRDefault="00E00F43" w:rsidP="001E11D7">
      <w:pPr>
        <w:pStyle w:val="Ttulo"/>
        <w:numPr>
          <w:ilvl w:val="0"/>
          <w:numId w:val="0"/>
        </w:numPr>
        <w:rPr>
          <w:rFonts w:ascii="Times New Roman" w:hAnsi="Times New Roman" w:cs="Times New Roman"/>
          <w:sz w:val="28"/>
        </w:rPr>
      </w:pPr>
    </w:p>
    <w:p w:rsidR="00D479C8" w:rsidRPr="00E00F43" w:rsidRDefault="00E00F43" w:rsidP="001E11D7">
      <w:pPr>
        <w:pStyle w:val="Ttulo"/>
        <w:rPr>
          <w:rFonts w:ascii="Times New Roman" w:hAnsi="Times New Roman" w:cs="Times New Roman"/>
          <w:sz w:val="28"/>
        </w:rPr>
      </w:pPr>
      <w:r w:rsidRPr="00E00F43">
        <w:rPr>
          <w:rFonts w:ascii="Times New Roman" w:hAnsi="Times New Roman" w:cs="Times New Roman"/>
          <w:sz w:val="28"/>
        </w:rPr>
        <w:t xml:space="preserve">Al final del </w:t>
      </w:r>
      <w:r w:rsidRPr="00E00F43">
        <w:rPr>
          <w:rFonts w:ascii="Times New Roman" w:hAnsi="Times New Roman" w:cs="Times New Roman"/>
          <w:sz w:val="28"/>
        </w:rPr>
        <w:t>A</w:t>
      </w:r>
      <w:r w:rsidRPr="00E00F43">
        <w:rPr>
          <w:rFonts w:ascii="Times New Roman" w:hAnsi="Times New Roman" w:cs="Times New Roman"/>
          <w:sz w:val="28"/>
        </w:rPr>
        <w:t>cuerdo, se incorporan 8 anexos “de disposiciones administrativas y de procedimiento”. El primero establece los “procedimientos de conformidad de la producción”, cuyo propós</w:t>
      </w:r>
      <w:r w:rsidRPr="00E00F43">
        <w:rPr>
          <w:rFonts w:ascii="Times New Roman" w:hAnsi="Times New Roman" w:cs="Times New Roman"/>
          <w:sz w:val="28"/>
        </w:rPr>
        <w:t xml:space="preserve">ito es garantizar que la fabricación de los vehículos, equipos y piezas sean </w:t>
      </w:r>
      <w:r w:rsidRPr="00E00F43">
        <w:rPr>
          <w:rFonts w:ascii="Times New Roman" w:hAnsi="Times New Roman" w:cs="Times New Roman"/>
          <w:sz w:val="28"/>
        </w:rPr>
        <w:t>acordes con e</w:t>
      </w:r>
      <w:r w:rsidRPr="00E00F43">
        <w:rPr>
          <w:rFonts w:ascii="Times New Roman" w:hAnsi="Times New Roman" w:cs="Times New Roman"/>
          <w:sz w:val="28"/>
        </w:rPr>
        <w:t xml:space="preserve">l tipo homologado. Está </w:t>
      </w:r>
      <w:r w:rsidRPr="00E00F43">
        <w:rPr>
          <w:rFonts w:ascii="Times New Roman" w:hAnsi="Times New Roman" w:cs="Times New Roman"/>
          <w:sz w:val="28"/>
        </w:rPr>
        <w:t>integrado</w:t>
      </w:r>
      <w:r w:rsidRPr="00E00F43">
        <w:rPr>
          <w:rFonts w:ascii="Times New Roman" w:hAnsi="Times New Roman" w:cs="Times New Roman"/>
          <w:sz w:val="28"/>
        </w:rPr>
        <w:t xml:space="preserve"> por las reglas de evaluación inicial, las de conformidad del producto, y las disposiciones de verificación continua. </w:t>
      </w:r>
    </w:p>
    <w:p w:rsidR="00D479C8" w:rsidRPr="00E00F43" w:rsidRDefault="00E00F43" w:rsidP="001E11D7">
      <w:pPr>
        <w:pStyle w:val="Ttulo"/>
        <w:numPr>
          <w:ilvl w:val="0"/>
          <w:numId w:val="0"/>
        </w:numPr>
        <w:rPr>
          <w:rFonts w:ascii="Times New Roman" w:hAnsi="Times New Roman" w:cs="Times New Roman"/>
          <w:sz w:val="28"/>
        </w:rPr>
      </w:pPr>
    </w:p>
    <w:p w:rsidR="00561848" w:rsidRPr="00E00F43" w:rsidRDefault="00E00F43" w:rsidP="001E11D7">
      <w:pPr>
        <w:pStyle w:val="Ttulo"/>
        <w:rPr>
          <w:rFonts w:ascii="Times New Roman" w:hAnsi="Times New Roman" w:cs="Times New Roman"/>
          <w:sz w:val="28"/>
        </w:rPr>
      </w:pPr>
      <w:r w:rsidRPr="00E00F43">
        <w:rPr>
          <w:rFonts w:ascii="Times New Roman" w:hAnsi="Times New Roman" w:cs="Times New Roman"/>
          <w:sz w:val="28"/>
        </w:rPr>
        <w:t xml:space="preserve">El segundo anexo tiene tres partes. En él se establecen los trámites de evaluación, designación y notificación de los servicios técnicos, se fija la clasificación de los servicios técnicos prestados por las autoridades de homologación, así como las reglas </w:t>
      </w:r>
      <w:r w:rsidRPr="00E00F43">
        <w:rPr>
          <w:rFonts w:ascii="Times New Roman" w:hAnsi="Times New Roman" w:cs="Times New Roman"/>
          <w:sz w:val="28"/>
        </w:rPr>
        <w:t xml:space="preserve">de evaluación de sus competencias y los procedimientos de notificación. También señala las normas ISO </w:t>
      </w:r>
      <w:r w:rsidRPr="00E00F43">
        <w:rPr>
          <w:rFonts w:ascii="Times New Roman" w:hAnsi="Times New Roman" w:cs="Times New Roman"/>
          <w:sz w:val="28"/>
        </w:rPr>
        <w:t xml:space="preserve">que </w:t>
      </w:r>
      <w:r w:rsidRPr="00E00F43">
        <w:rPr>
          <w:rFonts w:ascii="Times New Roman" w:hAnsi="Times New Roman" w:cs="Times New Roman"/>
          <w:sz w:val="28"/>
        </w:rPr>
        <w:t>debe cumplir cada servicio técnico, según la clasificación correspondiente; y detalla los procedimientos de evaluación de estos servicios.</w:t>
      </w:r>
    </w:p>
    <w:p w:rsidR="00561848" w:rsidRPr="00E00F43" w:rsidRDefault="00E00F43" w:rsidP="001E11D7">
      <w:pPr>
        <w:pStyle w:val="Ttulo"/>
        <w:numPr>
          <w:ilvl w:val="0"/>
          <w:numId w:val="0"/>
        </w:numPr>
        <w:rPr>
          <w:rFonts w:ascii="Times New Roman" w:hAnsi="Times New Roman" w:cs="Times New Roman"/>
          <w:sz w:val="28"/>
        </w:rPr>
      </w:pPr>
    </w:p>
    <w:p w:rsidR="00561848" w:rsidRPr="00E00F43" w:rsidRDefault="00E00F43" w:rsidP="001E11D7">
      <w:pPr>
        <w:pStyle w:val="Ttulo"/>
        <w:rPr>
          <w:rFonts w:ascii="Times New Roman" w:hAnsi="Times New Roman" w:cs="Times New Roman"/>
          <w:sz w:val="28"/>
        </w:rPr>
      </w:pPr>
      <w:r w:rsidRPr="00E00F43">
        <w:rPr>
          <w:rFonts w:ascii="Times New Roman" w:hAnsi="Times New Roman" w:cs="Times New Roman"/>
          <w:sz w:val="28"/>
        </w:rPr>
        <w:t xml:space="preserve">El tercer </w:t>
      </w:r>
      <w:r w:rsidRPr="00E00F43">
        <w:rPr>
          <w:rFonts w:ascii="Times New Roman" w:hAnsi="Times New Roman" w:cs="Times New Roman"/>
          <w:sz w:val="28"/>
        </w:rPr>
        <w:t xml:space="preserve">anexo </w:t>
      </w:r>
      <w:r w:rsidRPr="00E00F43">
        <w:rPr>
          <w:rFonts w:ascii="Times New Roman" w:hAnsi="Times New Roman" w:cs="Times New Roman"/>
          <w:sz w:val="28"/>
        </w:rPr>
        <w:t>precisa</w:t>
      </w:r>
      <w:r w:rsidRPr="00E00F43">
        <w:rPr>
          <w:rFonts w:ascii="Times New Roman" w:hAnsi="Times New Roman" w:cs="Times New Roman"/>
          <w:sz w:val="28"/>
        </w:rPr>
        <w:t xml:space="preserve"> los trámites que se seguirán para las homologaciones de tipo de la ONU, a partir de la solicitud del fabricante o su representante autorizado, quien deberá cumplir las condiciones señaladas en el anexo. Además, se indica que las partes del </w:t>
      </w:r>
      <w:r w:rsidRPr="00E00F43">
        <w:rPr>
          <w:rFonts w:ascii="Times New Roman" w:hAnsi="Times New Roman" w:cs="Times New Roman"/>
          <w:sz w:val="28"/>
        </w:rPr>
        <w:t>A</w:t>
      </w:r>
      <w:r w:rsidRPr="00E00F43">
        <w:rPr>
          <w:rFonts w:ascii="Times New Roman" w:hAnsi="Times New Roman" w:cs="Times New Roman"/>
          <w:sz w:val="28"/>
        </w:rPr>
        <w:t>c</w:t>
      </w:r>
      <w:r w:rsidRPr="00E00F43">
        <w:rPr>
          <w:rFonts w:ascii="Times New Roman" w:hAnsi="Times New Roman" w:cs="Times New Roman"/>
          <w:sz w:val="28"/>
        </w:rPr>
        <w:t xml:space="preserve">uerdo sólo concederán homologaciones de tipo cuando se cumplan los requisitos de producción del primer anexo. Finalmente, se señala el curso que deben seguir las modificaciones de las homologaciones que sean planteadas por los fabricantes. </w:t>
      </w:r>
    </w:p>
    <w:p w:rsidR="00561848" w:rsidRPr="00E00F43" w:rsidRDefault="00E00F43" w:rsidP="001E11D7">
      <w:pPr>
        <w:pStyle w:val="Ttulo"/>
        <w:numPr>
          <w:ilvl w:val="0"/>
          <w:numId w:val="0"/>
        </w:numPr>
        <w:rPr>
          <w:rFonts w:ascii="Times New Roman" w:hAnsi="Times New Roman" w:cs="Times New Roman"/>
          <w:sz w:val="28"/>
        </w:rPr>
      </w:pPr>
    </w:p>
    <w:p w:rsidR="00D479C8" w:rsidRPr="00E00F43" w:rsidRDefault="00E00F43" w:rsidP="001E11D7">
      <w:pPr>
        <w:pStyle w:val="Ttulo"/>
        <w:rPr>
          <w:rFonts w:ascii="Times New Roman" w:hAnsi="Times New Roman" w:cs="Times New Roman"/>
          <w:sz w:val="28"/>
        </w:rPr>
      </w:pPr>
      <w:r w:rsidRPr="00E00F43">
        <w:rPr>
          <w:rFonts w:ascii="Times New Roman" w:hAnsi="Times New Roman" w:cs="Times New Roman"/>
          <w:sz w:val="28"/>
        </w:rPr>
        <w:t>En el cuarto a</w:t>
      </w:r>
      <w:r w:rsidRPr="00E00F43">
        <w:rPr>
          <w:rFonts w:ascii="Times New Roman" w:hAnsi="Times New Roman" w:cs="Times New Roman"/>
          <w:sz w:val="28"/>
        </w:rPr>
        <w:t>nexo, se</w:t>
      </w:r>
      <w:r w:rsidRPr="00E00F43">
        <w:rPr>
          <w:rFonts w:ascii="Times New Roman" w:hAnsi="Times New Roman" w:cs="Times New Roman"/>
          <w:sz w:val="28"/>
        </w:rPr>
        <w:t xml:space="preserve"> fija</w:t>
      </w:r>
      <w:r w:rsidRPr="00E00F43">
        <w:rPr>
          <w:rFonts w:ascii="Times New Roman" w:hAnsi="Times New Roman" w:cs="Times New Roman"/>
          <w:sz w:val="28"/>
        </w:rPr>
        <w:t xml:space="preserve"> la nomenclatura y/o numeración de las homologaciones de tipo, que constará de cuatro secciones alfanuméricas, separadas por asterisco. </w:t>
      </w:r>
    </w:p>
    <w:p w:rsidR="00D479C8" w:rsidRPr="00E00F43" w:rsidRDefault="00E00F43" w:rsidP="001E11D7">
      <w:pPr>
        <w:pStyle w:val="Ttulo"/>
        <w:numPr>
          <w:ilvl w:val="0"/>
          <w:numId w:val="0"/>
        </w:numPr>
        <w:rPr>
          <w:rFonts w:ascii="Times New Roman" w:hAnsi="Times New Roman" w:cs="Times New Roman"/>
          <w:sz w:val="28"/>
        </w:rPr>
      </w:pPr>
    </w:p>
    <w:p w:rsidR="00561848" w:rsidRPr="00E00F43" w:rsidRDefault="00E00F43" w:rsidP="001E11D7">
      <w:pPr>
        <w:pStyle w:val="Ttulo"/>
        <w:rPr>
          <w:rFonts w:ascii="Times New Roman" w:hAnsi="Times New Roman" w:cs="Times New Roman"/>
          <w:sz w:val="28"/>
        </w:rPr>
      </w:pPr>
      <w:r w:rsidRPr="00E00F43">
        <w:rPr>
          <w:rFonts w:ascii="Times New Roman" w:hAnsi="Times New Roman" w:cs="Times New Roman"/>
          <w:sz w:val="28"/>
        </w:rPr>
        <w:t>El quinto anexo establece las reglas de distribución de la documentación de las homologaciones. Se indica</w:t>
      </w:r>
      <w:r w:rsidRPr="00E00F43">
        <w:rPr>
          <w:rFonts w:ascii="Times New Roman" w:hAnsi="Times New Roman" w:cs="Times New Roman"/>
          <w:sz w:val="28"/>
        </w:rPr>
        <w:t xml:space="preserve"> (i) que las autoridades de homologación podrán enviar los documentos en papel o por correo electrónico; (ii) el contenido que tendrá que ser preservado en la base de datos segura de internet; (iii) los identificadores únicos por los que se pueden sustitui</w:t>
      </w:r>
      <w:r w:rsidRPr="00E00F43">
        <w:rPr>
          <w:rFonts w:ascii="Times New Roman" w:hAnsi="Times New Roman" w:cs="Times New Roman"/>
          <w:sz w:val="28"/>
        </w:rPr>
        <w:t xml:space="preserve">r las marcas de homologación, a través de los cuales las partes del </w:t>
      </w:r>
      <w:r w:rsidRPr="00E00F43">
        <w:rPr>
          <w:rFonts w:ascii="Times New Roman" w:hAnsi="Times New Roman" w:cs="Times New Roman"/>
          <w:sz w:val="28"/>
        </w:rPr>
        <w:t>A</w:t>
      </w:r>
      <w:r w:rsidRPr="00E00F43">
        <w:rPr>
          <w:rFonts w:ascii="Times New Roman" w:hAnsi="Times New Roman" w:cs="Times New Roman"/>
          <w:sz w:val="28"/>
        </w:rPr>
        <w:t>cuerdo tendrán acceso a la información; y (iv) siempre se respetarán la</w:t>
      </w:r>
      <w:r w:rsidRPr="00E00F43">
        <w:rPr>
          <w:rFonts w:ascii="Times New Roman" w:hAnsi="Times New Roman" w:cs="Times New Roman"/>
          <w:sz w:val="28"/>
        </w:rPr>
        <w:t>s</w:t>
      </w:r>
      <w:r w:rsidRPr="00E00F43">
        <w:rPr>
          <w:rFonts w:ascii="Times New Roman" w:hAnsi="Times New Roman" w:cs="Times New Roman"/>
          <w:sz w:val="28"/>
        </w:rPr>
        <w:t xml:space="preserve"> reservas de acceso que sean definidas por las partes del </w:t>
      </w:r>
      <w:r w:rsidRPr="00E00F43">
        <w:rPr>
          <w:rFonts w:ascii="Times New Roman" w:hAnsi="Times New Roman" w:cs="Times New Roman"/>
          <w:sz w:val="28"/>
        </w:rPr>
        <w:t>A</w:t>
      </w:r>
      <w:r w:rsidRPr="00E00F43">
        <w:rPr>
          <w:rFonts w:ascii="Times New Roman" w:hAnsi="Times New Roman" w:cs="Times New Roman"/>
          <w:sz w:val="28"/>
        </w:rPr>
        <w:t xml:space="preserve">cuerdo. </w:t>
      </w:r>
    </w:p>
    <w:p w:rsidR="00561848" w:rsidRPr="00E00F43" w:rsidRDefault="00E00F43" w:rsidP="001E11D7">
      <w:pPr>
        <w:pStyle w:val="Ttulo"/>
        <w:numPr>
          <w:ilvl w:val="0"/>
          <w:numId w:val="0"/>
        </w:numPr>
        <w:rPr>
          <w:rFonts w:ascii="Times New Roman" w:hAnsi="Times New Roman" w:cs="Times New Roman"/>
          <w:sz w:val="28"/>
        </w:rPr>
      </w:pPr>
    </w:p>
    <w:p w:rsidR="00561848" w:rsidRPr="00E00F43" w:rsidRDefault="00E00F43" w:rsidP="001E11D7">
      <w:pPr>
        <w:pStyle w:val="Ttulo"/>
        <w:rPr>
          <w:rFonts w:ascii="Times New Roman" w:hAnsi="Times New Roman" w:cs="Times New Roman"/>
          <w:sz w:val="28"/>
        </w:rPr>
      </w:pPr>
      <w:r w:rsidRPr="00E00F43">
        <w:rPr>
          <w:rFonts w:ascii="Times New Roman" w:hAnsi="Times New Roman" w:cs="Times New Roman"/>
          <w:sz w:val="28"/>
        </w:rPr>
        <w:t>El anexo siete se refiere a los trámites que s</w:t>
      </w:r>
      <w:r w:rsidRPr="00E00F43">
        <w:rPr>
          <w:rFonts w:ascii="Times New Roman" w:hAnsi="Times New Roman" w:cs="Times New Roman"/>
          <w:sz w:val="28"/>
        </w:rPr>
        <w:t xml:space="preserve">e debe seguir para conceder una homologación con exención relativa a nuevas tecnologías, a través de las partes contratantes y a solicitud del fabricante. Finalmente, el anexo octavo </w:t>
      </w:r>
      <w:r w:rsidRPr="00E00F43">
        <w:rPr>
          <w:rFonts w:ascii="Times New Roman" w:hAnsi="Times New Roman" w:cs="Times New Roman"/>
          <w:sz w:val="28"/>
        </w:rPr>
        <w:t>alude</w:t>
      </w:r>
      <w:r w:rsidRPr="00E00F43">
        <w:rPr>
          <w:rFonts w:ascii="Times New Roman" w:hAnsi="Times New Roman" w:cs="Times New Roman"/>
          <w:sz w:val="28"/>
        </w:rPr>
        <w:t xml:space="preserve"> a las condiciones aplicables a los métodos de ensayo virtual, se fi</w:t>
      </w:r>
      <w:r w:rsidRPr="00E00F43">
        <w:rPr>
          <w:rFonts w:ascii="Times New Roman" w:hAnsi="Times New Roman" w:cs="Times New Roman"/>
          <w:sz w:val="28"/>
        </w:rPr>
        <w:t xml:space="preserve">ja el modelo de ensayo, los fundamentos de la simulación y el cálculo por ordenador, y por último, la posibilidad de contar con las herramientas y apoyos adicionales que sean requeridos por la autoridad de homologación, de parte del fabricante. </w:t>
      </w:r>
    </w:p>
    <w:p w:rsidR="00561848" w:rsidRPr="00E00F43" w:rsidRDefault="00E00F43" w:rsidP="001E11D7">
      <w:pPr>
        <w:pStyle w:val="Ttulo"/>
        <w:numPr>
          <w:ilvl w:val="0"/>
          <w:numId w:val="0"/>
        </w:numPr>
        <w:rPr>
          <w:rFonts w:ascii="Times New Roman" w:hAnsi="Times New Roman" w:cs="Times New Roman"/>
          <w:sz w:val="28"/>
        </w:rPr>
      </w:pPr>
    </w:p>
    <w:p w:rsidR="00561848" w:rsidRPr="00E00F43" w:rsidRDefault="00E00F43" w:rsidP="001E11D7">
      <w:pPr>
        <w:pStyle w:val="Ttulo"/>
        <w:rPr>
          <w:rFonts w:ascii="Times New Roman" w:hAnsi="Times New Roman" w:cs="Times New Roman"/>
          <w:sz w:val="28"/>
        </w:rPr>
      </w:pPr>
      <w:r w:rsidRPr="00E00F43">
        <w:rPr>
          <w:rFonts w:ascii="Times New Roman" w:hAnsi="Times New Roman" w:cs="Times New Roman"/>
          <w:sz w:val="28"/>
        </w:rPr>
        <w:t>Revisadas</w:t>
      </w:r>
      <w:r w:rsidRPr="00E00F43">
        <w:rPr>
          <w:rFonts w:ascii="Times New Roman" w:hAnsi="Times New Roman" w:cs="Times New Roman"/>
          <w:sz w:val="28"/>
        </w:rPr>
        <w:t xml:space="preserve"> en detalle las normas de los anexos, la Corte concluye que, en definitiva, se trata de disposiciones esencialmente procedimentales y, en algunos casos, sobre aspectos técnicos de seguridad de los vehículos de ruedas, partes y equipos a los que se dirige e</w:t>
      </w:r>
      <w:r w:rsidRPr="00E00F43">
        <w:rPr>
          <w:rFonts w:ascii="Times New Roman" w:hAnsi="Times New Roman" w:cs="Times New Roman"/>
          <w:sz w:val="28"/>
        </w:rPr>
        <w:t xml:space="preserve">l </w:t>
      </w:r>
      <w:r w:rsidRPr="00E00F43">
        <w:rPr>
          <w:rFonts w:ascii="Times New Roman" w:hAnsi="Times New Roman" w:cs="Times New Roman"/>
          <w:sz w:val="28"/>
        </w:rPr>
        <w:t>A</w:t>
      </w:r>
      <w:r w:rsidRPr="00E00F43">
        <w:rPr>
          <w:rFonts w:ascii="Times New Roman" w:hAnsi="Times New Roman" w:cs="Times New Roman"/>
          <w:sz w:val="28"/>
        </w:rPr>
        <w:t xml:space="preserve">cuerdo. Corresponden, entonces, a disposiciones que son relevantes para el cumplimiento de los fines del </w:t>
      </w:r>
      <w:r w:rsidRPr="00E00F43">
        <w:rPr>
          <w:rFonts w:ascii="Times New Roman" w:hAnsi="Times New Roman" w:cs="Times New Roman"/>
          <w:sz w:val="28"/>
        </w:rPr>
        <w:t>A</w:t>
      </w:r>
      <w:r w:rsidRPr="00E00F43">
        <w:rPr>
          <w:rFonts w:ascii="Times New Roman" w:hAnsi="Times New Roman" w:cs="Times New Roman"/>
          <w:sz w:val="28"/>
        </w:rPr>
        <w:t>cuerdo, pues forjan un marco regulatorio preciso y estandarizado al cual debe someterse la producción de estos objetos, con miras a mejorar la segu</w:t>
      </w:r>
      <w:r w:rsidRPr="00E00F43">
        <w:rPr>
          <w:rFonts w:ascii="Times New Roman" w:hAnsi="Times New Roman" w:cs="Times New Roman"/>
          <w:sz w:val="28"/>
        </w:rPr>
        <w:t xml:space="preserve">ridad de las personas, su vida y, por supuesto, el medio ambiente. Con todo, al tratarse de reglas estrictamente instrumentales, de participación en el trámite de las homologaciones y de las solicitudes asociadas a las mismas, para la Sala Plena basta con </w:t>
      </w:r>
      <w:r w:rsidRPr="00E00F43">
        <w:rPr>
          <w:rFonts w:ascii="Times New Roman" w:hAnsi="Times New Roman" w:cs="Times New Roman"/>
          <w:sz w:val="28"/>
        </w:rPr>
        <w:t xml:space="preserve">considerar que, como ya se ha advertido en el resto de procedimientos, estas reglas son cuidadosas de los principios que gobiernan las relaciones internacionales de Colombia. Sobre todo, porque admiten la vinculación del Estado en condiciones de igualdad, </w:t>
      </w:r>
      <w:r w:rsidRPr="00E00F43">
        <w:rPr>
          <w:rFonts w:ascii="Times New Roman" w:hAnsi="Times New Roman" w:cs="Times New Roman"/>
          <w:sz w:val="28"/>
        </w:rPr>
        <w:t xml:space="preserve">garantizando que su voz y voto tengan el mismo peso que la de las demás partes del </w:t>
      </w:r>
      <w:r w:rsidRPr="00E00F43">
        <w:rPr>
          <w:rFonts w:ascii="Times New Roman" w:hAnsi="Times New Roman" w:cs="Times New Roman"/>
          <w:sz w:val="28"/>
        </w:rPr>
        <w:t>A</w:t>
      </w:r>
      <w:r w:rsidRPr="00E00F43">
        <w:rPr>
          <w:rFonts w:ascii="Times New Roman" w:hAnsi="Times New Roman" w:cs="Times New Roman"/>
          <w:sz w:val="28"/>
        </w:rPr>
        <w:t>cuerdo, pero también permiten que se tomen decisiones de aplicabilidad según las particularidades de las partes, lo cual es concordante con el principio de equidad.</w:t>
      </w:r>
    </w:p>
    <w:p w:rsidR="00561848" w:rsidRPr="00E00F43" w:rsidRDefault="00E00F43" w:rsidP="00561848">
      <w:pPr>
        <w:pStyle w:val="Prrafodelista"/>
        <w:tabs>
          <w:tab w:val="left" w:pos="426"/>
        </w:tabs>
        <w:ind w:left="0"/>
        <w:rPr>
          <w:rFonts w:ascii="Times New Roman" w:hAnsi="Times New Roman" w:cs="Times New Roman"/>
          <w:b/>
          <w:bCs/>
          <w:sz w:val="28"/>
          <w:szCs w:val="24"/>
          <w:lang w:val="es-ES" w:eastAsia="es-CO"/>
        </w:rPr>
      </w:pPr>
    </w:p>
    <w:p w:rsidR="00561848" w:rsidRPr="00E00F43" w:rsidRDefault="00E00F43">
      <w:pPr>
        <w:pStyle w:val="Prrafodelista"/>
        <w:numPr>
          <w:ilvl w:val="1"/>
          <w:numId w:val="7"/>
        </w:numPr>
        <w:tabs>
          <w:tab w:val="left" w:pos="426"/>
        </w:tabs>
        <w:ind w:left="0" w:firstLine="0"/>
        <w:rPr>
          <w:rFonts w:ascii="Times New Roman" w:hAnsi="Times New Roman" w:cs="Times New Roman"/>
          <w:b/>
          <w:bCs/>
          <w:sz w:val="28"/>
          <w:szCs w:val="24"/>
          <w:lang w:val="es-ES" w:eastAsia="es-CO"/>
        </w:rPr>
      </w:pPr>
      <w:r w:rsidRPr="00E00F43">
        <w:rPr>
          <w:rFonts w:ascii="Times New Roman" w:hAnsi="Times New Roman" w:cs="Times New Roman"/>
          <w:b/>
          <w:bCs/>
          <w:sz w:val="28"/>
          <w:szCs w:val="24"/>
          <w:lang w:val="es-ES" w:eastAsia="es-CO"/>
        </w:rPr>
        <w:t>Anális</w:t>
      </w:r>
      <w:r w:rsidRPr="00E00F43">
        <w:rPr>
          <w:rFonts w:ascii="Times New Roman" w:hAnsi="Times New Roman" w:cs="Times New Roman"/>
          <w:b/>
          <w:bCs/>
          <w:sz w:val="28"/>
          <w:szCs w:val="24"/>
          <w:lang w:val="es-ES" w:eastAsia="es-CO"/>
        </w:rPr>
        <w:t>is</w:t>
      </w:r>
      <w:r w:rsidRPr="00E00F43">
        <w:rPr>
          <w:rFonts w:ascii="Times New Roman" w:hAnsi="Times New Roman" w:cs="Times New Roman"/>
          <w:b/>
          <w:bCs/>
          <w:sz w:val="28"/>
          <w:szCs w:val="24"/>
          <w:lang w:val="es-ES" w:eastAsia="es-CO"/>
        </w:rPr>
        <w:t xml:space="preserve"> </w:t>
      </w:r>
      <w:r w:rsidRPr="00E00F43">
        <w:rPr>
          <w:rFonts w:ascii="Times New Roman" w:hAnsi="Times New Roman" w:cs="Times New Roman"/>
          <w:b/>
          <w:bCs/>
          <w:sz w:val="28"/>
          <w:szCs w:val="24"/>
          <w:lang w:val="es-ES" w:eastAsia="es-CO"/>
        </w:rPr>
        <w:t xml:space="preserve">material </w:t>
      </w:r>
      <w:r w:rsidRPr="00E00F43">
        <w:rPr>
          <w:rFonts w:ascii="Times New Roman" w:hAnsi="Times New Roman" w:cs="Times New Roman"/>
          <w:b/>
          <w:bCs/>
          <w:sz w:val="28"/>
          <w:szCs w:val="24"/>
          <w:lang w:val="es-ES" w:eastAsia="es-CO"/>
        </w:rPr>
        <w:t>de la Ley 2290 de 2023</w:t>
      </w:r>
    </w:p>
    <w:p w:rsidR="00561848" w:rsidRPr="00E00F43" w:rsidRDefault="00E00F43" w:rsidP="00561848">
      <w:pPr>
        <w:pStyle w:val="Prrafodelista"/>
        <w:tabs>
          <w:tab w:val="left" w:pos="426"/>
        </w:tabs>
        <w:ind w:left="0"/>
        <w:rPr>
          <w:rFonts w:ascii="Times New Roman" w:hAnsi="Times New Roman" w:cs="Times New Roman"/>
          <w:bCs/>
          <w:sz w:val="28"/>
          <w:szCs w:val="24"/>
          <w:lang w:val="es-ES" w:eastAsia="es-CO"/>
        </w:rPr>
      </w:pPr>
    </w:p>
    <w:p w:rsidR="00D8342E" w:rsidRPr="00E00F43" w:rsidRDefault="00E00F43" w:rsidP="001E11D7">
      <w:pPr>
        <w:pStyle w:val="Ttulo"/>
        <w:rPr>
          <w:rFonts w:ascii="Times New Roman" w:hAnsi="Times New Roman" w:cs="Times New Roman"/>
          <w:bCs/>
          <w:sz w:val="28"/>
          <w:lang w:eastAsia="es-CO"/>
        </w:rPr>
      </w:pPr>
      <w:r w:rsidRPr="00E00F43">
        <w:rPr>
          <w:rFonts w:ascii="Times New Roman" w:hAnsi="Times New Roman" w:cs="Times New Roman"/>
          <w:bCs/>
          <w:sz w:val="28"/>
        </w:rPr>
        <w:t>La Ley 2290 de 2023, “</w:t>
      </w:r>
      <w:r w:rsidRPr="00E00F43">
        <w:rPr>
          <w:rFonts w:ascii="Times New Roman" w:hAnsi="Times New Roman" w:cs="Times New Roman"/>
          <w:sz w:val="28"/>
        </w:rPr>
        <w:t xml:space="preserve">por medio de la cual se aprueba el ‘Acuerdo Relativo a la Adopción de Reglamentos Técnicos Armonizados de las Naciones Unidas aplicables a los vehículos de ruedas y los equipos y piezas que puedan montarse o utilizarse en estos, y sobre las condiciones de </w:t>
      </w:r>
      <w:r w:rsidRPr="00E00F43">
        <w:rPr>
          <w:rFonts w:ascii="Times New Roman" w:hAnsi="Times New Roman" w:cs="Times New Roman"/>
          <w:sz w:val="28"/>
        </w:rPr>
        <w:t xml:space="preserve">reconocimiento recíproco de las homologaciones concedidas conforme a dichos reglamentos de las Naciones Unidas’, suscrito en Ginebra, el 20 de marzo de 1958” </w:t>
      </w:r>
      <w:r w:rsidRPr="00E00F43">
        <w:rPr>
          <w:rFonts w:ascii="Times New Roman" w:hAnsi="Times New Roman" w:cs="Times New Roman"/>
          <w:bCs/>
          <w:sz w:val="28"/>
        </w:rPr>
        <w:t xml:space="preserve">consta de 3 artículos. El primero establece la aprobación del </w:t>
      </w:r>
      <w:r w:rsidRPr="00E00F43">
        <w:rPr>
          <w:rFonts w:ascii="Times New Roman" w:hAnsi="Times New Roman" w:cs="Times New Roman"/>
          <w:bCs/>
          <w:sz w:val="28"/>
        </w:rPr>
        <w:t>A</w:t>
      </w:r>
      <w:r w:rsidRPr="00E00F43">
        <w:rPr>
          <w:rFonts w:ascii="Times New Roman" w:hAnsi="Times New Roman" w:cs="Times New Roman"/>
          <w:bCs/>
          <w:sz w:val="28"/>
        </w:rPr>
        <w:t xml:space="preserve">cuerdo; el segundo dispone que, </w:t>
      </w:r>
      <w:r w:rsidRPr="00E00F43">
        <w:rPr>
          <w:rFonts w:ascii="Times New Roman" w:hAnsi="Times New Roman" w:cs="Times New Roman"/>
          <w:bCs/>
          <w:sz w:val="28"/>
        </w:rPr>
        <w:t xml:space="preserve">de </w:t>
      </w:r>
      <w:r w:rsidRPr="00E00F43">
        <w:rPr>
          <w:rFonts w:ascii="Times New Roman" w:hAnsi="Times New Roman" w:cs="Times New Roman"/>
          <w:bCs/>
          <w:sz w:val="28"/>
        </w:rPr>
        <w:t xml:space="preserve">conformidad </w:t>
      </w:r>
      <w:r w:rsidRPr="00E00F43">
        <w:rPr>
          <w:rFonts w:ascii="Times New Roman" w:hAnsi="Times New Roman" w:cs="Times New Roman"/>
          <w:bCs/>
          <w:sz w:val="28"/>
        </w:rPr>
        <w:t>con el artículo 1º de la Ley 7 de 1944, el</w:t>
      </w:r>
      <w:r w:rsidRPr="00E00F43">
        <w:rPr>
          <w:rFonts w:ascii="Times New Roman" w:hAnsi="Times New Roman" w:cs="Times New Roman"/>
          <w:bCs/>
          <w:sz w:val="28"/>
        </w:rPr>
        <w:t xml:space="preserve"> instrumento</w:t>
      </w:r>
      <w:r w:rsidRPr="00E00F43">
        <w:rPr>
          <w:rFonts w:ascii="Times New Roman" w:hAnsi="Times New Roman" w:cs="Times New Roman"/>
          <w:bCs/>
          <w:sz w:val="28"/>
        </w:rPr>
        <w:t xml:space="preserve"> obligará a la República de Colombia a partir de la fecha en que se perfeccione el vínculo internacional; y el último artículo determina que la Ley rige a partir de su fecha de publicación. </w:t>
      </w:r>
    </w:p>
    <w:p w:rsidR="00D8342E" w:rsidRPr="00E00F43" w:rsidRDefault="00E00F43" w:rsidP="001E11D7">
      <w:pPr>
        <w:pStyle w:val="Ttulo"/>
        <w:numPr>
          <w:ilvl w:val="0"/>
          <w:numId w:val="0"/>
        </w:numPr>
        <w:rPr>
          <w:rFonts w:ascii="Times New Roman" w:hAnsi="Times New Roman" w:cs="Times New Roman"/>
          <w:bCs/>
          <w:sz w:val="28"/>
          <w:lang w:eastAsia="es-CO"/>
        </w:rPr>
      </w:pPr>
    </w:p>
    <w:p w:rsidR="00D8342E" w:rsidRPr="00E00F43" w:rsidRDefault="00E00F43" w:rsidP="001E11D7">
      <w:pPr>
        <w:pStyle w:val="Ttulo"/>
        <w:rPr>
          <w:rFonts w:ascii="Times New Roman" w:hAnsi="Times New Roman" w:cs="Times New Roman"/>
          <w:bCs/>
          <w:sz w:val="28"/>
          <w:lang w:eastAsia="es-CO"/>
        </w:rPr>
      </w:pPr>
      <w:r w:rsidRPr="00E00F43">
        <w:rPr>
          <w:rFonts w:ascii="Times New Roman" w:hAnsi="Times New Roman" w:cs="Times New Roman"/>
          <w:bCs/>
          <w:sz w:val="28"/>
          <w:lang w:eastAsia="es-CO"/>
        </w:rPr>
        <w:t>Los tres artículos son constitucionales. El primero</w:t>
      </w:r>
      <w:r w:rsidRPr="00E00F43">
        <w:rPr>
          <w:rFonts w:ascii="Times New Roman" w:hAnsi="Times New Roman" w:cs="Times New Roman"/>
          <w:bCs/>
          <w:sz w:val="28"/>
          <w:lang w:eastAsia="es-CO"/>
        </w:rPr>
        <w:t xml:space="preserve"> </w:t>
      </w:r>
      <w:r w:rsidRPr="00E00F43">
        <w:rPr>
          <w:rFonts w:ascii="Times New Roman" w:hAnsi="Times New Roman" w:cs="Times New Roman"/>
          <w:bCs/>
          <w:sz w:val="28"/>
          <w:lang w:eastAsia="es-CO"/>
        </w:rPr>
        <w:t xml:space="preserve">es compatible directamente con la competencia asignada al Congreso de la República en el artículo 150.16 de la Constitución, según el cual a dicha </w:t>
      </w:r>
      <w:r w:rsidRPr="00E00F43">
        <w:rPr>
          <w:rFonts w:ascii="Times New Roman" w:hAnsi="Times New Roman" w:cs="Times New Roman"/>
          <w:bCs/>
          <w:sz w:val="28"/>
          <w:lang w:eastAsia="es-CO"/>
        </w:rPr>
        <w:t>C</w:t>
      </w:r>
      <w:r w:rsidRPr="00E00F43">
        <w:rPr>
          <w:rFonts w:ascii="Times New Roman" w:hAnsi="Times New Roman" w:cs="Times New Roman"/>
          <w:bCs/>
          <w:sz w:val="28"/>
          <w:lang w:eastAsia="es-CO"/>
        </w:rPr>
        <w:t>orporación le corresponderá “aprobar o improbar los tr</w:t>
      </w:r>
      <w:r w:rsidRPr="00E00F43">
        <w:rPr>
          <w:rFonts w:ascii="Times New Roman" w:hAnsi="Times New Roman" w:cs="Times New Roman"/>
          <w:bCs/>
          <w:sz w:val="28"/>
          <w:lang w:eastAsia="es-CO"/>
        </w:rPr>
        <w:t xml:space="preserve">atados que el </w:t>
      </w:r>
      <w:r w:rsidRPr="00E00F43">
        <w:rPr>
          <w:rFonts w:ascii="Times New Roman" w:hAnsi="Times New Roman" w:cs="Times New Roman"/>
          <w:bCs/>
          <w:sz w:val="28"/>
          <w:lang w:eastAsia="es-CO"/>
        </w:rPr>
        <w:t>Gobierno</w:t>
      </w:r>
      <w:r w:rsidRPr="00E00F43">
        <w:rPr>
          <w:rFonts w:ascii="Times New Roman" w:hAnsi="Times New Roman" w:cs="Times New Roman"/>
          <w:bCs/>
          <w:sz w:val="28"/>
          <w:lang w:eastAsia="es-CO"/>
        </w:rPr>
        <w:t xml:space="preserve"> celebre con otros Estados o con entidades de derecho internacional”. Función que fue ejercida válidamente en este caso, en el que el </w:t>
      </w:r>
      <w:r w:rsidRPr="00E00F43">
        <w:rPr>
          <w:rFonts w:ascii="Times New Roman" w:hAnsi="Times New Roman" w:cs="Times New Roman"/>
          <w:bCs/>
          <w:sz w:val="28"/>
          <w:lang w:eastAsia="es-CO"/>
        </w:rPr>
        <w:t>A</w:t>
      </w:r>
      <w:r w:rsidRPr="00E00F43">
        <w:rPr>
          <w:rFonts w:ascii="Times New Roman" w:hAnsi="Times New Roman" w:cs="Times New Roman"/>
          <w:bCs/>
          <w:sz w:val="28"/>
          <w:lang w:eastAsia="es-CO"/>
        </w:rPr>
        <w:t xml:space="preserve">cuerdo de 1958, Revisión 3, fue aprobado sin modificación alguna sobre su articulado. </w:t>
      </w:r>
    </w:p>
    <w:p w:rsidR="00D8342E" w:rsidRPr="00E00F43" w:rsidRDefault="00E00F43" w:rsidP="001E11D7">
      <w:pPr>
        <w:pStyle w:val="Ttulo"/>
        <w:numPr>
          <w:ilvl w:val="0"/>
          <w:numId w:val="0"/>
        </w:numPr>
        <w:rPr>
          <w:rFonts w:ascii="Times New Roman" w:hAnsi="Times New Roman" w:cs="Times New Roman"/>
          <w:bCs/>
          <w:sz w:val="28"/>
          <w:lang w:eastAsia="es-CO"/>
        </w:rPr>
      </w:pPr>
    </w:p>
    <w:p w:rsidR="008D6CD8" w:rsidRPr="00E00F43" w:rsidRDefault="00E00F43" w:rsidP="001E11D7">
      <w:pPr>
        <w:pStyle w:val="Ttulo"/>
        <w:rPr>
          <w:rFonts w:ascii="Times New Roman" w:hAnsi="Times New Roman" w:cs="Times New Roman"/>
          <w:bCs/>
          <w:sz w:val="28"/>
          <w:lang w:eastAsia="es-CO"/>
        </w:rPr>
      </w:pPr>
      <w:r w:rsidRPr="00E00F43">
        <w:rPr>
          <w:rFonts w:ascii="Times New Roman" w:hAnsi="Times New Roman" w:cs="Times New Roman"/>
          <w:bCs/>
          <w:sz w:val="28"/>
          <w:lang w:eastAsia="es-CO"/>
        </w:rPr>
        <w:t xml:space="preserve"> El segundo</w:t>
      </w:r>
      <w:r w:rsidRPr="00E00F43">
        <w:rPr>
          <w:rFonts w:ascii="Times New Roman" w:hAnsi="Times New Roman" w:cs="Times New Roman"/>
          <w:bCs/>
          <w:sz w:val="28"/>
          <w:lang w:eastAsia="es-CO"/>
        </w:rPr>
        <w:t xml:space="preserve"> </w:t>
      </w:r>
      <w:r w:rsidRPr="00E00F43">
        <w:rPr>
          <w:rFonts w:ascii="Times New Roman" w:hAnsi="Times New Roman" w:cs="Times New Roman"/>
          <w:bCs/>
          <w:sz w:val="28"/>
          <w:lang w:eastAsia="es-CO"/>
        </w:rPr>
        <w:t>es igualmente constitucional, pues reitera la subregla jurisprudencial</w:t>
      </w:r>
      <w:r w:rsidRPr="00E00F43">
        <w:rPr>
          <w:rFonts w:ascii="Times New Roman" w:hAnsi="Times New Roman" w:cs="Times New Roman"/>
          <w:bCs/>
          <w:sz w:val="28"/>
          <w:lang w:eastAsia="es-CO"/>
        </w:rPr>
        <w:t xml:space="preserve"> pacífica de esta Corte, según la cual </w:t>
      </w:r>
      <w:r w:rsidRPr="00E00F43">
        <w:rPr>
          <w:rFonts w:ascii="Times New Roman" w:hAnsi="Times New Roman" w:cs="Times New Roman"/>
          <w:bCs/>
          <w:sz w:val="28"/>
          <w:lang w:eastAsia="es-CO"/>
        </w:rPr>
        <w:t>“la ley rige desde el momento en que se perfeccione el vínculo internacional respectivo, precisión que responde a lo dispuesto en general por el d</w:t>
      </w:r>
      <w:r w:rsidRPr="00E00F43">
        <w:rPr>
          <w:rFonts w:ascii="Times New Roman" w:hAnsi="Times New Roman" w:cs="Times New Roman"/>
          <w:bCs/>
          <w:sz w:val="28"/>
          <w:lang w:eastAsia="es-CO"/>
        </w:rPr>
        <w:t>erecho internacional y la Constitución en materia de leyes aprobatorias de tratados internacionales”</w:t>
      </w:r>
      <w:r w:rsidRPr="00E00F43">
        <w:rPr>
          <w:rStyle w:val="Refdenotaalpie"/>
          <w:rFonts w:ascii="Times New Roman" w:hAnsi="Times New Roman"/>
          <w:bCs/>
          <w:sz w:val="28"/>
          <w:lang w:eastAsia="es-CO"/>
        </w:rPr>
        <w:footnoteReference w:id="95"/>
      </w:r>
      <w:r w:rsidRPr="00E00F43">
        <w:rPr>
          <w:rFonts w:ascii="Times New Roman" w:hAnsi="Times New Roman" w:cs="Times New Roman"/>
          <w:bCs/>
          <w:sz w:val="28"/>
          <w:lang w:eastAsia="es-CO"/>
        </w:rPr>
        <w:t>;</w:t>
      </w:r>
      <w:r w:rsidRPr="00E00F43">
        <w:rPr>
          <w:rFonts w:ascii="Times New Roman" w:hAnsi="Times New Roman" w:cs="Times New Roman"/>
          <w:bCs/>
          <w:sz w:val="28"/>
          <w:lang w:eastAsia="es-CO"/>
        </w:rPr>
        <w:t xml:space="preserve"> sobre todo en concordancia con el artículo 1 de la Ley 7ª de 1944 –citado</w:t>
      </w:r>
      <w:r w:rsidRPr="00E00F43">
        <w:rPr>
          <w:rFonts w:ascii="Times New Roman" w:hAnsi="Times New Roman" w:cs="Times New Roman"/>
          <w:bCs/>
          <w:sz w:val="28"/>
          <w:lang w:eastAsia="es-CO"/>
        </w:rPr>
        <w:t xml:space="preserve"> justamente en la norma </w:t>
      </w:r>
      <w:r w:rsidRPr="00E00F43">
        <w:rPr>
          <w:rFonts w:ascii="Times New Roman" w:hAnsi="Times New Roman" w:cs="Times New Roman"/>
          <w:bCs/>
          <w:sz w:val="28"/>
          <w:lang w:eastAsia="es-CO"/>
        </w:rPr>
        <w:t>objeto de revisión– y con los mecanismos de perfeccionam</w:t>
      </w:r>
      <w:r w:rsidRPr="00E00F43">
        <w:rPr>
          <w:rFonts w:ascii="Times New Roman" w:hAnsi="Times New Roman" w:cs="Times New Roman"/>
          <w:bCs/>
          <w:sz w:val="28"/>
          <w:lang w:eastAsia="es-CO"/>
        </w:rPr>
        <w:t xml:space="preserve">iento del consentimiento internacional previstos en la Parte II de la Convención de Viena sobre el Derecho de los Tratados, siendo la ratificación uno de ellos. </w:t>
      </w:r>
    </w:p>
    <w:p w:rsidR="00EC0B5E" w:rsidRPr="00E00F43" w:rsidRDefault="00E00F43" w:rsidP="001E11D7">
      <w:pPr>
        <w:pStyle w:val="Ttulo"/>
        <w:numPr>
          <w:ilvl w:val="0"/>
          <w:numId w:val="0"/>
        </w:numPr>
        <w:rPr>
          <w:rFonts w:ascii="Times New Roman" w:hAnsi="Times New Roman" w:cs="Times New Roman"/>
          <w:bCs/>
          <w:sz w:val="28"/>
          <w:lang w:eastAsia="es-CO"/>
        </w:rPr>
      </w:pPr>
    </w:p>
    <w:p w:rsidR="00B42614" w:rsidRPr="00E00F43" w:rsidRDefault="00E00F43" w:rsidP="001E11D7">
      <w:pPr>
        <w:pStyle w:val="Ttulo"/>
        <w:rPr>
          <w:rFonts w:ascii="Times New Roman" w:hAnsi="Times New Roman" w:cs="Times New Roman"/>
          <w:bCs/>
          <w:sz w:val="28"/>
          <w:lang w:eastAsia="es-CO"/>
        </w:rPr>
      </w:pPr>
      <w:r w:rsidRPr="00E00F43">
        <w:rPr>
          <w:rFonts w:ascii="Times New Roman" w:hAnsi="Times New Roman" w:cs="Times New Roman"/>
          <w:bCs/>
          <w:sz w:val="28"/>
          <w:lang w:eastAsia="es-CO"/>
        </w:rPr>
        <w:t>Por su parte, el tercer artículo</w:t>
      </w:r>
      <w:r w:rsidRPr="00E00F43">
        <w:rPr>
          <w:rFonts w:ascii="Times New Roman" w:hAnsi="Times New Roman" w:cs="Times New Roman"/>
          <w:bCs/>
          <w:sz w:val="28"/>
          <w:lang w:eastAsia="es-CO"/>
        </w:rPr>
        <w:t xml:space="preserve"> es</w:t>
      </w:r>
      <w:r w:rsidRPr="00E00F43">
        <w:rPr>
          <w:rFonts w:ascii="Times New Roman" w:hAnsi="Times New Roman" w:cs="Times New Roman"/>
          <w:bCs/>
          <w:sz w:val="28"/>
          <w:lang w:eastAsia="es-CO"/>
        </w:rPr>
        <w:t xml:space="preserve"> acor</w:t>
      </w:r>
      <w:r w:rsidRPr="00E00F43">
        <w:rPr>
          <w:rFonts w:ascii="Times New Roman" w:hAnsi="Times New Roman" w:cs="Times New Roman"/>
          <w:bCs/>
          <w:sz w:val="28"/>
          <w:lang w:eastAsia="es-CO"/>
        </w:rPr>
        <w:t>d</w:t>
      </w:r>
      <w:r w:rsidRPr="00E00F43">
        <w:rPr>
          <w:rFonts w:ascii="Times New Roman" w:hAnsi="Times New Roman" w:cs="Times New Roman"/>
          <w:bCs/>
          <w:sz w:val="28"/>
          <w:lang w:eastAsia="es-CO"/>
        </w:rPr>
        <w:t>e</w:t>
      </w:r>
      <w:r w:rsidRPr="00E00F43">
        <w:rPr>
          <w:rFonts w:ascii="Times New Roman" w:hAnsi="Times New Roman" w:cs="Times New Roman"/>
          <w:bCs/>
          <w:sz w:val="28"/>
          <w:lang w:eastAsia="es-CO"/>
        </w:rPr>
        <w:t xml:space="preserve"> con los principios de vigencia de la ley en el tiempo, cuyos efectos serán por regla general hacia el futuro. </w:t>
      </w:r>
      <w:r w:rsidRPr="00E00F43">
        <w:rPr>
          <w:rFonts w:ascii="Times New Roman" w:hAnsi="Times New Roman" w:cs="Times New Roman"/>
          <w:bCs/>
          <w:sz w:val="28"/>
          <w:lang w:eastAsia="es-CO"/>
        </w:rPr>
        <w:t>Este mandato</w:t>
      </w:r>
      <w:r w:rsidRPr="00E00F43">
        <w:rPr>
          <w:rFonts w:ascii="Times New Roman" w:hAnsi="Times New Roman" w:cs="Times New Roman"/>
          <w:bCs/>
          <w:sz w:val="28"/>
          <w:lang w:eastAsia="es-CO"/>
        </w:rPr>
        <w:t xml:space="preserve">, ha dicho la Corte, se ve reflejado por ejemplo en el artículo 58 </w:t>
      </w:r>
      <w:r w:rsidRPr="00E00F43">
        <w:rPr>
          <w:rFonts w:ascii="Times New Roman" w:hAnsi="Times New Roman" w:cs="Times New Roman"/>
          <w:bCs/>
          <w:sz w:val="28"/>
          <w:lang w:eastAsia="es-CO"/>
        </w:rPr>
        <w:t>superior</w:t>
      </w:r>
      <w:r w:rsidRPr="00E00F43">
        <w:rPr>
          <w:rFonts w:ascii="Times New Roman" w:hAnsi="Times New Roman" w:cs="Times New Roman"/>
          <w:bCs/>
          <w:sz w:val="28"/>
          <w:lang w:eastAsia="es-CO"/>
        </w:rPr>
        <w:t>, en el que se contempla la irretroactividad de la ley</w:t>
      </w:r>
      <w:r w:rsidRPr="00E00F43">
        <w:rPr>
          <w:rFonts w:ascii="Times New Roman" w:hAnsi="Times New Roman" w:cs="Times New Roman"/>
          <w:bCs/>
          <w:sz w:val="28"/>
          <w:lang w:eastAsia="es-CO"/>
        </w:rPr>
        <w:t xml:space="preserve"> com</w:t>
      </w:r>
      <w:r w:rsidRPr="00E00F43">
        <w:rPr>
          <w:rFonts w:ascii="Times New Roman" w:hAnsi="Times New Roman" w:cs="Times New Roman"/>
          <w:bCs/>
          <w:sz w:val="28"/>
          <w:lang w:eastAsia="es-CO"/>
        </w:rPr>
        <w:t>o una garantía de estabilidad de los derechos de las personas; de ahí que la fórmula utilizada por la ley bajo estudio sea plenamente compatible con los contenidos de la Constitución Política</w:t>
      </w:r>
      <w:r w:rsidRPr="00E00F43">
        <w:rPr>
          <w:rStyle w:val="Refdenotaalpie"/>
          <w:rFonts w:ascii="Times New Roman" w:hAnsi="Times New Roman"/>
          <w:bCs/>
          <w:sz w:val="28"/>
          <w:lang w:eastAsia="es-CO"/>
        </w:rPr>
        <w:footnoteReference w:id="96"/>
      </w:r>
      <w:r w:rsidRPr="00E00F43">
        <w:rPr>
          <w:rFonts w:ascii="Times New Roman" w:hAnsi="Times New Roman" w:cs="Times New Roman"/>
          <w:bCs/>
          <w:sz w:val="28"/>
          <w:lang w:eastAsia="es-CO"/>
        </w:rPr>
        <w:t>.</w:t>
      </w:r>
    </w:p>
    <w:p w:rsidR="003D140F" w:rsidRPr="00E00F43" w:rsidRDefault="00E00F43" w:rsidP="001E11D7">
      <w:pPr>
        <w:pStyle w:val="Ttulo"/>
        <w:numPr>
          <w:ilvl w:val="0"/>
          <w:numId w:val="0"/>
        </w:numPr>
        <w:rPr>
          <w:rFonts w:ascii="Times New Roman" w:hAnsi="Times New Roman" w:cs="Times New Roman"/>
          <w:bCs/>
          <w:sz w:val="28"/>
          <w:lang w:eastAsia="es-CO"/>
        </w:rPr>
      </w:pPr>
    </w:p>
    <w:p w:rsidR="00B42614" w:rsidRPr="00E00F43" w:rsidRDefault="00E00F43" w:rsidP="001E11D7">
      <w:pPr>
        <w:pStyle w:val="Ttulo"/>
        <w:rPr>
          <w:rFonts w:ascii="Times New Roman" w:hAnsi="Times New Roman" w:cs="Times New Roman"/>
          <w:bCs/>
          <w:sz w:val="28"/>
          <w:lang w:eastAsia="es-CO"/>
        </w:rPr>
      </w:pPr>
      <w:r w:rsidRPr="00E00F43">
        <w:rPr>
          <w:rFonts w:ascii="Times New Roman" w:hAnsi="Times New Roman" w:cs="Times New Roman"/>
          <w:bCs/>
          <w:sz w:val="28"/>
          <w:lang w:eastAsia="es-CO"/>
        </w:rPr>
        <w:t>Con base en estas consideraciones, la Corte declarará exequib</w:t>
      </w:r>
      <w:r w:rsidRPr="00E00F43">
        <w:rPr>
          <w:rFonts w:ascii="Times New Roman" w:hAnsi="Times New Roman" w:cs="Times New Roman"/>
          <w:bCs/>
          <w:sz w:val="28"/>
          <w:lang w:eastAsia="es-CO"/>
        </w:rPr>
        <w:t xml:space="preserve">le la integralidad de la Ley 2290 de 2023. </w:t>
      </w:r>
    </w:p>
    <w:p w:rsidR="00B42614" w:rsidRPr="00E00F43" w:rsidRDefault="00E00F43" w:rsidP="00B42614">
      <w:pPr>
        <w:pStyle w:val="Prrafodelista"/>
        <w:tabs>
          <w:tab w:val="left" w:pos="426"/>
        </w:tabs>
        <w:ind w:left="0"/>
        <w:rPr>
          <w:rFonts w:ascii="Times New Roman" w:hAnsi="Times New Roman" w:cs="Times New Roman"/>
          <w:b/>
          <w:bCs/>
          <w:sz w:val="28"/>
          <w:szCs w:val="24"/>
          <w:lang w:val="es-ES" w:eastAsia="es-CO"/>
        </w:rPr>
      </w:pPr>
    </w:p>
    <w:p w:rsidR="00561848" w:rsidRPr="00E00F43" w:rsidRDefault="00E00F43">
      <w:pPr>
        <w:pStyle w:val="Prrafodelista"/>
        <w:numPr>
          <w:ilvl w:val="0"/>
          <w:numId w:val="7"/>
        </w:numPr>
        <w:tabs>
          <w:tab w:val="left" w:pos="426"/>
        </w:tabs>
        <w:ind w:left="0" w:firstLine="0"/>
        <w:rPr>
          <w:rFonts w:ascii="Times New Roman" w:hAnsi="Times New Roman" w:cs="Times New Roman"/>
          <w:b/>
          <w:bCs/>
          <w:sz w:val="28"/>
          <w:szCs w:val="24"/>
          <w:lang w:val="es-ES" w:eastAsia="es-CO"/>
        </w:rPr>
      </w:pPr>
      <w:r w:rsidRPr="00E00F43">
        <w:rPr>
          <w:rFonts w:ascii="Times New Roman" w:hAnsi="Times New Roman" w:cs="Times New Roman"/>
          <w:b/>
          <w:bCs/>
          <w:sz w:val="28"/>
          <w:szCs w:val="24"/>
          <w:lang w:val="es-ES" w:eastAsia="es-CO"/>
        </w:rPr>
        <w:t>Conclusión</w:t>
      </w:r>
    </w:p>
    <w:p w:rsidR="00561848" w:rsidRPr="00E00F43" w:rsidRDefault="00E00F43" w:rsidP="00561848">
      <w:pPr>
        <w:pStyle w:val="Prrafodelista"/>
        <w:tabs>
          <w:tab w:val="left" w:pos="426"/>
        </w:tabs>
        <w:ind w:left="0"/>
        <w:rPr>
          <w:rFonts w:ascii="Times New Roman" w:hAnsi="Times New Roman" w:cs="Times New Roman"/>
          <w:bCs/>
          <w:sz w:val="28"/>
          <w:szCs w:val="24"/>
          <w:lang w:val="es-ES" w:eastAsia="es-CO"/>
        </w:rPr>
      </w:pPr>
    </w:p>
    <w:p w:rsidR="00561848"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La Corte Constitucional concluye que el Acuerdo Relativo a la Adopción de Reglamentos Técnicos Armonizados de las Naciones Unidas aplicables a los vehículos de ruedas y los equipos y piezas que puedan montarse o utilizarse en estos, y sobre las condiciones</w:t>
      </w:r>
      <w:r w:rsidRPr="00E00F43">
        <w:rPr>
          <w:rFonts w:ascii="Times New Roman" w:hAnsi="Times New Roman" w:cs="Times New Roman"/>
          <w:sz w:val="28"/>
        </w:rPr>
        <w:t xml:space="preserve"> de reconocimiento recíproco de las homologaciones concedidas conforme a dichos reglamentos de las Naciones Unidas, y su ley aprobatoria, Ley 2290 de 2023, son compatibles con la Constitución Política desde el punto de vista formal y material. En especial,</w:t>
      </w:r>
      <w:r w:rsidRPr="00E00F43">
        <w:rPr>
          <w:rFonts w:ascii="Times New Roman" w:hAnsi="Times New Roman" w:cs="Times New Roman"/>
          <w:sz w:val="28"/>
        </w:rPr>
        <w:t xml:space="preserve"> porque se trata de disposiciones que son concordantes con los mandatos de integración económica e internacionalización de las relaciones políticas, económicas y sociales del Estado, con respeto de los principios de equidad, reciprocidad y conveniencia nac</w:t>
      </w:r>
      <w:r w:rsidRPr="00E00F43">
        <w:rPr>
          <w:rFonts w:ascii="Times New Roman" w:hAnsi="Times New Roman" w:cs="Times New Roman"/>
          <w:sz w:val="28"/>
        </w:rPr>
        <w:t xml:space="preserve">ional; y persiguen fines que son especialmente protegidos por nuestra Constitución, como lo es la protección de la vida, la seguridad personal y </w:t>
      </w:r>
      <w:r w:rsidRPr="00E00F43">
        <w:rPr>
          <w:rFonts w:ascii="Times New Roman" w:hAnsi="Times New Roman" w:cs="Times New Roman"/>
          <w:sz w:val="28"/>
        </w:rPr>
        <w:t xml:space="preserve">el </w:t>
      </w:r>
      <w:r w:rsidRPr="00E00F43">
        <w:rPr>
          <w:rFonts w:ascii="Times New Roman" w:hAnsi="Times New Roman" w:cs="Times New Roman"/>
          <w:sz w:val="28"/>
        </w:rPr>
        <w:t>medio ambiente.</w:t>
      </w:r>
    </w:p>
    <w:p w:rsidR="00561848" w:rsidRPr="00E00F43" w:rsidRDefault="00E00F43" w:rsidP="001E11D7">
      <w:pPr>
        <w:pStyle w:val="Ttulo"/>
        <w:numPr>
          <w:ilvl w:val="0"/>
          <w:numId w:val="0"/>
        </w:numPr>
        <w:rPr>
          <w:rFonts w:ascii="Times New Roman" w:hAnsi="Times New Roman" w:cs="Times New Roman"/>
          <w:sz w:val="28"/>
          <w:lang w:eastAsia="es-CO"/>
        </w:rPr>
      </w:pPr>
    </w:p>
    <w:p w:rsidR="00B3534A"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sz w:val="28"/>
        </w:rPr>
        <w:t xml:space="preserve">Sin embargo, las normas relacionadas con el trámite y alcance de las modificaciones al </w:t>
      </w:r>
      <w:r w:rsidRPr="00E00F43">
        <w:rPr>
          <w:rFonts w:ascii="Times New Roman" w:hAnsi="Times New Roman" w:cs="Times New Roman"/>
          <w:sz w:val="28"/>
        </w:rPr>
        <w:t>A</w:t>
      </w:r>
      <w:r w:rsidRPr="00E00F43">
        <w:rPr>
          <w:rFonts w:ascii="Times New Roman" w:hAnsi="Times New Roman" w:cs="Times New Roman"/>
          <w:sz w:val="28"/>
        </w:rPr>
        <w:t>cuerdo o a los reglamentos ONU contenidas en el instrumento internacional (</w:t>
      </w:r>
      <w:r w:rsidRPr="00E00F43">
        <w:rPr>
          <w:rFonts w:ascii="Times New Roman" w:hAnsi="Times New Roman" w:cs="Times New Roman"/>
          <w:sz w:val="28"/>
        </w:rPr>
        <w:t xml:space="preserve">artículos </w:t>
      </w:r>
      <w:r w:rsidRPr="00E00F43">
        <w:rPr>
          <w:rFonts w:ascii="Times New Roman" w:eastAsia="SimSun" w:hAnsi="Times New Roman" w:cs="Times New Roman"/>
          <w:sz w:val="28"/>
          <w:lang w:eastAsia="zh-CN"/>
        </w:rPr>
        <w:t>1, 12, 13, 13bis y 15, así como del apéndice y el anexo 6</w:t>
      </w:r>
      <w:r w:rsidRPr="00E00F43">
        <w:rPr>
          <w:rFonts w:ascii="Times New Roman" w:eastAsia="SimSun" w:hAnsi="Times New Roman" w:cs="Times New Roman"/>
          <w:sz w:val="28"/>
          <w:lang w:eastAsia="zh-CN"/>
        </w:rPr>
        <w:t>)</w:t>
      </w:r>
      <w:r w:rsidRPr="00E00F43">
        <w:rPr>
          <w:rFonts w:ascii="Times New Roman" w:hAnsi="Times New Roman" w:cs="Times New Roman"/>
          <w:sz w:val="28"/>
        </w:rPr>
        <w:t xml:space="preserve"> deben entenderse en el sentido de que la modificación de cualquiera de las estipulaciones del </w:t>
      </w:r>
      <w:r w:rsidRPr="00E00F43">
        <w:rPr>
          <w:rFonts w:ascii="Times New Roman" w:hAnsi="Times New Roman" w:cs="Times New Roman"/>
          <w:sz w:val="28"/>
        </w:rPr>
        <w:t>A</w:t>
      </w:r>
      <w:r w:rsidRPr="00E00F43">
        <w:rPr>
          <w:rFonts w:ascii="Times New Roman" w:hAnsi="Times New Roman" w:cs="Times New Roman"/>
          <w:sz w:val="28"/>
        </w:rPr>
        <w:t>cuerdo y de sus a</w:t>
      </w:r>
      <w:r w:rsidRPr="00E00F43">
        <w:rPr>
          <w:rFonts w:ascii="Times New Roman" w:hAnsi="Times New Roman" w:cs="Times New Roman"/>
          <w:sz w:val="28"/>
        </w:rPr>
        <w:t xml:space="preserve">nexos, que impliquen nuevas obligaciones para el Estado colombiano, requieren tanto de la aprobación por parte del Congreso como de la revisión previa de constitucionalidad de esta Corte, sentido en el cual el presidente de la </w:t>
      </w:r>
      <w:r w:rsidRPr="00E00F43">
        <w:rPr>
          <w:rFonts w:ascii="Times New Roman" w:hAnsi="Times New Roman" w:cs="Times New Roman"/>
          <w:sz w:val="28"/>
        </w:rPr>
        <w:t>R</w:t>
      </w:r>
      <w:r w:rsidRPr="00E00F43">
        <w:rPr>
          <w:rFonts w:ascii="Times New Roman" w:hAnsi="Times New Roman" w:cs="Times New Roman"/>
          <w:sz w:val="28"/>
        </w:rPr>
        <w:t>epública deberá hacer la res</w:t>
      </w:r>
      <w:r w:rsidRPr="00E00F43">
        <w:rPr>
          <w:rFonts w:ascii="Times New Roman" w:hAnsi="Times New Roman" w:cs="Times New Roman"/>
          <w:sz w:val="28"/>
        </w:rPr>
        <w:t>pectiva declaración interpretativa al ratificar los convenios</w:t>
      </w:r>
      <w:r w:rsidRPr="00E00F43">
        <w:rPr>
          <w:rStyle w:val="Refdenotaalpie"/>
          <w:rFonts w:ascii="Times New Roman" w:hAnsi="Times New Roman"/>
          <w:bCs/>
          <w:sz w:val="28"/>
        </w:rPr>
        <w:footnoteReference w:id="97"/>
      </w:r>
      <w:r w:rsidRPr="00E00F43">
        <w:rPr>
          <w:rFonts w:ascii="Times New Roman" w:hAnsi="Times New Roman" w:cs="Times New Roman"/>
          <w:sz w:val="28"/>
        </w:rPr>
        <w:t>.</w:t>
      </w:r>
    </w:p>
    <w:p w:rsidR="00AF5782" w:rsidRPr="00E00F43" w:rsidRDefault="00E00F43" w:rsidP="001E11D7">
      <w:pPr>
        <w:pStyle w:val="Ttulo"/>
        <w:numPr>
          <w:ilvl w:val="0"/>
          <w:numId w:val="0"/>
        </w:numPr>
        <w:rPr>
          <w:rFonts w:ascii="Times New Roman" w:hAnsi="Times New Roman" w:cs="Times New Roman"/>
          <w:sz w:val="28"/>
          <w:lang w:eastAsia="es-CO"/>
        </w:rPr>
      </w:pPr>
    </w:p>
    <w:p w:rsidR="00964991"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iCs/>
          <w:sz w:val="28"/>
        </w:rPr>
        <w:t>Ahora bien,</w:t>
      </w:r>
      <w:r w:rsidRPr="00E00F43">
        <w:rPr>
          <w:rFonts w:ascii="Times New Roman" w:hAnsi="Times New Roman" w:cs="Times New Roman"/>
          <w:iCs/>
          <w:sz w:val="28"/>
        </w:rPr>
        <w:t xml:space="preserve"> para la Sala es relevante no dejar de lado que si bien se ha decidido que esta declaración interpretativa se dirija tanto a las futuras modificaciones que se hagan frente (i) a </w:t>
      </w:r>
      <w:r w:rsidRPr="00E00F43">
        <w:rPr>
          <w:rFonts w:ascii="Times New Roman" w:hAnsi="Times New Roman" w:cs="Times New Roman"/>
          <w:iCs/>
          <w:sz w:val="28"/>
        </w:rPr>
        <w:t>lo</w:t>
      </w:r>
      <w:r w:rsidRPr="00E00F43">
        <w:rPr>
          <w:rFonts w:ascii="Times New Roman" w:hAnsi="Times New Roman" w:cs="Times New Roman"/>
          <w:iCs/>
          <w:sz w:val="28"/>
        </w:rPr>
        <w:t xml:space="preserve">s contenidos del </w:t>
      </w:r>
      <w:r w:rsidRPr="00E00F43">
        <w:rPr>
          <w:rFonts w:ascii="Times New Roman" w:hAnsi="Times New Roman" w:cs="Times New Roman"/>
          <w:iCs/>
          <w:sz w:val="28"/>
        </w:rPr>
        <w:t xml:space="preserve">tratado </w:t>
      </w:r>
      <w:r w:rsidRPr="00E00F43">
        <w:rPr>
          <w:rFonts w:ascii="Times New Roman" w:hAnsi="Times New Roman" w:cs="Times New Roman"/>
          <w:iCs/>
          <w:sz w:val="28"/>
        </w:rPr>
        <w:t xml:space="preserve">y su Apéndice como (ii) </w:t>
      </w:r>
      <w:r w:rsidRPr="00E00F43">
        <w:rPr>
          <w:rFonts w:ascii="Times New Roman" w:hAnsi="Times New Roman" w:cs="Times New Roman"/>
          <w:iCs/>
          <w:sz w:val="28"/>
        </w:rPr>
        <w:t>a</w:t>
      </w:r>
      <w:r w:rsidRPr="00E00F43">
        <w:rPr>
          <w:rFonts w:ascii="Times New Roman" w:hAnsi="Times New Roman" w:cs="Times New Roman"/>
          <w:iCs/>
          <w:sz w:val="28"/>
        </w:rPr>
        <w:t xml:space="preserve"> </w:t>
      </w:r>
      <w:r w:rsidRPr="00E00F43">
        <w:rPr>
          <w:rFonts w:ascii="Times New Roman" w:hAnsi="Times New Roman" w:cs="Times New Roman"/>
          <w:iCs/>
          <w:sz w:val="28"/>
        </w:rPr>
        <w:t>los Reglamentos de la ONU adoptados por el Comité de Administración</w:t>
      </w:r>
      <w:r w:rsidRPr="00E00F43">
        <w:rPr>
          <w:rFonts w:ascii="Times New Roman" w:hAnsi="Times New Roman" w:cs="Times New Roman"/>
          <w:iCs/>
          <w:sz w:val="28"/>
        </w:rPr>
        <w:t xml:space="preserve">, </w:t>
      </w:r>
      <w:r w:rsidRPr="00E00F43">
        <w:rPr>
          <w:rFonts w:ascii="Times New Roman" w:hAnsi="Times New Roman" w:cs="Times New Roman"/>
          <w:iCs/>
          <w:sz w:val="28"/>
        </w:rPr>
        <w:t xml:space="preserve">lo cierto es que la dimensión o trascendencia de la misma difiere </w:t>
      </w:r>
      <w:r w:rsidRPr="00E00F43">
        <w:rPr>
          <w:rFonts w:ascii="Times New Roman" w:hAnsi="Times New Roman" w:cs="Times New Roman"/>
          <w:iCs/>
          <w:sz w:val="28"/>
        </w:rPr>
        <w:t>en ambos casos</w:t>
      </w:r>
      <w:r w:rsidRPr="00E00F43">
        <w:rPr>
          <w:rFonts w:ascii="Times New Roman" w:hAnsi="Times New Roman" w:cs="Times New Roman"/>
          <w:iCs/>
          <w:sz w:val="28"/>
        </w:rPr>
        <w:t xml:space="preserve">. </w:t>
      </w:r>
      <w:r w:rsidRPr="00E00F43">
        <w:rPr>
          <w:rFonts w:ascii="Times New Roman" w:hAnsi="Times New Roman" w:cs="Times New Roman"/>
          <w:iCs/>
          <w:sz w:val="28"/>
        </w:rPr>
        <w:t>En el primero, es claro</w:t>
      </w:r>
      <w:r w:rsidRPr="00E00F43">
        <w:rPr>
          <w:rFonts w:ascii="Times New Roman" w:hAnsi="Times New Roman" w:cs="Times New Roman"/>
          <w:iCs/>
          <w:sz w:val="28"/>
        </w:rPr>
        <w:t xml:space="preserve"> que</w:t>
      </w:r>
      <w:r w:rsidRPr="00E00F43">
        <w:rPr>
          <w:rFonts w:ascii="Times New Roman" w:hAnsi="Times New Roman" w:cs="Times New Roman"/>
          <w:iCs/>
          <w:sz w:val="28"/>
        </w:rPr>
        <w:t xml:space="preserve"> la preservación de la volu</w:t>
      </w:r>
      <w:r w:rsidRPr="00E00F43">
        <w:rPr>
          <w:rFonts w:ascii="Times New Roman" w:hAnsi="Times New Roman" w:cs="Times New Roman"/>
          <w:iCs/>
          <w:sz w:val="28"/>
        </w:rPr>
        <w:t>ntad estatal y de las reglas de</w:t>
      </w:r>
      <w:r w:rsidRPr="00E00F43">
        <w:rPr>
          <w:rFonts w:ascii="Times New Roman" w:hAnsi="Times New Roman" w:cs="Times New Roman"/>
          <w:iCs/>
          <w:sz w:val="28"/>
        </w:rPr>
        <w:t>l</w:t>
      </w:r>
      <w:r w:rsidRPr="00E00F43">
        <w:rPr>
          <w:rFonts w:ascii="Times New Roman" w:hAnsi="Times New Roman" w:cs="Times New Roman"/>
          <w:iCs/>
          <w:sz w:val="28"/>
        </w:rPr>
        <w:t xml:space="preserve"> derecho interno contempladas</w:t>
      </w:r>
      <w:r w:rsidRPr="00E00F43">
        <w:rPr>
          <w:rFonts w:ascii="Times New Roman" w:hAnsi="Times New Roman" w:cs="Times New Roman"/>
          <w:iCs/>
          <w:sz w:val="28"/>
        </w:rPr>
        <w:t xml:space="preserve"> para su formalización es e</w:t>
      </w:r>
      <w:r w:rsidRPr="00E00F43">
        <w:rPr>
          <w:rFonts w:ascii="Times New Roman" w:hAnsi="Times New Roman" w:cs="Times New Roman"/>
          <w:i/>
          <w:sz w:val="28"/>
        </w:rPr>
        <w:t xml:space="preserve">specialmente </w:t>
      </w:r>
      <w:r w:rsidRPr="00E00F43">
        <w:rPr>
          <w:rFonts w:ascii="Times New Roman" w:hAnsi="Times New Roman" w:cs="Times New Roman"/>
          <w:i/>
          <w:sz w:val="28"/>
        </w:rPr>
        <w:t>rigurosa</w:t>
      </w:r>
      <w:r w:rsidRPr="00E00F43">
        <w:rPr>
          <w:rFonts w:ascii="Times New Roman" w:hAnsi="Times New Roman" w:cs="Times New Roman"/>
          <w:iCs/>
          <w:sz w:val="28"/>
        </w:rPr>
        <w:t>, de modo que</w:t>
      </w:r>
      <w:r w:rsidRPr="00E00F43">
        <w:rPr>
          <w:rFonts w:ascii="Times New Roman" w:hAnsi="Times New Roman" w:cs="Times New Roman"/>
          <w:iCs/>
          <w:sz w:val="28"/>
        </w:rPr>
        <w:t xml:space="preserve"> las enmiendas </w:t>
      </w:r>
      <w:r w:rsidRPr="00E00F43">
        <w:rPr>
          <w:rFonts w:ascii="Times New Roman" w:hAnsi="Times New Roman" w:cs="Times New Roman"/>
          <w:iCs/>
          <w:sz w:val="28"/>
        </w:rPr>
        <w:t xml:space="preserve">al articulado aprobado en el Congreso de la República y constitucionalmente analizado en esta providencia, que contemplen nuevas obligaciones para el Estado, </w:t>
      </w:r>
      <w:r w:rsidRPr="00E00F43">
        <w:rPr>
          <w:rFonts w:ascii="Times New Roman" w:hAnsi="Times New Roman" w:cs="Times New Roman"/>
          <w:iCs/>
          <w:sz w:val="28"/>
        </w:rPr>
        <w:t>necesariamente deben surtir el procedimiento de ratificación a la luz del ordenamiento colombiano.</w:t>
      </w:r>
      <w:r w:rsidRPr="00E00F43">
        <w:rPr>
          <w:rFonts w:ascii="Times New Roman" w:hAnsi="Times New Roman" w:cs="Times New Roman"/>
          <w:iCs/>
          <w:sz w:val="28"/>
        </w:rPr>
        <w:t xml:space="preserve"> </w:t>
      </w:r>
    </w:p>
    <w:p w:rsidR="00964991" w:rsidRPr="00E00F43" w:rsidRDefault="00E00F43" w:rsidP="001E11D7">
      <w:pPr>
        <w:pStyle w:val="Ttulo"/>
        <w:numPr>
          <w:ilvl w:val="0"/>
          <w:numId w:val="0"/>
        </w:numPr>
        <w:rPr>
          <w:rFonts w:ascii="Times New Roman" w:hAnsi="Times New Roman" w:cs="Times New Roman"/>
          <w:iCs/>
          <w:sz w:val="28"/>
        </w:rPr>
      </w:pPr>
    </w:p>
    <w:p w:rsidR="00F366B3"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iCs/>
          <w:sz w:val="28"/>
        </w:rPr>
        <w:t>Por su parte, e</w:t>
      </w:r>
      <w:r w:rsidRPr="00E00F43">
        <w:rPr>
          <w:rFonts w:ascii="Times New Roman" w:hAnsi="Times New Roman" w:cs="Times New Roman"/>
          <w:iCs/>
          <w:sz w:val="28"/>
        </w:rPr>
        <w:t>n e</w:t>
      </w:r>
      <w:r w:rsidRPr="00E00F43">
        <w:rPr>
          <w:rFonts w:ascii="Times New Roman" w:hAnsi="Times New Roman" w:cs="Times New Roman"/>
          <w:iCs/>
          <w:sz w:val="28"/>
        </w:rPr>
        <w:t>l caso de</w:t>
      </w:r>
      <w:r w:rsidRPr="00E00F43">
        <w:rPr>
          <w:rFonts w:ascii="Times New Roman" w:hAnsi="Times New Roman" w:cs="Times New Roman"/>
          <w:iCs/>
          <w:sz w:val="28"/>
        </w:rPr>
        <w:t xml:space="preserve"> las modificaciones y </w:t>
      </w:r>
      <w:r w:rsidRPr="00E00F43">
        <w:rPr>
          <w:rFonts w:ascii="Times New Roman" w:hAnsi="Times New Roman" w:cs="Times New Roman"/>
          <w:iCs/>
          <w:sz w:val="28"/>
        </w:rPr>
        <w:t>adopción</w:t>
      </w:r>
      <w:r w:rsidRPr="00E00F43">
        <w:rPr>
          <w:rFonts w:ascii="Times New Roman" w:hAnsi="Times New Roman" w:cs="Times New Roman"/>
          <w:iCs/>
          <w:sz w:val="28"/>
        </w:rPr>
        <w:t xml:space="preserve"> futura de los Reglamentos de la ONU, la declaración interpretativa parte de reconocer </w:t>
      </w:r>
      <w:r w:rsidRPr="00E00F43">
        <w:rPr>
          <w:rFonts w:ascii="Times New Roman" w:hAnsi="Times New Roman" w:cs="Times New Roman"/>
          <w:iCs/>
          <w:sz w:val="28"/>
        </w:rPr>
        <w:t>el carácter dinámico del sector automotriz</w:t>
      </w:r>
      <w:r w:rsidRPr="00E00F43">
        <w:rPr>
          <w:rFonts w:ascii="Times New Roman" w:hAnsi="Times New Roman" w:cs="Times New Roman"/>
          <w:iCs/>
          <w:sz w:val="28"/>
        </w:rPr>
        <w:t xml:space="preserve">, al cual responde la conformación del Comité de Administración al </w:t>
      </w:r>
      <w:r w:rsidRPr="00E00F43">
        <w:rPr>
          <w:rFonts w:ascii="Times New Roman" w:hAnsi="Times New Roman" w:cs="Times New Roman"/>
          <w:iCs/>
          <w:sz w:val="28"/>
        </w:rPr>
        <w:t xml:space="preserve">que se refiere el Acuerdo de 1958. La Corte, por </w:t>
      </w:r>
      <w:r w:rsidRPr="00E00F43">
        <w:rPr>
          <w:rFonts w:ascii="Times New Roman" w:hAnsi="Times New Roman" w:cs="Times New Roman"/>
          <w:iCs/>
          <w:sz w:val="28"/>
        </w:rPr>
        <w:t xml:space="preserve">lo </w:t>
      </w:r>
      <w:r w:rsidRPr="00E00F43">
        <w:rPr>
          <w:rFonts w:ascii="Times New Roman" w:hAnsi="Times New Roman" w:cs="Times New Roman"/>
          <w:iCs/>
          <w:sz w:val="28"/>
        </w:rPr>
        <w:t xml:space="preserve">tanto, es </w:t>
      </w:r>
      <w:r w:rsidRPr="00E00F43">
        <w:rPr>
          <w:rFonts w:ascii="Times New Roman" w:hAnsi="Times New Roman" w:cs="Times New Roman"/>
          <w:iCs/>
          <w:sz w:val="28"/>
        </w:rPr>
        <w:t xml:space="preserve">plenamente </w:t>
      </w:r>
      <w:r w:rsidRPr="00E00F43">
        <w:rPr>
          <w:rFonts w:ascii="Times New Roman" w:hAnsi="Times New Roman" w:cs="Times New Roman"/>
          <w:iCs/>
          <w:sz w:val="28"/>
        </w:rPr>
        <w:t>consciente de que</w:t>
      </w:r>
      <w:r w:rsidRPr="00E00F43">
        <w:rPr>
          <w:rFonts w:ascii="Times New Roman" w:hAnsi="Times New Roman" w:cs="Times New Roman"/>
          <w:iCs/>
          <w:sz w:val="28"/>
        </w:rPr>
        <w:t xml:space="preserve"> se trata de</w:t>
      </w:r>
      <w:r w:rsidRPr="00E00F43">
        <w:rPr>
          <w:rFonts w:ascii="Times New Roman" w:hAnsi="Times New Roman" w:cs="Times New Roman"/>
          <w:iCs/>
          <w:sz w:val="28"/>
        </w:rPr>
        <w:t xml:space="preserve"> la regulación</w:t>
      </w:r>
      <w:r w:rsidRPr="00E00F43">
        <w:rPr>
          <w:rFonts w:ascii="Times New Roman" w:hAnsi="Times New Roman" w:cs="Times New Roman"/>
          <w:iCs/>
          <w:sz w:val="28"/>
        </w:rPr>
        <w:t xml:space="preserve"> una industria </w:t>
      </w:r>
      <w:r w:rsidRPr="00E00F43">
        <w:rPr>
          <w:rFonts w:ascii="Times New Roman" w:hAnsi="Times New Roman" w:cs="Times New Roman"/>
          <w:iCs/>
          <w:sz w:val="28"/>
        </w:rPr>
        <w:t xml:space="preserve">que está </w:t>
      </w:r>
      <w:r w:rsidRPr="00E00F43">
        <w:rPr>
          <w:rFonts w:ascii="Times New Roman" w:hAnsi="Times New Roman" w:cs="Times New Roman"/>
          <w:iCs/>
          <w:sz w:val="28"/>
        </w:rPr>
        <w:t>en constante evolución</w:t>
      </w:r>
      <w:r w:rsidRPr="00E00F43">
        <w:rPr>
          <w:rFonts w:ascii="Times New Roman" w:hAnsi="Times New Roman" w:cs="Times New Roman"/>
          <w:iCs/>
          <w:sz w:val="28"/>
        </w:rPr>
        <w:t xml:space="preserve"> </w:t>
      </w:r>
      <w:r w:rsidRPr="00E00F43">
        <w:rPr>
          <w:rFonts w:ascii="Times New Roman" w:hAnsi="Times New Roman" w:cs="Times New Roman"/>
          <w:iCs/>
          <w:sz w:val="28"/>
        </w:rPr>
        <w:t xml:space="preserve">técnica y </w:t>
      </w:r>
      <w:r w:rsidRPr="00E00F43">
        <w:rPr>
          <w:rFonts w:ascii="Times New Roman" w:hAnsi="Times New Roman" w:cs="Times New Roman"/>
          <w:iCs/>
          <w:sz w:val="28"/>
        </w:rPr>
        <w:t>tecnológica</w:t>
      </w:r>
      <w:r w:rsidRPr="00E00F43">
        <w:rPr>
          <w:rFonts w:ascii="Times New Roman" w:hAnsi="Times New Roman" w:cs="Times New Roman"/>
          <w:iCs/>
          <w:sz w:val="28"/>
        </w:rPr>
        <w:t xml:space="preserve">, por lo que </w:t>
      </w:r>
      <w:r w:rsidRPr="00E00F43">
        <w:rPr>
          <w:rFonts w:ascii="Times New Roman" w:hAnsi="Times New Roman" w:cs="Times New Roman"/>
          <w:iCs/>
          <w:sz w:val="28"/>
        </w:rPr>
        <w:t xml:space="preserve">la exigencia de esta declaración </w:t>
      </w:r>
      <w:r w:rsidRPr="00E00F43">
        <w:rPr>
          <w:rFonts w:ascii="Times New Roman" w:hAnsi="Times New Roman" w:cs="Times New Roman"/>
          <w:iCs/>
          <w:sz w:val="28"/>
        </w:rPr>
        <w:t>d</w:t>
      </w:r>
      <w:r w:rsidRPr="00E00F43">
        <w:rPr>
          <w:rFonts w:ascii="Times New Roman" w:hAnsi="Times New Roman" w:cs="Times New Roman"/>
          <w:iCs/>
          <w:sz w:val="28"/>
        </w:rPr>
        <w:t>e ninguna manera bus</w:t>
      </w:r>
      <w:r w:rsidRPr="00E00F43">
        <w:rPr>
          <w:rFonts w:ascii="Times New Roman" w:hAnsi="Times New Roman" w:cs="Times New Roman"/>
          <w:iCs/>
          <w:sz w:val="28"/>
        </w:rPr>
        <w:t>ca</w:t>
      </w:r>
      <w:r w:rsidRPr="00E00F43">
        <w:rPr>
          <w:rFonts w:ascii="Times New Roman" w:hAnsi="Times New Roman" w:cs="Times New Roman"/>
          <w:iCs/>
          <w:sz w:val="28"/>
        </w:rPr>
        <w:t xml:space="preserve"> </w:t>
      </w:r>
      <w:r w:rsidRPr="00E00F43">
        <w:rPr>
          <w:rFonts w:ascii="Times New Roman" w:hAnsi="Times New Roman" w:cs="Times New Roman"/>
          <w:iCs/>
          <w:sz w:val="28"/>
        </w:rPr>
        <w:t>fo</w:t>
      </w:r>
      <w:r w:rsidRPr="00E00F43">
        <w:rPr>
          <w:rFonts w:ascii="Times New Roman" w:hAnsi="Times New Roman" w:cs="Times New Roman"/>
          <w:iCs/>
          <w:sz w:val="28"/>
        </w:rPr>
        <w:t>rjar un obstáculo</w:t>
      </w:r>
      <w:r w:rsidRPr="00E00F43">
        <w:rPr>
          <w:rFonts w:ascii="Times New Roman" w:hAnsi="Times New Roman" w:cs="Times New Roman"/>
          <w:iCs/>
          <w:sz w:val="28"/>
        </w:rPr>
        <w:t xml:space="preserve"> para </w:t>
      </w:r>
      <w:r w:rsidRPr="00E00F43">
        <w:rPr>
          <w:rFonts w:ascii="Times New Roman" w:hAnsi="Times New Roman" w:cs="Times New Roman"/>
          <w:iCs/>
          <w:sz w:val="28"/>
        </w:rPr>
        <w:t>la fijación de</w:t>
      </w:r>
      <w:r w:rsidRPr="00E00F43">
        <w:rPr>
          <w:rFonts w:ascii="Times New Roman" w:hAnsi="Times New Roman" w:cs="Times New Roman"/>
          <w:iCs/>
          <w:sz w:val="28"/>
        </w:rPr>
        <w:t xml:space="preserve"> las condiciones de seguridad y </w:t>
      </w:r>
      <w:r w:rsidRPr="00E00F43">
        <w:rPr>
          <w:rFonts w:ascii="Times New Roman" w:hAnsi="Times New Roman" w:cs="Times New Roman"/>
          <w:iCs/>
          <w:sz w:val="28"/>
        </w:rPr>
        <w:t xml:space="preserve">de </w:t>
      </w:r>
      <w:r w:rsidRPr="00E00F43">
        <w:rPr>
          <w:rFonts w:ascii="Times New Roman" w:hAnsi="Times New Roman" w:cs="Times New Roman"/>
          <w:iCs/>
          <w:sz w:val="28"/>
        </w:rPr>
        <w:t>funcionamiento de los vehículos</w:t>
      </w:r>
      <w:r w:rsidRPr="00E00F43">
        <w:rPr>
          <w:rFonts w:ascii="Times New Roman" w:hAnsi="Times New Roman" w:cs="Times New Roman"/>
          <w:iCs/>
          <w:sz w:val="28"/>
        </w:rPr>
        <w:t>, sus piezas y equipos</w:t>
      </w:r>
      <w:r w:rsidRPr="00E00F43">
        <w:rPr>
          <w:rFonts w:ascii="Times New Roman" w:hAnsi="Times New Roman" w:cs="Times New Roman"/>
          <w:iCs/>
          <w:sz w:val="28"/>
        </w:rPr>
        <w:t xml:space="preserve">. </w:t>
      </w:r>
    </w:p>
    <w:p w:rsidR="00F366B3" w:rsidRPr="00E00F43" w:rsidRDefault="00E00F43" w:rsidP="001E11D7">
      <w:pPr>
        <w:pStyle w:val="Ttulo"/>
        <w:numPr>
          <w:ilvl w:val="0"/>
          <w:numId w:val="0"/>
        </w:numPr>
        <w:rPr>
          <w:rFonts w:ascii="Times New Roman" w:hAnsi="Times New Roman" w:cs="Times New Roman"/>
          <w:iCs/>
          <w:sz w:val="28"/>
        </w:rPr>
      </w:pPr>
    </w:p>
    <w:p w:rsidR="00B3534A" w:rsidRPr="00E00F43" w:rsidRDefault="00E00F43" w:rsidP="001E11D7">
      <w:pPr>
        <w:pStyle w:val="Ttulo"/>
        <w:rPr>
          <w:rFonts w:ascii="Times New Roman" w:hAnsi="Times New Roman" w:cs="Times New Roman"/>
          <w:sz w:val="28"/>
          <w:lang w:eastAsia="es-CO"/>
        </w:rPr>
      </w:pPr>
      <w:r w:rsidRPr="00E00F43">
        <w:rPr>
          <w:rFonts w:ascii="Times New Roman" w:hAnsi="Times New Roman" w:cs="Times New Roman"/>
          <w:iCs/>
          <w:sz w:val="28"/>
        </w:rPr>
        <w:t>La importancia, entonces, de extender esta declaración interpretativa a la modificación o creación futura de los Reglamentos de</w:t>
      </w:r>
      <w:r w:rsidRPr="00E00F43">
        <w:rPr>
          <w:rFonts w:ascii="Times New Roman" w:hAnsi="Times New Roman" w:cs="Times New Roman"/>
          <w:iCs/>
          <w:sz w:val="28"/>
        </w:rPr>
        <w:t xml:space="preserve"> la ONU se funda en que, aunque se entiende que por regla general estos serán de carácter eminentemente técnico, luego del estudio que aquí se ha hecho no puede descartarse que, excepcionalmente, aquellos puedan impactar compromisos estatales asociados a l</w:t>
      </w:r>
      <w:r w:rsidRPr="00E00F43">
        <w:rPr>
          <w:rFonts w:ascii="Times New Roman" w:hAnsi="Times New Roman" w:cs="Times New Roman"/>
          <w:iCs/>
          <w:sz w:val="28"/>
        </w:rPr>
        <w:t xml:space="preserve">as finalidades constitucionales del </w:t>
      </w:r>
      <w:r w:rsidRPr="00E00F43">
        <w:rPr>
          <w:rFonts w:ascii="Times New Roman" w:hAnsi="Times New Roman" w:cs="Times New Roman"/>
          <w:iCs/>
          <w:sz w:val="28"/>
        </w:rPr>
        <w:t>A</w:t>
      </w:r>
      <w:r w:rsidRPr="00E00F43">
        <w:rPr>
          <w:rFonts w:ascii="Times New Roman" w:hAnsi="Times New Roman" w:cs="Times New Roman"/>
          <w:iCs/>
          <w:sz w:val="28"/>
        </w:rPr>
        <w:t xml:space="preserve">cuerdo, sobre todo en materias como la seguridad vial, la protección del medio ambiente, el comercio internacional, la transferencia de conocimiento, entre otros. En consecuencia, </w:t>
      </w:r>
      <w:r w:rsidRPr="00E00F43">
        <w:rPr>
          <w:rFonts w:ascii="Times New Roman" w:hAnsi="Times New Roman" w:cs="Times New Roman"/>
          <w:iCs/>
          <w:sz w:val="28"/>
        </w:rPr>
        <w:t>sólo</w:t>
      </w:r>
      <w:r w:rsidRPr="00E00F43">
        <w:rPr>
          <w:rFonts w:ascii="Times New Roman" w:hAnsi="Times New Roman" w:cs="Times New Roman"/>
          <w:iCs/>
          <w:sz w:val="28"/>
        </w:rPr>
        <w:t xml:space="preserve"> y específicamente</w:t>
      </w:r>
      <w:r w:rsidRPr="00E00F43">
        <w:rPr>
          <w:rFonts w:ascii="Times New Roman" w:hAnsi="Times New Roman" w:cs="Times New Roman"/>
          <w:iCs/>
          <w:sz w:val="28"/>
        </w:rPr>
        <w:t xml:space="preserve"> en caso de que </w:t>
      </w:r>
      <w:r w:rsidRPr="00E00F43">
        <w:rPr>
          <w:rFonts w:ascii="Times New Roman" w:hAnsi="Times New Roman" w:cs="Times New Roman"/>
          <w:iCs/>
          <w:sz w:val="28"/>
        </w:rPr>
        <w:t>ello</w:t>
      </w:r>
      <w:r w:rsidRPr="00E00F43">
        <w:rPr>
          <w:rFonts w:ascii="Times New Roman" w:hAnsi="Times New Roman" w:cs="Times New Roman"/>
          <w:iCs/>
          <w:sz w:val="28"/>
        </w:rPr>
        <w:t xml:space="preserve"> implique</w:t>
      </w:r>
      <w:r w:rsidRPr="00E00F43">
        <w:rPr>
          <w:rFonts w:ascii="Times New Roman" w:hAnsi="Times New Roman" w:cs="Times New Roman"/>
          <w:iCs/>
          <w:sz w:val="28"/>
        </w:rPr>
        <w:t xml:space="preserve">, </w:t>
      </w:r>
      <w:r w:rsidRPr="00E00F43">
        <w:rPr>
          <w:rFonts w:ascii="Times New Roman" w:hAnsi="Times New Roman" w:cs="Times New Roman"/>
          <w:i/>
          <w:sz w:val="28"/>
        </w:rPr>
        <w:t>en estricto sentido</w:t>
      </w:r>
      <w:r w:rsidRPr="00E00F43">
        <w:rPr>
          <w:rFonts w:ascii="Times New Roman" w:hAnsi="Times New Roman" w:cs="Times New Roman"/>
          <w:iCs/>
          <w:sz w:val="28"/>
        </w:rPr>
        <w:t>,</w:t>
      </w:r>
      <w:r w:rsidRPr="00E00F43">
        <w:rPr>
          <w:rFonts w:ascii="Times New Roman" w:hAnsi="Times New Roman" w:cs="Times New Roman"/>
          <w:iCs/>
          <w:sz w:val="28"/>
        </w:rPr>
        <w:t xml:space="preserve"> la </w:t>
      </w:r>
      <w:r w:rsidRPr="00E00F43">
        <w:rPr>
          <w:rFonts w:ascii="Times New Roman" w:hAnsi="Times New Roman" w:cs="Times New Roman"/>
          <w:iCs/>
          <w:sz w:val="28"/>
        </w:rPr>
        <w:t>implementación</w:t>
      </w:r>
      <w:r w:rsidRPr="00E00F43">
        <w:rPr>
          <w:rFonts w:ascii="Times New Roman" w:hAnsi="Times New Roman" w:cs="Times New Roman"/>
          <w:iCs/>
          <w:sz w:val="28"/>
        </w:rPr>
        <w:t xml:space="preserve"> de nuevas obligaciones internacionales para el Estado colombiano</w:t>
      </w:r>
      <w:r w:rsidRPr="00E00F43">
        <w:rPr>
          <w:rFonts w:ascii="Times New Roman" w:hAnsi="Times New Roman" w:cs="Times New Roman"/>
          <w:iCs/>
          <w:sz w:val="28"/>
        </w:rPr>
        <w:t xml:space="preserve">, </w:t>
      </w:r>
      <w:r w:rsidRPr="00E00F43">
        <w:rPr>
          <w:rFonts w:ascii="Times New Roman" w:hAnsi="Times New Roman" w:cs="Times New Roman"/>
          <w:iCs/>
          <w:sz w:val="28"/>
        </w:rPr>
        <w:t>es indispensable</w:t>
      </w:r>
      <w:r w:rsidRPr="00E00F43">
        <w:rPr>
          <w:rFonts w:ascii="Times New Roman" w:hAnsi="Times New Roman" w:cs="Times New Roman"/>
          <w:iCs/>
          <w:sz w:val="28"/>
        </w:rPr>
        <w:t xml:space="preserve"> advertir</w:t>
      </w:r>
      <w:r w:rsidRPr="00E00F43">
        <w:rPr>
          <w:rFonts w:ascii="Times New Roman" w:hAnsi="Times New Roman" w:cs="Times New Roman"/>
          <w:iCs/>
          <w:sz w:val="28"/>
        </w:rPr>
        <w:t xml:space="preserve"> </w:t>
      </w:r>
      <w:r w:rsidRPr="00E00F43">
        <w:rPr>
          <w:rFonts w:ascii="Times New Roman" w:hAnsi="Times New Roman" w:cs="Times New Roman"/>
          <w:iCs/>
          <w:sz w:val="28"/>
        </w:rPr>
        <w:t>la necesidad de agotar las reglas de derecho interno sobre aprobación y ratificación de tratados internacional</w:t>
      </w:r>
      <w:r w:rsidRPr="00E00F43">
        <w:rPr>
          <w:rFonts w:ascii="Times New Roman" w:hAnsi="Times New Roman" w:cs="Times New Roman"/>
          <w:iCs/>
          <w:sz w:val="28"/>
        </w:rPr>
        <w:t>es</w:t>
      </w:r>
      <w:r w:rsidRPr="00E00F43">
        <w:rPr>
          <w:rFonts w:ascii="Times New Roman" w:hAnsi="Times New Roman" w:cs="Times New Roman"/>
          <w:iCs/>
          <w:sz w:val="28"/>
        </w:rPr>
        <w:t xml:space="preserve">, de conformidad con </w:t>
      </w:r>
      <w:r w:rsidRPr="00E00F43">
        <w:rPr>
          <w:rFonts w:ascii="Times New Roman" w:eastAsia="SimSun" w:hAnsi="Times New Roman" w:cs="Times New Roman"/>
          <w:sz w:val="28"/>
          <w:lang w:eastAsia="zh-CN"/>
        </w:rPr>
        <w:t xml:space="preserve">los artículos 150 numeral 16 y 241 numeral 10 de la Constitución Política. </w:t>
      </w:r>
    </w:p>
    <w:p w:rsidR="00885CB4" w:rsidRPr="00E00F43" w:rsidRDefault="00E00F43" w:rsidP="00885CB4">
      <w:pPr>
        <w:pStyle w:val="Prrafodelista"/>
        <w:tabs>
          <w:tab w:val="left" w:pos="426"/>
        </w:tabs>
        <w:ind w:left="0"/>
        <w:rPr>
          <w:rFonts w:ascii="Times New Roman" w:hAnsi="Times New Roman" w:cs="Times New Roman"/>
          <w:bCs/>
          <w:sz w:val="28"/>
          <w:szCs w:val="24"/>
          <w:lang w:val="es-ES" w:eastAsia="es-CO"/>
        </w:rPr>
      </w:pPr>
    </w:p>
    <w:p w:rsidR="00B3534A" w:rsidRPr="00E00F43" w:rsidRDefault="00E00F43">
      <w:pPr>
        <w:pStyle w:val="Ttulo1"/>
        <w:numPr>
          <w:ilvl w:val="0"/>
          <w:numId w:val="7"/>
        </w:numPr>
        <w:ind w:left="0" w:firstLine="0"/>
        <w:rPr>
          <w:rFonts w:ascii="Times New Roman" w:hAnsi="Times New Roman" w:cs="Times New Roman"/>
          <w:color w:val="000000" w:themeColor="text1"/>
          <w:sz w:val="28"/>
          <w:bdr w:val="none" w:sz="0" w:space="0" w:color="auto" w:frame="1"/>
        </w:rPr>
      </w:pPr>
      <w:r w:rsidRPr="00E00F43">
        <w:rPr>
          <w:rFonts w:ascii="Times New Roman" w:hAnsi="Times New Roman" w:cs="Times New Roman"/>
          <w:color w:val="000000" w:themeColor="text1"/>
          <w:sz w:val="28"/>
          <w:bdr w:val="none" w:sz="0" w:space="0" w:color="auto" w:frame="1"/>
        </w:rPr>
        <w:t>DECISIÓN</w:t>
      </w:r>
    </w:p>
    <w:p w:rsidR="00B3534A" w:rsidRPr="00E00F43" w:rsidRDefault="00E00F43" w:rsidP="00B3534A">
      <w:pPr>
        <w:spacing w:after="0"/>
        <w:contextualSpacing/>
        <w:rPr>
          <w:rFonts w:ascii="Times New Roman" w:hAnsi="Times New Roman" w:cs="Times New Roman"/>
          <w:sz w:val="28"/>
          <w:szCs w:val="24"/>
          <w:lang w:val="es-ES" w:eastAsia="es-ES"/>
        </w:rPr>
      </w:pPr>
    </w:p>
    <w:p w:rsidR="00B3534A" w:rsidRPr="00E00F43" w:rsidRDefault="00E00F43" w:rsidP="00B3534A">
      <w:pPr>
        <w:spacing w:after="0"/>
        <w:contextualSpacing/>
        <w:rPr>
          <w:rFonts w:ascii="Times New Roman" w:hAnsi="Times New Roman" w:cs="Times New Roman"/>
          <w:sz w:val="28"/>
          <w:szCs w:val="24"/>
          <w:lang w:val="es-ES" w:eastAsia="es-ES"/>
        </w:rPr>
      </w:pPr>
      <w:r w:rsidRPr="00E00F43">
        <w:rPr>
          <w:rFonts w:ascii="Times New Roman" w:hAnsi="Times New Roman" w:cs="Times New Roman"/>
          <w:sz w:val="28"/>
          <w:szCs w:val="24"/>
          <w:lang w:val="es-ES" w:eastAsia="es-ES"/>
        </w:rPr>
        <w:t>En mérito de lo expuesto, la Corte Constitucional de la República de Colombia, administrando justicia en nombre del pueblo y por mandato de la Con</w:t>
      </w:r>
      <w:r w:rsidRPr="00E00F43">
        <w:rPr>
          <w:rFonts w:ascii="Times New Roman" w:hAnsi="Times New Roman" w:cs="Times New Roman"/>
          <w:sz w:val="28"/>
          <w:szCs w:val="24"/>
          <w:lang w:val="es-ES" w:eastAsia="es-ES"/>
        </w:rPr>
        <w:t>stitución Política,</w:t>
      </w:r>
    </w:p>
    <w:p w:rsidR="00B3534A" w:rsidRPr="00E00F43" w:rsidRDefault="00E00F43" w:rsidP="00B3534A">
      <w:pPr>
        <w:spacing w:after="0"/>
        <w:contextualSpacing/>
        <w:rPr>
          <w:rFonts w:ascii="Times New Roman" w:hAnsi="Times New Roman" w:cs="Times New Roman"/>
          <w:sz w:val="28"/>
          <w:szCs w:val="24"/>
          <w:lang w:val="es-ES" w:eastAsia="es-ES"/>
        </w:rPr>
      </w:pPr>
    </w:p>
    <w:p w:rsidR="00B3534A" w:rsidRPr="00E00F43" w:rsidRDefault="00E00F43" w:rsidP="00B3534A">
      <w:pPr>
        <w:spacing w:after="0"/>
        <w:contextualSpacing/>
        <w:jc w:val="center"/>
        <w:rPr>
          <w:rFonts w:ascii="Times New Roman" w:hAnsi="Times New Roman" w:cs="Times New Roman"/>
          <w:sz w:val="28"/>
          <w:szCs w:val="24"/>
          <w:lang w:val="es-ES" w:eastAsia="es-ES"/>
        </w:rPr>
      </w:pPr>
      <w:r w:rsidRPr="00E00F43">
        <w:rPr>
          <w:rFonts w:ascii="Times New Roman" w:hAnsi="Times New Roman" w:cs="Times New Roman"/>
          <w:b/>
          <w:sz w:val="28"/>
          <w:szCs w:val="24"/>
          <w:lang w:val="es-ES" w:eastAsia="es-ES"/>
        </w:rPr>
        <w:t>RESUELVE:</w:t>
      </w:r>
    </w:p>
    <w:p w:rsidR="00B3534A" w:rsidRPr="00E00F43" w:rsidRDefault="00E00F43" w:rsidP="00B3534A">
      <w:pPr>
        <w:spacing w:after="0"/>
        <w:contextualSpacing/>
        <w:rPr>
          <w:rFonts w:ascii="Times New Roman" w:hAnsi="Times New Roman" w:cs="Times New Roman"/>
          <w:sz w:val="28"/>
          <w:szCs w:val="24"/>
          <w:lang w:val="es-ES" w:eastAsia="es-ES"/>
        </w:rPr>
      </w:pPr>
    </w:p>
    <w:p w:rsidR="00B3534A" w:rsidRPr="00E00F43" w:rsidRDefault="00E00F43" w:rsidP="00B3534A">
      <w:pPr>
        <w:spacing w:after="0"/>
        <w:contextualSpacing/>
        <w:rPr>
          <w:rFonts w:ascii="Times New Roman" w:hAnsi="Times New Roman" w:cs="Times New Roman"/>
          <w:sz w:val="28"/>
          <w:szCs w:val="24"/>
          <w:lang w:eastAsia="es-ES"/>
        </w:rPr>
      </w:pPr>
      <w:r w:rsidRPr="00E00F43">
        <w:rPr>
          <w:rFonts w:ascii="Times New Roman" w:hAnsi="Times New Roman" w:cs="Times New Roman"/>
          <w:b/>
          <w:bCs/>
          <w:sz w:val="28"/>
          <w:szCs w:val="24"/>
          <w:lang w:val="es-ES_tradnl" w:eastAsia="es-ES"/>
        </w:rPr>
        <w:t xml:space="preserve">Primero. </w:t>
      </w:r>
      <w:r w:rsidRPr="00E00F43">
        <w:rPr>
          <w:rFonts w:ascii="Times New Roman" w:hAnsi="Times New Roman" w:cs="Times New Roman"/>
          <w:sz w:val="28"/>
          <w:szCs w:val="24"/>
          <w:lang w:eastAsia="es-ES"/>
        </w:rPr>
        <w:t>Declarar </w:t>
      </w:r>
      <w:r w:rsidRPr="00E00F43">
        <w:rPr>
          <w:rFonts w:ascii="Times New Roman" w:hAnsi="Times New Roman" w:cs="Times New Roman"/>
          <w:b/>
          <w:bCs/>
          <w:sz w:val="28"/>
          <w:szCs w:val="24"/>
          <w:lang w:eastAsia="es-ES"/>
        </w:rPr>
        <w:t>CONSTITUCIONAL </w:t>
      </w:r>
      <w:r w:rsidRPr="00E00F43">
        <w:rPr>
          <w:rFonts w:ascii="Times New Roman" w:hAnsi="Times New Roman" w:cs="Times New Roman"/>
          <w:sz w:val="28"/>
          <w:szCs w:val="24"/>
          <w:lang w:eastAsia="es-ES"/>
        </w:rPr>
        <w:t>el </w:t>
      </w:r>
      <w:r w:rsidRPr="00E00F43">
        <w:rPr>
          <w:rFonts w:ascii="Times New Roman" w:hAnsi="Times New Roman" w:cs="Times New Roman"/>
          <w:iCs/>
          <w:sz w:val="28"/>
          <w:szCs w:val="24"/>
          <w:lang w:eastAsia="es-ES"/>
        </w:rPr>
        <w:t xml:space="preserve">“Acuerdo Relativo a la Adopción de Reglamentos Técnicos Armonizados de las Naciones Unidas aplicables a los vehículos de ruedas y los equipos y piezas que puedan montarse o utilizarse en </w:t>
      </w:r>
      <w:r w:rsidRPr="00E00F43">
        <w:rPr>
          <w:rFonts w:ascii="Times New Roman" w:hAnsi="Times New Roman" w:cs="Times New Roman"/>
          <w:iCs/>
          <w:sz w:val="28"/>
          <w:szCs w:val="24"/>
          <w:lang w:eastAsia="es-ES"/>
        </w:rPr>
        <w:t>estos, y sobre las condiciones de reconocimiento recíproco de las homologaciones concedidas conforme a dichos reglamentos de las Naciones Unidas”</w:t>
      </w:r>
      <w:r w:rsidRPr="00E00F43">
        <w:rPr>
          <w:rFonts w:ascii="Times New Roman" w:hAnsi="Times New Roman" w:cs="Times New Roman"/>
          <w:sz w:val="28"/>
          <w:szCs w:val="24"/>
          <w:lang w:eastAsia="es-ES"/>
        </w:rPr>
        <w:t>.</w:t>
      </w:r>
    </w:p>
    <w:p w:rsidR="00B3534A" w:rsidRPr="00E00F43" w:rsidRDefault="00E00F43" w:rsidP="00B3534A">
      <w:pPr>
        <w:spacing w:after="0"/>
        <w:contextualSpacing/>
        <w:rPr>
          <w:rFonts w:ascii="Times New Roman" w:hAnsi="Times New Roman" w:cs="Times New Roman"/>
          <w:sz w:val="28"/>
          <w:szCs w:val="24"/>
          <w:lang w:eastAsia="es-ES"/>
        </w:rPr>
      </w:pPr>
      <w:r w:rsidRPr="00E00F43">
        <w:rPr>
          <w:rFonts w:ascii="Times New Roman" w:hAnsi="Times New Roman" w:cs="Times New Roman"/>
          <w:sz w:val="28"/>
          <w:szCs w:val="24"/>
          <w:lang w:eastAsia="es-ES"/>
        </w:rPr>
        <w:t> </w:t>
      </w:r>
    </w:p>
    <w:p w:rsidR="00B3534A" w:rsidRPr="00E00F43" w:rsidRDefault="00E00F43" w:rsidP="00B3534A">
      <w:pPr>
        <w:spacing w:after="0"/>
        <w:contextualSpacing/>
        <w:rPr>
          <w:rFonts w:ascii="Times New Roman" w:hAnsi="Times New Roman" w:cs="Times New Roman"/>
          <w:sz w:val="28"/>
          <w:szCs w:val="24"/>
          <w:lang w:eastAsia="es-ES"/>
        </w:rPr>
      </w:pPr>
      <w:r w:rsidRPr="00E00F43">
        <w:rPr>
          <w:rFonts w:ascii="Times New Roman" w:hAnsi="Times New Roman" w:cs="Times New Roman"/>
          <w:b/>
          <w:bCs/>
          <w:sz w:val="28"/>
          <w:szCs w:val="24"/>
          <w:lang w:val="es-ES_tradnl" w:eastAsia="es-ES"/>
        </w:rPr>
        <w:t>Segundo.</w:t>
      </w:r>
      <w:r w:rsidRPr="00E00F43">
        <w:rPr>
          <w:rFonts w:ascii="Times New Roman" w:hAnsi="Times New Roman" w:cs="Times New Roman"/>
          <w:sz w:val="28"/>
          <w:szCs w:val="24"/>
          <w:lang w:val="es-ES_tradnl" w:eastAsia="es-ES"/>
        </w:rPr>
        <w:t> </w:t>
      </w:r>
      <w:r w:rsidRPr="00E00F43">
        <w:rPr>
          <w:rFonts w:ascii="Times New Roman" w:hAnsi="Times New Roman" w:cs="Times New Roman"/>
          <w:sz w:val="28"/>
          <w:szCs w:val="24"/>
          <w:lang w:eastAsia="es-ES"/>
        </w:rPr>
        <w:t>De conformidad con lo dispuesto en el artículo 241, numeral 10, de la Constitución Política, el Pr</w:t>
      </w:r>
      <w:r w:rsidRPr="00E00F43">
        <w:rPr>
          <w:rFonts w:ascii="Times New Roman" w:hAnsi="Times New Roman" w:cs="Times New Roman"/>
          <w:sz w:val="28"/>
          <w:szCs w:val="24"/>
          <w:lang w:eastAsia="es-ES"/>
        </w:rPr>
        <w:t xml:space="preserve">esidente de la República solo podrá manifestar el consentimiento del Estado colombiano </w:t>
      </w:r>
      <w:r w:rsidRPr="00E00F43">
        <w:rPr>
          <w:rFonts w:ascii="Times New Roman" w:hAnsi="Times New Roman" w:cs="Times New Roman"/>
          <w:sz w:val="28"/>
          <w:szCs w:val="24"/>
          <w:lang w:eastAsia="es-ES"/>
        </w:rPr>
        <w:t>para</w:t>
      </w:r>
      <w:r w:rsidRPr="00E00F43">
        <w:rPr>
          <w:rFonts w:ascii="Times New Roman" w:hAnsi="Times New Roman" w:cs="Times New Roman"/>
          <w:sz w:val="28"/>
          <w:szCs w:val="24"/>
          <w:lang w:eastAsia="es-ES"/>
        </w:rPr>
        <w:t xml:space="preserve"> obligarse por el mencionado instrumento internacional</w:t>
      </w:r>
      <w:r w:rsidRPr="00E00F43">
        <w:rPr>
          <w:rFonts w:ascii="Times New Roman" w:hAnsi="Times New Roman" w:cs="Times New Roman"/>
          <w:sz w:val="28"/>
          <w:szCs w:val="24"/>
          <w:lang w:eastAsia="es-ES"/>
        </w:rPr>
        <w:t>,</w:t>
      </w:r>
      <w:r w:rsidRPr="00E00F43">
        <w:rPr>
          <w:rFonts w:ascii="Times New Roman" w:hAnsi="Times New Roman" w:cs="Times New Roman"/>
          <w:sz w:val="28"/>
          <w:szCs w:val="24"/>
          <w:lang w:eastAsia="es-ES"/>
        </w:rPr>
        <w:t xml:space="preserve"> formulando la siguiente declaración interpretativa respecto de los </w:t>
      </w:r>
      <w:r w:rsidRPr="00E00F43">
        <w:rPr>
          <w:rFonts w:ascii="Times New Roman" w:hAnsi="Times New Roman" w:cs="Times New Roman"/>
          <w:bCs/>
          <w:sz w:val="28"/>
          <w:szCs w:val="24"/>
          <w:lang w:val="es-ES"/>
        </w:rPr>
        <w:t xml:space="preserve">artículos </w:t>
      </w:r>
      <w:r w:rsidRPr="00E00F43">
        <w:rPr>
          <w:rFonts w:ascii="Times New Roman" w:eastAsia="SimSun" w:hAnsi="Times New Roman" w:cs="Times New Roman"/>
          <w:sz w:val="28"/>
          <w:szCs w:val="24"/>
          <w:lang w:val="es-ES" w:eastAsia="zh-CN"/>
        </w:rPr>
        <w:t xml:space="preserve">1, 12, 13, 13bis y 15, así como </w:t>
      </w:r>
      <w:r w:rsidRPr="00E00F43">
        <w:rPr>
          <w:rFonts w:ascii="Times New Roman" w:eastAsia="SimSun" w:hAnsi="Times New Roman" w:cs="Times New Roman"/>
          <w:sz w:val="28"/>
          <w:szCs w:val="24"/>
          <w:lang w:val="es-ES" w:eastAsia="zh-CN"/>
        </w:rPr>
        <w:t>del Apéndice y del Anexo 6</w:t>
      </w:r>
      <w:r w:rsidRPr="00E00F43">
        <w:rPr>
          <w:rFonts w:ascii="Times New Roman" w:hAnsi="Times New Roman" w:cs="Times New Roman"/>
          <w:sz w:val="28"/>
          <w:szCs w:val="24"/>
          <w:lang w:eastAsia="es-ES"/>
        </w:rPr>
        <w:t xml:space="preserve">: las enmiendas </w:t>
      </w:r>
      <w:r w:rsidRPr="00E00F43">
        <w:rPr>
          <w:rFonts w:ascii="Times New Roman" w:hAnsi="Times New Roman" w:cs="Times New Roman"/>
          <w:bCs/>
          <w:sz w:val="28"/>
          <w:szCs w:val="24"/>
        </w:rPr>
        <w:t>de cualquiera de las estipulaciones del Acuerdo y de sus anexos,</w:t>
      </w:r>
      <w:r w:rsidRPr="00E00F43">
        <w:rPr>
          <w:rFonts w:ascii="Times New Roman" w:hAnsi="Times New Roman" w:cs="Times New Roman"/>
          <w:sz w:val="28"/>
          <w:szCs w:val="24"/>
          <w:lang w:eastAsia="es-ES"/>
        </w:rPr>
        <w:t xml:space="preserve"> o la adopción de futuros reglamentos, que impliquen nuevas obligaciones para el Estado colombiano, requieren el cumplimiento del procedimiento intern</w:t>
      </w:r>
      <w:r w:rsidRPr="00E00F43">
        <w:rPr>
          <w:rFonts w:ascii="Times New Roman" w:hAnsi="Times New Roman" w:cs="Times New Roman"/>
          <w:sz w:val="28"/>
          <w:szCs w:val="24"/>
          <w:lang w:eastAsia="es-ES"/>
        </w:rPr>
        <w:t>o de aprobación y revisión de las mismas, que debe ser previo a su ratificación, previsto en los artículos 150 numeral 16 y 241 numeral 10 de la Constitución Política.</w:t>
      </w:r>
    </w:p>
    <w:p w:rsidR="00B3534A" w:rsidRPr="00E00F43" w:rsidRDefault="00E00F43" w:rsidP="00B3534A">
      <w:pPr>
        <w:spacing w:after="0"/>
        <w:contextualSpacing/>
        <w:rPr>
          <w:rFonts w:ascii="Times New Roman" w:hAnsi="Times New Roman" w:cs="Times New Roman"/>
          <w:sz w:val="28"/>
          <w:szCs w:val="24"/>
          <w:lang w:eastAsia="es-ES"/>
        </w:rPr>
      </w:pPr>
      <w:r w:rsidRPr="00E00F43">
        <w:rPr>
          <w:rFonts w:ascii="Times New Roman" w:hAnsi="Times New Roman" w:cs="Times New Roman"/>
          <w:sz w:val="28"/>
          <w:szCs w:val="24"/>
          <w:lang w:eastAsia="es-ES"/>
        </w:rPr>
        <w:t> </w:t>
      </w:r>
    </w:p>
    <w:p w:rsidR="00B3534A" w:rsidRPr="00E00F43" w:rsidRDefault="00E00F43" w:rsidP="00B3534A">
      <w:pPr>
        <w:spacing w:after="0"/>
        <w:contextualSpacing/>
        <w:rPr>
          <w:rFonts w:ascii="Times New Roman" w:hAnsi="Times New Roman" w:cs="Times New Roman"/>
          <w:sz w:val="28"/>
          <w:szCs w:val="24"/>
        </w:rPr>
      </w:pPr>
      <w:r w:rsidRPr="00E00F43">
        <w:rPr>
          <w:rFonts w:ascii="Times New Roman" w:hAnsi="Times New Roman" w:cs="Times New Roman"/>
          <w:b/>
          <w:bCs/>
          <w:sz w:val="28"/>
          <w:szCs w:val="24"/>
          <w:lang w:val="es-ES_tradnl" w:eastAsia="es-ES"/>
        </w:rPr>
        <w:t>Tercero. </w:t>
      </w:r>
      <w:r w:rsidRPr="00E00F43">
        <w:rPr>
          <w:rFonts w:ascii="Times New Roman" w:hAnsi="Times New Roman" w:cs="Times New Roman"/>
          <w:sz w:val="28"/>
          <w:szCs w:val="24"/>
          <w:lang w:eastAsia="es-ES"/>
        </w:rPr>
        <w:t>Declarar </w:t>
      </w:r>
      <w:r w:rsidRPr="00E00F43">
        <w:rPr>
          <w:rFonts w:ascii="Times New Roman" w:hAnsi="Times New Roman" w:cs="Times New Roman"/>
          <w:b/>
          <w:bCs/>
          <w:sz w:val="28"/>
          <w:szCs w:val="24"/>
          <w:lang w:eastAsia="es-ES"/>
        </w:rPr>
        <w:t>EXEQUIBLE </w:t>
      </w:r>
      <w:r w:rsidRPr="00E00F43">
        <w:rPr>
          <w:rFonts w:ascii="Times New Roman" w:hAnsi="Times New Roman" w:cs="Times New Roman"/>
          <w:sz w:val="28"/>
          <w:szCs w:val="24"/>
          <w:lang w:eastAsia="es-ES"/>
        </w:rPr>
        <w:t>la </w:t>
      </w:r>
      <w:r w:rsidRPr="00E00F43">
        <w:rPr>
          <w:rFonts w:ascii="Times New Roman" w:hAnsi="Times New Roman" w:cs="Times New Roman"/>
          <w:sz w:val="28"/>
          <w:szCs w:val="24"/>
        </w:rPr>
        <w:t>Ley 2290 del 13 de febrero de 2023</w:t>
      </w:r>
      <w:r w:rsidRPr="00E00F43">
        <w:rPr>
          <w:rFonts w:ascii="Times New Roman" w:hAnsi="Times New Roman" w:cs="Times New Roman"/>
          <w:sz w:val="28"/>
          <w:szCs w:val="24"/>
          <w:lang w:eastAsia="es-ES"/>
        </w:rPr>
        <w:t>, </w:t>
      </w:r>
      <w:r w:rsidRPr="00E00F43">
        <w:rPr>
          <w:rFonts w:ascii="Times New Roman" w:hAnsi="Times New Roman" w:cs="Times New Roman"/>
          <w:sz w:val="28"/>
          <w:szCs w:val="24"/>
        </w:rPr>
        <w:t>p</w:t>
      </w:r>
      <w:r w:rsidRPr="00E00F43">
        <w:rPr>
          <w:rFonts w:ascii="Times New Roman" w:hAnsi="Times New Roman" w:cs="Times New Roman"/>
          <w:sz w:val="28"/>
          <w:szCs w:val="24"/>
        </w:rPr>
        <w:t>or medio de la cua</w:t>
      </w:r>
      <w:r w:rsidRPr="00E00F43">
        <w:rPr>
          <w:rFonts w:ascii="Times New Roman" w:hAnsi="Times New Roman" w:cs="Times New Roman"/>
          <w:sz w:val="28"/>
          <w:szCs w:val="24"/>
        </w:rPr>
        <w:t xml:space="preserve">l se aprueba el </w:t>
      </w:r>
      <w:r w:rsidRPr="00E00F43">
        <w:rPr>
          <w:rFonts w:ascii="Times New Roman" w:hAnsi="Times New Roman" w:cs="Times New Roman"/>
          <w:sz w:val="28"/>
          <w:szCs w:val="24"/>
        </w:rPr>
        <w:t>“</w:t>
      </w:r>
      <w:r w:rsidRPr="00E00F43">
        <w:rPr>
          <w:rFonts w:ascii="Times New Roman" w:hAnsi="Times New Roman" w:cs="Times New Roman"/>
          <w:sz w:val="28"/>
          <w:szCs w:val="24"/>
        </w:rPr>
        <w:t xml:space="preserve">Acuerdo Relativo a la Adopción de Reglamentos Técnicos Armonizados de las Naciones Unidas aplicables a los vehículos de ruedas y los equipos y piezas que puedan montarse o utilizarse en estos, y sobre las condiciones de reconocimiento </w:t>
      </w:r>
      <w:r w:rsidRPr="00E00F43">
        <w:rPr>
          <w:rFonts w:ascii="Times New Roman" w:hAnsi="Times New Roman" w:cs="Times New Roman"/>
          <w:sz w:val="28"/>
          <w:szCs w:val="24"/>
        </w:rPr>
        <w:t>recíproco de las homologaciones concedidas conforme a dichos reglamentos de las Naciones Unidas</w:t>
      </w:r>
      <w:r w:rsidRPr="00E00F43">
        <w:rPr>
          <w:rFonts w:ascii="Times New Roman" w:hAnsi="Times New Roman" w:cs="Times New Roman"/>
          <w:sz w:val="28"/>
          <w:szCs w:val="24"/>
        </w:rPr>
        <w:t>”</w:t>
      </w:r>
      <w:r w:rsidRPr="00E00F43">
        <w:rPr>
          <w:rFonts w:ascii="Times New Roman" w:hAnsi="Times New Roman" w:cs="Times New Roman"/>
          <w:sz w:val="28"/>
          <w:szCs w:val="24"/>
        </w:rPr>
        <w:t>, suscrito en Ginebra, el 20 de marzo de 1958.</w:t>
      </w:r>
    </w:p>
    <w:p w:rsidR="00B3534A" w:rsidRPr="00E00F43" w:rsidRDefault="00E00F43" w:rsidP="00B3534A">
      <w:pPr>
        <w:spacing w:after="0"/>
        <w:contextualSpacing/>
        <w:rPr>
          <w:rFonts w:ascii="Times New Roman" w:hAnsi="Times New Roman" w:cs="Times New Roman"/>
          <w:sz w:val="28"/>
          <w:szCs w:val="24"/>
          <w:lang w:eastAsia="es-ES"/>
        </w:rPr>
      </w:pPr>
    </w:p>
    <w:p w:rsidR="00021E63" w:rsidRPr="00E00F43" w:rsidRDefault="00E00F43" w:rsidP="001E11D7">
      <w:pPr>
        <w:spacing w:after="0"/>
        <w:contextualSpacing/>
        <w:rPr>
          <w:rFonts w:ascii="Times New Roman" w:hAnsi="Times New Roman" w:cs="Times New Roman"/>
          <w:sz w:val="28"/>
          <w:szCs w:val="24"/>
          <w:lang w:eastAsia="es-ES"/>
        </w:rPr>
      </w:pPr>
      <w:r w:rsidRPr="00E00F43">
        <w:rPr>
          <w:rFonts w:ascii="Times New Roman" w:hAnsi="Times New Roman" w:cs="Times New Roman"/>
          <w:sz w:val="28"/>
          <w:szCs w:val="24"/>
          <w:lang w:eastAsia="es-ES"/>
        </w:rPr>
        <w:t>Cópiese, notifíquese, comuníquese, cúmplase y publíquese</w:t>
      </w:r>
    </w:p>
    <w:p w:rsidR="00246987" w:rsidRPr="00E00F43" w:rsidRDefault="00E00F43" w:rsidP="001E11D7">
      <w:pPr>
        <w:spacing w:after="0"/>
        <w:contextualSpacing/>
        <w:rPr>
          <w:rFonts w:ascii="Times New Roman" w:hAnsi="Times New Roman" w:cs="Times New Roman"/>
          <w:sz w:val="28"/>
          <w:szCs w:val="24"/>
          <w:lang w:eastAsia="es-ES"/>
        </w:rPr>
      </w:pPr>
    </w:p>
    <w:p w:rsidR="00246987" w:rsidRPr="00E00F43" w:rsidRDefault="00E00F43" w:rsidP="001E11D7">
      <w:pPr>
        <w:spacing w:after="0"/>
        <w:contextualSpacing/>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JOSE FERNANDO REYES CUARTAS</w:t>
      </w: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Presidente</w:t>
      </w: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NATALIA ÁNG</w:t>
      </w:r>
      <w:r w:rsidRPr="00E00F43">
        <w:rPr>
          <w:rFonts w:ascii="Times New Roman" w:hAnsi="Times New Roman" w:cs="Times New Roman"/>
          <w:sz w:val="28"/>
          <w:szCs w:val="24"/>
          <w:lang w:eastAsia="es-ES"/>
        </w:rPr>
        <w:t>EL CABO</w:t>
      </w: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Magistrada</w:t>
      </w: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JUAN CARLOS CORTÉS GONZÁLEZ</w:t>
      </w: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Magistrado</w:t>
      </w: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DIANA FAJARDO RIVERA</w:t>
      </w: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Magistrada</w:t>
      </w: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VLADIMIR FERNÁNDEZ ANDRADE</w:t>
      </w: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Magistrado</w:t>
      </w: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Con impedimento aceptado</w:t>
      </w: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 xml:space="preserve">JORGE ENRIQUE IBÁÑEZ NAJAR </w:t>
      </w: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Magistrado</w:t>
      </w: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ANTONIO JOSÉ LIZARAZO OCAMPO</w:t>
      </w: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Magistrado</w:t>
      </w: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 xml:space="preserve">PAOLA </w:t>
      </w:r>
      <w:r w:rsidRPr="00E00F43">
        <w:rPr>
          <w:rFonts w:ascii="Times New Roman" w:hAnsi="Times New Roman" w:cs="Times New Roman"/>
          <w:sz w:val="28"/>
          <w:szCs w:val="24"/>
          <w:lang w:eastAsia="es-ES"/>
        </w:rPr>
        <w:t>ANDREA MENESES MOSQUERA</w:t>
      </w: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Magistrada</w:t>
      </w: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CRISTINA PARDO SCHLESINGER</w:t>
      </w: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Magistrada</w:t>
      </w: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ANDREA LILIANA ROMERO LOPEZ</w:t>
      </w:r>
    </w:p>
    <w:p w:rsidR="00246987" w:rsidRPr="00E00F43" w:rsidRDefault="00E00F43" w:rsidP="00246987">
      <w:pPr>
        <w:spacing w:after="0"/>
        <w:contextualSpacing/>
        <w:jc w:val="center"/>
        <w:rPr>
          <w:rFonts w:ascii="Times New Roman" w:hAnsi="Times New Roman" w:cs="Times New Roman"/>
          <w:sz w:val="28"/>
          <w:szCs w:val="24"/>
          <w:lang w:eastAsia="es-ES"/>
        </w:rPr>
      </w:pPr>
      <w:r w:rsidRPr="00E00F43">
        <w:rPr>
          <w:rFonts w:ascii="Times New Roman" w:hAnsi="Times New Roman" w:cs="Times New Roman"/>
          <w:sz w:val="28"/>
          <w:szCs w:val="24"/>
          <w:lang w:eastAsia="es-ES"/>
        </w:rPr>
        <w:t>Secretaria General</w:t>
      </w:r>
    </w:p>
    <w:p w:rsidR="00A61E82" w:rsidRPr="00E00F43" w:rsidRDefault="00E00F43" w:rsidP="00374DDD">
      <w:pPr>
        <w:shd w:val="clear" w:color="auto" w:fill="FFFFFF"/>
        <w:spacing w:before="240" w:after="120" w:line="240" w:lineRule="auto"/>
        <w:jc w:val="center"/>
        <w:rPr>
          <w:rFonts w:ascii="Times New Roman" w:eastAsia="Times New Roman" w:hAnsi="Times New Roman" w:cs="Times New Roman"/>
          <w:b/>
          <w:bCs/>
          <w:sz w:val="28"/>
        </w:rPr>
      </w:pPr>
      <w:r w:rsidRPr="00E00F43">
        <w:rPr>
          <w:rFonts w:ascii="Times New Roman" w:eastAsia="Times New Roman" w:hAnsi="Times New Roman" w:cs="Times New Roman"/>
          <w:b/>
          <w:bCs/>
          <w:sz w:val="28"/>
        </w:rPr>
        <w:t>ANEXO DE LA SENTENCIA C-</w:t>
      </w:r>
      <w:r w:rsidRPr="00E00F43">
        <w:rPr>
          <w:rFonts w:ascii="Times New Roman" w:eastAsia="Times New Roman" w:hAnsi="Times New Roman" w:cs="Times New Roman"/>
          <w:b/>
          <w:bCs/>
          <w:sz w:val="28"/>
        </w:rPr>
        <w:t>115</w:t>
      </w:r>
      <w:r w:rsidRPr="00E00F43">
        <w:rPr>
          <w:rFonts w:ascii="Times New Roman" w:eastAsia="Times New Roman" w:hAnsi="Times New Roman" w:cs="Times New Roman"/>
          <w:b/>
          <w:bCs/>
          <w:sz w:val="28"/>
        </w:rPr>
        <w:t xml:space="preserve"> DE 2024: TRANSCRIPCIÓN DEL INSTRUMENTO INTERNACIONAL ANALIZADO</w:t>
      </w:r>
    </w:p>
    <w:p w:rsidR="004F5FEE" w:rsidRPr="00E00F43" w:rsidRDefault="00E00F43" w:rsidP="00374DDD">
      <w:pPr>
        <w:shd w:val="clear" w:color="auto" w:fill="FFFFFF"/>
        <w:spacing w:after="0" w:line="240" w:lineRule="auto"/>
        <w:jc w:val="center"/>
        <w:rPr>
          <w:rFonts w:ascii="Times New Roman" w:eastAsia="Times New Roman" w:hAnsi="Times New Roman" w:cs="Times New Roman"/>
          <w:b/>
          <w:bCs/>
          <w:sz w:val="28"/>
        </w:rPr>
      </w:pPr>
    </w:p>
    <w:p w:rsidR="00A61E82" w:rsidRPr="00E00F43" w:rsidRDefault="00E00F43" w:rsidP="00374DDD">
      <w:pPr>
        <w:shd w:val="clear" w:color="auto" w:fill="FFFFFF"/>
        <w:spacing w:after="0" w:line="240" w:lineRule="auto"/>
        <w:jc w:val="center"/>
        <w:rPr>
          <w:rFonts w:ascii="Times New Roman" w:eastAsia="Times New Roman" w:hAnsi="Times New Roman" w:cs="Times New Roman"/>
          <w:b/>
          <w:bCs/>
          <w:sz w:val="28"/>
        </w:rPr>
      </w:pPr>
      <w:r w:rsidRPr="00E00F43">
        <w:rPr>
          <w:rFonts w:ascii="Times New Roman" w:eastAsia="Times New Roman" w:hAnsi="Times New Roman" w:cs="Times New Roman"/>
          <w:b/>
          <w:bCs/>
          <w:sz w:val="28"/>
        </w:rPr>
        <w:t>“ACUERDO</w:t>
      </w:r>
    </w:p>
    <w:p w:rsidR="00651E84" w:rsidRPr="00E00F43" w:rsidRDefault="00E00F43" w:rsidP="00374DDD">
      <w:pPr>
        <w:shd w:val="clear" w:color="auto" w:fill="FFFFFF"/>
        <w:spacing w:after="0" w:line="240" w:lineRule="auto"/>
        <w:jc w:val="center"/>
        <w:rPr>
          <w:rFonts w:ascii="Times New Roman" w:eastAsia="Times New Roman" w:hAnsi="Times New Roman" w:cs="Times New Roman"/>
          <w:b/>
          <w:bCs/>
          <w:sz w:val="28"/>
        </w:rPr>
      </w:pPr>
      <w:r w:rsidRPr="00E00F43">
        <w:rPr>
          <w:rFonts w:ascii="Times New Roman" w:eastAsia="Times New Roman" w:hAnsi="Times New Roman" w:cs="Times New Roman"/>
          <w:b/>
          <w:bCs/>
          <w:sz w:val="28"/>
        </w:rPr>
        <w:t xml:space="preserve">relativo a la adopción de </w:t>
      </w:r>
      <w:r w:rsidRPr="00E00F43">
        <w:rPr>
          <w:rFonts w:ascii="Times New Roman" w:eastAsia="Times New Roman" w:hAnsi="Times New Roman" w:cs="Times New Roman"/>
          <w:b/>
          <w:bCs/>
          <w:sz w:val="28"/>
        </w:rPr>
        <w:t>reglamentos técnicos armonizados de las naciones unidas aplicables a los vehículos de ruedas y los equipos y piezas que puedan montarse o utilizarse en estos, y sobre las condiciones de reconocimiento recíproco de las homologaciones concedidas conforme a d</w:t>
      </w:r>
      <w:r w:rsidRPr="00E00F43">
        <w:rPr>
          <w:rFonts w:ascii="Times New Roman" w:eastAsia="Times New Roman" w:hAnsi="Times New Roman" w:cs="Times New Roman"/>
          <w:b/>
          <w:bCs/>
          <w:sz w:val="28"/>
        </w:rPr>
        <w:t>ichos reglamentos de las naciones unidas</w:t>
      </w:r>
      <w:r w:rsidRPr="00E00F43">
        <w:rPr>
          <w:rStyle w:val="Refdenotaalpie"/>
          <w:rFonts w:ascii="Times New Roman" w:eastAsia="Times New Roman" w:hAnsi="Times New Roman"/>
          <w:b/>
          <w:bCs/>
          <w:sz w:val="28"/>
        </w:rPr>
        <w:footnoteReference w:id="98"/>
      </w:r>
    </w:p>
    <w:p w:rsidR="00640748" w:rsidRPr="00E00F43" w:rsidRDefault="00E00F43" w:rsidP="00640748">
      <w:pPr>
        <w:shd w:val="clear" w:color="auto" w:fill="FFFFFF"/>
        <w:spacing w:after="0" w:line="240" w:lineRule="auto"/>
        <w:jc w:val="center"/>
        <w:rPr>
          <w:rFonts w:ascii="Times New Roman" w:eastAsia="Times New Roman" w:hAnsi="Times New Roman" w:cs="Times New Roman"/>
          <w:b/>
          <w:bCs/>
          <w:sz w:val="28"/>
        </w:rPr>
      </w:pPr>
    </w:p>
    <w:p w:rsidR="00640748" w:rsidRPr="00E00F43" w:rsidRDefault="00E00F43" w:rsidP="00640748">
      <w:pPr>
        <w:shd w:val="clear" w:color="auto" w:fill="FFFFFF"/>
        <w:spacing w:after="0" w:line="240" w:lineRule="auto"/>
        <w:jc w:val="center"/>
        <w:rPr>
          <w:rFonts w:ascii="Times New Roman" w:eastAsia="Times New Roman" w:hAnsi="Times New Roman" w:cs="Times New Roman"/>
          <w:b/>
          <w:bCs/>
          <w:sz w:val="28"/>
        </w:rPr>
      </w:pPr>
      <w:r w:rsidRPr="00E00F43">
        <w:rPr>
          <w:rFonts w:ascii="Times New Roman" w:eastAsia="Times New Roman" w:hAnsi="Times New Roman" w:cs="Times New Roman"/>
          <w:b/>
          <w:bCs/>
          <w:sz w:val="28"/>
        </w:rPr>
        <w:t>Revisión 3</w:t>
      </w:r>
    </w:p>
    <w:p w:rsidR="00640748" w:rsidRPr="00E00F43" w:rsidRDefault="00E00F43" w:rsidP="00640748">
      <w:pPr>
        <w:shd w:val="clear" w:color="auto" w:fill="FFFFFF"/>
        <w:spacing w:after="0" w:line="240" w:lineRule="auto"/>
        <w:jc w:val="center"/>
        <w:rPr>
          <w:rFonts w:ascii="Times New Roman" w:eastAsia="Times New Roman" w:hAnsi="Times New Roman" w:cs="Times New Roman"/>
          <w:b/>
          <w:sz w:val="28"/>
        </w:rPr>
      </w:pPr>
    </w:p>
    <w:p w:rsidR="00A61E82" w:rsidRPr="00E00F43" w:rsidRDefault="00E00F43" w:rsidP="00640748">
      <w:pPr>
        <w:shd w:val="clear" w:color="auto" w:fill="FFFFFF"/>
        <w:spacing w:after="0" w:line="240" w:lineRule="auto"/>
        <w:jc w:val="center"/>
        <w:rPr>
          <w:rFonts w:ascii="Times New Roman" w:eastAsia="Times New Roman" w:hAnsi="Times New Roman" w:cs="Times New Roman"/>
          <w:b/>
          <w:sz w:val="28"/>
        </w:rPr>
      </w:pPr>
      <w:r w:rsidRPr="00E00F43">
        <w:rPr>
          <w:rFonts w:ascii="Times New Roman" w:eastAsia="Times New Roman" w:hAnsi="Times New Roman" w:cs="Times New Roman"/>
          <w:b/>
          <w:sz w:val="28"/>
        </w:rPr>
        <w:t>PREÁMBULO</w:t>
      </w:r>
    </w:p>
    <w:p w:rsidR="00640748" w:rsidRPr="00E00F43" w:rsidRDefault="00E00F43" w:rsidP="00640748">
      <w:pPr>
        <w:shd w:val="clear" w:color="auto" w:fill="FFFFFF"/>
        <w:spacing w:after="0" w:line="240" w:lineRule="auto"/>
        <w:jc w:val="both"/>
        <w:rPr>
          <w:rFonts w:ascii="Times New Roman" w:eastAsia="Times New Roman" w:hAnsi="Times New Roman" w:cs="Times New Roman"/>
          <w:sz w:val="28"/>
        </w:rPr>
      </w:pPr>
    </w:p>
    <w:p w:rsidR="00651E84" w:rsidRPr="00E00F43" w:rsidRDefault="00E00F43" w:rsidP="00640748">
      <w:pPr>
        <w:shd w:val="clear" w:color="auto" w:fill="FFFFFF"/>
        <w:spacing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LAS PARTES CONTRATANTES,</w:t>
      </w:r>
    </w:p>
    <w:p w:rsidR="00640748" w:rsidRPr="00E00F43" w:rsidRDefault="00E00F43" w:rsidP="00640748">
      <w:pPr>
        <w:shd w:val="clear" w:color="auto" w:fill="FFFFFF"/>
        <w:spacing w:after="0" w:line="240" w:lineRule="auto"/>
        <w:jc w:val="both"/>
        <w:rPr>
          <w:rFonts w:ascii="Times New Roman" w:eastAsia="Times New Roman" w:hAnsi="Times New Roman" w:cs="Times New Roman"/>
          <w:sz w:val="28"/>
        </w:rPr>
      </w:pPr>
    </w:p>
    <w:p w:rsidR="00651E84" w:rsidRPr="00E00F43" w:rsidRDefault="00E00F43" w:rsidP="00640748">
      <w:pPr>
        <w:shd w:val="clear" w:color="auto" w:fill="FFFFFF"/>
        <w:spacing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HABIENDO DECIDIDO modificar el Acuerdo relativo a la adopción de condiciones uniformes de homologación y reconocimiento recíproco de equipos y piezas de vehículos d</w:t>
      </w:r>
      <w:r w:rsidRPr="00E00F43">
        <w:rPr>
          <w:rFonts w:ascii="Times New Roman" w:eastAsia="Times New Roman" w:hAnsi="Times New Roman" w:cs="Times New Roman"/>
          <w:sz w:val="28"/>
        </w:rPr>
        <w:t>e motor, firmado en Ginebra el 20 de marzo de 1958 y modificado el 16 de octubre de 1995, y</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DESEOSAS de reducir los obstáculos técnicos al comercio internacional por medio de la definición de reglamentos técnicos armonizados de las Naciones Unidas cuyo </w:t>
      </w:r>
      <w:r w:rsidRPr="00E00F43">
        <w:rPr>
          <w:rFonts w:ascii="Times New Roman" w:eastAsia="Times New Roman" w:hAnsi="Times New Roman" w:cs="Times New Roman"/>
          <w:sz w:val="28"/>
        </w:rPr>
        <w:t>cumplimiento será suficiente para que ciertos vehículos de ruedas, equipos y piezas puedan utilizarse en sus países o regiones,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RECONOCIENDO la importancia de la seguridad, la protección del medio ambiente, la eficiencia energética y la protección antirrob</w:t>
      </w:r>
      <w:r w:rsidRPr="00E00F43">
        <w:rPr>
          <w:rFonts w:ascii="Times New Roman" w:eastAsia="Times New Roman" w:hAnsi="Times New Roman" w:cs="Times New Roman"/>
          <w:sz w:val="28"/>
        </w:rPr>
        <w:t>o de los vehículos de ruedas y los equipos y piezas que puedan montarse o utilizarse en estos para el desarrollo de reglamentos factibles desde el punto de vista técnico y económico y adaptados al progreso técnico,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DESEOSAS de aplicar estos reglamentos de </w:t>
      </w:r>
      <w:r w:rsidRPr="00E00F43">
        <w:rPr>
          <w:rFonts w:ascii="Times New Roman" w:eastAsia="Times New Roman" w:hAnsi="Times New Roman" w:cs="Times New Roman"/>
          <w:sz w:val="28"/>
        </w:rPr>
        <w:t>las Naciones Unidas siempre que sea posible en sus países o regiones,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DESEOSAS de facilitar la aceptación en sus países de los vehículos, equipos y piezas homologados conforme a tales reglamentos de las Naciones Unidas por las autoridades de homologación d</w:t>
      </w:r>
      <w:r w:rsidRPr="00E00F43">
        <w:rPr>
          <w:rFonts w:ascii="Times New Roman" w:eastAsia="Times New Roman" w:hAnsi="Times New Roman" w:cs="Times New Roman"/>
          <w:sz w:val="28"/>
        </w:rPr>
        <w:t>e otra Parte contratante,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DESEOSAS de establecer un régimen internacional de homologación de tipo de vehículos completos (IWVTA, por sus siglas en inglés) en el marco del Acuerdo con el fin de aumentar las ventajas de los reglamentos individuales de las Na</w:t>
      </w:r>
      <w:r w:rsidRPr="00E00F43">
        <w:rPr>
          <w:rFonts w:ascii="Times New Roman" w:eastAsia="Times New Roman" w:hAnsi="Times New Roman" w:cs="Times New Roman"/>
          <w:sz w:val="28"/>
        </w:rPr>
        <w:t>ciones Unidas anejos al Acuerdo y, de este modo, crear oportunidades para simplificar la aplicación por parte de las Partes contratantes y la amplia adopción del reconocimiento mutuo de las homologaciones de tipo de vehículos completos, y</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DESEOSAS de aumen</w:t>
      </w:r>
      <w:r w:rsidRPr="00E00F43">
        <w:rPr>
          <w:rFonts w:ascii="Times New Roman" w:eastAsia="Times New Roman" w:hAnsi="Times New Roman" w:cs="Times New Roman"/>
          <w:sz w:val="28"/>
        </w:rPr>
        <w:t>tar el número de Partes contratantes del Acuerdo mediante la mejora de su funcionamiento y fiabilidad, y por lo tanto garantizar que sigue siendo el marco internacional clave para la armonización de los reglamentos técnicos en el sector de la automoción,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H</w:t>
      </w:r>
      <w:r w:rsidRPr="00E00F43">
        <w:rPr>
          <w:rFonts w:ascii="Times New Roman" w:eastAsia="Times New Roman" w:hAnsi="Times New Roman" w:cs="Times New Roman"/>
          <w:sz w:val="28"/>
        </w:rPr>
        <w:t>AN CONVENIDO EN LO SIGUIENTE:</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1</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1.   Las Partes contratantes establecerán, a través de un Comité de Administración integrado por todas las Partes contratantes con arreglo al reglamento interno recogido en el apéndice del presente Acuerdo y basándose en las disposiciones de los apartados </w:t>
      </w:r>
      <w:r w:rsidRPr="00E00F43">
        <w:rPr>
          <w:rFonts w:ascii="Times New Roman" w:eastAsia="Times New Roman" w:hAnsi="Times New Roman" w:cs="Times New Roman"/>
          <w:sz w:val="28"/>
        </w:rPr>
        <w:t>y artículos siguientes, reglamentos de las Naciones Unidas relativos a los vehículos de ruedas y los equipos y piezas que puedan montarse o utilizarse en estos. Las Partes contratantes que hayan decidido aplicar reglamentos mediante el sistema de homologac</w:t>
      </w:r>
      <w:r w:rsidRPr="00E00F43">
        <w:rPr>
          <w:rFonts w:ascii="Times New Roman" w:eastAsia="Times New Roman" w:hAnsi="Times New Roman" w:cs="Times New Roman"/>
          <w:sz w:val="28"/>
        </w:rPr>
        <w:t>ión de tipo han de ajustarse a las condiciones de concesión de homologaciones de tipo y reconocimiento recíproco.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 efectos del presente Acuerdo, se entenderá por:</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b/>
          <w:bCs/>
          <w:sz w:val="28"/>
        </w:rPr>
        <w:t>«vehículos de ruedas, equipos y piezas»</w:t>
      </w:r>
      <w:r w:rsidRPr="00E00F43">
        <w:rPr>
          <w:rFonts w:ascii="Times New Roman" w:eastAsia="Times New Roman" w:hAnsi="Times New Roman" w:cs="Times New Roman"/>
          <w:sz w:val="28"/>
        </w:rPr>
        <w:t>: todos los vehículos de ruedas, equipos y piezas cuy</w:t>
      </w:r>
      <w:r w:rsidRPr="00E00F43">
        <w:rPr>
          <w:rFonts w:ascii="Times New Roman" w:eastAsia="Times New Roman" w:hAnsi="Times New Roman" w:cs="Times New Roman"/>
          <w:sz w:val="28"/>
        </w:rPr>
        <w:t>as características estén relacionadas con la seguridad del vehículo, la protección del medio ambiente, el ahorro de energía y de la protección con tecnología antirrobo;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b/>
          <w:bCs/>
          <w:sz w:val="28"/>
        </w:rPr>
        <w:t>«homologación de tipo con arreglo a un reglamento de las Naciones Unidas»</w:t>
      </w:r>
      <w:r w:rsidRPr="00E00F43">
        <w:rPr>
          <w:rFonts w:ascii="Times New Roman" w:eastAsia="Times New Roman" w:hAnsi="Times New Roman" w:cs="Times New Roman"/>
          <w:sz w:val="28"/>
        </w:rPr>
        <w:t>: el procedimi</w:t>
      </w:r>
      <w:r w:rsidRPr="00E00F43">
        <w:rPr>
          <w:rFonts w:ascii="Times New Roman" w:eastAsia="Times New Roman" w:hAnsi="Times New Roman" w:cs="Times New Roman"/>
          <w:sz w:val="28"/>
        </w:rPr>
        <w:t>ento administrativo por el cual, tras realizar las comprobaciones exigidas, las autoridades de homologación de una Parte contratante declaran que un vehículo, equipo o pieza presentado por el fabricante se ajusta a las especificaciones del reglamento de la</w:t>
      </w:r>
      <w:r w:rsidRPr="00E00F43">
        <w:rPr>
          <w:rFonts w:ascii="Times New Roman" w:eastAsia="Times New Roman" w:hAnsi="Times New Roman" w:cs="Times New Roman"/>
          <w:sz w:val="28"/>
        </w:rPr>
        <w:t>s Naciones Unidas de que se trate. A continuación, el fabricante deberá certificar que todos los vehículos, equipos o piezas que comercialice son idénticos al producto homologado;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b/>
          <w:bCs/>
          <w:sz w:val="28"/>
        </w:rPr>
        <w:t>«homologación de tipo de vehículos completos»</w:t>
      </w:r>
      <w:r w:rsidRPr="00E00F43">
        <w:rPr>
          <w:rFonts w:ascii="Times New Roman" w:eastAsia="Times New Roman" w:hAnsi="Times New Roman" w:cs="Times New Roman"/>
          <w:sz w:val="28"/>
        </w:rPr>
        <w:t>: las homologaciones de tipo co</w:t>
      </w:r>
      <w:r w:rsidRPr="00E00F43">
        <w:rPr>
          <w:rFonts w:ascii="Times New Roman" w:eastAsia="Times New Roman" w:hAnsi="Times New Roman" w:cs="Times New Roman"/>
          <w:sz w:val="28"/>
        </w:rPr>
        <w:t>ncedidas con arreglo a los reglamentos de las Naciones Unidas aplicables a los vehículos de ruedas y a los equipos y piezas de un vehículo se integran en una homologación de todo el vehículo de acuerdo con las disposiciones del sistema administrativo de IW</w:t>
      </w:r>
      <w:r w:rsidRPr="00E00F43">
        <w:rPr>
          <w:rFonts w:ascii="Times New Roman" w:eastAsia="Times New Roman" w:hAnsi="Times New Roman" w:cs="Times New Roman"/>
          <w:sz w:val="28"/>
        </w:rPr>
        <w:t>VTA;</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b/>
          <w:bCs/>
          <w:sz w:val="28"/>
        </w:rPr>
        <w:t>«versión de un reglamento de las Naciones Unidas»</w:t>
      </w:r>
      <w:r w:rsidRPr="00E00F43">
        <w:rPr>
          <w:rFonts w:ascii="Times New Roman" w:eastAsia="Times New Roman" w:hAnsi="Times New Roman" w:cs="Times New Roman"/>
          <w:sz w:val="28"/>
        </w:rPr>
        <w:t>: un reglamento de las Naciones Unidas, después de su adopción y aprobación, podrá modificarse según los procedimientos que se describen en el presente Acuerdo, en particular, en el artículo 12. El regl</w:t>
      </w:r>
      <w:r w:rsidRPr="00E00F43">
        <w:rPr>
          <w:rFonts w:ascii="Times New Roman" w:eastAsia="Times New Roman" w:hAnsi="Times New Roman" w:cs="Times New Roman"/>
          <w:sz w:val="28"/>
        </w:rPr>
        <w:t>amento de las Naciones Unidas sin modificar y el reglamento de las Naciones Unidas después de la integración de cualquier modificación posterior se consideran versiones independientes de dicho reglamento de las Naciones Unidas;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b/>
          <w:bCs/>
          <w:sz w:val="28"/>
        </w:rPr>
        <w:t>«que aplique un reglamento d</w:t>
      </w:r>
      <w:r w:rsidRPr="00E00F43">
        <w:rPr>
          <w:rFonts w:ascii="Times New Roman" w:eastAsia="Times New Roman" w:hAnsi="Times New Roman" w:cs="Times New Roman"/>
          <w:b/>
          <w:bCs/>
          <w:sz w:val="28"/>
        </w:rPr>
        <w:t>e las Naciones Unidas»</w:t>
      </w:r>
      <w:r w:rsidRPr="00E00F43">
        <w:rPr>
          <w:rFonts w:ascii="Times New Roman" w:eastAsia="Times New Roman" w:hAnsi="Times New Roman" w:cs="Times New Roman"/>
          <w:sz w:val="28"/>
        </w:rPr>
        <w:t>: esta expresión indica que un reglamento entra en vigor para una Parte contratante. Al hacerlo, las Partes contratantes tienen la posibilidad de mantener su propia legislación nacional o regional. Si así lo desean, pueden sustituir s</w:t>
      </w:r>
      <w:r w:rsidRPr="00E00F43">
        <w:rPr>
          <w:rFonts w:ascii="Times New Roman" w:eastAsia="Times New Roman" w:hAnsi="Times New Roman" w:cs="Times New Roman"/>
          <w:sz w:val="28"/>
        </w:rPr>
        <w:t>u legislación nacional o regional por los requisitos del reglamento de las Naciones Unidas que aplican, pero no están obligadas a hacerlo por el Acuerdo. No obstante, las Partes contratantes deberán aceptar, como alternativa a la parte pertinente de su leg</w:t>
      </w:r>
      <w:r w:rsidRPr="00E00F43">
        <w:rPr>
          <w:rFonts w:ascii="Times New Roman" w:eastAsia="Times New Roman" w:hAnsi="Times New Roman" w:cs="Times New Roman"/>
          <w:sz w:val="28"/>
        </w:rPr>
        <w:t>islación nacional o regional, las homologaciones de tipo de las Naciones Unidas concedidas con arreglo a la versión más reciente de los reglamentos de las Naciones Unidas que se aplican en su país o región. Los derechos y obligaciones de las Partes contrat</w:t>
      </w:r>
      <w:r w:rsidRPr="00E00F43">
        <w:rPr>
          <w:rFonts w:ascii="Times New Roman" w:eastAsia="Times New Roman" w:hAnsi="Times New Roman" w:cs="Times New Roman"/>
          <w:sz w:val="28"/>
        </w:rPr>
        <w:t>antes que apliquen un reglamento de las Naciones Unidas se detallan en los distintos artículos del presente Acuerdo.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Podría haber varios procedimientos administrativos distintos de la homologación de tipo que podrían seguirse para aplicar reglamentos de la</w:t>
      </w:r>
      <w:r w:rsidRPr="00E00F43">
        <w:rPr>
          <w:rFonts w:ascii="Times New Roman" w:eastAsia="Times New Roman" w:hAnsi="Times New Roman" w:cs="Times New Roman"/>
          <w:sz w:val="28"/>
        </w:rPr>
        <w:t>s Naciones Unidas. No obstante, el único procedimiento alternativo ampliamente conocido y aplicado en algunos Estados miembros de la Comisión Económica para Europa (CEPE) es la autocertificación del fabricante que, sin ningún control administrativo previo,</w:t>
      </w:r>
      <w:r w:rsidRPr="00E00F43">
        <w:rPr>
          <w:rFonts w:ascii="Times New Roman" w:eastAsia="Times New Roman" w:hAnsi="Times New Roman" w:cs="Times New Roman"/>
          <w:sz w:val="28"/>
        </w:rPr>
        <w:t xml:space="preserve"> garantiza que todos los productos que comercializa son conformes al reglamento de las Naciones Unidas de que se trate; las autoridades administrativas competentes podrán verificar por muestreo aleatorio en el mercado que los productos autocertificados cum</w:t>
      </w:r>
      <w:r w:rsidRPr="00E00F43">
        <w:rPr>
          <w:rFonts w:ascii="Times New Roman" w:eastAsia="Times New Roman" w:hAnsi="Times New Roman" w:cs="Times New Roman"/>
          <w:sz w:val="28"/>
        </w:rPr>
        <w:t>plen los requisitos de dicho reglamento.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   El Comité de Administración estará integrado por todas las Partes contratantes, conforme al reglamento interno recogido en el apéndice.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Cuando se haya redactado un reglamento de las Naciones Unidas con arreglo </w:t>
      </w:r>
      <w:r w:rsidRPr="00E00F43">
        <w:rPr>
          <w:rFonts w:ascii="Times New Roman" w:eastAsia="Times New Roman" w:hAnsi="Times New Roman" w:cs="Times New Roman"/>
          <w:sz w:val="28"/>
        </w:rPr>
        <w:t xml:space="preserve">al procedimiento mencionado en el apéndice, el Comité de Administración remitirá el texto al Secretario General de la Organización de las Naciones Unidas, en lo sucesivo denominado «Secretario General». El Secretario General notificará dicho reglamento lo </w:t>
      </w:r>
      <w:r w:rsidRPr="00E00F43">
        <w:rPr>
          <w:rFonts w:ascii="Times New Roman" w:eastAsia="Times New Roman" w:hAnsi="Times New Roman" w:cs="Times New Roman"/>
          <w:sz w:val="28"/>
        </w:rPr>
        <w:t>antes posible a las Partes contratantes.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El reglamento de las Naciones Unidas se considerará adoptado a menos que, en el plazo de seis meses a partir de la fecha de notificación del Secretario General, más de una quinta parte de las Partes contratantes en </w:t>
      </w:r>
      <w:r w:rsidRPr="00E00F43">
        <w:rPr>
          <w:rFonts w:ascii="Times New Roman" w:eastAsia="Times New Roman" w:hAnsi="Times New Roman" w:cs="Times New Roman"/>
          <w:sz w:val="28"/>
        </w:rPr>
        <w:t>dicha fecha haya comunicado a este su desacuerdo con el reglamento.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reglamento de las Naciones Unidas especificará lo siguiente:</w:t>
      </w:r>
    </w:p>
    <w:tbl>
      <w:tblPr>
        <w:tblW w:w="5000" w:type="pct"/>
        <w:shd w:val="clear" w:color="auto" w:fill="FFFFFF"/>
        <w:tblCellMar>
          <w:left w:w="0" w:type="dxa"/>
          <w:right w:w="0" w:type="dxa"/>
        </w:tblCellMar>
        <w:tblLook w:val="04A0" w:firstRow="1" w:lastRow="0" w:firstColumn="1" w:lastColumn="0" w:noHBand="0" w:noVBand="1"/>
      </w:tblPr>
      <w:tblGrid>
        <w:gridCol w:w="292"/>
        <w:gridCol w:w="8546"/>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los vehículos de ruedas, equipos y piezas a que se aplica;</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los requisitos técnicos, que se centrarán en las </w:t>
            </w:r>
            <w:r w:rsidRPr="00E00F43">
              <w:rPr>
                <w:rFonts w:ascii="Times New Roman" w:eastAsia="Times New Roman" w:hAnsi="Times New Roman" w:cs="Times New Roman"/>
                <w:sz w:val="28"/>
              </w:rPr>
              <w:t>prestaciones cuando proceda y no impondrán restricciones al diseño, que tienen en cuenta de manera objetiva las tecnologías disponibles, los costes y los beneficios, según corresponda, y que pueden incluir alternativas;</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los métodos de ensayo que demue</w:t>
            </w:r>
            <w:r w:rsidRPr="00E00F43">
              <w:rPr>
                <w:rFonts w:ascii="Times New Roman" w:eastAsia="Times New Roman" w:hAnsi="Times New Roman" w:cs="Times New Roman"/>
                <w:sz w:val="28"/>
              </w:rPr>
              <w:t>stren que las prestaciones se ajustan a las prescripciones;</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las condiciones de concesión de la homologación de tipo y su reconocimiento recíproco, incluidas, las disposiciones administrativas, las marcas de homologación y las condiciones que </w:t>
            </w:r>
            <w:r w:rsidRPr="00E00F43">
              <w:rPr>
                <w:rFonts w:ascii="Times New Roman" w:eastAsia="Times New Roman" w:hAnsi="Times New Roman" w:cs="Times New Roman"/>
                <w:sz w:val="28"/>
              </w:rPr>
              <w:t>garanticen la conformidad de la producción;</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fecha de entrada en vigor del reglamento de las Naciones Unidas, incluida la fecha en la que las Partes contratantes que lo aplican pueden expedir homologaciones conforme a dicho reglamento y la fecha a p</w:t>
            </w:r>
            <w:r w:rsidRPr="00E00F43">
              <w:rPr>
                <w:rFonts w:ascii="Times New Roman" w:eastAsia="Times New Roman" w:hAnsi="Times New Roman" w:cs="Times New Roman"/>
                <w:sz w:val="28"/>
              </w:rPr>
              <w:t>artir de la cual aceptarán homologaciones (si son fechas distintas);</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209"/>
        <w:gridCol w:w="8629"/>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f)</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un documento de información que deberá proporcionar el fabricante.</w:t>
            </w:r>
          </w:p>
        </w:tc>
      </w:tr>
    </w:tbl>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En caso necesario, el reglamento de las Naciones Unidas puede incluir referencias a los laboratorios acreditados </w:t>
      </w:r>
      <w:r w:rsidRPr="00E00F43">
        <w:rPr>
          <w:rFonts w:ascii="Times New Roman" w:eastAsia="Times New Roman" w:hAnsi="Times New Roman" w:cs="Times New Roman"/>
          <w:sz w:val="28"/>
        </w:rPr>
        <w:t>por las autoridades de homologación en los que se llevarán a cabo los ensayos de aceptación de los tipos de vehículos de ruedas, equipos o piezas presentados para su homologación.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Además de los reglamentos de las Naciones Unidas mencionados más arriba, el </w:t>
      </w:r>
      <w:r w:rsidRPr="00E00F43">
        <w:rPr>
          <w:rFonts w:ascii="Times New Roman" w:eastAsia="Times New Roman" w:hAnsi="Times New Roman" w:cs="Times New Roman"/>
          <w:sz w:val="28"/>
        </w:rPr>
        <w:t>presente Acuerdo prevé la creación de un reglamento de las Naciones Unidas que establezca un sistema de homologación de tipo de vehículos completos. Dicho reglamento establecerá el ámbito de aplicación, los procedimientos administrativos y los requisitos t</w:t>
      </w:r>
      <w:r w:rsidRPr="00E00F43">
        <w:rPr>
          <w:rFonts w:ascii="Times New Roman" w:eastAsia="Times New Roman" w:hAnsi="Times New Roman" w:cs="Times New Roman"/>
          <w:sz w:val="28"/>
        </w:rPr>
        <w:t>écnicos que pueden incluir diferentes niveles de rigor en una versión de dicho reglamento.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Sin perjuicio de otras disposiciones del artículo 1 y el artículo 12, una Parte contratante que aplique el reglamento de las Naciones Unidas relativo a IWVTA solo </w:t>
      </w:r>
      <w:r w:rsidRPr="00E00F43">
        <w:rPr>
          <w:rFonts w:ascii="Times New Roman" w:eastAsia="Times New Roman" w:hAnsi="Times New Roman" w:cs="Times New Roman"/>
          <w:sz w:val="28"/>
        </w:rPr>
        <w:t>estará obligada a aceptar las homologaciones concedidas conforme al nivel más alto de rigor de la versión más reciente de dicho reglamento.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presente Acuerdo también incluye anexos de disposiciones administrativas y de procedimiento aplicables a todos lo</w:t>
      </w:r>
      <w:r w:rsidRPr="00E00F43">
        <w:rPr>
          <w:rFonts w:ascii="Times New Roman" w:eastAsia="Times New Roman" w:hAnsi="Times New Roman" w:cs="Times New Roman"/>
          <w:sz w:val="28"/>
        </w:rPr>
        <w:t>s reglamentos de las Naciones Unidas anejos al presente Acuerdo y a todas las Partes contratantes que apliquen uno o más reglamentos de las Naciones Unidas.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3.   El Secretario General notificará lo antes posible a todas las Partes contratantes la adopción </w:t>
      </w:r>
      <w:r w:rsidRPr="00E00F43">
        <w:rPr>
          <w:rFonts w:ascii="Times New Roman" w:eastAsia="Times New Roman" w:hAnsi="Times New Roman" w:cs="Times New Roman"/>
          <w:sz w:val="28"/>
        </w:rPr>
        <w:t>de un reglamento de las Naciones Unidas e indicará aquellas que hayan presentado objeciones o que hayan notificado su conformidad pero que tienen la intención de no comenzar a aplicarlo en la fecha de entrada en vigor y aquellas en las que no entrará en vi</w:t>
      </w:r>
      <w:r w:rsidRPr="00E00F43">
        <w:rPr>
          <w:rFonts w:ascii="Times New Roman" w:eastAsia="Times New Roman" w:hAnsi="Times New Roman" w:cs="Times New Roman"/>
          <w:sz w:val="28"/>
        </w:rPr>
        <w:t>gor.</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4.   El reglamento de las Naciones Unidas adoptado entrará en vigor en la fecha especificada en el mismo como reglamento de las Naciones Unidas anejo al presente Acuerdo para todas las Partes contratantes que no hayan notificado su desacuerdo o su int</w:t>
      </w:r>
      <w:r w:rsidRPr="00E00F43">
        <w:rPr>
          <w:rFonts w:ascii="Times New Roman" w:eastAsia="Times New Roman" w:hAnsi="Times New Roman" w:cs="Times New Roman"/>
          <w:sz w:val="28"/>
        </w:rPr>
        <w:t>ención de no aplicarlo en esa fecha.</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5.   Al depositar su instrumento de adhesión, cualquier nueva Parte contratante podrá declarar que no aplicará ciertos reglamentos de las Naciones Unidas anejos al presente Acuerdo o que no aplicará ninguno de ellos. Si</w:t>
      </w:r>
      <w:r w:rsidRPr="00E00F43">
        <w:rPr>
          <w:rFonts w:ascii="Times New Roman" w:eastAsia="Times New Roman" w:hAnsi="Times New Roman" w:cs="Times New Roman"/>
          <w:sz w:val="28"/>
        </w:rPr>
        <w:t xml:space="preserve"> en ese momento el procedimiento establecido en los apartados 2, 3 y 4 del presente artículo está en marcha para un proyecto de reglamento o un reglamento adoptado de las Naciones Unidas, el Secretario General comunicará dicho proyecto de reglamento o regl</w:t>
      </w:r>
      <w:r w:rsidRPr="00E00F43">
        <w:rPr>
          <w:rFonts w:ascii="Times New Roman" w:eastAsia="Times New Roman" w:hAnsi="Times New Roman" w:cs="Times New Roman"/>
          <w:sz w:val="28"/>
        </w:rPr>
        <w:t>amento adoptado de las Naciones Unidas a la nueva Parte contratante y el reglamento entrará en vigor para la nueva Parte contratante a menos que esta notifique su desacuerdo con él dentro de un plazo de seis meses después de la fecha del depósito de su ins</w:t>
      </w:r>
      <w:r w:rsidRPr="00E00F43">
        <w:rPr>
          <w:rFonts w:ascii="Times New Roman" w:eastAsia="Times New Roman" w:hAnsi="Times New Roman" w:cs="Times New Roman"/>
          <w:sz w:val="28"/>
        </w:rPr>
        <w:t>trumento de adhesión. El Secretario General comunicará a todas las Partes contratantes la fecha de dicha entrada en vigor. El Secretario General también les comunicará todas las declaraciones relativas a la no aplicación de ciertos reglamentos de las Nacio</w:t>
      </w:r>
      <w:r w:rsidRPr="00E00F43">
        <w:rPr>
          <w:rFonts w:ascii="Times New Roman" w:eastAsia="Times New Roman" w:hAnsi="Times New Roman" w:cs="Times New Roman"/>
          <w:sz w:val="28"/>
        </w:rPr>
        <w:t>nes Unidas que cualquier Parte contratante pueda realizar de conformidad con los términos del presente apartado.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6.   Cualquier Parte contratante que aplique un reglamento de las Naciones Unidas podrá notificar en cualquier momento al Secretario General, c</w:t>
      </w:r>
      <w:r w:rsidRPr="00E00F43">
        <w:rPr>
          <w:rFonts w:ascii="Times New Roman" w:eastAsia="Times New Roman" w:hAnsi="Times New Roman" w:cs="Times New Roman"/>
          <w:sz w:val="28"/>
        </w:rPr>
        <w:t>on un preaviso de un año, su intención de dejar de aplicar dicho reglamento. El Secretario General comunicará esta notificación a las demás Partes contratantes.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Las homologaciones concedidas anteriormente con arreglo a dicho reglamento de las Naciones Unid</w:t>
      </w:r>
      <w:r w:rsidRPr="00E00F43">
        <w:rPr>
          <w:rFonts w:ascii="Times New Roman" w:eastAsia="Times New Roman" w:hAnsi="Times New Roman" w:cs="Times New Roman"/>
          <w:sz w:val="28"/>
        </w:rPr>
        <w:t>as por esa Parte contratante seguirán siendo válidas a menos que se retiren de conformidad con las disposiciones del artículo 4.</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Si una Parte contratante deja de expedir homologaciones conforme a un reglamento de las Naciones Unidas, deberá:</w:t>
      </w:r>
    </w:p>
    <w:tbl>
      <w:tblPr>
        <w:tblW w:w="5000" w:type="pct"/>
        <w:shd w:val="clear" w:color="auto" w:fill="FFFFFF"/>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mantener un</w:t>
            </w:r>
            <w:r w:rsidRPr="00E00F43">
              <w:rPr>
                <w:rFonts w:ascii="Times New Roman" w:eastAsia="Times New Roman" w:hAnsi="Times New Roman" w:cs="Times New Roman"/>
                <w:sz w:val="28"/>
              </w:rPr>
              <w:t xml:space="preserve"> control adecuado de la conformidad de la producción de los productos a los que venía concediendo homologaciones de tipo;</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adoptar las medidas necesarias a que se refiere el artículo 4, si comprueba que una Parte contratante que sigue aplicando el </w:t>
            </w:r>
            <w:r w:rsidRPr="00E00F43">
              <w:rPr>
                <w:rFonts w:ascii="Times New Roman" w:eastAsia="Times New Roman" w:hAnsi="Times New Roman" w:cs="Times New Roman"/>
                <w:sz w:val="28"/>
              </w:rPr>
              <w:t>reglamento de las Naciones Unidas no lo cumple debidamente;</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seguir comunicando a las demás Partes contratantes la retirada de homologaciones tal como se establece en el artículo 5;</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285"/>
        <w:gridCol w:w="8553"/>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seguir concediendo prórrogas de las homologaciones vigentes.</w:t>
            </w:r>
          </w:p>
        </w:tc>
      </w:tr>
    </w:tbl>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7.   Cualquier Parte contratante que no aplique un reglamento de las Naciones Unidas podrá notificar en cualquier momento al Secretario General su intención de aplicarlo en lo sucesivo y dicho reglamento entrará en vigor para dicha Parte el sexagésimo día </w:t>
      </w:r>
      <w:r w:rsidRPr="00E00F43">
        <w:rPr>
          <w:rFonts w:ascii="Times New Roman" w:eastAsia="Times New Roman" w:hAnsi="Times New Roman" w:cs="Times New Roman"/>
          <w:sz w:val="28"/>
        </w:rPr>
        <w:t>siguiente a la notificación. El Secretario General comunicará a todas las Partes contratantes la entrada en vigor de cualquier reglamento de las Naciones Unidas para una nueva Parte contratante afectada que se produzca en aplicación del presente apartado.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8.   En el presente Acuerdo se denominará en lo sucesivo «Partes contratantes que apliquen un reglamento de las Naciones Unidas» a las Partes contratantes para quienes dicho reglamento esté vigente.</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2</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   Las Partes contratantes que empleen princ</w:t>
      </w:r>
      <w:r w:rsidRPr="00E00F43">
        <w:rPr>
          <w:rFonts w:ascii="Times New Roman" w:eastAsia="Times New Roman" w:hAnsi="Times New Roman" w:cs="Times New Roman"/>
          <w:sz w:val="28"/>
        </w:rPr>
        <w:t>ipalmente el sistema de homologación de tipo para aplicar un reglamento de las Naciones Unidas deberán conceder las homologaciones de tipo y las marcas de homologación descritas en todos los reglamentos de las Naciones Unidas a los tipos de vehículos de ru</w:t>
      </w:r>
      <w:r w:rsidRPr="00E00F43">
        <w:rPr>
          <w:rFonts w:ascii="Times New Roman" w:eastAsia="Times New Roman" w:hAnsi="Times New Roman" w:cs="Times New Roman"/>
          <w:sz w:val="28"/>
        </w:rPr>
        <w:t>edas, equipos y piezas contemplados en dicho reglamento, siempre y cuando dispongan de las competencias técnicas necesarias y consideren satisfactorias las disposiciones que garanticen la conformidad de la producción con el tipo homologado. Cada una de las</w:t>
      </w:r>
      <w:r w:rsidRPr="00E00F43">
        <w:rPr>
          <w:rFonts w:ascii="Times New Roman" w:eastAsia="Times New Roman" w:hAnsi="Times New Roman" w:cs="Times New Roman"/>
          <w:sz w:val="28"/>
        </w:rPr>
        <w:t xml:space="preserve"> Partes contratantes que conceda una homologación de tipo adoptará las medidas necesarias en consonancia con lo establecido en el anexo 1 del presente Acuerdo para verificar que se han tomado las medidas pertinentes para garantizar que los vehículos de rue</w:t>
      </w:r>
      <w:r w:rsidRPr="00E00F43">
        <w:rPr>
          <w:rFonts w:ascii="Times New Roman" w:eastAsia="Times New Roman" w:hAnsi="Times New Roman" w:cs="Times New Roman"/>
          <w:sz w:val="28"/>
        </w:rPr>
        <w:t>das, los equipos y las piezas se fabrican de conformidad con el tipo homologado.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   Cada Parte contratante que expida homologaciones de tipo con arreglo a un reglamento de las Naciones Unidas deberá especificar una autoridad de homologación para dicho re</w:t>
      </w:r>
      <w:r w:rsidRPr="00E00F43">
        <w:rPr>
          <w:rFonts w:ascii="Times New Roman" w:eastAsia="Times New Roman" w:hAnsi="Times New Roman" w:cs="Times New Roman"/>
          <w:sz w:val="28"/>
        </w:rPr>
        <w:t xml:space="preserve">glamento. La autoridad de homologación tendrá la responsabilidad de todos los aspectos de la homologación de tipo con arreglo a dicho reglamento. Dicha autoridad de homologación podrá designar servicios técnicos para llevar a cabo en su nombre los ensayos </w:t>
      </w:r>
      <w:r w:rsidRPr="00E00F43">
        <w:rPr>
          <w:rFonts w:ascii="Times New Roman" w:eastAsia="Times New Roman" w:hAnsi="Times New Roman" w:cs="Times New Roman"/>
          <w:sz w:val="28"/>
        </w:rPr>
        <w:t>e inspecciones necesarios para las verificaciones requeridas con arreglo al apartado 1 del presente artículo. Las Partes contratantes se asegurarán de que los servicios técnicos sean evaluados, designados y notificados de conformidad con los requisitos est</w:t>
      </w:r>
      <w:r w:rsidRPr="00E00F43">
        <w:rPr>
          <w:rFonts w:ascii="Times New Roman" w:eastAsia="Times New Roman" w:hAnsi="Times New Roman" w:cs="Times New Roman"/>
          <w:sz w:val="28"/>
        </w:rPr>
        <w:t>ablecidos en el anexo 2 del presente Acuerdo.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   Las homologaciones de tipo, marcas de homologación e identificadores para los tipos de vehículos de ruedas, los equipos y las piezas se especificarán en el reglamento de las Naciones Unidas y se concederán</w:t>
      </w:r>
      <w:r w:rsidRPr="00E00F43">
        <w:rPr>
          <w:rFonts w:ascii="Times New Roman" w:eastAsia="Times New Roman" w:hAnsi="Times New Roman" w:cs="Times New Roman"/>
          <w:sz w:val="28"/>
        </w:rPr>
        <w:t xml:space="preserve"> de conformidad con los procedimientos establecidos en los anexos 3 a 5 del presente Acuerdo.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4.   Cada una de las Partes contratantes que aplique un reglamento de las Naciones Unidas se negará a conceder las homologaciones de tipo y las marcas de homologa</w:t>
      </w:r>
      <w:r w:rsidRPr="00E00F43">
        <w:rPr>
          <w:rFonts w:ascii="Times New Roman" w:eastAsia="Times New Roman" w:hAnsi="Times New Roman" w:cs="Times New Roman"/>
          <w:sz w:val="28"/>
        </w:rPr>
        <w:t>ción comprendidas en el reglamento de las Naciones Unidas si no se cumplen las condiciones mencionadas.</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3</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   Se considerarán conformes a la legislación nacional de todas las Partes contratantes que apliquen un reglamento de las Naciones Unidas l</w:t>
      </w:r>
      <w:r w:rsidRPr="00E00F43">
        <w:rPr>
          <w:rFonts w:ascii="Times New Roman" w:eastAsia="Times New Roman" w:hAnsi="Times New Roman" w:cs="Times New Roman"/>
          <w:sz w:val="28"/>
        </w:rPr>
        <w:t>os vehículos de ruedas, equipos y piezas que dispongan de homologaciones de tipo expedidas por una Parte contratante conforme al artículo 2 del presente Acuerdo.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   Las Partes contratantes que apliquen reglamentos de las Naciones Unidas, por reconocimien</w:t>
      </w:r>
      <w:r w:rsidRPr="00E00F43">
        <w:rPr>
          <w:rFonts w:ascii="Times New Roman" w:eastAsia="Times New Roman" w:hAnsi="Times New Roman" w:cs="Times New Roman"/>
          <w:sz w:val="28"/>
        </w:rPr>
        <w:t>to mutuo y a reserva de las disposiciones de los artículos 1, 8 y 12, así como de las disposiciones especiales incluidas en dichos reglamentos, aceptarán la colocación en sus mercados de las homologaciones de tipo concedidas con arreglo a dichos reglamento</w:t>
      </w:r>
      <w:r w:rsidRPr="00E00F43">
        <w:rPr>
          <w:rFonts w:ascii="Times New Roman" w:eastAsia="Times New Roman" w:hAnsi="Times New Roman" w:cs="Times New Roman"/>
          <w:sz w:val="28"/>
        </w:rPr>
        <w:t>s, sin requerir más ensayos, documentación, certificación o marcado de estas homologaciones de tipo.</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4</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1.   Si una Parte contratante que aplique un reglamento de las Naciones Unidas comprueba que determinados vehículos de ruedas, equipos o piezas </w:t>
      </w:r>
      <w:r w:rsidRPr="00E00F43">
        <w:rPr>
          <w:rFonts w:ascii="Times New Roman" w:eastAsia="Times New Roman" w:hAnsi="Times New Roman" w:cs="Times New Roman"/>
          <w:sz w:val="28"/>
        </w:rPr>
        <w:t>que lleven marcas de homologación expedidas por una de las Partes contratantes con arreglo a dicho reglamento no son conformes al tipo homologado o los requisitos del citado reglamento, lo notificarán a las autoridades de homologación de la Parte contratan</w:t>
      </w:r>
      <w:r w:rsidRPr="00E00F43">
        <w:rPr>
          <w:rFonts w:ascii="Times New Roman" w:eastAsia="Times New Roman" w:hAnsi="Times New Roman" w:cs="Times New Roman"/>
          <w:sz w:val="28"/>
        </w:rPr>
        <w:t>te que haya expedido la homologación.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Parte contratante que haya expedido la homologación adoptará las medidas necesarias para garantizar la rectificación de la no conformidad.</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   Cuando la no conformidad se deba al incumplimiento de los requisitos té</w:t>
      </w:r>
      <w:r w:rsidRPr="00E00F43">
        <w:rPr>
          <w:rFonts w:ascii="Times New Roman" w:eastAsia="Times New Roman" w:hAnsi="Times New Roman" w:cs="Times New Roman"/>
          <w:sz w:val="28"/>
        </w:rPr>
        <w:t>cnicos especificados en un reglamento de las Naciones Unidas, tal como se establecen en el artículo 1, apartado 2, letra b), la Parte contratante que haya expedido la homologación informará inmediatamente a las demás Partes contratantes acerca de la situac</w:t>
      </w:r>
      <w:r w:rsidRPr="00E00F43">
        <w:rPr>
          <w:rFonts w:ascii="Times New Roman" w:eastAsia="Times New Roman" w:hAnsi="Times New Roman" w:cs="Times New Roman"/>
          <w:sz w:val="28"/>
        </w:rPr>
        <w:t>ión y notificará regularmente a las Partes contratantes las medidas que está tomando, que pueden incluir, en caso necesario, la retirada de la homologación.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Después de haber examinado el posible impacto en la seguridad de los vehículos, la protección del m</w:t>
      </w:r>
      <w:r w:rsidRPr="00E00F43">
        <w:rPr>
          <w:rFonts w:ascii="Times New Roman" w:eastAsia="Times New Roman" w:hAnsi="Times New Roman" w:cs="Times New Roman"/>
          <w:sz w:val="28"/>
        </w:rPr>
        <w:t>edio ambiente, el ahorro de energía y la protección con tecnología antirrobo, las Partes contratantes podrán prohibir la venta y el uso de dichos vehículos de ruedas, equipos y piezas en su territorio hasta que se haya rectificado esta no conformidad. En t</w:t>
      </w:r>
      <w:r w:rsidRPr="00E00F43">
        <w:rPr>
          <w:rFonts w:ascii="Times New Roman" w:eastAsia="Times New Roman" w:hAnsi="Times New Roman" w:cs="Times New Roman"/>
          <w:sz w:val="28"/>
        </w:rPr>
        <w:t>al caso, las Partes contratantes informarán de las medidas adoptadas a la secretaría del Comité de Administración. Para la resolución de litigios entre las Partes contratantes, se aplicará el procedimiento establecido en el artículo 10, apartado 4.</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   No</w:t>
      </w:r>
      <w:r w:rsidRPr="00E00F43">
        <w:rPr>
          <w:rFonts w:ascii="Times New Roman" w:eastAsia="Times New Roman" w:hAnsi="Times New Roman" w:cs="Times New Roman"/>
          <w:sz w:val="28"/>
        </w:rPr>
        <w:t xml:space="preserve"> obstante lo dispuesto en el apartado 1 del presente artículo, si un producto no conforme, contemplado en el apartado 2 del presente artículo, no vuelve a ser conforme en el plazo de tres meses, la Parte contratante responsable de la homologación retirará </w:t>
      </w:r>
      <w:r w:rsidRPr="00E00F43">
        <w:rPr>
          <w:rFonts w:ascii="Times New Roman" w:eastAsia="Times New Roman" w:hAnsi="Times New Roman" w:cs="Times New Roman"/>
          <w:sz w:val="28"/>
        </w:rPr>
        <w:t xml:space="preserve">la homologación de manera temporal o permanente. Excepcionalmente, este plazo podrá prorrogarse por un plazo no superior a tres meses, a menos que una o más Partes contratantes que apliquen el reglamento de las Naciones Unidas de que se trate se opongan a </w:t>
      </w:r>
      <w:r w:rsidRPr="00E00F43">
        <w:rPr>
          <w:rFonts w:ascii="Times New Roman" w:eastAsia="Times New Roman" w:hAnsi="Times New Roman" w:cs="Times New Roman"/>
          <w:sz w:val="28"/>
        </w:rPr>
        <w:t>ello. Cuando el plazo se haya ampliado, la Parte contratante que haya expedido la homologación notificará, dentro del plazo inicial de tres meses, a todas las Partes contratantes que apliquen el reglamento de las Naciones Unidas en cuestión su intención de</w:t>
      </w:r>
      <w:r w:rsidRPr="00E00F43">
        <w:rPr>
          <w:rFonts w:ascii="Times New Roman" w:eastAsia="Times New Roman" w:hAnsi="Times New Roman" w:cs="Times New Roman"/>
          <w:sz w:val="28"/>
        </w:rPr>
        <w:t xml:space="preserve"> ampliar el plazo en el que se deberá rectificar la no conformidad y proporcionar una justificación de dicha prórroga.</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4.   Cuando la no conformidad se deba al incumplimiento de las disposiciones administrativas, marcas de homologación, condiciones de </w:t>
      </w:r>
      <w:r w:rsidRPr="00E00F43">
        <w:rPr>
          <w:rFonts w:ascii="Times New Roman" w:eastAsia="Times New Roman" w:hAnsi="Times New Roman" w:cs="Times New Roman"/>
          <w:sz w:val="28"/>
        </w:rPr>
        <w:t>conformidad de la producción o documento de información especificados en un reglamento de las Naciones Unidas, tal como se especifica en el artículo 1, apartado 2, letras d) y f), la Parte contratante que haya expedido la homologación retirará de manera te</w:t>
      </w:r>
      <w:r w:rsidRPr="00E00F43">
        <w:rPr>
          <w:rFonts w:ascii="Times New Roman" w:eastAsia="Times New Roman" w:hAnsi="Times New Roman" w:cs="Times New Roman"/>
          <w:sz w:val="28"/>
        </w:rPr>
        <w:t>mporal o permanente la homologación si la no conformidad no se ha rectificado en un plazo de seis meses.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5.   Los apartados 1 a 4 del presente artículo se aplicarán asimismo a la situación en la que la Parte contratante responsable de la concesión de la ho</w:t>
      </w:r>
      <w:r w:rsidRPr="00E00F43">
        <w:rPr>
          <w:rFonts w:ascii="Times New Roman" w:eastAsia="Times New Roman" w:hAnsi="Times New Roman" w:cs="Times New Roman"/>
          <w:sz w:val="28"/>
        </w:rPr>
        <w:t>mologación compruebe que determinados vehículos de ruedas, equipos o piezas que llevan marcas de homologación no se ajustan a los tipos homologados o a los requisitos de un reglamento de las Naciones Unidas.</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5</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1.   Las autoridades de homologación </w:t>
      </w:r>
      <w:r w:rsidRPr="00E00F43">
        <w:rPr>
          <w:rFonts w:ascii="Times New Roman" w:eastAsia="Times New Roman" w:hAnsi="Times New Roman" w:cs="Times New Roman"/>
          <w:sz w:val="28"/>
        </w:rPr>
        <w:t>de cada una de las Partes contratantes que apliquen reglamentos de las Naciones Unidas enviarán, a petición de las demás Partes contratantes, una lista de los vehículos de ruedas, equipos y piezas para los que se hayan negado a conceder homologaciones o la</w:t>
      </w:r>
      <w:r w:rsidRPr="00E00F43">
        <w:rPr>
          <w:rFonts w:ascii="Times New Roman" w:eastAsia="Times New Roman" w:hAnsi="Times New Roman" w:cs="Times New Roman"/>
          <w:sz w:val="28"/>
        </w:rPr>
        <w:t>s hayan retirado.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   Además, en el momento de recibir una solicitud de otra Parte contratante que aplique un reglamento de las Naciones Unidas, deberá enviar, de inmediato y de conformidad con las disposiciones del anexo 5 del presente Acuerdo, a esa Par</w:t>
      </w:r>
      <w:r w:rsidRPr="00E00F43">
        <w:rPr>
          <w:rFonts w:ascii="Times New Roman" w:eastAsia="Times New Roman" w:hAnsi="Times New Roman" w:cs="Times New Roman"/>
          <w:sz w:val="28"/>
        </w:rPr>
        <w:t>te contratante una copia de toda la información pertinente en la que basa su decisión de conceder, denegar o retirar la homologación de un vehículo de ruedas, equipo o pieza con arreglo a dicho reglamento.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   La copia en papel puede sustituirse por un ar</w:t>
      </w:r>
      <w:r w:rsidRPr="00E00F43">
        <w:rPr>
          <w:rFonts w:ascii="Times New Roman" w:eastAsia="Times New Roman" w:hAnsi="Times New Roman" w:cs="Times New Roman"/>
          <w:sz w:val="28"/>
        </w:rPr>
        <w:t>chivo electrónico de conformidad con el anexo 5 del presente Acuerdo.</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6</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1.   Podrán ser Partes contratantes del presente Acuerdo los Estados miembros de la Comisión Económica para Europa, los países admitidos en la Comisión a título consultivo de </w:t>
      </w:r>
      <w:r w:rsidRPr="00E00F43">
        <w:rPr>
          <w:rFonts w:ascii="Times New Roman" w:eastAsia="Times New Roman" w:hAnsi="Times New Roman" w:cs="Times New Roman"/>
          <w:sz w:val="28"/>
        </w:rPr>
        <w:t>conformidad con el apartado 8 del Mandato de la Comisión y las organizaciones de integración económica regional creadas por los países miembros de la Comisión Económica para Europa a las que sus Estados miembros hayan transferido competencias en los ámbito</w:t>
      </w:r>
      <w:r w:rsidRPr="00E00F43">
        <w:rPr>
          <w:rFonts w:ascii="Times New Roman" w:eastAsia="Times New Roman" w:hAnsi="Times New Roman" w:cs="Times New Roman"/>
          <w:sz w:val="28"/>
        </w:rPr>
        <w:t>s comprendidos en el presente Acuerdo, incluida la facultad de tomar decisiones de carácter vinculante en los Estados miembros.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En el cálculo del número de votos a efectos del artículo 1, apartado 2, y del artículo 12, apartado 2, las organizaciones de int</w:t>
      </w:r>
      <w:r w:rsidRPr="00E00F43">
        <w:rPr>
          <w:rFonts w:ascii="Times New Roman" w:eastAsia="Times New Roman" w:hAnsi="Times New Roman" w:cs="Times New Roman"/>
          <w:sz w:val="28"/>
        </w:rPr>
        <w:t>egración económica regional dispondrán de un número de votos igual al número de sus Estados miembros que pertenezcan a la Comisión Económica para Europa.</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   Podrán ser Partes contratantes del presente Acuerdo los Estados miembros de las Naciones Unidas q</w:t>
      </w:r>
      <w:r w:rsidRPr="00E00F43">
        <w:rPr>
          <w:rFonts w:ascii="Times New Roman" w:eastAsia="Times New Roman" w:hAnsi="Times New Roman" w:cs="Times New Roman"/>
          <w:sz w:val="28"/>
        </w:rPr>
        <w:t>ue participen en ciertas actividades de la Comisión Económica para Europa de conformidad con el apartado 11 del Mandato de la Comisión y las organizaciones de integración económica regional a las que sus Estados miembros hayan transferido competencias en l</w:t>
      </w:r>
      <w:r w:rsidRPr="00E00F43">
        <w:rPr>
          <w:rFonts w:ascii="Times New Roman" w:eastAsia="Times New Roman" w:hAnsi="Times New Roman" w:cs="Times New Roman"/>
          <w:sz w:val="28"/>
        </w:rPr>
        <w:t>os ámbitos comprendidos en el presente Acuerdo, incluida la facultad de tomar decisiones de carácter vinculante en los Estados miembros.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En el cálculo del número de votos a efectos del artículo 1, apartado 2, y del artículo 12, apartado 2, las organizacion</w:t>
      </w:r>
      <w:r w:rsidRPr="00E00F43">
        <w:rPr>
          <w:rFonts w:ascii="Times New Roman" w:eastAsia="Times New Roman" w:hAnsi="Times New Roman" w:cs="Times New Roman"/>
          <w:sz w:val="28"/>
        </w:rPr>
        <w:t>es de integración económica regional dispondrán de un número de votos igual al número de sus Estados miembros que pertenezcan a las Naciones Unidas.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   La adhesión al presente Acuerdo de Partes contratantes que no lo fueran del Acuerdo de 1958 se efectua</w:t>
      </w:r>
      <w:r w:rsidRPr="00E00F43">
        <w:rPr>
          <w:rFonts w:ascii="Times New Roman" w:eastAsia="Times New Roman" w:hAnsi="Times New Roman" w:cs="Times New Roman"/>
          <w:sz w:val="28"/>
        </w:rPr>
        <w:t>rá mediante el depósito de un instrumento ante el Secretario General, después de que el presente Acuerdo haya entrado en vigor.</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7</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1.   El presente Acuerdo se considerará vigente nueve meses después del día en que el Secretario General lo remita a </w:t>
      </w:r>
      <w:r w:rsidRPr="00E00F43">
        <w:rPr>
          <w:rFonts w:ascii="Times New Roman" w:eastAsia="Times New Roman" w:hAnsi="Times New Roman" w:cs="Times New Roman"/>
          <w:sz w:val="28"/>
        </w:rPr>
        <w:t>todas las Partes contratantes del Acuerdo de 1958.</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   El presente Acuerdo no entrará en vigor si, en el plazo de seis meses desde la fecha en que el Secretario General lo remita a las Partes contratantes del Acuerdo de 1958, estas presentasen cualquier o</w:t>
      </w:r>
      <w:r w:rsidRPr="00E00F43">
        <w:rPr>
          <w:rFonts w:ascii="Times New Roman" w:eastAsia="Times New Roman" w:hAnsi="Times New Roman" w:cs="Times New Roman"/>
          <w:sz w:val="28"/>
        </w:rPr>
        <w:t>bjeción.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   Para todas las Partes contratantes nuevas que se adhieran al presente Acuerdo, este entrará en vigor el sexagésimo día siguiente al depósito del instrumento de adhesión.</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8</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1.   Cualquier Parte contratante podrá denunciar el presente </w:t>
      </w:r>
      <w:r w:rsidRPr="00E00F43">
        <w:rPr>
          <w:rFonts w:ascii="Times New Roman" w:eastAsia="Times New Roman" w:hAnsi="Times New Roman" w:cs="Times New Roman"/>
          <w:sz w:val="28"/>
        </w:rPr>
        <w:t>Acuerdo mediante notificación dirigida al Secretario General.</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   La denuncia surtirá efecto doce meses después de la fecha en que el Secretario General haya recibido la notificación correspondiente.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   Las homologaciones de tipo concedidas por la Parte</w:t>
      </w:r>
      <w:r w:rsidRPr="00E00F43">
        <w:rPr>
          <w:rFonts w:ascii="Times New Roman" w:eastAsia="Times New Roman" w:hAnsi="Times New Roman" w:cs="Times New Roman"/>
          <w:sz w:val="28"/>
        </w:rPr>
        <w:t xml:space="preserve"> contratante seguirán siendo válidas por un plazo de doce meses después de que la denuncia se haya hecho efectiva de conformidad con el artículo 8, apartado 2.</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9</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   Cualquier Parte contratante tal como se define en el artículo 6 del presente Acu</w:t>
      </w:r>
      <w:r w:rsidRPr="00E00F43">
        <w:rPr>
          <w:rFonts w:ascii="Times New Roman" w:eastAsia="Times New Roman" w:hAnsi="Times New Roman" w:cs="Times New Roman"/>
          <w:sz w:val="28"/>
        </w:rPr>
        <w:t>erdo podrá, en el momento de la adhesión o en cualquier momento posterior, declarar por medio de una notificación dirigida al Secretario General que el presente Acuerdo se aplicará a la totalidad o parte de los territorios de cuyas relaciones internacional</w:t>
      </w:r>
      <w:r w:rsidRPr="00E00F43">
        <w:rPr>
          <w:rFonts w:ascii="Times New Roman" w:eastAsia="Times New Roman" w:hAnsi="Times New Roman" w:cs="Times New Roman"/>
          <w:sz w:val="28"/>
        </w:rPr>
        <w:t>es sea responsable. El Acuerdo se aplicará al territorio o territorios mencionados en la notificación a partir del sexagésimo día siguiente a la fecha en que el Secretario General reciba dicha notificación.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   Cualquier Parte contratante tal como se defi</w:t>
      </w:r>
      <w:r w:rsidRPr="00E00F43">
        <w:rPr>
          <w:rFonts w:ascii="Times New Roman" w:eastAsia="Times New Roman" w:hAnsi="Times New Roman" w:cs="Times New Roman"/>
          <w:sz w:val="28"/>
        </w:rPr>
        <w:t>ne en el artículo 6 del presente Acuerdo que haya hecho una declaración de conformidad con el apartado 1 del presente artículo por la que amplíe el presente Acuerdo a cualquiera de los territorios de cuyas relaciones internacionales sea responsable podrá d</w:t>
      </w:r>
      <w:r w:rsidRPr="00E00F43">
        <w:rPr>
          <w:rFonts w:ascii="Times New Roman" w:eastAsia="Times New Roman" w:hAnsi="Times New Roman" w:cs="Times New Roman"/>
          <w:sz w:val="28"/>
        </w:rPr>
        <w:t>enunciar el Acuerdo por separado por lo que respecta a dicho territorio, de conformidad con las disposiciones del artículo 8.</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10</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   Cualquier discrepancia entre dos o más Partes contratantes relativa a la interpretación o aplicación del presente</w:t>
      </w:r>
      <w:r w:rsidRPr="00E00F43">
        <w:rPr>
          <w:rFonts w:ascii="Times New Roman" w:eastAsia="Times New Roman" w:hAnsi="Times New Roman" w:cs="Times New Roman"/>
          <w:sz w:val="28"/>
        </w:rPr>
        <w:t xml:space="preserve"> Acuerdo se solucionará, en la medida de lo posible, mediante negociación entre las Partes en litigio.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   Cualquier discrepancia que no se haya solucionado mediante negociación se someterá a arbitraje si una de las Partes contratantes en litigio así lo s</w:t>
      </w:r>
      <w:r w:rsidRPr="00E00F43">
        <w:rPr>
          <w:rFonts w:ascii="Times New Roman" w:eastAsia="Times New Roman" w:hAnsi="Times New Roman" w:cs="Times New Roman"/>
          <w:sz w:val="28"/>
        </w:rPr>
        <w:t>olicita, y se remitirá a uno o varios árbitros elegidos de común acuerdo por dichas Partes. Si en el plazo de tres meses a partir de la fecha de la solicitud de arbitraje, las Partes en litigio son incapaces de ponerse de acuerdo sobre la selección de un á</w:t>
      </w:r>
      <w:r w:rsidRPr="00E00F43">
        <w:rPr>
          <w:rFonts w:ascii="Times New Roman" w:eastAsia="Times New Roman" w:hAnsi="Times New Roman" w:cs="Times New Roman"/>
          <w:sz w:val="28"/>
        </w:rPr>
        <w:t>rbitro o árbitros, cualquiera de las Partes podrá solicitar al Secretario General que designe a un árbitro único al que se someterá el litigio para su sentencia.</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   La sentencia del árbitro o árbitros designados de conformidad con el apartado 2 del prese</w:t>
      </w:r>
      <w:r w:rsidRPr="00E00F43">
        <w:rPr>
          <w:rFonts w:ascii="Times New Roman" w:eastAsia="Times New Roman" w:hAnsi="Times New Roman" w:cs="Times New Roman"/>
          <w:sz w:val="28"/>
        </w:rPr>
        <w:t>nte artículo será vinculante para las Partes contratantes en litigio.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4.   Todo litigio que surja entre dos o más Partes contratantes relativo a la interpretación o aplicación de los reglamentos de las Naciones Unidas anejos al presente Acuerdo será resuel</w:t>
      </w:r>
      <w:r w:rsidRPr="00E00F43">
        <w:rPr>
          <w:rFonts w:ascii="Times New Roman" w:eastAsia="Times New Roman" w:hAnsi="Times New Roman" w:cs="Times New Roman"/>
          <w:sz w:val="28"/>
        </w:rPr>
        <w:t>to por la vía de la negociación de acuerdo con el procedimiento establecido en el anexo 6 del presente Acuerdo.</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11</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   Cualquier Parte contratante podrá declarar, en el momento de adherirse al presente Acuerdo, que no se considera vinculada por l</w:t>
      </w:r>
      <w:r w:rsidRPr="00E00F43">
        <w:rPr>
          <w:rFonts w:ascii="Times New Roman" w:eastAsia="Times New Roman" w:hAnsi="Times New Roman" w:cs="Times New Roman"/>
          <w:sz w:val="28"/>
        </w:rPr>
        <w:t>os apartados 1 a 3 del artículo 10 del Acuerdo. Las demás Partes contratantes no estarán vinculadas por los apartados 1 a 3 del artículo 10 a aquellas Partes contratantes que hayan formulado dicha reserva.</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2.   Toda Parte contratante que hubiere formulado </w:t>
      </w:r>
      <w:r w:rsidRPr="00E00F43">
        <w:rPr>
          <w:rFonts w:ascii="Times New Roman" w:eastAsia="Times New Roman" w:hAnsi="Times New Roman" w:cs="Times New Roman"/>
          <w:sz w:val="28"/>
        </w:rPr>
        <w:t>una reserva conforme a lo previsto en el apartado 1 del presente artículo podrá en cualquier momento retirarla mediante notificación dirigida al Secretario General.</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   No se permitirá ninguna otra reserva al presente Acuerdo, su apéndice, anexos y reglam</w:t>
      </w:r>
      <w:r w:rsidRPr="00E00F43">
        <w:rPr>
          <w:rFonts w:ascii="Times New Roman" w:eastAsia="Times New Roman" w:hAnsi="Times New Roman" w:cs="Times New Roman"/>
          <w:sz w:val="28"/>
        </w:rPr>
        <w:t xml:space="preserve">entos de las Naciones Unidas anejos; no obstante, cualquier Parte contratante podrá declarar, de conformidad con los términos del artículo 1, apartado 5, que no tiene intención de aplicar algunos de los reglamentos de las Naciones Unidas o que no tiene la </w:t>
      </w:r>
      <w:r w:rsidRPr="00E00F43">
        <w:rPr>
          <w:rFonts w:ascii="Times New Roman" w:eastAsia="Times New Roman" w:hAnsi="Times New Roman" w:cs="Times New Roman"/>
          <w:sz w:val="28"/>
        </w:rPr>
        <w:t>intención de aplicar ninguno de ellos.</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12</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Los reglamentos de las Naciones Unidas anejos al presente Acuerdo podrán modificarse de conformidad con el procedimiento siguiente:</w:t>
      </w:r>
    </w:p>
    <w:tbl>
      <w:tblPr>
        <w:tblW w:w="5000" w:type="pct"/>
        <w:shd w:val="clear" w:color="auto" w:fill="FFFFFF"/>
        <w:tblCellMar>
          <w:left w:w="0" w:type="dxa"/>
          <w:right w:w="0" w:type="dxa"/>
        </w:tblCellMar>
        <w:tblLook w:val="04A0" w:firstRow="1" w:lastRow="0" w:firstColumn="1" w:lastColumn="0" w:noHBand="0" w:noVBand="1"/>
      </w:tblPr>
      <w:tblGrid>
        <w:gridCol w:w="180"/>
        <w:gridCol w:w="865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Comité de Administración aprobará las modificaciones de los reglame</w:t>
            </w:r>
            <w:r w:rsidRPr="00E00F43">
              <w:rPr>
                <w:rFonts w:ascii="Times New Roman" w:eastAsia="Times New Roman" w:hAnsi="Times New Roman" w:cs="Times New Roman"/>
                <w:sz w:val="28"/>
              </w:rPr>
              <w:t>ntos de las Naciones Unidas con arreglo a lo dispuesto en el artículo 1, apartado 2, y al procedimiento recogido en el apéndice.</w:t>
            </w:r>
          </w:p>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Después de que se haya aprobado una modificación del reglamento de las Naciones Unidas, el Comité de Administración la comunica</w:t>
            </w:r>
            <w:r w:rsidRPr="00E00F43">
              <w:rPr>
                <w:rFonts w:ascii="Times New Roman" w:eastAsia="Times New Roman" w:hAnsi="Times New Roman" w:cs="Times New Roman"/>
                <w:sz w:val="28"/>
              </w:rPr>
              <w:t>rá al Secretario Ejecutivo de la Comisión Económica para Europa. Este notificará dicha modificación lo antes posible a las Partes contratantes que apliquen el reglamento de las Naciones Unidas y al Secretario General.</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180"/>
        <w:gridCol w:w="865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Una modificación de un reglamento</w:t>
            </w:r>
            <w:r w:rsidRPr="00E00F43">
              <w:rPr>
                <w:rFonts w:ascii="Times New Roman" w:eastAsia="Times New Roman" w:hAnsi="Times New Roman" w:cs="Times New Roman"/>
                <w:sz w:val="28"/>
              </w:rPr>
              <w:t xml:space="preserve"> de las Naciones Unidas se considerará adoptada a menos que, en un plazo de seis meses a partir de su notificación por el Secretario Ejecutivo de la Comisión Económica para Europa de las Naciones Unidas, más de una quinta parte de las Partes contratantes q</w:t>
            </w:r>
            <w:r w:rsidRPr="00E00F43">
              <w:rPr>
                <w:rFonts w:ascii="Times New Roman" w:eastAsia="Times New Roman" w:hAnsi="Times New Roman" w:cs="Times New Roman"/>
                <w:sz w:val="28"/>
              </w:rPr>
              <w:t>ue apliquen dicho reglamento en el momento de la notificación hayan informado al Secretario General de su desacuerdo con la modificación. Cuando se adopte una modificación de un reglamento de las Naciones Unidas, Secretario General declarará lo antes posib</w:t>
            </w:r>
            <w:r w:rsidRPr="00E00F43">
              <w:rPr>
                <w:rFonts w:ascii="Times New Roman" w:eastAsia="Times New Roman" w:hAnsi="Times New Roman" w:cs="Times New Roman"/>
                <w:sz w:val="28"/>
              </w:rPr>
              <w:t>le la modificación como adoptada y vinculante para las Partes contratantes que apliquen dicho reglamento.</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180"/>
        <w:gridCol w:w="865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Las modificaciones de un reglamento de las Naciones Unidas pueden incluir disposiciones transitorias relativas a la entrada en vigor del reglamento modificado, la fecha hasta la cual las Partes contratantes deberán aceptar homologaciones con arreglo a la v</w:t>
            </w:r>
            <w:r w:rsidRPr="00E00F43">
              <w:rPr>
                <w:rFonts w:ascii="Times New Roman" w:eastAsia="Times New Roman" w:hAnsi="Times New Roman" w:cs="Times New Roman"/>
                <w:sz w:val="28"/>
              </w:rPr>
              <w:t>ersión anterior del reglamento y la fecha a partir de la cual las Partes contratantes no estarán obligadas a aceptar las homologaciones de tipo expedidas con arreglo a la versión anterior del reglamento.</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180"/>
        <w:gridCol w:w="865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4.</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No obstante, aunque haya disposiciones transito</w:t>
            </w:r>
            <w:r w:rsidRPr="00E00F43">
              <w:rPr>
                <w:rFonts w:ascii="Times New Roman" w:eastAsia="Times New Roman" w:hAnsi="Times New Roman" w:cs="Times New Roman"/>
                <w:sz w:val="28"/>
              </w:rPr>
              <w:t>rias en cualquier versión de los reglamentos de las Naciones Unidas que dispongan lo contrario, las Partes contratantes del presente Acuerdo que apliquen dichos reglamentos podrán expedir homologaciones de tipo con arreglo a las versiones anteriores de dic</w:t>
            </w:r>
            <w:r w:rsidRPr="00E00F43">
              <w:rPr>
                <w:rFonts w:ascii="Times New Roman" w:eastAsia="Times New Roman" w:hAnsi="Times New Roman" w:cs="Times New Roman"/>
                <w:sz w:val="28"/>
              </w:rPr>
              <w:t xml:space="preserve">hos reglamentos, a reserva del cumplimiento de las disposiciones del artículo 2. Sin embargo, a reserva del apartado 3 del presente artículo, las Partes contratantes que apliquen un reglamento de las Naciones Unidas no tendrán la obligación de aceptar las </w:t>
            </w:r>
            <w:r w:rsidRPr="00E00F43">
              <w:rPr>
                <w:rFonts w:ascii="Times New Roman" w:eastAsia="Times New Roman" w:hAnsi="Times New Roman" w:cs="Times New Roman"/>
                <w:sz w:val="28"/>
              </w:rPr>
              <w:t>homologaciones de tipo expedidas con arreglo a esas versiones anteriores.</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180"/>
        <w:gridCol w:w="865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5.</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Todas las Partes contratantes que apliquen un reglamento de las Naciones Unidas, excepto las que hayan notificado al Secretario General su intención de dejar de aplicar dicho re</w:t>
            </w:r>
            <w:r w:rsidRPr="00E00F43">
              <w:rPr>
                <w:rFonts w:ascii="Times New Roman" w:eastAsia="Times New Roman" w:hAnsi="Times New Roman" w:cs="Times New Roman"/>
                <w:sz w:val="28"/>
              </w:rPr>
              <w:t xml:space="preserve">glamento, deberán aceptar las homologaciones concedidas con arreglo a la versión más reciente de dicho reglamento. Toda Parte contratante que haya notificado al Secretario General su intención de dejar de aplicar un reglamento de las Naciones Unidas podrá </w:t>
            </w:r>
            <w:r w:rsidRPr="00E00F43">
              <w:rPr>
                <w:rFonts w:ascii="Times New Roman" w:eastAsia="Times New Roman" w:hAnsi="Times New Roman" w:cs="Times New Roman"/>
                <w:sz w:val="28"/>
              </w:rPr>
              <w:t>aceptar las homologaciones concedidas con arreglo a las versiones de dicho reglamento aplicables a dicha Parte contratante a instancias de su notificación al Secretario General, durante el plazo de un año mencionado en el artículo 1, apartado 6.</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180"/>
        <w:gridCol w:w="865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6.</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Toda </w:t>
            </w:r>
            <w:r w:rsidRPr="00E00F43">
              <w:rPr>
                <w:rFonts w:ascii="Times New Roman" w:eastAsia="Times New Roman" w:hAnsi="Times New Roman" w:cs="Times New Roman"/>
                <w:sz w:val="28"/>
              </w:rPr>
              <w:t>Parte contratante que aplique un reglamento de las Naciones Unidas podrá conceder una homologación con exención en virtud de dicho reglamento a un único tipo de vehículo con ruedas, equipo o pieza que se base en una tecnología nueva, si esta no está compre</w:t>
            </w:r>
            <w:r w:rsidRPr="00E00F43">
              <w:rPr>
                <w:rFonts w:ascii="Times New Roman" w:eastAsia="Times New Roman" w:hAnsi="Times New Roman" w:cs="Times New Roman"/>
                <w:sz w:val="28"/>
              </w:rPr>
              <w:t>ndida en el actual reglamento de las Naciones Unidas y es incompatible con uno o más de los requisitos de dicho reglamento. En tal caso, se aplicarán los procedimientos establecidos en el anexo 7 del presente Acuerdo.</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180"/>
        <w:gridCol w:w="865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7.</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En el caso de que una nueva Parte</w:t>
            </w:r>
            <w:r w:rsidRPr="00E00F43">
              <w:rPr>
                <w:rFonts w:ascii="Times New Roman" w:eastAsia="Times New Roman" w:hAnsi="Times New Roman" w:cs="Times New Roman"/>
                <w:sz w:val="28"/>
              </w:rPr>
              <w:t xml:space="preserve"> contratante se adhiera al presente Acuerdo entre el momento de la notificación, por parte del Secretario Ejecutivo de la Comisión Económica para Europa de las Naciones Unidas, de la modificación de un reglamento de las Naciones Unidas y de su entrada en v</w:t>
            </w:r>
            <w:r w:rsidRPr="00E00F43">
              <w:rPr>
                <w:rFonts w:ascii="Times New Roman" w:eastAsia="Times New Roman" w:hAnsi="Times New Roman" w:cs="Times New Roman"/>
                <w:sz w:val="28"/>
              </w:rPr>
              <w:t>igor, el reglamento en cuestión entrará en vigor para dicha Parte contratante, a menos que dicha Parte informe al Secretario General de su desacuerdo con la modificación dentro de un plazo de seis meses a partir de su notificación de adhesión por el Secret</w:t>
            </w:r>
            <w:r w:rsidRPr="00E00F43">
              <w:rPr>
                <w:rFonts w:ascii="Times New Roman" w:eastAsia="Times New Roman" w:hAnsi="Times New Roman" w:cs="Times New Roman"/>
                <w:sz w:val="28"/>
              </w:rPr>
              <w:t>ario General.</w:t>
            </w:r>
          </w:p>
        </w:tc>
      </w:tr>
    </w:tbl>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13</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texto del Acuerdo en sí y de su apéndice podrá modificarse de acuerdo con el siguiente procedimiento:</w:t>
      </w:r>
    </w:p>
    <w:tbl>
      <w:tblPr>
        <w:tblW w:w="5000" w:type="pct"/>
        <w:shd w:val="clear" w:color="auto" w:fill="FFFFFF"/>
        <w:tblCellMar>
          <w:left w:w="0" w:type="dxa"/>
          <w:right w:w="0" w:type="dxa"/>
        </w:tblCellMar>
        <w:tblLook w:val="04A0" w:firstRow="1" w:lastRow="0" w:firstColumn="1" w:lastColumn="0" w:noHBand="0" w:noVBand="1"/>
      </w:tblPr>
      <w:tblGrid>
        <w:gridCol w:w="180"/>
        <w:gridCol w:w="865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Cualquier Parte contratante podrá proponer una o varias modificaciones del presente Acuerdo y su apéndice. El texto de lo</w:t>
            </w:r>
            <w:r w:rsidRPr="00E00F43">
              <w:rPr>
                <w:rFonts w:ascii="Times New Roman" w:eastAsia="Times New Roman" w:hAnsi="Times New Roman" w:cs="Times New Roman"/>
                <w:sz w:val="28"/>
              </w:rPr>
              <w:t>s proyectos de modificación del Acuerdo y su apéndice se remitirá al Secretario General, que lo comunicará a todas las Partes contratantes y a los demás países a que se refiere el artículo 6, apartado 1.</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180"/>
        <w:gridCol w:w="865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Todos los proyectos de modificación remitidos </w:t>
            </w:r>
            <w:r w:rsidRPr="00E00F43">
              <w:rPr>
                <w:rFonts w:ascii="Times New Roman" w:eastAsia="Times New Roman" w:hAnsi="Times New Roman" w:cs="Times New Roman"/>
                <w:sz w:val="28"/>
              </w:rPr>
              <w:t>conforme al apartado 1 del presente artículo se considerarán aprobados si ninguna Parte contratante formula objeciones en el plazo de nueve meses a partir de la fecha en que el Secretario General remita el proyecto de modificación.</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180"/>
        <w:gridCol w:w="865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Secretario Gener</w:t>
            </w:r>
            <w:r w:rsidRPr="00E00F43">
              <w:rPr>
                <w:rFonts w:ascii="Times New Roman" w:eastAsia="Times New Roman" w:hAnsi="Times New Roman" w:cs="Times New Roman"/>
                <w:sz w:val="28"/>
              </w:rPr>
              <w:t xml:space="preserve">al comunicará lo antes posible a todas las Partes contratantes que se ha formulado una objeción al proyecto de modificación. Si se formula alguna objeción, la modificación no se considerará aprobada y no surtirá efecto alguno. Caso de no haber objeciones, </w:t>
            </w:r>
            <w:r w:rsidRPr="00E00F43">
              <w:rPr>
                <w:rFonts w:ascii="Times New Roman" w:eastAsia="Times New Roman" w:hAnsi="Times New Roman" w:cs="Times New Roman"/>
                <w:sz w:val="28"/>
              </w:rPr>
              <w:t>la modificación entrará en vigor para todas las Partes contratantes tres meses después de que concluya el plazo de nueve meses mencionado en el apartado 2 del presente artículo.</w:t>
            </w:r>
          </w:p>
        </w:tc>
      </w:tr>
    </w:tbl>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13 </w:t>
      </w:r>
      <w:r w:rsidRPr="00E00F43">
        <w:rPr>
          <w:rFonts w:ascii="Times New Roman" w:eastAsia="Times New Roman" w:hAnsi="Times New Roman" w:cs="Times New Roman"/>
          <w:b/>
          <w:bCs/>
          <w:i/>
          <w:iCs/>
          <w:sz w:val="28"/>
        </w:rPr>
        <w:t>bis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   Los anexos de disposiciones administrativas y de procedi</w:t>
      </w:r>
      <w:r w:rsidRPr="00E00F43">
        <w:rPr>
          <w:rFonts w:ascii="Times New Roman" w:eastAsia="Times New Roman" w:hAnsi="Times New Roman" w:cs="Times New Roman"/>
          <w:sz w:val="28"/>
        </w:rPr>
        <w:t>miento del presente Acuerdo podrán modificarse de conformidad con el procedimiento siguiente:</w:t>
      </w:r>
    </w:p>
    <w:tbl>
      <w:tblPr>
        <w:tblW w:w="5000" w:type="pct"/>
        <w:shd w:val="clear" w:color="auto" w:fill="FFFFFF"/>
        <w:tblCellMar>
          <w:left w:w="0" w:type="dxa"/>
          <w:right w:w="0" w:type="dxa"/>
        </w:tblCellMar>
        <w:tblLook w:val="04A0" w:firstRow="1" w:lastRow="0" w:firstColumn="1" w:lastColumn="0" w:noHBand="0" w:noVBand="1"/>
      </w:tblPr>
      <w:tblGrid>
        <w:gridCol w:w="360"/>
        <w:gridCol w:w="847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1.1.</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Comité de Administración a que se refiere el artículo 1, apartado 1, aprobará las modificaciones de los anexos de disposiciones administrativas y de proce</w:t>
            </w:r>
            <w:r w:rsidRPr="00E00F43">
              <w:rPr>
                <w:rFonts w:ascii="Times New Roman" w:eastAsia="Times New Roman" w:hAnsi="Times New Roman" w:cs="Times New Roman"/>
                <w:sz w:val="28"/>
              </w:rPr>
              <w:t>dimiento de conformidad con el procedimiento indicado en el artículo 7 del apéndice del presente Acuerdo.</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360"/>
        <w:gridCol w:w="847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1.2.</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El Comité de Administración comunicará al Secretario General toda modificación de los anexos de disposiciones administrativas y de </w:t>
            </w:r>
            <w:r w:rsidRPr="00E00F43">
              <w:rPr>
                <w:rFonts w:ascii="Times New Roman" w:eastAsia="Times New Roman" w:hAnsi="Times New Roman" w:cs="Times New Roman"/>
                <w:sz w:val="28"/>
              </w:rPr>
              <w:t>procedimiento. Este notificará dicha modificación lo antes posible a las Partes contratantes que apliquen uno o más reglamentos de las Naciones Unidas.</w:t>
            </w:r>
          </w:p>
        </w:tc>
      </w:tr>
    </w:tbl>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2.   Una modificación de los anexos de disposiciones administrativas y de procedimiento se considerará </w:t>
      </w:r>
      <w:r w:rsidRPr="00E00F43">
        <w:rPr>
          <w:rFonts w:ascii="Times New Roman" w:eastAsia="Times New Roman" w:hAnsi="Times New Roman" w:cs="Times New Roman"/>
          <w:sz w:val="28"/>
        </w:rPr>
        <w:t>adoptada si, en un plazo de seis meses a partir de su notificación por el Secretario General, ninguna Parte contratante que aplique uno o más reglamentos de las Naciones Unidas haya informado al Secretario General de su desacuerdo con la modificación.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   El Secretario General notificará lo antes posible a todas las Partes contratantes del Acuerdo que apliquen uno o más reglamentos de las Naciones Unidas si se ha formulado una objeción a la modificación propuesta. Si se formula alguna objeción, la modi</w:t>
      </w:r>
      <w:r w:rsidRPr="00E00F43">
        <w:rPr>
          <w:rFonts w:ascii="Times New Roman" w:eastAsia="Times New Roman" w:hAnsi="Times New Roman" w:cs="Times New Roman"/>
          <w:sz w:val="28"/>
        </w:rPr>
        <w:t>ficación no se considerará aprobada y no surtirá efecto alguno. Caso de no haber objeciones, la modificación entrará en vigor para todas las Partes contratantes tres meses después de que concluya el plazo de seis meses mencionado en el apartado 2 del prese</w:t>
      </w:r>
      <w:r w:rsidRPr="00E00F43">
        <w:rPr>
          <w:rFonts w:ascii="Times New Roman" w:eastAsia="Times New Roman" w:hAnsi="Times New Roman" w:cs="Times New Roman"/>
          <w:sz w:val="28"/>
        </w:rPr>
        <w:t>nte artículo.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4.   Un nuevo anexo se considerará una modificación de los anexos de disposiciones administrativas y de procedimiento y, por lo tanto, se aprobará de acuerdo con el procedimiento estipulado en el presente artículo.</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14</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   De conform</w:t>
      </w:r>
      <w:r w:rsidRPr="00E00F43">
        <w:rPr>
          <w:rFonts w:ascii="Times New Roman" w:eastAsia="Times New Roman" w:hAnsi="Times New Roman" w:cs="Times New Roman"/>
          <w:sz w:val="28"/>
        </w:rPr>
        <w:t>idad con las disposiciones del presente Acuerdo, el Secretario General notificará a las Partes contratantes:</w:t>
      </w:r>
    </w:p>
    <w:tbl>
      <w:tblPr>
        <w:tblW w:w="5000" w:type="pct"/>
        <w:shd w:val="clear" w:color="auto" w:fill="FFFFFF"/>
        <w:tblCellMar>
          <w:left w:w="0" w:type="dxa"/>
          <w:right w:w="0" w:type="dxa"/>
        </w:tblCellMar>
        <w:tblLook w:val="04A0" w:firstRow="1" w:lastRow="0" w:firstColumn="1" w:lastColumn="0" w:noHBand="0" w:noVBand="1"/>
      </w:tblPr>
      <w:tblGrid>
        <w:gridCol w:w="433"/>
        <w:gridCol w:w="8405"/>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las adhesiones conforme al artículo 6;</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231"/>
        <w:gridCol w:w="8607"/>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las fechas en que el presente Acuerdo entrará en vigor conforme al artículo 7;</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444"/>
        <w:gridCol w:w="8394"/>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las denuncias </w:t>
            </w:r>
            <w:r w:rsidRPr="00E00F43">
              <w:rPr>
                <w:rFonts w:ascii="Times New Roman" w:eastAsia="Times New Roman" w:hAnsi="Times New Roman" w:cs="Times New Roman"/>
                <w:sz w:val="28"/>
              </w:rPr>
              <w:t>conforme al artículo 8;</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350"/>
        <w:gridCol w:w="848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las notificaciones recibidas conforme al artículo 9;</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las declaraciones y notificaciones recibidas conforme al artículo 11, apartados 1 y 2;</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160"/>
        <w:gridCol w:w="867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f)</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la entrada en vigor de cualquier nuevo reglamento de las Naciones Unidas y </w:t>
            </w:r>
            <w:r w:rsidRPr="00E00F43">
              <w:rPr>
                <w:rFonts w:ascii="Times New Roman" w:eastAsia="Times New Roman" w:hAnsi="Times New Roman" w:cs="Times New Roman"/>
                <w:sz w:val="28"/>
              </w:rPr>
              <w:t>toda modificación de un reglamento existente de las Naciones Unidas conforme al artículo 1, apartados 2, 3, 5 y 7, y al artículo 12, apartado 2;</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g)</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entrada en vigor de toda modificación del Acuerdo, su apéndice o los anexos de disposiciones administra</w:t>
            </w:r>
            <w:r w:rsidRPr="00E00F43">
              <w:rPr>
                <w:rFonts w:ascii="Times New Roman" w:eastAsia="Times New Roman" w:hAnsi="Times New Roman" w:cs="Times New Roman"/>
                <w:sz w:val="28"/>
              </w:rPr>
              <w:t>tivas y de procedimiento conforme al artículo 13, apartado 3, o al artículo 13 </w:t>
            </w:r>
            <w:r w:rsidRPr="00E00F43">
              <w:rPr>
                <w:rFonts w:ascii="Times New Roman" w:eastAsia="Times New Roman" w:hAnsi="Times New Roman" w:cs="Times New Roman"/>
                <w:i/>
                <w:iCs/>
                <w:sz w:val="28"/>
              </w:rPr>
              <w:t>bis</w:t>
            </w:r>
            <w:r w:rsidRPr="00E00F43">
              <w:rPr>
                <w:rFonts w:ascii="Times New Roman" w:eastAsia="Times New Roman" w:hAnsi="Times New Roman" w:cs="Times New Roman"/>
                <w:sz w:val="28"/>
              </w:rPr>
              <w:t>, apartado 3, respectivamente;</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h)</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cese de la aplicación del Reglamento de las Naciones Unidas por las Partes contratantes conforme al artículo 1, apartado 6.</w:t>
            </w:r>
          </w:p>
        </w:tc>
      </w:tr>
    </w:tbl>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2.   De </w:t>
      </w:r>
      <w:r w:rsidRPr="00E00F43">
        <w:rPr>
          <w:rFonts w:ascii="Times New Roman" w:eastAsia="Times New Roman" w:hAnsi="Times New Roman" w:cs="Times New Roman"/>
          <w:sz w:val="28"/>
        </w:rPr>
        <w:t>conformidad con las disposiciones del presente Acuerdo y sus anexos de disposiciones administrativas y de procedimiento, el Secretario Ejecutivo de la Comisión Económica para Europa de las Naciones Unidas notificará:</w:t>
      </w:r>
    </w:p>
    <w:tbl>
      <w:tblPr>
        <w:tblW w:w="5000" w:type="pct"/>
        <w:shd w:val="clear" w:color="auto" w:fill="FFFFFF"/>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al Secretario General y a las Partes</w:t>
            </w:r>
            <w:r w:rsidRPr="00E00F43">
              <w:rPr>
                <w:rFonts w:ascii="Times New Roman" w:eastAsia="Times New Roman" w:hAnsi="Times New Roman" w:cs="Times New Roman"/>
                <w:sz w:val="28"/>
              </w:rPr>
              <w:t xml:space="preserve"> contratantes, la aprobación de una modificación de un reglamento de las Naciones Unidas, conforme al artículo 12, apartado 2;</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shd w:val="clear" w:color="auto" w:fill="FFFFFF"/>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FFFFFF"/>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 las Partes contratantes, la decisión del Comité de Administración de una solicitud de homologación con exención y, posteri</w:t>
            </w:r>
            <w:r w:rsidRPr="00E00F43">
              <w:rPr>
                <w:rFonts w:ascii="Times New Roman" w:eastAsia="Times New Roman" w:hAnsi="Times New Roman" w:cs="Times New Roman"/>
                <w:sz w:val="28"/>
              </w:rPr>
              <w:t>ormente, su adopción conforme al anexo 7, apartado 5.</w:t>
            </w:r>
          </w:p>
        </w:tc>
      </w:tr>
    </w:tbl>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15</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   Si en la fecha de entrada en vigor de las disposiciones anteriores se han iniciado los procedimientos establecidos en el artículo 1, apartados 3 y 4, de la versión anterior del Acuerdo</w:t>
      </w:r>
      <w:r w:rsidRPr="00E00F43">
        <w:rPr>
          <w:rFonts w:ascii="Times New Roman" w:eastAsia="Times New Roman" w:hAnsi="Times New Roman" w:cs="Times New Roman"/>
          <w:sz w:val="28"/>
        </w:rPr>
        <w:t xml:space="preserve"> con el fin de adoptar un nuevo reglamento de las Naciones Unidas, este entrará en vigor con arreglo a las disposiciones del apartado 4 de dicho artículo.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   Si en la fecha de entrada en vigor de las disposiciones anteriores se han iniciado los procedimi</w:t>
      </w:r>
      <w:r w:rsidRPr="00E00F43">
        <w:rPr>
          <w:rFonts w:ascii="Times New Roman" w:eastAsia="Times New Roman" w:hAnsi="Times New Roman" w:cs="Times New Roman"/>
          <w:sz w:val="28"/>
        </w:rPr>
        <w:t>entos establecidos en el artículo 12, apartado 1, de la versión anterior del Acuerdo con el fin de adoptar una modificación de un reglamento de las Naciones Unidas, esta entrará en vigor con arreglo a las disposiciones de dicho artículo.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3.   Si todas las </w:t>
      </w:r>
      <w:r w:rsidRPr="00E00F43">
        <w:rPr>
          <w:rFonts w:ascii="Times New Roman" w:eastAsia="Times New Roman" w:hAnsi="Times New Roman" w:cs="Times New Roman"/>
          <w:sz w:val="28"/>
        </w:rPr>
        <w:t>Partes contratantes en el Acuerdo están de acuerdo, cualquier reglamento de las Naciones Unidas adoptado en virtud de los términos de la versión anterior del Acuerdo se puede tratar como si se tratara de un reglamento de las Naciones Unidas adoptado confor</w:t>
      </w:r>
      <w:r w:rsidRPr="00E00F43">
        <w:rPr>
          <w:rFonts w:ascii="Times New Roman" w:eastAsia="Times New Roman" w:hAnsi="Times New Roman" w:cs="Times New Roman"/>
          <w:sz w:val="28"/>
        </w:rPr>
        <w:t>me a las disposiciones anteriores.</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16</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presente Acuerdo se realizó en Ginebra en un solo ejemplar en los idiomas inglés, francés y ruso, siendo cada uno de estos textos igualmente auténticos.</w:t>
      </w:r>
    </w:p>
    <w:p w:rsidR="00651E84" w:rsidRPr="00E00F43" w:rsidRDefault="00E00F43" w:rsidP="00374DDD">
      <w:pPr>
        <w:spacing w:before="120" w:after="120" w:line="240" w:lineRule="auto"/>
        <w:rPr>
          <w:rFonts w:ascii="Times New Roman" w:eastAsia="Times New Roman" w:hAnsi="Times New Roman" w:cs="Times New Roman"/>
          <w:sz w:val="28"/>
        </w:rPr>
      </w:pPr>
      <w:r w:rsidRPr="00E00F43">
        <w:rPr>
          <w:rFonts w:ascii="Times New Roman" w:eastAsia="Times New Roman" w:hAnsi="Times New Roman" w:cs="Times New Roman"/>
          <w:noProof/>
          <w:sz w:val="28"/>
        </w:rPr>
        <w:pict w14:anchorId="729878FE">
          <v:rect id="_x0000_i1026" alt="" style="width:63.75pt;height:.75pt;mso-width-percent:0;mso-height-percent:0;mso-width-percent:0;mso-height-percent:0" o:hrpct="0" o:hralign="center" o:hrstd="t" o:hrnoshade="t" o:hr="t" fillcolor="black" stroked="f"/>
        </w:pict>
      </w:r>
    </w:p>
    <w:p w:rsidR="00651E84" w:rsidRPr="00E00F43" w:rsidRDefault="00E00F43" w:rsidP="00374DDD">
      <w:pPr>
        <w:shd w:val="clear" w:color="auto" w:fill="FFFFFF"/>
        <w:spacing w:before="240" w:after="120" w:line="240" w:lineRule="auto"/>
        <w:jc w:val="center"/>
        <w:rPr>
          <w:rFonts w:ascii="Times New Roman" w:eastAsia="Times New Roman" w:hAnsi="Times New Roman" w:cs="Times New Roman"/>
          <w:b/>
          <w:bCs/>
          <w:sz w:val="28"/>
        </w:rPr>
      </w:pPr>
      <w:r w:rsidRPr="00E00F43">
        <w:rPr>
          <w:rFonts w:ascii="Times New Roman" w:eastAsia="Times New Roman" w:hAnsi="Times New Roman" w:cs="Times New Roman"/>
          <w:b/>
          <w:bCs/>
          <w:sz w:val="28"/>
        </w:rPr>
        <w:t>APÉNDICE</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Composición y reglamento interno del Comit</w:t>
      </w:r>
      <w:r w:rsidRPr="00E00F43">
        <w:rPr>
          <w:rFonts w:ascii="Times New Roman" w:eastAsia="Times New Roman" w:hAnsi="Times New Roman" w:cs="Times New Roman"/>
          <w:b/>
          <w:bCs/>
          <w:sz w:val="28"/>
        </w:rPr>
        <w:t>é de Administración</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1</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Comité de Administración estará integrado por todas las Partes del Acuerdo modificado.</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2</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Secretario Ejecutivo de la Comisión Económica para Europa se hará cargo de las funciones de secretaría del Comité.</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w:t>
      </w:r>
      <w:r w:rsidRPr="00E00F43">
        <w:rPr>
          <w:rFonts w:ascii="Times New Roman" w:eastAsia="Times New Roman" w:hAnsi="Times New Roman" w:cs="Times New Roman"/>
          <w:i/>
          <w:iCs/>
          <w:sz w:val="28"/>
        </w:rPr>
        <w:t>lo 3</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Comité elegirá todos los años en su primera sesión un presidente y un vicepresidente.</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4</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Secretario General de las Naciones Unidas convocará al Comité bajo los auspicios de la Comisión Económica para Europa cada vez que se deba aprobar u</w:t>
      </w:r>
      <w:r w:rsidRPr="00E00F43">
        <w:rPr>
          <w:rFonts w:ascii="Times New Roman" w:eastAsia="Times New Roman" w:hAnsi="Times New Roman" w:cs="Times New Roman"/>
          <w:sz w:val="28"/>
        </w:rPr>
        <w:t>n nuevo reglamento de las Naciones Unidas, una modificación de un reglamento de las Naciones Unidas, una notificación de conformidad con el procedimiento para la homologación con exención para nuevas tecnologías (establecido en el anexo 7) o una modificaci</w:t>
      </w:r>
      <w:r w:rsidRPr="00E00F43">
        <w:rPr>
          <w:rFonts w:ascii="Times New Roman" w:eastAsia="Times New Roman" w:hAnsi="Times New Roman" w:cs="Times New Roman"/>
          <w:sz w:val="28"/>
        </w:rPr>
        <w:t>ón de los anexos de disposiciones administrativas y de procedimiento.</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5</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Los proyectos de reglamentos nuevos de las Naciones Unidas se someterán a votación. Cada país Parte del Acuerdo dispondrá de un voto. Para aprobar decisiones se necesitará, al</w:t>
      </w:r>
      <w:r w:rsidRPr="00E00F43">
        <w:rPr>
          <w:rFonts w:ascii="Times New Roman" w:eastAsia="Times New Roman" w:hAnsi="Times New Roman" w:cs="Times New Roman"/>
          <w:sz w:val="28"/>
        </w:rPr>
        <w:t xml:space="preserve"> menos, el voto de la mitad de las Partes contratantes. En el cálculo del quórum, las organizaciones de integración económica regional que intervengan en calidad de Partes contratantes del Acuerdo dispondrán de un número de votos igual al de los Estados mi</w:t>
      </w:r>
      <w:r w:rsidRPr="00E00F43">
        <w:rPr>
          <w:rFonts w:ascii="Times New Roman" w:eastAsia="Times New Roman" w:hAnsi="Times New Roman" w:cs="Times New Roman"/>
          <w:sz w:val="28"/>
        </w:rPr>
        <w:t>embros que representen. El representante de una organización de integración económica regional podrá emitir los votos de los países soberanos que la constituyan. Para aprobar un proyecto de reglamento nuevo de las Naciones Unidas será necesaria una mayoría</w:t>
      </w:r>
      <w:r w:rsidRPr="00E00F43">
        <w:rPr>
          <w:rFonts w:ascii="Times New Roman" w:eastAsia="Times New Roman" w:hAnsi="Times New Roman" w:cs="Times New Roman"/>
          <w:sz w:val="28"/>
        </w:rPr>
        <w:t xml:space="preserve"> de cuatro quintas partes de los votos de los miembros presentes y votantes.</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6</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Los proyectos de modificación de reglamentos de las Naciones Unidas se someterán a votación. Cada país Parte contratante del Acuerdo que aplique el reglamento de las Na</w:t>
      </w:r>
      <w:r w:rsidRPr="00E00F43">
        <w:rPr>
          <w:rFonts w:ascii="Times New Roman" w:eastAsia="Times New Roman" w:hAnsi="Times New Roman" w:cs="Times New Roman"/>
          <w:sz w:val="28"/>
        </w:rPr>
        <w:t>ciones Unidas dispondrá de un voto. Para aprobar decisiones se necesitará, al menos, el voto de la mitad de las Partes contratantes que apliquen el reglamento de las Naciones Unidas. En el cálculo del quórum, las organizaciones de integración económica reg</w:t>
      </w:r>
      <w:r w:rsidRPr="00E00F43">
        <w:rPr>
          <w:rFonts w:ascii="Times New Roman" w:eastAsia="Times New Roman" w:hAnsi="Times New Roman" w:cs="Times New Roman"/>
          <w:sz w:val="28"/>
        </w:rPr>
        <w:t>ional que intervengan en calidad de Partes contratantes del Acuerdo dispondrán de un número de votos igual al de los Estados miembros que representen. El representante de una organización de integración económica regional podrá emitir los votos de los país</w:t>
      </w:r>
      <w:r w:rsidRPr="00E00F43">
        <w:rPr>
          <w:rFonts w:ascii="Times New Roman" w:eastAsia="Times New Roman" w:hAnsi="Times New Roman" w:cs="Times New Roman"/>
          <w:sz w:val="28"/>
        </w:rPr>
        <w:t>es soberanos que la constituyan que apliquen el reglamento de las Naciones Unidas. Para aprobar un proyecto de modificación de reglamento de las Naciones Unidas será necesaria una mayoría de cuatro quintas partes de los votos de los miembros presentes y vo</w:t>
      </w:r>
      <w:r w:rsidRPr="00E00F43">
        <w:rPr>
          <w:rFonts w:ascii="Times New Roman" w:eastAsia="Times New Roman" w:hAnsi="Times New Roman" w:cs="Times New Roman"/>
          <w:sz w:val="28"/>
        </w:rPr>
        <w:t>tantes.</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Artículo 7</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Las modificaciones propuestas de los anexos de disposiciones administrativas y de procedimiento del presente Acuerdo se someterán a votación. Cada una de las Partes contratantes del Acuerdo que aplique uno o más reglamentos de las Nacion</w:t>
      </w:r>
      <w:r w:rsidRPr="00E00F43">
        <w:rPr>
          <w:rFonts w:ascii="Times New Roman" w:eastAsia="Times New Roman" w:hAnsi="Times New Roman" w:cs="Times New Roman"/>
          <w:sz w:val="28"/>
        </w:rPr>
        <w:t>es Unidas tendrá un voto. Para aprobar decisiones se necesitará, al menos, el voto de la mitad de las Partes contratantes del Acuerdo que apliquen uno o más reglamentos de las Naciones Unidas. En el cálculo del quórum, las organizaciones de integración eco</w:t>
      </w:r>
      <w:r w:rsidRPr="00E00F43">
        <w:rPr>
          <w:rFonts w:ascii="Times New Roman" w:eastAsia="Times New Roman" w:hAnsi="Times New Roman" w:cs="Times New Roman"/>
          <w:sz w:val="28"/>
        </w:rPr>
        <w:t>nómica regional que intervengan en calidad de Partes contratantes del Acuerdo dispondrán de un número de votos igual al de los Estados miembros que representen. El representante de una organización de integración económica regional podrá emitir los votos d</w:t>
      </w:r>
      <w:r w:rsidRPr="00E00F43">
        <w:rPr>
          <w:rFonts w:ascii="Times New Roman" w:eastAsia="Times New Roman" w:hAnsi="Times New Roman" w:cs="Times New Roman"/>
          <w:sz w:val="28"/>
        </w:rPr>
        <w:t>e los países soberanos que la constituyan que apliquen uno o más reglamentos de las Naciones Unidas. Los proyectos de modificación de los anexos de disposiciones administrativas y de procedimiento se aprobarán por unanimidad de los presentes y votantes.</w:t>
      </w:r>
    </w:p>
    <w:p w:rsidR="00651E84" w:rsidRPr="00E00F43" w:rsidRDefault="00E00F43" w:rsidP="00374DDD">
      <w:pPr>
        <w:shd w:val="clear" w:color="auto" w:fill="FFFFFF"/>
        <w:spacing w:before="360" w:after="120" w:line="240" w:lineRule="auto"/>
        <w:jc w:val="center"/>
        <w:rPr>
          <w:rFonts w:ascii="Times New Roman" w:eastAsia="Times New Roman" w:hAnsi="Times New Roman" w:cs="Times New Roman"/>
          <w:i/>
          <w:iCs/>
          <w:sz w:val="28"/>
        </w:rPr>
      </w:pPr>
      <w:r w:rsidRPr="00E00F43">
        <w:rPr>
          <w:rFonts w:ascii="Times New Roman" w:eastAsia="Times New Roman" w:hAnsi="Times New Roman" w:cs="Times New Roman"/>
          <w:i/>
          <w:iCs/>
          <w:sz w:val="28"/>
        </w:rPr>
        <w:t>Ar</w:t>
      </w:r>
      <w:r w:rsidRPr="00E00F43">
        <w:rPr>
          <w:rFonts w:ascii="Times New Roman" w:eastAsia="Times New Roman" w:hAnsi="Times New Roman" w:cs="Times New Roman"/>
          <w:i/>
          <w:iCs/>
          <w:sz w:val="28"/>
        </w:rPr>
        <w:t>tículo 8</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solicitud de una Parte contratante de autorización para conceder una homologación con exención propuesta respecto a nuevas tecnologías se someterá a votación. Cada Parte contratante que aplique el reglamento de las Naciones Unidas tendrá un vot</w:t>
      </w:r>
      <w:r w:rsidRPr="00E00F43">
        <w:rPr>
          <w:rFonts w:ascii="Times New Roman" w:eastAsia="Times New Roman" w:hAnsi="Times New Roman" w:cs="Times New Roman"/>
          <w:sz w:val="28"/>
        </w:rPr>
        <w:t xml:space="preserve">o. Para aprobar decisiones se necesitará, al menos, el voto de la mitad de las Partes contratantes que apliquen el reglamento de las Naciones Unidas. En el cálculo del quórum, las organizaciones de integración económica regional que intervengan en calidad </w:t>
      </w:r>
      <w:r w:rsidRPr="00E00F43">
        <w:rPr>
          <w:rFonts w:ascii="Times New Roman" w:eastAsia="Times New Roman" w:hAnsi="Times New Roman" w:cs="Times New Roman"/>
          <w:sz w:val="28"/>
        </w:rPr>
        <w:t>de Partes contratantes del Acuerdo dispondrán de un número de votos igual al de los Estados miembros que representen. El representante de una organización de integración económica regional podrá emitir los votos de los países soberanos que la constituyan q</w:t>
      </w:r>
      <w:r w:rsidRPr="00E00F43">
        <w:rPr>
          <w:rFonts w:ascii="Times New Roman" w:eastAsia="Times New Roman" w:hAnsi="Times New Roman" w:cs="Times New Roman"/>
          <w:sz w:val="28"/>
        </w:rPr>
        <w:t>ue apliquen el reglamento de las Naciones Unidas. La autorización para conceder una homologación con exención para dicha Parte contratante se aprobará por una mayoría de cuatro quintas partes de los miembros presentes y votantes.</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Anexos de disposiciones ad</w:t>
      </w:r>
      <w:r w:rsidRPr="00E00F43">
        <w:rPr>
          <w:rFonts w:ascii="Times New Roman" w:eastAsia="Times New Roman" w:hAnsi="Times New Roman" w:cs="Times New Roman"/>
          <w:b/>
          <w:bCs/>
          <w:sz w:val="28"/>
        </w:rPr>
        <w:t>ministrativas y de procedimiento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Los siguientes anexos de disposiciones administrativas y de procedimiento se anexan al Acuerdo de 1958</w:t>
      </w:r>
      <w:r w:rsidRPr="00E00F43">
        <w:rPr>
          <w:rStyle w:val="Refdenotaalpie"/>
          <w:rFonts w:ascii="Times New Roman" w:eastAsia="Times New Roman" w:hAnsi="Times New Roman"/>
          <w:sz w:val="28"/>
        </w:rPr>
        <w:footnoteReference w:id="99"/>
      </w:r>
      <w:r w:rsidRPr="00E00F43">
        <w:rPr>
          <w:rFonts w:ascii="Times New Roman" w:eastAsia="Times New Roman" w:hAnsi="Times New Roman" w:cs="Times New Roman"/>
          <w:sz w:val="28"/>
        </w:rPr>
        <w:t xml:space="preserve"> </w:t>
      </w:r>
      <w:r w:rsidRPr="00E00F43">
        <w:rPr>
          <w:rFonts w:ascii="Times New Roman" w:eastAsia="Times New Roman" w:hAnsi="Times New Roman" w:cs="Times New Roman"/>
          <w:sz w:val="28"/>
        </w:rPr>
        <w:t>y especifican las disposiciones administrativas y de procedimiento aplicables a todos los reglamentos de las Naciones U</w:t>
      </w:r>
      <w:r w:rsidRPr="00E00F43">
        <w:rPr>
          <w:rFonts w:ascii="Times New Roman" w:eastAsia="Times New Roman" w:hAnsi="Times New Roman" w:cs="Times New Roman"/>
          <w:sz w:val="28"/>
        </w:rPr>
        <w:t>nidas anejos al Acuerdo de 1958:</w:t>
      </w:r>
    </w:p>
    <w:tbl>
      <w:tblPr>
        <w:tblW w:w="5000" w:type="pct"/>
        <w:tblCellMar>
          <w:left w:w="0" w:type="dxa"/>
          <w:right w:w="0" w:type="dxa"/>
        </w:tblCellMar>
        <w:tblLook w:val="04A0" w:firstRow="1" w:lastRow="0" w:firstColumn="1" w:lastColumn="0" w:noHBand="0" w:noVBand="1"/>
      </w:tblPr>
      <w:tblGrid>
        <w:gridCol w:w="1561"/>
        <w:gridCol w:w="7268"/>
        <w:gridCol w:w="9"/>
      </w:tblGrid>
      <w:tr w:rsidR="00651E84" w:rsidRPr="00E00F43" w:rsidTr="00651E84">
        <w:tc>
          <w:tcPr>
            <w:tcW w:w="0" w:type="auto"/>
            <w:shd w:val="clear" w:color="auto" w:fill="auto"/>
            <w:hideMark/>
          </w:tcPr>
          <w:p w:rsidR="00651E84" w:rsidRPr="00E00F43" w:rsidRDefault="00E00F43" w:rsidP="00374DDD">
            <w:pPr>
              <w:spacing w:before="60" w:after="60" w:line="240" w:lineRule="auto"/>
              <w:ind w:right="195"/>
              <w:jc w:val="right"/>
              <w:rPr>
                <w:rFonts w:ascii="Times New Roman" w:eastAsia="Times New Roman" w:hAnsi="Times New Roman" w:cs="Times New Roman"/>
                <w:sz w:val="28"/>
              </w:rPr>
            </w:pPr>
            <w:r w:rsidRPr="00E00F43">
              <w:rPr>
                <w:rFonts w:ascii="Times New Roman" w:eastAsia="Times New Roman" w:hAnsi="Times New Roman" w:cs="Times New Roman"/>
                <w:sz w:val="28"/>
              </w:rPr>
              <w:t>Anexo 1</w:t>
            </w:r>
          </w:p>
        </w:tc>
        <w:tc>
          <w:tcPr>
            <w:tcW w:w="0" w:type="auto"/>
            <w:shd w:val="clear" w:color="auto" w:fill="auto"/>
            <w:hideMark/>
          </w:tcPr>
          <w:p w:rsidR="00651E84" w:rsidRPr="00E00F43" w:rsidRDefault="00E00F43" w:rsidP="00374DDD">
            <w:pPr>
              <w:spacing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Procedimientos de conformidad de la producción</w:t>
            </w:r>
          </w:p>
        </w:tc>
        <w:tc>
          <w:tcPr>
            <w:tcW w:w="0" w:type="auto"/>
            <w:shd w:val="clear" w:color="auto" w:fill="auto"/>
            <w:vAlign w:val="center"/>
            <w:hideMark/>
          </w:tcPr>
          <w:p w:rsidR="00651E84" w:rsidRPr="00E00F43" w:rsidRDefault="00E00F43" w:rsidP="00374DDD">
            <w:pPr>
              <w:spacing w:after="0" w:line="240" w:lineRule="auto"/>
              <w:rPr>
                <w:rFonts w:ascii="Times New Roman" w:eastAsia="Times New Roman" w:hAnsi="Times New Roman" w:cs="Times New Roman"/>
                <w:sz w:val="28"/>
              </w:rPr>
            </w:pP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257"/>
        <w:gridCol w:w="7574"/>
        <w:gridCol w:w="7"/>
      </w:tblGrid>
      <w:tr w:rsidR="00651E84" w:rsidRPr="00E00F43" w:rsidTr="00651E84">
        <w:tc>
          <w:tcPr>
            <w:tcW w:w="0" w:type="auto"/>
            <w:shd w:val="clear" w:color="auto" w:fill="auto"/>
            <w:hideMark/>
          </w:tcPr>
          <w:p w:rsidR="00651E84" w:rsidRPr="00E00F43" w:rsidRDefault="00E00F43" w:rsidP="00374DDD">
            <w:pPr>
              <w:spacing w:before="60" w:after="60" w:line="240" w:lineRule="auto"/>
              <w:ind w:right="195"/>
              <w:jc w:val="right"/>
              <w:rPr>
                <w:rFonts w:ascii="Times New Roman" w:eastAsia="Times New Roman" w:hAnsi="Times New Roman" w:cs="Times New Roman"/>
                <w:sz w:val="28"/>
              </w:rPr>
            </w:pPr>
            <w:r w:rsidRPr="00E00F43">
              <w:rPr>
                <w:rFonts w:ascii="Times New Roman" w:eastAsia="Times New Roman" w:hAnsi="Times New Roman" w:cs="Times New Roman"/>
                <w:sz w:val="28"/>
              </w:rPr>
              <w:t>Anexo 2</w:t>
            </w:r>
          </w:p>
        </w:tc>
        <w:tc>
          <w:tcPr>
            <w:tcW w:w="0" w:type="auto"/>
            <w:shd w:val="clear" w:color="auto" w:fill="auto"/>
            <w:hideMark/>
          </w:tcPr>
          <w:p w:rsidR="00651E84" w:rsidRPr="00E00F43" w:rsidRDefault="00E00F43" w:rsidP="00374DDD">
            <w:pPr>
              <w:spacing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Evaluación, designación y notificación de los servicios técnicos</w:t>
            </w:r>
          </w:p>
        </w:tc>
        <w:tc>
          <w:tcPr>
            <w:tcW w:w="0" w:type="auto"/>
            <w:shd w:val="clear" w:color="auto" w:fill="auto"/>
            <w:vAlign w:val="center"/>
            <w:hideMark/>
          </w:tcPr>
          <w:p w:rsidR="00651E84" w:rsidRPr="00E00F43" w:rsidRDefault="00E00F43" w:rsidP="00374DDD">
            <w:pPr>
              <w:spacing w:after="0" w:line="240" w:lineRule="auto"/>
              <w:rPr>
                <w:rFonts w:ascii="Times New Roman" w:eastAsia="Times New Roman" w:hAnsi="Times New Roman" w:cs="Times New Roman"/>
                <w:sz w:val="28"/>
              </w:rPr>
            </w:pP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125"/>
        <w:gridCol w:w="7706"/>
        <w:gridCol w:w="7"/>
      </w:tblGrid>
      <w:tr w:rsidR="00651E84" w:rsidRPr="00E00F43" w:rsidTr="00651E84">
        <w:tc>
          <w:tcPr>
            <w:tcW w:w="0" w:type="auto"/>
            <w:shd w:val="clear" w:color="auto" w:fill="auto"/>
            <w:hideMark/>
          </w:tcPr>
          <w:p w:rsidR="00651E84" w:rsidRPr="00E00F43" w:rsidRDefault="00E00F43" w:rsidP="00374DDD">
            <w:pPr>
              <w:spacing w:before="60" w:after="60" w:line="240" w:lineRule="auto"/>
              <w:ind w:right="195"/>
              <w:jc w:val="right"/>
              <w:rPr>
                <w:rFonts w:ascii="Times New Roman" w:eastAsia="Times New Roman" w:hAnsi="Times New Roman" w:cs="Times New Roman"/>
                <w:sz w:val="28"/>
              </w:rPr>
            </w:pPr>
            <w:r w:rsidRPr="00E00F43">
              <w:rPr>
                <w:rFonts w:ascii="Times New Roman" w:eastAsia="Times New Roman" w:hAnsi="Times New Roman" w:cs="Times New Roman"/>
                <w:sz w:val="28"/>
              </w:rPr>
              <w:t>Anexo 3</w:t>
            </w:r>
          </w:p>
        </w:tc>
        <w:tc>
          <w:tcPr>
            <w:tcW w:w="0" w:type="auto"/>
            <w:shd w:val="clear" w:color="auto" w:fill="auto"/>
            <w:hideMark/>
          </w:tcPr>
          <w:p w:rsidR="00651E84" w:rsidRPr="00E00F43" w:rsidRDefault="00E00F43" w:rsidP="00374DDD">
            <w:pPr>
              <w:spacing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Procedimientos para las homologaciones de tipo de las Naciones Unidas</w:t>
            </w:r>
          </w:p>
        </w:tc>
        <w:tc>
          <w:tcPr>
            <w:tcW w:w="0" w:type="auto"/>
            <w:shd w:val="clear" w:color="auto" w:fill="auto"/>
            <w:vAlign w:val="center"/>
            <w:hideMark/>
          </w:tcPr>
          <w:p w:rsidR="00651E84" w:rsidRPr="00E00F43" w:rsidRDefault="00E00F43" w:rsidP="00374DDD">
            <w:pPr>
              <w:spacing w:after="0" w:line="240" w:lineRule="auto"/>
              <w:rPr>
                <w:rFonts w:ascii="Times New Roman" w:eastAsia="Times New Roman" w:hAnsi="Times New Roman" w:cs="Times New Roman"/>
                <w:sz w:val="28"/>
              </w:rPr>
            </w:pP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199"/>
        <w:gridCol w:w="7632"/>
        <w:gridCol w:w="7"/>
      </w:tblGrid>
      <w:tr w:rsidR="00651E84" w:rsidRPr="00E00F43" w:rsidTr="00651E84">
        <w:tc>
          <w:tcPr>
            <w:tcW w:w="0" w:type="auto"/>
            <w:shd w:val="clear" w:color="auto" w:fill="auto"/>
            <w:hideMark/>
          </w:tcPr>
          <w:p w:rsidR="00651E84" w:rsidRPr="00E00F43" w:rsidRDefault="00E00F43" w:rsidP="00374DDD">
            <w:pPr>
              <w:spacing w:before="60" w:after="60" w:line="240" w:lineRule="auto"/>
              <w:ind w:right="195"/>
              <w:jc w:val="right"/>
              <w:rPr>
                <w:rFonts w:ascii="Times New Roman" w:eastAsia="Times New Roman" w:hAnsi="Times New Roman" w:cs="Times New Roman"/>
                <w:sz w:val="28"/>
              </w:rPr>
            </w:pPr>
            <w:r w:rsidRPr="00E00F43">
              <w:rPr>
                <w:rFonts w:ascii="Times New Roman" w:eastAsia="Times New Roman" w:hAnsi="Times New Roman" w:cs="Times New Roman"/>
                <w:sz w:val="28"/>
              </w:rPr>
              <w:t>Anexo 4</w:t>
            </w:r>
          </w:p>
        </w:tc>
        <w:tc>
          <w:tcPr>
            <w:tcW w:w="0" w:type="auto"/>
            <w:shd w:val="clear" w:color="auto" w:fill="auto"/>
            <w:hideMark/>
          </w:tcPr>
          <w:p w:rsidR="00651E84" w:rsidRPr="00E00F43" w:rsidRDefault="00E00F43" w:rsidP="00374DDD">
            <w:pPr>
              <w:spacing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Numeración de las homologaciones de tipo de las Naciones Unidas</w:t>
            </w:r>
          </w:p>
        </w:tc>
        <w:tc>
          <w:tcPr>
            <w:tcW w:w="0" w:type="auto"/>
            <w:shd w:val="clear" w:color="auto" w:fill="auto"/>
            <w:vAlign w:val="center"/>
            <w:hideMark/>
          </w:tcPr>
          <w:p w:rsidR="00651E84" w:rsidRPr="00E00F43" w:rsidRDefault="00E00F43" w:rsidP="00374DDD">
            <w:pPr>
              <w:spacing w:after="0" w:line="240" w:lineRule="auto"/>
              <w:rPr>
                <w:rFonts w:ascii="Times New Roman" w:eastAsia="Times New Roman" w:hAnsi="Times New Roman" w:cs="Times New Roman"/>
                <w:sz w:val="28"/>
              </w:rPr>
            </w:pP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498"/>
        <w:gridCol w:w="7331"/>
        <w:gridCol w:w="9"/>
      </w:tblGrid>
      <w:tr w:rsidR="00651E84" w:rsidRPr="00E00F43" w:rsidTr="00651E84">
        <w:tc>
          <w:tcPr>
            <w:tcW w:w="0" w:type="auto"/>
            <w:shd w:val="clear" w:color="auto" w:fill="auto"/>
            <w:hideMark/>
          </w:tcPr>
          <w:p w:rsidR="00651E84" w:rsidRPr="00E00F43" w:rsidRDefault="00E00F43" w:rsidP="00374DDD">
            <w:pPr>
              <w:spacing w:before="60" w:after="60" w:line="240" w:lineRule="auto"/>
              <w:ind w:right="195"/>
              <w:jc w:val="right"/>
              <w:rPr>
                <w:rFonts w:ascii="Times New Roman" w:eastAsia="Times New Roman" w:hAnsi="Times New Roman" w:cs="Times New Roman"/>
                <w:sz w:val="28"/>
              </w:rPr>
            </w:pPr>
            <w:r w:rsidRPr="00E00F43">
              <w:rPr>
                <w:rFonts w:ascii="Times New Roman" w:eastAsia="Times New Roman" w:hAnsi="Times New Roman" w:cs="Times New Roman"/>
                <w:sz w:val="28"/>
              </w:rPr>
              <w:t>Anexo 5</w:t>
            </w:r>
          </w:p>
        </w:tc>
        <w:tc>
          <w:tcPr>
            <w:tcW w:w="0" w:type="auto"/>
            <w:shd w:val="clear" w:color="auto" w:fill="auto"/>
            <w:hideMark/>
          </w:tcPr>
          <w:p w:rsidR="00651E84" w:rsidRPr="00E00F43" w:rsidRDefault="00E00F43" w:rsidP="00374DDD">
            <w:pPr>
              <w:spacing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Distribución de la documentación de homologación</w:t>
            </w:r>
          </w:p>
        </w:tc>
        <w:tc>
          <w:tcPr>
            <w:tcW w:w="0" w:type="auto"/>
            <w:shd w:val="clear" w:color="auto" w:fill="auto"/>
            <w:vAlign w:val="center"/>
            <w:hideMark/>
          </w:tcPr>
          <w:p w:rsidR="00651E84" w:rsidRPr="00E00F43" w:rsidRDefault="00E00F43" w:rsidP="00374DDD">
            <w:pPr>
              <w:spacing w:after="0" w:line="240" w:lineRule="auto"/>
              <w:rPr>
                <w:rFonts w:ascii="Times New Roman" w:eastAsia="Times New Roman" w:hAnsi="Times New Roman" w:cs="Times New Roman"/>
                <w:sz w:val="28"/>
              </w:rPr>
            </w:pP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015"/>
        <w:gridCol w:w="7817"/>
        <w:gridCol w:w="6"/>
      </w:tblGrid>
      <w:tr w:rsidR="00651E84" w:rsidRPr="00E00F43" w:rsidTr="00651E84">
        <w:tc>
          <w:tcPr>
            <w:tcW w:w="0" w:type="auto"/>
            <w:shd w:val="clear" w:color="auto" w:fill="auto"/>
            <w:hideMark/>
          </w:tcPr>
          <w:p w:rsidR="00651E84" w:rsidRPr="00E00F43" w:rsidRDefault="00E00F43" w:rsidP="00374DDD">
            <w:pPr>
              <w:spacing w:before="60" w:after="60" w:line="240" w:lineRule="auto"/>
              <w:ind w:right="195"/>
              <w:jc w:val="right"/>
              <w:rPr>
                <w:rFonts w:ascii="Times New Roman" w:eastAsia="Times New Roman" w:hAnsi="Times New Roman" w:cs="Times New Roman"/>
                <w:sz w:val="28"/>
              </w:rPr>
            </w:pPr>
            <w:r w:rsidRPr="00E00F43">
              <w:rPr>
                <w:rFonts w:ascii="Times New Roman" w:eastAsia="Times New Roman" w:hAnsi="Times New Roman" w:cs="Times New Roman"/>
                <w:sz w:val="28"/>
              </w:rPr>
              <w:t>Anexo 6</w:t>
            </w:r>
          </w:p>
        </w:tc>
        <w:tc>
          <w:tcPr>
            <w:tcW w:w="0" w:type="auto"/>
            <w:shd w:val="clear" w:color="auto" w:fill="auto"/>
            <w:hideMark/>
          </w:tcPr>
          <w:p w:rsidR="00651E84" w:rsidRPr="00E00F43" w:rsidRDefault="00E00F43" w:rsidP="00374DDD">
            <w:pPr>
              <w:spacing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 xml:space="preserve">Procedimientos para resolver problemas de interpretación en relación con la aplicación de reglamentos de las Naciones </w:t>
            </w:r>
            <w:r w:rsidRPr="00E00F43">
              <w:rPr>
                <w:rFonts w:ascii="Times New Roman" w:eastAsia="Times New Roman" w:hAnsi="Times New Roman" w:cs="Times New Roman"/>
                <w:sz w:val="28"/>
              </w:rPr>
              <w:t>Unidas y concesión de homologaciones con arreglo a dichos reglamentos</w:t>
            </w:r>
          </w:p>
        </w:tc>
        <w:tc>
          <w:tcPr>
            <w:tcW w:w="0" w:type="auto"/>
            <w:shd w:val="clear" w:color="auto" w:fill="auto"/>
            <w:vAlign w:val="center"/>
            <w:hideMark/>
          </w:tcPr>
          <w:p w:rsidR="00651E84" w:rsidRPr="00E00F43" w:rsidRDefault="00E00F43" w:rsidP="00374DDD">
            <w:pPr>
              <w:spacing w:after="0" w:line="240" w:lineRule="auto"/>
              <w:rPr>
                <w:rFonts w:ascii="Times New Roman" w:eastAsia="Times New Roman" w:hAnsi="Times New Roman" w:cs="Times New Roman"/>
                <w:sz w:val="28"/>
              </w:rPr>
            </w:pP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044"/>
        <w:gridCol w:w="7788"/>
        <w:gridCol w:w="6"/>
      </w:tblGrid>
      <w:tr w:rsidR="00651E84" w:rsidRPr="00E00F43" w:rsidTr="00651E84">
        <w:tc>
          <w:tcPr>
            <w:tcW w:w="0" w:type="auto"/>
            <w:shd w:val="clear" w:color="auto" w:fill="auto"/>
            <w:hideMark/>
          </w:tcPr>
          <w:p w:rsidR="00651E84" w:rsidRPr="00E00F43" w:rsidRDefault="00E00F43" w:rsidP="00374DDD">
            <w:pPr>
              <w:spacing w:before="60" w:after="60" w:line="240" w:lineRule="auto"/>
              <w:ind w:right="195"/>
              <w:jc w:val="right"/>
              <w:rPr>
                <w:rFonts w:ascii="Times New Roman" w:eastAsia="Times New Roman" w:hAnsi="Times New Roman" w:cs="Times New Roman"/>
                <w:sz w:val="28"/>
              </w:rPr>
            </w:pPr>
            <w:r w:rsidRPr="00E00F43">
              <w:rPr>
                <w:rFonts w:ascii="Times New Roman" w:eastAsia="Times New Roman" w:hAnsi="Times New Roman" w:cs="Times New Roman"/>
                <w:sz w:val="28"/>
              </w:rPr>
              <w:t>Anexo 7</w:t>
            </w:r>
          </w:p>
        </w:tc>
        <w:tc>
          <w:tcPr>
            <w:tcW w:w="0" w:type="auto"/>
            <w:shd w:val="clear" w:color="auto" w:fill="auto"/>
            <w:hideMark/>
          </w:tcPr>
          <w:p w:rsidR="00651E84" w:rsidRPr="00E00F43" w:rsidRDefault="00E00F43" w:rsidP="00374DDD">
            <w:pPr>
              <w:spacing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Procedimiento de homologaciones con exención relativas a nuevas tecnologías</w:t>
            </w:r>
          </w:p>
        </w:tc>
        <w:tc>
          <w:tcPr>
            <w:tcW w:w="0" w:type="auto"/>
            <w:shd w:val="clear" w:color="auto" w:fill="auto"/>
            <w:vAlign w:val="center"/>
            <w:hideMark/>
          </w:tcPr>
          <w:p w:rsidR="00651E84" w:rsidRPr="00E00F43" w:rsidRDefault="00E00F43" w:rsidP="00374DDD">
            <w:pPr>
              <w:spacing w:after="0" w:line="240" w:lineRule="auto"/>
              <w:rPr>
                <w:rFonts w:ascii="Times New Roman" w:eastAsia="Times New Roman" w:hAnsi="Times New Roman" w:cs="Times New Roman"/>
                <w:sz w:val="28"/>
              </w:rPr>
            </w:pP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257"/>
        <w:gridCol w:w="7574"/>
        <w:gridCol w:w="7"/>
      </w:tblGrid>
      <w:tr w:rsidR="00651E84" w:rsidRPr="00E00F43" w:rsidTr="00651E84">
        <w:tc>
          <w:tcPr>
            <w:tcW w:w="0" w:type="auto"/>
            <w:shd w:val="clear" w:color="auto" w:fill="auto"/>
            <w:hideMark/>
          </w:tcPr>
          <w:p w:rsidR="00651E84" w:rsidRPr="00E00F43" w:rsidRDefault="00E00F43" w:rsidP="00374DDD">
            <w:pPr>
              <w:spacing w:before="60" w:after="60" w:line="240" w:lineRule="auto"/>
              <w:ind w:right="195"/>
              <w:jc w:val="right"/>
              <w:rPr>
                <w:rFonts w:ascii="Times New Roman" w:eastAsia="Times New Roman" w:hAnsi="Times New Roman" w:cs="Times New Roman"/>
                <w:sz w:val="28"/>
              </w:rPr>
            </w:pPr>
            <w:r w:rsidRPr="00E00F43">
              <w:rPr>
                <w:rFonts w:ascii="Times New Roman" w:eastAsia="Times New Roman" w:hAnsi="Times New Roman" w:cs="Times New Roman"/>
                <w:sz w:val="28"/>
              </w:rPr>
              <w:t>Anexo 8</w:t>
            </w:r>
          </w:p>
        </w:tc>
        <w:tc>
          <w:tcPr>
            <w:tcW w:w="0" w:type="auto"/>
            <w:shd w:val="clear" w:color="auto" w:fill="auto"/>
            <w:hideMark/>
          </w:tcPr>
          <w:p w:rsidR="00651E84" w:rsidRPr="00E00F43" w:rsidRDefault="00E00F43" w:rsidP="00374DDD">
            <w:pPr>
              <w:spacing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Condiciones generales relativas a los métodos de ensayo virtual</w:t>
            </w:r>
          </w:p>
        </w:tc>
        <w:tc>
          <w:tcPr>
            <w:tcW w:w="0" w:type="auto"/>
            <w:shd w:val="clear" w:color="auto" w:fill="auto"/>
            <w:vAlign w:val="center"/>
            <w:hideMark/>
          </w:tcPr>
          <w:p w:rsidR="00651E84" w:rsidRPr="00E00F43" w:rsidRDefault="00E00F43" w:rsidP="00374DDD">
            <w:pPr>
              <w:spacing w:after="0" w:line="240" w:lineRule="auto"/>
              <w:rPr>
                <w:rFonts w:ascii="Times New Roman" w:eastAsia="Times New Roman" w:hAnsi="Times New Roman" w:cs="Times New Roman"/>
                <w:sz w:val="28"/>
              </w:rPr>
            </w:pPr>
          </w:p>
        </w:tc>
      </w:tr>
    </w:tbl>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i/>
          <w:iCs/>
          <w:sz w:val="28"/>
        </w:rPr>
        <w:t>Anexo 1</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Procedimientos</w:t>
      </w:r>
      <w:r w:rsidRPr="00E00F43">
        <w:rPr>
          <w:rFonts w:ascii="Times New Roman" w:eastAsia="Times New Roman" w:hAnsi="Times New Roman" w:cs="Times New Roman"/>
          <w:b/>
          <w:bCs/>
          <w:sz w:val="28"/>
        </w:rPr>
        <w:t xml:space="preserve"> de conformidad de la producción</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Objetivos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procedimiento de conformidad de la producción está destinado a garantizar que cada vehículo con ruedas, equipo o pieza fabricado sea conforme con el tipo homologado.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Los procedimientos incluyen, de manera insep</w:t>
      </w:r>
      <w:r w:rsidRPr="00E00F43">
        <w:rPr>
          <w:rFonts w:ascii="Times New Roman" w:eastAsia="Times New Roman" w:hAnsi="Times New Roman" w:cs="Times New Roman"/>
          <w:sz w:val="28"/>
        </w:rPr>
        <w:t>arable, la evaluación de los sistemas de gestión de la calidad, citada más adelante como «evaluación inicial», y la verificación del objeto de la homologación y de los controles relacionados con el producto, citados como «disposiciones de conformidad del p</w:t>
      </w:r>
      <w:r w:rsidRPr="00E00F43">
        <w:rPr>
          <w:rFonts w:ascii="Times New Roman" w:eastAsia="Times New Roman" w:hAnsi="Times New Roman" w:cs="Times New Roman"/>
          <w:sz w:val="28"/>
        </w:rPr>
        <w:t>roducto».</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1.   </w:t>
      </w:r>
      <w:r w:rsidRPr="00E00F43">
        <w:rPr>
          <w:rFonts w:ascii="Times New Roman" w:eastAsia="Times New Roman" w:hAnsi="Times New Roman" w:cs="Times New Roman"/>
          <w:b/>
          <w:bCs/>
          <w:i/>
          <w:iCs/>
          <w:sz w:val="28"/>
        </w:rPr>
        <w:t>Evaluación inicial</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1.1.   Antes de expedir una homologación de tipo de las Naciones Unidas, la autoridad de homologación de una Parte contratante deberá comprobar la existencia de disposiciones y procedimientos satisfactorios que garanticen </w:t>
      </w:r>
      <w:r w:rsidRPr="00E00F43">
        <w:rPr>
          <w:rFonts w:ascii="Times New Roman" w:eastAsia="Times New Roman" w:hAnsi="Times New Roman" w:cs="Times New Roman"/>
          <w:sz w:val="28"/>
        </w:rPr>
        <w:t>un control eficaz, de manera que los vehículos de ruedas, equipos o piezas en fase de producción sean conformes con el tipo homologado.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1.2.   La norma internacional ISO 19011:2002, Directrices para la auditoría de los sistemas de gestión de la calidad y/o</w:t>
      </w:r>
      <w:r w:rsidRPr="00E00F43">
        <w:rPr>
          <w:rFonts w:ascii="Times New Roman" w:eastAsia="Times New Roman" w:hAnsi="Times New Roman" w:cs="Times New Roman"/>
          <w:sz w:val="28"/>
        </w:rPr>
        <w:t xml:space="preserve"> ambiental, puede servir de guía para la realización de las evaluaciones.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1.3.   Deberá verificarse a satisfacción de la autoridad que conceda la homologación de tipo de las Naciones Unidas que se cumple el requisito del apartado 1.1.</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La autoridad de </w:t>
      </w:r>
      <w:r w:rsidRPr="00E00F43">
        <w:rPr>
          <w:rFonts w:ascii="Times New Roman" w:eastAsia="Times New Roman" w:hAnsi="Times New Roman" w:cs="Times New Roman"/>
          <w:sz w:val="28"/>
        </w:rPr>
        <w:t>homologación que conceda la homologación de tipo de las Naciones Unidas aceptará la evaluación inicial y las disposiciones de conformidad del producto contempladas en la sección 2 del presente anexo, tomando en consideración, según sea necesario, una de la</w:t>
      </w:r>
      <w:r w:rsidRPr="00E00F43">
        <w:rPr>
          <w:rFonts w:ascii="Times New Roman" w:eastAsia="Times New Roman" w:hAnsi="Times New Roman" w:cs="Times New Roman"/>
          <w:sz w:val="28"/>
        </w:rPr>
        <w:t>s disposiciones descritas en los apartados 1.3.1 a 1.3.3 o una combinación de todas o de parte de ellas, según proceda.</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1.3.1.   La autoridad de homologación que conceda la homologación de tipo de las Naciones Unidas o un servicio técnico designado para ac</w:t>
      </w:r>
      <w:r w:rsidRPr="00E00F43">
        <w:rPr>
          <w:rFonts w:ascii="Times New Roman" w:eastAsia="Times New Roman" w:hAnsi="Times New Roman" w:cs="Times New Roman"/>
          <w:sz w:val="28"/>
        </w:rPr>
        <w:t>tuar en su nombre realizarán la evaluación inicial y/o la verificación de las disposiciones de conformidad del producto.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1.3.1.1.   A la hora de decidir el alcance de la evaluación inicial que deberá realizarse, la autoridad de homologación podrá tomar en </w:t>
      </w:r>
      <w:r w:rsidRPr="00E00F43">
        <w:rPr>
          <w:rFonts w:ascii="Times New Roman" w:eastAsia="Times New Roman" w:hAnsi="Times New Roman" w:cs="Times New Roman"/>
          <w:sz w:val="28"/>
        </w:rPr>
        <w:t>consideración la información disponible referente a:</w:t>
      </w: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certificación del fabricante descrita en el apartado 1.3.3 que no haya sido aceptada o reconocida con arreglo a dicho apartado;</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en el caso de la homologación de tipo de las Naciones Unidas de </w:t>
            </w:r>
            <w:r w:rsidRPr="00E00F43">
              <w:rPr>
                <w:rFonts w:ascii="Times New Roman" w:eastAsia="Times New Roman" w:hAnsi="Times New Roman" w:cs="Times New Roman"/>
                <w:sz w:val="28"/>
              </w:rPr>
              <w:t>equipos o piezas, las evaluaciones del sistema de calidad realizadas por fabricante o los fabricantes del vehículo en los locales del fabricante o los fabricantes de los equipos o las piezas, con arreglo a una o más especificaciones del sector que satisfag</w:t>
            </w:r>
            <w:r w:rsidRPr="00E00F43">
              <w:rPr>
                <w:rFonts w:ascii="Times New Roman" w:eastAsia="Times New Roman" w:hAnsi="Times New Roman" w:cs="Times New Roman"/>
                <w:sz w:val="28"/>
              </w:rPr>
              <w:t>an los requisitos de la norma internacional ISO 9001:2008.</w:t>
            </w:r>
          </w:p>
        </w:tc>
      </w:tr>
    </w:tbl>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1.3.2.   La propia evaluación inicial o la verificación de las disposiciones de conformidad del producto podrán ser realizadas también por la autoridad de homologación de otra Parte contratante o </w:t>
      </w:r>
      <w:r w:rsidRPr="00E00F43">
        <w:rPr>
          <w:rFonts w:ascii="Times New Roman" w:eastAsia="Times New Roman" w:hAnsi="Times New Roman" w:cs="Times New Roman"/>
          <w:sz w:val="28"/>
        </w:rPr>
        <w:t>por el servicio técnico designado a tal fin por la autoridad de homologación, siempre que esa Parte contratante aplique por lo menos los mismos reglamentos de las Naciones Unidas en que se ha basado la homologación de tipo de las Naciones Unidas.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1.3.2.1. </w:t>
      </w:r>
      <w:r w:rsidRPr="00E00F43">
        <w:rPr>
          <w:rFonts w:ascii="Times New Roman" w:eastAsia="Times New Roman" w:hAnsi="Times New Roman" w:cs="Times New Roman"/>
          <w:sz w:val="28"/>
        </w:rPr>
        <w:t>  En tal caso, la autoridad de homologación de la otra Parte contratante deberá redactar una declaración de conformidad indicando las áreas e instalaciones de fabricación que ha cubierto que son pertinentes para el producto o productos que van a ser objeto</w:t>
      </w:r>
      <w:r w:rsidRPr="00E00F43">
        <w:rPr>
          <w:rFonts w:ascii="Times New Roman" w:eastAsia="Times New Roman" w:hAnsi="Times New Roman" w:cs="Times New Roman"/>
          <w:sz w:val="28"/>
        </w:rPr>
        <w:t xml:space="preserve"> de la homologación de tipo y para los reglamentos de las Naciones Unidas con arreglo a los cuales ha de concederse la homologación de tipo a tales productos.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1.3.2.2.   Cuando la autoridad de homologación de una Parte contratante que conceda la homologaci</w:t>
      </w:r>
      <w:r w:rsidRPr="00E00F43">
        <w:rPr>
          <w:rFonts w:ascii="Times New Roman" w:eastAsia="Times New Roman" w:hAnsi="Times New Roman" w:cs="Times New Roman"/>
          <w:sz w:val="28"/>
        </w:rPr>
        <w:t>ón de tipo de las Naciones Unidas le solicite una declaración de cumplimiento, la autoridad de homologación de tipo de la otra Parte contratante le enviará de inmediato tal declaración o le comunicará que no está en posición de proporcionársela.</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1.3.2.3.  </w:t>
      </w:r>
      <w:r w:rsidRPr="00E00F43">
        <w:rPr>
          <w:rFonts w:ascii="Times New Roman" w:eastAsia="Times New Roman" w:hAnsi="Times New Roman" w:cs="Times New Roman"/>
          <w:sz w:val="28"/>
        </w:rPr>
        <w:t> La declaración de cumplimiento deberá incluir, como mínimo, lo siguiente:</w:t>
      </w:r>
    </w:p>
    <w:tbl>
      <w:tblPr>
        <w:tblW w:w="5000" w:type="pct"/>
        <w:tblCellMar>
          <w:left w:w="0" w:type="dxa"/>
          <w:right w:w="0" w:type="dxa"/>
        </w:tblCellMar>
        <w:tblLook w:val="04A0" w:firstRow="1" w:lastRow="0" w:firstColumn="1" w:lastColumn="0" w:noHBand="0" w:noVBand="1"/>
      </w:tblPr>
      <w:tblGrid>
        <w:gridCol w:w="321"/>
        <w:gridCol w:w="8517"/>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grupo o empresa (por ejemplo: Automóviles XYZ);</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345"/>
        <w:gridCol w:w="8493"/>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entidad particular (por ejemplo: División regional);</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fábricas/sedes [por ejemplo: Fábrica de motores n.</w:t>
            </w:r>
            <w:r w:rsidRPr="00E00F43">
              <w:rPr>
                <w:rFonts w:ascii="Times New Roman" w:eastAsia="Times New Roman" w:hAnsi="Times New Roman" w:cs="Times New Roman"/>
                <w:sz w:val="28"/>
                <w:vertAlign w:val="superscript"/>
              </w:rPr>
              <w:t>o</w:t>
            </w:r>
            <w:r w:rsidRPr="00E00F43">
              <w:rPr>
                <w:rFonts w:ascii="Times New Roman" w:eastAsia="Times New Roman" w:hAnsi="Times New Roman" w:cs="Times New Roman"/>
                <w:sz w:val="28"/>
              </w:rPr>
              <w:t xml:space="preserve"> 1 (en el </w:t>
            </w:r>
            <w:r w:rsidRPr="00E00F43">
              <w:rPr>
                <w:rFonts w:ascii="Times New Roman" w:eastAsia="Times New Roman" w:hAnsi="Times New Roman" w:cs="Times New Roman"/>
                <w:sz w:val="28"/>
              </w:rPr>
              <w:t>país A); Fábrica de montaje de vehículos n.</w:t>
            </w:r>
            <w:r w:rsidRPr="00E00F43">
              <w:rPr>
                <w:rFonts w:ascii="Times New Roman" w:eastAsia="Times New Roman" w:hAnsi="Times New Roman" w:cs="Times New Roman"/>
                <w:sz w:val="28"/>
                <w:vertAlign w:val="superscript"/>
              </w:rPr>
              <w:t>o</w:t>
            </w:r>
            <w:r w:rsidRPr="00E00F43">
              <w:rPr>
                <w:rFonts w:ascii="Times New Roman" w:eastAsia="Times New Roman" w:hAnsi="Times New Roman" w:cs="Times New Roman"/>
                <w:sz w:val="28"/>
              </w:rPr>
              <w:t> 2 (en el país B)];</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10"/>
        <w:gridCol w:w="862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gama de vehículos/componentes (por ejemplo: todos los modelos de la categoría M</w:t>
            </w:r>
            <w:r w:rsidRPr="00E00F43">
              <w:rPr>
                <w:rFonts w:ascii="Times New Roman" w:eastAsia="Times New Roman" w:hAnsi="Times New Roman" w:cs="Times New Roman"/>
                <w:sz w:val="28"/>
                <w:vertAlign w:val="subscript"/>
              </w:rPr>
              <w:t>1</w:t>
            </w:r>
            <w:r w:rsidRPr="00E00F43">
              <w:rPr>
                <w:rFonts w:ascii="Times New Roman" w:eastAsia="Times New Roman" w:hAnsi="Times New Roman" w:cs="Times New Roman"/>
                <w:sz w:val="28"/>
              </w:rPr>
              <w:t>);</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áreas evaluadas (por ejemplo: montaje de motores, estampado y montaje de carrocerías y montaje de </w:t>
            </w:r>
            <w:r w:rsidRPr="00E00F43">
              <w:rPr>
                <w:rFonts w:ascii="Times New Roman" w:eastAsia="Times New Roman" w:hAnsi="Times New Roman" w:cs="Times New Roman"/>
                <w:sz w:val="28"/>
              </w:rPr>
              <w:t>vehículos);</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60"/>
        <w:gridCol w:w="867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f)</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documentos examinados (por ejemplo: manual y procedimientos de calidad de la empresa y del emplazamiento);</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18"/>
        <w:gridCol w:w="8620"/>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g)</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fecha de la evaluación (por ejemplo: auditoría realizada del d.m.aaaa al d.m.aaaa);</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334"/>
        <w:gridCol w:w="8504"/>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h)</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visita de seguimiento prevista (por </w:t>
            </w:r>
            <w:r w:rsidRPr="00E00F43">
              <w:rPr>
                <w:rFonts w:ascii="Times New Roman" w:eastAsia="Times New Roman" w:hAnsi="Times New Roman" w:cs="Times New Roman"/>
                <w:sz w:val="28"/>
              </w:rPr>
              <w:t>ejemplo: m.aaaa).</w:t>
            </w:r>
          </w:p>
        </w:tc>
      </w:tr>
    </w:tbl>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1.3.3.   La autoridad de homologación podrá aceptar también la certificación del fabricante conforme a la norma internacional ISO 9001:2008 (el ámbito de aplicación de esta certificación se referirá a los productos que se homologarán) u </w:t>
      </w:r>
      <w:r w:rsidRPr="00E00F43">
        <w:rPr>
          <w:rFonts w:ascii="Times New Roman" w:eastAsia="Times New Roman" w:hAnsi="Times New Roman" w:cs="Times New Roman"/>
          <w:sz w:val="28"/>
        </w:rPr>
        <w:t>otra equivalente como documento conforme con los requisitos de evaluación inicial del apartado 1.1. El fabricante deberá facilitar datos concretos de la certificación y comprometerse a comunicar a la autoridad de homologación cualquier modificación de su v</w:t>
      </w:r>
      <w:r w:rsidRPr="00E00F43">
        <w:rPr>
          <w:rFonts w:ascii="Times New Roman" w:eastAsia="Times New Roman" w:hAnsi="Times New Roman" w:cs="Times New Roman"/>
          <w:sz w:val="28"/>
        </w:rPr>
        <w:t>alidez o alcance.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1.4.   A los efectos de la homologación internacional de tipo de vehículos completos, no es necesario repetir las evaluaciones iniciales realizadas para conceder homologaciones de tipo de las Naciones Unidas para equipos y partes del vehí</w:t>
      </w:r>
      <w:r w:rsidRPr="00E00F43">
        <w:rPr>
          <w:rFonts w:ascii="Times New Roman" w:eastAsia="Times New Roman" w:hAnsi="Times New Roman" w:cs="Times New Roman"/>
          <w:sz w:val="28"/>
        </w:rPr>
        <w:t>culo. No obstante, deberán completarse con una evaluación que abarque las áreas no incluidas en las evaluaciones anteriores, en particular, en relación con el montaje del vehículo completo.</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2.   </w:t>
      </w:r>
      <w:r w:rsidRPr="00E00F43">
        <w:rPr>
          <w:rFonts w:ascii="Times New Roman" w:eastAsia="Times New Roman" w:hAnsi="Times New Roman" w:cs="Times New Roman"/>
          <w:b/>
          <w:bCs/>
          <w:i/>
          <w:iCs/>
          <w:sz w:val="28"/>
        </w:rPr>
        <w:t>Disposiciones de conformidad del producto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2.1.   Todos los ve</w:t>
      </w:r>
      <w:r w:rsidRPr="00E00F43">
        <w:rPr>
          <w:rFonts w:ascii="Times New Roman" w:eastAsia="Times New Roman" w:hAnsi="Times New Roman" w:cs="Times New Roman"/>
          <w:sz w:val="28"/>
        </w:rPr>
        <w:t>hículos, equipos o piezas homologados con arreglo a un reglamento de las Naciones Unidas anejo al Acuerdo de 1958 deberán fabricarse de manera que se ajusten al tipo homologado y cumplan los requisitos del presente anexo y del reglamento en cuestión.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2.2. </w:t>
      </w:r>
      <w:r w:rsidRPr="00E00F43">
        <w:rPr>
          <w:rFonts w:ascii="Times New Roman" w:eastAsia="Times New Roman" w:hAnsi="Times New Roman" w:cs="Times New Roman"/>
          <w:sz w:val="28"/>
        </w:rPr>
        <w:t>  La autoridad de homologación de una Parte contratante que expida una homologación de tipo con arreglo a un reglamento de las Naciones Unidas anejo al Acuerdo de 1958 deberá cerciorarse de que existen disposiciones adecuadas y programas de inspección docu</w:t>
      </w:r>
      <w:r w:rsidRPr="00E00F43">
        <w:rPr>
          <w:rFonts w:ascii="Times New Roman" w:eastAsia="Times New Roman" w:hAnsi="Times New Roman" w:cs="Times New Roman"/>
          <w:sz w:val="28"/>
        </w:rPr>
        <w:t>mentados, que habrán de acordarse con el fabricante para cada homologación, de manera que se lleven a cabo a intervalos de tiempo determinados los ensayos o controles conexos necesarios para comprobar que la producción se ajusta al tipo homologado, incluid</w:t>
      </w:r>
      <w:r w:rsidRPr="00E00F43">
        <w:rPr>
          <w:rFonts w:ascii="Times New Roman" w:eastAsia="Times New Roman" w:hAnsi="Times New Roman" w:cs="Times New Roman"/>
          <w:sz w:val="28"/>
        </w:rPr>
        <w:t>os, en su caso, los ensayos especificados en el reglamento de las Naciones Unidas correspondiente.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2.3.   Concretamente, el propietario de una homologación de tipo de las Naciones Unidas deberá:</w:t>
      </w:r>
    </w:p>
    <w:tbl>
      <w:tblPr>
        <w:tblW w:w="5000" w:type="pct"/>
        <w:tblCellMar>
          <w:left w:w="0" w:type="dxa"/>
          <w:right w:w="0" w:type="dxa"/>
        </w:tblCellMar>
        <w:tblLook w:val="04A0" w:firstRow="1" w:lastRow="0" w:firstColumn="1" w:lastColumn="0" w:noHBand="0" w:noVBand="1"/>
      </w:tblPr>
      <w:tblGrid>
        <w:gridCol w:w="540"/>
        <w:gridCol w:w="829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2.3.1.</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garantizar la existencia y la aplicación de procedimie</w:t>
            </w:r>
            <w:r w:rsidRPr="00E00F43">
              <w:rPr>
                <w:rFonts w:ascii="Times New Roman" w:eastAsia="Times New Roman" w:hAnsi="Times New Roman" w:cs="Times New Roman"/>
                <w:sz w:val="28"/>
              </w:rPr>
              <w:t>ntos eficaces de control de la conformidad de los productos (vehículos de ruedas, equipos o piezas) con el tipo homologado;</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540"/>
        <w:gridCol w:w="829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2.3.2.</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tener acceso al equipo de ensayo u otro equipo necesario para comprobar la conformidad con cada tipo homologado;</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540"/>
        <w:gridCol w:w="829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2.3.3.</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asegurarse de que los resultados de los ensayos o comprobaciones se registran y de que los documentos anejos quedan disponibles durante un plazo que se determinará de acuerdo con la autoridad de homologación y que no será superior a diez años;</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540"/>
        <w:gridCol w:w="829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2.3.4.</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ana</w:t>
            </w:r>
            <w:r w:rsidRPr="00E00F43">
              <w:rPr>
                <w:rFonts w:ascii="Times New Roman" w:eastAsia="Times New Roman" w:hAnsi="Times New Roman" w:cs="Times New Roman"/>
                <w:sz w:val="28"/>
              </w:rPr>
              <w:t>lizar los resultados de cada tipo de ensayo o comprobación para verificar y garantizar la invariabilidad de las características del producto, teniendo en cuenta las tolerancias inherentes a la producción industrial;</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540"/>
        <w:gridCol w:w="829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2.3.5.</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hacer lo necesario para que, pa</w:t>
            </w:r>
            <w:r w:rsidRPr="00E00F43">
              <w:rPr>
                <w:rFonts w:ascii="Times New Roman" w:eastAsia="Times New Roman" w:hAnsi="Times New Roman" w:cs="Times New Roman"/>
                <w:sz w:val="28"/>
              </w:rPr>
              <w:t>ra cada tipo de producto, se efectúen al menos los controles prescritos en el presente anexo y los ensayos prescritos en los distintos reglamentos de las Naciones Unidas aplicables;</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540"/>
        <w:gridCol w:w="829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2.3.6.</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asegurarse de que todos los grupos de muestras o piezas de ensayo</w:t>
            </w:r>
            <w:r w:rsidRPr="00E00F43">
              <w:rPr>
                <w:rFonts w:ascii="Times New Roman" w:eastAsia="Times New Roman" w:hAnsi="Times New Roman" w:cs="Times New Roman"/>
                <w:sz w:val="28"/>
              </w:rPr>
              <w:t xml:space="preserve"> que resulten no ser conformes según el tipo de ensayo en cuestión se sometan a nuevos muestreos y ensayos. Se tomarán todas las medidas necesarias para restablecer la conformidad de la correspondiente producción.</w:t>
            </w:r>
          </w:p>
        </w:tc>
      </w:tr>
    </w:tbl>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3.   </w:t>
      </w:r>
      <w:r w:rsidRPr="00E00F43">
        <w:rPr>
          <w:rFonts w:ascii="Times New Roman" w:eastAsia="Times New Roman" w:hAnsi="Times New Roman" w:cs="Times New Roman"/>
          <w:b/>
          <w:bCs/>
          <w:i/>
          <w:iCs/>
          <w:sz w:val="28"/>
        </w:rPr>
        <w:t>Disposiciones de verificación contin</w:t>
      </w:r>
      <w:r w:rsidRPr="00E00F43">
        <w:rPr>
          <w:rFonts w:ascii="Times New Roman" w:eastAsia="Times New Roman" w:hAnsi="Times New Roman" w:cs="Times New Roman"/>
          <w:b/>
          <w:bCs/>
          <w:i/>
          <w:iCs/>
          <w:sz w:val="28"/>
        </w:rPr>
        <w:t>ua</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3.1.   La autoridad que haya expedido la homologación de tipo de las Naciones Unidas podrá verificar en cualquier momento los métodos de control de la conformidad aplicados en cada instalación de fabricación.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3.1.1.   El método normal será hacer un segu</w:t>
      </w:r>
      <w:r w:rsidRPr="00E00F43">
        <w:rPr>
          <w:rFonts w:ascii="Times New Roman" w:eastAsia="Times New Roman" w:hAnsi="Times New Roman" w:cs="Times New Roman"/>
          <w:sz w:val="28"/>
        </w:rPr>
        <w:t>imiento de la eficacia permanente de los procedimientos establecidos en los apartados 1 y 2 («Evaluación inicial» y «Disposiciones de conformidad del producto») del presente anexo.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3.1.1.1.   Las actividades de vigilancia realizadas por los servicios técni</w:t>
      </w:r>
      <w:r w:rsidRPr="00E00F43">
        <w:rPr>
          <w:rFonts w:ascii="Times New Roman" w:eastAsia="Times New Roman" w:hAnsi="Times New Roman" w:cs="Times New Roman"/>
          <w:sz w:val="28"/>
        </w:rPr>
        <w:t>cos (acreditados o reconocidos con arreglo al apartado 1.3.3) deberán aceptarse como conformes con los requisitos del apartado 3.1.1 en lo que se refiere a los procedimientos establecidos en la evaluación inicial.</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3.1.1.2.   La frecuencia normal de las ver</w:t>
      </w:r>
      <w:r w:rsidRPr="00E00F43">
        <w:rPr>
          <w:rFonts w:ascii="Times New Roman" w:eastAsia="Times New Roman" w:hAnsi="Times New Roman" w:cs="Times New Roman"/>
          <w:sz w:val="28"/>
        </w:rPr>
        <w:t>ificaciones realizadas por la autoridad de homologación (que no sean las indicadas en el apartado 3.1.1.1) deberá garantizar que los controles pertinentes efectuados con arreglo a los apartados 1 y 2 del presente anexo se revisen a intervalos basados en un</w:t>
      </w:r>
      <w:r w:rsidRPr="00E00F43">
        <w:rPr>
          <w:rFonts w:ascii="Times New Roman" w:eastAsia="Times New Roman" w:hAnsi="Times New Roman" w:cs="Times New Roman"/>
          <w:sz w:val="28"/>
        </w:rPr>
        <w:t>a metodología de evaluación de riesgos conforme a la norma internacional ISO 31000:2009 (Gestión de riesgos — Principios y directrices), y en todos los casos, con una frecuencia mínima de una vez cada tres años. Esta metodología debe tener en cuenta cualqu</w:t>
      </w:r>
      <w:r w:rsidRPr="00E00F43">
        <w:rPr>
          <w:rFonts w:ascii="Times New Roman" w:eastAsia="Times New Roman" w:hAnsi="Times New Roman" w:cs="Times New Roman"/>
          <w:sz w:val="28"/>
        </w:rPr>
        <w:t>ier no conformidad planteada por las Partes contratantes con arreglo al artículo 4 del Acuerdo de 1958.</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3.2.   En cada examen se pondrán a disposición del inspector las actas de los ensayos o las comprobaciones y los registros de producción; en particular,</w:t>
      </w:r>
      <w:r w:rsidRPr="00E00F43">
        <w:rPr>
          <w:rFonts w:ascii="Times New Roman" w:eastAsia="Times New Roman" w:hAnsi="Times New Roman" w:cs="Times New Roman"/>
          <w:sz w:val="28"/>
        </w:rPr>
        <w:t xml:space="preserve"> las actas de los ensayos o las comprobaciones que estén documentados como se exige en el apartado 2.2.</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3.3.   El inspector podrá seleccionar muestras al azar, que se someterán a ensayo en el laboratorio del fabricante o en las instalaciones del servicio t</w:t>
      </w:r>
      <w:r w:rsidRPr="00E00F43">
        <w:rPr>
          <w:rFonts w:ascii="Times New Roman" w:eastAsia="Times New Roman" w:hAnsi="Times New Roman" w:cs="Times New Roman"/>
          <w:sz w:val="28"/>
        </w:rPr>
        <w:t>écnico. En este caso solo se llevarán a cabo ensayos físicos. El número mínimo de muestras podrá determinarse en función de los resultados de la propia verificación del fabricante.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3.4.   Cuando el nivel de control no resulte satisfactorio, o cuando parezc</w:t>
      </w:r>
      <w:r w:rsidRPr="00E00F43">
        <w:rPr>
          <w:rFonts w:ascii="Times New Roman" w:eastAsia="Times New Roman" w:hAnsi="Times New Roman" w:cs="Times New Roman"/>
          <w:sz w:val="28"/>
        </w:rPr>
        <w:t>a necesario verificar la validez de los ensayos realizados conforme al apartado 3.2, el inspector deberá seleccionar muestras que se enviarán al servicio técnico para que efectúe ensayos físicos.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3.5.   Cuando los resultados de una inspección o un examen d</w:t>
      </w:r>
      <w:r w:rsidRPr="00E00F43">
        <w:rPr>
          <w:rFonts w:ascii="Times New Roman" w:eastAsia="Times New Roman" w:hAnsi="Times New Roman" w:cs="Times New Roman"/>
          <w:sz w:val="28"/>
        </w:rPr>
        <w:t>e seguimiento no sean satisfactorios, la autoridad de homologación se asegurará de que se toman todas las medidas necesarias para restablecer la conformidad de la producción a la mayor brevedad.</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i/>
          <w:iCs/>
          <w:sz w:val="28"/>
        </w:rPr>
        <w:t>Anexo 2</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Primera parte</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 xml:space="preserve">Evaluación, designación y notificación </w:t>
      </w:r>
      <w:r w:rsidRPr="00E00F43">
        <w:rPr>
          <w:rFonts w:ascii="Times New Roman" w:eastAsia="Times New Roman" w:hAnsi="Times New Roman" w:cs="Times New Roman"/>
          <w:b/>
          <w:bCs/>
          <w:sz w:val="28"/>
        </w:rPr>
        <w:t>de los servicios técnicos</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1.   </w:t>
      </w:r>
      <w:r w:rsidRPr="00E00F43">
        <w:rPr>
          <w:rFonts w:ascii="Times New Roman" w:eastAsia="Times New Roman" w:hAnsi="Times New Roman" w:cs="Times New Roman"/>
          <w:b/>
          <w:bCs/>
          <w:i/>
          <w:iCs/>
          <w:sz w:val="28"/>
        </w:rPr>
        <w:t>Designación de los servicios técnicos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1.1.   Cuando una autoridad de homologación designe un servicio técnico, este deberá cumplir lo dispuesto en el presente anexo.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1.2.   Los servicios técnicos realizarán o supervisarán los</w:t>
      </w:r>
      <w:r w:rsidRPr="00E00F43">
        <w:rPr>
          <w:rFonts w:ascii="Times New Roman" w:eastAsia="Times New Roman" w:hAnsi="Times New Roman" w:cs="Times New Roman"/>
          <w:sz w:val="28"/>
        </w:rPr>
        <w:t xml:space="preserve"> ensayos necesarios para la homologación o las inspecciones especificados en los reglamentos de las Naciones Unidas, excepto cuando se permitan específicamente procedimientos alternativos. No realizarán los ensayos o inspecciones para los que no se les hay</w:t>
      </w:r>
      <w:r w:rsidRPr="00E00F43">
        <w:rPr>
          <w:rFonts w:ascii="Times New Roman" w:eastAsia="Times New Roman" w:hAnsi="Times New Roman" w:cs="Times New Roman"/>
          <w:sz w:val="28"/>
        </w:rPr>
        <w:t>a designado debidamente.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funcionamiento de los servicios técnicos y la calidad de los ensayos y las inspecciones que llevan a cabo garantizarán la debida verificación del cumplimiento por parte de los productos para los que se solicite la homologación d</w:t>
      </w:r>
      <w:r w:rsidRPr="00E00F43">
        <w:rPr>
          <w:rFonts w:ascii="Times New Roman" w:eastAsia="Times New Roman" w:hAnsi="Times New Roman" w:cs="Times New Roman"/>
          <w:sz w:val="28"/>
        </w:rPr>
        <w:t>e tipo de las Naciones Unidas de los requisitos de los reglamentos de las Naciones Unidas aplicables para los que se hayan designado los servicios técnicos.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1.3.   En función de su ámbito de competencia, los servicios técnicos se designarán para una o vari</w:t>
      </w:r>
      <w:r w:rsidRPr="00E00F43">
        <w:rPr>
          <w:rFonts w:ascii="Times New Roman" w:eastAsia="Times New Roman" w:hAnsi="Times New Roman" w:cs="Times New Roman"/>
          <w:sz w:val="28"/>
        </w:rPr>
        <w:t>as de las cuatro categorías de actividades siguientes:</w:t>
      </w: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categoría A: servicios técnicos que realizan los ensayos previstos en los reglamentos de las Naciones Unidas en sus propias instalaciones;</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categoría B: servicios técnicos que supervisan los ens</w:t>
            </w:r>
            <w:r w:rsidRPr="00E00F43">
              <w:rPr>
                <w:rFonts w:ascii="Times New Roman" w:eastAsia="Times New Roman" w:hAnsi="Times New Roman" w:cs="Times New Roman"/>
                <w:sz w:val="28"/>
              </w:rPr>
              <w:t>ayos previstos en los reglamentos de las Naciones Unidas que se realicen en las instalaciones del fabricante o en las instalaciones de un tercero;</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categoría C: servicios técnicos que evalúan y supervisan periódicamente los procedimientos del </w:t>
            </w:r>
            <w:r w:rsidRPr="00E00F43">
              <w:rPr>
                <w:rFonts w:ascii="Times New Roman" w:eastAsia="Times New Roman" w:hAnsi="Times New Roman" w:cs="Times New Roman"/>
                <w:sz w:val="28"/>
              </w:rPr>
              <w:t>fabricante para controlar la conformidad de la producción;</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categoría D: servicios técnicos que supervisan o realizan los ensayos o inspecciones como parte de la vigilancia de la conformidad de la producción.</w:t>
            </w:r>
          </w:p>
        </w:tc>
      </w:tr>
    </w:tbl>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1.4.   Los servicios técnicos deberán </w:t>
      </w:r>
      <w:r w:rsidRPr="00E00F43">
        <w:rPr>
          <w:rFonts w:ascii="Times New Roman" w:eastAsia="Times New Roman" w:hAnsi="Times New Roman" w:cs="Times New Roman"/>
          <w:sz w:val="28"/>
        </w:rPr>
        <w:t>demostrar que cuentan con las competencias adecuadas, los conocimientos técnicos específicos y la experiencia demostrada en las materias específicas reguladas por los reglamentos de las Naciones Unidas para los que han sido designados.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Además, los servicio</w:t>
      </w:r>
      <w:r w:rsidRPr="00E00F43">
        <w:rPr>
          <w:rFonts w:ascii="Times New Roman" w:eastAsia="Times New Roman" w:hAnsi="Times New Roman" w:cs="Times New Roman"/>
          <w:sz w:val="28"/>
        </w:rPr>
        <w:t>s técnicos deberán cumplir las normas que figuran en la segunda parte del presente anexo que sean pertinentes para las categorías de actividades para las que están designados, aunque no es necesario que estén homologados o acreditados de conformidad con el</w:t>
      </w:r>
      <w:r w:rsidRPr="00E00F43">
        <w:rPr>
          <w:rFonts w:ascii="Times New Roman" w:eastAsia="Times New Roman" w:hAnsi="Times New Roman" w:cs="Times New Roman"/>
          <w:sz w:val="28"/>
        </w:rPr>
        <w:t>las.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Los servicios técnicos deberán asegurarse de estar libres de cualquier control e influencia de las partes interesadas que pueda afectar negativamente a la imparcialidad y la calidad de los ensayos e inspecciones.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Los servicios técnicos tendrán acceso </w:t>
      </w:r>
      <w:r w:rsidRPr="00E00F43">
        <w:rPr>
          <w:rFonts w:ascii="Times New Roman" w:eastAsia="Times New Roman" w:hAnsi="Times New Roman" w:cs="Times New Roman"/>
          <w:sz w:val="28"/>
        </w:rPr>
        <w:t>a las instalaciones de ensayo y los instrumentos de medición necesarios para supervisar o realizar los ensayos o inspecciones a que se refieren los reglamentos de las Naciones Unidas para los que estén designados.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1.5.   Las autoridades de homologación pod</w:t>
      </w:r>
      <w:r w:rsidRPr="00E00F43">
        <w:rPr>
          <w:rFonts w:ascii="Times New Roman" w:eastAsia="Times New Roman" w:hAnsi="Times New Roman" w:cs="Times New Roman"/>
          <w:sz w:val="28"/>
        </w:rPr>
        <w:t xml:space="preserve">rán actuar como servicio técnico para una o más de las actividades contempladas en el apartado 1.3. En caso de que una autoridad de homologación que actúe como servicio técnico haya sido nombrada por la legislación nacional de una Parte contratante y esté </w:t>
      </w:r>
      <w:r w:rsidRPr="00E00F43">
        <w:rPr>
          <w:rFonts w:ascii="Times New Roman" w:eastAsia="Times New Roman" w:hAnsi="Times New Roman" w:cs="Times New Roman"/>
          <w:sz w:val="28"/>
        </w:rPr>
        <w:t>financiada por esta última, se deberán cumplir las disposiciones del presente anexo o normas equivalentes a las disposiciones de los apartados 1, 2 y 3.4 del presente anexo. Lo mismo se aplica a los servicios técnicos que hayan sido designados por la legis</w:t>
      </w:r>
      <w:r w:rsidRPr="00E00F43">
        <w:rPr>
          <w:rFonts w:ascii="Times New Roman" w:eastAsia="Times New Roman" w:hAnsi="Times New Roman" w:cs="Times New Roman"/>
          <w:sz w:val="28"/>
        </w:rPr>
        <w:t>lación nacional de una Parte contratante y que estén sujetos a control financiero y administrativo por parte del Gobierno de esa Parte contratante. Las normas equivalentes deberán garantizar el mismo nivel de prestaciones e independencia.</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1.6.   Independie</w:t>
      </w:r>
      <w:r w:rsidRPr="00E00F43">
        <w:rPr>
          <w:rFonts w:ascii="Times New Roman" w:eastAsia="Times New Roman" w:hAnsi="Times New Roman" w:cs="Times New Roman"/>
          <w:sz w:val="28"/>
        </w:rPr>
        <w:t>ntemente de lo establecido en el apartado 3.3, el fabricante o el representante que actúe en su nombre podrán ser designados como servicio técnico para las actividades de la categoría A únicamente para los reglamentos de las Naciones Unidas que prevean tal</w:t>
      </w:r>
      <w:r w:rsidRPr="00E00F43">
        <w:rPr>
          <w:rFonts w:ascii="Times New Roman" w:eastAsia="Times New Roman" w:hAnsi="Times New Roman" w:cs="Times New Roman"/>
          <w:sz w:val="28"/>
        </w:rPr>
        <w:t xml:space="preserve"> designación. En este caso, e independientemente de lo establecido en el apartado 1.4, ese servicio técnico deberá estar acreditado de conformidad con las normas mencionadas en el apartado 1 de la segunda parte del presente anexo.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1.7.   Las entidades a qu</w:t>
      </w:r>
      <w:r w:rsidRPr="00E00F43">
        <w:rPr>
          <w:rFonts w:ascii="Times New Roman" w:eastAsia="Times New Roman" w:hAnsi="Times New Roman" w:cs="Times New Roman"/>
          <w:sz w:val="28"/>
        </w:rPr>
        <w:t>e se hace referencia en los apartados 1.5 y 1.6 cumplirán lo dispuesto en el apartado 1.</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2.   </w:t>
      </w:r>
      <w:r w:rsidRPr="00E00F43">
        <w:rPr>
          <w:rFonts w:ascii="Times New Roman" w:eastAsia="Times New Roman" w:hAnsi="Times New Roman" w:cs="Times New Roman"/>
          <w:b/>
          <w:bCs/>
          <w:i/>
          <w:iCs/>
          <w:sz w:val="28"/>
        </w:rPr>
        <w:t>Evaluación de las competencias de los servicios técnicos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2.1.   Las competencias previstas en el apartado 1 quedarán demostradas en un informe de evaluación elabo</w:t>
      </w:r>
      <w:r w:rsidRPr="00E00F43">
        <w:rPr>
          <w:rFonts w:ascii="Times New Roman" w:eastAsia="Times New Roman" w:hAnsi="Times New Roman" w:cs="Times New Roman"/>
          <w:sz w:val="28"/>
        </w:rPr>
        <w:t>rado por la autoridad competente</w:t>
      </w:r>
      <w:r w:rsidRPr="00E00F43">
        <w:rPr>
          <w:rStyle w:val="Refdenotaalpie"/>
          <w:rFonts w:ascii="Times New Roman" w:eastAsia="Times New Roman" w:hAnsi="Times New Roman"/>
          <w:sz w:val="28"/>
        </w:rPr>
        <w:footnoteReference w:id="100"/>
      </w:r>
      <w:r w:rsidRPr="00E00F43">
        <w:rPr>
          <w:rFonts w:ascii="Times New Roman" w:eastAsia="Times New Roman" w:hAnsi="Times New Roman" w:cs="Times New Roman"/>
          <w:sz w:val="28"/>
        </w:rPr>
        <w:t>. Este podrá incluir un certificado de acreditación expedido por un organismo de acreditación.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2.2.   La evaluación a que se refiere el apartado 2.1 se realizará de conformidad con las disposiciones de la tercera parte del </w:t>
      </w:r>
      <w:r w:rsidRPr="00E00F43">
        <w:rPr>
          <w:rFonts w:ascii="Times New Roman" w:eastAsia="Times New Roman" w:hAnsi="Times New Roman" w:cs="Times New Roman"/>
          <w:sz w:val="28"/>
        </w:rPr>
        <w:t>presente anexo.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informe de evaluación se revisará transcurrido un máximo de tres años.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2.3.   El informe de evaluación se comunicará a la secretaría de la CEPE y a las Partes contratantes previa petición.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2.4.   La autoridad de homologación en funciones</w:t>
      </w:r>
      <w:r w:rsidRPr="00E00F43">
        <w:rPr>
          <w:rFonts w:ascii="Times New Roman" w:eastAsia="Times New Roman" w:hAnsi="Times New Roman" w:cs="Times New Roman"/>
          <w:sz w:val="28"/>
        </w:rPr>
        <w:t xml:space="preserve"> de servicio técnico demostrará el cumplimiento documentalmente.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La documentación incluirá una evaluación de la actividad que se está evaluando realizada por auditores independientes. Los auditores podrán proceder de la misma organización siempre que sean </w:t>
      </w:r>
      <w:r w:rsidRPr="00E00F43">
        <w:rPr>
          <w:rFonts w:ascii="Times New Roman" w:eastAsia="Times New Roman" w:hAnsi="Times New Roman" w:cs="Times New Roman"/>
          <w:sz w:val="28"/>
        </w:rPr>
        <w:t>independientes del personal dedicado a la actividad evaluada.</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2.5.   El fabricante o el representante que actúe en su nombre, designado como servicio técnico, deberá cumplir las disposiciones pertinentes del apartado 2.</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3.   </w:t>
      </w:r>
      <w:r w:rsidRPr="00E00F43">
        <w:rPr>
          <w:rFonts w:ascii="Times New Roman" w:eastAsia="Times New Roman" w:hAnsi="Times New Roman" w:cs="Times New Roman"/>
          <w:b/>
          <w:bCs/>
          <w:i/>
          <w:iCs/>
          <w:sz w:val="28"/>
        </w:rPr>
        <w:t>Procedimientos de notificación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3.1.   Las Partes contratantes deberán notificar a la secretaría de la CEPE el nombre, la dirección (incluida la dirección electrónica) y la categoría de las actividades de cada servicio técnico designado. Asimismo, deberán notificar a la secretaría de la </w:t>
      </w:r>
      <w:r w:rsidRPr="00E00F43">
        <w:rPr>
          <w:rFonts w:ascii="Times New Roman" w:eastAsia="Times New Roman" w:hAnsi="Times New Roman" w:cs="Times New Roman"/>
          <w:sz w:val="28"/>
        </w:rPr>
        <w:t>CEPE las modificaciones posteriores.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En el acto de notificación se hará constar para qué reglamentos de las Naciones Unidas han sido designados los servicios técnicos.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3.2.   Los servicios técnicos podrán realizar las actividades descritas en el apartado 1</w:t>
      </w:r>
      <w:r w:rsidRPr="00E00F43">
        <w:rPr>
          <w:rFonts w:ascii="Times New Roman" w:eastAsia="Times New Roman" w:hAnsi="Times New Roman" w:cs="Times New Roman"/>
          <w:sz w:val="28"/>
        </w:rPr>
        <w:t xml:space="preserve"> a efectos de homologación de tipo de las Naciones Unidas únicamente si han sido notificados previamente a la secretaría de la CEPE.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3.3.   El mismo servicio técnico podrá ser designado y notificado por varias Partes contratantes independientemente de la c</w:t>
      </w:r>
      <w:r w:rsidRPr="00E00F43">
        <w:rPr>
          <w:rFonts w:ascii="Times New Roman" w:eastAsia="Times New Roman" w:hAnsi="Times New Roman" w:cs="Times New Roman"/>
          <w:sz w:val="28"/>
        </w:rPr>
        <w:t>ategoría de actividades que realice.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3.4.   La secretaría de la CEPE publicará la lista y los datos de contacto de las autoridades de homologación y de los servicios técnicos en su sitio web.</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Segunda parte</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 xml:space="preserve">Normas que deben cumplir los servicios técnicos a </w:t>
      </w:r>
      <w:r w:rsidRPr="00E00F43">
        <w:rPr>
          <w:rFonts w:ascii="Times New Roman" w:eastAsia="Times New Roman" w:hAnsi="Times New Roman" w:cs="Times New Roman"/>
          <w:b/>
          <w:bCs/>
          <w:sz w:val="28"/>
        </w:rPr>
        <w:t>que se refieren los apartados 1 a 3.4 de la primera parte del presente anexo</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1.   </w:t>
      </w:r>
      <w:r w:rsidRPr="00E00F43">
        <w:rPr>
          <w:rFonts w:ascii="Times New Roman" w:eastAsia="Times New Roman" w:hAnsi="Times New Roman" w:cs="Times New Roman"/>
          <w:b/>
          <w:bCs/>
          <w:i/>
          <w:iCs/>
          <w:sz w:val="28"/>
        </w:rPr>
        <w:t>Actividades de los ensayos para la homologación de tipo de las Naciones Unidas que deben llevarse a cabo de conformidad con los reglamentos de las Naciones Unidas</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1.1.   Categoría A (ensayos realizados en las propias instalaciones):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ISO/IEC 17025:2005, sobre los requisitos generales para la competencia de los laboratorios de ensayo y de calibración.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Todo servicio técnico designado para las actividades de la categorí</w:t>
      </w:r>
      <w:r w:rsidRPr="00E00F43">
        <w:rPr>
          <w:rFonts w:ascii="Times New Roman" w:eastAsia="Times New Roman" w:hAnsi="Times New Roman" w:cs="Times New Roman"/>
          <w:sz w:val="28"/>
        </w:rPr>
        <w:t>a A podrá realizar y supervisar en las instalaciones del fabricante o de su representante los ensayos establecidos en los reglamentos de las Naciones Unidas para los cuales haya sido designado.</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1.2.   Categoría B (supervisión de ensayos realizados en las i</w:t>
      </w:r>
      <w:r w:rsidRPr="00E00F43">
        <w:rPr>
          <w:rFonts w:ascii="Times New Roman" w:eastAsia="Times New Roman" w:hAnsi="Times New Roman" w:cs="Times New Roman"/>
          <w:b/>
          <w:bCs/>
          <w:sz w:val="28"/>
        </w:rPr>
        <w:t>nstalaciones del fabricante o de su representante):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ISO/IEC 17020:2012, sobre los criterios generales para el funcionamiento de diferentes tipos de organismos que realizan la inspección.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Antes de realizar o supervisar cualquier ensayo en las instalaciones </w:t>
      </w:r>
      <w:r w:rsidRPr="00E00F43">
        <w:rPr>
          <w:rFonts w:ascii="Times New Roman" w:eastAsia="Times New Roman" w:hAnsi="Times New Roman" w:cs="Times New Roman"/>
          <w:sz w:val="28"/>
        </w:rPr>
        <w:t>de un fabricante o de su representante, el servicio técnico comprobará que las instalaciones de ensayo y los instrumentos de medición cumplen los requisitos pertinentes indicados en el apartado 1.1.</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2.   </w:t>
      </w:r>
      <w:r w:rsidRPr="00E00F43">
        <w:rPr>
          <w:rFonts w:ascii="Times New Roman" w:eastAsia="Times New Roman" w:hAnsi="Times New Roman" w:cs="Times New Roman"/>
          <w:b/>
          <w:bCs/>
          <w:i/>
          <w:iCs/>
          <w:sz w:val="28"/>
        </w:rPr>
        <w:t>Actividades relacionadas con la conformidad de la pr</w:t>
      </w:r>
      <w:r w:rsidRPr="00E00F43">
        <w:rPr>
          <w:rFonts w:ascii="Times New Roman" w:eastAsia="Times New Roman" w:hAnsi="Times New Roman" w:cs="Times New Roman"/>
          <w:b/>
          <w:bCs/>
          <w:i/>
          <w:iCs/>
          <w:sz w:val="28"/>
        </w:rPr>
        <w:t>oducción</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2.1.   Categoría C (procedimiento para la evaluación inicial y las auditorías de supervisión del sistema de gestión de la calidad del fabricante):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ISO/IEC 17021:2011, sobre los requisitos para los organismos que realizan la auditoría y la certific</w:t>
      </w:r>
      <w:r w:rsidRPr="00E00F43">
        <w:rPr>
          <w:rFonts w:ascii="Times New Roman" w:eastAsia="Times New Roman" w:hAnsi="Times New Roman" w:cs="Times New Roman"/>
          <w:sz w:val="28"/>
        </w:rPr>
        <w:t>ación de sistemas de gestión.</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2.2.   Categoría D (inspección o ensayos de muestras de la producción o supervisión de los mismos):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ISO/IEC 17020:2012, sobre los criterios generales para el funcionamiento de diferentes tipos de organismos que realizan la ins</w:t>
      </w:r>
      <w:r w:rsidRPr="00E00F43">
        <w:rPr>
          <w:rFonts w:ascii="Times New Roman" w:eastAsia="Times New Roman" w:hAnsi="Times New Roman" w:cs="Times New Roman"/>
          <w:sz w:val="28"/>
        </w:rPr>
        <w:t>pección.</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Tercera parte</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Procedimiento para evaluar los servicios técnicos</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1.   </w:t>
      </w:r>
      <w:r w:rsidRPr="00E00F43">
        <w:rPr>
          <w:rFonts w:ascii="Times New Roman" w:eastAsia="Times New Roman" w:hAnsi="Times New Roman" w:cs="Times New Roman"/>
          <w:b/>
          <w:bCs/>
          <w:i/>
          <w:iCs/>
          <w:sz w:val="28"/>
        </w:rPr>
        <w:t>Objeto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1.1.   En esta parte del anexo 2 se fijan las condiciones en que la autoridad competente a la que se refiere el apartado 2 de la primera parte del presente anexo deberá ll</w:t>
      </w:r>
      <w:r w:rsidRPr="00E00F43">
        <w:rPr>
          <w:rFonts w:ascii="Times New Roman" w:eastAsia="Times New Roman" w:hAnsi="Times New Roman" w:cs="Times New Roman"/>
          <w:sz w:val="28"/>
        </w:rPr>
        <w:t>evar a cabo el procedimiento de evaluación de los servicios técnicos.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1.2.   Estos requisitos se aplicarán </w:t>
      </w:r>
      <w:r w:rsidRPr="00E00F43">
        <w:rPr>
          <w:rFonts w:ascii="Times New Roman" w:eastAsia="Times New Roman" w:hAnsi="Times New Roman" w:cs="Times New Roman"/>
          <w:i/>
          <w:iCs/>
          <w:sz w:val="28"/>
        </w:rPr>
        <w:t>mutatis mutandis</w:t>
      </w:r>
      <w:r w:rsidRPr="00E00F43">
        <w:rPr>
          <w:rFonts w:ascii="Times New Roman" w:eastAsia="Times New Roman" w:hAnsi="Times New Roman" w:cs="Times New Roman"/>
          <w:sz w:val="28"/>
        </w:rPr>
        <w:t> a todos los servicios técnicos, independientemente de su estatuto jurídico (organización independiente, fabricante o autoridad de ho</w:t>
      </w:r>
      <w:r w:rsidRPr="00E00F43">
        <w:rPr>
          <w:rFonts w:ascii="Times New Roman" w:eastAsia="Times New Roman" w:hAnsi="Times New Roman" w:cs="Times New Roman"/>
          <w:sz w:val="28"/>
        </w:rPr>
        <w:t>mologación que actúe como servicio técnico).</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2.   </w:t>
      </w:r>
      <w:r w:rsidRPr="00E00F43">
        <w:rPr>
          <w:rFonts w:ascii="Times New Roman" w:eastAsia="Times New Roman" w:hAnsi="Times New Roman" w:cs="Times New Roman"/>
          <w:b/>
          <w:bCs/>
          <w:i/>
          <w:iCs/>
          <w:sz w:val="28"/>
        </w:rPr>
        <w:t>Principios de evaluación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evaluación deberá caracterizarse por la observancia de varios principios:</w:t>
      </w: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independencia, que constituye la base de la imparcialidad y objetividad de las conclusiones;</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un planteamiento basado en hechos que garantice unas conclusiones fiables y reproducibles.</w:t>
            </w:r>
          </w:p>
        </w:tc>
      </w:tr>
    </w:tbl>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Los auditores deberán ser de probada confianza e integridad, y deberán respetar la confidencialidad y la discreción. Deberán informar de manera veraz y precisa de l</w:t>
      </w:r>
      <w:r w:rsidRPr="00E00F43">
        <w:rPr>
          <w:rFonts w:ascii="Times New Roman" w:eastAsia="Times New Roman" w:hAnsi="Times New Roman" w:cs="Times New Roman"/>
          <w:sz w:val="28"/>
        </w:rPr>
        <w:t>os resultados y conclusiones a que lleguen.</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3.   </w:t>
      </w:r>
      <w:r w:rsidRPr="00E00F43">
        <w:rPr>
          <w:rFonts w:ascii="Times New Roman" w:eastAsia="Times New Roman" w:hAnsi="Times New Roman" w:cs="Times New Roman"/>
          <w:b/>
          <w:bCs/>
          <w:i/>
          <w:iCs/>
          <w:sz w:val="28"/>
        </w:rPr>
        <w:t>Competencias de los auditores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3.1.   Las evaluaciones solo podrán realizarlas los auditores que tengan los conocimientos técnicos y administrativos adecuados.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3.2.   Los auditores deberán haber recibido una </w:t>
      </w:r>
      <w:r w:rsidRPr="00E00F43">
        <w:rPr>
          <w:rFonts w:ascii="Times New Roman" w:eastAsia="Times New Roman" w:hAnsi="Times New Roman" w:cs="Times New Roman"/>
          <w:sz w:val="28"/>
        </w:rPr>
        <w:t>formación específica para las actividades de evaluación. Además, deberán tener los conocimientos específicos del área técnica en la que el servicio técnico vaya a ejercer sus actividades.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3.3.   Sin perjuicio de lo dispuesto en los anteriores apartados 3.1</w:t>
      </w:r>
      <w:r w:rsidRPr="00E00F43">
        <w:rPr>
          <w:rFonts w:ascii="Times New Roman" w:eastAsia="Times New Roman" w:hAnsi="Times New Roman" w:cs="Times New Roman"/>
          <w:sz w:val="28"/>
        </w:rPr>
        <w:t xml:space="preserve"> y 3.2, la evaluación contemplada en el apartado 2.5 de la primera parte del presente anexo deberá ser realizada por auditores independientes de las actividades para las que se realiza la evaluación.</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4.   </w:t>
      </w:r>
      <w:r w:rsidRPr="00E00F43">
        <w:rPr>
          <w:rFonts w:ascii="Times New Roman" w:eastAsia="Times New Roman" w:hAnsi="Times New Roman" w:cs="Times New Roman"/>
          <w:b/>
          <w:bCs/>
          <w:i/>
          <w:iCs/>
          <w:sz w:val="28"/>
        </w:rPr>
        <w:t>Solicitud de designación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4.1.   Un representante de</w:t>
      </w:r>
      <w:r w:rsidRPr="00E00F43">
        <w:rPr>
          <w:rFonts w:ascii="Times New Roman" w:eastAsia="Times New Roman" w:hAnsi="Times New Roman" w:cs="Times New Roman"/>
          <w:sz w:val="28"/>
        </w:rPr>
        <w:t>bidamente autorizado del servicio técnico solicitante deberá presentar a la autoridad competente la solicitud oficial. La solicitud deberá incluir como mínimo lo siguiente:</w:t>
      </w: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características generales del servicio técnico, en especial personalidad jurídic</w:t>
            </w:r>
            <w:r w:rsidRPr="00E00F43">
              <w:rPr>
                <w:rFonts w:ascii="Times New Roman" w:eastAsia="Times New Roman" w:hAnsi="Times New Roman" w:cs="Times New Roman"/>
                <w:sz w:val="28"/>
              </w:rPr>
              <w:t>a, nombre, direcciones, estatuto jurídico y recursos humanos y técnicos;</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una descripción detallada, incluido el currículum vítae, del personal encargado de los ensayos y del personal de gestión, tomando como base su formación académica y su experienci</w:t>
            </w:r>
            <w:r w:rsidRPr="00E00F43">
              <w:rPr>
                <w:rFonts w:ascii="Times New Roman" w:eastAsia="Times New Roman" w:hAnsi="Times New Roman" w:cs="Times New Roman"/>
                <w:sz w:val="28"/>
              </w:rPr>
              <w:t>a profesional;</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además de lo anterior, los servicios técnicos que utilicen métodos de ensayo virtual deberán demostrar su capacidad para trabajar en un entorno asistido por ordenador;</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información general sobre el servicio técnico, por ejemplo sus </w:t>
            </w:r>
            <w:r w:rsidRPr="00E00F43">
              <w:rPr>
                <w:rFonts w:ascii="Times New Roman" w:eastAsia="Times New Roman" w:hAnsi="Times New Roman" w:cs="Times New Roman"/>
                <w:sz w:val="28"/>
              </w:rPr>
              <w:t>actividades, su relación con una entidad corporativa más amplia, si la hay, y las direcciones de todos sus emplazamientos físicos que se vayan a incluir en la designación;</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un acuerdo sobre el cumplimiento de los requisitos para la designación y las de</w:t>
            </w:r>
            <w:r w:rsidRPr="00E00F43">
              <w:rPr>
                <w:rFonts w:ascii="Times New Roman" w:eastAsia="Times New Roman" w:hAnsi="Times New Roman" w:cs="Times New Roman"/>
                <w:sz w:val="28"/>
              </w:rPr>
              <w:t>más obligaciones del servicio técnico aplicables según los reglamentos de las Naciones Unidas correspondientes para los que ha sido designado;</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60"/>
        <w:gridCol w:w="867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f)</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una descripción de los servicios de evaluación de la conformidad que asume el servicio técnico en el marco </w:t>
            </w:r>
            <w:r w:rsidRPr="00E00F43">
              <w:rPr>
                <w:rFonts w:ascii="Times New Roman" w:eastAsia="Times New Roman" w:hAnsi="Times New Roman" w:cs="Times New Roman"/>
                <w:sz w:val="28"/>
              </w:rPr>
              <w:t>de los reglamentos de las Naciones Unidas aplicables y una lista de los reglamentos de las Naciones Unidas para los que el servicio técnico solicita la designación, incluidos, en su caso, los límites de capacidad;</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g)</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una copia del manual de garantía de c</w:t>
            </w:r>
            <w:r w:rsidRPr="00E00F43">
              <w:rPr>
                <w:rFonts w:ascii="Times New Roman" w:eastAsia="Times New Roman" w:hAnsi="Times New Roman" w:cs="Times New Roman"/>
                <w:sz w:val="28"/>
              </w:rPr>
              <w:t>alidad o normas de funcionamiento similares del servicio técnico.</w:t>
            </w:r>
          </w:p>
        </w:tc>
      </w:tr>
    </w:tbl>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4.2.   La autoridad competente deberá examinar la información facilitada por el servicio técnico y comprobar que es la adecuada.</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4.3.   El servicio técnico notificará a la autoridad de </w:t>
      </w:r>
      <w:r w:rsidRPr="00E00F43">
        <w:rPr>
          <w:rFonts w:ascii="Times New Roman" w:eastAsia="Times New Roman" w:hAnsi="Times New Roman" w:cs="Times New Roman"/>
          <w:sz w:val="28"/>
        </w:rPr>
        <w:t>homologación de cualquier modificación de la información proporcionada de conformidad con el apartado 4.1.</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5.   </w:t>
      </w:r>
      <w:r w:rsidRPr="00E00F43">
        <w:rPr>
          <w:rFonts w:ascii="Times New Roman" w:eastAsia="Times New Roman" w:hAnsi="Times New Roman" w:cs="Times New Roman"/>
          <w:b/>
          <w:bCs/>
          <w:i/>
          <w:iCs/>
          <w:sz w:val="28"/>
        </w:rPr>
        <w:t>Examen de los recursos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autoridad competente deberá examinar su capacidad para realizar la evaluación del servicio técnico en lo que se refier</w:t>
      </w:r>
      <w:r w:rsidRPr="00E00F43">
        <w:rPr>
          <w:rFonts w:ascii="Times New Roman" w:eastAsia="Times New Roman" w:hAnsi="Times New Roman" w:cs="Times New Roman"/>
          <w:sz w:val="28"/>
        </w:rPr>
        <w:t>e a su propia política, su competencia y su dotación de auditores y expertos adecuados.</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6.   </w:t>
      </w:r>
      <w:r w:rsidRPr="00E00F43">
        <w:rPr>
          <w:rFonts w:ascii="Times New Roman" w:eastAsia="Times New Roman" w:hAnsi="Times New Roman" w:cs="Times New Roman"/>
          <w:b/>
          <w:bCs/>
          <w:i/>
          <w:iCs/>
          <w:sz w:val="28"/>
        </w:rPr>
        <w:t>Subcontratación de la evaluación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6.1.   La autoridad competente podrá subcontratar partes de la evaluación a otra autoridad designada o solicitar el respaldo de ex</w:t>
      </w:r>
      <w:r w:rsidRPr="00E00F43">
        <w:rPr>
          <w:rFonts w:ascii="Times New Roman" w:eastAsia="Times New Roman" w:hAnsi="Times New Roman" w:cs="Times New Roman"/>
          <w:sz w:val="28"/>
        </w:rPr>
        <w:t>pertos técnicos de otras autoridades competentes. Los subcontratistas y expertos deberán ser aceptados por el servicio técnico solicitante.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6.2.   La autoridad competente, para completar su evaluación global del servicio técnico, deberá tener en cuenta los</w:t>
      </w:r>
      <w:r w:rsidRPr="00E00F43">
        <w:rPr>
          <w:rFonts w:ascii="Times New Roman" w:eastAsia="Times New Roman" w:hAnsi="Times New Roman" w:cs="Times New Roman"/>
          <w:sz w:val="28"/>
        </w:rPr>
        <w:t xml:space="preserve"> certificados de acreditación que abarquen el ámbito adecuado.</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7.   </w:t>
      </w:r>
      <w:r w:rsidRPr="00E00F43">
        <w:rPr>
          <w:rFonts w:ascii="Times New Roman" w:eastAsia="Times New Roman" w:hAnsi="Times New Roman" w:cs="Times New Roman"/>
          <w:b/>
          <w:bCs/>
          <w:i/>
          <w:iCs/>
          <w:sz w:val="28"/>
        </w:rPr>
        <w:t>Preparación para la evaluación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7.1.   La autoridad competente nombrará oficialmente un equipo de evaluación. Deberá asegurarse de que las personas a las que se asigne cada misión posean lo</w:t>
      </w:r>
      <w:r w:rsidRPr="00E00F43">
        <w:rPr>
          <w:rFonts w:ascii="Times New Roman" w:eastAsia="Times New Roman" w:hAnsi="Times New Roman" w:cs="Times New Roman"/>
          <w:sz w:val="28"/>
        </w:rPr>
        <w:t>s conocimientos adecuados. En particular, el equipo en su conjunto:</w:t>
      </w: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deberá contar con los conocimientos apropiados en el ámbito específico para el que se solicita la designación; y</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deberá contar con suficientes conocimientos para evaluar de forma </w:t>
            </w:r>
            <w:r w:rsidRPr="00E00F43">
              <w:rPr>
                <w:rFonts w:ascii="Times New Roman" w:eastAsia="Times New Roman" w:hAnsi="Times New Roman" w:cs="Times New Roman"/>
                <w:sz w:val="28"/>
              </w:rPr>
              <w:t>fiable la competencia del servicio técnico para actuar en el ámbito para el que esté designado.</w:t>
            </w:r>
          </w:p>
        </w:tc>
      </w:tr>
    </w:tbl>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7.2.   La autoridad competente definirá con claridad la misión asignada al equipo de evaluación. La tarea del equipo de evaluación es examinar los documentos r</w:t>
      </w:r>
      <w:r w:rsidRPr="00E00F43">
        <w:rPr>
          <w:rFonts w:ascii="Times New Roman" w:eastAsia="Times New Roman" w:hAnsi="Times New Roman" w:cs="Times New Roman"/>
          <w:sz w:val="28"/>
        </w:rPr>
        <w:t>ecibidos del servicio técnico solicitante y realizar la evaluación </w:t>
      </w:r>
      <w:r w:rsidRPr="00E00F43">
        <w:rPr>
          <w:rFonts w:ascii="Times New Roman" w:eastAsia="Times New Roman" w:hAnsi="Times New Roman" w:cs="Times New Roman"/>
          <w:i/>
          <w:iCs/>
          <w:sz w:val="28"/>
        </w:rPr>
        <w:t>in situ</w:t>
      </w:r>
      <w:r w:rsidRPr="00E00F43">
        <w:rPr>
          <w:rFonts w:ascii="Times New Roman" w:eastAsia="Times New Roman" w:hAnsi="Times New Roman" w:cs="Times New Roman"/>
          <w:sz w:val="28"/>
        </w:rPr>
        <w:t>.</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7.3.   La autoridad competente deberá convenir, junto con el servicio técnico y el equipo de evaluación asignado, la fecha y el programa de evaluación. No obstante, corresponde a l</w:t>
      </w:r>
      <w:r w:rsidRPr="00E00F43">
        <w:rPr>
          <w:rFonts w:ascii="Times New Roman" w:eastAsia="Times New Roman" w:hAnsi="Times New Roman" w:cs="Times New Roman"/>
          <w:sz w:val="28"/>
        </w:rPr>
        <w:t>a autoridad competente encontrar una fecha que sea conforme con el plan de vigilancia y evaluaciones posteriores.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7.4.   La autoridad competente se cerciorará de que el equipo de evaluación recibe los documentos con los criterios adecuados, los registros d</w:t>
      </w:r>
      <w:r w:rsidRPr="00E00F43">
        <w:rPr>
          <w:rFonts w:ascii="Times New Roman" w:eastAsia="Times New Roman" w:hAnsi="Times New Roman" w:cs="Times New Roman"/>
          <w:sz w:val="28"/>
        </w:rPr>
        <w:t>e evaluación anteriores y los documentos y registros pertinentes del servicio técnico.</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8.   </w:t>
      </w:r>
      <w:r w:rsidRPr="00E00F43">
        <w:rPr>
          <w:rFonts w:ascii="Times New Roman" w:eastAsia="Times New Roman" w:hAnsi="Times New Roman" w:cs="Times New Roman"/>
          <w:b/>
          <w:bCs/>
          <w:i/>
          <w:iCs/>
          <w:sz w:val="28"/>
        </w:rPr>
        <w:t>Evaluación in situ</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El equipo de evaluación deberá realizar la evaluación del servicio técnico en aquellos de sus locales donde lleve a cabo al menos una de las </w:t>
      </w:r>
      <w:r w:rsidRPr="00E00F43">
        <w:rPr>
          <w:rFonts w:ascii="Times New Roman" w:eastAsia="Times New Roman" w:hAnsi="Times New Roman" w:cs="Times New Roman"/>
          <w:sz w:val="28"/>
        </w:rPr>
        <w:t>actividades principales y, si procede, se personará para realizar la evaluación en otros locales seleccionados en los que opere el servicio técnico.</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9.   </w:t>
      </w:r>
      <w:r w:rsidRPr="00E00F43">
        <w:rPr>
          <w:rFonts w:ascii="Times New Roman" w:eastAsia="Times New Roman" w:hAnsi="Times New Roman" w:cs="Times New Roman"/>
          <w:b/>
          <w:bCs/>
          <w:i/>
          <w:iCs/>
          <w:sz w:val="28"/>
        </w:rPr>
        <w:t>Análisis de los datos obtenidos e informe de evaluación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9.1.   El equipo de evaluación deberá analizar</w:t>
      </w:r>
      <w:r w:rsidRPr="00E00F43">
        <w:rPr>
          <w:rFonts w:ascii="Times New Roman" w:eastAsia="Times New Roman" w:hAnsi="Times New Roman" w:cs="Times New Roman"/>
          <w:sz w:val="28"/>
        </w:rPr>
        <w:t xml:space="preserve"> todos los datos y pruebas pertinentes recogidos durante el examen de documentos y registros y en la evaluación </w:t>
      </w:r>
      <w:r w:rsidRPr="00E00F43">
        <w:rPr>
          <w:rFonts w:ascii="Times New Roman" w:eastAsia="Times New Roman" w:hAnsi="Times New Roman" w:cs="Times New Roman"/>
          <w:i/>
          <w:iCs/>
          <w:sz w:val="28"/>
        </w:rPr>
        <w:t>in situ</w:t>
      </w:r>
      <w:r w:rsidRPr="00E00F43">
        <w:rPr>
          <w:rFonts w:ascii="Times New Roman" w:eastAsia="Times New Roman" w:hAnsi="Times New Roman" w:cs="Times New Roman"/>
          <w:sz w:val="28"/>
        </w:rPr>
        <w:t xml:space="preserve">. Este análisis deberá ser suficiente para que el equipo pueda determinar el grado de competencia y conformidad del servicio técnico con </w:t>
      </w:r>
      <w:r w:rsidRPr="00E00F43">
        <w:rPr>
          <w:rFonts w:ascii="Times New Roman" w:eastAsia="Times New Roman" w:hAnsi="Times New Roman" w:cs="Times New Roman"/>
          <w:sz w:val="28"/>
        </w:rPr>
        <w:t>los requisitos para la designación.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9.2.   Los procedimientos de información de la autoridad competente deberán garantizar que se cumplen los requisitos expuestos a continuación.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9.2.1.   Deberá celebrarse una reunión del equipo de evaluación y el servicio</w:t>
      </w:r>
      <w:r w:rsidRPr="00E00F43">
        <w:rPr>
          <w:rFonts w:ascii="Times New Roman" w:eastAsia="Times New Roman" w:hAnsi="Times New Roman" w:cs="Times New Roman"/>
          <w:sz w:val="28"/>
        </w:rPr>
        <w:t xml:space="preserve"> técnico antes de que el equipo abandone el emplazamiento. En esta reunión, el equipo de evaluación deberá facilitar un informe oral o escrito de las conclusiones de su análisis. El servicio técnico tendrá la posibilidad de formular preguntas sobre dichas </w:t>
      </w:r>
      <w:r w:rsidRPr="00E00F43">
        <w:rPr>
          <w:rFonts w:ascii="Times New Roman" w:eastAsia="Times New Roman" w:hAnsi="Times New Roman" w:cs="Times New Roman"/>
          <w:sz w:val="28"/>
        </w:rPr>
        <w:t>conclusiones, incluidas las posibles no conformidades detectadas, y su justificación.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9.2.2.   Deberá dirigirse con prontitud a la atención del servicio técnico un informe escrito sobre los resultados de la evaluación. Este informe de evaluación deberá inc</w:t>
      </w:r>
      <w:r w:rsidRPr="00E00F43">
        <w:rPr>
          <w:rFonts w:ascii="Times New Roman" w:eastAsia="Times New Roman" w:hAnsi="Times New Roman" w:cs="Times New Roman"/>
          <w:sz w:val="28"/>
        </w:rPr>
        <w:t>luir observaciones sobre la competencia y la conformidad y señalar los casos de no conformidad, si los hay, que deban resolverse para satisfacer todos los requisitos de cara a la designación.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9.2.3.   Deberá invitarse al servicio técnico a responder al inf</w:t>
      </w:r>
      <w:r w:rsidRPr="00E00F43">
        <w:rPr>
          <w:rFonts w:ascii="Times New Roman" w:eastAsia="Times New Roman" w:hAnsi="Times New Roman" w:cs="Times New Roman"/>
          <w:sz w:val="28"/>
        </w:rPr>
        <w:t>orme de evaluación y a describir las medidas concretas adoptadas o programadas dentro de un plazo definido para resolver los casos de no conformidad señalados.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9.3.   La autoridad competente se asegurará de que las respuestas de los servicios técnicos sean</w:t>
      </w:r>
      <w:r w:rsidRPr="00E00F43">
        <w:rPr>
          <w:rFonts w:ascii="Times New Roman" w:eastAsia="Times New Roman" w:hAnsi="Times New Roman" w:cs="Times New Roman"/>
          <w:sz w:val="28"/>
        </w:rPr>
        <w:t xml:space="preserve"> suficientes y eficaces para resolver los casos de no conformidad. Si las respuestas del servicio técnico se consideran insuficientes, deberá solicitarse más información. Además, podrán pedirse pruebas de que las medidas adoptadas se aplican efectivamente,</w:t>
      </w:r>
      <w:r w:rsidRPr="00E00F43">
        <w:rPr>
          <w:rFonts w:ascii="Times New Roman" w:eastAsia="Times New Roman" w:hAnsi="Times New Roman" w:cs="Times New Roman"/>
          <w:sz w:val="28"/>
        </w:rPr>
        <w:t xml:space="preserve"> o bien realizarse una evaluación de seguimiento para verificar la aplicación efectiva de las medidas correctoras.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9.4.   El informe de evaluación deberá incluir como mínimo:</w:t>
      </w:r>
    </w:p>
    <w:tbl>
      <w:tblPr>
        <w:tblW w:w="5000" w:type="pct"/>
        <w:tblCellMar>
          <w:left w:w="0" w:type="dxa"/>
          <w:right w:w="0" w:type="dxa"/>
        </w:tblCellMar>
        <w:tblLook w:val="04A0" w:firstRow="1" w:lastRow="0" w:firstColumn="1" w:lastColumn="0" w:noHBand="0" w:noVBand="1"/>
      </w:tblPr>
      <w:tblGrid>
        <w:gridCol w:w="341"/>
        <w:gridCol w:w="8497"/>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identificación inequívoca del servicio técnico;</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508"/>
        <w:gridCol w:w="8330"/>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las fechas de la </w:t>
            </w:r>
            <w:r w:rsidRPr="00E00F43">
              <w:rPr>
                <w:rFonts w:ascii="Times New Roman" w:eastAsia="Times New Roman" w:hAnsi="Times New Roman" w:cs="Times New Roman"/>
                <w:sz w:val="28"/>
              </w:rPr>
              <w:t>evaluación </w:t>
            </w:r>
            <w:r w:rsidRPr="00E00F43">
              <w:rPr>
                <w:rFonts w:ascii="Times New Roman" w:eastAsia="Times New Roman" w:hAnsi="Times New Roman" w:cs="Times New Roman"/>
                <w:i/>
                <w:iCs/>
                <w:sz w:val="28"/>
              </w:rPr>
              <w:t>in situ</w:t>
            </w:r>
            <w:r w:rsidRPr="00E00F43">
              <w:rPr>
                <w:rFonts w:ascii="Times New Roman" w:eastAsia="Times New Roman" w:hAnsi="Times New Roman" w:cs="Times New Roman"/>
                <w:sz w:val="28"/>
              </w:rPr>
              <w:t>;</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33"/>
        <w:gridCol w:w="8605"/>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nombre de los auditores o expertos que participaron en la evaluación;</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300"/>
        <w:gridCol w:w="85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identificación inequívoca de todos los locales evaluados;</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90"/>
        <w:gridCol w:w="854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ámbito de designación propuesto objeto de evaluación;</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60"/>
        <w:gridCol w:w="867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f)</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una declaración sobre el </w:t>
            </w:r>
            <w:r w:rsidRPr="00E00F43">
              <w:rPr>
                <w:rFonts w:ascii="Times New Roman" w:eastAsia="Times New Roman" w:hAnsi="Times New Roman" w:cs="Times New Roman"/>
                <w:sz w:val="28"/>
              </w:rPr>
              <w:t>carácter adecuado de la organización interna y los procedimientos adoptados por el servicio técnico que respaldan su competencia, establecido a la luz del cumplimiento de los requisitos para la designación;</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54"/>
        <w:gridCol w:w="8584"/>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g)</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información sobre la resolución de todos los</w:t>
            </w:r>
            <w:r w:rsidRPr="00E00F43">
              <w:rPr>
                <w:rFonts w:ascii="Times New Roman" w:eastAsia="Times New Roman" w:hAnsi="Times New Roman" w:cs="Times New Roman"/>
                <w:sz w:val="28"/>
              </w:rPr>
              <w:t xml:space="preserve"> casos de no conformidad;</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h)</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una recomendación de si debe designarse o confirmarse al solicitante como servicio técnico y, en caso afirmativo, el ámbito de la designación.</w:t>
            </w:r>
          </w:p>
        </w:tc>
      </w:tr>
    </w:tbl>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10.   </w:t>
      </w:r>
      <w:r w:rsidRPr="00E00F43">
        <w:rPr>
          <w:rFonts w:ascii="Times New Roman" w:eastAsia="Times New Roman" w:hAnsi="Times New Roman" w:cs="Times New Roman"/>
          <w:b/>
          <w:bCs/>
          <w:i/>
          <w:iCs/>
          <w:sz w:val="28"/>
        </w:rPr>
        <w:t>Concesión o confirmación de la designación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10.1.   La autoridad de </w:t>
      </w:r>
      <w:r w:rsidRPr="00E00F43">
        <w:rPr>
          <w:rFonts w:ascii="Times New Roman" w:eastAsia="Times New Roman" w:hAnsi="Times New Roman" w:cs="Times New Roman"/>
          <w:sz w:val="28"/>
        </w:rPr>
        <w:t>homologación deberá decidir, sin demora indebida, basándose en los informes y en toda la información pertinente, si concede, confirma o prorroga la designación.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10.2.   La autoridad de homologación deberá facilitar un certificado al servicio técnico. El ce</w:t>
      </w:r>
      <w:r w:rsidRPr="00E00F43">
        <w:rPr>
          <w:rFonts w:ascii="Times New Roman" w:eastAsia="Times New Roman" w:hAnsi="Times New Roman" w:cs="Times New Roman"/>
          <w:sz w:val="28"/>
        </w:rPr>
        <w:t>rtificado deberá incluir lo siguiente:</w:t>
      </w:r>
    </w:p>
    <w:tbl>
      <w:tblPr>
        <w:tblW w:w="5000" w:type="pct"/>
        <w:tblCellMar>
          <w:left w:w="0" w:type="dxa"/>
          <w:right w:w="0" w:type="dxa"/>
        </w:tblCellMar>
        <w:tblLook w:val="04A0" w:firstRow="1" w:lastRow="0" w:firstColumn="1" w:lastColumn="0" w:noHBand="0" w:noVBand="1"/>
      </w:tblPr>
      <w:tblGrid>
        <w:gridCol w:w="282"/>
        <w:gridCol w:w="8556"/>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identidad y el logotipo de la autoridad de homologación;</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300"/>
        <w:gridCol w:w="85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identificación inequívoca del servicio técnico designado;</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29"/>
        <w:gridCol w:w="8609"/>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fecha efectiva de concesión de la designación y la fecha de expiración;</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una</w:t>
            </w:r>
            <w:r w:rsidRPr="00E00F43">
              <w:rPr>
                <w:rFonts w:ascii="Times New Roman" w:eastAsia="Times New Roman" w:hAnsi="Times New Roman" w:cs="Times New Roman"/>
                <w:sz w:val="28"/>
              </w:rPr>
              <w:t xml:space="preserve"> breve indicación o una referencia sobre el ámbito de la designación (reglamentos de las Naciones Unidas aplicables o partes de los mismos);</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48"/>
        <w:gridCol w:w="8590"/>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una declaración de conformidad y una referencia al presente anexo.</w:t>
            </w:r>
          </w:p>
        </w:tc>
      </w:tr>
    </w:tbl>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11.   </w:t>
      </w:r>
      <w:r w:rsidRPr="00E00F43">
        <w:rPr>
          <w:rFonts w:ascii="Times New Roman" w:eastAsia="Times New Roman" w:hAnsi="Times New Roman" w:cs="Times New Roman"/>
          <w:b/>
          <w:bCs/>
          <w:i/>
          <w:iCs/>
          <w:sz w:val="28"/>
        </w:rPr>
        <w:t>Evaluación posterior y vigilancia</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11.1.   La evaluación posterior es similar a la evaluación inicial, salvo que en ella se tendrá en cuenta la experiencia adquirida en evaluaciones anteriores. Las evaluaciones </w:t>
      </w:r>
      <w:r w:rsidRPr="00E00F43">
        <w:rPr>
          <w:rFonts w:ascii="Times New Roman" w:eastAsia="Times New Roman" w:hAnsi="Times New Roman" w:cs="Times New Roman"/>
          <w:i/>
          <w:iCs/>
          <w:sz w:val="28"/>
        </w:rPr>
        <w:t>in situ</w:t>
      </w:r>
      <w:r w:rsidRPr="00E00F43">
        <w:rPr>
          <w:rFonts w:ascii="Times New Roman" w:eastAsia="Times New Roman" w:hAnsi="Times New Roman" w:cs="Times New Roman"/>
          <w:sz w:val="28"/>
        </w:rPr>
        <w:t> de vigilancia son menos extensas que las evaluaciones posteriores.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11.2.   La autoridad competente deberá diseñar su plan de evaluaciones posteriores y de vigilancia de cada servicio técnico designado de tal manera que periódicamente se evalúen muestras representativas del ámbito de designación.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tiempo transcurrido ent</w:t>
      </w:r>
      <w:r w:rsidRPr="00E00F43">
        <w:rPr>
          <w:rFonts w:ascii="Times New Roman" w:eastAsia="Times New Roman" w:hAnsi="Times New Roman" w:cs="Times New Roman"/>
          <w:sz w:val="28"/>
        </w:rPr>
        <w:t>re las evaluaciones </w:t>
      </w:r>
      <w:r w:rsidRPr="00E00F43">
        <w:rPr>
          <w:rFonts w:ascii="Times New Roman" w:eastAsia="Times New Roman" w:hAnsi="Times New Roman" w:cs="Times New Roman"/>
          <w:i/>
          <w:iCs/>
          <w:sz w:val="28"/>
        </w:rPr>
        <w:t>in situ</w:t>
      </w:r>
      <w:r w:rsidRPr="00E00F43">
        <w:rPr>
          <w:rFonts w:ascii="Times New Roman" w:eastAsia="Times New Roman" w:hAnsi="Times New Roman" w:cs="Times New Roman"/>
          <w:sz w:val="28"/>
        </w:rPr>
        <w:t>, sean evaluaciones posteriores o de vigilancia, dependerá de la estabilidad demostrada del servicio técnico.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11.3.   Cuando se detecten casos de no conformidad durante las evaluaciones posteriores o de vigilancia, la autoridad c</w:t>
      </w:r>
      <w:r w:rsidRPr="00E00F43">
        <w:rPr>
          <w:rFonts w:ascii="Times New Roman" w:eastAsia="Times New Roman" w:hAnsi="Times New Roman" w:cs="Times New Roman"/>
          <w:sz w:val="28"/>
        </w:rPr>
        <w:t>ompetente deberá fijar plazos estrictos para la aplicación de medidas correctoras.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11.4.   Cuando las medidas correctoras o de mejora no se hayan tomado en el plazo acordado o se consideren insuficientes, la autoridad competente deberá adoptar las medidas </w:t>
      </w:r>
      <w:r w:rsidRPr="00E00F43">
        <w:rPr>
          <w:rFonts w:ascii="Times New Roman" w:eastAsia="Times New Roman" w:hAnsi="Times New Roman" w:cs="Times New Roman"/>
          <w:sz w:val="28"/>
        </w:rPr>
        <w:t>adecuadas, por ejemplo nuevas evaluaciones o la suspensión o retirada de la designación correspondiente a una o más de las actividades para las que se había designado el servicio técnico.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11.5.   Cuando la autoridad competente decida suspender o retirar la</w:t>
      </w:r>
      <w:r w:rsidRPr="00E00F43">
        <w:rPr>
          <w:rFonts w:ascii="Times New Roman" w:eastAsia="Times New Roman" w:hAnsi="Times New Roman" w:cs="Times New Roman"/>
          <w:sz w:val="28"/>
        </w:rPr>
        <w:t xml:space="preserve"> designación de un servicio técnico, deberá notificárselo por correo certificado y deberá notificarlo a la secretaría de la CEPE en consecuencia. En cualquier caso, la autoridad competente deberá adoptar todas las medidas necesarias para garantizar la cont</w:t>
      </w:r>
      <w:r w:rsidRPr="00E00F43">
        <w:rPr>
          <w:rFonts w:ascii="Times New Roman" w:eastAsia="Times New Roman" w:hAnsi="Times New Roman" w:cs="Times New Roman"/>
          <w:sz w:val="28"/>
        </w:rPr>
        <w:t>inuidad de las actividades ya emprendidas por el servicio técnico.</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12.   </w:t>
      </w:r>
      <w:r w:rsidRPr="00E00F43">
        <w:rPr>
          <w:rFonts w:ascii="Times New Roman" w:eastAsia="Times New Roman" w:hAnsi="Times New Roman" w:cs="Times New Roman"/>
          <w:b/>
          <w:bCs/>
          <w:i/>
          <w:iCs/>
          <w:sz w:val="28"/>
        </w:rPr>
        <w:t>Registros de los servicios técnicos designados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12.1.   La autoridad competente deberá llevar registros de los servicios técnicos a fin de dejar constancia de que se han cumplido efect</w:t>
      </w:r>
      <w:r w:rsidRPr="00E00F43">
        <w:rPr>
          <w:rFonts w:ascii="Times New Roman" w:eastAsia="Times New Roman" w:hAnsi="Times New Roman" w:cs="Times New Roman"/>
          <w:sz w:val="28"/>
        </w:rPr>
        <w:t>ivamente los requisitos para la designación, incluida la competencia.</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12.2.   La autoridad competente deberá guardar en condiciones de seguridad los registros de los servicios técnicos, a fin de garantizar su carácter confidencial.</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12.3.   Los registros de</w:t>
      </w:r>
      <w:r w:rsidRPr="00E00F43">
        <w:rPr>
          <w:rFonts w:ascii="Times New Roman" w:eastAsia="Times New Roman" w:hAnsi="Times New Roman" w:cs="Times New Roman"/>
          <w:sz w:val="28"/>
        </w:rPr>
        <w:t xml:space="preserve"> los servicios técnicos incluirán como mínimo:</w:t>
      </w:r>
    </w:p>
    <w:tbl>
      <w:tblPr>
        <w:tblW w:w="5000" w:type="pct"/>
        <w:tblCellMar>
          <w:left w:w="0" w:type="dxa"/>
          <w:right w:w="0" w:type="dxa"/>
        </w:tblCellMar>
        <w:tblLook w:val="04A0" w:firstRow="1" w:lastRow="0" w:firstColumn="1" w:lastColumn="0" w:noHBand="0" w:noVBand="1"/>
      </w:tblPr>
      <w:tblGrid>
        <w:gridCol w:w="537"/>
        <w:gridCol w:w="830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correspondencia pertinente;</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453"/>
        <w:gridCol w:w="8385"/>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los registros e informes de evaluación;</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397"/>
        <w:gridCol w:w="844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copias de los certificados de designación.</w:t>
            </w:r>
          </w:p>
        </w:tc>
      </w:tr>
    </w:tbl>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i/>
          <w:iCs/>
          <w:sz w:val="28"/>
        </w:rPr>
        <w:t>Anexo 3</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Procedimientos para las homologaciones de tipo de las Naciones Unidas</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1.   </w:t>
      </w:r>
      <w:r w:rsidRPr="00E00F43">
        <w:rPr>
          <w:rFonts w:ascii="Times New Roman" w:eastAsia="Times New Roman" w:hAnsi="Times New Roman" w:cs="Times New Roman"/>
          <w:b/>
          <w:bCs/>
          <w:i/>
          <w:iCs/>
          <w:sz w:val="28"/>
        </w:rPr>
        <w:t>Solicitud y realización de una homologación de tipo de las Naciones Unidas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1.1.   El fabricante o su representante autorizado (en lo sucesivo, el «solicitante») deberá presentar la solicitud de homologación de tipo de las Naciones Unidas a la autorida</w:t>
      </w:r>
      <w:r w:rsidRPr="00E00F43">
        <w:rPr>
          <w:rFonts w:ascii="Times New Roman" w:eastAsia="Times New Roman" w:hAnsi="Times New Roman" w:cs="Times New Roman"/>
          <w:sz w:val="28"/>
        </w:rPr>
        <w:t>d de homologación de una Parte contratante.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1.2.   Solo se podrá presentar una solicitud para un determinado tipo de vehículo, equipo o parte, y esta solicitud solo se podrá presentar a una Parte contratante que aplique los reglamentos de las Naciones Unid</w:t>
      </w:r>
      <w:r w:rsidRPr="00E00F43">
        <w:rPr>
          <w:rFonts w:ascii="Times New Roman" w:eastAsia="Times New Roman" w:hAnsi="Times New Roman" w:cs="Times New Roman"/>
          <w:sz w:val="28"/>
        </w:rPr>
        <w:t>as con arreglo a los cuales se desea obtener la homologación de tipo de las Naciones Unidas. Se presentará una solicitud separada para cada tipo que se quiera homologar.</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1.3.   La solicitud deberá ir acompañada de la información especificada en los reglame</w:t>
      </w:r>
      <w:r w:rsidRPr="00E00F43">
        <w:rPr>
          <w:rFonts w:ascii="Times New Roman" w:eastAsia="Times New Roman" w:hAnsi="Times New Roman" w:cs="Times New Roman"/>
          <w:sz w:val="28"/>
        </w:rPr>
        <w:t>ntos de las Naciones Unidas con arreglo a los cuales se solicita la homologación. Esta información deberá incluir una descripción detallada de las características del tipo que se quiera homologar, incluidos los planos, diagramas e imágenes necesarios.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1.4.</w:t>
      </w:r>
      <w:r w:rsidRPr="00E00F43">
        <w:rPr>
          <w:rFonts w:ascii="Times New Roman" w:eastAsia="Times New Roman" w:hAnsi="Times New Roman" w:cs="Times New Roman"/>
          <w:sz w:val="28"/>
        </w:rPr>
        <w:t xml:space="preserve">   Mediante una solicitud debidamente motivada, la autoridad de homologación podrá pedir al solicitante que proporcione toda información adicional necesaria para poder decidir qué ensayos de homologación son necesarios o para facilitar la ejecución de los </w:t>
      </w:r>
      <w:r w:rsidRPr="00E00F43">
        <w:rPr>
          <w:rFonts w:ascii="Times New Roman" w:eastAsia="Times New Roman" w:hAnsi="Times New Roman" w:cs="Times New Roman"/>
          <w:sz w:val="28"/>
        </w:rPr>
        <w:t>mismos.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1.5.   El solicitante deberá poner a disposición de la autoridad de homologación tantos vehículos de ruedas, equipos o piezas como exijan los ensayos requeridos por los reglamentos de las Naciones Unidas con arreglo a los cuales se solicita la homo</w:t>
      </w:r>
      <w:r w:rsidRPr="00E00F43">
        <w:rPr>
          <w:rFonts w:ascii="Times New Roman" w:eastAsia="Times New Roman" w:hAnsi="Times New Roman" w:cs="Times New Roman"/>
          <w:sz w:val="28"/>
        </w:rPr>
        <w:t>logación.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1.6.   El cumplimiento de los requisitos establecidos en los reglamentos de las Naciones Unidas deberá demostrarse por medio de los ensayos adecuados llevados a cabo en los vehículos de ruedas, equipos y piezas representativos del tipo que se qui</w:t>
      </w:r>
      <w:r w:rsidRPr="00E00F43">
        <w:rPr>
          <w:rFonts w:ascii="Times New Roman" w:eastAsia="Times New Roman" w:hAnsi="Times New Roman" w:cs="Times New Roman"/>
          <w:sz w:val="28"/>
        </w:rPr>
        <w:t>era homologar.</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autoridad de homologación aplicará el principio de «el peor de los casos», mediante la selección de la variante o versión del tipo especificado que para los fines de ensayo representará el tipo que ha de ser homologado en las peores condi</w:t>
      </w:r>
      <w:r w:rsidRPr="00E00F43">
        <w:rPr>
          <w:rFonts w:ascii="Times New Roman" w:eastAsia="Times New Roman" w:hAnsi="Times New Roman" w:cs="Times New Roman"/>
          <w:sz w:val="28"/>
        </w:rPr>
        <w:t>ciones. En la documentación de homologación se registrarán las decisiones tomadas, junto con su justificación.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Sin embargo, el solicitante podrá seleccionar, de acuerdo con las autoridades de homologación, un vehículo, equipo o pieza que, si bien no sea re</w:t>
      </w:r>
      <w:r w:rsidRPr="00E00F43">
        <w:rPr>
          <w:rFonts w:ascii="Times New Roman" w:eastAsia="Times New Roman" w:hAnsi="Times New Roman" w:cs="Times New Roman"/>
          <w:sz w:val="28"/>
        </w:rPr>
        <w:t>presentativo del tipo que ha de ser homologado, combine una serie de características más desfavorables en relación con el nivel de prestaciones requerido por los reglamentos de las Naciones Unidas («el peor de los casos»). Podrán utilizarse métodos de ensa</w:t>
      </w:r>
      <w:r w:rsidRPr="00E00F43">
        <w:rPr>
          <w:rFonts w:ascii="Times New Roman" w:eastAsia="Times New Roman" w:hAnsi="Times New Roman" w:cs="Times New Roman"/>
          <w:sz w:val="28"/>
        </w:rPr>
        <w:t>yo virtual para facilitar la toma de decisiones sobre la selección del peor de los casos.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1.7.   Los servicios técnicos realizarán o supervisarán los ensayos de homologación. Los procedimientos de ensayo que se aplicarán y los equipos y herramientas especí</w:t>
      </w:r>
      <w:r w:rsidRPr="00E00F43">
        <w:rPr>
          <w:rFonts w:ascii="Times New Roman" w:eastAsia="Times New Roman" w:hAnsi="Times New Roman" w:cs="Times New Roman"/>
          <w:sz w:val="28"/>
        </w:rPr>
        <w:t>ficos que se utilizarán serán los especificados en los reglamentos de las Naciones Unidas.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1.8.   Como una alternativa a los procedimientos de ensayo a que se hace referencia en los anteriores apartados 1.6 y 1.7, podrán utilizarse ensayos virtuales a peti</w:t>
      </w:r>
      <w:r w:rsidRPr="00E00F43">
        <w:rPr>
          <w:rFonts w:ascii="Times New Roman" w:eastAsia="Times New Roman" w:hAnsi="Times New Roman" w:cs="Times New Roman"/>
          <w:sz w:val="28"/>
        </w:rPr>
        <w:t>ción del solicitante, en la medida en que ello esté previsto en los reglamentos de las Naciones Unidas pertinentes y sin perjuicio del cumplimiento de las condiciones generales que figuran en el anexo 8 del Acuerdo de 1958.</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1.9.   Las Partes contratantes e</w:t>
      </w:r>
      <w:r w:rsidRPr="00E00F43">
        <w:rPr>
          <w:rFonts w:ascii="Times New Roman" w:eastAsia="Times New Roman" w:hAnsi="Times New Roman" w:cs="Times New Roman"/>
          <w:sz w:val="28"/>
        </w:rPr>
        <w:t>xpedirán homologaciones de tipo solo cuando se asegure el cumplimiento de la conformidad de los requisitos de producción del anexo 1 del Acuerdo de 1958.</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1.10.   Cuando las pruebas de homologación hayan demostrado que el tipo cumple los requisitos técnicos</w:t>
      </w:r>
      <w:r w:rsidRPr="00E00F43">
        <w:rPr>
          <w:rFonts w:ascii="Times New Roman" w:eastAsia="Times New Roman" w:hAnsi="Times New Roman" w:cs="Times New Roman"/>
          <w:sz w:val="28"/>
        </w:rPr>
        <w:t xml:space="preserve"> del reglamento de las Naciones Unidas, se concederá la homologación de ese tipo, se asignará un número de homologación con arreglo al anexo 4 del Acuerdo de 1958 y se asignará una marca de homologación a cada tipo con arreglo a las disposiciones específic</w:t>
      </w:r>
      <w:r w:rsidRPr="00E00F43">
        <w:rPr>
          <w:rFonts w:ascii="Times New Roman" w:eastAsia="Times New Roman" w:hAnsi="Times New Roman" w:cs="Times New Roman"/>
          <w:sz w:val="28"/>
        </w:rPr>
        <w:t>as del reglamento de las Naciones Unidas de que se trate.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1.11.   La autoridad competente deberá asegurarse de que se incluyan los siguientes elementos en la documentación de homologación:</w:t>
      </w: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un registro de la selección del peor de los casos y la justifica</w:t>
            </w:r>
            <w:r w:rsidRPr="00E00F43">
              <w:rPr>
                <w:rFonts w:ascii="Times New Roman" w:eastAsia="Times New Roman" w:hAnsi="Times New Roman" w:cs="Times New Roman"/>
                <w:sz w:val="28"/>
              </w:rPr>
              <w:t>ción de dicha selección, lo cual puede incluir información proporcionada por el fabricante;</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un registro de todas las interpretaciones técnicas significativas realizadas, de los distintos métodos de ensayo aplicados o de las nuevas tecnologías </w:t>
            </w:r>
            <w:r w:rsidRPr="00E00F43">
              <w:rPr>
                <w:rFonts w:ascii="Times New Roman" w:eastAsia="Times New Roman" w:hAnsi="Times New Roman" w:cs="Times New Roman"/>
                <w:sz w:val="28"/>
              </w:rPr>
              <w:t>introducidas;</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un informe de ensayo del servicio técnico que incluya los valores registrados logrados en las mediciones y los ensayos requeridos por el reglamento de las Naciones Unidas;</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documentos de información del fabricante en los que consten </w:t>
            </w:r>
            <w:r w:rsidRPr="00E00F43">
              <w:rPr>
                <w:rFonts w:ascii="Times New Roman" w:eastAsia="Times New Roman" w:hAnsi="Times New Roman" w:cs="Times New Roman"/>
                <w:sz w:val="28"/>
              </w:rPr>
              <w:t>debidamente las características del tipo que debe homologarse;</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una declaración de conformidad con los requisitos de la producción del anexo 1 del Acuerdo de 1958, en la que se detallen las disposiciones a las que se refiere el apartado 1.3 del anexo 1</w:t>
            </w:r>
            <w:r w:rsidRPr="00E00F43">
              <w:rPr>
                <w:rFonts w:ascii="Times New Roman" w:eastAsia="Times New Roman" w:hAnsi="Times New Roman" w:cs="Times New Roman"/>
                <w:sz w:val="28"/>
              </w:rPr>
              <w:t xml:space="preserve"> del Acuerdo de 1958 que se han tenido en cuenta como base para la evaluación inicial, así como la fecha de la evaluación inicial y las actividades de vigilancia llevadas a cabo;</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361"/>
        <w:gridCol w:w="8477"/>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f)</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certificado de homologación de tipo.</w:t>
            </w:r>
          </w:p>
        </w:tc>
      </w:tr>
    </w:tbl>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2.   </w:t>
      </w:r>
      <w:r w:rsidRPr="00E00F43">
        <w:rPr>
          <w:rFonts w:ascii="Times New Roman" w:eastAsia="Times New Roman" w:hAnsi="Times New Roman" w:cs="Times New Roman"/>
          <w:b/>
          <w:bCs/>
          <w:i/>
          <w:iCs/>
          <w:sz w:val="28"/>
        </w:rPr>
        <w:t xml:space="preserve">Modificaciones de las </w:t>
      </w:r>
      <w:r w:rsidRPr="00E00F43">
        <w:rPr>
          <w:rFonts w:ascii="Times New Roman" w:eastAsia="Times New Roman" w:hAnsi="Times New Roman" w:cs="Times New Roman"/>
          <w:b/>
          <w:bCs/>
          <w:i/>
          <w:iCs/>
          <w:sz w:val="28"/>
        </w:rPr>
        <w:t>homologaciones de tipo de las Naciones Unidas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2.1.   El fabricante titular de una homologación de tipo de las Naciones Unidas para su vehículo, equipo o pieza deberá notificar sin demora a la Parte contratante que haya expedido la homologación de tipo de l</w:t>
      </w:r>
      <w:r w:rsidRPr="00E00F43">
        <w:rPr>
          <w:rFonts w:ascii="Times New Roman" w:eastAsia="Times New Roman" w:hAnsi="Times New Roman" w:cs="Times New Roman"/>
          <w:sz w:val="28"/>
        </w:rPr>
        <w:t>as Naciones Unidas cualquier modificación de las características del tipo registradas en la información a que se refiere el apartado 1.3.</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2.2.   La Parte contratante decidirá cuál de los dos procedimientos para modificar la homologación de tipo de las Naci</w:t>
      </w:r>
      <w:r w:rsidRPr="00E00F43">
        <w:rPr>
          <w:rFonts w:ascii="Times New Roman" w:eastAsia="Times New Roman" w:hAnsi="Times New Roman" w:cs="Times New Roman"/>
          <w:sz w:val="28"/>
        </w:rPr>
        <w:t>ones Unidas fijados en los apartados 2.5 y 2.6 se debe seguir. En caso necesario, la Parte contratante podrá decidir, en consulta con el fabricante, que puede ser necesario conceder una nueva homologación de tipo de las Naciones Unidas.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2.3.   La solicitud</w:t>
      </w:r>
      <w:r w:rsidRPr="00E00F43">
        <w:rPr>
          <w:rFonts w:ascii="Times New Roman" w:eastAsia="Times New Roman" w:hAnsi="Times New Roman" w:cs="Times New Roman"/>
          <w:sz w:val="28"/>
        </w:rPr>
        <w:t xml:space="preserve"> de modificación de una homologación de tipo de las Naciones Unidas solo podrá presentarse a la Parte contratante que haya expedido la homologación de tipo original de las Naciones Unidas.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2.4.   Si la Parte contratante considera necesario realizar inspecc</w:t>
      </w:r>
      <w:r w:rsidRPr="00E00F43">
        <w:rPr>
          <w:rFonts w:ascii="Times New Roman" w:eastAsia="Times New Roman" w:hAnsi="Times New Roman" w:cs="Times New Roman"/>
          <w:sz w:val="28"/>
        </w:rPr>
        <w:t>iones o ensayos a fin de modificar la homologación de tipo de las Naciones Unidas, informará debidamente al fabricante.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2.5.   Cuando las características del tipo registradas en los documentos de información y los informes de ensayo hayan cambiado y la Par</w:t>
      </w:r>
      <w:r w:rsidRPr="00E00F43">
        <w:rPr>
          <w:rFonts w:ascii="Times New Roman" w:eastAsia="Times New Roman" w:hAnsi="Times New Roman" w:cs="Times New Roman"/>
          <w:sz w:val="28"/>
        </w:rPr>
        <w:t>te contratante considere que los cambios no tendrán un efecto adverso apreciable en la eficacia medioambiental o de seguridad funcional y que, en cualquier caso, el tipo sigue cumpliendo los requisitos de los reglamentos de las Naciones Unidas de que se tr</w:t>
      </w:r>
      <w:r w:rsidRPr="00E00F43">
        <w:rPr>
          <w:rFonts w:ascii="Times New Roman" w:eastAsia="Times New Roman" w:hAnsi="Times New Roman" w:cs="Times New Roman"/>
          <w:sz w:val="28"/>
        </w:rPr>
        <w:t>ate, la modificación de la homologación de tipo de las Naciones Unidas se designará como «revisión».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En estos casos, la Parte contratante deberá expedir las páginas revisadas de la ficha de homologación, según proceda, señalando claramente en cada página r</w:t>
      </w:r>
      <w:r w:rsidRPr="00E00F43">
        <w:rPr>
          <w:rFonts w:ascii="Times New Roman" w:eastAsia="Times New Roman" w:hAnsi="Times New Roman" w:cs="Times New Roman"/>
          <w:sz w:val="28"/>
        </w:rPr>
        <w:t>evisada qué tipo de cambio se ha producido y en qué fecha tuvo lugar la nueva expedición. Se considerará cumplido este requisito mediante una copia consolidada y actualizada de los documentos informativos y los informes de ensayo, que lleve adjunta una des</w:t>
      </w:r>
      <w:r w:rsidRPr="00E00F43">
        <w:rPr>
          <w:rFonts w:ascii="Times New Roman" w:eastAsia="Times New Roman" w:hAnsi="Times New Roman" w:cs="Times New Roman"/>
          <w:sz w:val="28"/>
        </w:rPr>
        <w:t>cripción detallada de la modificación.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2.6.   La modificación de una homologación de tipo de las Naciones Unidas se designará como «extensión» si, además de la modificación de los datos registrados en los documentos de información:</w:t>
      </w:r>
    </w:p>
    <w:tbl>
      <w:tblPr>
        <w:tblW w:w="5000" w:type="pct"/>
        <w:tblCellMar>
          <w:left w:w="0" w:type="dxa"/>
          <w:right w:w="0" w:type="dxa"/>
        </w:tblCellMar>
        <w:tblLook w:val="04A0" w:firstRow="1" w:lastRow="0" w:firstColumn="1" w:lastColumn="0" w:noHBand="0" w:noVBand="1"/>
      </w:tblPr>
      <w:tblGrid>
        <w:gridCol w:w="266"/>
        <w:gridCol w:w="8572"/>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deben realizarse nuev</w:t>
            </w:r>
            <w:r w:rsidRPr="00E00F43">
              <w:rPr>
                <w:rFonts w:ascii="Times New Roman" w:eastAsia="Times New Roman" w:hAnsi="Times New Roman" w:cs="Times New Roman"/>
                <w:sz w:val="28"/>
              </w:rPr>
              <w:t>as inspecciones o nuevos ensayos; o bien</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ha cambiado cualquier información del documento de comunicación (a excepción de sus documentos adjuntos); o bien</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se solicita la homologación de una serie de modificaciones posteriores después de su entrada</w:t>
            </w:r>
            <w:r w:rsidRPr="00E00F43">
              <w:rPr>
                <w:rFonts w:ascii="Times New Roman" w:eastAsia="Times New Roman" w:hAnsi="Times New Roman" w:cs="Times New Roman"/>
                <w:sz w:val="28"/>
              </w:rPr>
              <w:t xml:space="preserve"> en vigor, que podrá concederse siempre que se cumplan los requisitos de una serie de modificaciones posteriores.</w:t>
            </w:r>
          </w:p>
        </w:tc>
      </w:tr>
    </w:tbl>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2.7.   La confirmación o denegación de la modificación de la homologación de tipo de las Naciones Unidas, con las modificaciones </w:t>
      </w:r>
      <w:r w:rsidRPr="00E00F43">
        <w:rPr>
          <w:rFonts w:ascii="Times New Roman" w:eastAsia="Times New Roman" w:hAnsi="Times New Roman" w:cs="Times New Roman"/>
          <w:sz w:val="28"/>
        </w:rPr>
        <w:t>especificadas, se comunicará a las Partes contratantes del Acuerdo de 1958 que apliquen el reglamento de las Naciones Unidas mediante un formulario de comunicación. Por otra parte, el índice de los documentos de información y los informes de ensayo, que se</w:t>
      </w:r>
      <w:r w:rsidRPr="00E00F43">
        <w:rPr>
          <w:rFonts w:ascii="Times New Roman" w:eastAsia="Times New Roman" w:hAnsi="Times New Roman" w:cs="Times New Roman"/>
          <w:sz w:val="28"/>
        </w:rPr>
        <w:t xml:space="preserve"> adjunta al documento de comunicación, se modificará en consecuencia para mostrar la fecha de la revisión o extensión más reciente.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2.8.   La autoridad de homologación que conceda la extensión de la homologación deberá actualizar el número de homologación </w:t>
      </w:r>
      <w:r w:rsidRPr="00E00F43">
        <w:rPr>
          <w:rFonts w:ascii="Times New Roman" w:eastAsia="Times New Roman" w:hAnsi="Times New Roman" w:cs="Times New Roman"/>
          <w:sz w:val="28"/>
        </w:rPr>
        <w:t>con un número de extensión incrementado en función del número de extensiones sucesivas ya concedidas de conformidad con el anexo 4 del Acuerdo de 1958 y deberá expedir un formulario de comunicación revisado identificado por este número de extensión.</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i/>
          <w:iCs/>
          <w:sz w:val="28"/>
        </w:rPr>
        <w:t>Anexo </w:t>
      </w:r>
      <w:r w:rsidRPr="00E00F43">
        <w:rPr>
          <w:rFonts w:ascii="Times New Roman" w:eastAsia="Times New Roman" w:hAnsi="Times New Roman" w:cs="Times New Roman"/>
          <w:b/>
          <w:bCs/>
          <w:i/>
          <w:iCs/>
          <w:sz w:val="28"/>
        </w:rPr>
        <w:t>4</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Numeración de las homologaciones de tipo de las Naciones Unidas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   A partir de la entrada en vigor del Acuerdo de 1958, las Partes contratantes deberán expedir un número de homologación de tipo con arreglo al apartado 1.10 del anexo 3 para cada nueva h</w:t>
      </w:r>
      <w:r w:rsidRPr="00E00F43">
        <w:rPr>
          <w:rFonts w:ascii="Times New Roman" w:eastAsia="Times New Roman" w:hAnsi="Times New Roman" w:cs="Times New Roman"/>
          <w:sz w:val="28"/>
        </w:rPr>
        <w:t>omologación de tipo y cada extensión de esa homologación.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   A partir de la entrada en vigor del Acuerdo de 1958 y a pesar de que las disposiciones sobre marcas de homologación de cualquier versión de los reglamentos de las Naciones Unidas hayan dispuest</w:t>
      </w:r>
      <w:r w:rsidRPr="00E00F43">
        <w:rPr>
          <w:rFonts w:ascii="Times New Roman" w:eastAsia="Times New Roman" w:hAnsi="Times New Roman" w:cs="Times New Roman"/>
          <w:sz w:val="28"/>
        </w:rPr>
        <w:t>o lo contrario, el fabricante deberá fijar una marca de homologación, si así se solicita, según las disposiciones de los reglamentos pertinentes de las Naciones Unidas. No obstante, esa marca deberá utilizar los dos primeros dígitos de la sección 2 y los d</w:t>
      </w:r>
      <w:r w:rsidRPr="00E00F43">
        <w:rPr>
          <w:rFonts w:ascii="Times New Roman" w:eastAsia="Times New Roman" w:hAnsi="Times New Roman" w:cs="Times New Roman"/>
          <w:sz w:val="28"/>
        </w:rPr>
        <w:t>ígitos de la sección 3 del número de homologación mencionados en el presente anexo como número de homologación para cada vehículo con ruedas, equipo o pieza para el que se haya concedido una nueva homologación o para el que se hayan ampliado las homologaci</w:t>
      </w:r>
      <w:r w:rsidRPr="00E00F43">
        <w:rPr>
          <w:rFonts w:ascii="Times New Roman" w:eastAsia="Times New Roman" w:hAnsi="Times New Roman" w:cs="Times New Roman"/>
          <w:sz w:val="28"/>
        </w:rPr>
        <w:t>ones. Sin embargo, esta disposición no será aplicable cuando un reglamento de las Naciones Unidas exija la utilización de un código de homologación o un código de identificación en la marca de homologación en lugar de un número de homologación. Los ceros d</w:t>
      </w:r>
      <w:r w:rsidRPr="00E00F43">
        <w:rPr>
          <w:rFonts w:ascii="Times New Roman" w:eastAsia="Times New Roman" w:hAnsi="Times New Roman" w:cs="Times New Roman"/>
          <w:sz w:val="28"/>
        </w:rPr>
        <w:t>elante de la sección 3 pueden omitirse.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   Se asignará un número de homologación a cada tipo homologado. El número de homologación constará de 4 secciones. Cada sección irá separada por el carácter «*».</w:t>
      </w:r>
    </w:p>
    <w:tbl>
      <w:tblPr>
        <w:tblW w:w="5000" w:type="pct"/>
        <w:tblCellMar>
          <w:left w:w="0" w:type="dxa"/>
          <w:right w:w="0" w:type="dxa"/>
        </w:tblCellMar>
        <w:tblLook w:val="04A0" w:firstRow="1" w:lastRow="0" w:firstColumn="1" w:lastColumn="0" w:noHBand="0" w:noVBand="1"/>
      </w:tblPr>
      <w:tblGrid>
        <w:gridCol w:w="940"/>
        <w:gridCol w:w="67"/>
        <w:gridCol w:w="783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Sección 1</w:t>
            </w:r>
          </w:p>
        </w:tc>
        <w:tc>
          <w:tcPr>
            <w:tcW w:w="0" w:type="auto"/>
            <w:shd w:val="clear" w:color="auto" w:fill="auto"/>
            <w:hideMark/>
          </w:tcPr>
          <w:p w:rsidR="00651E84" w:rsidRPr="00E00F43" w:rsidRDefault="00E00F43" w:rsidP="00374DDD">
            <w:pPr>
              <w:spacing w:before="120" w:after="0" w:line="240" w:lineRule="auto"/>
              <w:jc w:val="center"/>
              <w:rPr>
                <w:rFonts w:ascii="Times New Roman" w:eastAsia="Times New Roman" w:hAnsi="Times New Roman" w:cs="Times New Roman"/>
                <w:sz w:val="28"/>
              </w:rPr>
            </w:pPr>
            <w:r w:rsidRPr="00E00F43">
              <w:rPr>
                <w:rFonts w:ascii="Times New Roman" w:eastAsia="Times New Roman" w:hAnsi="Times New Roman" w:cs="Times New Roman"/>
                <w:sz w:val="28"/>
              </w:rPr>
              <w:t>:</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Letra «E» mayúscula seguida del número </w:t>
            </w:r>
            <w:r w:rsidRPr="00E00F43">
              <w:rPr>
                <w:rFonts w:ascii="Times New Roman" w:eastAsia="Times New Roman" w:hAnsi="Times New Roman" w:cs="Times New Roman"/>
                <w:sz w:val="28"/>
              </w:rPr>
              <w:t>que identifica a la Parte contratante que ha concedido la homologación de tipo.</w:t>
            </w:r>
          </w:p>
        </w:tc>
      </w:tr>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Sección 2</w:t>
            </w:r>
          </w:p>
        </w:tc>
        <w:tc>
          <w:tcPr>
            <w:tcW w:w="0" w:type="auto"/>
            <w:shd w:val="clear" w:color="auto" w:fill="auto"/>
            <w:hideMark/>
          </w:tcPr>
          <w:p w:rsidR="00651E84" w:rsidRPr="00E00F43" w:rsidRDefault="00E00F43" w:rsidP="00374DDD">
            <w:pPr>
              <w:spacing w:before="120" w:after="0" w:line="240" w:lineRule="auto"/>
              <w:jc w:val="center"/>
              <w:rPr>
                <w:rFonts w:ascii="Times New Roman" w:eastAsia="Times New Roman" w:hAnsi="Times New Roman" w:cs="Times New Roman"/>
                <w:sz w:val="28"/>
              </w:rPr>
            </w:pPr>
            <w:r w:rsidRPr="00E00F43">
              <w:rPr>
                <w:rFonts w:ascii="Times New Roman" w:eastAsia="Times New Roman" w:hAnsi="Times New Roman" w:cs="Times New Roman"/>
                <w:sz w:val="28"/>
              </w:rPr>
              <w:t>:</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número del reglamento pertinente de las Naciones Unidas, seguido de la letra «R», sucesivamente seguido de:</w:t>
            </w:r>
          </w:p>
          <w:tbl>
            <w:tblPr>
              <w:tblW w:w="5000" w:type="pct"/>
              <w:tblCellMar>
                <w:left w:w="0" w:type="dxa"/>
                <w:right w:w="0" w:type="dxa"/>
              </w:tblCellMar>
              <w:tblLook w:val="04A0" w:firstRow="1" w:lastRow="0" w:firstColumn="1" w:lastColumn="0" w:noHBand="0" w:noVBand="1"/>
            </w:tblPr>
            <w:tblGrid>
              <w:gridCol w:w="187"/>
              <w:gridCol w:w="7644"/>
            </w:tblGrid>
            <w:tr w:rsidR="00651E84" w:rsidRPr="00E00F43">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dos dígitos (con ceros delante si es necesario) </w:t>
                  </w:r>
                  <w:r w:rsidRPr="00E00F43">
                    <w:rPr>
                      <w:rFonts w:ascii="Times New Roman" w:eastAsia="Times New Roman" w:hAnsi="Times New Roman" w:cs="Times New Roman"/>
                      <w:sz w:val="28"/>
                    </w:rPr>
                    <w:t>que indican la serie de modificaciones que incorporan las disposiciones técnicas del reglamento de las Naciones Unidas aplicado a la homologación (00 para el reglamento en su forma original);</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7631"/>
            </w:tblGrid>
            <w:tr w:rsidR="00651E84" w:rsidRPr="00E00F43">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una barra inclinada y dos dígitos (con ceros delante si es </w:t>
                  </w:r>
                  <w:r w:rsidRPr="00E00F43">
                    <w:rPr>
                      <w:rFonts w:ascii="Times New Roman" w:eastAsia="Times New Roman" w:hAnsi="Times New Roman" w:cs="Times New Roman"/>
                      <w:sz w:val="28"/>
                    </w:rPr>
                    <w:t>necesario) que indican el número del suplemento de la serie de modificaciones aplicada a la homologación (00 para la serie de modificaciones en su forma original);</w:t>
                  </w:r>
                </w:p>
              </w:tc>
            </w:tr>
          </w:tbl>
          <w:p w:rsidR="00651E84" w:rsidRPr="00E00F43" w:rsidRDefault="00E00F43" w:rsidP="00374DDD">
            <w:pPr>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87"/>
              <w:gridCol w:w="7644"/>
            </w:tblGrid>
            <w:tr w:rsidR="00651E84" w:rsidRPr="00E00F43">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una barra inclinada y uno o dos caracteres que indican la fase de aplicación, si </w:t>
                  </w:r>
                  <w:r w:rsidRPr="00E00F43">
                    <w:rPr>
                      <w:rFonts w:ascii="Times New Roman" w:eastAsia="Times New Roman" w:hAnsi="Times New Roman" w:cs="Times New Roman"/>
                      <w:sz w:val="28"/>
                    </w:rPr>
                    <w:t>procede.</w:t>
                  </w:r>
                </w:p>
              </w:tc>
            </w:tr>
          </w:tbl>
          <w:p w:rsidR="00651E84" w:rsidRPr="00E00F43" w:rsidRDefault="00E00F43" w:rsidP="00374DDD">
            <w:pPr>
              <w:spacing w:after="0" w:line="240" w:lineRule="auto"/>
              <w:rPr>
                <w:rFonts w:ascii="Times New Roman" w:eastAsia="Times New Roman" w:hAnsi="Times New Roman" w:cs="Times New Roman"/>
                <w:sz w:val="28"/>
              </w:rPr>
            </w:pPr>
          </w:p>
        </w:tc>
      </w:tr>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Sección 3</w:t>
            </w:r>
          </w:p>
        </w:tc>
        <w:tc>
          <w:tcPr>
            <w:tcW w:w="0" w:type="auto"/>
            <w:shd w:val="clear" w:color="auto" w:fill="auto"/>
            <w:hideMark/>
          </w:tcPr>
          <w:p w:rsidR="00651E84" w:rsidRPr="00E00F43" w:rsidRDefault="00E00F43" w:rsidP="00374DDD">
            <w:pPr>
              <w:spacing w:before="120" w:after="0" w:line="240" w:lineRule="auto"/>
              <w:jc w:val="center"/>
              <w:rPr>
                <w:rFonts w:ascii="Times New Roman" w:eastAsia="Times New Roman" w:hAnsi="Times New Roman" w:cs="Times New Roman"/>
                <w:sz w:val="28"/>
              </w:rPr>
            </w:pPr>
            <w:r w:rsidRPr="00E00F43">
              <w:rPr>
                <w:rFonts w:ascii="Times New Roman" w:eastAsia="Times New Roman" w:hAnsi="Times New Roman" w:cs="Times New Roman"/>
                <w:sz w:val="28"/>
              </w:rPr>
              <w:t>:</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Una secuencia numérica de cuatro dígitos (con ceros delante si es necesario). El número 0001 iniciará la secuencia.</w:t>
            </w:r>
          </w:p>
        </w:tc>
      </w:tr>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Sección 4</w:t>
            </w:r>
          </w:p>
        </w:tc>
        <w:tc>
          <w:tcPr>
            <w:tcW w:w="0" w:type="auto"/>
            <w:shd w:val="clear" w:color="auto" w:fill="auto"/>
            <w:hideMark/>
          </w:tcPr>
          <w:p w:rsidR="00651E84" w:rsidRPr="00E00F43" w:rsidRDefault="00E00F43" w:rsidP="00374DDD">
            <w:pPr>
              <w:spacing w:before="120" w:after="0" w:line="240" w:lineRule="auto"/>
              <w:jc w:val="center"/>
              <w:rPr>
                <w:rFonts w:ascii="Times New Roman" w:eastAsia="Times New Roman" w:hAnsi="Times New Roman" w:cs="Times New Roman"/>
                <w:sz w:val="28"/>
              </w:rPr>
            </w:pPr>
            <w:r w:rsidRPr="00E00F43">
              <w:rPr>
                <w:rFonts w:ascii="Times New Roman" w:eastAsia="Times New Roman" w:hAnsi="Times New Roman" w:cs="Times New Roman"/>
                <w:sz w:val="28"/>
              </w:rPr>
              <w:t>:</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Una secuencia numérica de dos dígitos (con ceros delante si es necesario) que indica la extensión. El </w:t>
            </w:r>
            <w:r w:rsidRPr="00E00F43">
              <w:rPr>
                <w:rFonts w:ascii="Times New Roman" w:eastAsia="Times New Roman" w:hAnsi="Times New Roman" w:cs="Times New Roman"/>
                <w:sz w:val="28"/>
              </w:rPr>
              <w:t>número 00 iniciará la secuencia.</w:t>
            </w:r>
          </w:p>
        </w:tc>
      </w:tr>
    </w:tbl>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Todos los dígitos serán dígitos arábigos.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4.   Una misma Parte contratante no podrá asignar este número a otra homologación.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Ejemplos:</w:t>
      </w:r>
    </w:p>
    <w:tbl>
      <w:tblPr>
        <w:tblW w:w="5000" w:type="pct"/>
        <w:tblCellMar>
          <w:left w:w="0" w:type="dxa"/>
          <w:right w:w="0" w:type="dxa"/>
        </w:tblCellMar>
        <w:tblLook w:val="04A0" w:firstRow="1" w:lastRow="0" w:firstColumn="1" w:lastColumn="0" w:noHBand="0" w:noVBand="1"/>
      </w:tblPr>
      <w:tblGrid>
        <w:gridCol w:w="60"/>
        <w:gridCol w:w="877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Ejemplo de la segunda extensión de la cuarta homologación de tipo expedida por los Pa</w:t>
            </w:r>
            <w:r w:rsidRPr="00E00F43">
              <w:rPr>
                <w:rFonts w:ascii="Times New Roman" w:eastAsia="Times New Roman" w:hAnsi="Times New Roman" w:cs="Times New Roman"/>
                <w:sz w:val="28"/>
              </w:rPr>
              <w:t>íses Bajos con arreglo al reglamento de las Naciones Unidas n.</w:t>
            </w:r>
            <w:r w:rsidRPr="00E00F43">
              <w:rPr>
                <w:rFonts w:ascii="Times New Roman" w:eastAsia="Times New Roman" w:hAnsi="Times New Roman" w:cs="Times New Roman"/>
                <w:sz w:val="28"/>
                <w:vertAlign w:val="superscript"/>
              </w:rPr>
              <w:t>o</w:t>
            </w:r>
            <w:r w:rsidRPr="00E00F43">
              <w:rPr>
                <w:rFonts w:ascii="Times New Roman" w:eastAsia="Times New Roman" w:hAnsi="Times New Roman" w:cs="Times New Roman"/>
                <w:sz w:val="28"/>
              </w:rPr>
              <w:t> 58 en su versión original:</w:t>
            </w:r>
          </w:p>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E4*58R00/00*0004*02</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60"/>
        <w:gridCol w:w="877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Ejemplo de la primera extensión de la 2 439.</w:t>
            </w:r>
            <w:r w:rsidRPr="00E00F43">
              <w:rPr>
                <w:rFonts w:ascii="Times New Roman" w:eastAsia="Times New Roman" w:hAnsi="Times New Roman" w:cs="Times New Roman"/>
                <w:sz w:val="28"/>
                <w:vertAlign w:val="superscript"/>
              </w:rPr>
              <w:t>a</w:t>
            </w:r>
            <w:r w:rsidRPr="00E00F43">
              <w:rPr>
                <w:rFonts w:ascii="Times New Roman" w:eastAsia="Times New Roman" w:hAnsi="Times New Roman" w:cs="Times New Roman"/>
                <w:sz w:val="28"/>
              </w:rPr>
              <w:t xml:space="preserve"> homologación de tipo expedida por el Reino Unido de Gran Bretaña e Irlanda del Norte para la </w:t>
            </w:r>
            <w:r w:rsidRPr="00E00F43">
              <w:rPr>
                <w:rFonts w:ascii="Times New Roman" w:eastAsia="Times New Roman" w:hAnsi="Times New Roman" w:cs="Times New Roman"/>
                <w:sz w:val="28"/>
              </w:rPr>
              <w:t>homologación de un vehículo con arreglo al reglamento de las Naciones Unidas n.</w:t>
            </w:r>
            <w:r w:rsidRPr="00E00F43">
              <w:rPr>
                <w:rFonts w:ascii="Times New Roman" w:eastAsia="Times New Roman" w:hAnsi="Times New Roman" w:cs="Times New Roman"/>
                <w:sz w:val="28"/>
                <w:vertAlign w:val="superscript"/>
              </w:rPr>
              <w:t>o</w:t>
            </w:r>
            <w:r w:rsidRPr="00E00F43">
              <w:rPr>
                <w:rFonts w:ascii="Times New Roman" w:eastAsia="Times New Roman" w:hAnsi="Times New Roman" w:cs="Times New Roman"/>
                <w:sz w:val="28"/>
              </w:rPr>
              <w:t> 83, tercera serie de modificaciones, versión para un vehículo de categoría M, N</w:t>
            </w:r>
            <w:r w:rsidRPr="00E00F43">
              <w:rPr>
                <w:rFonts w:ascii="Times New Roman" w:eastAsia="Times New Roman" w:hAnsi="Times New Roman" w:cs="Times New Roman"/>
                <w:sz w:val="28"/>
                <w:vertAlign w:val="subscript"/>
              </w:rPr>
              <w:t>1</w:t>
            </w:r>
            <w:r w:rsidRPr="00E00F43">
              <w:rPr>
                <w:rFonts w:ascii="Times New Roman" w:eastAsia="Times New Roman" w:hAnsi="Times New Roman" w:cs="Times New Roman"/>
                <w:sz w:val="28"/>
              </w:rPr>
              <w:t> de clase I con respecto a la emisión de contaminantes de acuerdo con los requisitos de combust</w:t>
            </w:r>
            <w:r w:rsidRPr="00E00F43">
              <w:rPr>
                <w:rFonts w:ascii="Times New Roman" w:eastAsia="Times New Roman" w:hAnsi="Times New Roman" w:cs="Times New Roman"/>
                <w:sz w:val="28"/>
              </w:rPr>
              <w:t>ible del motor:</w:t>
            </w:r>
          </w:p>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E11*83R03/00J*2439*01</w:t>
            </w:r>
          </w:p>
        </w:tc>
      </w:tr>
    </w:tbl>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i/>
          <w:iCs/>
          <w:sz w:val="28"/>
        </w:rPr>
        <w:t>Anexo 5</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Distribución de la documentación de homologación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   En caso de que se solicite o se exija a una autoridad de homologación que proporcione una copia de una homologación y de sus documentos adjuntos, deberá en</w:t>
      </w:r>
      <w:r w:rsidRPr="00E00F43">
        <w:rPr>
          <w:rFonts w:ascii="Times New Roman" w:eastAsia="Times New Roman" w:hAnsi="Times New Roman" w:cs="Times New Roman"/>
          <w:sz w:val="28"/>
        </w:rPr>
        <w:t>viar los documentos como copias en papel, o por correo electrónico en formato electrónico, o mediante la utilización de la base de datos segura de internet establecida por la Comisión Económica para Europa de las Naciones Unidas.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   Los documentos almace</w:t>
      </w:r>
      <w:r w:rsidRPr="00E00F43">
        <w:rPr>
          <w:rFonts w:ascii="Times New Roman" w:eastAsia="Times New Roman" w:hAnsi="Times New Roman" w:cs="Times New Roman"/>
          <w:sz w:val="28"/>
        </w:rPr>
        <w:t>nados en la base de datos segura de internet se compondrán, como mínimo, de los documentos especificados en cada reglamento de las Naciones Unidas. Estos deberán incluir documentación que comunique a las Partes contratantes aviso de la homologación, la ext</w:t>
      </w:r>
      <w:r w:rsidRPr="00E00F43">
        <w:rPr>
          <w:rFonts w:ascii="Times New Roman" w:eastAsia="Times New Roman" w:hAnsi="Times New Roman" w:cs="Times New Roman"/>
          <w:sz w:val="28"/>
        </w:rPr>
        <w:t>ensión, la denegación o la retirada de la homologación o la suspensión definitiva de la producción de un tipo de vehículos de ruedas, equipos o piezas de conformidad con el reglamento de las Naciones Unidas.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3.   Si las homologaciones de tipo aplicables a </w:t>
      </w:r>
      <w:r w:rsidRPr="00E00F43">
        <w:rPr>
          <w:rFonts w:ascii="Times New Roman" w:eastAsia="Times New Roman" w:hAnsi="Times New Roman" w:cs="Times New Roman"/>
          <w:sz w:val="28"/>
        </w:rPr>
        <w:t>los vehículos de ruedas, equipos o piezas se almacenan en la base de datos segura de internet, las marcas de homologación requeridas por los reglamentos de las Naciones Unidas pueden sustituirse por un identificador único (UI) precedido por el símbolo </w:t>
      </w:r>
      <w:r w:rsidRPr="00E00F43">
        <w:rPr>
          <w:rFonts w:ascii="Times New Roman" w:eastAsia="Times New Roman" w:hAnsi="Times New Roman" w:cs="Times New Roman"/>
          <w:noProof/>
          <w:sz w:val="28"/>
        </w:rPr>
        <w:drawing>
          <wp:inline distT="0" distB="0" distL="0" distR="0" wp14:anchorId="5E66AB79" wp14:editId="542B684F">
            <wp:extent cx="358140" cy="175260"/>
            <wp:effectExtent l="0" t="0" r="3810" b="0"/>
            <wp:docPr id="2" name="Imagen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8140" cy="175260"/>
                    </a:xfrm>
                    <a:prstGeom prst="rect">
                      <a:avLst/>
                    </a:prstGeom>
                    <a:noFill/>
                    <a:ln>
                      <a:noFill/>
                    </a:ln>
                  </pic:spPr>
                </pic:pic>
              </a:graphicData>
            </a:graphic>
          </wp:inline>
        </w:drawing>
      </w:r>
      <w:r w:rsidRPr="00E00F43">
        <w:rPr>
          <w:rFonts w:ascii="Times New Roman" w:eastAsia="Times New Roman" w:hAnsi="Times New Roman" w:cs="Times New Roman"/>
          <w:sz w:val="28"/>
        </w:rPr>
        <w:t xml:space="preserve"> a </w:t>
      </w:r>
      <w:r w:rsidRPr="00E00F43">
        <w:rPr>
          <w:rFonts w:ascii="Times New Roman" w:eastAsia="Times New Roman" w:hAnsi="Times New Roman" w:cs="Times New Roman"/>
          <w:sz w:val="28"/>
        </w:rPr>
        <w:t>menos que se especifique lo contrario en los reglamentos de las Naciones Unidas. La base de datos generará ese identificador único de manera automática.</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4.   Todas las Partes contratantes que apliquen un reglamento de las Naciones Unidas tendrán acceso a l</w:t>
      </w:r>
      <w:r w:rsidRPr="00E00F43">
        <w:rPr>
          <w:rFonts w:ascii="Times New Roman" w:eastAsia="Times New Roman" w:hAnsi="Times New Roman" w:cs="Times New Roman"/>
          <w:sz w:val="28"/>
        </w:rPr>
        <w:t>a información de dicho reglamento almacenada en la base de datos por medio del identificador único, que facilitará el acceso a la información pertinente relativa a las homologaciones específicas.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5.   Los reglamentos de las Naciones Unidas anejos al </w:t>
      </w:r>
      <w:r w:rsidRPr="00E00F43">
        <w:rPr>
          <w:rFonts w:ascii="Times New Roman" w:eastAsia="Times New Roman" w:hAnsi="Times New Roman" w:cs="Times New Roman"/>
          <w:sz w:val="28"/>
        </w:rPr>
        <w:t xml:space="preserve">Acuerdo de 1958 pueden requerir la distribución de las homologaciones de tipo por medio de copias electrónicas que utilicen la base de datos segura de internet cuando sea necesario para el funcionamiento eficiente del proceso de homologación, a reserva de </w:t>
      </w:r>
      <w:r w:rsidRPr="00E00F43">
        <w:rPr>
          <w:rFonts w:ascii="Times New Roman" w:eastAsia="Times New Roman" w:hAnsi="Times New Roman" w:cs="Times New Roman"/>
          <w:sz w:val="28"/>
        </w:rPr>
        <w:t>los derechos de acceso definidos por las Partes contratantes.</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i/>
          <w:iCs/>
          <w:sz w:val="28"/>
        </w:rPr>
        <w:t>Anexo 6</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Procedimientos para resolver problemas de interpretación en relación con la aplicación de reglamentos de las Naciones Unidas y concesión de homologaciones con arreglo a dichos reglamento</w:t>
      </w:r>
      <w:r w:rsidRPr="00E00F43">
        <w:rPr>
          <w:rFonts w:ascii="Times New Roman" w:eastAsia="Times New Roman" w:hAnsi="Times New Roman" w:cs="Times New Roman"/>
          <w:b/>
          <w:bCs/>
          <w:sz w:val="28"/>
        </w:rPr>
        <w:t>s</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1.   </w:t>
      </w:r>
      <w:r w:rsidRPr="00E00F43">
        <w:rPr>
          <w:rFonts w:ascii="Times New Roman" w:eastAsia="Times New Roman" w:hAnsi="Times New Roman" w:cs="Times New Roman"/>
          <w:b/>
          <w:bCs/>
          <w:i/>
          <w:iCs/>
          <w:sz w:val="28"/>
        </w:rPr>
        <w:t>Problemas de interpretación antes de la concesión de la homologación de tipo de las Naciones Unidas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Cuando una solicitud de homologación de tipo de las Naciones Unidas exija que la autoridad de homologación realice una interpretación significativa s</w:t>
      </w:r>
      <w:r w:rsidRPr="00E00F43">
        <w:rPr>
          <w:rFonts w:ascii="Times New Roman" w:eastAsia="Times New Roman" w:hAnsi="Times New Roman" w:cs="Times New Roman"/>
          <w:sz w:val="28"/>
        </w:rPr>
        <w:t>obre la aplicación del reglamento de las Naciones Unidas, o si así lo pide el solicitante de la homologación, la autoridad de homologación deberá informar activamente y obtener la orientación de otras autoridades de homologación antes de tomar una decisión</w:t>
      </w:r>
      <w:r w:rsidRPr="00E00F43">
        <w:rPr>
          <w:rFonts w:ascii="Times New Roman" w:eastAsia="Times New Roman" w:hAnsi="Times New Roman" w:cs="Times New Roman"/>
          <w:sz w:val="28"/>
        </w:rPr>
        <w:t>.</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autoridad de homologación de que se trate deberá notificar el problema y la solución que propone para la interpretación, incluida cualquier información de apoyo por parte del fabricante, a las otras autoridades de homologación que apliquen el reglamen</w:t>
      </w:r>
      <w:r w:rsidRPr="00E00F43">
        <w:rPr>
          <w:rFonts w:ascii="Times New Roman" w:eastAsia="Times New Roman" w:hAnsi="Times New Roman" w:cs="Times New Roman"/>
          <w:sz w:val="28"/>
        </w:rPr>
        <w:t>to de las Naciones Unidas. Como regla general, esto se debe hacer a través de medios electrónicos. Se permitirá un plazo de catorce días para las respuestas de las demás autoridades de homologación.</w:t>
      </w: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autoridad de homologación tendrá en cuenta las obse</w:t>
            </w:r>
            <w:r w:rsidRPr="00E00F43">
              <w:rPr>
                <w:rFonts w:ascii="Times New Roman" w:eastAsia="Times New Roman" w:hAnsi="Times New Roman" w:cs="Times New Roman"/>
                <w:sz w:val="28"/>
              </w:rPr>
              <w:t>rvaciones recibidas y podrá conceder homologaciones de conformidad con la nueva interpretación.</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Si no es posible tomar una decisión en función de las observaciones recibidas, la autoridad de homologación deberá solicitar nuevas aclaraciones mediante e</w:t>
            </w:r>
            <w:r w:rsidRPr="00E00F43">
              <w:rPr>
                <w:rFonts w:ascii="Times New Roman" w:eastAsia="Times New Roman" w:hAnsi="Times New Roman" w:cs="Times New Roman"/>
                <w:sz w:val="28"/>
              </w:rPr>
              <w:t>l procedimiento descrito en el apartado 3 a continuación.</w:t>
            </w:r>
          </w:p>
        </w:tc>
      </w:tr>
    </w:tbl>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2.   </w:t>
      </w:r>
      <w:r w:rsidRPr="00E00F43">
        <w:rPr>
          <w:rFonts w:ascii="Times New Roman" w:eastAsia="Times New Roman" w:hAnsi="Times New Roman" w:cs="Times New Roman"/>
          <w:b/>
          <w:bCs/>
          <w:i/>
          <w:iCs/>
          <w:sz w:val="28"/>
        </w:rPr>
        <w:t>Problemas de interpretación después de la concesión de la homologación de tipo de las Naciones Unidas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En situaciones en las que existan distintas interpretaciones entre las Partes contratantes</w:t>
      </w:r>
      <w:r w:rsidRPr="00E00F43">
        <w:rPr>
          <w:rFonts w:ascii="Times New Roman" w:eastAsia="Times New Roman" w:hAnsi="Times New Roman" w:cs="Times New Roman"/>
          <w:sz w:val="28"/>
        </w:rPr>
        <w:t xml:space="preserve"> con posterioridad a la expedición de una homologación, deberán seguirse los siguientes procedimientos.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En primera instancia, las Partes contratantes de que se trate deberán tratar de resolver la cuestión de mutuo acuerdo. Esto requerirá un enlace y que ca</w:t>
      </w:r>
      <w:r w:rsidRPr="00E00F43">
        <w:rPr>
          <w:rFonts w:ascii="Times New Roman" w:eastAsia="Times New Roman" w:hAnsi="Times New Roman" w:cs="Times New Roman"/>
          <w:sz w:val="28"/>
        </w:rPr>
        <w:t>da una de las Partes contratantes revise los procedimientos utilizados para ensayar y homologar los vehículos con ruedas, el equipo y las piezas objeto del conflicto de interpretación. Se aplicarán los procedimientos siguientes:</w:t>
      </w: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en el caso de un error r</w:t>
            </w:r>
            <w:r w:rsidRPr="00E00F43">
              <w:rPr>
                <w:rFonts w:ascii="Times New Roman" w:eastAsia="Times New Roman" w:hAnsi="Times New Roman" w:cs="Times New Roman"/>
                <w:sz w:val="28"/>
              </w:rPr>
              <w:t>econocido por una autoridad de homologación, esta deberá tomar medidas de conformidad con las disposiciones del Acuerdo de 1958 y en particular de su artículo 4;</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cuando se haya alcanzado un acuerdo que exija una interpretación nueva o distinta de una </w:t>
            </w:r>
            <w:r w:rsidRPr="00E00F43">
              <w:rPr>
                <w:rFonts w:ascii="Times New Roman" w:eastAsia="Times New Roman" w:hAnsi="Times New Roman" w:cs="Times New Roman"/>
                <w:sz w:val="28"/>
              </w:rPr>
              <w:t xml:space="preserve">práctica actual (por cualquiera de las Partes contratantes), esto se comunicará a las demás Partes contratantes que apliquen el reglamento de las Naciones Unidas en cuestión con carácter de urgencia y las demás Partes tendrán catorce días para comentar la </w:t>
            </w:r>
            <w:r w:rsidRPr="00E00F43">
              <w:rPr>
                <w:rFonts w:ascii="Times New Roman" w:eastAsia="Times New Roman" w:hAnsi="Times New Roman" w:cs="Times New Roman"/>
                <w:sz w:val="28"/>
              </w:rPr>
              <w:t>decisión, tras lo cual las autoridades de homologación, teniendo en cuenta las observaciones recibidas, podrán emitir homologaciones de tipo de las Naciones Unidas de conformidad con la nueva interpretación;</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en caso de no poder llegar a un acuerdo, la</w:t>
            </w:r>
            <w:r w:rsidRPr="00E00F43">
              <w:rPr>
                <w:rFonts w:ascii="Times New Roman" w:eastAsia="Times New Roman" w:hAnsi="Times New Roman" w:cs="Times New Roman"/>
                <w:sz w:val="28"/>
              </w:rPr>
              <w:t>s Partes contratantes de que se trate deberán solicitar un nuevo examen por el proceso de arbitraje que se describe en el apartado 3 a continuación;</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en cualquier caso, el asunto se someterá a la atención del grupo de trabajo competente auxiliar del Fo</w:t>
            </w:r>
            <w:r w:rsidRPr="00E00F43">
              <w:rPr>
                <w:rFonts w:ascii="Times New Roman" w:eastAsia="Times New Roman" w:hAnsi="Times New Roman" w:cs="Times New Roman"/>
                <w:sz w:val="28"/>
              </w:rPr>
              <w:t>ro Mundial para la Armonización de la Reglamentación sobre Vehículos (WP.29). Si se considera necesario, el grupo de trabajo auxiliar presentará al WP.29 propuestas de modificaciones de los reglamentos dirigidas a resolver la diferencia de interpretaciones</w:t>
            </w:r>
            <w:r w:rsidRPr="00E00F43">
              <w:rPr>
                <w:rFonts w:ascii="Times New Roman" w:eastAsia="Times New Roman" w:hAnsi="Times New Roman" w:cs="Times New Roman"/>
                <w:sz w:val="28"/>
              </w:rPr>
              <w:t>.</w:t>
            </w:r>
          </w:p>
        </w:tc>
      </w:tr>
    </w:tbl>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3.   </w:t>
      </w:r>
      <w:r w:rsidRPr="00E00F43">
        <w:rPr>
          <w:rFonts w:ascii="Times New Roman" w:eastAsia="Times New Roman" w:hAnsi="Times New Roman" w:cs="Times New Roman"/>
          <w:b/>
          <w:bCs/>
          <w:i/>
          <w:iCs/>
          <w:sz w:val="28"/>
        </w:rPr>
        <w:t>Proceso de arbitraje a través del WP.29 y sus grupos de trabajo auxiliares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Los presidentes de los grupos de trabajo auxiliares deberán identificar los problemas derivados de las interpretaciones divergentes entre las Partes contratantes en relación</w:t>
      </w:r>
      <w:r w:rsidRPr="00E00F43">
        <w:rPr>
          <w:rFonts w:ascii="Times New Roman" w:eastAsia="Times New Roman" w:hAnsi="Times New Roman" w:cs="Times New Roman"/>
          <w:sz w:val="28"/>
        </w:rPr>
        <w:t xml:space="preserve"> con la aplicación de los reglamentos de las Naciones Unidas y la concesión de las homologaciones de tipo de las Naciones Unidas con arreglo a dichos reglamentos, con el fin de poner en práctica medidas a la mayor brevedad posible para resolver las diferen</w:t>
      </w:r>
      <w:r w:rsidRPr="00E00F43">
        <w:rPr>
          <w:rFonts w:ascii="Times New Roman" w:eastAsia="Times New Roman" w:hAnsi="Times New Roman" w:cs="Times New Roman"/>
          <w:sz w:val="28"/>
        </w:rPr>
        <w:t>tes interpretaciones.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Los presidentes de los grupos de trabajo desarrollarán procedimientos adecuados para hacer frente a esos problemas de interpretación, con el fin de poder demostrar al WP.29 que:</w:t>
      </w: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se tienen plenamente en cuenta las diferentes opinion</w:t>
            </w:r>
            <w:r w:rsidRPr="00E00F43">
              <w:rPr>
                <w:rFonts w:ascii="Times New Roman" w:eastAsia="Times New Roman" w:hAnsi="Times New Roman" w:cs="Times New Roman"/>
                <w:sz w:val="28"/>
              </w:rPr>
              <w:t>es de las autoridades de homologación de las Partes contratantes de que se trate, así como las opiniones de las demás Partes contratantes que apliquen el reglamento de las Naciones Unidas;</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las decisiones se basan en asesoramiento técnico adecuado, ten</w:t>
            </w:r>
            <w:r w:rsidRPr="00E00F43">
              <w:rPr>
                <w:rFonts w:ascii="Times New Roman" w:eastAsia="Times New Roman" w:hAnsi="Times New Roman" w:cs="Times New Roman"/>
                <w:sz w:val="28"/>
              </w:rPr>
              <w:t>iendo plenamente en cuenta la materia;</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50"/>
        <w:gridCol w:w="858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siempre que ha sido posible, se ha llegado a una decisión unánime;</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353"/>
        <w:gridCol w:w="8485"/>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los procedimientos son transparentes y auditables.</w:t>
            </w:r>
          </w:p>
        </w:tc>
      </w:tr>
    </w:tbl>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Si fuera necesario para resolver el problema, el presidente podrá presentar un nuevo </w:t>
      </w:r>
      <w:r w:rsidRPr="00E00F43">
        <w:rPr>
          <w:rFonts w:ascii="Times New Roman" w:eastAsia="Times New Roman" w:hAnsi="Times New Roman" w:cs="Times New Roman"/>
          <w:sz w:val="28"/>
        </w:rPr>
        <w:t xml:space="preserve">punto del orden del día sobre el problema en la siguiente sesión disponible del grupo de trabajo auxiliar, sin obtener previamente la aprobación por parte del WP.29. En estas circunstancias, el presidente presentará un informe sobre los progresos al WP.29 </w:t>
      </w:r>
      <w:r w:rsidRPr="00E00F43">
        <w:rPr>
          <w:rFonts w:ascii="Times New Roman" w:eastAsia="Times New Roman" w:hAnsi="Times New Roman" w:cs="Times New Roman"/>
          <w:sz w:val="28"/>
        </w:rPr>
        <w:t>a la mayor brevedad posible.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Al final del proceso de arbitraje, el presidente presentará un informe al WP.29.</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3.1.   Cuando el problema pueda resolverse dentro del marco reglamentario actual:</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interpretación del reglamento de las Naciones Unidas acordada</w:t>
      </w:r>
      <w:r w:rsidRPr="00E00F43">
        <w:rPr>
          <w:rFonts w:ascii="Times New Roman" w:eastAsia="Times New Roman" w:hAnsi="Times New Roman" w:cs="Times New Roman"/>
          <w:sz w:val="28"/>
        </w:rPr>
        <w:t xml:space="preserve"> en el grupo de trabajo se aplicará y las autoridades de homologación expedirán las homologaciones de tipo de las Naciones Unidas en consecuencia.</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3.2.   Cuando el problema no pueda resolverse dentro del marco reglamentario actual:</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Se deberá informar de el</w:t>
      </w:r>
      <w:r w:rsidRPr="00E00F43">
        <w:rPr>
          <w:rFonts w:ascii="Times New Roman" w:eastAsia="Times New Roman" w:hAnsi="Times New Roman" w:cs="Times New Roman"/>
          <w:sz w:val="28"/>
        </w:rPr>
        <w:t>lo al WP.29, que solicitará al grupo de trabajo auxiliar pertinente que examine el problema como punto prioritario en su siguiente sesión. El orden del día de la sesión se modificará en consecuencia.</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grupo de trabajo auxiliar examinará todas las propues</w:t>
      </w:r>
      <w:r w:rsidRPr="00E00F43">
        <w:rPr>
          <w:rFonts w:ascii="Times New Roman" w:eastAsia="Times New Roman" w:hAnsi="Times New Roman" w:cs="Times New Roman"/>
          <w:sz w:val="28"/>
        </w:rPr>
        <w:t>tas sobre el problema de interpretación y presentará propuestas formales al WP.29 a fin de modificar el reglamento de las Naciones Unidas de que se trate siguiendo los procedimientos normales. El WP.29 examinará el problema como punto prioritario en su sig</w:t>
      </w:r>
      <w:r w:rsidRPr="00E00F43">
        <w:rPr>
          <w:rFonts w:ascii="Times New Roman" w:eastAsia="Times New Roman" w:hAnsi="Times New Roman" w:cs="Times New Roman"/>
          <w:sz w:val="28"/>
        </w:rPr>
        <w:t>uiente sesión.</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i/>
          <w:iCs/>
          <w:sz w:val="28"/>
        </w:rPr>
        <w:t>Anexo 7</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Procedimiento de homologaciones con exención relativas a nuevas tecnologías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   Las Partes contratantes que apliquen un reglamento podrán, a solicitud del fabricante, conceder una homologación con exención con arreglo a un reglament</w:t>
      </w:r>
      <w:r w:rsidRPr="00E00F43">
        <w:rPr>
          <w:rFonts w:ascii="Times New Roman" w:eastAsia="Times New Roman" w:hAnsi="Times New Roman" w:cs="Times New Roman"/>
          <w:sz w:val="28"/>
        </w:rPr>
        <w:t>o de las Naciones Unidas con respecto a un vehículo, equipo o pieza que incorpore tecnologías que sean incompatibles con uno o más de los requisitos de dicho reglamento, a reserva de la concesión de la autorización por el Comité de Administración del Acuer</w:t>
      </w:r>
      <w:r w:rsidRPr="00E00F43">
        <w:rPr>
          <w:rFonts w:ascii="Times New Roman" w:eastAsia="Times New Roman" w:hAnsi="Times New Roman" w:cs="Times New Roman"/>
          <w:sz w:val="28"/>
        </w:rPr>
        <w:t>do de 1958 con arreglo al procedimiento descrito en los apartados 2 a 12 del presente anexo.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2.   En espera de la decisión sobre la concesión de la autorización de la homologación con exención, la Parte contratante que aplique el reglamento de las Naciones</w:t>
      </w:r>
      <w:r w:rsidRPr="00E00F43">
        <w:rPr>
          <w:rFonts w:ascii="Times New Roman" w:eastAsia="Times New Roman" w:hAnsi="Times New Roman" w:cs="Times New Roman"/>
          <w:sz w:val="28"/>
        </w:rPr>
        <w:t xml:space="preserve"> Unidas podrá conceder una homologación provisional solo para su territorio. Otras Partes contratantes que apliquen dicho reglamento podrán decidir aceptar esta homologación provisional en su territorio.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3.   La Parte contratante que haya concedido la homo</w:t>
      </w:r>
      <w:r w:rsidRPr="00E00F43">
        <w:rPr>
          <w:rFonts w:ascii="Times New Roman" w:eastAsia="Times New Roman" w:hAnsi="Times New Roman" w:cs="Times New Roman"/>
          <w:sz w:val="28"/>
        </w:rPr>
        <w:t>logación provisional mencionada en el apartado 2 del presente anexo notificará al Comité de Administración su decisión y presentará un expediente con lo siguiente:</w:t>
      </w: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motivos por los cuales las tecnologías o conceptos en cuestión hacen que el vehículo, equ</w:t>
            </w:r>
            <w:r w:rsidRPr="00E00F43">
              <w:rPr>
                <w:rFonts w:ascii="Times New Roman" w:eastAsia="Times New Roman" w:hAnsi="Times New Roman" w:cs="Times New Roman"/>
                <w:sz w:val="28"/>
              </w:rPr>
              <w:t>ipo o pieza sean incompatibles con los requisitos del reglamento de las Naciones Unidas;</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una descripción de los aspectos de seguridad, de protección del medio ambiente y de otro tipo y las medidas adoptadas;</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87"/>
        <w:gridCol w:w="8651"/>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c)</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una descripción de los ensayos y los </w:t>
            </w:r>
            <w:r w:rsidRPr="00E00F43">
              <w:rPr>
                <w:rFonts w:ascii="Times New Roman" w:eastAsia="Times New Roman" w:hAnsi="Times New Roman" w:cs="Times New Roman"/>
                <w:sz w:val="28"/>
              </w:rPr>
              <w:t>resultados que demuestre que queda garantizado, como mínimo, un nivel de seguridad y protección medioambiental equivalente al garantizado por los requisitos cuya exención se solicita;</w:t>
            </w:r>
          </w:p>
        </w:tc>
      </w:tr>
    </w:tbl>
    <w:p w:rsidR="00651E84" w:rsidRPr="00E00F43" w:rsidRDefault="00E00F43" w:rsidP="00374DDD">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200"/>
        <w:gridCol w:w="8638"/>
      </w:tblGrid>
      <w:tr w:rsidR="00651E84" w:rsidRPr="00E00F43" w:rsidTr="00651E84">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d)</w:t>
            </w:r>
          </w:p>
        </w:tc>
        <w:tc>
          <w:tcPr>
            <w:tcW w:w="0" w:type="auto"/>
            <w:shd w:val="clear" w:color="auto" w:fill="auto"/>
            <w:hideMark/>
          </w:tcPr>
          <w:p w:rsidR="00651E84" w:rsidRPr="00E00F43" w:rsidRDefault="00E00F43" w:rsidP="00374DDD">
            <w:pPr>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una solicitud de autorización para conceder una homologación con </w:t>
            </w:r>
            <w:r w:rsidRPr="00E00F43">
              <w:rPr>
                <w:rFonts w:ascii="Times New Roman" w:eastAsia="Times New Roman" w:hAnsi="Times New Roman" w:cs="Times New Roman"/>
                <w:sz w:val="28"/>
              </w:rPr>
              <w:t>exención del reglamento de las Naciones Unidas para el tipo de vehículo, equipo o pieza.</w:t>
            </w:r>
          </w:p>
        </w:tc>
      </w:tr>
    </w:tbl>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4.   El Comité de Administración examinará la notificación completa a que se refiere el apartado 3 del presente anexo en su propia sesión tras la recepción de la </w:t>
      </w:r>
      <w:r w:rsidRPr="00E00F43">
        <w:rPr>
          <w:rFonts w:ascii="Times New Roman" w:eastAsia="Times New Roman" w:hAnsi="Times New Roman" w:cs="Times New Roman"/>
          <w:sz w:val="28"/>
        </w:rPr>
        <w:t>notificación, siempre que la notificación se haya recibido al menos tres meses antes de dicha sesión. Tras examinar la notificación, el Comité de Administración podrá decidir autorizar o denegar la concesión de la homologación con exención o remitir el asu</w:t>
      </w:r>
      <w:r w:rsidRPr="00E00F43">
        <w:rPr>
          <w:rFonts w:ascii="Times New Roman" w:eastAsia="Times New Roman" w:hAnsi="Times New Roman" w:cs="Times New Roman"/>
          <w:sz w:val="28"/>
        </w:rPr>
        <w:t>nto al grupo de trabajo auxiliar competente.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5.   La decisión del Comité de Administración se aprobará de conformidad con el procedimiento indicado en el artículo 8 del apéndice.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6.   La homologación con exención solicitada de conformidad con un reglamento</w:t>
      </w:r>
      <w:r w:rsidRPr="00E00F43">
        <w:rPr>
          <w:rFonts w:ascii="Times New Roman" w:eastAsia="Times New Roman" w:hAnsi="Times New Roman" w:cs="Times New Roman"/>
          <w:sz w:val="28"/>
        </w:rPr>
        <w:t xml:space="preserve"> de las Naciones Unidas, mencionada en el apartado 3 del presente anexo, se considerará autorizada a menos que, en el plazo de un mes a partir de la notificación por el Secretario Ejecutivo de la Comisión Económica para Europa de las Naciones Unidas de la </w:t>
      </w:r>
      <w:r w:rsidRPr="00E00F43">
        <w:rPr>
          <w:rFonts w:ascii="Times New Roman" w:eastAsia="Times New Roman" w:hAnsi="Times New Roman" w:cs="Times New Roman"/>
          <w:sz w:val="28"/>
        </w:rPr>
        <w:t>decisión de autorización del Comité de Administración, más de una quinta parte de las Partes contratantes que apliquen el reglamento de las Naciones Unidas en el momento de la notificación haya informado al Secretario Ejecutivo de la Comisión Económica par</w:t>
      </w:r>
      <w:r w:rsidRPr="00E00F43">
        <w:rPr>
          <w:rFonts w:ascii="Times New Roman" w:eastAsia="Times New Roman" w:hAnsi="Times New Roman" w:cs="Times New Roman"/>
          <w:sz w:val="28"/>
        </w:rPr>
        <w:t>a Europa de las Naciones Unidas su desacuerdo con la homologación con exención.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7.   Cuando la autorización para conceder la homologación con exención se haya adoptado, el Secretario Ejecutivo de la Comisión Económica para Europa de las Naciones Unidas lo </w:t>
      </w:r>
      <w:r w:rsidRPr="00E00F43">
        <w:rPr>
          <w:rFonts w:ascii="Times New Roman" w:eastAsia="Times New Roman" w:hAnsi="Times New Roman" w:cs="Times New Roman"/>
          <w:sz w:val="28"/>
        </w:rPr>
        <w:t>comunicará lo antes posible a las Partes contratantes que apliquen el reglamento pertinente de las Naciones Unidas.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 partir de la fecha de esa notificación, la Parte contratante a que se refiere el apartado 3 del presente anexo puede entregar la homologac</w:t>
      </w:r>
      <w:r w:rsidRPr="00E00F43">
        <w:rPr>
          <w:rFonts w:ascii="Times New Roman" w:eastAsia="Times New Roman" w:hAnsi="Times New Roman" w:cs="Times New Roman"/>
          <w:sz w:val="28"/>
        </w:rPr>
        <w:t>ión con exención de conformidad con el reglamento de las Naciones Unidas. Las Partes contratantes que apliquen el reglamento de las Naciones Unidas aceptarán la homologación con exención, a excepción de aquellas que hayan notificado su desacuerdo o su inte</w:t>
      </w:r>
      <w:r w:rsidRPr="00E00F43">
        <w:rPr>
          <w:rFonts w:ascii="Times New Roman" w:eastAsia="Times New Roman" w:hAnsi="Times New Roman" w:cs="Times New Roman"/>
          <w:sz w:val="28"/>
        </w:rPr>
        <w:t>nción de no aceptarla de inmediato al Secretario Ejecutivo de la Comisión Económica para Europa de las Naciones Unidas. Las Partes contratantes que hayan notificado su desacuerdo o su intención de no aceptar la homologación con exención de inmediato, con l</w:t>
      </w:r>
      <w:r w:rsidRPr="00E00F43">
        <w:rPr>
          <w:rFonts w:ascii="Times New Roman" w:eastAsia="Times New Roman" w:hAnsi="Times New Roman" w:cs="Times New Roman"/>
          <w:sz w:val="28"/>
        </w:rPr>
        <w:t>a autorización del Comité de Administración pueden, en una fecha posterior, aceptar la homologación con exención mediante notificación de su decisión al Secretario Ejecutivo de la Comisión Económica para Europa de las Naciones Unidas.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8.   El Comité de Adm</w:t>
      </w:r>
      <w:r w:rsidRPr="00E00F43">
        <w:rPr>
          <w:rFonts w:ascii="Times New Roman" w:eastAsia="Times New Roman" w:hAnsi="Times New Roman" w:cs="Times New Roman"/>
          <w:sz w:val="28"/>
        </w:rPr>
        <w:t xml:space="preserve">inistración especificará las restricciones contenidas en la decisión de autorización. Los plazos no podrán ser inferiores a treinta y seis meses. Las Partes contratantes que apliquen el reglamento de las Naciones Unidas deberán aceptar la homologación con </w:t>
      </w:r>
      <w:r w:rsidRPr="00E00F43">
        <w:rPr>
          <w:rFonts w:ascii="Times New Roman" w:eastAsia="Times New Roman" w:hAnsi="Times New Roman" w:cs="Times New Roman"/>
          <w:sz w:val="28"/>
        </w:rPr>
        <w:t xml:space="preserve">exención por lo menos hasta la expiración del plazo, en su caso, o cuando el reglamento de las Naciones Unidas en cuestión se modifique posteriormente según los apartados 9 y 10 del presente anexo con el fin de tener en cuenta la tecnología comprendida en </w:t>
      </w:r>
      <w:r w:rsidRPr="00E00F43">
        <w:rPr>
          <w:rFonts w:ascii="Times New Roman" w:eastAsia="Times New Roman" w:hAnsi="Times New Roman" w:cs="Times New Roman"/>
          <w:sz w:val="28"/>
        </w:rPr>
        <w:t>la homologación con exención, hasta la fecha a partir de la cual las Partes contratantes podrán denegar homologaciones según la versión anterior del reglamento de las Naciones Unidas, lo que ocurra antes.</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Parte contratante autorizada a conceder la homol</w:t>
      </w:r>
      <w:r w:rsidRPr="00E00F43">
        <w:rPr>
          <w:rFonts w:ascii="Times New Roman" w:eastAsia="Times New Roman" w:hAnsi="Times New Roman" w:cs="Times New Roman"/>
          <w:sz w:val="28"/>
        </w:rPr>
        <w:t>ogación con exención deberá garantizar que el fabricante cumple todas las restricciones asociadas con la homologación y que en el formulario de comunicación se indique claramente que se basa en una exención autorizada por el Comité de Administración.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9.   </w:t>
      </w:r>
      <w:r w:rsidRPr="00E00F43">
        <w:rPr>
          <w:rFonts w:ascii="Times New Roman" w:eastAsia="Times New Roman" w:hAnsi="Times New Roman" w:cs="Times New Roman"/>
          <w:sz w:val="28"/>
        </w:rPr>
        <w:t>Simultáneamente, el Comité de Administración informará al grupo de trabajo auxiliar responsable del reglamento de las Naciones Unidas acerca de la autorización para la concesión de la homologación con exención.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La Parte contratante autorizada para conceder</w:t>
      </w:r>
      <w:r w:rsidRPr="00E00F43">
        <w:rPr>
          <w:rFonts w:ascii="Times New Roman" w:eastAsia="Times New Roman" w:hAnsi="Times New Roman" w:cs="Times New Roman"/>
          <w:sz w:val="28"/>
        </w:rPr>
        <w:t xml:space="preserve"> la homologación con exención deberá presentar al grupo de trabajo auxiliar responsable del reglamento de las Naciones Unidas una propuesta para modificar el reglamento para el que se solicitó la homologación con exención, con el fin de adaptarlo al progre</w:t>
      </w:r>
      <w:r w:rsidRPr="00E00F43">
        <w:rPr>
          <w:rFonts w:ascii="Times New Roman" w:eastAsia="Times New Roman" w:hAnsi="Times New Roman" w:cs="Times New Roman"/>
          <w:sz w:val="28"/>
        </w:rPr>
        <w:t>so tecnológico. Esta presentación se hará a más tardar en la próxima sesión del grupo de trabajo auxiliar después de la notificación de la decisión del Comité de Administración de acuerdo con el apartado 6 del presente anexo.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10.   Tan pronto como se haya </w:t>
      </w:r>
      <w:r w:rsidRPr="00E00F43">
        <w:rPr>
          <w:rFonts w:ascii="Times New Roman" w:eastAsia="Times New Roman" w:hAnsi="Times New Roman" w:cs="Times New Roman"/>
          <w:sz w:val="28"/>
        </w:rPr>
        <w:t>modificado y haya entrado en vigor el reglamento de las Naciones Unidas con el fin de tener en cuenta la tecnología para la que se ha concedido la homologación con exención, el fabricante estará autorizado a solicitar la homologación de tipo de conformidad</w:t>
      </w:r>
      <w:r w:rsidRPr="00E00F43">
        <w:rPr>
          <w:rFonts w:ascii="Times New Roman" w:eastAsia="Times New Roman" w:hAnsi="Times New Roman" w:cs="Times New Roman"/>
          <w:sz w:val="28"/>
        </w:rPr>
        <w:t xml:space="preserve"> con el reglamento de las Naciones Unidas modificado, en sustitución de la homologación con exención concedida previamente según dicho reglamento. Tan pronto como resulte razonable, la autoridad de homologación que conceda esa homologación de tipo deberá r</w:t>
      </w:r>
      <w:r w:rsidRPr="00E00F43">
        <w:rPr>
          <w:rFonts w:ascii="Times New Roman" w:eastAsia="Times New Roman" w:hAnsi="Times New Roman" w:cs="Times New Roman"/>
          <w:sz w:val="28"/>
        </w:rPr>
        <w:t>etirar la homologación con exención o informar a la autoridad de homologación que haya concedido la homologación con exención de que se va a retirar esa homologación con exención.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11.   Si el procedimiento para modificar el reglamento de las Naciones Unida</w:t>
      </w:r>
      <w:r w:rsidRPr="00E00F43">
        <w:rPr>
          <w:rFonts w:ascii="Times New Roman" w:eastAsia="Times New Roman" w:hAnsi="Times New Roman" w:cs="Times New Roman"/>
          <w:sz w:val="28"/>
        </w:rPr>
        <w:t>s no se completa antes del vencimiento del plazo definido en el apartado 8 del presente anexo, se podrá prorrogar la validez de la homologación con exención a petición de la Parte contratante que la haya concedido, a reserva de una decisión adoptada con ar</w:t>
      </w:r>
      <w:r w:rsidRPr="00E00F43">
        <w:rPr>
          <w:rFonts w:ascii="Times New Roman" w:eastAsia="Times New Roman" w:hAnsi="Times New Roman" w:cs="Times New Roman"/>
          <w:sz w:val="28"/>
        </w:rPr>
        <w:t>reglo al procedimiento descrito en los apartados 2 y 3 del presente anexo. Sin embargo, si la Parte contratante que ha sido autorizada a conceder la homologación con exención no ha presentado una propuesta para modificar el reglamento de las Naciones Unida</w:t>
      </w:r>
      <w:r w:rsidRPr="00E00F43">
        <w:rPr>
          <w:rFonts w:ascii="Times New Roman" w:eastAsia="Times New Roman" w:hAnsi="Times New Roman" w:cs="Times New Roman"/>
          <w:sz w:val="28"/>
        </w:rPr>
        <w:t>s antes de la fecha tope especificada en el apartado 9 del presente anexo, dicha Parte contratante deberá retirar inmediatamente esta homologación con exención, teniendo en cuenta no obstante el plazo tal como se define en el apartado 8 del presente anexo.</w:t>
      </w:r>
      <w:r w:rsidRPr="00E00F43">
        <w:rPr>
          <w:rFonts w:ascii="Times New Roman" w:eastAsia="Times New Roman" w:hAnsi="Times New Roman" w:cs="Times New Roman"/>
          <w:sz w:val="28"/>
        </w:rPr>
        <w:t xml:space="preserve"> La Parte contratante que ha retirado la homologación con exención informará al Comité de Administración en consonancia en su próxima sesión.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12.   Si el Comité de Administración decide denegar una autorización para conceder una homologación con exención, </w:t>
      </w:r>
      <w:r w:rsidRPr="00E00F43">
        <w:rPr>
          <w:rFonts w:ascii="Times New Roman" w:eastAsia="Times New Roman" w:hAnsi="Times New Roman" w:cs="Times New Roman"/>
          <w:sz w:val="28"/>
        </w:rPr>
        <w:t>la Parte contratante que haya expedido la homologación provisional a que se refiere el apartado 2 del presente anexo podrá retirar esa homologación provisional. En ese caso, dicha Parte contratante deberá dar aviso inmediato al titular de la homologación p</w:t>
      </w:r>
      <w:r w:rsidRPr="00E00F43">
        <w:rPr>
          <w:rFonts w:ascii="Times New Roman" w:eastAsia="Times New Roman" w:hAnsi="Times New Roman" w:cs="Times New Roman"/>
          <w:sz w:val="28"/>
        </w:rPr>
        <w:t xml:space="preserve">rovisional de que esta, concedida de conformidad con el apartado 2 del presente anexo, se retirará seis meses después de la fecha de la decisión, teniendo en cuenta que la homologación provisional será válida por lo menos durante doce meses a partir de la </w:t>
      </w:r>
      <w:r w:rsidRPr="00E00F43">
        <w:rPr>
          <w:rFonts w:ascii="Times New Roman" w:eastAsia="Times New Roman" w:hAnsi="Times New Roman" w:cs="Times New Roman"/>
          <w:sz w:val="28"/>
        </w:rPr>
        <w:t>fecha de su concesión.</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i/>
          <w:iCs/>
          <w:sz w:val="28"/>
        </w:rPr>
        <w:t>Anexo 8</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Condiciones generales relativas a los métodos de ensayo virtual</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1.   </w:t>
      </w:r>
      <w:r w:rsidRPr="00E00F43">
        <w:rPr>
          <w:rFonts w:ascii="Times New Roman" w:eastAsia="Times New Roman" w:hAnsi="Times New Roman" w:cs="Times New Roman"/>
          <w:b/>
          <w:bCs/>
          <w:i/>
          <w:iCs/>
          <w:sz w:val="28"/>
        </w:rPr>
        <w:t>Modelo de ensayo virtual</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siguiente esquema deberá utilizarse como estructura básica para describir y realizar los ensayos virtuales:</w:t>
      </w:r>
    </w:p>
    <w:tbl>
      <w:tblPr>
        <w:tblW w:w="5000" w:type="pct"/>
        <w:tblCellMar>
          <w:left w:w="0" w:type="dxa"/>
          <w:right w:w="0" w:type="dxa"/>
        </w:tblCellMar>
        <w:tblLook w:val="04A0" w:firstRow="1" w:lastRow="0" w:firstColumn="1" w:lastColumn="0" w:noHBand="0" w:noVBand="1"/>
      </w:tblPr>
      <w:tblGrid>
        <w:gridCol w:w="1493"/>
        <w:gridCol w:w="7345"/>
      </w:tblGrid>
      <w:tr w:rsidR="00651E84" w:rsidRPr="00E00F43" w:rsidTr="00651E84">
        <w:tc>
          <w:tcPr>
            <w:tcW w:w="0" w:type="auto"/>
            <w:shd w:val="clear" w:color="auto" w:fill="auto"/>
            <w:hideMark/>
          </w:tcPr>
          <w:p w:rsidR="00651E84" w:rsidRPr="00E00F43" w:rsidRDefault="00E00F43" w:rsidP="009971E8">
            <w:pPr>
              <w:spacing w:before="120"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a)</w:t>
            </w:r>
          </w:p>
        </w:tc>
        <w:tc>
          <w:tcPr>
            <w:tcW w:w="0" w:type="auto"/>
            <w:shd w:val="clear" w:color="auto" w:fill="auto"/>
            <w:hideMark/>
          </w:tcPr>
          <w:p w:rsidR="00651E84" w:rsidRPr="00E00F43" w:rsidRDefault="00E00F43" w:rsidP="009971E8">
            <w:pPr>
              <w:spacing w:before="120"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finalidad;</w:t>
            </w:r>
          </w:p>
        </w:tc>
      </w:tr>
    </w:tbl>
    <w:p w:rsidR="00651E84" w:rsidRPr="00E00F43" w:rsidRDefault="00E00F43" w:rsidP="009971E8">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858"/>
        <w:gridCol w:w="7980"/>
      </w:tblGrid>
      <w:tr w:rsidR="00651E84" w:rsidRPr="00E00F43" w:rsidTr="00651E84">
        <w:tc>
          <w:tcPr>
            <w:tcW w:w="0" w:type="auto"/>
            <w:shd w:val="clear" w:color="auto" w:fill="auto"/>
            <w:hideMark/>
          </w:tcPr>
          <w:p w:rsidR="00651E84" w:rsidRPr="00E00F43" w:rsidRDefault="00E00F43" w:rsidP="009971E8">
            <w:pPr>
              <w:spacing w:before="120"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b)</w:t>
            </w:r>
          </w:p>
        </w:tc>
        <w:tc>
          <w:tcPr>
            <w:tcW w:w="0" w:type="auto"/>
            <w:shd w:val="clear" w:color="auto" w:fill="auto"/>
            <w:hideMark/>
          </w:tcPr>
          <w:p w:rsidR="00651E84" w:rsidRPr="00E00F43" w:rsidRDefault="00E00F43" w:rsidP="009971E8">
            <w:pPr>
              <w:spacing w:before="120"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modelo estructural;</w:t>
            </w:r>
          </w:p>
        </w:tc>
      </w:tr>
    </w:tbl>
    <w:p w:rsidR="00651E84" w:rsidRPr="00E00F43" w:rsidRDefault="00E00F43" w:rsidP="009971E8">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818"/>
        <w:gridCol w:w="8020"/>
      </w:tblGrid>
      <w:tr w:rsidR="00651E84" w:rsidRPr="00E00F43" w:rsidTr="00651E84">
        <w:tc>
          <w:tcPr>
            <w:tcW w:w="0" w:type="auto"/>
            <w:shd w:val="clear" w:color="auto" w:fill="auto"/>
            <w:hideMark/>
          </w:tcPr>
          <w:p w:rsidR="00651E84" w:rsidRPr="00E00F43" w:rsidRDefault="00E00F43" w:rsidP="009971E8">
            <w:pPr>
              <w:spacing w:before="120"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c)</w:t>
            </w:r>
          </w:p>
        </w:tc>
        <w:tc>
          <w:tcPr>
            <w:tcW w:w="0" w:type="auto"/>
            <w:shd w:val="clear" w:color="auto" w:fill="auto"/>
            <w:hideMark/>
          </w:tcPr>
          <w:p w:rsidR="00651E84" w:rsidRPr="00E00F43" w:rsidRDefault="00E00F43" w:rsidP="009971E8">
            <w:pPr>
              <w:spacing w:before="120"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condiciones límite;</w:t>
            </w:r>
          </w:p>
        </w:tc>
      </w:tr>
    </w:tbl>
    <w:p w:rsidR="00651E84" w:rsidRPr="00E00F43" w:rsidRDefault="00E00F43" w:rsidP="009971E8">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890"/>
        <w:gridCol w:w="7948"/>
      </w:tblGrid>
      <w:tr w:rsidR="00651E84" w:rsidRPr="00E00F43" w:rsidTr="00651E84">
        <w:tc>
          <w:tcPr>
            <w:tcW w:w="0" w:type="auto"/>
            <w:shd w:val="clear" w:color="auto" w:fill="auto"/>
            <w:hideMark/>
          </w:tcPr>
          <w:p w:rsidR="00651E84" w:rsidRPr="00E00F43" w:rsidRDefault="00E00F43" w:rsidP="009971E8">
            <w:pPr>
              <w:spacing w:before="120"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d)</w:t>
            </w:r>
          </w:p>
        </w:tc>
        <w:tc>
          <w:tcPr>
            <w:tcW w:w="0" w:type="auto"/>
            <w:shd w:val="clear" w:color="auto" w:fill="auto"/>
            <w:hideMark/>
          </w:tcPr>
          <w:p w:rsidR="00651E84" w:rsidRPr="00E00F43" w:rsidRDefault="00E00F43" w:rsidP="009971E8">
            <w:pPr>
              <w:spacing w:before="120"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hipótesis de carga;</w:t>
            </w:r>
          </w:p>
        </w:tc>
      </w:tr>
    </w:tbl>
    <w:p w:rsidR="00651E84" w:rsidRPr="00E00F43" w:rsidRDefault="00E00F43" w:rsidP="009971E8">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745"/>
        <w:gridCol w:w="7093"/>
      </w:tblGrid>
      <w:tr w:rsidR="00651E84" w:rsidRPr="00E00F43" w:rsidTr="00651E84">
        <w:tc>
          <w:tcPr>
            <w:tcW w:w="0" w:type="auto"/>
            <w:shd w:val="clear" w:color="auto" w:fill="auto"/>
            <w:hideMark/>
          </w:tcPr>
          <w:p w:rsidR="00651E84" w:rsidRPr="00E00F43" w:rsidRDefault="00E00F43" w:rsidP="009971E8">
            <w:pPr>
              <w:spacing w:before="120"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e)</w:t>
            </w:r>
          </w:p>
        </w:tc>
        <w:tc>
          <w:tcPr>
            <w:tcW w:w="0" w:type="auto"/>
            <w:shd w:val="clear" w:color="auto" w:fill="auto"/>
            <w:hideMark/>
          </w:tcPr>
          <w:p w:rsidR="00651E84" w:rsidRPr="00E00F43" w:rsidRDefault="00E00F43" w:rsidP="009971E8">
            <w:pPr>
              <w:spacing w:before="120"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cálculo;</w:t>
            </w:r>
          </w:p>
        </w:tc>
      </w:tr>
    </w:tbl>
    <w:p w:rsidR="00651E84" w:rsidRPr="00E00F43" w:rsidRDefault="00E00F43" w:rsidP="009971E8">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116"/>
        <w:gridCol w:w="7722"/>
      </w:tblGrid>
      <w:tr w:rsidR="00651E84" w:rsidRPr="00E00F43" w:rsidTr="00651E84">
        <w:tc>
          <w:tcPr>
            <w:tcW w:w="0" w:type="auto"/>
            <w:shd w:val="clear" w:color="auto" w:fill="auto"/>
            <w:hideMark/>
          </w:tcPr>
          <w:p w:rsidR="00651E84" w:rsidRPr="00E00F43" w:rsidRDefault="00E00F43" w:rsidP="009971E8">
            <w:pPr>
              <w:spacing w:before="120"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f)</w:t>
            </w:r>
          </w:p>
        </w:tc>
        <w:tc>
          <w:tcPr>
            <w:tcW w:w="0" w:type="auto"/>
            <w:shd w:val="clear" w:color="auto" w:fill="auto"/>
            <w:hideMark/>
          </w:tcPr>
          <w:p w:rsidR="00651E84" w:rsidRPr="00E00F43" w:rsidRDefault="00E00F43" w:rsidP="009971E8">
            <w:pPr>
              <w:spacing w:before="120"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evaluación;</w:t>
            </w:r>
          </w:p>
        </w:tc>
      </w:tr>
    </w:tbl>
    <w:p w:rsidR="00651E84" w:rsidRPr="00E00F43" w:rsidRDefault="00E00F43" w:rsidP="009971E8">
      <w:pPr>
        <w:shd w:val="clear" w:color="auto" w:fill="FFFFFF"/>
        <w:spacing w:after="0" w:line="240" w:lineRule="auto"/>
        <w:rPr>
          <w:rFonts w:ascii="Times New Roman" w:eastAsia="Times New Roman" w:hAnsi="Times New Roman" w:cs="Times New Roman"/>
          <w:vanish/>
          <w:sz w:val="28"/>
        </w:rPr>
      </w:pPr>
    </w:p>
    <w:tbl>
      <w:tblPr>
        <w:tblW w:w="5000" w:type="pct"/>
        <w:tblCellMar>
          <w:left w:w="0" w:type="dxa"/>
          <w:right w:w="0" w:type="dxa"/>
        </w:tblCellMar>
        <w:tblLook w:val="04A0" w:firstRow="1" w:lastRow="0" w:firstColumn="1" w:lastColumn="0" w:noHBand="0" w:noVBand="1"/>
      </w:tblPr>
      <w:tblGrid>
        <w:gridCol w:w="1024"/>
        <w:gridCol w:w="7814"/>
      </w:tblGrid>
      <w:tr w:rsidR="00651E84" w:rsidRPr="00E00F43" w:rsidTr="00651E84">
        <w:tc>
          <w:tcPr>
            <w:tcW w:w="0" w:type="auto"/>
            <w:shd w:val="clear" w:color="auto" w:fill="auto"/>
            <w:hideMark/>
          </w:tcPr>
          <w:p w:rsidR="00651E84" w:rsidRPr="00E00F43" w:rsidRDefault="00E00F43" w:rsidP="009971E8">
            <w:pPr>
              <w:spacing w:before="120"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g)</w:t>
            </w:r>
          </w:p>
        </w:tc>
        <w:tc>
          <w:tcPr>
            <w:tcW w:w="0" w:type="auto"/>
            <w:shd w:val="clear" w:color="auto" w:fill="auto"/>
            <w:hideMark/>
          </w:tcPr>
          <w:p w:rsidR="00651E84" w:rsidRPr="00E00F43" w:rsidRDefault="00E00F43" w:rsidP="009971E8">
            <w:pPr>
              <w:spacing w:before="120" w:after="0" w:line="240" w:lineRule="auto"/>
              <w:rPr>
                <w:rFonts w:ascii="Times New Roman" w:eastAsia="Times New Roman" w:hAnsi="Times New Roman" w:cs="Times New Roman"/>
                <w:sz w:val="28"/>
              </w:rPr>
            </w:pPr>
            <w:r w:rsidRPr="00E00F43">
              <w:rPr>
                <w:rFonts w:ascii="Times New Roman" w:eastAsia="Times New Roman" w:hAnsi="Times New Roman" w:cs="Times New Roman"/>
                <w:sz w:val="28"/>
              </w:rPr>
              <w:t>documentación.</w:t>
            </w:r>
          </w:p>
        </w:tc>
      </w:tr>
    </w:tbl>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2.   </w:t>
      </w:r>
      <w:r w:rsidRPr="00E00F43">
        <w:rPr>
          <w:rFonts w:ascii="Times New Roman" w:eastAsia="Times New Roman" w:hAnsi="Times New Roman" w:cs="Times New Roman"/>
          <w:b/>
          <w:bCs/>
          <w:i/>
          <w:iCs/>
          <w:sz w:val="28"/>
        </w:rPr>
        <w:t>Fundamentos de la simulación y el cálculo por ordenador</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2.1.   Modelo matemático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El modelo matemático deberá ser facilitado por </w:t>
      </w:r>
      <w:r w:rsidRPr="00E00F43">
        <w:rPr>
          <w:rFonts w:ascii="Times New Roman" w:eastAsia="Times New Roman" w:hAnsi="Times New Roman" w:cs="Times New Roman"/>
          <w:sz w:val="28"/>
        </w:rPr>
        <w:t>el fabricante. Deberá reflejar la complejidad de la estructura de los vehículos de rueda, los equipos y las piezas que vayan a ensayarse en relación con los requisitos de los reglamentos de las Naciones Unidas de que se trate y sus condiciones límite.</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Lo m</w:t>
      </w:r>
      <w:r w:rsidRPr="00E00F43">
        <w:rPr>
          <w:rFonts w:ascii="Times New Roman" w:eastAsia="Times New Roman" w:hAnsi="Times New Roman" w:cs="Times New Roman"/>
          <w:sz w:val="28"/>
        </w:rPr>
        <w:t>ismo se aplicará, </w:t>
      </w:r>
      <w:r w:rsidRPr="00E00F43">
        <w:rPr>
          <w:rFonts w:ascii="Times New Roman" w:eastAsia="Times New Roman" w:hAnsi="Times New Roman" w:cs="Times New Roman"/>
          <w:i/>
          <w:iCs/>
          <w:sz w:val="28"/>
        </w:rPr>
        <w:t>mutatis mutandis</w:t>
      </w:r>
      <w:r w:rsidRPr="00E00F43">
        <w:rPr>
          <w:rFonts w:ascii="Times New Roman" w:eastAsia="Times New Roman" w:hAnsi="Times New Roman" w:cs="Times New Roman"/>
          <w:sz w:val="28"/>
        </w:rPr>
        <w:t>, a los ensayos de componentes independientes del vehículo.</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2.2.   Proceso de validación del modelo matemático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modelo deberá validarse comparándolo con las condiciones reales de ensayo.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Para ello deberá realizarse un en</w:t>
      </w:r>
      <w:r w:rsidRPr="00E00F43">
        <w:rPr>
          <w:rFonts w:ascii="Times New Roman" w:eastAsia="Times New Roman" w:hAnsi="Times New Roman" w:cs="Times New Roman"/>
          <w:sz w:val="28"/>
        </w:rPr>
        <w:t>sayo físico apropiado a fin de comparar sus resultados con los obtenidos con el modelo matemático. Deberá demostrarse la comparabilidad de los resultados de los ensayos. El fabricante o el servicio técnico deberán levantar acta de validación y presentársel</w:t>
      </w:r>
      <w:r w:rsidRPr="00E00F43">
        <w:rPr>
          <w:rFonts w:ascii="Times New Roman" w:eastAsia="Times New Roman" w:hAnsi="Times New Roman" w:cs="Times New Roman"/>
          <w:sz w:val="28"/>
        </w:rPr>
        <w:t>a a la autoridad de homologación.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Todo cambio introducido en el modelo matemático o en el software que pueda invalidar el acta de validación deberá comunicarse a la autoridad de homologación, que podrá exigir que se inicie un nuevo proceso de validación.</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2</w:t>
      </w:r>
      <w:r w:rsidRPr="00E00F43">
        <w:rPr>
          <w:rFonts w:ascii="Times New Roman" w:eastAsia="Times New Roman" w:hAnsi="Times New Roman" w:cs="Times New Roman"/>
          <w:b/>
          <w:bCs/>
          <w:sz w:val="28"/>
        </w:rPr>
        <w:t>.3.   Documentación</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fabricante deberá proporcionar los datos y herramientas auxiliares utilizados para la simulación y el cálculo, debidamente documentados para el servicio técnico.</w:t>
      </w:r>
    </w:p>
    <w:p w:rsidR="00651E84" w:rsidRPr="00E00F43" w:rsidRDefault="00E00F43" w:rsidP="00374DDD">
      <w:pPr>
        <w:shd w:val="clear" w:color="auto" w:fill="FFFFFF"/>
        <w:spacing w:before="240" w:after="120" w:line="240" w:lineRule="auto"/>
        <w:jc w:val="both"/>
        <w:rPr>
          <w:rFonts w:ascii="Times New Roman" w:eastAsia="Times New Roman" w:hAnsi="Times New Roman" w:cs="Times New Roman"/>
          <w:b/>
          <w:bCs/>
          <w:sz w:val="28"/>
        </w:rPr>
      </w:pPr>
      <w:r w:rsidRPr="00E00F43">
        <w:rPr>
          <w:rFonts w:ascii="Times New Roman" w:eastAsia="Times New Roman" w:hAnsi="Times New Roman" w:cs="Times New Roman"/>
          <w:b/>
          <w:bCs/>
          <w:sz w:val="28"/>
        </w:rPr>
        <w:t>3.   </w:t>
      </w:r>
      <w:r w:rsidRPr="00E00F43">
        <w:rPr>
          <w:rFonts w:ascii="Times New Roman" w:eastAsia="Times New Roman" w:hAnsi="Times New Roman" w:cs="Times New Roman"/>
          <w:b/>
          <w:bCs/>
          <w:i/>
          <w:iCs/>
          <w:sz w:val="28"/>
        </w:rPr>
        <w:t>Herramientas y apoyo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 xml:space="preserve">A petición de la autoridad de homologación o </w:t>
      </w:r>
      <w:r w:rsidRPr="00E00F43">
        <w:rPr>
          <w:rFonts w:ascii="Times New Roman" w:eastAsia="Times New Roman" w:hAnsi="Times New Roman" w:cs="Times New Roman"/>
          <w:sz w:val="28"/>
        </w:rPr>
        <w:t>del servicio técnico, el fabricante deberá proporcionar las herramientas necesarias, incluido el software adecuado, o dar acceso a las mismas.</w:t>
      </w:r>
    </w:p>
    <w:p w:rsidR="00651E84" w:rsidRPr="00E00F43" w:rsidRDefault="00E00F43" w:rsidP="00374DDD">
      <w:pPr>
        <w:shd w:val="clear" w:color="auto" w:fill="FFFFFF"/>
        <w:tabs>
          <w:tab w:val="left" w:pos="2127"/>
        </w:tabs>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Además, el fabricante deberá ofrecer a la autoridad de homologación o al servicio técnico el apoyo que sea oportu</w:t>
      </w:r>
      <w:r w:rsidRPr="00E00F43">
        <w:rPr>
          <w:rFonts w:ascii="Times New Roman" w:eastAsia="Times New Roman" w:hAnsi="Times New Roman" w:cs="Times New Roman"/>
          <w:sz w:val="28"/>
        </w:rPr>
        <w:t>no.</w:t>
      </w:r>
    </w:p>
    <w:p w:rsidR="00651E84" w:rsidRPr="00E00F43" w:rsidRDefault="00E00F43" w:rsidP="00374DDD">
      <w:pPr>
        <w:shd w:val="clear" w:color="auto" w:fill="FFFFFF"/>
        <w:spacing w:before="120" w:after="0" w:line="240" w:lineRule="auto"/>
        <w:jc w:val="both"/>
        <w:rPr>
          <w:rFonts w:ascii="Times New Roman" w:eastAsia="Times New Roman" w:hAnsi="Times New Roman" w:cs="Times New Roman"/>
          <w:sz w:val="28"/>
        </w:rPr>
      </w:pPr>
      <w:r w:rsidRPr="00E00F43">
        <w:rPr>
          <w:rFonts w:ascii="Times New Roman" w:eastAsia="Times New Roman" w:hAnsi="Times New Roman" w:cs="Times New Roman"/>
          <w:sz w:val="28"/>
        </w:rPr>
        <w:t>El acceso y el apoyo proporcionados al servicio técnico no eximen a este de sus obligaciones respecto a las aptitudes de su personal, el pago de derechos de licencia y el respeto de la confidencialidad.</w:t>
      </w:r>
      <w:r w:rsidRPr="00E00F43">
        <w:rPr>
          <w:rFonts w:ascii="Times New Roman" w:eastAsia="Times New Roman" w:hAnsi="Times New Roman" w:cs="Times New Roman"/>
          <w:sz w:val="28"/>
        </w:rPr>
        <w:t>”</w:t>
      </w:r>
    </w:p>
    <w:p w:rsidR="00651E84" w:rsidRPr="00E00F43" w:rsidRDefault="00E00F43" w:rsidP="00374DDD">
      <w:pPr>
        <w:shd w:val="clear" w:color="auto" w:fill="FFFFFF"/>
        <w:spacing w:before="240" w:after="60" w:line="240" w:lineRule="auto"/>
        <w:rPr>
          <w:rFonts w:ascii="Times New Roman" w:eastAsia="Times New Roman" w:hAnsi="Times New Roman" w:cs="Times New Roman"/>
          <w:sz w:val="28"/>
        </w:rPr>
      </w:pPr>
    </w:p>
    <w:p w:rsidR="00DF0907" w:rsidRPr="00E00F43" w:rsidRDefault="00E00F43" w:rsidP="00374DDD">
      <w:pPr>
        <w:spacing w:line="240" w:lineRule="auto"/>
        <w:rPr>
          <w:rFonts w:ascii="Times New Roman" w:hAnsi="Times New Roman" w:cs="Times New Roman"/>
          <w:sz w:val="28"/>
        </w:rPr>
      </w:pPr>
    </w:p>
    <w:sectPr w:rsidR="00DF0907" w:rsidRPr="00E00F43">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00F43">
      <w:pPr>
        <w:spacing w:after="0" w:line="240" w:lineRule="auto"/>
      </w:pPr>
      <w:r>
        <w:separator/>
      </w:r>
    </w:p>
  </w:endnote>
  <w:endnote w:type="continuationSeparator" w:id="0">
    <w:p w:rsidR="00000000" w:rsidRDefault="00E00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00F43">
      <w:pPr>
        <w:spacing w:after="0" w:line="240" w:lineRule="auto"/>
      </w:pPr>
      <w:r>
        <w:separator/>
      </w:r>
    </w:p>
  </w:footnote>
  <w:footnote w:type="continuationSeparator" w:id="0">
    <w:p w:rsidR="00000000" w:rsidRDefault="00E00F43">
      <w:pPr>
        <w:spacing w:after="0" w:line="240" w:lineRule="auto"/>
      </w:pPr>
      <w:r>
        <w:continuationSeparator/>
      </w:r>
    </w:p>
  </w:footnote>
  <w:footnote w:id="1">
    <w:p w:rsidR="00FD7506" w:rsidRPr="00273412" w:rsidRDefault="00E00F43" w:rsidP="00076EDF">
      <w:pPr>
        <w:pStyle w:val="Textonotapie"/>
        <w:rPr>
          <w:sz w:val="18"/>
          <w:szCs w:val="18"/>
        </w:rPr>
      </w:pPr>
      <w:r w:rsidRPr="00273412">
        <w:rPr>
          <w:rStyle w:val="Refdenotaalpie"/>
          <w:sz w:val="18"/>
          <w:szCs w:val="18"/>
        </w:rPr>
        <w:footnoteRef/>
      </w:r>
      <w:r w:rsidRPr="00273412">
        <w:rPr>
          <w:sz w:val="18"/>
          <w:szCs w:val="18"/>
        </w:rPr>
        <w:t xml:space="preserve"> La magistrada sustanciadora insistió en los requerimientos probatorios realizados en Auto del 9 de marzo de 2023, particularmente, en remitir </w:t>
      </w:r>
      <w:r w:rsidRPr="00273412">
        <w:rPr>
          <w:i/>
          <w:iCs/>
          <w:sz w:val="18"/>
          <w:szCs w:val="18"/>
        </w:rPr>
        <w:t>(i)</w:t>
      </w:r>
      <w:r w:rsidRPr="00273412">
        <w:rPr>
          <w:sz w:val="18"/>
          <w:szCs w:val="18"/>
        </w:rPr>
        <w:t xml:space="preserve"> </w:t>
      </w:r>
      <w:r w:rsidRPr="00273412">
        <w:rPr>
          <w:sz w:val="18"/>
          <w:szCs w:val="18"/>
          <w:lang w:val="es-CO"/>
        </w:rPr>
        <w:t>copia física y/o en medio magnético de la gaceta del congreso en la que publicó el proyecto de ley 335-2022 S</w:t>
      </w:r>
      <w:r w:rsidRPr="00273412">
        <w:rPr>
          <w:sz w:val="18"/>
          <w:szCs w:val="18"/>
          <w:lang w:val="es-CO"/>
        </w:rPr>
        <w:t>enado, 199-2022 Cámara, así como la publicación del informe de ponencia para primer y segundo debate en el Senado de la República. Si bien el secretario general de esa corporación hizo referencia a las Gacetas n.° 225 de 2022, 409 de 2022</w:t>
      </w:r>
      <w:r>
        <w:rPr>
          <w:sz w:val="18"/>
          <w:szCs w:val="18"/>
          <w:lang w:val="es-CO"/>
        </w:rPr>
        <w:t xml:space="preserve"> y</w:t>
      </w:r>
      <w:r w:rsidRPr="00273412">
        <w:rPr>
          <w:sz w:val="18"/>
          <w:szCs w:val="18"/>
          <w:lang w:val="es-CO"/>
        </w:rPr>
        <w:t xml:space="preserve"> 590 de 2022, no</w:t>
      </w:r>
      <w:r w:rsidRPr="00273412">
        <w:rPr>
          <w:sz w:val="18"/>
          <w:szCs w:val="18"/>
          <w:lang w:val="es-CO"/>
        </w:rPr>
        <w:t xml:space="preserve"> las allegó; </w:t>
      </w:r>
      <w:r w:rsidRPr="00273412">
        <w:rPr>
          <w:i/>
          <w:iCs/>
          <w:sz w:val="18"/>
          <w:szCs w:val="18"/>
          <w:lang w:val="es-CO"/>
        </w:rPr>
        <w:t>(ii)</w:t>
      </w:r>
      <w:r w:rsidRPr="00273412">
        <w:rPr>
          <w:sz w:val="18"/>
          <w:szCs w:val="18"/>
          <w:lang w:val="es-CO"/>
        </w:rPr>
        <w:t xml:space="preserve"> </w:t>
      </w:r>
      <w:r w:rsidRPr="00273412">
        <w:rPr>
          <w:sz w:val="18"/>
          <w:szCs w:val="18"/>
        </w:rPr>
        <w:t>certificación expresa, y copia física y/o en medio magnético de la gaceta del congreso en la que se haya hecho la publicación del texto definitivo aprobado en la sesión plenaria del Senado de la República celebrada el 6 de septiembre de 2</w:t>
      </w:r>
      <w:r w:rsidRPr="00273412">
        <w:rPr>
          <w:sz w:val="18"/>
          <w:szCs w:val="18"/>
        </w:rPr>
        <w:t xml:space="preserve">022; </w:t>
      </w:r>
      <w:r w:rsidRPr="00273412">
        <w:rPr>
          <w:i/>
          <w:iCs/>
          <w:sz w:val="18"/>
          <w:szCs w:val="18"/>
        </w:rPr>
        <w:t>(iii)</w:t>
      </w:r>
      <w:r w:rsidRPr="00273412">
        <w:rPr>
          <w:sz w:val="18"/>
          <w:szCs w:val="18"/>
        </w:rPr>
        <w:t xml:space="preserve"> copia del expediente legislativo </w:t>
      </w:r>
      <w:r w:rsidRPr="00273412">
        <w:rPr>
          <w:sz w:val="18"/>
          <w:szCs w:val="18"/>
          <w:lang w:val="es-ES"/>
        </w:rPr>
        <w:t xml:space="preserve">del </w:t>
      </w:r>
      <w:r w:rsidRPr="00273412">
        <w:rPr>
          <w:sz w:val="18"/>
          <w:szCs w:val="18"/>
          <w:lang w:val="es-CO"/>
        </w:rPr>
        <w:t xml:space="preserve">primer debate surtido en la comisión segunda de la Cámara de Representantes, así como la certificación sobre publicaciones, sesiones, quórum y demás, en los términos originalmente solicitados, y </w:t>
      </w:r>
      <w:r w:rsidRPr="00273412">
        <w:rPr>
          <w:i/>
          <w:iCs/>
          <w:sz w:val="18"/>
          <w:szCs w:val="18"/>
          <w:lang w:val="es-CO"/>
        </w:rPr>
        <w:t>(iv)</w:t>
      </w:r>
      <w:r w:rsidRPr="00273412">
        <w:rPr>
          <w:sz w:val="18"/>
          <w:szCs w:val="18"/>
          <w:lang w:val="es-CO"/>
        </w:rPr>
        <w:t xml:space="preserve"> </w:t>
      </w:r>
      <w:r w:rsidRPr="00273412">
        <w:rPr>
          <w:sz w:val="18"/>
          <w:szCs w:val="18"/>
        </w:rPr>
        <w:t>certific</w:t>
      </w:r>
      <w:r w:rsidRPr="00273412">
        <w:rPr>
          <w:sz w:val="18"/>
          <w:szCs w:val="18"/>
        </w:rPr>
        <w:t>ación expresa, y copia física y/o en medio magnético de la gaceta del congreso en la que se haya hecho la publicación del texto definitivo aprobado en la sesión plenaria de la Cámara de Representantes celebrada el 5 de diciembre de 2022.</w:t>
      </w:r>
    </w:p>
    <w:p w:rsidR="00FD7506" w:rsidRPr="00273412" w:rsidRDefault="00E00F43">
      <w:pPr>
        <w:pStyle w:val="Textonotapie"/>
        <w:rPr>
          <w:sz w:val="18"/>
          <w:szCs w:val="18"/>
          <w:lang w:val="es-CO"/>
        </w:rPr>
      </w:pPr>
      <w:r w:rsidRPr="00273412">
        <w:rPr>
          <w:sz w:val="18"/>
          <w:szCs w:val="18"/>
        </w:rPr>
        <w:t xml:space="preserve"> </w:t>
      </w:r>
    </w:p>
  </w:footnote>
  <w:footnote w:id="2">
    <w:p w:rsidR="00FD7506" w:rsidRPr="00273412" w:rsidRDefault="00E00F43" w:rsidP="007244C8">
      <w:pPr>
        <w:pStyle w:val="Textonotapie"/>
        <w:shd w:val="clear" w:color="auto" w:fill="FFFFFF" w:themeFill="background1"/>
        <w:rPr>
          <w:rFonts w:asciiTheme="majorBidi" w:hAnsiTheme="majorBidi" w:cstheme="majorBidi"/>
          <w:sz w:val="18"/>
          <w:szCs w:val="18"/>
        </w:rPr>
      </w:pPr>
      <w:r w:rsidRPr="00273412">
        <w:rPr>
          <w:rStyle w:val="Refdenotaalpie"/>
          <w:rFonts w:asciiTheme="majorBidi" w:hAnsiTheme="majorBidi" w:cstheme="majorBidi"/>
          <w:sz w:val="18"/>
          <w:szCs w:val="18"/>
        </w:rPr>
        <w:footnoteRef/>
      </w:r>
      <w:r w:rsidRPr="00273412">
        <w:rPr>
          <w:rFonts w:asciiTheme="majorBidi" w:hAnsiTheme="majorBidi" w:cstheme="majorBidi"/>
          <w:sz w:val="18"/>
          <w:szCs w:val="18"/>
        </w:rPr>
        <w:t xml:space="preserve"> Juan Carlos Lo</w:t>
      </w:r>
      <w:r w:rsidRPr="00273412">
        <w:rPr>
          <w:rFonts w:asciiTheme="majorBidi" w:hAnsiTheme="majorBidi" w:cstheme="majorBidi"/>
          <w:sz w:val="18"/>
          <w:szCs w:val="18"/>
        </w:rPr>
        <w:t xml:space="preserve">sada Perdomo. </w:t>
      </w:r>
    </w:p>
  </w:footnote>
  <w:footnote w:id="3">
    <w:p w:rsidR="00FD7506" w:rsidRPr="00273412" w:rsidRDefault="00E00F43">
      <w:pPr>
        <w:pStyle w:val="Textonotapie"/>
        <w:rPr>
          <w:sz w:val="18"/>
          <w:szCs w:val="18"/>
          <w:lang w:val="es-CO"/>
        </w:rPr>
      </w:pPr>
      <w:r w:rsidRPr="00273412">
        <w:rPr>
          <w:rStyle w:val="Refdenotaalpie"/>
          <w:sz w:val="18"/>
          <w:szCs w:val="18"/>
        </w:rPr>
        <w:footnoteRef/>
      </w:r>
      <w:r w:rsidRPr="00273412">
        <w:rPr>
          <w:sz w:val="18"/>
          <w:szCs w:val="18"/>
        </w:rPr>
        <w:t xml:space="preserve"> </w:t>
      </w:r>
      <w:r w:rsidRPr="00273412">
        <w:rPr>
          <w:sz w:val="18"/>
          <w:szCs w:val="18"/>
          <w:lang w:val="es-CO"/>
        </w:rPr>
        <w:t xml:space="preserve">Ricardo Rodríguez Correa. </w:t>
      </w:r>
    </w:p>
  </w:footnote>
  <w:footnote w:id="4">
    <w:p w:rsidR="00FD7506" w:rsidRPr="00273412" w:rsidRDefault="00E00F43">
      <w:pPr>
        <w:pStyle w:val="Textonotapie"/>
        <w:rPr>
          <w:sz w:val="18"/>
          <w:szCs w:val="18"/>
          <w:lang w:val="es-CO"/>
        </w:rPr>
      </w:pPr>
      <w:r w:rsidRPr="00273412">
        <w:rPr>
          <w:rStyle w:val="Refdenotaalpie"/>
          <w:sz w:val="18"/>
          <w:szCs w:val="18"/>
        </w:rPr>
        <w:footnoteRef/>
      </w:r>
      <w:r w:rsidRPr="00273412">
        <w:rPr>
          <w:sz w:val="18"/>
          <w:szCs w:val="18"/>
        </w:rPr>
        <w:t xml:space="preserve"> </w:t>
      </w:r>
      <w:r w:rsidRPr="00273412">
        <w:rPr>
          <w:sz w:val="18"/>
          <w:szCs w:val="18"/>
          <w:lang w:val="es-CO"/>
        </w:rPr>
        <w:t xml:space="preserve">Andrey Camilo Abril Miranda. </w:t>
      </w:r>
    </w:p>
  </w:footnote>
  <w:footnote w:id="5">
    <w:p w:rsidR="00FD7506" w:rsidRPr="00273412" w:rsidRDefault="00E00F43" w:rsidP="009A1E1A">
      <w:pPr>
        <w:pStyle w:val="Textonotapie"/>
        <w:shd w:val="clear" w:color="auto" w:fill="FFFFFF" w:themeFill="background1"/>
        <w:rPr>
          <w:rFonts w:asciiTheme="majorBidi" w:hAnsiTheme="majorBidi" w:cstheme="majorBidi"/>
          <w:sz w:val="18"/>
          <w:szCs w:val="18"/>
        </w:rPr>
      </w:pPr>
      <w:r w:rsidRPr="00273412">
        <w:rPr>
          <w:rStyle w:val="Refdenotaalpie"/>
          <w:rFonts w:asciiTheme="majorBidi" w:hAnsiTheme="majorBidi" w:cstheme="majorBidi"/>
          <w:sz w:val="18"/>
          <w:szCs w:val="18"/>
        </w:rPr>
        <w:footnoteRef/>
      </w:r>
      <w:r w:rsidRPr="00273412">
        <w:rPr>
          <w:rFonts w:asciiTheme="majorBidi" w:hAnsiTheme="majorBidi" w:cstheme="majorBidi"/>
          <w:sz w:val="18"/>
          <w:szCs w:val="18"/>
        </w:rPr>
        <w:t xml:space="preserve"> Manuel Felipe Rodríguez Duarte.</w:t>
      </w:r>
    </w:p>
  </w:footnote>
  <w:footnote w:id="6">
    <w:p w:rsidR="00FD7506" w:rsidRPr="00273412" w:rsidRDefault="00E00F43">
      <w:pPr>
        <w:pStyle w:val="Textonotapie"/>
        <w:rPr>
          <w:sz w:val="18"/>
          <w:szCs w:val="18"/>
        </w:rPr>
      </w:pPr>
      <w:r w:rsidRPr="00273412">
        <w:rPr>
          <w:rStyle w:val="Refdenotaalpie"/>
          <w:sz w:val="18"/>
          <w:szCs w:val="18"/>
        </w:rPr>
        <w:footnoteRef/>
      </w:r>
      <w:r w:rsidRPr="00273412">
        <w:rPr>
          <w:sz w:val="18"/>
          <w:szCs w:val="18"/>
        </w:rPr>
        <w:t xml:space="preserve"> Julián Alberto Trujillo Marín. </w:t>
      </w:r>
    </w:p>
  </w:footnote>
  <w:footnote w:id="7">
    <w:p w:rsidR="00FD7506" w:rsidRPr="00273412" w:rsidRDefault="00E00F43">
      <w:pPr>
        <w:pStyle w:val="Textonotapie"/>
        <w:rPr>
          <w:lang w:val="es-CO"/>
        </w:rPr>
      </w:pPr>
      <w:r w:rsidRPr="00273412">
        <w:rPr>
          <w:rStyle w:val="Refdenotaalpie"/>
          <w:sz w:val="18"/>
          <w:szCs w:val="18"/>
        </w:rPr>
        <w:footnoteRef/>
      </w:r>
      <w:r w:rsidRPr="00273412">
        <w:rPr>
          <w:sz w:val="18"/>
          <w:szCs w:val="18"/>
        </w:rPr>
        <w:t xml:space="preserve"> </w:t>
      </w:r>
      <w:r w:rsidRPr="00273412">
        <w:rPr>
          <w:sz w:val="18"/>
          <w:szCs w:val="18"/>
          <w:lang w:val="es-CO"/>
        </w:rPr>
        <w:t>Ayda Lucy Ospina Arias.</w:t>
      </w:r>
      <w:r w:rsidRPr="00273412">
        <w:rPr>
          <w:lang w:val="es-CO"/>
        </w:rPr>
        <w:t xml:space="preserve"> </w:t>
      </w:r>
    </w:p>
  </w:footnote>
  <w:footnote w:id="8">
    <w:p w:rsidR="00FD7506" w:rsidRPr="00273412" w:rsidRDefault="00E00F43">
      <w:pPr>
        <w:pStyle w:val="Textonotapie"/>
        <w:rPr>
          <w:sz w:val="18"/>
          <w:szCs w:val="18"/>
        </w:rPr>
      </w:pPr>
      <w:r w:rsidRPr="00273412">
        <w:rPr>
          <w:rStyle w:val="Refdenotaalpie"/>
          <w:sz w:val="18"/>
          <w:szCs w:val="18"/>
        </w:rPr>
        <w:footnoteRef/>
      </w:r>
      <w:r w:rsidRPr="00273412">
        <w:rPr>
          <w:sz w:val="18"/>
          <w:szCs w:val="18"/>
        </w:rPr>
        <w:t xml:space="preserve"> Héctor Javier Dussan Bastidas. </w:t>
      </w:r>
    </w:p>
  </w:footnote>
  <w:footnote w:id="9">
    <w:p w:rsidR="00FD7506" w:rsidRPr="00273412" w:rsidRDefault="00E00F43">
      <w:pPr>
        <w:pStyle w:val="Textonotapie"/>
        <w:rPr>
          <w:sz w:val="18"/>
          <w:szCs w:val="18"/>
        </w:rPr>
      </w:pPr>
      <w:r w:rsidRPr="00273412">
        <w:rPr>
          <w:rStyle w:val="Refdenotaalpie"/>
          <w:sz w:val="18"/>
          <w:szCs w:val="18"/>
        </w:rPr>
        <w:footnoteRef/>
      </w:r>
      <w:r w:rsidRPr="00273412">
        <w:rPr>
          <w:sz w:val="18"/>
          <w:szCs w:val="18"/>
        </w:rPr>
        <w:t xml:space="preserve"> Neyireth Briceño Ramírez. </w:t>
      </w:r>
    </w:p>
  </w:footnote>
  <w:footnote w:id="10">
    <w:p w:rsidR="00FD7506" w:rsidRPr="00273412" w:rsidRDefault="00E00F43" w:rsidP="000200C3">
      <w:pPr>
        <w:pStyle w:val="Textonotapie"/>
        <w:rPr>
          <w:sz w:val="18"/>
          <w:szCs w:val="18"/>
        </w:rPr>
      </w:pPr>
      <w:r w:rsidRPr="00273412">
        <w:rPr>
          <w:rStyle w:val="Refdenotaalpie"/>
          <w:sz w:val="18"/>
          <w:szCs w:val="18"/>
        </w:rPr>
        <w:footnoteRef/>
      </w:r>
      <w:r w:rsidRPr="00273412">
        <w:rPr>
          <w:sz w:val="18"/>
          <w:szCs w:val="18"/>
        </w:rPr>
        <w:t xml:space="preserve"> Sentencia C-048 de 2018. M.P. Cristina Pardo Schlesinger. Citando, a su vez, sentencias C-468 de 1997. M.P. Alejandro Martínez; C-378 de 1996. M.P. Hernando Herrera; C-682 de 1996. M.P. Fabio Morón; C-400 de 1998. M.P. Alejandro Martínez; C-924 de 2000. M</w:t>
      </w:r>
      <w:r w:rsidRPr="00273412">
        <w:rPr>
          <w:sz w:val="18"/>
          <w:szCs w:val="18"/>
        </w:rPr>
        <w:t xml:space="preserve">.P. Carlos Gaviria; C-576 de 2006. M.P. Manuel José Cepeda Espinosa; C-110 de 2022. M.P. Diana Fajardo Rivera y C-346 de 2022. M.P. Diana Fajardo Rivera. </w:t>
      </w:r>
    </w:p>
  </w:footnote>
  <w:footnote w:id="11">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Auto 969 de 2021. M.P. Alejandro Linares Cantillo. Ver, también, Sentencia C-098 de 2020. M.P Glori</w:t>
      </w:r>
      <w:r w:rsidRPr="00273412">
        <w:rPr>
          <w:sz w:val="18"/>
          <w:szCs w:val="18"/>
        </w:rPr>
        <w:t xml:space="preserve">a Stella Ortiz Delgado. </w:t>
      </w:r>
    </w:p>
  </w:footnote>
  <w:footnote w:id="12">
    <w:p w:rsidR="00FD7506" w:rsidRPr="00273412" w:rsidRDefault="00E00F43" w:rsidP="000200C3">
      <w:pPr>
        <w:pStyle w:val="Textonotapie"/>
        <w:rPr>
          <w:sz w:val="18"/>
          <w:szCs w:val="18"/>
        </w:rPr>
      </w:pPr>
      <w:r w:rsidRPr="00273412">
        <w:rPr>
          <w:rStyle w:val="Refdenotaalpie"/>
          <w:sz w:val="18"/>
          <w:szCs w:val="18"/>
        </w:rPr>
        <w:footnoteRef/>
      </w:r>
      <w:r w:rsidRPr="00273412">
        <w:rPr>
          <w:sz w:val="18"/>
          <w:szCs w:val="18"/>
        </w:rPr>
        <w:t xml:space="preserve"> Sentencia C-332 de 2017. M.P. Antonio José Lizarazo Ocampo. SPV. Alejandro Linares Cantillo. SPV. Antonio José Lizarazo Ocampo. SPV. Alberto Rojas Ríos. Sobre el particular, ver también, la Sentencia C-227 de 1993. M.P. Jorge Ara</w:t>
      </w:r>
      <w:r w:rsidRPr="00273412">
        <w:rPr>
          <w:sz w:val="18"/>
          <w:szCs w:val="18"/>
        </w:rPr>
        <w:t>ngo Mejía. SV. Vladimiro Naranjo Mesa. AV. José Gregorio Hernández Galindo: “la facultad de aprobar o improbar los tratados que el Gobierno celebre, permite al Congreso, por medio de leyes, aprobarlos o improbarlos parcialmente, es decir, hacer reservas, s</w:t>
      </w:r>
      <w:r w:rsidRPr="00273412">
        <w:rPr>
          <w:sz w:val="18"/>
          <w:szCs w:val="18"/>
        </w:rPr>
        <w:t>egún los términos del artículo 217 de la ley 5a de 1992, lo mismo que aplazar la vigencia de tales tratados”.</w:t>
      </w:r>
    </w:p>
  </w:footnote>
  <w:footnote w:id="13">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Sentencia C-781 de 2004. M.P. Manuel José Cepeda Espinosa. Más recientemente ver, por ejemplo, las sentencias C-479 de 2020. M.P. Antonio José L</w:t>
      </w:r>
      <w:r w:rsidRPr="00273412">
        <w:rPr>
          <w:sz w:val="18"/>
          <w:szCs w:val="18"/>
        </w:rPr>
        <w:t>izarazo Ocampo; C-098 de 2020. M.P. Gloria Stella Ortiz Delgado; C-456 de 2020. M.P. Jorge Enrique Ibáñez Najar; C-091 de 2021. M.P. Cristina Pardo Schlesinger; C-170 de 2021. M.P. José Fernando Reyes Cuartas; C-125 de 2022. M.P. José Fernando Reyes Cuarta</w:t>
      </w:r>
      <w:r w:rsidRPr="00273412">
        <w:rPr>
          <w:sz w:val="18"/>
          <w:szCs w:val="18"/>
        </w:rPr>
        <w:t>s; C-316 de 2022. M.P. Cristina Pardo Schlesinger y C-126 de 2023. M.P. Cristina Pardo Schlesinger.</w:t>
      </w:r>
    </w:p>
  </w:footnote>
  <w:footnote w:id="14">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Incorporada al ordenamiento interno a través de la Ley 32 de 1985.</w:t>
      </w:r>
    </w:p>
  </w:footnote>
  <w:footnote w:id="15">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Documento digital “LAT0000491-Pruebas del Expediente (Recepción y Paso al Despacho)-(</w:t>
      </w:r>
      <w:r w:rsidRPr="00273412">
        <w:rPr>
          <w:sz w:val="18"/>
          <w:szCs w:val="18"/>
        </w:rPr>
        <w:t xml:space="preserve">2023-03-21 17-36-22).pdf”, pp. 5 y 6. </w:t>
      </w:r>
    </w:p>
  </w:footnote>
  <w:footnote w:id="16">
    <w:p w:rsidR="00FD7506" w:rsidRPr="00273412" w:rsidRDefault="00E00F43" w:rsidP="005D1BD2">
      <w:pPr>
        <w:pStyle w:val="Textonotapie"/>
        <w:rPr>
          <w:sz w:val="18"/>
          <w:szCs w:val="18"/>
          <w:lang w:val="es-ES"/>
        </w:rPr>
      </w:pPr>
      <w:r w:rsidRPr="00273412">
        <w:rPr>
          <w:rStyle w:val="Refdenotaalpie"/>
          <w:sz w:val="18"/>
          <w:szCs w:val="18"/>
        </w:rPr>
        <w:footnoteRef/>
      </w:r>
      <w:r w:rsidRPr="00273412">
        <w:rPr>
          <w:sz w:val="18"/>
          <w:szCs w:val="18"/>
        </w:rPr>
        <w:t xml:space="preserve"> </w:t>
      </w:r>
      <w:r w:rsidRPr="00273412">
        <w:rPr>
          <w:i/>
          <w:iCs/>
          <w:sz w:val="18"/>
          <w:szCs w:val="18"/>
          <w:lang w:val="es-ES"/>
        </w:rPr>
        <w:t>Ibidem, p</w:t>
      </w:r>
      <w:r w:rsidRPr="00273412">
        <w:rPr>
          <w:sz w:val="18"/>
          <w:szCs w:val="18"/>
          <w:lang w:val="es-ES"/>
        </w:rPr>
        <w:t>. 6.</w:t>
      </w:r>
    </w:p>
  </w:footnote>
  <w:footnote w:id="17">
    <w:p w:rsidR="00FD7506" w:rsidRPr="00273412" w:rsidRDefault="00E00F43" w:rsidP="005D1BD2">
      <w:pPr>
        <w:pStyle w:val="Sinespaciado"/>
        <w:rPr>
          <w:sz w:val="18"/>
          <w:szCs w:val="18"/>
        </w:rPr>
      </w:pPr>
      <w:r w:rsidRPr="00273412">
        <w:rPr>
          <w:rStyle w:val="Refdenotaalpie"/>
          <w:sz w:val="18"/>
          <w:szCs w:val="18"/>
        </w:rPr>
        <w:footnoteRef/>
      </w:r>
      <w:r w:rsidRPr="00273412">
        <w:rPr>
          <w:sz w:val="18"/>
          <w:szCs w:val="18"/>
        </w:rPr>
        <w:t xml:space="preserve"> Convenio 169 de la OIT. Art. 6.1. “Al aplicar las disposiciones del presente Convenio, los gobiernos deberán: a) consultar a los pueblos interesados, mediante procedimientos apropiados y en particula</w:t>
      </w:r>
      <w:r w:rsidRPr="00273412">
        <w:rPr>
          <w:sz w:val="18"/>
          <w:szCs w:val="18"/>
        </w:rPr>
        <w:t>r a través de sus instituciones representativas, cada vez que se prevean medidas legislativas o administrativas susceptibles de afectarles directamente”.</w:t>
      </w:r>
    </w:p>
  </w:footnote>
  <w:footnote w:id="18">
    <w:p w:rsidR="00FD7506" w:rsidRPr="00273412" w:rsidRDefault="00E00F43">
      <w:pPr>
        <w:pStyle w:val="Textonotapie"/>
        <w:rPr>
          <w:lang w:val="es-ES"/>
        </w:rPr>
      </w:pPr>
      <w:r w:rsidRPr="00273412">
        <w:rPr>
          <w:rStyle w:val="Refdenotaalpie"/>
        </w:rPr>
        <w:footnoteRef/>
      </w:r>
      <w:r w:rsidRPr="00273412">
        <w:t xml:space="preserve"> Sobre este punto, es importante recordar que e</w:t>
      </w:r>
      <w:r w:rsidRPr="00273412">
        <w:rPr>
          <w:lang w:val="es-ES"/>
        </w:rPr>
        <w:t xml:space="preserve">n la Sentencia C-175 de 2009 (M.P. Luis Ernesto Vargas Silva) se explicó que “la omisión del deber de consulta previa es un vicio de inconstitucionalidad que concurre con anterioridad al trámite legislativo y que se proyecta sobre el contenido material de </w:t>
      </w:r>
      <w:r w:rsidRPr="00273412">
        <w:rPr>
          <w:lang w:val="es-ES"/>
        </w:rPr>
        <w:t>la norma objeto de examen.  A partir de la necesidad de preservar correlativamente el derecho fundamental a la consulta a las comunidades indígenas y afrodescendientes y el principio de conservación del derecho legislado, la Corte ha considerado que si bie</w:t>
      </w:r>
      <w:r w:rsidRPr="00273412">
        <w:rPr>
          <w:lang w:val="es-ES"/>
        </w:rPr>
        <w:t>n el incumplimiento del deber de consulta lleva prima facie a la inexequibilidad de la norma acusada, esta circunstancia debe evaluarse a la luz del grado de mayor o menor generalidad de la medida legislativa y el grado de incidencia de los contenidos de l</w:t>
      </w:r>
      <w:r w:rsidRPr="00273412">
        <w:rPr>
          <w:lang w:val="es-ES"/>
        </w:rPr>
        <w:t xml:space="preserve">a disposición en los intereses que atañen a las comunidades indígenas y tribales”. </w:t>
      </w:r>
    </w:p>
  </w:footnote>
  <w:footnote w:id="19">
    <w:p w:rsidR="00FD7506" w:rsidRPr="00273412" w:rsidRDefault="00E00F43" w:rsidP="005D1BD2">
      <w:pPr>
        <w:pStyle w:val="Sinespaciado"/>
        <w:rPr>
          <w:sz w:val="18"/>
          <w:szCs w:val="18"/>
        </w:rPr>
      </w:pPr>
      <w:r w:rsidRPr="00273412">
        <w:rPr>
          <w:rStyle w:val="Refdenotaalpie"/>
          <w:sz w:val="18"/>
          <w:szCs w:val="18"/>
        </w:rPr>
        <w:footnoteRef/>
      </w:r>
      <w:r w:rsidRPr="00273412">
        <w:rPr>
          <w:sz w:val="18"/>
          <w:szCs w:val="18"/>
        </w:rPr>
        <w:t xml:space="preserve"> Sentencia C-767 de 2012. M.P. María Victoria Calle Correa.</w:t>
      </w:r>
    </w:p>
  </w:footnote>
  <w:footnote w:id="20">
    <w:p w:rsidR="00FD7506" w:rsidRPr="00273412" w:rsidRDefault="00E00F43" w:rsidP="005D1BD2">
      <w:pPr>
        <w:pStyle w:val="Sinespaciado"/>
        <w:rPr>
          <w:sz w:val="18"/>
          <w:szCs w:val="18"/>
        </w:rPr>
      </w:pPr>
      <w:r w:rsidRPr="00273412">
        <w:rPr>
          <w:rStyle w:val="Refdenotaalpie"/>
          <w:sz w:val="18"/>
          <w:szCs w:val="18"/>
        </w:rPr>
        <w:footnoteRef/>
      </w:r>
      <w:r w:rsidRPr="00273412">
        <w:rPr>
          <w:sz w:val="18"/>
          <w:szCs w:val="18"/>
        </w:rPr>
        <w:t xml:space="preserve"> Sentencias C-030 de 2008. M.P. Rodrigo Escobar Gil; C-461 de 2008. M.P. Manuel José Cepeda Espinosa. SV. Jaim</w:t>
      </w:r>
      <w:r w:rsidRPr="00273412">
        <w:rPr>
          <w:sz w:val="18"/>
          <w:szCs w:val="18"/>
        </w:rPr>
        <w:t xml:space="preserve">e Araújo Rentería; C-750 de 2008. M.P. Clara Inés Vargas Hernández. SV. Jaime Araújo Rentería, y C-175 de 2009. M.P. Luis Ernesto Vargas Silva. SV. Nilson Pinilla Pinilla. SV. Gabriel Eduardo Mendoza Martelo. SV. Humberto Antonio Sierra Porto. </w:t>
      </w:r>
    </w:p>
  </w:footnote>
  <w:footnote w:id="21">
    <w:p w:rsidR="00FD7506" w:rsidRPr="00273412" w:rsidRDefault="00E00F43" w:rsidP="005D1BD2">
      <w:pPr>
        <w:pStyle w:val="Sinespaciado"/>
        <w:rPr>
          <w:sz w:val="18"/>
          <w:szCs w:val="18"/>
        </w:rPr>
      </w:pPr>
      <w:r w:rsidRPr="00273412">
        <w:rPr>
          <w:rStyle w:val="Refdenotaalpie"/>
          <w:sz w:val="18"/>
          <w:szCs w:val="18"/>
        </w:rPr>
        <w:footnoteRef/>
      </w:r>
      <w:r w:rsidRPr="00273412">
        <w:rPr>
          <w:sz w:val="18"/>
          <w:szCs w:val="18"/>
        </w:rPr>
        <w:t xml:space="preserve"> Sentencia</w:t>
      </w:r>
      <w:r w:rsidRPr="00273412">
        <w:rPr>
          <w:sz w:val="18"/>
          <w:szCs w:val="18"/>
        </w:rPr>
        <w:t>s C-169 de 2001. M.P. Carlos Gaviria Díaz; SU-383 de 2003. Álvaro Tafur Galvis. SV. Jaime Araújo Rentería. SPV. Alfredo Beltrán Sierra y Clara Inés Vargas Hernández, y C-187 de 2011. MP. Humberto Antonio Sierra Porto.</w:t>
      </w:r>
    </w:p>
  </w:footnote>
  <w:footnote w:id="22">
    <w:p w:rsidR="00FD7506" w:rsidRPr="00273412" w:rsidRDefault="00E00F43" w:rsidP="005D1BD2">
      <w:pPr>
        <w:pStyle w:val="Sinespaciado"/>
        <w:rPr>
          <w:sz w:val="18"/>
          <w:szCs w:val="18"/>
        </w:rPr>
      </w:pPr>
      <w:r w:rsidRPr="00273412">
        <w:rPr>
          <w:rStyle w:val="Refdenotaalpie"/>
          <w:sz w:val="18"/>
          <w:szCs w:val="18"/>
        </w:rPr>
        <w:footnoteRef/>
      </w:r>
      <w:r w:rsidRPr="00273412">
        <w:rPr>
          <w:sz w:val="18"/>
          <w:szCs w:val="18"/>
          <w:vertAlign w:val="superscript"/>
        </w:rPr>
        <w:t xml:space="preserve"> </w:t>
      </w:r>
      <w:r w:rsidRPr="00273412">
        <w:rPr>
          <w:sz w:val="18"/>
          <w:szCs w:val="18"/>
        </w:rPr>
        <w:t xml:space="preserve">Sentencia C-767 de 2012. M.P. María </w:t>
      </w:r>
      <w:r w:rsidRPr="00273412">
        <w:rPr>
          <w:sz w:val="18"/>
          <w:szCs w:val="18"/>
        </w:rPr>
        <w:t>Victoria Calle Correa.</w:t>
      </w:r>
    </w:p>
  </w:footnote>
  <w:footnote w:id="23">
    <w:p w:rsidR="00FD7506" w:rsidRPr="00273412" w:rsidRDefault="00E00F43" w:rsidP="005D1BD2">
      <w:pPr>
        <w:pStyle w:val="Sinespaciado"/>
        <w:rPr>
          <w:sz w:val="18"/>
          <w:szCs w:val="18"/>
        </w:rPr>
      </w:pPr>
      <w:r w:rsidRPr="00273412">
        <w:rPr>
          <w:rStyle w:val="Refdenotaalpie"/>
          <w:sz w:val="18"/>
          <w:szCs w:val="18"/>
        </w:rPr>
        <w:footnoteRef/>
      </w:r>
      <w:r w:rsidRPr="00273412">
        <w:rPr>
          <w:sz w:val="18"/>
          <w:szCs w:val="18"/>
        </w:rPr>
        <w:t xml:space="preserve"> Sentencias C-461 de 2008. M.P. Manuel José Cepeda Espinosa. SV. Jaime Araújo Rentería; C-175 de 2009. M.P. Luis Ernesto Vargas Silva. SV. Nilson Pinilla Pinilla. SV. Gabriel Eduardo Mendoza Martelo. SV. Humberto Antonio Sierra Port</w:t>
      </w:r>
      <w:r w:rsidRPr="00273412">
        <w:rPr>
          <w:sz w:val="18"/>
          <w:szCs w:val="18"/>
        </w:rPr>
        <w:t xml:space="preserve">o; C-767 de 2012. M.P. María Victoria Calle Correa; y C-359 de 2013. M.P. Jorge Iván Palacio Palacio. AV. Luis Ernesto Vargas Silva. </w:t>
      </w:r>
    </w:p>
  </w:footnote>
  <w:footnote w:id="24">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M.P. Clara Inés Vargas Hernández.</w:t>
      </w:r>
    </w:p>
  </w:footnote>
  <w:footnote w:id="25">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Sentencia C-175 de 2009. M.P. Luis Ernesto Vargas Silva.</w:t>
      </w:r>
    </w:p>
  </w:footnote>
  <w:footnote w:id="26">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w:t>
      </w:r>
      <w:r w:rsidRPr="00273412">
        <w:rPr>
          <w:i/>
          <w:iCs/>
          <w:sz w:val="18"/>
          <w:szCs w:val="18"/>
        </w:rPr>
        <w:t>Ibidem</w:t>
      </w:r>
      <w:r w:rsidRPr="00273412">
        <w:rPr>
          <w:sz w:val="18"/>
          <w:szCs w:val="18"/>
        </w:rPr>
        <w:t>.</w:t>
      </w:r>
    </w:p>
  </w:footnote>
  <w:footnote w:id="27">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Sentencia C-073 de 2018. M.P. Cristina Pardo Schlesinger.</w:t>
      </w:r>
    </w:p>
  </w:footnote>
  <w:footnote w:id="28">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w:t>
      </w:r>
      <w:r w:rsidRPr="00273412">
        <w:rPr>
          <w:bCs/>
          <w:sz w:val="18"/>
          <w:szCs w:val="18"/>
        </w:rPr>
        <w:t>M.P. José Fernando Reyes Cuartas</w:t>
      </w:r>
      <w:r w:rsidRPr="00273412">
        <w:rPr>
          <w:sz w:val="18"/>
          <w:szCs w:val="18"/>
        </w:rPr>
        <w:t>.</w:t>
      </w:r>
      <w:r w:rsidRPr="00273412">
        <w:rPr>
          <w:bCs/>
          <w:sz w:val="18"/>
          <w:szCs w:val="18"/>
        </w:rPr>
        <w:t xml:space="preserve">  </w:t>
      </w:r>
    </w:p>
  </w:footnote>
  <w:footnote w:id="29">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En la Sentencia C-170 de 2021, </w:t>
      </w:r>
      <w:r w:rsidRPr="00273412">
        <w:rPr>
          <w:bCs/>
          <w:sz w:val="18"/>
          <w:szCs w:val="18"/>
        </w:rPr>
        <w:t>la Corte explicó: “las razones expuestas justifican que la regla establecida por la Sala Plena sea exigible únicamente respect</w:t>
      </w:r>
      <w:r w:rsidRPr="00273412">
        <w:rPr>
          <w:bCs/>
          <w:sz w:val="18"/>
          <w:szCs w:val="18"/>
        </w:rPr>
        <w:t>o de aquellos proyectos de ley que (i) tramitados con posterioridad a la notificación de esta sentencia, (ii) aprueben tratados que consagren beneficios tributarios a favor de sujetos de derecho internacional, así como del personal diplomático o cooperante</w:t>
      </w:r>
      <w:r w:rsidRPr="00273412">
        <w:rPr>
          <w:bCs/>
          <w:sz w:val="18"/>
          <w:szCs w:val="18"/>
        </w:rPr>
        <w:t xml:space="preserve"> que apoya la ejecución de sus actividades en Colombia”.</w:t>
      </w:r>
    </w:p>
  </w:footnote>
  <w:footnote w:id="30">
    <w:p w:rsidR="00FD7506" w:rsidRPr="00273412" w:rsidRDefault="00E00F43" w:rsidP="005D1BD2">
      <w:pPr>
        <w:pStyle w:val="Textonotapie"/>
        <w:rPr>
          <w:sz w:val="18"/>
          <w:szCs w:val="18"/>
          <w:lang w:val="es-ES"/>
        </w:rPr>
      </w:pPr>
      <w:r w:rsidRPr="00273412">
        <w:rPr>
          <w:rStyle w:val="Refdenotaalpie"/>
          <w:sz w:val="18"/>
          <w:szCs w:val="18"/>
        </w:rPr>
        <w:footnoteRef/>
      </w:r>
      <w:r w:rsidRPr="00273412">
        <w:rPr>
          <w:sz w:val="18"/>
          <w:szCs w:val="18"/>
        </w:rPr>
        <w:t xml:space="preserve"> </w:t>
      </w:r>
      <w:r w:rsidRPr="00273412">
        <w:rPr>
          <w:sz w:val="18"/>
          <w:szCs w:val="18"/>
          <w:lang w:val="es-ES"/>
        </w:rPr>
        <w:t>M.P. Cristina Pardo Schlesinger.</w:t>
      </w:r>
    </w:p>
  </w:footnote>
  <w:footnote w:id="31">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w:t>
      </w:r>
      <w:r w:rsidRPr="00273412">
        <w:rPr>
          <w:bCs/>
          <w:sz w:val="18"/>
          <w:szCs w:val="18"/>
        </w:rPr>
        <w:t>Sentencia C-181 de 2022</w:t>
      </w:r>
      <w:r w:rsidRPr="00273412">
        <w:rPr>
          <w:sz w:val="18"/>
          <w:szCs w:val="18"/>
        </w:rPr>
        <w:t>. M.P. Alejandro Linares Cantillo. En la Sentencia C-395 de 2021 (M.P. Jorge Enrique Ibáñez Najar) se indicó: “en la Sentencia C-170 de 202</w:t>
      </w:r>
      <w:r w:rsidRPr="00273412">
        <w:rPr>
          <w:sz w:val="18"/>
          <w:szCs w:val="18"/>
        </w:rPr>
        <w:t>1, la Corte ajustó su precedente en relación con los deberes y mandatos previstos en el artículo 7 de la Ley 819 de 2003. Estableció uno general y tres específicos. El general consiste en “analizar el impacto fiscal de todos los proyectos de ley que prevea</w:t>
      </w:r>
      <w:r w:rsidRPr="00273412">
        <w:rPr>
          <w:sz w:val="18"/>
          <w:szCs w:val="18"/>
        </w:rPr>
        <w:t>n una orden de gasto o un beneficio tributario. Tal análisis debe ser compatible con el Marco Fiscal de Mediano Plazo. (…)”, por su parte, en la Sentencia C-110 de 2022 (M.P. Diana Fajardo Rivera) se señaló: “era necesario que, en adelante, en los proyecto</w:t>
      </w:r>
      <w:r w:rsidRPr="00273412">
        <w:rPr>
          <w:sz w:val="18"/>
          <w:szCs w:val="18"/>
        </w:rPr>
        <w:t>s de ley mediante los cuales se aprobara un tratado internacional que ordenara un gasto u otorgara beneficios tributarios, se realizara el respectivo análisis de impacto fiscal, de acuerdo con lo dispuesto en el artículo 7º de la Ley 819 de 2003 y las regl</w:t>
      </w:r>
      <w:r w:rsidRPr="00273412">
        <w:rPr>
          <w:sz w:val="18"/>
          <w:szCs w:val="18"/>
        </w:rPr>
        <w:t>as que al respecto ha fijado la jurisprudencia constitucional”.</w:t>
      </w:r>
    </w:p>
  </w:footnote>
  <w:footnote w:id="32">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w:t>
      </w:r>
      <w:bookmarkStart w:id="5" w:name="_Hlk116133078"/>
      <w:r w:rsidRPr="00273412">
        <w:rPr>
          <w:sz w:val="18"/>
          <w:szCs w:val="18"/>
        </w:rPr>
        <w:t xml:space="preserve">En la Sentencia C-181 de 2022 se concluyó que “en el caso concreto no resultaba exigible que eventualmente el Congreso se viera en la necesidad de adelantar el análisis de impacto fiscal de </w:t>
      </w:r>
      <w:r w:rsidRPr="00273412">
        <w:rPr>
          <w:sz w:val="18"/>
          <w:szCs w:val="18"/>
        </w:rPr>
        <w:t>que trata el artículo 7 de la Ley 819 de 2003, toda vez que la notificación de la sentencia C-170 de 2021 tuvo lugar el 30 de julio de 2021 y la Ley 2092 de 2021 fue sancionada el 29 de junio de ese mismo año”</w:t>
      </w:r>
      <w:bookmarkEnd w:id="5"/>
      <w:r w:rsidRPr="00273412">
        <w:rPr>
          <w:sz w:val="18"/>
          <w:szCs w:val="18"/>
        </w:rPr>
        <w:t>.</w:t>
      </w:r>
    </w:p>
  </w:footnote>
  <w:footnote w:id="33">
    <w:p w:rsidR="00FD7506" w:rsidRPr="00273412" w:rsidRDefault="00E00F43" w:rsidP="00730F03">
      <w:pPr>
        <w:pStyle w:val="Textonotapie"/>
        <w:shd w:val="clear" w:color="auto" w:fill="FFFFFF" w:themeFill="background1"/>
        <w:rPr>
          <w:rFonts w:asciiTheme="majorBidi" w:hAnsiTheme="majorBidi" w:cstheme="majorBidi"/>
          <w:sz w:val="18"/>
          <w:szCs w:val="18"/>
        </w:rPr>
      </w:pPr>
      <w:r w:rsidRPr="00273412">
        <w:rPr>
          <w:rStyle w:val="Refdenotaalpie"/>
          <w:rFonts w:asciiTheme="majorBidi" w:hAnsiTheme="majorBidi" w:cstheme="majorBidi"/>
          <w:sz w:val="18"/>
          <w:szCs w:val="18"/>
        </w:rPr>
        <w:footnoteRef/>
      </w:r>
      <w:r w:rsidRPr="00273412">
        <w:rPr>
          <w:rFonts w:asciiTheme="majorBidi" w:hAnsiTheme="majorBidi" w:cstheme="majorBidi"/>
          <w:sz w:val="18"/>
          <w:szCs w:val="18"/>
        </w:rPr>
        <w:t xml:space="preserve"> Sentencia C-175 de 2023. M.P. Juan Carlos C</w:t>
      </w:r>
      <w:r w:rsidRPr="00273412">
        <w:rPr>
          <w:rFonts w:asciiTheme="majorBidi" w:hAnsiTheme="majorBidi" w:cstheme="majorBidi"/>
          <w:sz w:val="18"/>
          <w:szCs w:val="18"/>
        </w:rPr>
        <w:t>ortés González. SV. Alejandro Linares Cantillo. SV. Antonio José Lizarazo Ocampo.</w:t>
      </w:r>
    </w:p>
  </w:footnote>
  <w:footnote w:id="34">
    <w:p w:rsidR="00FD7506" w:rsidRPr="00273412" w:rsidRDefault="00E00F43">
      <w:pPr>
        <w:pStyle w:val="Textonotapie"/>
        <w:rPr>
          <w:sz w:val="18"/>
          <w:szCs w:val="18"/>
          <w:lang w:val="es-CO"/>
        </w:rPr>
      </w:pPr>
      <w:r w:rsidRPr="00273412">
        <w:rPr>
          <w:rStyle w:val="Refdenotaalpie"/>
          <w:sz w:val="18"/>
          <w:szCs w:val="18"/>
        </w:rPr>
        <w:footnoteRef/>
      </w:r>
      <w:r w:rsidRPr="00273412">
        <w:rPr>
          <w:sz w:val="18"/>
          <w:szCs w:val="18"/>
        </w:rPr>
        <w:t xml:space="preserve"> </w:t>
      </w:r>
      <w:r w:rsidRPr="00273412">
        <w:rPr>
          <w:sz w:val="18"/>
          <w:szCs w:val="18"/>
          <w:lang w:val="es-CO"/>
        </w:rPr>
        <w:t xml:space="preserve">Gaceta del Congreso n.° 225 de 2022, p. 24. </w:t>
      </w:r>
    </w:p>
  </w:footnote>
  <w:footnote w:id="35">
    <w:p w:rsidR="00FD7506" w:rsidRPr="00273412" w:rsidRDefault="00E00F43">
      <w:pPr>
        <w:pStyle w:val="Textonotapie"/>
        <w:rPr>
          <w:lang w:val="es-ES"/>
        </w:rPr>
      </w:pPr>
      <w:r w:rsidRPr="00273412">
        <w:rPr>
          <w:rStyle w:val="Refdenotaalpie"/>
        </w:rPr>
        <w:footnoteRef/>
      </w:r>
      <w:r w:rsidRPr="00273412">
        <w:t xml:space="preserve"> </w:t>
      </w:r>
      <w:r w:rsidRPr="00273412">
        <w:rPr>
          <w:sz w:val="18"/>
          <w:szCs w:val="18"/>
          <w:lang w:val="es-ES"/>
        </w:rPr>
        <w:t>Artículo 204 de la Ley 5 de 1992.</w:t>
      </w:r>
    </w:p>
  </w:footnote>
  <w:footnote w:id="36">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w:t>
      </w:r>
      <w:r w:rsidRPr="00273412">
        <w:rPr>
          <w:sz w:val="18"/>
          <w:szCs w:val="18"/>
          <w:shd w:val="clear" w:color="auto" w:fill="FFFFFF"/>
        </w:rPr>
        <w:t xml:space="preserve">Sentencia C–011 de 2010. M.P. Juan Carlos Henao Pérez. Ver también Sentencia C-214 de </w:t>
      </w:r>
      <w:r w:rsidRPr="00273412">
        <w:rPr>
          <w:sz w:val="18"/>
          <w:szCs w:val="18"/>
          <w:shd w:val="clear" w:color="auto" w:fill="FFFFFF"/>
        </w:rPr>
        <w:t>2017. M.P. Gloria Stella Ortiz Delgado.</w:t>
      </w:r>
    </w:p>
  </w:footnote>
  <w:footnote w:id="37">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Sentencia C-144 de 2018. M.P. Antonio José Lizarazo Ocampo.</w:t>
      </w:r>
    </w:p>
  </w:footnote>
  <w:footnote w:id="38">
    <w:p w:rsidR="00FD7506" w:rsidRPr="00273412" w:rsidRDefault="00E00F43" w:rsidP="005D1BD2">
      <w:pPr>
        <w:pStyle w:val="Textonotapie"/>
        <w:rPr>
          <w:sz w:val="18"/>
          <w:szCs w:val="18"/>
        </w:rPr>
      </w:pPr>
      <w:bookmarkStart w:id="6" w:name="_Hlk97490773"/>
      <w:bookmarkStart w:id="7" w:name="_Hlk97487894"/>
      <w:bookmarkEnd w:id="6"/>
      <w:r w:rsidRPr="00273412">
        <w:rPr>
          <w:rStyle w:val="Refdenotaalpie"/>
          <w:sz w:val="18"/>
          <w:szCs w:val="18"/>
        </w:rPr>
        <w:footnoteRef/>
      </w:r>
      <w:r w:rsidRPr="00273412">
        <w:rPr>
          <w:sz w:val="18"/>
          <w:szCs w:val="18"/>
        </w:rPr>
        <w:t xml:space="preserve"> Documento digital “LAT0000491-Peticiones y Otros-(2023-03-08 10-11-31).pdf”, p. 96.</w:t>
      </w:r>
      <w:bookmarkEnd w:id="7"/>
    </w:p>
  </w:footnote>
  <w:footnote w:id="39">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Gaceta del Congreso de la República No. 225 del 29 de marzo de 202</w:t>
      </w:r>
      <w:r w:rsidRPr="00273412">
        <w:rPr>
          <w:sz w:val="18"/>
          <w:szCs w:val="18"/>
        </w:rPr>
        <w:t>2. Documento disponible en el siguiente enlace: http://svrpubindc.imprenta.gov.co/senado/index2.xhtml?ent=Senado&amp;fec=29-3-2022&amp;num=225, p. 24.</w:t>
      </w:r>
    </w:p>
  </w:footnote>
  <w:footnote w:id="40">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w:t>
      </w:r>
      <w:r w:rsidRPr="00273412">
        <w:rPr>
          <w:i/>
          <w:iCs/>
          <w:sz w:val="18"/>
          <w:szCs w:val="18"/>
        </w:rPr>
        <w:t>Ibidem</w:t>
      </w:r>
      <w:r w:rsidRPr="00273412">
        <w:rPr>
          <w:sz w:val="18"/>
          <w:szCs w:val="18"/>
        </w:rPr>
        <w:t xml:space="preserve">, pp. 1-25. </w:t>
      </w:r>
    </w:p>
  </w:footnote>
  <w:footnote w:id="41">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Documento disponible en el siguiente enlace: http://svrpubindc.imprenta.gov.co/senado/inde</w:t>
      </w:r>
      <w:r w:rsidRPr="00273412">
        <w:rPr>
          <w:sz w:val="18"/>
          <w:szCs w:val="18"/>
        </w:rPr>
        <w:t xml:space="preserve">x2.xhtml?ent=Senado&amp;fec=29-3-2022&amp;num=225, pp. 1-13.  </w:t>
      </w:r>
    </w:p>
  </w:footnote>
  <w:footnote w:id="42">
    <w:p w:rsidR="00FD7506" w:rsidRPr="00273412" w:rsidRDefault="00E00F43" w:rsidP="005D1BD2">
      <w:pPr>
        <w:pStyle w:val="Textonotapie"/>
        <w:rPr>
          <w:sz w:val="18"/>
          <w:szCs w:val="18"/>
        </w:rPr>
      </w:pPr>
      <w:r w:rsidRPr="00273412">
        <w:rPr>
          <w:rStyle w:val="Refdenotaalpie"/>
          <w:sz w:val="18"/>
          <w:szCs w:val="18"/>
        </w:rPr>
        <w:footnoteRef/>
      </w:r>
      <w:r w:rsidRPr="00273412">
        <w:rPr>
          <w:bCs/>
          <w:sz w:val="18"/>
          <w:szCs w:val="18"/>
        </w:rPr>
        <w:t xml:space="preserve"> </w:t>
      </w:r>
      <w:r w:rsidRPr="00273412">
        <w:rPr>
          <w:sz w:val="18"/>
          <w:szCs w:val="18"/>
        </w:rPr>
        <w:t>Documento digital “LAT0000491-Pruebas del Expediente (Recepción y Paso al Despacho)-(2023-03-23 20-39-38)”, p. 16.</w:t>
      </w:r>
    </w:p>
  </w:footnote>
  <w:footnote w:id="43">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Jurisprudencia sistematizada en la Sentencia C-533 de 2008 (M.P. Clara Inés Varga</w:t>
      </w:r>
      <w:r w:rsidRPr="00273412">
        <w:rPr>
          <w:sz w:val="18"/>
          <w:szCs w:val="18"/>
        </w:rPr>
        <w:t>s Hernández). Reiterada en sentencias C-305 de 2010. M.P. Luis Ernesto Vargas Silva; C-982 de 2010. M.P. María Victoria Calle Correa; C-214 de 2017. M.P. Gloria Stella Ortiz Delgado y C-144 de 2018. M.P. Antonio José Lizarazo Ocampo.</w:t>
      </w:r>
    </w:p>
  </w:footnote>
  <w:footnote w:id="44">
    <w:p w:rsidR="00FD7506" w:rsidRPr="00273412" w:rsidRDefault="00E00F43" w:rsidP="00374EF2">
      <w:pPr>
        <w:pStyle w:val="Textonotapie"/>
      </w:pPr>
      <w:r w:rsidRPr="00273412">
        <w:rPr>
          <w:rStyle w:val="Refdenotaalpie"/>
        </w:rPr>
        <w:footnoteRef/>
      </w:r>
      <w:r w:rsidRPr="00273412">
        <w:t xml:space="preserve"> “</w:t>
      </w:r>
      <w:r w:rsidRPr="00273412">
        <w:rPr>
          <w:lang w:val="es-ES"/>
        </w:rPr>
        <w:t xml:space="preserve">Sentencia C-320 de 2022”. </w:t>
      </w:r>
    </w:p>
  </w:footnote>
  <w:footnote w:id="45">
    <w:p w:rsidR="00FD7506" w:rsidRPr="00273412" w:rsidRDefault="00E00F43" w:rsidP="00374EF2">
      <w:pPr>
        <w:pStyle w:val="Textonotapie"/>
      </w:pPr>
      <w:r w:rsidRPr="00273412">
        <w:rPr>
          <w:rStyle w:val="Refdenotaalpie"/>
        </w:rPr>
        <w:footnoteRef/>
      </w:r>
      <w:r w:rsidRPr="00273412">
        <w:t xml:space="preserve"> “</w:t>
      </w:r>
      <w:r w:rsidRPr="00273412">
        <w:rPr>
          <w:shd w:val="clear" w:color="auto" w:fill="FFFFFF"/>
          <w:lang w:val="es-ES"/>
        </w:rPr>
        <w:t>Esta regla también se encuentra en las sentencias </w:t>
      </w:r>
      <w:r w:rsidRPr="00273412">
        <w:rPr>
          <w:shd w:val="clear" w:color="auto" w:fill="FFFFFF"/>
        </w:rPr>
        <w:t xml:space="preserve">C-032 de 2009 y C-011 de 2010”. </w:t>
      </w:r>
    </w:p>
  </w:footnote>
  <w:footnote w:id="46">
    <w:p w:rsidR="00FD7506" w:rsidRPr="00273412" w:rsidRDefault="00E00F43">
      <w:pPr>
        <w:pStyle w:val="Textonotapie"/>
        <w:rPr>
          <w:lang w:val="es-ES"/>
        </w:rPr>
      </w:pPr>
      <w:r w:rsidRPr="00273412">
        <w:rPr>
          <w:rStyle w:val="Refdenotaalpie"/>
        </w:rPr>
        <w:footnoteRef/>
      </w:r>
      <w:r w:rsidRPr="00273412">
        <w:t xml:space="preserve"> </w:t>
      </w:r>
      <w:r w:rsidRPr="00273412">
        <w:rPr>
          <w:lang w:val="es-ES"/>
        </w:rPr>
        <w:t xml:space="preserve">Sentencia C-404 de 2023. M.P. Natalia Ángel Cabo. </w:t>
      </w:r>
    </w:p>
  </w:footnote>
  <w:footnote w:id="47">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Constitución Política. Artículo 145: “El Congreso pleno, las Cámaras y sus comisiones no</w:t>
      </w:r>
      <w:r w:rsidRPr="00273412">
        <w:rPr>
          <w:sz w:val="18"/>
          <w:szCs w:val="18"/>
        </w:rPr>
        <w:t xml:space="preserve"> podrán abrir sesiones ni deliberar con menos de una cuarta parte de sus miembros. Las decisiones sólo podrán tomarse con la asistencia de la mayoría de los integrantes de la respectiva corporación, salvo que la Constitución determine un quórum diferente”.</w:t>
      </w:r>
    </w:p>
  </w:footnote>
  <w:footnote w:id="48">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Documento digital “LAT0000491-Pruebas del Expediente (Recepción y Paso al Despacho)-(2023-03-23 20-39-38)”, pp. 20-19.</w:t>
      </w:r>
    </w:p>
  </w:footnote>
  <w:footnote w:id="49">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Documento digital “LAT0000491-Pruebas del Expediente (Recepción y Paso al Despacho)-(2023-03-23 20-39-38).pdf”, pp. 3-5.</w:t>
      </w:r>
    </w:p>
  </w:footnote>
  <w:footnote w:id="50">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Documento digital “LAT0000491-Pruebas del Expediente (Recepción y Paso al Despacho)-(2023-03-23 20-39-38)”, pp. 5-19. </w:t>
      </w:r>
    </w:p>
  </w:footnote>
  <w:footnote w:id="51">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w:t>
      </w:r>
      <w:bookmarkStart w:id="9" w:name="_Hlk97584034"/>
      <w:r w:rsidRPr="00273412">
        <w:rPr>
          <w:i/>
          <w:iCs/>
          <w:sz w:val="18"/>
          <w:szCs w:val="18"/>
        </w:rPr>
        <w:t>Ibidem</w:t>
      </w:r>
      <w:r w:rsidRPr="00273412">
        <w:rPr>
          <w:sz w:val="18"/>
          <w:szCs w:val="18"/>
        </w:rPr>
        <w:t>, p</w:t>
      </w:r>
      <w:bookmarkEnd w:id="9"/>
      <w:r w:rsidRPr="00273412">
        <w:rPr>
          <w:sz w:val="18"/>
          <w:szCs w:val="18"/>
        </w:rPr>
        <w:t xml:space="preserve">. 19. </w:t>
      </w:r>
    </w:p>
  </w:footnote>
  <w:footnote w:id="52">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w:t>
      </w:r>
      <w:bookmarkStart w:id="10" w:name="_Hlk97579769"/>
      <w:r w:rsidRPr="00273412">
        <w:rPr>
          <w:sz w:val="18"/>
          <w:szCs w:val="18"/>
        </w:rPr>
        <w:t>Documento digital “LAT0000491-Pruebas del Expediente (Recepción y Paso al Despacho)-(2023-03-17 18-13-42).pdf”, p.</w:t>
      </w:r>
      <w:r w:rsidRPr="00273412">
        <w:rPr>
          <w:sz w:val="18"/>
          <w:szCs w:val="18"/>
        </w:rPr>
        <w:t xml:space="preserve"> </w:t>
      </w:r>
      <w:bookmarkEnd w:id="10"/>
      <w:r w:rsidRPr="00273412">
        <w:rPr>
          <w:sz w:val="18"/>
          <w:szCs w:val="18"/>
        </w:rPr>
        <w:t xml:space="preserve">7. </w:t>
      </w:r>
    </w:p>
  </w:footnote>
  <w:footnote w:id="53">
    <w:p w:rsidR="00FD7506" w:rsidRPr="00273412" w:rsidRDefault="00E00F43">
      <w:pPr>
        <w:pStyle w:val="Textonotapie"/>
        <w:rPr>
          <w:lang w:val="es-ES"/>
        </w:rPr>
      </w:pPr>
      <w:r w:rsidRPr="00273412">
        <w:rPr>
          <w:rStyle w:val="Refdenotaalpie"/>
        </w:rPr>
        <w:footnoteRef/>
      </w:r>
      <w:r w:rsidRPr="00273412">
        <w:t xml:space="preserve"> </w:t>
      </w:r>
      <w:r w:rsidRPr="00273412">
        <w:rPr>
          <w:lang w:val="es-ES"/>
        </w:rPr>
        <w:t>Ver §61 y §62.</w:t>
      </w:r>
    </w:p>
  </w:footnote>
  <w:footnote w:id="54">
    <w:p w:rsidR="00FD7506" w:rsidRPr="00273412" w:rsidRDefault="00E00F43">
      <w:pPr>
        <w:pStyle w:val="Textonotapie"/>
        <w:rPr>
          <w:lang w:val="es-ES"/>
        </w:rPr>
      </w:pPr>
      <w:r w:rsidRPr="00273412">
        <w:rPr>
          <w:rStyle w:val="Refdenotaalpie"/>
        </w:rPr>
        <w:footnoteRef/>
      </w:r>
      <w:r w:rsidRPr="00273412">
        <w:t xml:space="preserve"> </w:t>
      </w:r>
      <w:r w:rsidRPr="00273412">
        <w:rPr>
          <w:lang w:val="es-ES"/>
        </w:rPr>
        <w:t xml:space="preserve">En la Gaceta del Congreso n.° 1288 del 20 de octubre de 2022 se constata la conformación de la plenaria del Senado de la República con 107 integrantes. Ver </w:t>
      </w:r>
      <w:r w:rsidRPr="00273412">
        <w:rPr>
          <w:sz w:val="18"/>
          <w:szCs w:val="18"/>
        </w:rPr>
        <w:t>documento digital “LAT0000491-Pruebas del Expediente (Recepción y Paso al D</w:t>
      </w:r>
      <w:r w:rsidRPr="00273412">
        <w:rPr>
          <w:sz w:val="18"/>
          <w:szCs w:val="18"/>
        </w:rPr>
        <w:t>espacho)-(2023-03-17 18-13-42).pdf”, p. 34.</w:t>
      </w:r>
    </w:p>
  </w:footnote>
  <w:footnote w:id="55">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w:t>
      </w:r>
      <w:r w:rsidRPr="00273412">
        <w:rPr>
          <w:i/>
          <w:iCs/>
          <w:sz w:val="18"/>
          <w:szCs w:val="18"/>
        </w:rPr>
        <w:t>Ibidem</w:t>
      </w:r>
      <w:r w:rsidRPr="00273412">
        <w:rPr>
          <w:sz w:val="18"/>
          <w:szCs w:val="18"/>
        </w:rPr>
        <w:t xml:space="preserve">, pp. 6-14.  </w:t>
      </w:r>
    </w:p>
  </w:footnote>
  <w:footnote w:id="56">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Documento digital “LAT0000491-Pruebas del Expediente (Recepción y Paso al Despacho)-(2023-03-17 18-13-42).pdf”, pp. 6-7. </w:t>
      </w:r>
    </w:p>
  </w:footnote>
  <w:footnote w:id="57">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Documento disponible en el siguiente enlace:   </w:t>
      </w:r>
      <w:hyperlink r:id="rId1" w:history="1">
        <w:r w:rsidRPr="00273412">
          <w:rPr>
            <w:rStyle w:val="Hipervnculo"/>
            <w:color w:val="000000" w:themeColor="text1"/>
            <w:sz w:val="18"/>
            <w:szCs w:val="18"/>
            <w:lang w:val="es-ES"/>
          </w:rPr>
          <w:t>http://svrpubindc.imprenta.gov.co/senado/index2.xhtml?ent=Senado&amp;fec=8-9-2022&amp;num=1051</w:t>
        </w:r>
      </w:hyperlink>
      <w:r w:rsidRPr="00273412">
        <w:rPr>
          <w:sz w:val="18"/>
          <w:szCs w:val="18"/>
        </w:rPr>
        <w:t xml:space="preserve">, pp. 13. </w:t>
      </w:r>
    </w:p>
  </w:footnote>
  <w:footnote w:id="58">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Documento digital “LAT0000491-Pruebas del Expediente (Recepción y Paso </w:t>
      </w:r>
      <w:r w:rsidRPr="00273412">
        <w:rPr>
          <w:sz w:val="18"/>
          <w:szCs w:val="18"/>
        </w:rPr>
        <w:t>al Despacho)-(2023-10-09 16-09-44).pdf”, pp. 31-52.</w:t>
      </w:r>
    </w:p>
  </w:footnote>
  <w:footnote w:id="59">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w:t>
      </w:r>
      <w:r w:rsidRPr="00273412">
        <w:rPr>
          <w:i/>
          <w:iCs/>
          <w:sz w:val="18"/>
          <w:szCs w:val="18"/>
        </w:rPr>
        <w:t>Ibidem</w:t>
      </w:r>
      <w:r w:rsidRPr="00273412">
        <w:rPr>
          <w:sz w:val="18"/>
          <w:szCs w:val="18"/>
        </w:rPr>
        <w:t>, pp. 53-59.</w:t>
      </w:r>
    </w:p>
  </w:footnote>
  <w:footnote w:id="60">
    <w:p w:rsidR="00FD7506" w:rsidRPr="00273412" w:rsidRDefault="00E00F43" w:rsidP="00016E83">
      <w:pPr>
        <w:pStyle w:val="Textonotapie"/>
        <w:rPr>
          <w:lang w:val="es-ES"/>
        </w:rPr>
      </w:pPr>
      <w:r w:rsidRPr="00273412">
        <w:rPr>
          <w:rStyle w:val="Refdenotaalpie"/>
        </w:rPr>
        <w:footnoteRef/>
      </w:r>
      <w:r w:rsidRPr="00273412">
        <w:t xml:space="preserve"> </w:t>
      </w:r>
      <w:r w:rsidRPr="00273412">
        <w:rPr>
          <w:lang w:val="es-ES"/>
        </w:rPr>
        <w:t xml:space="preserve">Artículo 160 de la Constitución: “Entre el primero y el segundo debate deberá mediar un lapso no inferior a ocho días, y entre la aprobación del proyecto en una de las cámaras y la </w:t>
      </w:r>
      <w:r w:rsidRPr="00273412">
        <w:rPr>
          <w:lang w:val="es-ES"/>
        </w:rPr>
        <w:t>iniciación del debate en la otra, deberán transcurrir por lo menos quince días. || Durante el segundo debate cada Cámara podrá introducir al proyecto las modificaciones, adiciones y supresiones que juzgue necesarias. || En el informe a la Cámara plena para</w:t>
      </w:r>
      <w:r w:rsidRPr="00273412">
        <w:rPr>
          <w:lang w:val="es-ES"/>
        </w:rPr>
        <w:t xml:space="preserve"> segundo debate, el ponente deberá consignar la totalidad de las propuestas que fueron consideradas por la comisión y las razones que determinaron su rechazo. || Todo Proyecto de Ley o de Acto Legislativo deberá tener informe de ponencia en la respectiva c</w:t>
      </w:r>
      <w:r w:rsidRPr="00273412">
        <w:rPr>
          <w:lang w:val="es-ES"/>
        </w:rPr>
        <w:t xml:space="preserve">omisión encargada de tramitarlo, y deberá dársele el curso correspondiente. || Ningún proyecto de ley será sometido a votación en sesión diferente a aquella que previamente se haya anunciado. El aviso de que un proyecto será sometido a votación lo dará la </w:t>
      </w:r>
      <w:r w:rsidRPr="00273412">
        <w:rPr>
          <w:lang w:val="es-ES"/>
        </w:rPr>
        <w:t>Presidencia de cada Cámara o Comisión en sesión distinta a aquella en la cual se realizará la votación”.</w:t>
      </w:r>
    </w:p>
  </w:footnote>
  <w:footnote w:id="61">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Documento digital “LAT0000491-Pruebas del Expediente (Recepción y Paso al Despacho)-(2023-10-09 16-09-44).pdf”, pp. 69 y 70.</w:t>
      </w:r>
    </w:p>
  </w:footnote>
  <w:footnote w:id="62">
    <w:p w:rsidR="00FD7506" w:rsidRPr="00273412" w:rsidRDefault="00E00F43" w:rsidP="00F23BF9">
      <w:pPr>
        <w:pStyle w:val="Textonotapie"/>
        <w:rPr>
          <w:lang w:val="es-ES"/>
        </w:rPr>
      </w:pPr>
      <w:r w:rsidRPr="00273412">
        <w:rPr>
          <w:rStyle w:val="Refdenotaalpie"/>
        </w:rPr>
        <w:footnoteRef/>
      </w:r>
      <w:r w:rsidRPr="00273412">
        <w:t xml:space="preserve"> </w:t>
      </w:r>
      <w:r w:rsidRPr="00273412">
        <w:rPr>
          <w:lang w:val="es-ES"/>
        </w:rPr>
        <w:t>Ver §61 y §62.</w:t>
      </w:r>
    </w:p>
  </w:footnote>
  <w:footnote w:id="63">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w:t>
      </w:r>
      <w:r w:rsidRPr="00273412">
        <w:rPr>
          <w:i/>
          <w:iCs/>
          <w:sz w:val="18"/>
          <w:szCs w:val="18"/>
        </w:rPr>
        <w:t>Ibide</w:t>
      </w:r>
      <w:r w:rsidRPr="00273412">
        <w:rPr>
          <w:i/>
          <w:iCs/>
          <w:sz w:val="18"/>
          <w:szCs w:val="18"/>
        </w:rPr>
        <w:t>m</w:t>
      </w:r>
      <w:r w:rsidRPr="00273412">
        <w:rPr>
          <w:sz w:val="18"/>
          <w:szCs w:val="18"/>
        </w:rPr>
        <w:t>, pp. 78-87.</w:t>
      </w:r>
    </w:p>
  </w:footnote>
  <w:footnote w:id="64">
    <w:p w:rsidR="00FD7506" w:rsidRPr="00273412" w:rsidRDefault="00E00F43" w:rsidP="005D1BD2">
      <w:pPr>
        <w:spacing w:after="0"/>
        <w:rPr>
          <w:sz w:val="18"/>
          <w:szCs w:val="18"/>
        </w:rPr>
      </w:pPr>
      <w:r w:rsidRPr="00273412">
        <w:rPr>
          <w:rStyle w:val="Refdenotaalpie"/>
          <w:sz w:val="18"/>
          <w:szCs w:val="18"/>
        </w:rPr>
        <w:footnoteRef/>
      </w:r>
      <w:r w:rsidRPr="00273412">
        <w:rPr>
          <w:sz w:val="18"/>
          <w:szCs w:val="18"/>
        </w:rPr>
        <w:t xml:space="preserve"> Documento digital “LAT0000491-Pruebas del Expediente (Recepción y Paso al Despacho)-(2023-10-09 16-09-44).pdf”, pp. 2-6.</w:t>
      </w:r>
    </w:p>
  </w:footnote>
  <w:footnote w:id="65">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Documento digital “LAT0000491-Pruebas del Expediente (Recepción y Paso al Despacho)-(2023-05-02 15-42-38).pdf”, pp. </w:t>
      </w:r>
      <w:r w:rsidRPr="00273412">
        <w:rPr>
          <w:sz w:val="18"/>
          <w:szCs w:val="18"/>
        </w:rPr>
        <w:t xml:space="preserve">37-38. </w:t>
      </w:r>
    </w:p>
  </w:footnote>
  <w:footnote w:id="66">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w:t>
      </w:r>
      <w:r w:rsidRPr="00273412">
        <w:rPr>
          <w:i/>
          <w:iCs/>
          <w:sz w:val="18"/>
          <w:szCs w:val="18"/>
        </w:rPr>
        <w:t>Ibidem</w:t>
      </w:r>
      <w:r w:rsidRPr="00273412">
        <w:rPr>
          <w:sz w:val="18"/>
          <w:szCs w:val="18"/>
        </w:rPr>
        <w:t xml:space="preserve">, pp. 9-37. </w:t>
      </w:r>
    </w:p>
  </w:footnote>
  <w:footnote w:id="67">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w:t>
      </w:r>
      <w:bookmarkStart w:id="11" w:name="_Hlk97660655"/>
      <w:r w:rsidRPr="00273412">
        <w:rPr>
          <w:i/>
          <w:iCs/>
          <w:sz w:val="18"/>
          <w:szCs w:val="18"/>
        </w:rPr>
        <w:t>Ibidem</w:t>
      </w:r>
      <w:r w:rsidRPr="00273412">
        <w:rPr>
          <w:sz w:val="18"/>
          <w:szCs w:val="18"/>
        </w:rPr>
        <w:t xml:space="preserve">, pp. 99-100.  </w:t>
      </w:r>
      <w:bookmarkEnd w:id="11"/>
    </w:p>
  </w:footnote>
  <w:footnote w:id="68">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w:t>
      </w:r>
      <w:r w:rsidRPr="00273412">
        <w:rPr>
          <w:i/>
          <w:iCs/>
          <w:sz w:val="18"/>
          <w:szCs w:val="18"/>
        </w:rPr>
        <w:t xml:space="preserve">Ibidem, </w:t>
      </w:r>
      <w:r w:rsidRPr="00273412">
        <w:rPr>
          <w:sz w:val="18"/>
          <w:szCs w:val="18"/>
        </w:rPr>
        <w:t xml:space="preserve">pp 123-125. </w:t>
      </w:r>
    </w:p>
  </w:footnote>
  <w:footnote w:id="69">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w:t>
      </w:r>
      <w:r w:rsidRPr="00273412">
        <w:rPr>
          <w:i/>
          <w:iCs/>
          <w:sz w:val="18"/>
          <w:szCs w:val="18"/>
        </w:rPr>
        <w:t xml:space="preserve">Ibidem, </w:t>
      </w:r>
      <w:r w:rsidRPr="00273412">
        <w:rPr>
          <w:sz w:val="18"/>
          <w:szCs w:val="18"/>
        </w:rPr>
        <w:t>pp 125-126.</w:t>
      </w:r>
    </w:p>
  </w:footnote>
  <w:footnote w:id="70">
    <w:p w:rsidR="00FD7506" w:rsidRPr="00273412" w:rsidRDefault="00E00F43" w:rsidP="00D20776">
      <w:pPr>
        <w:pStyle w:val="Textonotapie"/>
        <w:rPr>
          <w:sz w:val="18"/>
          <w:szCs w:val="18"/>
        </w:rPr>
      </w:pPr>
      <w:r w:rsidRPr="00273412">
        <w:rPr>
          <w:rStyle w:val="Refdenotaalpie"/>
          <w:sz w:val="18"/>
          <w:szCs w:val="18"/>
        </w:rPr>
        <w:footnoteRef/>
      </w:r>
      <w:r w:rsidRPr="00273412">
        <w:rPr>
          <w:sz w:val="18"/>
          <w:szCs w:val="18"/>
        </w:rPr>
        <w:t xml:space="preserve"> </w:t>
      </w:r>
      <w:r w:rsidRPr="00273412">
        <w:rPr>
          <w:i/>
          <w:iCs/>
          <w:sz w:val="18"/>
          <w:szCs w:val="18"/>
        </w:rPr>
        <w:t xml:space="preserve">Ibidem, </w:t>
      </w:r>
      <w:r w:rsidRPr="00273412">
        <w:rPr>
          <w:sz w:val="18"/>
          <w:szCs w:val="18"/>
        </w:rPr>
        <w:t>pp. 126-128.</w:t>
      </w:r>
    </w:p>
  </w:footnote>
  <w:footnote w:id="71">
    <w:p w:rsidR="00FD7506" w:rsidRPr="00273412" w:rsidRDefault="00E00F43">
      <w:pPr>
        <w:pStyle w:val="Textonotapie"/>
        <w:rPr>
          <w:lang w:val="es-ES"/>
        </w:rPr>
      </w:pPr>
      <w:r w:rsidRPr="00273412">
        <w:rPr>
          <w:rStyle w:val="Refdenotaalpie"/>
        </w:rPr>
        <w:footnoteRef/>
      </w:r>
      <w:r w:rsidRPr="00273412">
        <w:t xml:space="preserve"> </w:t>
      </w:r>
      <w:r w:rsidRPr="00273412">
        <w:rPr>
          <w:lang w:val="es-ES"/>
        </w:rPr>
        <w:t>En la respuesta dada a la Corte Constitucional, el secretario general de la Cámara de Representantes, Jaime Luis Lacouture Peñaloza, indicó que “Conforme a lo dispuesto en el Decreto 1066 de 2015, Libro 2, Parte 3, Título 1, Capítulo 3 (sustituido por el D</w:t>
      </w:r>
      <w:r w:rsidRPr="00273412">
        <w:rPr>
          <w:lang w:val="es-ES"/>
        </w:rPr>
        <w:t>ecreto 231 de 2022), artículo 2.3.1.33.6., la Cámara de Representantes tendrá en el periodo constitucional 2022-2026, entre 165 y hasta 187 curules. || En tal sentido, el Quórum Deliberatorio establecido en el numeral 1 del artículo 116 de la Ley 5ª de 199</w:t>
      </w:r>
      <w:r w:rsidRPr="00273412">
        <w:rPr>
          <w:lang w:val="es-ES"/>
        </w:rPr>
        <w:t>2 y que corresponde a la cuarta parte de los miembros de la Corporación, se integra por 47 Honorables Representantes. || Por su parte, el numeral 2 (inciso 1) del artículo 116 de la Ley 5ª de 1992, determina que el Quórum Decisorio se constituye con la asi</w:t>
      </w:r>
      <w:r w:rsidRPr="00273412">
        <w:rPr>
          <w:lang w:val="es-ES"/>
        </w:rPr>
        <w:t xml:space="preserve">stencia de la mayoría de los integrantes de la respectiva Corporación, es decir, por 94 Honorables Representantes”. </w:t>
      </w:r>
      <w:r w:rsidRPr="00273412">
        <w:rPr>
          <w:i/>
          <w:iCs/>
          <w:lang w:val="es-ES"/>
        </w:rPr>
        <w:t xml:space="preserve">Ibidem, </w:t>
      </w:r>
      <w:r w:rsidRPr="00273412">
        <w:rPr>
          <w:lang w:val="es-ES"/>
        </w:rPr>
        <w:t>p. 6. Asimismo, en la Gaceta del Congreso n.° 298 del 12 de abril de 2023 se constata que la plenaria de la Cámara de Representantes</w:t>
      </w:r>
      <w:r w:rsidRPr="00273412">
        <w:rPr>
          <w:lang w:val="es-ES"/>
        </w:rPr>
        <w:t xml:space="preserve"> se integra por 187 congresistas.  </w:t>
      </w:r>
    </w:p>
  </w:footnote>
  <w:footnote w:id="72">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Documento digital “LAT0000491-Pruebas del Expediente (Recepción y Paso al Despacho)-(2023-05-02 15-42-38).pdf”, pp. 5-9.</w:t>
      </w:r>
    </w:p>
  </w:footnote>
  <w:footnote w:id="73">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Documento digital “LAT0000491-Pruebas del Expediente (Recepción y Paso al Despacho)-(2023-10-0</w:t>
      </w:r>
      <w:r w:rsidRPr="00273412">
        <w:rPr>
          <w:sz w:val="18"/>
          <w:szCs w:val="18"/>
        </w:rPr>
        <w:t>3 15-19-14).pdf”, p. 284.</w:t>
      </w:r>
    </w:p>
  </w:footnote>
  <w:footnote w:id="74">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Sentencia C-407 de 2019. M.P. Antonio José Lizarazo Ocampo. SV. Cristina Pardo Schlesinger. AV. Cristina Pardo Schlesinger.</w:t>
      </w:r>
    </w:p>
  </w:footnote>
  <w:footnote w:id="75">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Sobre los principios de consecutividad e identidad flexible pueden consultarse, entre otras, las sente</w:t>
      </w:r>
      <w:r w:rsidRPr="00273412">
        <w:rPr>
          <w:sz w:val="18"/>
          <w:szCs w:val="18"/>
        </w:rPr>
        <w:t>ncias C-537 de 2012. M.P. Luis Ernesto Vargas Silva; C-150 de 2015. M.P. Mauricio González Cuervo; C-379 de 2016. M.P. Luis Ernesto Vargas Silva; C-032 de 2021. M.P. Gloria Stella Ortiz Delgado, y C-170 de 2021. M.P. José Fernando Reyes Cuartas.</w:t>
      </w:r>
    </w:p>
  </w:footnote>
  <w:footnote w:id="76">
    <w:p w:rsidR="00FD7506" w:rsidRPr="00273412" w:rsidRDefault="00E00F43" w:rsidP="005D1BD2">
      <w:pPr>
        <w:pStyle w:val="Textonotapie"/>
        <w:rPr>
          <w:sz w:val="18"/>
          <w:szCs w:val="18"/>
        </w:rPr>
      </w:pPr>
      <w:r w:rsidRPr="00273412">
        <w:rPr>
          <w:rStyle w:val="Refdenotaalpie"/>
          <w:sz w:val="18"/>
          <w:szCs w:val="18"/>
        </w:rPr>
        <w:footnoteRef/>
      </w:r>
      <w:r w:rsidRPr="00273412">
        <w:rPr>
          <w:sz w:val="18"/>
          <w:szCs w:val="18"/>
        </w:rPr>
        <w:t xml:space="preserve"> Sentenci</w:t>
      </w:r>
      <w:r w:rsidRPr="00273412">
        <w:rPr>
          <w:sz w:val="18"/>
          <w:szCs w:val="18"/>
        </w:rPr>
        <w:t xml:space="preserve">a C-150 de 2015. M.P. Mauricio González Cuervo. </w:t>
      </w:r>
    </w:p>
  </w:footnote>
  <w:footnote w:id="77">
    <w:p w:rsidR="00FD7506" w:rsidRPr="00273412" w:rsidRDefault="00E00F43" w:rsidP="005D1BD2">
      <w:pPr>
        <w:spacing w:after="0"/>
        <w:rPr>
          <w:sz w:val="18"/>
          <w:szCs w:val="18"/>
        </w:rPr>
      </w:pPr>
      <w:r w:rsidRPr="00273412">
        <w:rPr>
          <w:rStyle w:val="Refdenotaalpie"/>
          <w:sz w:val="18"/>
          <w:szCs w:val="18"/>
        </w:rPr>
        <w:footnoteRef/>
      </w:r>
      <w:r w:rsidRPr="00273412">
        <w:rPr>
          <w:sz w:val="18"/>
          <w:szCs w:val="18"/>
        </w:rPr>
        <w:t xml:space="preserve"> Sentencia C-489 de 1993. M.P. Antonio Barrera Carbonell.</w:t>
      </w:r>
    </w:p>
  </w:footnote>
  <w:footnote w:id="78">
    <w:p w:rsidR="00FD7506" w:rsidRPr="00273412" w:rsidRDefault="00E00F43" w:rsidP="005D1BD2">
      <w:pPr>
        <w:pStyle w:val="Textonotapie"/>
      </w:pPr>
      <w:r w:rsidRPr="00273412">
        <w:rPr>
          <w:rStyle w:val="Refdenotaalpie"/>
          <w:sz w:val="18"/>
          <w:szCs w:val="18"/>
        </w:rPr>
        <w:footnoteRef/>
      </w:r>
      <w:r w:rsidRPr="00273412">
        <w:rPr>
          <w:sz w:val="18"/>
          <w:szCs w:val="18"/>
        </w:rPr>
        <w:t xml:space="preserve"> Documento digital “LAT0000491-Peticiones y Otros-(2023-03-08 10-11-31).pdf”, pp. 101.</w:t>
      </w:r>
      <w:r w:rsidRPr="00273412">
        <w:t xml:space="preserve"> </w:t>
      </w:r>
    </w:p>
  </w:footnote>
  <w:footnote w:id="79">
    <w:p w:rsidR="00FD7506" w:rsidRPr="00273412" w:rsidRDefault="00E00F43" w:rsidP="00021E63">
      <w:pPr>
        <w:pStyle w:val="Textonotapie"/>
        <w:rPr>
          <w:sz w:val="18"/>
          <w:szCs w:val="18"/>
          <w:lang w:val="es-ES"/>
        </w:rPr>
      </w:pPr>
      <w:r w:rsidRPr="00273412">
        <w:rPr>
          <w:rStyle w:val="Refdenotaalpie"/>
          <w:sz w:val="18"/>
          <w:szCs w:val="18"/>
        </w:rPr>
        <w:footnoteRef/>
      </w:r>
      <w:r w:rsidRPr="00273412">
        <w:rPr>
          <w:sz w:val="18"/>
          <w:szCs w:val="18"/>
        </w:rPr>
        <w:t xml:space="preserve"> </w:t>
      </w:r>
      <w:r w:rsidRPr="00273412">
        <w:rPr>
          <w:sz w:val="18"/>
          <w:szCs w:val="18"/>
          <w:lang w:val="es-ES"/>
        </w:rPr>
        <w:t>Así lo describe el Libro Azul del Foro Mundial para la Ar</w:t>
      </w:r>
      <w:r w:rsidRPr="00273412">
        <w:rPr>
          <w:sz w:val="18"/>
          <w:szCs w:val="18"/>
          <w:lang w:val="es-ES"/>
        </w:rPr>
        <w:t xml:space="preserve">monización de la Reglamentación sobre Vehículos (WP.29) de la Comisión Europea para Europa de las Naciones Unidas, disponible en: </w:t>
      </w:r>
      <w:hyperlink r:id="rId2" w:history="1">
        <w:r w:rsidRPr="00273412">
          <w:rPr>
            <w:rStyle w:val="Hipervnculo"/>
            <w:color w:val="000000" w:themeColor="text1"/>
            <w:sz w:val="18"/>
            <w:szCs w:val="18"/>
            <w:lang w:val="es-ES"/>
          </w:rPr>
          <w:t>https://unece.org/sites/default/files/2022-0</w:t>
        </w:r>
        <w:r w:rsidRPr="00273412">
          <w:rPr>
            <w:rStyle w:val="Hipervnculo"/>
            <w:color w:val="000000" w:themeColor="text1"/>
            <w:sz w:val="18"/>
            <w:szCs w:val="18"/>
            <w:lang w:val="es-ES"/>
          </w:rPr>
          <w:t>6/ECE_TRANS_289_S.pdf</w:t>
        </w:r>
      </w:hyperlink>
      <w:r w:rsidRPr="00273412">
        <w:rPr>
          <w:sz w:val="18"/>
          <w:szCs w:val="18"/>
          <w:lang w:val="es-ES"/>
        </w:rPr>
        <w:t xml:space="preserve"> </w:t>
      </w:r>
    </w:p>
  </w:footnote>
  <w:footnote w:id="80">
    <w:p w:rsidR="00FD7506" w:rsidRPr="00273412" w:rsidRDefault="00E00F43" w:rsidP="00021E63">
      <w:pPr>
        <w:pStyle w:val="Textonotapie"/>
      </w:pPr>
      <w:r w:rsidRPr="00273412">
        <w:rPr>
          <w:rStyle w:val="Refdenotaalpie"/>
          <w:sz w:val="18"/>
          <w:szCs w:val="18"/>
        </w:rPr>
        <w:footnoteRef/>
      </w:r>
      <w:r w:rsidRPr="00273412">
        <w:rPr>
          <w:sz w:val="18"/>
          <w:szCs w:val="18"/>
        </w:rPr>
        <w:t xml:space="preserve"> Gaceta del Congreso n.° 225 del 29 de marzo de 2022.</w:t>
      </w:r>
      <w:r w:rsidRPr="00273412">
        <w:t xml:space="preserve"> </w:t>
      </w:r>
    </w:p>
  </w:footnote>
  <w:footnote w:id="81">
    <w:p w:rsidR="00FD7506" w:rsidRPr="00273412" w:rsidRDefault="00E00F43" w:rsidP="002D107F">
      <w:pPr>
        <w:pStyle w:val="Textonotapie"/>
        <w:rPr>
          <w:lang w:val="es-ES"/>
        </w:rPr>
      </w:pPr>
      <w:r w:rsidRPr="00273412">
        <w:rPr>
          <w:rStyle w:val="Refdenotaalpie"/>
        </w:rPr>
        <w:footnoteRef/>
      </w:r>
      <w:r w:rsidRPr="00273412">
        <w:rPr>
          <w:lang w:val="es-ES"/>
        </w:rPr>
        <w:t xml:space="preserve"> La ley 2251 de 2022 (“Por la cual se dictan normas para el diseño e implementación de la política de seguridad vial con enfoque de sistema seguro y se dictan otras disposiciones -ley Julián Esteban”) establece en su artículo 3° lo siguiente: “Obligatoried</w:t>
      </w:r>
      <w:r w:rsidRPr="00273412">
        <w:rPr>
          <w:lang w:val="es-ES"/>
        </w:rPr>
        <w:t>ad de la reglamentación sobre vehículos automotores. El Ministerio de Transporte y la Agencia Nacional de Seguridad Vial unificarán y armonizarán todas las regulaciones relacionadas con la seguridad vial vehicular de manera que sean consistentes con la nor</w:t>
      </w:r>
      <w:r w:rsidRPr="00273412">
        <w:rPr>
          <w:lang w:val="es-ES"/>
        </w:rPr>
        <w:t>mativa internacional. || En ese marco, de manera gradual y en un plazo no mayor a 3 años, el Ministerio de Transporte elaborará un cronograma y el plan de trabajo para la implementación del Acuerdo de las Naciones Unidas de 1958. || El Ministerio de Transp</w:t>
      </w:r>
      <w:r w:rsidRPr="00273412">
        <w:rPr>
          <w:lang w:val="es-ES"/>
        </w:rPr>
        <w:t>orte deberá garantizar respecto a los fabricantes, el cumplimiento de las normas técnicas de producción y fabricación e imponer las sanciones en caso de incumplimiento. || PARÁGRAFO. El término de los 3 años de que trata el presente artículo, comenzará a c</w:t>
      </w:r>
      <w:r w:rsidRPr="00273412">
        <w:rPr>
          <w:lang w:val="es-ES"/>
        </w:rPr>
        <w:t>ontar una vez entre en vigencia la norma que ratifique el Acuerdo internacional de las Naciones Unidas sobre vehículos de motor de 1958, en cuyo caso se deberá incluir el trámite correspondiente a la homologación de los vehículos”.</w:t>
      </w:r>
    </w:p>
  </w:footnote>
  <w:footnote w:id="82">
    <w:p w:rsidR="00FD7506" w:rsidRPr="00273412" w:rsidRDefault="00E00F43" w:rsidP="00021E63">
      <w:pPr>
        <w:pStyle w:val="Textonotapie"/>
        <w:rPr>
          <w:sz w:val="18"/>
          <w:szCs w:val="18"/>
          <w:lang w:val="es-ES"/>
        </w:rPr>
      </w:pPr>
      <w:r w:rsidRPr="00273412">
        <w:rPr>
          <w:rStyle w:val="Refdenotaalpie"/>
          <w:sz w:val="18"/>
          <w:szCs w:val="18"/>
        </w:rPr>
        <w:footnoteRef/>
      </w:r>
      <w:r w:rsidRPr="00273412">
        <w:rPr>
          <w:sz w:val="18"/>
          <w:szCs w:val="18"/>
        </w:rPr>
        <w:t xml:space="preserve"> </w:t>
      </w:r>
      <w:r w:rsidRPr="00273412">
        <w:rPr>
          <w:sz w:val="18"/>
          <w:szCs w:val="18"/>
          <w:lang w:val="es-ES"/>
        </w:rPr>
        <w:t>Al respecto ver, por e</w:t>
      </w:r>
      <w:r w:rsidRPr="00273412">
        <w:rPr>
          <w:sz w:val="18"/>
          <w:szCs w:val="18"/>
          <w:lang w:val="es-ES"/>
        </w:rPr>
        <w:t xml:space="preserve">jemplo, las sentencias C-355 de 2003. M.P. Marco Gerardo Monroy Cabra; C-1090 de 2003. M.P. Clara Inés Vargas Hernández; C-144 de 2009. M.P. Mauricio González Cuervo; C-648 de 2011. M.P. María Victoria Calle Correa; y C-633 de 2014. M.P. Mauricio González </w:t>
      </w:r>
      <w:r w:rsidRPr="00273412">
        <w:rPr>
          <w:sz w:val="18"/>
          <w:szCs w:val="18"/>
          <w:lang w:val="es-ES"/>
        </w:rPr>
        <w:t xml:space="preserve">Cuervo, entre otras. </w:t>
      </w:r>
    </w:p>
  </w:footnote>
  <w:footnote w:id="83">
    <w:p w:rsidR="00FD7506" w:rsidRPr="00273412" w:rsidRDefault="00E00F43" w:rsidP="00021E63">
      <w:pPr>
        <w:pStyle w:val="Textonotapie"/>
        <w:rPr>
          <w:lang w:val="es-ES"/>
        </w:rPr>
      </w:pPr>
      <w:r w:rsidRPr="00273412">
        <w:rPr>
          <w:rStyle w:val="Refdenotaalpie"/>
          <w:sz w:val="18"/>
          <w:szCs w:val="18"/>
        </w:rPr>
        <w:footnoteRef/>
      </w:r>
      <w:r w:rsidRPr="00273412">
        <w:rPr>
          <w:sz w:val="18"/>
          <w:szCs w:val="18"/>
        </w:rPr>
        <w:t xml:space="preserve"> </w:t>
      </w:r>
      <w:r w:rsidRPr="00273412">
        <w:rPr>
          <w:sz w:val="18"/>
          <w:szCs w:val="18"/>
          <w:lang w:val="es-ES"/>
        </w:rPr>
        <w:t>Ver, por ejemplo, la Sentencia C-334 de 2002. M.P. Álvaro Tafur Galvis.</w:t>
      </w:r>
    </w:p>
  </w:footnote>
  <w:footnote w:id="84">
    <w:p w:rsidR="00FD7506" w:rsidRPr="00273412" w:rsidRDefault="00E00F43">
      <w:pPr>
        <w:pStyle w:val="Textonotapie"/>
      </w:pPr>
      <w:r w:rsidRPr="00273412">
        <w:rPr>
          <w:rStyle w:val="Refdenotaalpie"/>
        </w:rPr>
        <w:footnoteRef/>
      </w:r>
      <w:r w:rsidRPr="00273412">
        <w:t xml:space="preserve"> Sentencia C-1141 de 2000. M.P. Eduardo Cifuentes Muñoz.</w:t>
      </w:r>
    </w:p>
  </w:footnote>
  <w:footnote w:id="85">
    <w:p w:rsidR="00FD7506" w:rsidRPr="00273412" w:rsidRDefault="00E00F43" w:rsidP="00021E63">
      <w:pPr>
        <w:pStyle w:val="Textonotapie"/>
        <w:rPr>
          <w:lang w:val="es-ES"/>
        </w:rPr>
      </w:pPr>
      <w:r w:rsidRPr="00273412">
        <w:rPr>
          <w:rStyle w:val="Refdenotaalpie"/>
        </w:rPr>
        <w:footnoteRef/>
      </w:r>
      <w:r w:rsidRPr="00273412">
        <w:t xml:space="preserve"> </w:t>
      </w:r>
      <w:r w:rsidRPr="00273412">
        <w:rPr>
          <w:lang w:val="es-ES"/>
        </w:rPr>
        <w:t>Ver, por ejemplo, las sentencias C-288 de 2000. M.P. Alejandro Martínez Caballero; C-401 de 2003. M.</w:t>
      </w:r>
      <w:r w:rsidRPr="00273412">
        <w:rPr>
          <w:lang w:val="es-ES"/>
        </w:rPr>
        <w:t xml:space="preserve">P. Álvaro Tafur Galvis; C-322 de 2006. M.P. Marco Gerardo Monroy Cabra; C-750 de 2008. M.P. Clara Inés Vargas Hernández; C-620 de 2011. M.P. Juan Carlos Henao Pérez; C-186 de 2019. M.P. Alberto Rojas Ríos y C-110 de 2022. M.P. Diana Fajardo Rivera. </w:t>
      </w:r>
    </w:p>
  </w:footnote>
  <w:footnote w:id="86">
    <w:p w:rsidR="00FD7506" w:rsidRPr="00273412" w:rsidRDefault="00E00F43" w:rsidP="0034361D">
      <w:pPr>
        <w:pStyle w:val="Textonotapie"/>
        <w:rPr>
          <w:lang w:val="es-ES"/>
        </w:rPr>
      </w:pPr>
      <w:r w:rsidRPr="00273412">
        <w:rPr>
          <w:rStyle w:val="Refdenotaalpie"/>
          <w:sz w:val="18"/>
          <w:szCs w:val="18"/>
        </w:rPr>
        <w:footnoteRef/>
      </w:r>
      <w:r w:rsidRPr="00273412">
        <w:rPr>
          <w:sz w:val="18"/>
          <w:szCs w:val="18"/>
        </w:rPr>
        <w:t xml:space="preserve"> </w:t>
      </w:r>
      <w:r w:rsidRPr="00273412">
        <w:rPr>
          <w:sz w:val="18"/>
          <w:szCs w:val="18"/>
          <w:lang w:val="es-ES"/>
        </w:rPr>
        <w:t>Sent</w:t>
      </w:r>
      <w:r w:rsidRPr="00273412">
        <w:rPr>
          <w:sz w:val="18"/>
          <w:szCs w:val="18"/>
          <w:lang w:val="es-ES"/>
        </w:rPr>
        <w:t>encia C-822 de 2012. M.P. Jorge Ignacio Pretelt Chaljub.</w:t>
      </w:r>
    </w:p>
  </w:footnote>
  <w:footnote w:id="87">
    <w:p w:rsidR="00FD7506" w:rsidRPr="00273412" w:rsidRDefault="00E00F43" w:rsidP="00B954C1">
      <w:pPr>
        <w:pStyle w:val="Textonotapie"/>
        <w:rPr>
          <w:lang w:val="es-ES"/>
        </w:rPr>
      </w:pPr>
      <w:r w:rsidRPr="00273412">
        <w:rPr>
          <w:rStyle w:val="Refdenotaalpie"/>
        </w:rPr>
        <w:footnoteRef/>
      </w:r>
      <w:r w:rsidRPr="00273412">
        <w:t xml:space="preserve"> La Corte Constitucional se ha referido a las alternativas constitucionales frente a la revisión de normas internacionales cuya modificación o aplicación puedan llevar a la adopción de obligaciones </w:t>
      </w:r>
      <w:r w:rsidRPr="00273412">
        <w:t xml:space="preserve">estatales que inicialmente no fueron previstas en el articulado aprobado. La aplicación de estas alternativas dependerá de cada caso y, en especial, del alcance de la norma internacional objeto de análisis. Así, por ejemplo, a propósito del respecto de la </w:t>
      </w:r>
      <w:r w:rsidRPr="00273412">
        <w:t>autodeterminación estatal que se ve comprometida en este tipo de cláusulas, en la Sentencia C-126 de 2023 (M.P. Cristina Pardo Schlesinger) se reseñó lo siguiente: “en la Sentencia C-170 de 2021, la Corte explicó que la jurisprudencia ha conjurado el riesg</w:t>
      </w:r>
      <w:r w:rsidRPr="00273412">
        <w:t xml:space="preserve">o descrito mediante tres soluciones, primera, interpretando que la cláusula «no puede entenderse como una habilitación para suscribir acuerdos que fijen nuevas obligaciones o excedan las existentes y, por ello, no ha introducido una precisión particular». </w:t>
      </w:r>
      <w:r w:rsidRPr="00273412">
        <w:t>Segunda, considerando «expresamente la necesidad de condicionar el alcance de la cláusula que regula los acuerdos complementarios o de desarrollo, advirtiéndolo únicamente en las consideraciones de la sentencia». Y, tercera, estableciendo «en la parte reso</w:t>
      </w:r>
      <w:r w:rsidRPr="00273412">
        <w:t xml:space="preserve">lutiva la obligación del Gobierno, al ratificar el tratado, de formular una declaración interpretativa en el sentido de indicar que “los protocolos, acuerdos, convenciones o contratos que podrían llegar a celebrarse en desarrollo del Acuerdo […] </w:t>
      </w:r>
      <w:r w:rsidRPr="00273412">
        <w:rPr>
          <w:b/>
          <w:bCs/>
        </w:rPr>
        <w:t>en caso de</w:t>
      </w:r>
      <w:r w:rsidRPr="00273412">
        <w:rPr>
          <w:b/>
          <w:bCs/>
        </w:rPr>
        <w:t xml:space="preserve"> que impliquen la asunción de nuevas obligaciones o la modificación de las convenidas en virtud del Acuerdo original, deberán ser sometidos a aprobación interna, según los trámites establecidos en la Constitución Política</w:t>
      </w:r>
      <w:r w:rsidRPr="00273412">
        <w:t xml:space="preserve">”». // En la mencionada sentencia, </w:t>
      </w:r>
      <w:r w:rsidRPr="00273412">
        <w:t>la Corte constató que «la determinación del camino a seguir dependerá, en buena medida, de las posibilidades interpretativas que ofrezca el tratado y del riesgo de que su contenido sea interpretado como una habilitación incompatible con el régimen constitu</w:t>
      </w:r>
      <w:r w:rsidRPr="00273412">
        <w:t xml:space="preserve">cional de los tratados”. (Énfasis fuera del texto original). </w:t>
      </w:r>
    </w:p>
  </w:footnote>
  <w:footnote w:id="88">
    <w:p w:rsidR="00FD7506" w:rsidRPr="00273412" w:rsidRDefault="00E00F43" w:rsidP="0034361D">
      <w:pPr>
        <w:pStyle w:val="Textonotapie"/>
        <w:rPr>
          <w:lang w:val="es-ES"/>
        </w:rPr>
      </w:pPr>
      <w:r w:rsidRPr="00273412">
        <w:rPr>
          <w:rStyle w:val="Refdenotaalpie"/>
        </w:rPr>
        <w:footnoteRef/>
      </w:r>
      <w:r w:rsidRPr="00273412">
        <w:t xml:space="preserve"> </w:t>
      </w:r>
      <w:r w:rsidRPr="00273412">
        <w:rPr>
          <w:lang w:val="es-ES"/>
        </w:rPr>
        <w:t>Fórmula seguida recientemente en la Sentencia C-346 de 2022 (M.P. Diana Fajardo Rivera), a propósito de la revisión constitucional de la Ley 2100 del 15 de julio de 2021, “por medio de la cual</w:t>
      </w:r>
      <w:r w:rsidRPr="00273412">
        <w:rPr>
          <w:lang w:val="es-ES"/>
        </w:rPr>
        <w:t xml:space="preserve"> se aprueba el «Convenio Constitutivo del Fondo Multilateral de Inversiones III» y el «Convenio de Administración del Fondo Multilateral de Inversiones III» aprobados mediante la Resolución AG-8/17CII/, AG-4/17 y MIF/DE-13/17 de la Asamblea de Gobernadores</w:t>
      </w:r>
      <w:r w:rsidRPr="00273412">
        <w:rPr>
          <w:lang w:val="es-ES"/>
        </w:rPr>
        <w:t xml:space="preserve"> del Banco Interamericano de Desarrollo, de fecha 2 de abril de 2017”.</w:t>
      </w:r>
    </w:p>
  </w:footnote>
  <w:footnote w:id="89">
    <w:p w:rsidR="00FD7506" w:rsidRPr="00273412" w:rsidRDefault="00E00F43" w:rsidP="00021E63">
      <w:pPr>
        <w:pStyle w:val="Textonotapie"/>
        <w:rPr>
          <w:sz w:val="18"/>
          <w:szCs w:val="18"/>
          <w:lang w:val="es-ES"/>
        </w:rPr>
      </w:pPr>
      <w:r w:rsidRPr="00273412">
        <w:rPr>
          <w:rStyle w:val="Refdenotaalpie"/>
          <w:sz w:val="18"/>
          <w:szCs w:val="18"/>
        </w:rPr>
        <w:footnoteRef/>
      </w:r>
      <w:r w:rsidRPr="00273412">
        <w:rPr>
          <w:sz w:val="18"/>
          <w:szCs w:val="18"/>
        </w:rPr>
        <w:t xml:space="preserve"> </w:t>
      </w:r>
      <w:r w:rsidRPr="00273412">
        <w:rPr>
          <w:sz w:val="18"/>
          <w:szCs w:val="18"/>
          <w:lang w:val="es-ES"/>
        </w:rPr>
        <w:t>Sobre estos principios y su alcance en materia comercial ver, entre otras, las sentencias C-379 de 1996. M.P. Carlos Gaviria Díaz; C-421 de 1997. M.P. Carlos Gaviria Díaz; C-492 de 19</w:t>
      </w:r>
      <w:r w:rsidRPr="00273412">
        <w:rPr>
          <w:sz w:val="18"/>
          <w:szCs w:val="18"/>
          <w:lang w:val="es-ES"/>
        </w:rPr>
        <w:t>98. M.P. Fabio Morón Díaz; C-1144 de 2004. M.P. Marco Gerardo Monroy Cabra; C-417 de 2012. M.P. Gabriel Eduardo Mendoza Martelo; C-667 de 2014. M.P. Gabriel Eduardo Mendoza Martelo; C-049 de 2015. M.P. Martha Victoria Sáchica Méndez; C-157 de 2016. M.P. Gl</w:t>
      </w:r>
      <w:r w:rsidRPr="00273412">
        <w:rPr>
          <w:sz w:val="18"/>
          <w:szCs w:val="18"/>
          <w:lang w:val="es-ES"/>
        </w:rPr>
        <w:t>oria Stella Ortiz Delgado; C-091 de 2021. M.P. Cristina Pardo Schlesinger; y C-187 de 2022. M.P. Paola Andrea Meneses Mosquera.</w:t>
      </w:r>
    </w:p>
  </w:footnote>
  <w:footnote w:id="90">
    <w:p w:rsidR="00FD7506" w:rsidRPr="00273412" w:rsidRDefault="00E00F43" w:rsidP="00021E63">
      <w:pPr>
        <w:pStyle w:val="Textonotapie"/>
        <w:rPr>
          <w:sz w:val="18"/>
          <w:szCs w:val="18"/>
          <w:lang w:val="es-ES"/>
        </w:rPr>
      </w:pPr>
      <w:r w:rsidRPr="00273412">
        <w:rPr>
          <w:rStyle w:val="Refdenotaalpie"/>
          <w:sz w:val="18"/>
          <w:szCs w:val="18"/>
        </w:rPr>
        <w:footnoteRef/>
      </w:r>
      <w:r w:rsidRPr="00273412">
        <w:rPr>
          <w:sz w:val="18"/>
          <w:szCs w:val="18"/>
        </w:rPr>
        <w:t xml:space="preserve"> </w:t>
      </w:r>
      <w:r w:rsidRPr="00273412">
        <w:rPr>
          <w:sz w:val="18"/>
          <w:szCs w:val="18"/>
          <w:lang w:val="es-ES"/>
        </w:rPr>
        <w:t xml:space="preserve">Ver, por ejemplo, la Sentencia C-189 de 1999. M.P. Fabio Morón Díaz. </w:t>
      </w:r>
    </w:p>
  </w:footnote>
  <w:footnote w:id="91">
    <w:p w:rsidR="00FD7506" w:rsidRPr="00273412" w:rsidRDefault="00E00F43" w:rsidP="00561848">
      <w:pPr>
        <w:pStyle w:val="Textonotapie"/>
        <w:rPr>
          <w:sz w:val="18"/>
          <w:szCs w:val="18"/>
          <w:lang w:val="es-ES"/>
        </w:rPr>
      </w:pPr>
      <w:r w:rsidRPr="00273412">
        <w:rPr>
          <w:rStyle w:val="Refdenotaalpie"/>
          <w:sz w:val="18"/>
          <w:szCs w:val="18"/>
        </w:rPr>
        <w:footnoteRef/>
      </w:r>
      <w:r w:rsidRPr="00273412">
        <w:rPr>
          <w:sz w:val="18"/>
          <w:szCs w:val="18"/>
        </w:rPr>
        <w:t xml:space="preserve"> </w:t>
      </w:r>
      <w:r w:rsidRPr="00273412">
        <w:rPr>
          <w:sz w:val="18"/>
          <w:szCs w:val="18"/>
          <w:lang w:val="es-ES"/>
        </w:rPr>
        <w:t>Ver, por ejemplo, las sentencias C-164 de 1999. M.P. F</w:t>
      </w:r>
      <w:r w:rsidRPr="00273412">
        <w:rPr>
          <w:sz w:val="18"/>
          <w:szCs w:val="18"/>
          <w:lang w:val="es-ES"/>
        </w:rPr>
        <w:t xml:space="preserve">abio Morón Díaz; C-533 de 2002. M.P. Clara Inés Vargas Hernández; C-578 de 2002. M.P. Manuel José Cepeda Espinosa; C-309 de 2004. M.P. Rodrigo Escobar Gil; C-121 de 2008. M.P. Mauricio González Cuervo; C-683 de 2009. M.P. Mauricio González Cuervo; y C-944 </w:t>
      </w:r>
      <w:r w:rsidRPr="00273412">
        <w:rPr>
          <w:sz w:val="18"/>
          <w:szCs w:val="18"/>
          <w:lang w:val="es-ES"/>
        </w:rPr>
        <w:t>de 2012. M.P. Jorge Ignacio Pretelt Chaljub.</w:t>
      </w:r>
    </w:p>
  </w:footnote>
  <w:footnote w:id="92">
    <w:p w:rsidR="00FD7506" w:rsidRPr="00273412" w:rsidRDefault="00E00F43" w:rsidP="00561848">
      <w:pPr>
        <w:pStyle w:val="Textonotapie"/>
        <w:rPr>
          <w:sz w:val="18"/>
          <w:szCs w:val="18"/>
          <w:lang w:val="es-ES"/>
        </w:rPr>
      </w:pPr>
      <w:r w:rsidRPr="00273412">
        <w:rPr>
          <w:rStyle w:val="Refdenotaalpie"/>
          <w:sz w:val="18"/>
          <w:szCs w:val="18"/>
        </w:rPr>
        <w:footnoteRef/>
      </w:r>
      <w:r w:rsidRPr="00273412">
        <w:rPr>
          <w:sz w:val="18"/>
          <w:szCs w:val="18"/>
        </w:rPr>
        <w:t xml:space="preserve"> </w:t>
      </w:r>
      <w:r w:rsidRPr="00273412">
        <w:rPr>
          <w:sz w:val="18"/>
          <w:szCs w:val="18"/>
          <w:lang w:val="es-ES"/>
        </w:rPr>
        <w:t>Sentencias C-176 de 1994. M.P. Alejandro Martínez Caballero; C-396 de 1995. M.P. Hernando Herrera Vergara; C-152 de 1996. M.P. Fabio Morón Díaz; C-931 de 2007. M.P. Marco Gerardo Monroy Cabra; C-184 de 2016. M</w:t>
      </w:r>
      <w:r w:rsidRPr="00273412">
        <w:rPr>
          <w:sz w:val="18"/>
          <w:szCs w:val="18"/>
          <w:lang w:val="es-ES"/>
        </w:rPr>
        <w:t xml:space="preserve">.P. Gloria Stella Ortiz Delgado; y más recientemente las sentencias C-448 de 2022. M.P. Jorge Enrique Ibáñez Najar; C-193 de 2023. M.P. Alejandro Linares Cantillo y C-349 de 2023. M.P. Cristina Pardo Schlesinger; entre otras. </w:t>
      </w:r>
    </w:p>
  </w:footnote>
  <w:footnote w:id="93">
    <w:p w:rsidR="00FD7506" w:rsidRPr="00273412" w:rsidRDefault="00E00F43" w:rsidP="00561848">
      <w:pPr>
        <w:pStyle w:val="Textonotapie"/>
        <w:rPr>
          <w:sz w:val="18"/>
          <w:szCs w:val="18"/>
          <w:lang w:val="es-ES"/>
        </w:rPr>
      </w:pPr>
      <w:r w:rsidRPr="00273412">
        <w:rPr>
          <w:rStyle w:val="Refdenotaalpie"/>
          <w:sz w:val="18"/>
          <w:szCs w:val="18"/>
        </w:rPr>
        <w:footnoteRef/>
      </w:r>
      <w:r w:rsidRPr="00273412">
        <w:rPr>
          <w:sz w:val="18"/>
          <w:szCs w:val="18"/>
        </w:rPr>
        <w:t xml:space="preserve"> Sentencia C-008 de 1997. M.P. Alejandro Martínez Caballero, posición que ha sido desarrollada, también, en las sentencias C-750 de 2008. M.P. Clara Inés Vargas Hernández; C-132 de 2014. M.P. Mauricio González Cuervo; C-157 de 2016. M.P. Gloria Stella Orti</w:t>
      </w:r>
      <w:r w:rsidRPr="00273412">
        <w:rPr>
          <w:sz w:val="18"/>
          <w:szCs w:val="18"/>
        </w:rPr>
        <w:t xml:space="preserve">z Delgado; C-184 de 2016. M.P. Gloria Stella Ortiz Delgado; y C-186 de 2019. M.P. Alberto Rojas Ríos; entre otras. </w:t>
      </w:r>
    </w:p>
  </w:footnote>
  <w:footnote w:id="94">
    <w:p w:rsidR="00FD7506" w:rsidRPr="00273412" w:rsidRDefault="00E00F43">
      <w:pPr>
        <w:pStyle w:val="Textonotapie"/>
        <w:rPr>
          <w:lang w:val="es-ES"/>
        </w:rPr>
      </w:pPr>
      <w:r w:rsidRPr="00273412">
        <w:rPr>
          <w:rStyle w:val="Refdenotaalpie"/>
        </w:rPr>
        <w:footnoteRef/>
      </w:r>
      <w:r w:rsidRPr="00273412">
        <w:t xml:space="preserve"> </w:t>
      </w:r>
      <w:r w:rsidRPr="00273412">
        <w:rPr>
          <w:lang w:val="es-ES"/>
        </w:rPr>
        <w:t>M.P. Natalia Ángel Cabo.</w:t>
      </w:r>
    </w:p>
  </w:footnote>
  <w:footnote w:id="95">
    <w:p w:rsidR="00FD7506" w:rsidRPr="00273412" w:rsidRDefault="00E00F43">
      <w:pPr>
        <w:pStyle w:val="Textonotapie"/>
      </w:pPr>
      <w:r w:rsidRPr="00273412">
        <w:rPr>
          <w:rStyle w:val="Refdenotaalpie"/>
        </w:rPr>
        <w:footnoteRef/>
      </w:r>
      <w:r w:rsidRPr="00273412">
        <w:t xml:space="preserve"> Sentencia C-446 de 2009. M.P. Mauricio González Cuervo.</w:t>
      </w:r>
    </w:p>
  </w:footnote>
  <w:footnote w:id="96">
    <w:p w:rsidR="00FD7506" w:rsidRPr="00273412" w:rsidRDefault="00E00F43">
      <w:pPr>
        <w:pStyle w:val="Textonotapie"/>
      </w:pPr>
      <w:r w:rsidRPr="00273412">
        <w:rPr>
          <w:rStyle w:val="Refdenotaalpie"/>
        </w:rPr>
        <w:footnoteRef/>
      </w:r>
      <w:r w:rsidRPr="00273412">
        <w:t xml:space="preserve"> Ver la Sentencia C-424 de 1994. M.P. Fabio Morón Díaz; y más recientemente la Sentencia C-163 de 2023. M.P. Natalia Ángel Cabo.</w:t>
      </w:r>
    </w:p>
  </w:footnote>
  <w:footnote w:id="97">
    <w:p w:rsidR="00FD7506" w:rsidRPr="00273412" w:rsidRDefault="00E00F43" w:rsidP="00561848">
      <w:pPr>
        <w:pStyle w:val="Textonotapie"/>
        <w:rPr>
          <w:lang w:val="es-ES"/>
        </w:rPr>
      </w:pPr>
      <w:r w:rsidRPr="00273412">
        <w:rPr>
          <w:rStyle w:val="Refdenotaalpie"/>
        </w:rPr>
        <w:footnoteRef/>
      </w:r>
      <w:r w:rsidRPr="00273412">
        <w:t xml:space="preserve"> </w:t>
      </w:r>
      <w:r w:rsidRPr="00273412">
        <w:rPr>
          <w:lang w:val="es-ES"/>
        </w:rPr>
        <w:t>Como se señaló previamente, por su pertinencia la Sala acude al remedio usado por la Corte en la Sentencia C-346 de 2022 (M.P</w:t>
      </w:r>
      <w:r w:rsidRPr="00273412">
        <w:rPr>
          <w:lang w:val="es-ES"/>
        </w:rPr>
        <w:t xml:space="preserve">. Diana Fajardo Rivera), por considerarlo plenamente aplicable en esta ocasión. </w:t>
      </w:r>
    </w:p>
  </w:footnote>
  <w:footnote w:id="98">
    <w:p w:rsidR="00661FB6" w:rsidRDefault="00E00F43" w:rsidP="007C6742">
      <w:pPr>
        <w:pStyle w:val="Textonotapie"/>
        <w:jc w:val="both"/>
      </w:pPr>
      <w:r>
        <w:rPr>
          <w:rStyle w:val="Refdenotaalpie"/>
        </w:rPr>
        <w:footnoteRef/>
      </w:r>
      <w:r>
        <w:t xml:space="preserve"> Antiguos títulos del Acuerdo:</w:t>
      </w:r>
    </w:p>
    <w:p w:rsidR="00661FB6" w:rsidRDefault="00E00F43" w:rsidP="007C6742">
      <w:pPr>
        <w:pStyle w:val="Textonotapie"/>
        <w:jc w:val="both"/>
      </w:pPr>
    </w:p>
    <w:p w:rsidR="00661FB6" w:rsidRDefault="00E00F43" w:rsidP="007C6742">
      <w:pPr>
        <w:pStyle w:val="Textonotapie"/>
        <w:jc w:val="both"/>
      </w:pPr>
      <w:r>
        <w:t>Acuerdo de Ginebra de 20 de marzo de 1958 relativo a la adopción de condiciones uniformes de homologación y reconocimiento recíproco de la hom</w:t>
      </w:r>
      <w:r>
        <w:t>ologación de equipos y piezas de vehículos de motor (versión original);</w:t>
      </w:r>
    </w:p>
    <w:p w:rsidR="00661FB6" w:rsidRDefault="00E00F43" w:rsidP="007C6742">
      <w:pPr>
        <w:pStyle w:val="Textonotapie"/>
        <w:jc w:val="both"/>
      </w:pPr>
    </w:p>
    <w:p w:rsidR="00661FB6" w:rsidRDefault="00E00F43" w:rsidP="007C6742">
      <w:pPr>
        <w:pStyle w:val="Textonotapie"/>
        <w:jc w:val="both"/>
      </w:pPr>
      <w:r>
        <w:t>Acuerdo de Ginebra de 5 de octubre de 1995 sobre la adopción de prescripciones técnicas uniformes aplicables a los vehículos de ruedas y los equipos y piezas que puedan montarse o uti</w:t>
      </w:r>
      <w:r>
        <w:t>lizarse en estos, y sobre las condiciones de reconocimiento recíproco de las homologaciones concedidas conforme a dichas prescripciones (Revisión 2).</w:t>
      </w:r>
    </w:p>
  </w:footnote>
  <w:footnote w:id="99">
    <w:p w:rsidR="007C6742" w:rsidRDefault="00E00F43" w:rsidP="007C6742">
      <w:pPr>
        <w:pStyle w:val="Textonotapie"/>
        <w:jc w:val="both"/>
      </w:pPr>
      <w:r>
        <w:rPr>
          <w:rStyle w:val="Refdenotaalpie"/>
        </w:rPr>
        <w:footnoteRef/>
      </w:r>
      <w:r>
        <w:t xml:space="preserve"> </w:t>
      </w:r>
      <w:r w:rsidRPr="007C6742">
        <w:t>Acuerdo relativo a la adopción de reglamentos técnicos armonizados de las Naciones Unidas aplicables a l</w:t>
      </w:r>
      <w:r w:rsidRPr="007C6742">
        <w:t>os vehículos de ruedas y los equipos y piezas que puedan montarse o utilizarse en estos, y sobre las condiciones de reconocimiento recíproco de las homologaciones concedidas conforme a dichos reglamentos de las Naciones Unidas.</w:t>
      </w:r>
    </w:p>
  </w:footnote>
  <w:footnote w:id="100">
    <w:p w:rsidR="007C6742" w:rsidRDefault="00E00F43" w:rsidP="007C6742">
      <w:pPr>
        <w:pStyle w:val="Textonotapie"/>
        <w:jc w:val="both"/>
      </w:pPr>
      <w:r>
        <w:rPr>
          <w:rStyle w:val="Refdenotaalpie"/>
        </w:rPr>
        <w:footnoteRef/>
      </w:r>
      <w:r>
        <w:t xml:space="preserve"> </w:t>
      </w:r>
      <w:r w:rsidRPr="007C6742">
        <w:t xml:space="preserve">«Autoridad competente» es </w:t>
      </w:r>
      <w:r w:rsidRPr="007C6742">
        <w:t>la autoridad de homologación o la autoridad designada, o bien, un organismo de acreditación correspondiente que actúe en nombre de las mismas.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AC48CF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82B4C59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23BD4B35"/>
    <w:multiLevelType w:val="hybridMultilevel"/>
    <w:tmpl w:val="2EE0B174"/>
    <w:lvl w:ilvl="0" w:tplc="C686C01E">
      <w:start w:val="1"/>
      <w:numFmt w:val="upperRoman"/>
      <w:pStyle w:val="Ttulo1"/>
      <w:lvlText w:val="%1."/>
      <w:lvlJc w:val="left"/>
      <w:pPr>
        <w:ind w:left="1080" w:hanging="720"/>
      </w:pPr>
      <w:rPr>
        <w:rFonts w:eastAsia="Times New Roman" w:hint="default"/>
        <w:b/>
      </w:rPr>
    </w:lvl>
    <w:lvl w:ilvl="1" w:tplc="36DCF0D6">
      <w:start w:val="1"/>
      <w:numFmt w:val="decimal"/>
      <w:lvlText w:val="%2."/>
      <w:lvlJc w:val="left"/>
      <w:pPr>
        <w:ind w:left="1440" w:hanging="360"/>
      </w:pPr>
      <w:rPr>
        <w:rFonts w:hint="default"/>
        <w:b/>
        <w:sz w:val="24"/>
        <w:szCs w:val="24"/>
      </w:rPr>
    </w:lvl>
    <w:lvl w:ilvl="2" w:tplc="6B24B732">
      <w:start w:val="1"/>
      <w:numFmt w:val="low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0880528"/>
    <w:multiLevelType w:val="hybridMultilevel"/>
    <w:tmpl w:val="3662B78C"/>
    <w:lvl w:ilvl="0" w:tplc="FB88390A">
      <w:start w:val="1"/>
      <w:numFmt w:val="decimal"/>
      <w:pStyle w:val="Prrafonumerado"/>
      <w:lvlText w:val="%1."/>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es-ES_tradnl"/>
        <w:specVanish w:val="0"/>
        <w14:shadow w14:blurRad="0" w14:dist="0" w14:dir="0" w14:sx="0" w14:sy="0" w14:kx="0" w14:ky="0" w14:algn="none">
          <w14:srgbClr w14:val="000000"/>
        </w14:shadow>
        <w14:textOutline w14:w="0" w14:cap="rnd" w14:cmpd="sng" w14:algn="ctr">
          <w14:noFill/>
          <w14:prstDash w14:val="solid"/>
          <w14:bevel/>
        </w14:textOutline>
      </w:rPr>
    </w:lvl>
    <w:lvl w:ilvl="1" w:tplc="B9381CAA">
      <w:start w:val="1"/>
      <w:numFmt w:val="lowerLetter"/>
      <w:lvlText w:val="%2."/>
      <w:lvlJc w:val="left"/>
      <w:pPr>
        <w:ind w:left="1440" w:hanging="360"/>
      </w:pPr>
    </w:lvl>
    <w:lvl w:ilvl="2" w:tplc="F1F63088">
      <w:start w:val="1"/>
      <w:numFmt w:val="lowerRoman"/>
      <w:lvlText w:val="%3."/>
      <w:lvlJc w:val="right"/>
      <w:pPr>
        <w:ind w:left="2160" w:hanging="180"/>
      </w:pPr>
    </w:lvl>
    <w:lvl w:ilvl="3" w:tplc="C9428B46">
      <w:start w:val="1"/>
      <w:numFmt w:val="decimal"/>
      <w:lvlText w:val="%4."/>
      <w:lvlJc w:val="left"/>
      <w:pPr>
        <w:ind w:left="2880" w:hanging="360"/>
      </w:pPr>
    </w:lvl>
    <w:lvl w:ilvl="4" w:tplc="B72A7A80">
      <w:start w:val="1"/>
      <w:numFmt w:val="lowerLetter"/>
      <w:lvlText w:val="%5."/>
      <w:lvlJc w:val="left"/>
      <w:pPr>
        <w:ind w:left="3600" w:hanging="360"/>
      </w:pPr>
    </w:lvl>
    <w:lvl w:ilvl="5" w:tplc="092E9FDA">
      <w:start w:val="1"/>
      <w:numFmt w:val="lowerRoman"/>
      <w:lvlText w:val="%6."/>
      <w:lvlJc w:val="right"/>
      <w:pPr>
        <w:ind w:left="4320" w:hanging="180"/>
      </w:pPr>
    </w:lvl>
    <w:lvl w:ilvl="6" w:tplc="F30E1182">
      <w:start w:val="1"/>
      <w:numFmt w:val="decimal"/>
      <w:lvlText w:val="%7."/>
      <w:lvlJc w:val="left"/>
      <w:pPr>
        <w:ind w:left="5040" w:hanging="360"/>
      </w:pPr>
    </w:lvl>
    <w:lvl w:ilvl="7" w:tplc="013A69EA">
      <w:start w:val="1"/>
      <w:numFmt w:val="lowerLetter"/>
      <w:lvlText w:val="%8."/>
      <w:lvlJc w:val="left"/>
      <w:pPr>
        <w:ind w:left="5760" w:hanging="360"/>
      </w:pPr>
    </w:lvl>
    <w:lvl w:ilvl="8" w:tplc="A516A6B2">
      <w:start w:val="1"/>
      <w:numFmt w:val="lowerRoman"/>
      <w:lvlText w:val="%9."/>
      <w:lvlJc w:val="right"/>
      <w:pPr>
        <w:ind w:left="6480" w:hanging="180"/>
      </w:pPr>
    </w:lvl>
  </w:abstractNum>
  <w:abstractNum w:abstractNumId="4" w15:restartNumberingAfterBreak="0">
    <w:nsid w:val="406A6F09"/>
    <w:multiLevelType w:val="multilevel"/>
    <w:tmpl w:val="6AC8D390"/>
    <w:lvl w:ilvl="0">
      <w:start w:val="1"/>
      <w:numFmt w:val="decimal"/>
      <w:pStyle w:val="Ttulo"/>
      <w:lvlText w:val="§%1."/>
      <w:lvlJc w:val="left"/>
      <w:pPr>
        <w:ind w:left="360" w:hanging="360"/>
      </w:pPr>
      <w:rPr>
        <w:rFonts w:hint="default"/>
        <w:b w:val="0"/>
        <w:bCs w:val="0"/>
        <w:i w:val="0"/>
        <w:iCs/>
        <w:sz w:val="24"/>
        <w:szCs w:val="24"/>
        <w:lang w:val="es-ES"/>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496033CE"/>
    <w:multiLevelType w:val="multilevel"/>
    <w:tmpl w:val="7F14973A"/>
    <w:lvl w:ilvl="0">
      <w:start w:val="1"/>
      <w:numFmt w:val="decimal"/>
      <w:lvlText w:val="%1."/>
      <w:lvlJc w:val="left"/>
      <w:pPr>
        <w:ind w:left="720" w:hanging="360"/>
      </w:pPr>
      <w:rPr>
        <w:rFonts w:hint="default"/>
        <w:b/>
        <w:sz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631900C7"/>
    <w:multiLevelType w:val="hybridMultilevel"/>
    <w:tmpl w:val="383EF2F0"/>
    <w:lvl w:ilvl="0" w:tplc="1792AD3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674F1CBE"/>
    <w:multiLevelType w:val="hybridMultilevel"/>
    <w:tmpl w:val="B44E91B2"/>
    <w:lvl w:ilvl="0" w:tplc="43404C2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7CF92AEB"/>
    <w:multiLevelType w:val="multilevel"/>
    <w:tmpl w:val="7B76D8B8"/>
    <w:styleLink w:val="Style1"/>
    <w:lvl w:ilvl="0">
      <w:start w:val="1"/>
      <w:numFmt w:val="decimal"/>
      <w:lvlText w:val="%1."/>
      <w:lvlJc w:val="left"/>
      <w:pPr>
        <w:ind w:left="0" w:firstLine="0"/>
      </w:pPr>
      <w:rPr>
        <w:rFonts w:ascii="Times New Roman" w:hAnsi="Times New Roman" w:hint="default"/>
        <w:b w:val="0"/>
        <w:i w:val="0"/>
        <w:sz w:val="28"/>
      </w:rPr>
    </w:lvl>
    <w:lvl w:ilvl="1">
      <w:start w:val="1"/>
      <w:numFmt w:val="decimal"/>
      <w:lvlText w:val="%1.%2."/>
      <w:lvlJc w:val="left"/>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num w:numId="1">
    <w:abstractNumId w:val="2"/>
  </w:num>
  <w:num w:numId="2">
    <w:abstractNumId w:val="4"/>
  </w:num>
  <w:num w:numId="3">
    <w:abstractNumId w:val="0"/>
  </w:num>
  <w:num w:numId="4">
    <w:abstractNumId w:val="1"/>
  </w:num>
  <w:num w:numId="5">
    <w:abstractNumId w:val="3"/>
  </w:num>
  <w:num w:numId="6">
    <w:abstractNumId w:val="8"/>
  </w:num>
  <w:num w:numId="7">
    <w:abstractNumId w:val="5"/>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0088"/>
    <w:rsid w:val="00190088"/>
    <w:rsid w:val="00D65383"/>
    <w:rsid w:val="00E00F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efaultImageDpi w14:val="0"/>
  <w15:docId w15:val="{16DC306E-772B-4FE3-A92D-0D243350D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7D4716"/>
    <w:pPr>
      <w:keepNext/>
      <w:keepLines/>
      <w:numPr>
        <w:numId w:val="1"/>
      </w:numPr>
      <w:tabs>
        <w:tab w:val="left" w:pos="284"/>
      </w:tabs>
      <w:spacing w:after="0"/>
      <w:ind w:left="0" w:firstLine="0"/>
      <w:contextualSpacing/>
      <w:outlineLvl w:val="0"/>
    </w:pPr>
    <w:rPr>
      <w:rFonts w:eastAsia="Times New Roman"/>
      <w:b/>
      <w:szCs w:val="24"/>
      <w:lang w:val="es-ES" w:eastAsia="es-ES"/>
    </w:rPr>
  </w:style>
  <w:style w:type="paragraph" w:styleId="Ttulo2">
    <w:name w:val="heading 2"/>
    <w:basedOn w:val="Normal"/>
    <w:next w:val="Normal"/>
    <w:link w:val="Ttulo2Car"/>
    <w:uiPriority w:val="9"/>
    <w:qFormat/>
    <w:rsid w:val="007D4716"/>
    <w:pPr>
      <w:keepNext/>
      <w:keepLines/>
      <w:tabs>
        <w:tab w:val="left" w:pos="284"/>
      </w:tabs>
      <w:autoSpaceDE w:val="0"/>
      <w:autoSpaceDN w:val="0"/>
      <w:spacing w:after="0"/>
      <w:contextualSpacing/>
      <w:outlineLvl w:val="1"/>
    </w:pPr>
    <w:rPr>
      <w:rFonts w:eastAsia="Times New Roman"/>
      <w:b/>
      <w:bCs/>
      <w:lang w:val="es-ES" w:eastAsia="es-ES"/>
    </w:rPr>
  </w:style>
  <w:style w:type="paragraph" w:styleId="Ttulo3">
    <w:name w:val="heading 3"/>
    <w:basedOn w:val="Normal"/>
    <w:next w:val="Normal"/>
    <w:link w:val="Ttulo3Car"/>
    <w:uiPriority w:val="9"/>
    <w:qFormat/>
    <w:rsid w:val="007D4716"/>
    <w:pPr>
      <w:keepNext/>
      <w:tabs>
        <w:tab w:val="left" w:pos="567"/>
      </w:tabs>
      <w:autoSpaceDN w:val="0"/>
      <w:spacing w:after="0"/>
      <w:outlineLvl w:val="2"/>
    </w:pPr>
    <w:rPr>
      <w:rFonts w:eastAsia="Times New Roman"/>
      <w:b/>
      <w:bCs/>
      <w:lang w:val="es-ES" w:eastAsia="zh-CN"/>
    </w:rPr>
  </w:style>
  <w:style w:type="paragraph" w:styleId="Ttulo4">
    <w:name w:val="heading 4"/>
    <w:basedOn w:val="Normal"/>
    <w:next w:val="Normal"/>
    <w:link w:val="Ttulo4Car"/>
    <w:uiPriority w:val="9"/>
    <w:qFormat/>
    <w:rsid w:val="007D4716"/>
    <w:pPr>
      <w:keepNext/>
      <w:autoSpaceDN w:val="0"/>
      <w:spacing w:after="0"/>
      <w:ind w:left="2832" w:firstLine="708"/>
      <w:outlineLvl w:val="3"/>
    </w:pPr>
    <w:rPr>
      <w:rFonts w:eastAsia="Times New Roman"/>
      <w:b/>
      <w:szCs w:val="20"/>
      <w:lang w:val="es-MX" w:eastAsia="zh-CN"/>
    </w:rPr>
  </w:style>
  <w:style w:type="paragraph" w:styleId="Ttulo5">
    <w:name w:val="heading 5"/>
    <w:basedOn w:val="Normal"/>
    <w:next w:val="Normal"/>
    <w:link w:val="Ttulo5Car"/>
    <w:uiPriority w:val="9"/>
    <w:qFormat/>
    <w:rsid w:val="007D4716"/>
    <w:pPr>
      <w:keepNext/>
      <w:keepLines/>
      <w:spacing w:before="40" w:after="0"/>
      <w:outlineLvl w:val="4"/>
    </w:pPr>
    <w:rPr>
      <w:rFonts w:ascii="Calibri Light" w:eastAsia="Times New Roman" w:hAnsi="Calibri Light"/>
      <w:color w:val="2E74B5"/>
      <w:szCs w:val="24"/>
      <w:lang w:eastAsia="es-ES"/>
    </w:rPr>
  </w:style>
  <w:style w:type="paragraph" w:styleId="Ttulo6">
    <w:name w:val="heading 6"/>
    <w:basedOn w:val="Normal"/>
    <w:next w:val="Normal"/>
    <w:link w:val="Ttulo6Car"/>
    <w:uiPriority w:val="9"/>
    <w:semiHidden/>
    <w:unhideWhenUsed/>
    <w:qFormat/>
    <w:rsid w:val="007D4716"/>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651E8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51E8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51E8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4716"/>
    <w:rPr>
      <w:rFonts w:ascii="Times New Roman" w:eastAsia="Times New Roman" w:hAnsi="Times New Roman" w:cs="Times New Roman"/>
      <w:b/>
      <w:sz w:val="28"/>
      <w:lang w:val="es-ES" w:eastAsia="es-ES"/>
    </w:rPr>
  </w:style>
  <w:style w:type="character" w:customStyle="1" w:styleId="Ttulo2Car">
    <w:name w:val="Título 2 Car"/>
    <w:basedOn w:val="Fuentedeprrafopredeter"/>
    <w:link w:val="Ttulo2"/>
    <w:uiPriority w:val="9"/>
    <w:rsid w:val="007D4716"/>
    <w:rPr>
      <w:rFonts w:ascii="Times New Roman" w:eastAsia="Times New Roman" w:hAnsi="Times New Roman" w:cs="Times New Roman"/>
      <w:b/>
      <w:bCs/>
      <w:sz w:val="28"/>
      <w:szCs w:val="28"/>
      <w:lang w:val="es-ES" w:eastAsia="es-ES"/>
    </w:rPr>
  </w:style>
  <w:style w:type="character" w:customStyle="1" w:styleId="Ttulo3Car">
    <w:name w:val="Título 3 Car"/>
    <w:basedOn w:val="Fuentedeprrafopredeter"/>
    <w:link w:val="Ttulo3"/>
    <w:uiPriority w:val="9"/>
    <w:rsid w:val="007D4716"/>
    <w:rPr>
      <w:rFonts w:ascii="Times New Roman" w:eastAsia="Times New Roman" w:hAnsi="Times New Roman" w:cs="Times New Roman"/>
      <w:b/>
      <w:bCs/>
      <w:color w:val="000000" w:themeColor="text1"/>
      <w:sz w:val="28"/>
      <w:szCs w:val="28"/>
      <w:lang w:val="es-ES" w:eastAsia="zh-CN"/>
    </w:rPr>
  </w:style>
  <w:style w:type="character" w:customStyle="1" w:styleId="Ttulo4Car">
    <w:name w:val="Título 4 Car"/>
    <w:basedOn w:val="Fuentedeprrafopredeter"/>
    <w:link w:val="Ttulo4"/>
    <w:uiPriority w:val="9"/>
    <w:rsid w:val="007D4716"/>
    <w:rPr>
      <w:rFonts w:ascii="Times New Roman" w:eastAsia="Times New Roman" w:hAnsi="Times New Roman" w:cs="Times New Roman"/>
      <w:b/>
      <w:color w:val="000000" w:themeColor="text1"/>
      <w:sz w:val="28"/>
      <w:szCs w:val="20"/>
      <w:lang w:val="es-MX" w:eastAsia="zh-CN"/>
    </w:rPr>
  </w:style>
  <w:style w:type="character" w:customStyle="1" w:styleId="Ttulo5Car">
    <w:name w:val="Título 5 Car"/>
    <w:basedOn w:val="Fuentedeprrafopredeter"/>
    <w:link w:val="Ttulo5"/>
    <w:uiPriority w:val="9"/>
    <w:rsid w:val="007D4716"/>
    <w:rPr>
      <w:rFonts w:ascii="Calibri Light" w:eastAsia="Times New Roman" w:hAnsi="Calibri Light" w:cs="Times New Roman"/>
      <w:color w:val="2E74B5"/>
      <w:sz w:val="28"/>
      <w:lang w:val="es-CO" w:eastAsia="es-ES"/>
    </w:rPr>
  </w:style>
  <w:style w:type="character" w:customStyle="1" w:styleId="Ttulo6Car">
    <w:name w:val="Título 6 Car"/>
    <w:basedOn w:val="Fuentedeprrafopredeter"/>
    <w:link w:val="Ttulo6"/>
    <w:uiPriority w:val="9"/>
    <w:semiHidden/>
    <w:rsid w:val="007D4716"/>
    <w:rPr>
      <w:rFonts w:asciiTheme="majorHAnsi" w:eastAsiaTheme="majorEastAsia" w:hAnsiTheme="majorHAnsi" w:cstheme="majorBidi"/>
      <w:color w:val="1F4D78" w:themeColor="accent1" w:themeShade="7F"/>
      <w:sz w:val="28"/>
      <w:szCs w:val="28"/>
      <w:lang w:val="es-CO"/>
    </w:rPr>
  </w:style>
  <w:style w:type="paragraph" w:styleId="Sangra2detindependiente">
    <w:name w:val="Body Text Indent 2"/>
    <w:basedOn w:val="Normal"/>
    <w:link w:val="Sangra2detindependienteCar"/>
    <w:rsid w:val="007D4716"/>
    <w:pPr>
      <w:spacing w:after="120" w:line="480" w:lineRule="auto"/>
      <w:ind w:left="283"/>
    </w:pPr>
    <w:rPr>
      <w:rFonts w:eastAsia="Times New Roman"/>
      <w:szCs w:val="20"/>
      <w:lang w:eastAsia="es-ES"/>
    </w:rPr>
  </w:style>
  <w:style w:type="character" w:customStyle="1" w:styleId="Sangra2detindependienteCar">
    <w:name w:val="Sangría 2 de t. independiente Car"/>
    <w:basedOn w:val="Fuentedeprrafopredeter"/>
    <w:link w:val="Sangra2detindependiente"/>
    <w:rsid w:val="007D4716"/>
    <w:rPr>
      <w:rFonts w:ascii="Times New Roman" w:eastAsia="Times New Roman" w:hAnsi="Times New Roman" w:cs="Times New Roman"/>
      <w:color w:val="000000" w:themeColor="text1"/>
      <w:sz w:val="28"/>
      <w:szCs w:val="20"/>
      <w:lang w:val="es-CO" w:eastAsia="es-ES"/>
    </w:rPr>
  </w:style>
  <w:style w:type="paragraph" w:styleId="Textoindependiente">
    <w:name w:val="Body Text"/>
    <w:basedOn w:val="Normal"/>
    <w:link w:val="TextoindependienteCar"/>
    <w:uiPriority w:val="99"/>
    <w:unhideWhenUsed/>
    <w:rsid w:val="007D4716"/>
    <w:pPr>
      <w:spacing w:after="120"/>
    </w:pPr>
    <w:rPr>
      <w:rFonts w:eastAsia="Times New Roman"/>
      <w:szCs w:val="24"/>
      <w:lang w:eastAsia="es-ES"/>
    </w:rPr>
  </w:style>
  <w:style w:type="character" w:customStyle="1" w:styleId="TextoindependienteCar">
    <w:name w:val="Texto independiente Car"/>
    <w:basedOn w:val="Fuentedeprrafopredeter"/>
    <w:link w:val="Textoindependiente"/>
    <w:uiPriority w:val="99"/>
    <w:rsid w:val="007D4716"/>
    <w:rPr>
      <w:rFonts w:ascii="Times New Roman" w:eastAsia="Times New Roman" w:hAnsi="Times New Roman" w:cs="Times New Roman"/>
      <w:color w:val="000000" w:themeColor="text1"/>
      <w:sz w:val="28"/>
      <w:lang w:val="es-CO" w:eastAsia="es-ES"/>
    </w:rPr>
  </w:style>
  <w:style w:type="paragraph" w:styleId="Textonotapie">
    <w:name w:val="footnote text"/>
    <w:aliases w:val="Ref. de nota al pie1,Texto de nota al pie,referencia nota al pie,Appel note de bas de page,Footnote Text Char Char Char Char Char,Footnote Text Char Char Char Char,FA Fu,texto de nota al pie,Footnote Text Char Char Char,Footnote referenc"/>
    <w:basedOn w:val="Normal"/>
    <w:link w:val="TextonotapieCar"/>
    <w:uiPriority w:val="99"/>
    <w:qFormat/>
    <w:rsid w:val="007D4716"/>
    <w:pPr>
      <w:autoSpaceDN w:val="0"/>
      <w:spacing w:after="0"/>
    </w:pPr>
    <w:rPr>
      <w:rFonts w:eastAsia="Times New Roman"/>
      <w:sz w:val="20"/>
      <w:szCs w:val="20"/>
      <w:lang w:val="es-ES_tradnl" w:eastAsia="es-ES"/>
    </w:rPr>
  </w:style>
  <w:style w:type="character" w:customStyle="1" w:styleId="FootnoteTextChar">
    <w:name w:val="Footnote Text Char"/>
    <w:basedOn w:val="Fuentedeprrafopredeter"/>
    <w:uiPriority w:val="99"/>
    <w:semiHidden/>
    <w:rsid w:val="007D4716"/>
    <w:rPr>
      <w:rFonts w:ascii="Times New Roman" w:eastAsia="Calibri" w:hAnsi="Times New Roman" w:cs="Times New Roman"/>
      <w:color w:val="000000" w:themeColor="text1"/>
      <w:sz w:val="20"/>
      <w:szCs w:val="20"/>
      <w:lang w:val="es-CO"/>
    </w:rPr>
  </w:style>
  <w:style w:type="character" w:customStyle="1" w:styleId="TextonotapieCar">
    <w:name w:val="Texto nota pie Car"/>
    <w:aliases w:val="Ref. de nota al pie1 Car,Texto de nota al pie Car,referencia nota al pie Car,Appel note de bas de page Car,Footnote Text Char Char Char Char Char Car1,Footnote Text Char Char Char Char Car1,FA Fu Car1,texto de nota al pie Car"/>
    <w:link w:val="Textonotapie"/>
    <w:uiPriority w:val="99"/>
    <w:qFormat/>
    <w:rsid w:val="007D4716"/>
    <w:rPr>
      <w:rFonts w:ascii="Times New Roman" w:eastAsia="Times New Roman" w:hAnsi="Times New Roman" w:cs="Times New Roman"/>
      <w:color w:val="000000" w:themeColor="text1"/>
      <w:sz w:val="20"/>
      <w:szCs w:val="20"/>
      <w:lang w:val="es-ES_tradnl" w:eastAsia="es-ES"/>
    </w:rPr>
  </w:style>
  <w:style w:type="paragraph" w:customStyle="1" w:styleId="textocaja">
    <w:name w:val="textocaja"/>
    <w:basedOn w:val="Normal"/>
    <w:rsid w:val="007D4716"/>
    <w:pPr>
      <w:spacing w:before="100" w:beforeAutospacing="1" w:after="100" w:afterAutospacing="1"/>
    </w:pPr>
    <w:rPr>
      <w:rFonts w:ascii="Georgia" w:eastAsia="Times New Roman" w:hAnsi="Georgia"/>
    </w:rPr>
  </w:style>
  <w:style w:type="paragraph" w:customStyle="1" w:styleId="cita">
    <w:name w:val="cita"/>
    <w:basedOn w:val="Normal"/>
    <w:link w:val="citaCar"/>
    <w:qFormat/>
    <w:rsid w:val="007D4716"/>
    <w:pPr>
      <w:spacing w:before="100" w:beforeAutospacing="1" w:after="100" w:afterAutospacing="1"/>
    </w:pPr>
    <w:rPr>
      <w:rFonts w:eastAsia="Times New Roman"/>
      <w:sz w:val="24"/>
      <w:szCs w:val="24"/>
    </w:rPr>
  </w:style>
  <w:style w:type="character" w:customStyle="1" w:styleId="TextonotapieCar1">
    <w:name w:val="Texto nota pie Car1"/>
    <w:aliases w:val="Texto nota pie Car Car,Footnote Text Char Char Char Char Char Car,Footnote Text Char Char Char Char Car,Footnote reference Car,FA Fu Car,Footnote Text Char Char Char Car Car,Footnote Text Char Char Char Char Char Car Car,FA Fu Car C"/>
    <w:uiPriority w:val="99"/>
    <w:rsid w:val="007D4716"/>
    <w:rPr>
      <w:rFonts w:ascii="Arial" w:hAnsi="Arial"/>
      <w:sz w:val="28"/>
      <w:lang w:val="es-ES_tradnl" w:eastAsia="zh-CN"/>
    </w:rPr>
  </w:style>
  <w:style w:type="paragraph" w:styleId="Textodeglobo">
    <w:name w:val="Balloon Text"/>
    <w:basedOn w:val="Normal"/>
    <w:link w:val="TextodegloboCar"/>
    <w:uiPriority w:val="99"/>
    <w:semiHidden/>
    <w:rsid w:val="007D4716"/>
    <w:pPr>
      <w:autoSpaceDN w:val="0"/>
      <w:spacing w:after="0"/>
    </w:pPr>
    <w:rPr>
      <w:rFonts w:ascii="Tahoma" w:eastAsia="Times New Roman" w:hAnsi="Tahoma"/>
      <w:sz w:val="16"/>
      <w:szCs w:val="20"/>
      <w:lang w:eastAsia="zh-CN"/>
    </w:rPr>
  </w:style>
  <w:style w:type="character" w:customStyle="1" w:styleId="TextodegloboCar">
    <w:name w:val="Texto de globo Car"/>
    <w:basedOn w:val="Fuentedeprrafopredeter"/>
    <w:link w:val="Textodeglobo"/>
    <w:uiPriority w:val="99"/>
    <w:semiHidden/>
    <w:rsid w:val="007D4716"/>
    <w:rPr>
      <w:rFonts w:ascii="Tahoma" w:eastAsia="Times New Roman" w:hAnsi="Tahoma" w:cs="Times New Roman"/>
      <w:color w:val="000000" w:themeColor="text1"/>
      <w:sz w:val="16"/>
      <w:szCs w:val="20"/>
      <w:lang w:val="es-CO" w:eastAsia="zh-CN"/>
    </w:rPr>
  </w:style>
  <w:style w:type="paragraph" w:styleId="Piedepgina">
    <w:name w:val="footer"/>
    <w:basedOn w:val="Normal"/>
    <w:link w:val="PiedepginaCar"/>
    <w:uiPriority w:val="99"/>
    <w:rsid w:val="007D4716"/>
    <w:pPr>
      <w:tabs>
        <w:tab w:val="center" w:pos="4252"/>
        <w:tab w:val="right" w:pos="8504"/>
      </w:tabs>
      <w:autoSpaceDN w:val="0"/>
      <w:spacing w:after="0"/>
    </w:pPr>
    <w:rPr>
      <w:rFonts w:eastAsia="Times New Roman"/>
      <w:sz w:val="20"/>
      <w:szCs w:val="20"/>
      <w:lang w:eastAsia="zh-CN"/>
    </w:rPr>
  </w:style>
  <w:style w:type="character" w:customStyle="1" w:styleId="PiedepginaCar">
    <w:name w:val="Pie de página Car"/>
    <w:basedOn w:val="Fuentedeprrafopredeter"/>
    <w:link w:val="Piedepgina"/>
    <w:uiPriority w:val="99"/>
    <w:rsid w:val="007D4716"/>
    <w:rPr>
      <w:rFonts w:ascii="Times New Roman" w:eastAsia="Times New Roman" w:hAnsi="Times New Roman" w:cs="Times New Roman"/>
      <w:color w:val="000000" w:themeColor="text1"/>
      <w:sz w:val="20"/>
      <w:szCs w:val="20"/>
      <w:lang w:val="es-CO" w:eastAsia="zh-CN"/>
    </w:rPr>
  </w:style>
  <w:style w:type="character" w:styleId="Nmerodepgina">
    <w:name w:val="page number"/>
    <w:uiPriority w:val="99"/>
    <w:rsid w:val="007D4716"/>
  </w:style>
  <w:style w:type="paragraph" w:styleId="Encabezado">
    <w:name w:val="header"/>
    <w:basedOn w:val="Normal"/>
    <w:link w:val="EncabezadoCar"/>
    <w:rsid w:val="007D4716"/>
    <w:pPr>
      <w:tabs>
        <w:tab w:val="center" w:pos="4252"/>
        <w:tab w:val="right" w:pos="8504"/>
      </w:tabs>
      <w:spacing w:after="0"/>
    </w:pPr>
    <w:rPr>
      <w:rFonts w:eastAsia="Times New Roman"/>
      <w:sz w:val="20"/>
      <w:szCs w:val="20"/>
      <w:lang w:eastAsia="zh-CN"/>
    </w:rPr>
  </w:style>
  <w:style w:type="character" w:customStyle="1" w:styleId="EncabezadoCar">
    <w:name w:val="Encabezado Car"/>
    <w:basedOn w:val="Fuentedeprrafopredeter"/>
    <w:link w:val="Encabezado"/>
    <w:rsid w:val="007D4716"/>
    <w:rPr>
      <w:rFonts w:ascii="Times New Roman" w:eastAsia="Times New Roman" w:hAnsi="Times New Roman" w:cs="Times New Roman"/>
      <w:color w:val="000000" w:themeColor="text1"/>
      <w:sz w:val="20"/>
      <w:szCs w:val="20"/>
      <w:lang w:val="es-CO" w:eastAsia="zh-CN"/>
    </w:rPr>
  </w:style>
  <w:style w:type="paragraph" w:styleId="Subttulo">
    <w:name w:val="Subtitle"/>
    <w:basedOn w:val="Normal"/>
    <w:link w:val="SubttuloCar"/>
    <w:uiPriority w:val="11"/>
    <w:qFormat/>
    <w:rsid w:val="007D4716"/>
    <w:pPr>
      <w:autoSpaceDN w:val="0"/>
      <w:spacing w:after="0"/>
      <w:jc w:val="center"/>
    </w:pPr>
    <w:rPr>
      <w:rFonts w:eastAsia="Times New Roman"/>
      <w:b/>
      <w:szCs w:val="20"/>
      <w:lang w:eastAsia="zh-CN"/>
    </w:rPr>
  </w:style>
  <w:style w:type="character" w:customStyle="1" w:styleId="SubttuloCar">
    <w:name w:val="Subtítulo Car"/>
    <w:basedOn w:val="Fuentedeprrafopredeter"/>
    <w:link w:val="Subttulo"/>
    <w:uiPriority w:val="11"/>
    <w:rsid w:val="007D4716"/>
    <w:rPr>
      <w:rFonts w:ascii="Times New Roman" w:eastAsia="Times New Roman" w:hAnsi="Times New Roman" w:cs="Times New Roman"/>
      <w:b/>
      <w:color w:val="000000" w:themeColor="text1"/>
      <w:sz w:val="28"/>
      <w:szCs w:val="20"/>
      <w:lang w:val="es-CO" w:eastAsia="zh-CN"/>
    </w:rPr>
  </w:style>
  <w:style w:type="paragraph" w:styleId="Sangradetextonormal">
    <w:name w:val="Body Text Indent"/>
    <w:basedOn w:val="Normal"/>
    <w:link w:val="SangradetextonormalCar"/>
    <w:uiPriority w:val="99"/>
    <w:semiHidden/>
    <w:rsid w:val="007D4716"/>
    <w:pPr>
      <w:autoSpaceDN w:val="0"/>
      <w:spacing w:after="0"/>
      <w:ind w:left="2552"/>
    </w:pPr>
    <w:rPr>
      <w:rFonts w:eastAsia="Times New Roman"/>
      <w:b/>
      <w:szCs w:val="20"/>
      <w:lang w:val="es-MX" w:eastAsia="zh-CN"/>
    </w:rPr>
  </w:style>
  <w:style w:type="character" w:customStyle="1" w:styleId="SangradetextonormalCar">
    <w:name w:val="Sangría de texto normal Car"/>
    <w:basedOn w:val="Fuentedeprrafopredeter"/>
    <w:link w:val="Sangradetextonormal"/>
    <w:uiPriority w:val="99"/>
    <w:semiHidden/>
    <w:rsid w:val="007D4716"/>
    <w:rPr>
      <w:rFonts w:ascii="Times New Roman" w:eastAsia="Times New Roman" w:hAnsi="Times New Roman" w:cs="Times New Roman"/>
      <w:b/>
      <w:color w:val="000000" w:themeColor="text1"/>
      <w:sz w:val="28"/>
      <w:szCs w:val="20"/>
      <w:lang w:val="es-MX" w:eastAsia="zh-CN"/>
    </w:rPr>
  </w:style>
  <w:style w:type="paragraph" w:styleId="Ttulo">
    <w:name w:val="Title"/>
    <w:basedOn w:val="Prrafodelista"/>
    <w:link w:val="TtuloCar"/>
    <w:uiPriority w:val="10"/>
    <w:qFormat/>
    <w:rsid w:val="00A542D4"/>
    <w:pPr>
      <w:numPr>
        <w:numId w:val="2"/>
      </w:numPr>
      <w:tabs>
        <w:tab w:val="left" w:pos="426"/>
      </w:tabs>
      <w:ind w:left="0" w:firstLine="0"/>
      <w:contextualSpacing/>
    </w:pPr>
    <w:rPr>
      <w:sz w:val="24"/>
      <w:szCs w:val="24"/>
      <w:lang w:val="es-ES"/>
    </w:rPr>
  </w:style>
  <w:style w:type="character" w:customStyle="1" w:styleId="TtuloCar">
    <w:name w:val="Título Car"/>
    <w:basedOn w:val="Fuentedeprrafopredeter"/>
    <w:link w:val="Ttulo"/>
    <w:uiPriority w:val="10"/>
    <w:rsid w:val="00A542D4"/>
    <w:rPr>
      <w:rFonts w:ascii="Times New Roman" w:eastAsia="Times New Roman" w:hAnsi="Times New Roman" w:cs="Times New Roman"/>
      <w:color w:val="000000" w:themeColor="text1"/>
      <w:lang w:val="es-ES" w:eastAsia="es-ES"/>
    </w:rPr>
  </w:style>
  <w:style w:type="paragraph" w:styleId="Textoindependiente2">
    <w:name w:val="Body Text 2"/>
    <w:basedOn w:val="Normal"/>
    <w:link w:val="Textoindependiente2Car"/>
    <w:uiPriority w:val="99"/>
    <w:rsid w:val="007D4716"/>
    <w:pPr>
      <w:autoSpaceDN w:val="0"/>
      <w:spacing w:after="120" w:line="480" w:lineRule="auto"/>
    </w:pPr>
    <w:rPr>
      <w:rFonts w:eastAsia="Times New Roman"/>
      <w:sz w:val="20"/>
      <w:szCs w:val="20"/>
      <w:lang w:eastAsia="zh-CN"/>
    </w:rPr>
  </w:style>
  <w:style w:type="character" w:customStyle="1" w:styleId="Textoindependiente2Car">
    <w:name w:val="Texto independiente 2 Car"/>
    <w:basedOn w:val="Fuentedeprrafopredeter"/>
    <w:link w:val="Textoindependiente2"/>
    <w:uiPriority w:val="99"/>
    <w:rsid w:val="007D4716"/>
    <w:rPr>
      <w:rFonts w:ascii="Times New Roman" w:eastAsia="Times New Roman" w:hAnsi="Times New Roman" w:cs="Times New Roman"/>
      <w:color w:val="000000" w:themeColor="text1"/>
      <w:sz w:val="20"/>
      <w:szCs w:val="20"/>
      <w:lang w:val="es-CO" w:eastAsia="zh-CN"/>
    </w:rPr>
  </w:style>
  <w:style w:type="paragraph" w:customStyle="1" w:styleId="Sangradetindependiente">
    <w:name w:val="Sangría de t. independiente"/>
    <w:basedOn w:val="Normal"/>
    <w:rsid w:val="007D4716"/>
    <w:pPr>
      <w:autoSpaceDE w:val="0"/>
      <w:autoSpaceDN w:val="0"/>
      <w:spacing w:after="0"/>
      <w:ind w:left="3420"/>
    </w:pPr>
    <w:rPr>
      <w:rFonts w:eastAsia="Times New Roman"/>
      <w:b/>
      <w:bCs/>
      <w:lang w:eastAsia="es-ES"/>
    </w:rPr>
  </w:style>
  <w:style w:type="character" w:customStyle="1" w:styleId="apple-converted-space">
    <w:name w:val="apple-converted-space"/>
    <w:rsid w:val="007D4716"/>
  </w:style>
  <w:style w:type="paragraph" w:styleId="Textoindependiente3">
    <w:name w:val="Body Text 3"/>
    <w:basedOn w:val="Normal"/>
    <w:link w:val="Textoindependiente3Car"/>
    <w:uiPriority w:val="99"/>
    <w:rsid w:val="007D4716"/>
    <w:pPr>
      <w:autoSpaceDN w:val="0"/>
      <w:spacing w:after="120"/>
    </w:pPr>
    <w:rPr>
      <w:rFonts w:eastAsia="Times New Roman"/>
      <w:sz w:val="16"/>
      <w:szCs w:val="16"/>
      <w:lang w:eastAsia="es-ES"/>
    </w:rPr>
  </w:style>
  <w:style w:type="character" w:customStyle="1" w:styleId="Textoindependiente3Car">
    <w:name w:val="Texto independiente 3 Car"/>
    <w:basedOn w:val="Fuentedeprrafopredeter"/>
    <w:link w:val="Textoindependiente3"/>
    <w:uiPriority w:val="99"/>
    <w:rsid w:val="007D4716"/>
    <w:rPr>
      <w:rFonts w:ascii="Times New Roman" w:eastAsia="Times New Roman" w:hAnsi="Times New Roman" w:cs="Times New Roman"/>
      <w:color w:val="000000" w:themeColor="text1"/>
      <w:sz w:val="16"/>
      <w:szCs w:val="16"/>
      <w:lang w:val="es-CO" w:eastAsia="es-ES"/>
    </w:rPr>
  </w:style>
  <w:style w:type="paragraph" w:customStyle="1" w:styleId="Car">
    <w:name w:val="Car"/>
    <w:basedOn w:val="Normal"/>
    <w:rsid w:val="007D4716"/>
    <w:pPr>
      <w:spacing w:line="240" w:lineRule="exact"/>
    </w:pPr>
    <w:rPr>
      <w:rFonts w:eastAsia="Times New Roman"/>
      <w:noProof/>
      <w:color w:val="000000"/>
      <w:sz w:val="20"/>
      <w:szCs w:val="20"/>
      <w:lang w:eastAsia="es-ES"/>
    </w:rPr>
  </w:style>
  <w:style w:type="character" w:styleId="Hipervnculo">
    <w:name w:val="Hyperlink"/>
    <w:uiPriority w:val="99"/>
    <w:unhideWhenUsed/>
    <w:rsid w:val="007D4716"/>
    <w:rPr>
      <w:color w:val="0000FF"/>
      <w:u w:val="single"/>
    </w:rPr>
  </w:style>
  <w:style w:type="paragraph" w:customStyle="1" w:styleId="bodytext21">
    <w:name w:val="bodytext21"/>
    <w:basedOn w:val="Normal"/>
    <w:rsid w:val="007D4716"/>
    <w:pPr>
      <w:spacing w:before="100" w:beforeAutospacing="1" w:after="100" w:afterAutospacing="1"/>
    </w:pPr>
    <w:rPr>
      <w:rFonts w:eastAsia="Times New Roman"/>
      <w:sz w:val="24"/>
      <w:szCs w:val="24"/>
    </w:rPr>
  </w:style>
  <w:style w:type="paragraph" w:styleId="Textosinformato">
    <w:name w:val="Plain Text"/>
    <w:basedOn w:val="Normal"/>
    <w:link w:val="TextosinformatoCar"/>
    <w:uiPriority w:val="99"/>
    <w:unhideWhenUsed/>
    <w:rsid w:val="007D4716"/>
    <w:pPr>
      <w:spacing w:before="100" w:beforeAutospacing="1" w:after="100" w:afterAutospacing="1"/>
    </w:pPr>
    <w:rPr>
      <w:rFonts w:eastAsia="Times New Roman"/>
      <w:sz w:val="24"/>
      <w:szCs w:val="24"/>
      <w:lang w:eastAsia="es-ES"/>
    </w:rPr>
  </w:style>
  <w:style w:type="character" w:customStyle="1" w:styleId="TextosinformatoCar">
    <w:name w:val="Texto sin formato Car"/>
    <w:basedOn w:val="Fuentedeprrafopredeter"/>
    <w:link w:val="Textosinformato"/>
    <w:uiPriority w:val="99"/>
    <w:rsid w:val="007D4716"/>
    <w:rPr>
      <w:rFonts w:ascii="Times New Roman" w:eastAsia="Times New Roman" w:hAnsi="Times New Roman" w:cs="Times New Roman"/>
      <w:color w:val="000000" w:themeColor="text1"/>
      <w:lang w:val="es-CO" w:eastAsia="es-ES"/>
    </w:rPr>
  </w:style>
  <w:style w:type="paragraph" w:customStyle="1" w:styleId="Listavistosa-nfasis11">
    <w:name w:val="Lista vistosa - Énfasis 11"/>
    <w:basedOn w:val="Normal"/>
    <w:uiPriority w:val="34"/>
    <w:qFormat/>
    <w:rsid w:val="007D4716"/>
    <w:pPr>
      <w:autoSpaceDN w:val="0"/>
      <w:spacing w:after="0"/>
      <w:ind w:left="708"/>
    </w:pPr>
    <w:rPr>
      <w:rFonts w:eastAsia="Times New Roman"/>
      <w:sz w:val="20"/>
      <w:szCs w:val="20"/>
    </w:rPr>
  </w:style>
  <w:style w:type="character" w:customStyle="1" w:styleId="textonavy1">
    <w:name w:val="texto_navy1"/>
    <w:rsid w:val="007D4716"/>
    <w:rPr>
      <w:color w:val="000080"/>
    </w:rPr>
  </w:style>
  <w:style w:type="paragraph" w:customStyle="1" w:styleId="BodyText210">
    <w:name w:val="Body Text 21"/>
    <w:basedOn w:val="Normal"/>
    <w:rsid w:val="007D4716"/>
    <w:pPr>
      <w:autoSpaceDE w:val="0"/>
      <w:autoSpaceDN w:val="0"/>
      <w:spacing w:after="0"/>
    </w:pPr>
    <w:rPr>
      <w:rFonts w:eastAsia="Times New Roman"/>
      <w:lang w:val="es-ES_tradnl" w:eastAsia="es-ES"/>
    </w:rPr>
  </w:style>
  <w:style w:type="paragraph" w:customStyle="1" w:styleId="Car4">
    <w:name w:val="Car4"/>
    <w:basedOn w:val="Normal"/>
    <w:rsid w:val="007D4716"/>
    <w:pPr>
      <w:spacing w:line="240" w:lineRule="exact"/>
    </w:pPr>
    <w:rPr>
      <w:rFonts w:ascii="Tahoma" w:eastAsia="Times New Roman" w:hAnsi="Tahoma"/>
      <w:sz w:val="20"/>
      <w:szCs w:val="20"/>
      <w:lang w:val="en-US"/>
    </w:rPr>
  </w:style>
  <w:style w:type="paragraph" w:customStyle="1" w:styleId="Estilo1">
    <w:name w:val="Estilo1"/>
    <w:basedOn w:val="Normal"/>
    <w:rsid w:val="007D4716"/>
    <w:pPr>
      <w:spacing w:line="240" w:lineRule="exact"/>
    </w:pPr>
    <w:rPr>
      <w:rFonts w:eastAsia="Times New Roman"/>
      <w:noProof/>
      <w:color w:val="000000"/>
      <w:sz w:val="20"/>
      <w:szCs w:val="20"/>
      <w:lang w:eastAsia="es-ES"/>
    </w:rPr>
  </w:style>
  <w:style w:type="paragraph" w:styleId="Textonotaalfinal">
    <w:name w:val="endnote text"/>
    <w:basedOn w:val="Normal"/>
    <w:link w:val="TextonotaalfinalCar"/>
    <w:uiPriority w:val="99"/>
    <w:semiHidden/>
    <w:unhideWhenUsed/>
    <w:rsid w:val="007D4716"/>
    <w:pPr>
      <w:autoSpaceDN w:val="0"/>
      <w:spacing w:after="0"/>
    </w:pPr>
    <w:rPr>
      <w:rFonts w:eastAsia="Times New Roman"/>
      <w:sz w:val="20"/>
      <w:szCs w:val="20"/>
    </w:rPr>
  </w:style>
  <w:style w:type="character" w:customStyle="1" w:styleId="TextonotaalfinalCar">
    <w:name w:val="Texto nota al final Car"/>
    <w:basedOn w:val="Fuentedeprrafopredeter"/>
    <w:link w:val="Textonotaalfinal"/>
    <w:uiPriority w:val="99"/>
    <w:semiHidden/>
    <w:rsid w:val="007D4716"/>
    <w:rPr>
      <w:rFonts w:ascii="Times New Roman" w:eastAsia="Times New Roman" w:hAnsi="Times New Roman" w:cs="Times New Roman"/>
      <w:color w:val="000000" w:themeColor="text1"/>
      <w:sz w:val="20"/>
      <w:szCs w:val="20"/>
      <w:lang w:val="es-CO" w:eastAsia="es-CO"/>
    </w:rPr>
  </w:style>
  <w:style w:type="character" w:styleId="Refdenotaalfinal">
    <w:name w:val="endnote reference"/>
    <w:uiPriority w:val="99"/>
    <w:semiHidden/>
    <w:unhideWhenUsed/>
    <w:rsid w:val="007D4716"/>
    <w:rPr>
      <w:vertAlign w:val="superscript"/>
    </w:rPr>
  </w:style>
  <w:style w:type="paragraph" w:styleId="NormalWeb">
    <w:name w:val="Normal (Web)"/>
    <w:basedOn w:val="Normal"/>
    <w:uiPriority w:val="99"/>
    <w:unhideWhenUsed/>
    <w:rsid w:val="007D4716"/>
    <w:pPr>
      <w:spacing w:before="100" w:beforeAutospacing="1" w:after="100" w:afterAutospacing="1"/>
    </w:pPr>
    <w:rPr>
      <w:rFonts w:eastAsia="Times New Roman"/>
      <w:sz w:val="24"/>
      <w:szCs w:val="24"/>
    </w:rPr>
  </w:style>
  <w:style w:type="character" w:styleId="Textoennegrita">
    <w:name w:val="Strong"/>
    <w:uiPriority w:val="22"/>
    <w:qFormat/>
    <w:rsid w:val="007D4716"/>
    <w:rPr>
      <w:b/>
    </w:rPr>
  </w:style>
  <w:style w:type="character" w:styleId="Hipervnculovisitado">
    <w:name w:val="FollowedHyperlink"/>
    <w:uiPriority w:val="99"/>
    <w:semiHidden/>
    <w:unhideWhenUsed/>
    <w:rsid w:val="007D4716"/>
    <w:rPr>
      <w:color w:val="954F72"/>
      <w:u w:val="single"/>
    </w:rPr>
  </w:style>
  <w:style w:type="paragraph" w:styleId="Textodebloque">
    <w:name w:val="Block Text"/>
    <w:basedOn w:val="Normal"/>
    <w:uiPriority w:val="99"/>
    <w:rsid w:val="007D4716"/>
    <w:pPr>
      <w:tabs>
        <w:tab w:val="left" w:pos="8540"/>
      </w:tabs>
      <w:spacing w:after="0"/>
      <w:ind w:left="3780" w:right="249"/>
    </w:pPr>
    <w:rPr>
      <w:rFonts w:eastAsia="Times New Roman"/>
      <w:b/>
      <w:szCs w:val="20"/>
      <w:lang w:eastAsia="es-ES"/>
    </w:rPr>
  </w:style>
  <w:style w:type="character" w:styleId="Refdenotaalpie">
    <w:name w:val="footnote reference"/>
    <w:aliases w:val="Footnotes refss,Footnote number,BVI fnr,f,4_G,16 Point,Superscript 6 Point,Texto nota al pie,Ref. de nota al pie 2,Fago Fußnotenzeichen,Footnote Reference Char3,Footnote Reference Char1 Char,Footnote symbol,Ref. de nota al pie1 Car1"/>
    <w:link w:val="Piedepagina"/>
    <w:uiPriority w:val="99"/>
    <w:qFormat/>
    <w:rsid w:val="007D4716"/>
    <w:rPr>
      <w:rFonts w:cs="Times New Roman"/>
      <w:vertAlign w:val="superscript"/>
    </w:rPr>
  </w:style>
  <w:style w:type="paragraph" w:customStyle="1" w:styleId="TextonotapieTextonotapieCar">
    <w:name w:val="Texto nota pie.Texto nota pie Car"/>
    <w:basedOn w:val="Normal"/>
    <w:rsid w:val="007D4716"/>
    <w:pPr>
      <w:spacing w:after="0"/>
    </w:pPr>
    <w:rPr>
      <w:rFonts w:eastAsia="Times New Roman"/>
      <w:sz w:val="20"/>
      <w:szCs w:val="20"/>
      <w:lang w:eastAsia="es-ES"/>
    </w:rPr>
  </w:style>
  <w:style w:type="character" w:styleId="Refdecomentario">
    <w:name w:val="annotation reference"/>
    <w:uiPriority w:val="99"/>
    <w:unhideWhenUsed/>
    <w:rsid w:val="007D4716"/>
    <w:rPr>
      <w:sz w:val="16"/>
      <w:szCs w:val="16"/>
    </w:rPr>
  </w:style>
  <w:style w:type="paragraph" w:styleId="Textocomentario">
    <w:name w:val="annotation text"/>
    <w:basedOn w:val="Normal"/>
    <w:link w:val="TextocomentarioCar"/>
    <w:uiPriority w:val="99"/>
    <w:unhideWhenUsed/>
    <w:rsid w:val="007D4716"/>
    <w:pPr>
      <w:spacing w:after="0"/>
    </w:pPr>
    <w:rPr>
      <w:rFonts w:eastAsia="Times New Roman"/>
      <w:sz w:val="20"/>
      <w:szCs w:val="20"/>
      <w:lang w:eastAsia="es-ES"/>
    </w:rPr>
  </w:style>
  <w:style w:type="character" w:customStyle="1" w:styleId="TextocomentarioCar">
    <w:name w:val="Texto comentario Car"/>
    <w:basedOn w:val="Fuentedeprrafopredeter"/>
    <w:link w:val="Textocomentario"/>
    <w:uiPriority w:val="99"/>
    <w:rsid w:val="007D4716"/>
    <w:rPr>
      <w:rFonts w:ascii="Times New Roman" w:eastAsia="Times New Roman" w:hAnsi="Times New Roman" w:cs="Times New Roman"/>
      <w:color w:val="000000" w:themeColor="text1"/>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7D4716"/>
    <w:rPr>
      <w:b/>
      <w:bCs/>
    </w:rPr>
  </w:style>
  <w:style w:type="character" w:customStyle="1" w:styleId="AsuntodelcomentarioCar">
    <w:name w:val="Asunto del comentario Car"/>
    <w:basedOn w:val="TextocomentarioCar"/>
    <w:link w:val="Asuntodelcomentario"/>
    <w:uiPriority w:val="99"/>
    <w:semiHidden/>
    <w:rsid w:val="007D4716"/>
    <w:rPr>
      <w:rFonts w:ascii="Times New Roman" w:eastAsia="Times New Roman" w:hAnsi="Times New Roman" w:cs="Times New Roman"/>
      <w:b/>
      <w:bCs/>
      <w:color w:val="000000" w:themeColor="text1"/>
      <w:sz w:val="20"/>
      <w:szCs w:val="20"/>
      <w:lang w:val="es-CO" w:eastAsia="es-ES"/>
    </w:rPr>
  </w:style>
  <w:style w:type="paragraph" w:customStyle="1" w:styleId="msonospacing0">
    <w:name w:val="msonospacing"/>
    <w:basedOn w:val="Normal"/>
    <w:rsid w:val="007D4716"/>
    <w:pPr>
      <w:spacing w:before="100" w:beforeAutospacing="1" w:after="100" w:afterAutospacing="1"/>
    </w:pPr>
    <w:rPr>
      <w:rFonts w:eastAsia="Times New Roman"/>
      <w:sz w:val="24"/>
      <w:szCs w:val="24"/>
      <w:lang w:val="es-ES" w:eastAsia="es-ES"/>
    </w:rPr>
  </w:style>
  <w:style w:type="paragraph" w:customStyle="1" w:styleId="Estilo">
    <w:name w:val="Estilo"/>
    <w:rsid w:val="007D4716"/>
    <w:pPr>
      <w:keepNext/>
      <w:overflowPunct w:val="0"/>
      <w:autoSpaceDE w:val="0"/>
      <w:autoSpaceDN w:val="0"/>
      <w:adjustRightInd w:val="0"/>
      <w:jc w:val="center"/>
      <w:textAlignment w:val="baseline"/>
    </w:pPr>
    <w:rPr>
      <w:rFonts w:ascii="Arial" w:eastAsia="Times New Roman" w:hAnsi="Arial" w:cs="Times New Roman"/>
      <w:b/>
      <w:sz w:val="28"/>
      <w:szCs w:val="20"/>
      <w:lang w:val="en-US" w:eastAsia="es-ES"/>
    </w:rPr>
  </w:style>
  <w:style w:type="paragraph" w:styleId="Lista">
    <w:name w:val="List"/>
    <w:basedOn w:val="Normal"/>
    <w:uiPriority w:val="99"/>
    <w:unhideWhenUsed/>
    <w:rsid w:val="007D4716"/>
    <w:pPr>
      <w:spacing w:after="0"/>
      <w:ind w:left="283" w:hanging="283"/>
      <w:contextualSpacing/>
    </w:pPr>
    <w:rPr>
      <w:rFonts w:eastAsia="Times New Roman"/>
      <w:szCs w:val="24"/>
      <w:lang w:eastAsia="es-ES"/>
    </w:rPr>
  </w:style>
  <w:style w:type="paragraph" w:styleId="Lista2">
    <w:name w:val="List 2"/>
    <w:basedOn w:val="Normal"/>
    <w:uiPriority w:val="99"/>
    <w:unhideWhenUsed/>
    <w:rsid w:val="007D4716"/>
    <w:pPr>
      <w:spacing w:after="0"/>
      <w:ind w:left="566" w:hanging="283"/>
      <w:contextualSpacing/>
    </w:pPr>
    <w:rPr>
      <w:rFonts w:eastAsia="Times New Roman"/>
      <w:szCs w:val="24"/>
      <w:lang w:eastAsia="es-ES"/>
    </w:rPr>
  </w:style>
  <w:style w:type="paragraph" w:styleId="Lista3">
    <w:name w:val="List 3"/>
    <w:basedOn w:val="Normal"/>
    <w:uiPriority w:val="99"/>
    <w:unhideWhenUsed/>
    <w:rsid w:val="007D4716"/>
    <w:pPr>
      <w:spacing w:after="0"/>
      <w:ind w:left="849" w:hanging="283"/>
      <w:contextualSpacing/>
    </w:pPr>
    <w:rPr>
      <w:rFonts w:eastAsia="Times New Roman"/>
      <w:szCs w:val="24"/>
      <w:lang w:eastAsia="es-ES"/>
    </w:rPr>
  </w:style>
  <w:style w:type="paragraph" w:styleId="Lista4">
    <w:name w:val="List 4"/>
    <w:basedOn w:val="Normal"/>
    <w:uiPriority w:val="99"/>
    <w:unhideWhenUsed/>
    <w:rsid w:val="007D4716"/>
    <w:pPr>
      <w:spacing w:after="0"/>
      <w:ind w:left="1132" w:hanging="283"/>
      <w:contextualSpacing/>
    </w:pPr>
    <w:rPr>
      <w:rFonts w:eastAsia="Times New Roman"/>
      <w:szCs w:val="24"/>
      <w:lang w:eastAsia="es-ES"/>
    </w:rPr>
  </w:style>
  <w:style w:type="paragraph" w:styleId="Lista5">
    <w:name w:val="List 5"/>
    <w:basedOn w:val="Normal"/>
    <w:uiPriority w:val="99"/>
    <w:unhideWhenUsed/>
    <w:rsid w:val="007D4716"/>
    <w:pPr>
      <w:spacing w:after="0"/>
      <w:ind w:left="1415" w:hanging="283"/>
      <w:contextualSpacing/>
    </w:pPr>
    <w:rPr>
      <w:rFonts w:eastAsia="Times New Roman"/>
      <w:szCs w:val="24"/>
      <w:lang w:eastAsia="es-ES"/>
    </w:rPr>
  </w:style>
  <w:style w:type="paragraph" w:styleId="Cierre">
    <w:name w:val="Closing"/>
    <w:basedOn w:val="Normal"/>
    <w:link w:val="CierreCar"/>
    <w:uiPriority w:val="99"/>
    <w:unhideWhenUsed/>
    <w:rsid w:val="007D4716"/>
    <w:pPr>
      <w:spacing w:after="0"/>
      <w:ind w:left="4252"/>
    </w:pPr>
    <w:rPr>
      <w:rFonts w:eastAsia="Times New Roman"/>
      <w:szCs w:val="24"/>
      <w:lang w:eastAsia="es-ES"/>
    </w:rPr>
  </w:style>
  <w:style w:type="character" w:customStyle="1" w:styleId="CierreCar">
    <w:name w:val="Cierre Car"/>
    <w:basedOn w:val="Fuentedeprrafopredeter"/>
    <w:link w:val="Cierre"/>
    <w:uiPriority w:val="99"/>
    <w:rsid w:val="007D4716"/>
    <w:rPr>
      <w:rFonts w:ascii="Times New Roman" w:eastAsia="Times New Roman" w:hAnsi="Times New Roman" w:cs="Times New Roman"/>
      <w:color w:val="000000" w:themeColor="text1"/>
      <w:sz w:val="28"/>
      <w:lang w:val="es-CO" w:eastAsia="es-ES"/>
    </w:rPr>
  </w:style>
  <w:style w:type="paragraph" w:styleId="Listaconvietas5">
    <w:name w:val="List Bullet 5"/>
    <w:basedOn w:val="Normal"/>
    <w:uiPriority w:val="99"/>
    <w:unhideWhenUsed/>
    <w:rsid w:val="007D4716"/>
    <w:pPr>
      <w:numPr>
        <w:numId w:val="3"/>
      </w:numPr>
      <w:spacing w:after="0"/>
      <w:contextualSpacing/>
    </w:pPr>
    <w:rPr>
      <w:rFonts w:eastAsia="Times New Roman"/>
      <w:szCs w:val="24"/>
      <w:lang w:eastAsia="es-ES"/>
    </w:rPr>
  </w:style>
  <w:style w:type="paragraph" w:styleId="Continuarlista2">
    <w:name w:val="List Continue 2"/>
    <w:basedOn w:val="Normal"/>
    <w:uiPriority w:val="99"/>
    <w:unhideWhenUsed/>
    <w:rsid w:val="007D4716"/>
    <w:pPr>
      <w:spacing w:after="120"/>
      <w:ind w:left="566"/>
      <w:contextualSpacing/>
    </w:pPr>
    <w:rPr>
      <w:rFonts w:eastAsia="Times New Roman"/>
      <w:szCs w:val="24"/>
      <w:lang w:eastAsia="es-ES"/>
    </w:rPr>
  </w:style>
  <w:style w:type="paragraph" w:styleId="Continuarlista3">
    <w:name w:val="List Continue 3"/>
    <w:basedOn w:val="Normal"/>
    <w:uiPriority w:val="99"/>
    <w:unhideWhenUsed/>
    <w:rsid w:val="007D4716"/>
    <w:pPr>
      <w:spacing w:after="120"/>
      <w:ind w:left="849"/>
      <w:contextualSpacing/>
    </w:pPr>
    <w:rPr>
      <w:rFonts w:eastAsia="Times New Roman"/>
      <w:szCs w:val="24"/>
      <w:lang w:eastAsia="es-ES"/>
    </w:rPr>
  </w:style>
  <w:style w:type="paragraph" w:styleId="Continuarlista4">
    <w:name w:val="List Continue 4"/>
    <w:basedOn w:val="Normal"/>
    <w:uiPriority w:val="99"/>
    <w:unhideWhenUsed/>
    <w:rsid w:val="007D4716"/>
    <w:pPr>
      <w:spacing w:after="120"/>
      <w:ind w:left="1132"/>
      <w:contextualSpacing/>
    </w:pPr>
    <w:rPr>
      <w:rFonts w:eastAsia="Times New Roman"/>
      <w:szCs w:val="24"/>
      <w:lang w:eastAsia="es-ES"/>
    </w:rPr>
  </w:style>
  <w:style w:type="paragraph" w:styleId="Continuarlista5">
    <w:name w:val="List Continue 5"/>
    <w:basedOn w:val="Normal"/>
    <w:uiPriority w:val="99"/>
    <w:unhideWhenUsed/>
    <w:rsid w:val="007D4716"/>
    <w:pPr>
      <w:spacing w:after="120"/>
      <w:ind w:left="1415"/>
      <w:contextualSpacing/>
    </w:pPr>
    <w:rPr>
      <w:rFonts w:eastAsia="Times New Roman"/>
      <w:szCs w:val="24"/>
      <w:lang w:eastAsia="es-ES"/>
    </w:rPr>
  </w:style>
  <w:style w:type="paragraph" w:styleId="Textoindependienteprimerasangra">
    <w:name w:val="Body Text First Indent"/>
    <w:basedOn w:val="Textoindependiente"/>
    <w:link w:val="TextoindependienteprimerasangraCar"/>
    <w:uiPriority w:val="99"/>
    <w:unhideWhenUsed/>
    <w:rsid w:val="007D4716"/>
    <w:pPr>
      <w:ind w:firstLine="210"/>
    </w:pPr>
  </w:style>
  <w:style w:type="character" w:customStyle="1" w:styleId="TextoindependienteprimerasangraCar">
    <w:name w:val="Texto independiente primera sangría Car"/>
    <w:basedOn w:val="TextoindependienteCar"/>
    <w:link w:val="Textoindependienteprimerasangra"/>
    <w:uiPriority w:val="99"/>
    <w:rsid w:val="007D4716"/>
    <w:rPr>
      <w:rFonts w:ascii="Times New Roman" w:eastAsia="Times New Roman" w:hAnsi="Times New Roman" w:cs="Times New Roman"/>
      <w:color w:val="000000" w:themeColor="text1"/>
      <w:sz w:val="28"/>
      <w:lang w:val="es-CO" w:eastAsia="es-ES"/>
    </w:rPr>
  </w:style>
  <w:style w:type="paragraph" w:styleId="Textoindependienteprimerasangra2">
    <w:name w:val="Body Text First Indent 2"/>
    <w:basedOn w:val="Sangradetextonormal"/>
    <w:link w:val="Textoindependienteprimerasangra2Car"/>
    <w:uiPriority w:val="99"/>
    <w:unhideWhenUsed/>
    <w:rsid w:val="007D4716"/>
    <w:pPr>
      <w:autoSpaceDN/>
      <w:spacing w:after="120"/>
      <w:ind w:left="283" w:firstLine="210"/>
    </w:pPr>
    <w:rPr>
      <w:b w:val="0"/>
      <w:szCs w:val="24"/>
      <w:lang w:val="es-CO" w:eastAsia="es-ES"/>
    </w:rPr>
  </w:style>
  <w:style w:type="character" w:customStyle="1" w:styleId="Textoindependienteprimerasangra2Car">
    <w:name w:val="Texto independiente primera sangría 2 Car"/>
    <w:basedOn w:val="SangradetextonormalCar"/>
    <w:link w:val="Textoindependienteprimerasangra2"/>
    <w:uiPriority w:val="99"/>
    <w:rsid w:val="007D4716"/>
    <w:rPr>
      <w:rFonts w:ascii="Times New Roman" w:eastAsia="Times New Roman" w:hAnsi="Times New Roman" w:cs="Times New Roman"/>
      <w:b w:val="0"/>
      <w:color w:val="000000" w:themeColor="text1"/>
      <w:sz w:val="28"/>
      <w:szCs w:val="20"/>
      <w:lang w:val="es-CO" w:eastAsia="es-ES"/>
    </w:rPr>
  </w:style>
  <w:style w:type="paragraph" w:customStyle="1" w:styleId="Piedepagina">
    <w:name w:val="Pie de pagina"/>
    <w:aliases w:val="Nota de pie,Ref. de nota al pie2"/>
    <w:basedOn w:val="Normal"/>
    <w:link w:val="Refdenotaalpie"/>
    <w:uiPriority w:val="99"/>
    <w:rsid w:val="007D4716"/>
    <w:pPr>
      <w:spacing w:line="240" w:lineRule="exact"/>
    </w:pPr>
    <w:rPr>
      <w:rFonts w:eastAsiaTheme="minorHAnsi"/>
      <w:sz w:val="24"/>
      <w:szCs w:val="24"/>
      <w:vertAlign w:val="superscript"/>
    </w:rPr>
  </w:style>
  <w:style w:type="paragraph" w:customStyle="1" w:styleId="Default">
    <w:name w:val="Default"/>
    <w:rsid w:val="007D4716"/>
    <w:pPr>
      <w:autoSpaceDE w:val="0"/>
      <w:autoSpaceDN w:val="0"/>
      <w:adjustRightInd w:val="0"/>
    </w:pPr>
    <w:rPr>
      <w:rFonts w:ascii="Arial" w:eastAsia="Calibri" w:hAnsi="Arial" w:cs="Arial"/>
      <w:color w:val="000000"/>
    </w:rPr>
  </w:style>
  <w:style w:type="paragraph" w:styleId="Saludo">
    <w:name w:val="Salutation"/>
    <w:basedOn w:val="Normal"/>
    <w:next w:val="Normal"/>
    <w:link w:val="SaludoCar"/>
    <w:uiPriority w:val="99"/>
    <w:unhideWhenUsed/>
    <w:rsid w:val="007D4716"/>
    <w:pPr>
      <w:spacing w:after="0"/>
    </w:pPr>
    <w:rPr>
      <w:rFonts w:eastAsia="Times New Roman"/>
      <w:szCs w:val="24"/>
      <w:lang w:eastAsia="es-ES"/>
    </w:rPr>
  </w:style>
  <w:style w:type="character" w:customStyle="1" w:styleId="SaludoCar">
    <w:name w:val="Saludo Car"/>
    <w:basedOn w:val="Fuentedeprrafopredeter"/>
    <w:link w:val="Saludo"/>
    <w:uiPriority w:val="99"/>
    <w:rsid w:val="007D4716"/>
    <w:rPr>
      <w:rFonts w:ascii="Times New Roman" w:eastAsia="Times New Roman" w:hAnsi="Times New Roman" w:cs="Times New Roman"/>
      <w:color w:val="000000" w:themeColor="text1"/>
      <w:sz w:val="28"/>
      <w:lang w:val="es-CO" w:eastAsia="es-ES"/>
    </w:rPr>
  </w:style>
  <w:style w:type="paragraph" w:styleId="Listaconvietas2">
    <w:name w:val="List Bullet 2"/>
    <w:basedOn w:val="Normal"/>
    <w:uiPriority w:val="99"/>
    <w:unhideWhenUsed/>
    <w:rsid w:val="007D4716"/>
    <w:pPr>
      <w:numPr>
        <w:numId w:val="4"/>
      </w:numPr>
      <w:spacing w:after="0"/>
      <w:contextualSpacing/>
    </w:pPr>
    <w:rPr>
      <w:rFonts w:eastAsia="Times New Roman"/>
      <w:szCs w:val="24"/>
      <w:lang w:eastAsia="es-ES"/>
    </w:rPr>
  </w:style>
  <w:style w:type="paragraph" w:customStyle="1" w:styleId="pa8">
    <w:name w:val="pa8"/>
    <w:basedOn w:val="Normal"/>
    <w:rsid w:val="007D4716"/>
    <w:pPr>
      <w:spacing w:before="100" w:beforeAutospacing="1" w:after="100" w:afterAutospacing="1"/>
    </w:pPr>
    <w:rPr>
      <w:rFonts w:eastAsia="Times New Roman"/>
      <w:sz w:val="24"/>
      <w:szCs w:val="24"/>
    </w:rPr>
  </w:style>
  <w:style w:type="character" w:customStyle="1" w:styleId="a0">
    <w:name w:val="a0"/>
    <w:rsid w:val="007D4716"/>
  </w:style>
  <w:style w:type="paragraph" w:customStyle="1" w:styleId="default0">
    <w:name w:val="default"/>
    <w:basedOn w:val="Normal"/>
    <w:rsid w:val="007D4716"/>
    <w:pPr>
      <w:spacing w:before="100" w:beforeAutospacing="1" w:after="100" w:afterAutospacing="1"/>
    </w:pPr>
    <w:rPr>
      <w:rFonts w:eastAsia="Times New Roman"/>
      <w:sz w:val="24"/>
      <w:szCs w:val="24"/>
    </w:rPr>
  </w:style>
  <w:style w:type="paragraph" w:customStyle="1" w:styleId="Cuadrculamedia21">
    <w:name w:val="Cuadrícula media 21"/>
    <w:uiPriority w:val="99"/>
    <w:qFormat/>
    <w:rsid w:val="007D4716"/>
    <w:rPr>
      <w:rFonts w:ascii="Calibri" w:eastAsia="Times New Roman" w:hAnsi="Calibri" w:cs="Times New Roman"/>
    </w:rPr>
  </w:style>
  <w:style w:type="paragraph" w:styleId="Sangra3detindependiente">
    <w:name w:val="Body Text Indent 3"/>
    <w:basedOn w:val="Normal"/>
    <w:link w:val="Sangra3detindependienteCar"/>
    <w:uiPriority w:val="99"/>
    <w:semiHidden/>
    <w:unhideWhenUsed/>
    <w:rsid w:val="007D4716"/>
    <w:pPr>
      <w:spacing w:after="120"/>
      <w:ind w:left="283"/>
    </w:pPr>
    <w:rPr>
      <w:rFonts w:eastAsia="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7D4716"/>
    <w:rPr>
      <w:rFonts w:ascii="Times New Roman" w:eastAsia="Times New Roman" w:hAnsi="Times New Roman" w:cs="Times New Roman"/>
      <w:color w:val="000000" w:themeColor="text1"/>
      <w:sz w:val="16"/>
      <w:szCs w:val="16"/>
      <w:lang w:val="es-CO" w:eastAsia="es-ES"/>
    </w:rPr>
  </w:style>
  <w:style w:type="paragraph" w:customStyle="1" w:styleId="JuPara">
    <w:name w:val="Ju_Para"/>
    <w:basedOn w:val="Normal"/>
    <w:link w:val="JuParaChar"/>
    <w:rsid w:val="007D4716"/>
    <w:pPr>
      <w:suppressAutoHyphens/>
      <w:spacing w:after="0"/>
      <w:ind w:firstLine="284"/>
    </w:pPr>
    <w:rPr>
      <w:rFonts w:eastAsia="Batang"/>
      <w:sz w:val="24"/>
      <w:szCs w:val="24"/>
      <w:lang w:val="fr-FR" w:eastAsia="fr-FR"/>
    </w:rPr>
  </w:style>
  <w:style w:type="character" w:customStyle="1" w:styleId="JuParaChar">
    <w:name w:val="Ju_Para Char"/>
    <w:link w:val="JuPara"/>
    <w:rsid w:val="007D4716"/>
    <w:rPr>
      <w:rFonts w:ascii="Times New Roman" w:eastAsia="Batang" w:hAnsi="Times New Roman" w:cs="Times New Roman"/>
      <w:color w:val="000000" w:themeColor="text1"/>
      <w:lang w:val="fr-FR" w:eastAsia="fr-FR"/>
    </w:rPr>
  </w:style>
  <w:style w:type="paragraph" w:customStyle="1" w:styleId="ColorfulList-Accent11">
    <w:name w:val="Colorful List - Accent 11"/>
    <w:basedOn w:val="Normal"/>
    <w:qFormat/>
    <w:rsid w:val="007D4716"/>
    <w:pPr>
      <w:spacing w:after="0"/>
      <w:ind w:left="708"/>
    </w:pPr>
    <w:rPr>
      <w:rFonts w:ascii="Verdana" w:eastAsia="Times New Roman" w:hAnsi="Verdana"/>
      <w:noProof/>
      <w:sz w:val="20"/>
      <w:szCs w:val="24"/>
      <w:lang w:val="es-ES_tradnl"/>
    </w:rPr>
  </w:style>
  <w:style w:type="table" w:styleId="Tablaconcuadrcula">
    <w:name w:val="Table Grid"/>
    <w:basedOn w:val="Tablanormal"/>
    <w:uiPriority w:val="39"/>
    <w:rsid w:val="007D4716"/>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te">
    <w:name w:val="Corte"/>
    <w:basedOn w:val="Textonotapie"/>
    <w:link w:val="CorteCar"/>
    <w:autoRedefine/>
    <w:qFormat/>
    <w:rsid w:val="007D4716"/>
    <w:pPr>
      <w:pBdr>
        <w:top w:val="nil"/>
        <w:left w:val="nil"/>
        <w:bottom w:val="nil"/>
        <w:right w:val="nil"/>
        <w:between w:val="nil"/>
        <w:bar w:val="nil"/>
      </w:pBdr>
      <w:autoSpaceDN/>
    </w:pPr>
    <w:rPr>
      <w:rFonts w:eastAsia="Calibri"/>
      <w:color w:val="000000"/>
      <w:sz w:val="22"/>
      <w:szCs w:val="22"/>
      <w:u w:color="000000"/>
      <w:bdr w:val="nil"/>
      <w:lang w:val="es-CO" w:eastAsia="es-CO"/>
    </w:rPr>
  </w:style>
  <w:style w:type="character" w:customStyle="1" w:styleId="CorteCar">
    <w:name w:val="Corte Car"/>
    <w:link w:val="Corte"/>
    <w:rsid w:val="007D4716"/>
    <w:rPr>
      <w:rFonts w:ascii="Times New Roman" w:eastAsia="Calibri" w:hAnsi="Times New Roman" w:cs="Times New Roman"/>
      <w:color w:val="000000"/>
      <w:sz w:val="22"/>
      <w:szCs w:val="22"/>
      <w:u w:color="000000"/>
      <w:bdr w:val="nil"/>
      <w:lang w:val="es-CO" w:eastAsia="es-CO"/>
    </w:rPr>
  </w:style>
  <w:style w:type="character" w:customStyle="1" w:styleId="citaCar">
    <w:name w:val="cita Car"/>
    <w:link w:val="cita"/>
    <w:rsid w:val="007D4716"/>
    <w:rPr>
      <w:rFonts w:ascii="Times New Roman" w:eastAsia="Times New Roman" w:hAnsi="Times New Roman" w:cs="Times New Roman"/>
      <w:color w:val="000000" w:themeColor="text1"/>
      <w:lang w:val="es-CO" w:eastAsia="es-CO"/>
    </w:rPr>
  </w:style>
  <w:style w:type="paragraph" w:styleId="Prrafodelista">
    <w:name w:val="List Paragraph"/>
    <w:aliases w:val="Ha,lp1,Normal2,List Paragraph2,Footnote,Párrafo,párrafos sentencia,Párrafo de lista1,titulo 3,Bullets,Párrafo de lista2,Bullet List,FooterText,numbered,Paragraphe de liste1,Bolita,Numbered Paragraph,List Paragraph,BOLADEF,BOLA,Guión"/>
    <w:basedOn w:val="Normal"/>
    <w:link w:val="PrrafodelistaCar"/>
    <w:uiPriority w:val="34"/>
    <w:qFormat/>
    <w:rsid w:val="007D4716"/>
    <w:pPr>
      <w:spacing w:after="0"/>
      <w:ind w:left="720"/>
    </w:pPr>
    <w:rPr>
      <w:rFonts w:eastAsia="Times New Roman"/>
      <w:lang w:eastAsia="es-ES"/>
    </w:rPr>
  </w:style>
  <w:style w:type="paragraph" w:customStyle="1" w:styleId="BodyText31">
    <w:name w:val="Body Text 31"/>
    <w:basedOn w:val="Normal"/>
    <w:uiPriority w:val="99"/>
    <w:rsid w:val="007D4716"/>
    <w:pPr>
      <w:widowControl w:val="0"/>
      <w:overflowPunct w:val="0"/>
      <w:autoSpaceDE w:val="0"/>
      <w:autoSpaceDN w:val="0"/>
      <w:adjustRightInd w:val="0"/>
      <w:spacing w:after="0"/>
      <w:textAlignment w:val="baseline"/>
    </w:pPr>
    <w:rPr>
      <w:rFonts w:eastAsia="Times New Roman"/>
      <w:szCs w:val="20"/>
      <w:lang w:eastAsia="es-ES"/>
    </w:rPr>
  </w:style>
  <w:style w:type="paragraph" w:customStyle="1" w:styleId="ListParagraph1">
    <w:name w:val="List Paragraph1"/>
    <w:basedOn w:val="Normal"/>
    <w:rsid w:val="007D4716"/>
    <w:pPr>
      <w:spacing w:after="200" w:line="276" w:lineRule="auto"/>
      <w:ind w:left="720"/>
    </w:pPr>
    <w:rPr>
      <w:rFonts w:eastAsia="Times New Roman" w:cs="Calibri"/>
    </w:rPr>
  </w:style>
  <w:style w:type="character" w:styleId="Ttulodellibro">
    <w:name w:val="Book Title"/>
    <w:uiPriority w:val="33"/>
    <w:qFormat/>
    <w:rsid w:val="007D4716"/>
    <w:rPr>
      <w:rFonts w:ascii="Times New Roman" w:hAnsi="Times New Roman"/>
      <w:b/>
      <w:bCs/>
      <w:sz w:val="28"/>
      <w:szCs w:val="28"/>
      <w:lang w:val="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rsid w:val="007D4716"/>
    <w:pPr>
      <w:spacing w:after="0"/>
    </w:pPr>
    <w:rPr>
      <w:vertAlign w:val="superscript"/>
    </w:rPr>
  </w:style>
  <w:style w:type="character" w:customStyle="1" w:styleId="PrrafodelistaCar">
    <w:name w:val="Párrafo de lista Car"/>
    <w:aliases w:val="Ha Car,lp1 Car,Normal2 Car,List Paragraph2 Car,Footnote Car,Párrafo Car,párrafos sentencia Car,Párrafo de lista1 Car,titulo 3 Car,Bullets Car,Párrafo de lista2 Car,Bullet List Car,FooterText Car,numbered Car,Paragraphe de liste1 Car"/>
    <w:link w:val="Prrafodelista"/>
    <w:uiPriority w:val="34"/>
    <w:qFormat/>
    <w:locked/>
    <w:rsid w:val="007D4716"/>
    <w:rPr>
      <w:rFonts w:ascii="Times New Roman" w:eastAsia="Times New Roman" w:hAnsi="Times New Roman" w:cs="Times New Roman"/>
      <w:color w:val="000000" w:themeColor="text1"/>
      <w:sz w:val="28"/>
      <w:szCs w:val="28"/>
      <w:lang w:val="es-CO" w:eastAsia="es-ES"/>
    </w:rPr>
  </w:style>
  <w:style w:type="paragraph" w:styleId="Continuarlista">
    <w:name w:val="List Continue"/>
    <w:basedOn w:val="Normal"/>
    <w:uiPriority w:val="99"/>
    <w:unhideWhenUsed/>
    <w:rsid w:val="007D4716"/>
    <w:pPr>
      <w:spacing w:after="120"/>
      <w:ind w:left="283"/>
      <w:contextualSpacing/>
    </w:pPr>
  </w:style>
  <w:style w:type="paragraph" w:customStyle="1" w:styleId="Prrafonumerado">
    <w:name w:val="Párrafo numerado"/>
    <w:link w:val="PrrafonumeradoCar"/>
    <w:qFormat/>
    <w:rsid w:val="007D4716"/>
    <w:pPr>
      <w:numPr>
        <w:numId w:val="5"/>
      </w:numPr>
      <w:tabs>
        <w:tab w:val="left" w:pos="426"/>
      </w:tabs>
      <w:contextualSpacing/>
      <w:jc w:val="both"/>
    </w:pPr>
    <w:rPr>
      <w:rFonts w:ascii="Times New Roman" w:eastAsia="Times New Roman" w:hAnsi="Times New Roman" w:cs="Times New Roman"/>
      <w:sz w:val="28"/>
      <w:lang w:val="es-ES_tradnl" w:eastAsia="es-MX"/>
    </w:rPr>
  </w:style>
  <w:style w:type="character" w:customStyle="1" w:styleId="PrrafonumeradoCar">
    <w:name w:val="Párrafo numerado Car"/>
    <w:basedOn w:val="Fuentedeprrafopredeter"/>
    <w:link w:val="Prrafonumerado"/>
    <w:rsid w:val="007D4716"/>
    <w:rPr>
      <w:rFonts w:ascii="Times New Roman" w:eastAsia="Times New Roman" w:hAnsi="Times New Roman" w:cs="Times New Roman"/>
      <w:sz w:val="28"/>
      <w:lang w:val="es-ES_tradnl" w:eastAsia="es-MX"/>
    </w:rPr>
  </w:style>
  <w:style w:type="paragraph" w:customStyle="1" w:styleId="Normal1">
    <w:name w:val="Normal1"/>
    <w:rsid w:val="007D4716"/>
    <w:rPr>
      <w:rFonts w:ascii="Calibri" w:eastAsia="Times New Roman" w:hAnsi="Calibri" w:cs="Calibri"/>
      <w:color w:val="000000"/>
      <w:lang w:val="es-ES" w:eastAsia="es-ES"/>
    </w:rPr>
  </w:style>
  <w:style w:type="character" w:customStyle="1" w:styleId="Mencinsinresolver1">
    <w:name w:val="Mención sin resolver1"/>
    <w:basedOn w:val="Fuentedeprrafopredeter"/>
    <w:uiPriority w:val="99"/>
    <w:semiHidden/>
    <w:unhideWhenUsed/>
    <w:rsid w:val="007D4716"/>
    <w:rPr>
      <w:color w:val="605E5C"/>
      <w:shd w:val="clear" w:color="auto" w:fill="E1DFDD"/>
    </w:rPr>
  </w:style>
  <w:style w:type="paragraph" w:customStyle="1" w:styleId="paragraph">
    <w:name w:val="paragraph"/>
    <w:basedOn w:val="Normal"/>
    <w:rsid w:val="007D4716"/>
    <w:pPr>
      <w:spacing w:before="100" w:beforeAutospacing="1" w:after="100" w:afterAutospacing="1"/>
    </w:pPr>
    <w:rPr>
      <w:rFonts w:eastAsia="Times New Roman"/>
      <w:sz w:val="24"/>
      <w:szCs w:val="24"/>
    </w:rPr>
  </w:style>
  <w:style w:type="character" w:customStyle="1" w:styleId="normaltextrun">
    <w:name w:val="normaltextrun"/>
    <w:basedOn w:val="Fuentedeprrafopredeter"/>
    <w:rsid w:val="007D4716"/>
  </w:style>
  <w:style w:type="character" w:customStyle="1" w:styleId="Mencinsinresolver2">
    <w:name w:val="Mención sin resolver2"/>
    <w:basedOn w:val="Fuentedeprrafopredeter"/>
    <w:uiPriority w:val="99"/>
    <w:semiHidden/>
    <w:unhideWhenUsed/>
    <w:rsid w:val="007D4716"/>
    <w:rPr>
      <w:color w:val="605E5C"/>
      <w:shd w:val="clear" w:color="auto" w:fill="E1DFDD"/>
    </w:rPr>
  </w:style>
  <w:style w:type="character" w:customStyle="1" w:styleId="iaj">
    <w:name w:val="i_aj"/>
    <w:basedOn w:val="Fuentedeprrafopredeter"/>
    <w:rsid w:val="007D4716"/>
  </w:style>
  <w:style w:type="character" w:customStyle="1" w:styleId="iaj0">
    <w:name w:val="iaj"/>
    <w:basedOn w:val="Fuentedeprrafopredeter"/>
    <w:rsid w:val="007D4716"/>
  </w:style>
  <w:style w:type="paragraph" w:customStyle="1" w:styleId="Encabezado1">
    <w:name w:val="Encabezado1"/>
    <w:basedOn w:val="Ttulo1"/>
    <w:link w:val="Encabezado1Car"/>
    <w:qFormat/>
    <w:rsid w:val="007D4716"/>
  </w:style>
  <w:style w:type="character" w:customStyle="1" w:styleId="Encabezado1Car">
    <w:name w:val="Encabezado1 Car"/>
    <w:basedOn w:val="Fuentedeprrafopredeter"/>
    <w:link w:val="Encabezado1"/>
    <w:rsid w:val="007D4716"/>
    <w:rPr>
      <w:rFonts w:ascii="Times New Roman" w:eastAsia="Times New Roman" w:hAnsi="Times New Roman" w:cs="Times New Roman"/>
      <w:b/>
      <w:sz w:val="28"/>
      <w:lang w:val="es-ES" w:eastAsia="es-ES"/>
    </w:rPr>
  </w:style>
  <w:style w:type="paragraph" w:customStyle="1" w:styleId="Encabezado2">
    <w:name w:val="Encabezado2"/>
    <w:basedOn w:val="Normal"/>
    <w:link w:val="Encabezado2Car"/>
    <w:qFormat/>
    <w:rsid w:val="007D4716"/>
    <w:pPr>
      <w:spacing w:after="0"/>
      <w:ind w:left="4536"/>
      <w:contextualSpacing/>
      <w:mirrorIndents/>
    </w:pPr>
    <w:rPr>
      <w:rFonts w:eastAsia="Times New Roman"/>
      <w:szCs w:val="24"/>
      <w:lang w:val="es-ES_tradnl" w:eastAsia="es-ES"/>
    </w:rPr>
  </w:style>
  <w:style w:type="character" w:customStyle="1" w:styleId="Encabezado2Car">
    <w:name w:val="Encabezado2 Car"/>
    <w:basedOn w:val="Fuentedeprrafopredeter"/>
    <w:link w:val="Encabezado2"/>
    <w:rsid w:val="007D4716"/>
    <w:rPr>
      <w:rFonts w:ascii="Times New Roman" w:eastAsia="Times New Roman" w:hAnsi="Times New Roman" w:cs="Times New Roman"/>
      <w:sz w:val="28"/>
      <w:lang w:val="es-ES_tradnl" w:eastAsia="es-ES"/>
    </w:rPr>
  </w:style>
  <w:style w:type="character" w:customStyle="1" w:styleId="PrrafonumeradoChar1">
    <w:name w:val="Párrafo numerado Char1"/>
    <w:basedOn w:val="Fuentedeprrafopredeter"/>
    <w:rsid w:val="007D4716"/>
    <w:rPr>
      <w:rFonts w:ascii="Times New Roman" w:eastAsia="Times New Roman" w:hAnsi="Times New Roman" w:cs="Times New Roman"/>
      <w:sz w:val="28"/>
      <w:lang w:val="es-ES" w:eastAsia="es-ES"/>
    </w:rPr>
  </w:style>
  <w:style w:type="paragraph" w:customStyle="1" w:styleId="Citalarga">
    <w:name w:val="Cita larga"/>
    <w:basedOn w:val="Prrafonumerado"/>
    <w:link w:val="CitalargaCar"/>
    <w:qFormat/>
    <w:rsid w:val="007D4716"/>
    <w:pPr>
      <w:numPr>
        <w:numId w:val="0"/>
      </w:numPr>
      <w:ind w:left="720" w:right="720"/>
    </w:pPr>
    <w:rPr>
      <w:sz w:val="26"/>
      <w:szCs w:val="26"/>
      <w:lang w:val="es-ES" w:eastAsia="es-ES"/>
    </w:rPr>
  </w:style>
  <w:style w:type="character" w:customStyle="1" w:styleId="CitalargaCar">
    <w:name w:val="Cita larga Car"/>
    <w:basedOn w:val="PrrafonumeradoChar1"/>
    <w:link w:val="Citalarga"/>
    <w:rsid w:val="007D4716"/>
    <w:rPr>
      <w:rFonts w:ascii="Times New Roman" w:eastAsia="Times New Roman" w:hAnsi="Times New Roman" w:cs="Times New Roman"/>
      <w:sz w:val="26"/>
      <w:szCs w:val="26"/>
      <w:lang w:val="es-ES" w:eastAsia="es-ES"/>
    </w:rPr>
  </w:style>
  <w:style w:type="paragraph" w:customStyle="1" w:styleId="Resuelve">
    <w:name w:val="Resuelve"/>
    <w:basedOn w:val="Prrafodelista"/>
    <w:link w:val="ResuelveCar"/>
    <w:qFormat/>
    <w:rsid w:val="007D4716"/>
    <w:pPr>
      <w:tabs>
        <w:tab w:val="left" w:pos="851"/>
      </w:tabs>
      <w:ind w:left="0"/>
      <w:contextualSpacing/>
    </w:pPr>
    <w:rPr>
      <w:shd w:val="clear" w:color="auto" w:fill="FFFFFF"/>
      <w:lang w:val="es-ES"/>
    </w:rPr>
  </w:style>
  <w:style w:type="character" w:customStyle="1" w:styleId="ResuelveCar">
    <w:name w:val="Resuelve Car"/>
    <w:basedOn w:val="PrrafodelistaCar"/>
    <w:link w:val="Resuelve"/>
    <w:rsid w:val="007D4716"/>
    <w:rPr>
      <w:rFonts w:ascii="Times New Roman" w:eastAsia="Times New Roman" w:hAnsi="Times New Roman" w:cs="Times New Roman"/>
      <w:color w:val="000000" w:themeColor="text1"/>
      <w:sz w:val="28"/>
      <w:szCs w:val="28"/>
      <w:lang w:val="es-ES" w:eastAsia="es-ES"/>
    </w:rPr>
  </w:style>
  <w:style w:type="numbering" w:customStyle="1" w:styleId="Style1">
    <w:name w:val="Style1"/>
    <w:uiPriority w:val="99"/>
    <w:rsid w:val="007D4716"/>
    <w:pPr>
      <w:numPr>
        <w:numId w:val="6"/>
      </w:numPr>
    </w:pPr>
  </w:style>
  <w:style w:type="paragraph" w:customStyle="1" w:styleId="BodyA">
    <w:name w:val="Body A"/>
    <w:rsid w:val="007D4716"/>
    <w:pPr>
      <w:pBdr>
        <w:top w:val="none" w:sz="96" w:space="31" w:color="FFFFFF" w:frame="1"/>
        <w:left w:val="none" w:sz="96" w:space="31" w:color="FFFFFF" w:frame="1"/>
        <w:bottom w:val="none" w:sz="96" w:space="31" w:color="FFFFFF" w:frame="1"/>
        <w:right w:val="none" w:sz="96" w:space="31" w:color="FFFFFF" w:frame="1"/>
      </w:pBdr>
    </w:pPr>
    <w:rPr>
      <w:rFonts w:ascii="Calibri" w:eastAsia="Times New Roman" w:hAnsi="Calibri" w:cs="Calibri"/>
      <w:color w:val="000000"/>
      <w:u w:color="000000"/>
      <w:lang w:val="es-ES_tradnl" w:eastAsia="es-ES"/>
    </w:rPr>
  </w:style>
  <w:style w:type="paragraph" w:styleId="Revisin">
    <w:name w:val="Revision"/>
    <w:hidden/>
    <w:uiPriority w:val="99"/>
    <w:semiHidden/>
    <w:rsid w:val="007D4716"/>
    <w:rPr>
      <w:rFonts w:ascii="Times New Roman" w:eastAsia="Calibri" w:hAnsi="Times New Roman" w:cs="Times New Roman"/>
      <w:color w:val="000000" w:themeColor="text1"/>
      <w:sz w:val="28"/>
      <w:szCs w:val="28"/>
    </w:rPr>
  </w:style>
  <w:style w:type="character" w:customStyle="1" w:styleId="user-highlighted-active">
    <w:name w:val="user-highlighted-active"/>
    <w:basedOn w:val="Fuentedeprrafopredeter"/>
    <w:rsid w:val="007D4716"/>
  </w:style>
  <w:style w:type="paragraph" w:customStyle="1" w:styleId="estilo0">
    <w:name w:val="estilo"/>
    <w:basedOn w:val="Normal"/>
    <w:rsid w:val="00587940"/>
    <w:pPr>
      <w:spacing w:before="100" w:beforeAutospacing="1" w:after="100" w:afterAutospacing="1"/>
    </w:pPr>
    <w:rPr>
      <w:rFonts w:eastAsia="Times New Roman"/>
      <w:sz w:val="24"/>
      <w:szCs w:val="24"/>
    </w:rPr>
  </w:style>
  <w:style w:type="paragraph" w:styleId="Sinespaciado">
    <w:name w:val="No Spacing"/>
    <w:uiPriority w:val="1"/>
    <w:qFormat/>
    <w:rsid w:val="00927706"/>
    <w:pPr>
      <w:jc w:val="both"/>
    </w:pPr>
    <w:rPr>
      <w:rFonts w:ascii="Times New Roman" w:eastAsia="Calibri" w:hAnsi="Times New Roman" w:cs="Times New Roman"/>
      <w:color w:val="000000" w:themeColor="text1"/>
      <w:sz w:val="28"/>
      <w:szCs w:val="28"/>
    </w:rPr>
  </w:style>
  <w:style w:type="character" w:customStyle="1" w:styleId="Mencinsinresolver3">
    <w:name w:val="Mención sin resolver3"/>
    <w:basedOn w:val="Fuentedeprrafopredeter"/>
    <w:uiPriority w:val="99"/>
    <w:semiHidden/>
    <w:unhideWhenUsed/>
    <w:rsid w:val="004B117D"/>
    <w:rPr>
      <w:color w:val="605E5C"/>
      <w:shd w:val="clear" w:color="auto" w:fill="E1DFDD"/>
    </w:rPr>
  </w:style>
  <w:style w:type="character" w:customStyle="1" w:styleId="Ttulo7Car">
    <w:name w:val="Título 7 Car"/>
    <w:basedOn w:val="Fuentedeprrafopredeter"/>
    <w:link w:val="Ttulo7"/>
    <w:uiPriority w:val="9"/>
    <w:semiHidden/>
    <w:rsid w:val="00651E84"/>
    <w:rPr>
      <w:rFonts w:asciiTheme="minorHAnsi" w:eastAsiaTheme="majorEastAsia" w:hAnsiTheme="minorHAnsi" w:cstheme="majorBidi"/>
      <w:color w:val="595959" w:themeColor="text1" w:themeTint="A6"/>
    </w:rPr>
  </w:style>
  <w:style w:type="character" w:customStyle="1" w:styleId="Ttulo8Car">
    <w:name w:val="Título 8 Car"/>
    <w:basedOn w:val="Fuentedeprrafopredeter"/>
    <w:link w:val="Ttulo8"/>
    <w:uiPriority w:val="9"/>
    <w:semiHidden/>
    <w:rsid w:val="00651E84"/>
    <w:rPr>
      <w:rFonts w:asciiTheme="minorHAnsi" w:eastAsiaTheme="majorEastAsia" w:hAnsiTheme="minorHAnsi" w:cstheme="majorBidi"/>
      <w:i/>
      <w:iCs/>
      <w:color w:val="272727" w:themeColor="text1" w:themeTint="D8"/>
    </w:rPr>
  </w:style>
  <w:style w:type="character" w:customStyle="1" w:styleId="Ttulo9Car">
    <w:name w:val="Título 9 Car"/>
    <w:basedOn w:val="Fuentedeprrafopredeter"/>
    <w:link w:val="Ttulo9"/>
    <w:uiPriority w:val="9"/>
    <w:semiHidden/>
    <w:rsid w:val="00651E84"/>
    <w:rPr>
      <w:rFonts w:asciiTheme="minorHAnsi" w:eastAsiaTheme="majorEastAsia" w:hAnsiTheme="minorHAnsi" w:cstheme="majorBidi"/>
      <w:color w:val="272727" w:themeColor="text1" w:themeTint="D8"/>
    </w:rPr>
  </w:style>
  <w:style w:type="paragraph" w:styleId="Cita0">
    <w:name w:val="Quote"/>
    <w:basedOn w:val="Normal"/>
    <w:next w:val="Normal"/>
    <w:link w:val="CitaCar0"/>
    <w:uiPriority w:val="29"/>
    <w:qFormat/>
    <w:rsid w:val="00651E84"/>
    <w:pPr>
      <w:spacing w:before="160"/>
      <w:jc w:val="center"/>
    </w:pPr>
    <w:rPr>
      <w:i/>
      <w:iCs/>
      <w:color w:val="404040" w:themeColor="text1" w:themeTint="BF"/>
    </w:rPr>
  </w:style>
  <w:style w:type="character" w:customStyle="1" w:styleId="CitaCar0">
    <w:name w:val="Cita Car"/>
    <w:basedOn w:val="Fuentedeprrafopredeter"/>
    <w:link w:val="Cita0"/>
    <w:uiPriority w:val="29"/>
    <w:rsid w:val="00651E84"/>
    <w:rPr>
      <w:i/>
      <w:iCs/>
      <w:color w:val="404040" w:themeColor="text1" w:themeTint="BF"/>
    </w:rPr>
  </w:style>
  <w:style w:type="character" w:styleId="nfasisintenso">
    <w:name w:val="Intense Emphasis"/>
    <w:basedOn w:val="Fuentedeprrafopredeter"/>
    <w:uiPriority w:val="21"/>
    <w:qFormat/>
    <w:rsid w:val="00651E84"/>
    <w:rPr>
      <w:i/>
      <w:iCs/>
      <w:color w:val="2E74B5" w:themeColor="accent1" w:themeShade="BF"/>
    </w:rPr>
  </w:style>
  <w:style w:type="paragraph" w:styleId="Citadestacada">
    <w:name w:val="Intense Quote"/>
    <w:basedOn w:val="Normal"/>
    <w:next w:val="Normal"/>
    <w:link w:val="CitadestacadaCar"/>
    <w:uiPriority w:val="30"/>
    <w:qFormat/>
    <w:rsid w:val="00651E8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651E84"/>
    <w:rPr>
      <w:i/>
      <w:iCs/>
      <w:color w:val="2E74B5" w:themeColor="accent1" w:themeShade="BF"/>
    </w:rPr>
  </w:style>
  <w:style w:type="character" w:styleId="Referenciaintensa">
    <w:name w:val="Intense Reference"/>
    <w:basedOn w:val="Fuentedeprrafopredeter"/>
    <w:uiPriority w:val="32"/>
    <w:qFormat/>
    <w:rsid w:val="00651E84"/>
    <w:rPr>
      <w:b/>
      <w:bCs/>
      <w:smallCaps/>
      <w:color w:val="2E74B5" w:themeColor="accent1" w:themeShade="BF"/>
      <w:spacing w:val="5"/>
    </w:rPr>
  </w:style>
  <w:style w:type="paragraph" w:customStyle="1" w:styleId="msonormal0">
    <w:name w:val="msonormal"/>
    <w:basedOn w:val="Normal"/>
    <w:rsid w:val="00651E84"/>
    <w:pPr>
      <w:spacing w:before="100" w:beforeAutospacing="1" w:after="100" w:afterAutospacing="1" w:line="240" w:lineRule="auto"/>
    </w:pPr>
    <w:rPr>
      <w:rFonts w:eastAsia="Times New Roman"/>
    </w:rPr>
  </w:style>
  <w:style w:type="paragraph" w:customStyle="1" w:styleId="doc-ti">
    <w:name w:val="doc-ti"/>
    <w:basedOn w:val="Normal"/>
    <w:rsid w:val="00651E84"/>
    <w:pPr>
      <w:spacing w:before="100" w:beforeAutospacing="1" w:after="100" w:afterAutospacing="1" w:line="240" w:lineRule="auto"/>
    </w:pPr>
    <w:rPr>
      <w:rFonts w:eastAsia="Times New Roman"/>
    </w:rPr>
  </w:style>
  <w:style w:type="character" w:customStyle="1" w:styleId="super">
    <w:name w:val="super"/>
    <w:basedOn w:val="Fuentedeprrafopredeter"/>
    <w:rsid w:val="00651E84"/>
  </w:style>
  <w:style w:type="paragraph" w:customStyle="1" w:styleId="ti-art">
    <w:name w:val="ti-art"/>
    <w:basedOn w:val="Normal"/>
    <w:rsid w:val="00651E84"/>
    <w:pPr>
      <w:spacing w:before="100" w:beforeAutospacing="1" w:after="100" w:afterAutospacing="1" w:line="240" w:lineRule="auto"/>
    </w:pPr>
    <w:rPr>
      <w:rFonts w:eastAsia="Times New Roman"/>
    </w:rPr>
  </w:style>
  <w:style w:type="character" w:customStyle="1" w:styleId="bold">
    <w:name w:val="bold"/>
    <w:basedOn w:val="Fuentedeprrafopredeter"/>
    <w:rsid w:val="00651E84"/>
  </w:style>
  <w:style w:type="character" w:customStyle="1" w:styleId="sp-normal">
    <w:name w:val="sp-normal"/>
    <w:basedOn w:val="Fuentedeprrafopredeter"/>
    <w:rsid w:val="00651E84"/>
  </w:style>
  <w:style w:type="character" w:customStyle="1" w:styleId="italic">
    <w:name w:val="italic"/>
    <w:basedOn w:val="Fuentedeprrafopredeter"/>
    <w:rsid w:val="00651E84"/>
  </w:style>
  <w:style w:type="paragraph" w:customStyle="1" w:styleId="note">
    <w:name w:val="note"/>
    <w:basedOn w:val="Normal"/>
    <w:rsid w:val="00651E84"/>
    <w:pPr>
      <w:spacing w:before="100" w:beforeAutospacing="1" w:after="100" w:afterAutospacing="1" w:line="240" w:lineRule="auto"/>
    </w:pPr>
    <w:rPr>
      <w:rFonts w:eastAsia="Times New Roman"/>
    </w:rPr>
  </w:style>
  <w:style w:type="paragraph" w:customStyle="1" w:styleId="ti-grseq-1">
    <w:name w:val="ti-grseq-1"/>
    <w:basedOn w:val="Normal"/>
    <w:rsid w:val="00651E84"/>
    <w:pPr>
      <w:spacing w:before="100" w:beforeAutospacing="1" w:after="100" w:afterAutospacing="1" w:line="240" w:lineRule="auto"/>
    </w:pPr>
    <w:rPr>
      <w:rFonts w:eastAsia="Times New Roman"/>
    </w:rPr>
  </w:style>
  <w:style w:type="paragraph" w:customStyle="1" w:styleId="tbl-num">
    <w:name w:val="tbl-num"/>
    <w:basedOn w:val="Normal"/>
    <w:rsid w:val="00651E84"/>
    <w:pPr>
      <w:spacing w:before="100" w:beforeAutospacing="1" w:after="100" w:afterAutospacing="1" w:line="240" w:lineRule="auto"/>
    </w:pPr>
    <w:rPr>
      <w:rFonts w:eastAsia="Times New Roman"/>
    </w:rPr>
  </w:style>
  <w:style w:type="character" w:customStyle="1" w:styleId="sub">
    <w:name w:val="sub"/>
    <w:basedOn w:val="Fuentedeprrafopredeter"/>
    <w:rsid w:val="00651E84"/>
  </w:style>
  <w:style w:type="character" w:customStyle="1" w:styleId="expanded">
    <w:name w:val="expanded"/>
    <w:basedOn w:val="Fuentedeprrafopredeter"/>
    <w:rsid w:val="00651E84"/>
  </w:style>
  <w:style w:type="paragraph" w:customStyle="1" w:styleId="center">
    <w:name w:val="center"/>
    <w:basedOn w:val="Normal"/>
    <w:rsid w:val="00651E84"/>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bin"/><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unece.org/sites/default/files/2022-06/ECE_TRANS_289_S.pdf" TargetMode="External"/><Relationship Id="rId1" Type="http://schemas.openxmlformats.org/officeDocument/2006/relationships/hyperlink" Target="http://svrpubindc.imprenta.gov.co/senado/index2.xhtml?ent=Senado&amp;fec=8-9-2022&amp;num=105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36061</Words>
  <Characters>198336</Characters>
  <Application>Microsoft Office Word</Application>
  <DocSecurity>0</DocSecurity>
  <Lines>1652</Lines>
  <Paragraphs>467</Paragraphs>
  <ScaleCrop>false</ScaleCrop>
  <Company/>
  <LinksUpToDate>false</LinksUpToDate>
  <CharactersWithSpaces>233930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2024-06-14T20:16:00Z</dcterms:created>
  <dcterms:modified xsi:type="dcterms:W3CDTF">2024-06-14T20:16:00Z</dcterms:modified>
</cp:coreProperties>
</file>