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2EF" w:rsidRPr="00D85C08" w:rsidRDefault="007A3C3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85C08">
        <w:rPr>
          <w:rFonts w:ascii="Times New Roman" w:hAnsi="Times New Roman" w:cs="Times New Roman"/>
          <w:sz w:val="28"/>
          <w:szCs w:val="24"/>
        </w:rPr>
        <w:t xml:space="preserve"> </w:t>
      </w:r>
    </w:p>
    <w:p w:rsidR="00DB42EF" w:rsidRPr="00D85C08" w:rsidRDefault="00DB42EF">
      <w:pPr>
        <w:widowControl w:val="0"/>
        <w:autoSpaceDE w:val="0"/>
        <w:autoSpaceDN w:val="0"/>
        <w:adjustRightInd w:val="0"/>
        <w:spacing w:after="0" w:line="240" w:lineRule="auto"/>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center"/>
        <w:rPr>
          <w:rFonts w:ascii="Times New Roman" w:hAnsi="Times New Roman" w:cs="Times New Roman"/>
          <w:b/>
          <w:bCs/>
          <w:sz w:val="28"/>
          <w:szCs w:val="28"/>
        </w:rPr>
      </w:pPr>
      <w:r w:rsidRPr="00D85C08">
        <w:rPr>
          <w:rFonts w:ascii="Times New Roman" w:hAnsi="Times New Roman" w:cs="Times New Roman"/>
          <w:b/>
          <w:bCs/>
          <w:sz w:val="28"/>
          <w:szCs w:val="28"/>
        </w:rPr>
        <w:t xml:space="preserve">TEMAS-SUBTEMAS </w:t>
      </w:r>
    </w:p>
    <w:p w:rsidR="00DB42EF" w:rsidRPr="00D85C08" w:rsidRDefault="00DB42EF">
      <w:pPr>
        <w:widowControl w:val="0"/>
        <w:autoSpaceDE w:val="0"/>
        <w:autoSpaceDN w:val="0"/>
        <w:adjustRightInd w:val="0"/>
        <w:spacing w:after="0" w:line="240" w:lineRule="auto"/>
        <w:jc w:val="center"/>
        <w:rPr>
          <w:rFonts w:ascii="Times New Roman" w:hAnsi="Times New Roman" w:cs="Times New Roman"/>
          <w:b/>
          <w:bCs/>
          <w:sz w:val="28"/>
          <w:szCs w:val="28"/>
        </w:rPr>
      </w:pPr>
    </w:p>
    <w:p w:rsidR="00DB42EF" w:rsidRPr="00D85C08" w:rsidRDefault="007A3C33">
      <w:pPr>
        <w:widowControl w:val="0"/>
        <w:autoSpaceDE w:val="0"/>
        <w:autoSpaceDN w:val="0"/>
        <w:adjustRightInd w:val="0"/>
        <w:spacing w:after="0" w:line="240" w:lineRule="auto"/>
        <w:jc w:val="center"/>
        <w:rPr>
          <w:rFonts w:ascii="Times New Roman" w:hAnsi="Times New Roman" w:cs="Times New Roman"/>
          <w:sz w:val="28"/>
          <w:szCs w:val="28"/>
        </w:rPr>
      </w:pPr>
      <w:r w:rsidRPr="00D85C08">
        <w:rPr>
          <w:rFonts w:ascii="Times New Roman" w:hAnsi="Times New Roman" w:cs="Times New Roman"/>
          <w:b/>
          <w:bCs/>
          <w:sz w:val="28"/>
          <w:szCs w:val="28"/>
        </w:rPr>
        <w:t xml:space="preserve">Sentencia C-116/24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PROTOCOLO ADICIONAL DEL ACUERDO COMERCIAL ENTRE COLOMBIA Y EL PERÚ, POR UNA PARTE, Y LA UNIÓN EUROPEA Y SUS ESTADOS MIEMBROS, POR OTRA</w:t>
      </w:r>
      <w:r w:rsidRPr="00D85C08">
        <w:rPr>
          <w:rFonts w:ascii="Times New Roman" w:hAnsi="Times New Roman" w:cs="Times New Roman"/>
          <w:sz w:val="28"/>
          <w:szCs w:val="28"/>
        </w:rPr>
        <w:t xml:space="preserve">-Inexequibilidad De La Ley Aprobatoria Por Incumplimiento Del Análisis De Impacto Fiscal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CONTROL DE CONSTITUCIONALIDAD DE LEY APROBATORIA DE TRATADO</w:t>
      </w:r>
      <w:r w:rsidRPr="00D85C08">
        <w:rPr>
          <w:rFonts w:ascii="Times New Roman" w:hAnsi="Times New Roman" w:cs="Times New Roman"/>
          <w:sz w:val="28"/>
          <w:szCs w:val="28"/>
        </w:rPr>
        <w:t xml:space="preserve">-Características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CONTROL DE CONSTITUCIONALIDAD EN MATERIA DE TRATADOS Y LEYES APROBATORIAS DE TRATADOS</w:t>
      </w:r>
      <w:r w:rsidRPr="00D85C08">
        <w:rPr>
          <w:rFonts w:ascii="Times New Roman" w:hAnsi="Times New Roman" w:cs="Times New Roman"/>
          <w:sz w:val="28"/>
          <w:szCs w:val="28"/>
        </w:rPr>
        <w:t xml:space="preserve">-Control formal y material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CONTROL FORMAL DE CONSTITUCIONALIDAD DE TRATADOS INTERNACIONALES Y LEYES APROBATORIAS DE TRATADOS</w:t>
      </w:r>
      <w:r w:rsidRPr="00D85C08">
        <w:rPr>
          <w:rFonts w:ascii="Times New Roman" w:hAnsi="Times New Roman" w:cs="Times New Roman"/>
          <w:sz w:val="28"/>
          <w:szCs w:val="28"/>
        </w:rPr>
        <w:t xml:space="preserve">-Aspectos que comprende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ANÁLISIS DE IMPACTO FISCAL DE LAS NORMAS</w:t>
      </w:r>
      <w:r w:rsidRPr="00D85C08">
        <w:rPr>
          <w:rFonts w:ascii="Times New Roman" w:hAnsi="Times New Roman" w:cs="Times New Roman"/>
          <w:sz w:val="28"/>
          <w:szCs w:val="28"/>
        </w:rPr>
        <w:t xml:space="preserve">-Contenido y alcance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ANÁLISIS DE IMPACTO FISCAL EN TRÁMITE LEGISLATIVO</w:t>
      </w:r>
      <w:r w:rsidRPr="00D85C08">
        <w:rPr>
          <w:rFonts w:ascii="Times New Roman" w:hAnsi="Times New Roman" w:cs="Times New Roman"/>
          <w:sz w:val="28"/>
          <w:szCs w:val="28"/>
        </w:rPr>
        <w:t xml:space="preserve">-Mandatos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D85C08">
        <w:rPr>
          <w:rFonts w:ascii="Times New Roman" w:hAnsi="Times New Roman" w:cs="Times New Roman"/>
          <w:sz w:val="28"/>
          <w:szCs w:val="28"/>
        </w:rPr>
        <w:t xml:space="preserve">-Supuesto temporal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7A3C33">
      <w:pPr>
        <w:widowControl w:val="0"/>
        <w:autoSpaceDE w:val="0"/>
        <w:autoSpaceDN w:val="0"/>
        <w:adjustRightInd w:val="0"/>
        <w:spacing w:after="0" w:line="240" w:lineRule="auto"/>
        <w:jc w:val="both"/>
        <w:rPr>
          <w:rFonts w:ascii="Times New Roman" w:hAnsi="Times New Roman" w:cs="Times New Roman"/>
          <w:sz w:val="28"/>
          <w:szCs w:val="28"/>
        </w:rPr>
      </w:pPr>
      <w:r w:rsidRPr="00D85C08">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D85C08">
        <w:rPr>
          <w:rFonts w:ascii="Times New Roman" w:hAnsi="Times New Roman" w:cs="Times New Roman"/>
          <w:sz w:val="28"/>
          <w:szCs w:val="28"/>
        </w:rPr>
        <w:t xml:space="preserve">-Incumplimiento constituye vicio insubsanable </w:t>
      </w:r>
    </w:p>
    <w:p w:rsidR="00DB42EF" w:rsidRPr="00D85C08" w:rsidRDefault="00DB42EF">
      <w:pPr>
        <w:widowControl w:val="0"/>
        <w:autoSpaceDE w:val="0"/>
        <w:autoSpaceDN w:val="0"/>
        <w:adjustRightInd w:val="0"/>
        <w:spacing w:after="0" w:line="240" w:lineRule="auto"/>
        <w:jc w:val="both"/>
        <w:rPr>
          <w:rFonts w:ascii="Times New Roman" w:hAnsi="Times New Roman" w:cs="Times New Roman"/>
          <w:sz w:val="28"/>
          <w:szCs w:val="28"/>
        </w:rPr>
      </w:pPr>
    </w:p>
    <w:p w:rsidR="00DB42EF" w:rsidRPr="00D85C08" w:rsidRDefault="00D85C08">
      <w:pPr>
        <w:widowControl w:val="0"/>
        <w:autoSpaceDE w:val="0"/>
        <w:autoSpaceDN w:val="0"/>
        <w:adjustRightInd w:val="0"/>
        <w:spacing w:after="0" w:line="240" w:lineRule="auto"/>
        <w:jc w:val="both"/>
        <w:rPr>
          <w:rFonts w:ascii="Times New Roman" w:hAnsi="Times New Roman" w:cs="Times New Roman"/>
          <w:sz w:val="28"/>
        </w:rPr>
      </w:pPr>
      <w:r w:rsidRPr="00D85C08">
        <w:rPr>
          <w:rFonts w:ascii="Times New Roman" w:hAnsi="Times New Roman" w:cs="Times New Roman"/>
          <w:sz w:val="28"/>
          <w:szCs w:val="28"/>
        </w:rPr>
        <w:pict>
          <v:rect id="_x0000_i1025" style="width:0;height:1.5pt" o:hralign="center" o:hrstd="t" o:hr="t" fillcolor="#a0a0a0" stroked="f"/>
        </w:pict>
      </w:r>
    </w:p>
    <w:p w:rsidR="006478DD" w:rsidRPr="00D85C08" w:rsidRDefault="00D85C08" w:rsidP="009B6C94">
      <w:pPr>
        <w:overflowPunct w:val="0"/>
        <w:autoSpaceDE w:val="0"/>
        <w:autoSpaceDN w:val="0"/>
        <w:adjustRightInd w:val="0"/>
        <w:spacing w:after="0" w:line="240" w:lineRule="auto"/>
        <w:ind w:left="708" w:hanging="708"/>
        <w:jc w:val="center"/>
        <w:textAlignment w:val="baseline"/>
        <w:rPr>
          <w:rFonts w:ascii="Times New Roman" w:eastAsia="Times New Roman" w:hAnsi="Times New Roman" w:cs="Times New Roman"/>
          <w:b/>
          <w:sz w:val="28"/>
          <w:szCs w:val="28"/>
          <w:lang w:eastAsia="es-ES"/>
        </w:rPr>
      </w:pPr>
      <w:bookmarkStart w:id="1" w:name="_Hlk111730920"/>
      <w:bookmarkStart w:id="2" w:name="_Hlk115785971"/>
      <w:bookmarkStart w:id="3" w:name="_Hlk110949468"/>
      <w:bookmarkEnd w:id="1"/>
      <w:r w:rsidRPr="00D85C08">
        <w:rPr>
          <w:rFonts w:ascii="Times New Roman" w:eastAsia="Times New Roman" w:hAnsi="Times New Roman" w:cs="Times New Roman"/>
          <w:b/>
          <w:sz w:val="28"/>
          <w:szCs w:val="28"/>
          <w:lang w:eastAsia="es-ES"/>
        </w:rPr>
        <w:t>REPÚBLICA DE COLOMBIA</w:t>
      </w:r>
    </w:p>
    <w:p w:rsidR="006478DD" w:rsidRPr="00D85C08" w:rsidRDefault="00D85C08" w:rsidP="009B6C9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lang w:eastAsia="es-ES"/>
        </w:rPr>
      </w:pPr>
      <w:r w:rsidRPr="00D85C08">
        <w:rPr>
          <w:rFonts w:ascii="Times New Roman" w:eastAsia="Times New Roman" w:hAnsi="Times New Roman" w:cs="Times New Roman"/>
          <w:b/>
          <w:noProof/>
          <w:sz w:val="28"/>
          <w:szCs w:val="28"/>
        </w:rPr>
        <w:drawing>
          <wp:inline distT="0" distB="0" distL="0" distR="0" wp14:anchorId="38B45AF5" wp14:editId="1B6F0353">
            <wp:extent cx="628015" cy="628015"/>
            <wp:effectExtent l="0" t="0" r="63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pic:spPr>
                </pic:pic>
              </a:graphicData>
            </a:graphic>
          </wp:inline>
        </w:drawing>
      </w:r>
    </w:p>
    <w:p w:rsidR="006478DD" w:rsidRPr="00D85C08" w:rsidRDefault="00D85C08" w:rsidP="009B6C94">
      <w:pPr>
        <w:spacing w:after="0" w:line="240" w:lineRule="auto"/>
        <w:jc w:val="center"/>
        <w:rPr>
          <w:rFonts w:ascii="Times New Roman" w:eastAsia="Times New Roman" w:hAnsi="Times New Roman" w:cs="Times New Roman"/>
          <w:b/>
          <w:sz w:val="28"/>
          <w:szCs w:val="28"/>
          <w:lang w:eastAsia="es-MX"/>
        </w:rPr>
      </w:pPr>
      <w:r w:rsidRPr="00D85C08">
        <w:rPr>
          <w:rFonts w:ascii="Times New Roman" w:eastAsia="Times New Roman" w:hAnsi="Times New Roman" w:cs="Times New Roman"/>
          <w:b/>
          <w:sz w:val="28"/>
          <w:szCs w:val="28"/>
          <w:lang w:eastAsia="es-MX"/>
        </w:rPr>
        <w:t>CORTE CONSTITUCIONAL</w:t>
      </w:r>
    </w:p>
    <w:p w:rsidR="006478DD" w:rsidRPr="00D85C08" w:rsidRDefault="00D85C08" w:rsidP="009B6C94">
      <w:pPr>
        <w:spacing w:after="0" w:line="240" w:lineRule="auto"/>
        <w:jc w:val="center"/>
        <w:rPr>
          <w:rFonts w:ascii="Times New Roman" w:eastAsia="Times New Roman" w:hAnsi="Times New Roman" w:cs="Times New Roman"/>
          <w:b/>
          <w:sz w:val="28"/>
          <w:szCs w:val="28"/>
          <w:lang w:eastAsia="es-MX"/>
        </w:rPr>
      </w:pPr>
      <w:r w:rsidRPr="00D85C08">
        <w:rPr>
          <w:rFonts w:ascii="Times New Roman" w:eastAsia="Times New Roman" w:hAnsi="Times New Roman" w:cs="Times New Roman"/>
          <w:b/>
          <w:sz w:val="28"/>
          <w:szCs w:val="28"/>
          <w:lang w:eastAsia="es-MX"/>
        </w:rPr>
        <w:t>Sala Plena</w:t>
      </w:r>
    </w:p>
    <w:p w:rsidR="006478DD" w:rsidRPr="00D85C08" w:rsidRDefault="00D85C08" w:rsidP="009B6C94">
      <w:pPr>
        <w:spacing w:after="0" w:line="240" w:lineRule="auto"/>
        <w:ind w:left="4395"/>
        <w:rPr>
          <w:rFonts w:ascii="Times New Roman" w:eastAsia="Times New Roman" w:hAnsi="Times New Roman" w:cs="Times New Roman"/>
          <w:sz w:val="28"/>
          <w:szCs w:val="28"/>
          <w:lang w:eastAsia="es-ES"/>
        </w:rPr>
      </w:pPr>
    </w:p>
    <w:p w:rsidR="00ED4BAC" w:rsidRPr="00D85C08" w:rsidRDefault="00D85C08" w:rsidP="006478DD">
      <w:pPr>
        <w:spacing w:after="0" w:line="240" w:lineRule="auto"/>
        <w:ind w:left="4395"/>
        <w:rPr>
          <w:rFonts w:ascii="Times New Roman" w:eastAsia="Times New Roman" w:hAnsi="Times New Roman" w:cs="Times New Roman"/>
          <w:sz w:val="28"/>
          <w:szCs w:val="28"/>
          <w:lang w:eastAsia="es-ES"/>
        </w:rPr>
      </w:pPr>
    </w:p>
    <w:p w:rsidR="006478DD" w:rsidRPr="00D85C08" w:rsidRDefault="00D85C08" w:rsidP="006478DD">
      <w:pPr>
        <w:spacing w:after="0" w:line="240" w:lineRule="auto"/>
        <w:ind w:right="51"/>
        <w:jc w:val="center"/>
        <w:rPr>
          <w:rFonts w:ascii="Times New Roman" w:eastAsia="Times New Roman" w:hAnsi="Times New Roman" w:cs="Times New Roman"/>
          <w:b/>
          <w:sz w:val="28"/>
          <w:szCs w:val="28"/>
          <w:lang w:eastAsia="es-MX"/>
        </w:rPr>
      </w:pPr>
      <w:r w:rsidRPr="00D85C08">
        <w:rPr>
          <w:rFonts w:ascii="Times New Roman" w:eastAsia="Times New Roman" w:hAnsi="Times New Roman" w:cs="Times New Roman"/>
          <w:b/>
          <w:sz w:val="28"/>
          <w:szCs w:val="28"/>
          <w:lang w:eastAsia="es-MX"/>
        </w:rPr>
        <w:t>SENTENCIA C-</w:t>
      </w:r>
      <w:r w:rsidRPr="00D85C08">
        <w:rPr>
          <w:rFonts w:ascii="Times New Roman" w:eastAsia="Times New Roman" w:hAnsi="Times New Roman" w:cs="Times New Roman"/>
          <w:b/>
          <w:sz w:val="28"/>
          <w:szCs w:val="28"/>
          <w:lang w:eastAsia="es-MX"/>
        </w:rPr>
        <w:t>116</w:t>
      </w:r>
      <w:r w:rsidRPr="00D85C08">
        <w:rPr>
          <w:rFonts w:ascii="Times New Roman" w:eastAsia="Times New Roman" w:hAnsi="Times New Roman" w:cs="Times New Roman"/>
          <w:b/>
          <w:sz w:val="28"/>
          <w:szCs w:val="28"/>
          <w:lang w:eastAsia="es-MX"/>
        </w:rPr>
        <w:t xml:space="preserve"> DE 202</w:t>
      </w:r>
      <w:r w:rsidRPr="00D85C08">
        <w:rPr>
          <w:rFonts w:ascii="Times New Roman" w:eastAsia="Times New Roman" w:hAnsi="Times New Roman" w:cs="Times New Roman"/>
          <w:b/>
          <w:sz w:val="28"/>
          <w:szCs w:val="28"/>
          <w:lang w:eastAsia="es-MX"/>
        </w:rPr>
        <w:t>4</w:t>
      </w:r>
    </w:p>
    <w:p w:rsidR="006478DD" w:rsidRPr="00D85C08" w:rsidRDefault="00D85C08" w:rsidP="006478DD">
      <w:pPr>
        <w:spacing w:after="0" w:line="240" w:lineRule="auto"/>
        <w:jc w:val="both"/>
        <w:rPr>
          <w:rFonts w:ascii="Times New Roman" w:eastAsia="Times New Roman" w:hAnsi="Times New Roman" w:cs="Times New Roman"/>
          <w:b/>
          <w:bCs/>
          <w:sz w:val="28"/>
          <w:szCs w:val="28"/>
          <w:lang w:eastAsia="es-MX"/>
        </w:rPr>
      </w:pPr>
    </w:p>
    <w:p w:rsidR="006478DD" w:rsidRPr="00D85C08" w:rsidRDefault="00D85C08" w:rsidP="006478DD">
      <w:pPr>
        <w:spacing w:after="0" w:line="240" w:lineRule="auto"/>
        <w:ind w:left="3969"/>
        <w:jc w:val="both"/>
        <w:rPr>
          <w:rFonts w:ascii="Times New Roman" w:eastAsia="Times New Roman" w:hAnsi="Times New Roman" w:cs="Times New Roman"/>
          <w:sz w:val="28"/>
          <w:szCs w:val="28"/>
          <w:lang w:eastAsia="es-MX"/>
        </w:rPr>
      </w:pPr>
      <w:r w:rsidRPr="00D85C08">
        <w:rPr>
          <w:rFonts w:ascii="Times New Roman" w:eastAsia="Times New Roman" w:hAnsi="Times New Roman" w:cs="Times New Roman"/>
          <w:b/>
          <w:bCs/>
          <w:sz w:val="28"/>
          <w:szCs w:val="28"/>
          <w:lang w:eastAsia="es-MX"/>
        </w:rPr>
        <w:t xml:space="preserve">Ref.: </w:t>
      </w:r>
      <w:r w:rsidRPr="00D85C08">
        <w:rPr>
          <w:rFonts w:ascii="Times New Roman" w:eastAsia="Times New Roman" w:hAnsi="Times New Roman" w:cs="Times New Roman"/>
          <w:sz w:val="28"/>
          <w:szCs w:val="28"/>
          <w:lang w:eastAsia="es-MX"/>
        </w:rPr>
        <w:t>expediente LAT-492</w:t>
      </w:r>
    </w:p>
    <w:p w:rsidR="006478DD" w:rsidRPr="00D85C08" w:rsidRDefault="00D85C08" w:rsidP="006478DD">
      <w:pPr>
        <w:spacing w:after="0" w:line="240" w:lineRule="auto"/>
        <w:ind w:left="3969"/>
        <w:jc w:val="both"/>
        <w:rPr>
          <w:rFonts w:ascii="Times New Roman" w:eastAsia="Times New Roman" w:hAnsi="Times New Roman" w:cs="Times New Roman"/>
          <w:sz w:val="28"/>
          <w:szCs w:val="28"/>
          <w:lang w:eastAsia="es-MX"/>
        </w:rPr>
      </w:pPr>
    </w:p>
    <w:p w:rsidR="006478DD" w:rsidRPr="00D85C08" w:rsidRDefault="00D85C08" w:rsidP="006478DD">
      <w:pPr>
        <w:kinsoku w:val="0"/>
        <w:overflowPunct w:val="0"/>
        <w:autoSpaceDE w:val="0"/>
        <w:autoSpaceDN w:val="0"/>
        <w:adjustRightInd w:val="0"/>
        <w:spacing w:after="0" w:line="240" w:lineRule="auto"/>
        <w:ind w:left="3969"/>
        <w:jc w:val="both"/>
        <w:rPr>
          <w:rFonts w:ascii="Times New Roman" w:hAnsi="Times New Roman" w:cs="Times New Roman"/>
          <w:sz w:val="28"/>
          <w:szCs w:val="28"/>
        </w:rPr>
      </w:pPr>
      <w:bookmarkStart w:id="4" w:name="_Hlk110851705"/>
      <w:r w:rsidRPr="00D85C08">
        <w:rPr>
          <w:rFonts w:ascii="Times New Roman" w:hAnsi="Times New Roman" w:cs="Times New Roman"/>
          <w:sz w:val="28"/>
          <w:szCs w:val="28"/>
          <w:lang w:val="es-ES_tradnl"/>
        </w:rPr>
        <w:t>Control automático de constitucionalidad del «Protocolo Adicional</w:t>
      </w:r>
      <w:r w:rsidRPr="00D85C08">
        <w:rPr>
          <w:rFonts w:ascii="Times New Roman" w:hAnsi="Times New Roman" w:cs="Times New Roman"/>
          <w:sz w:val="28"/>
        </w:rPr>
        <w:t xml:space="preserve"> </w:t>
      </w:r>
      <w:r w:rsidRPr="00D85C08">
        <w:rPr>
          <w:rFonts w:ascii="Times New Roman" w:hAnsi="Times New Roman" w:cs="Times New Roman"/>
          <w:sz w:val="28"/>
          <w:szCs w:val="28"/>
        </w:rPr>
        <w:t xml:space="preserve">del Acuerdo </w:t>
      </w:r>
      <w:r w:rsidRPr="00D85C08">
        <w:rPr>
          <w:rFonts w:ascii="Times New Roman" w:hAnsi="Times New Roman" w:cs="Times New Roman"/>
          <w:sz w:val="28"/>
          <w:szCs w:val="28"/>
        </w:rPr>
        <w:t>Comercial entre la Unión Europea y sus Estados Miembros, por una parte, y Colombia y el Perú,</w:t>
      </w:r>
      <w:r w:rsidRPr="00D85C08">
        <w:rPr>
          <w:rFonts w:ascii="Times New Roman" w:hAnsi="Times New Roman" w:cs="Times New Roman"/>
          <w:sz w:val="28"/>
        </w:rPr>
        <w:t xml:space="preserve"> </w:t>
      </w:r>
      <w:r w:rsidRPr="00D85C08">
        <w:rPr>
          <w:rFonts w:ascii="Times New Roman" w:hAnsi="Times New Roman" w:cs="Times New Roman"/>
          <w:sz w:val="28"/>
          <w:szCs w:val="28"/>
        </w:rPr>
        <w:t>por otra, para tener en cuenta la adhesión de la República de Croacia a la Unión Europea</w:t>
      </w:r>
      <w:r w:rsidRPr="00D85C08">
        <w:rPr>
          <w:rFonts w:ascii="Times New Roman" w:hAnsi="Times New Roman" w:cs="Times New Roman"/>
          <w:sz w:val="28"/>
          <w:szCs w:val="28"/>
          <w:lang w:val="es-ES_tradnl"/>
        </w:rPr>
        <w:t>», suscrito en Bruselas el 30 de junio de 2015, y de la Ley 2293 del 26 de</w:t>
      </w:r>
      <w:r w:rsidRPr="00D85C08">
        <w:rPr>
          <w:rFonts w:ascii="Times New Roman" w:hAnsi="Times New Roman" w:cs="Times New Roman"/>
          <w:sz w:val="28"/>
          <w:szCs w:val="28"/>
          <w:lang w:val="es-ES_tradnl"/>
        </w:rPr>
        <w:t xml:space="preserve"> abril de 2023, por medio de la cual fue aprobado.</w:t>
      </w:r>
    </w:p>
    <w:bookmarkEnd w:id="4"/>
    <w:p w:rsidR="006478DD" w:rsidRPr="00D85C08" w:rsidRDefault="00D85C08" w:rsidP="006478DD">
      <w:pPr>
        <w:spacing w:after="0" w:line="240" w:lineRule="auto"/>
        <w:ind w:left="3969"/>
        <w:jc w:val="both"/>
        <w:rPr>
          <w:rFonts w:ascii="Times New Roman" w:eastAsia="Times New Roman" w:hAnsi="Times New Roman" w:cs="Times New Roman"/>
          <w:sz w:val="28"/>
          <w:szCs w:val="28"/>
          <w:lang w:eastAsia="es-MX"/>
        </w:rPr>
      </w:pPr>
    </w:p>
    <w:p w:rsidR="006478DD" w:rsidRPr="00D85C08" w:rsidRDefault="00D85C08" w:rsidP="006478DD">
      <w:pPr>
        <w:spacing w:after="0" w:line="240" w:lineRule="auto"/>
        <w:ind w:left="3969"/>
        <w:jc w:val="both"/>
        <w:rPr>
          <w:rFonts w:ascii="Times New Roman" w:eastAsia="Times New Roman" w:hAnsi="Times New Roman" w:cs="Times New Roman"/>
          <w:b/>
          <w:bCs/>
          <w:sz w:val="28"/>
          <w:szCs w:val="28"/>
          <w:lang w:eastAsia="es-MX"/>
        </w:rPr>
      </w:pPr>
      <w:r w:rsidRPr="00D85C08">
        <w:rPr>
          <w:rFonts w:ascii="Times New Roman" w:eastAsia="Times New Roman" w:hAnsi="Times New Roman" w:cs="Times New Roman"/>
          <w:b/>
          <w:bCs/>
          <w:sz w:val="28"/>
          <w:szCs w:val="28"/>
          <w:lang w:eastAsia="es-MX"/>
        </w:rPr>
        <w:t>Magistrada ponente:</w:t>
      </w:r>
    </w:p>
    <w:p w:rsidR="006478DD" w:rsidRPr="00D85C08" w:rsidRDefault="00D85C08" w:rsidP="006478DD">
      <w:pPr>
        <w:spacing w:after="0" w:line="240" w:lineRule="auto"/>
        <w:ind w:left="3969"/>
        <w:jc w:val="both"/>
        <w:rPr>
          <w:rFonts w:ascii="Times New Roman" w:eastAsia="Times New Roman" w:hAnsi="Times New Roman" w:cs="Times New Roman"/>
          <w:bCs/>
          <w:sz w:val="28"/>
          <w:szCs w:val="28"/>
          <w:lang w:eastAsia="es-MX"/>
        </w:rPr>
      </w:pPr>
      <w:r w:rsidRPr="00D85C08">
        <w:rPr>
          <w:rFonts w:ascii="Times New Roman" w:eastAsia="Times New Roman" w:hAnsi="Times New Roman" w:cs="Times New Roman"/>
          <w:bCs/>
          <w:sz w:val="28"/>
          <w:szCs w:val="28"/>
          <w:lang w:eastAsia="es-MX"/>
        </w:rPr>
        <w:t>CRISTINA PARDO SCHLESINGER</w:t>
      </w:r>
    </w:p>
    <w:p w:rsidR="006478DD" w:rsidRPr="00D85C08" w:rsidRDefault="00D85C08" w:rsidP="006478DD">
      <w:pPr>
        <w:spacing w:after="0" w:line="240" w:lineRule="auto"/>
        <w:jc w:val="both"/>
        <w:rPr>
          <w:rFonts w:ascii="Times New Roman" w:eastAsia="Times New Roman" w:hAnsi="Times New Roman" w:cs="Times New Roman"/>
          <w:sz w:val="28"/>
          <w:szCs w:val="28"/>
          <w:lang w:eastAsia="es-MX"/>
        </w:rPr>
      </w:pPr>
    </w:p>
    <w:p w:rsidR="006478DD" w:rsidRPr="00D85C08" w:rsidRDefault="00D85C08" w:rsidP="006478DD">
      <w:pPr>
        <w:spacing w:after="0" w:line="240" w:lineRule="auto"/>
        <w:jc w:val="both"/>
        <w:rPr>
          <w:rFonts w:ascii="Times New Roman" w:eastAsia="Times New Roman" w:hAnsi="Times New Roman" w:cs="Times New Roman"/>
          <w:sz w:val="28"/>
          <w:szCs w:val="28"/>
          <w:lang w:eastAsia="es-MX"/>
        </w:rPr>
      </w:pPr>
      <w:r w:rsidRPr="00D85C08">
        <w:rPr>
          <w:rFonts w:ascii="Times New Roman" w:eastAsia="Times New Roman" w:hAnsi="Times New Roman" w:cs="Times New Roman"/>
          <w:sz w:val="28"/>
          <w:szCs w:val="28"/>
          <w:lang w:eastAsia="es-MX"/>
        </w:rPr>
        <w:t xml:space="preserve">Bogotá, D. C., </w:t>
      </w:r>
      <w:r w:rsidRPr="00D85C08">
        <w:rPr>
          <w:rFonts w:ascii="Times New Roman" w:eastAsia="Times New Roman" w:hAnsi="Times New Roman" w:cs="Times New Roman"/>
          <w:sz w:val="28"/>
          <w:szCs w:val="28"/>
          <w:lang w:eastAsia="es-MX"/>
        </w:rPr>
        <w:t xml:space="preserve">once </w:t>
      </w:r>
      <w:r w:rsidRPr="00D85C08">
        <w:rPr>
          <w:rFonts w:ascii="Times New Roman" w:eastAsia="Times New Roman" w:hAnsi="Times New Roman" w:cs="Times New Roman"/>
          <w:sz w:val="28"/>
          <w:szCs w:val="28"/>
          <w:lang w:eastAsia="es-MX"/>
        </w:rPr>
        <w:t>(</w:t>
      </w:r>
      <w:r w:rsidRPr="00D85C08">
        <w:rPr>
          <w:rFonts w:ascii="Times New Roman" w:eastAsia="Times New Roman" w:hAnsi="Times New Roman" w:cs="Times New Roman"/>
          <w:sz w:val="28"/>
          <w:szCs w:val="28"/>
          <w:lang w:eastAsia="es-MX"/>
        </w:rPr>
        <w:t>11)</w:t>
      </w:r>
      <w:r w:rsidRPr="00D85C08">
        <w:rPr>
          <w:rFonts w:ascii="Times New Roman" w:eastAsia="Times New Roman" w:hAnsi="Times New Roman" w:cs="Times New Roman"/>
          <w:sz w:val="28"/>
          <w:szCs w:val="28"/>
          <w:lang w:eastAsia="es-MX"/>
        </w:rPr>
        <w:t xml:space="preserve"> </w:t>
      </w:r>
      <w:r w:rsidRPr="00D85C08">
        <w:rPr>
          <w:rFonts w:ascii="Times New Roman" w:eastAsia="Times New Roman" w:hAnsi="Times New Roman" w:cs="Times New Roman"/>
          <w:sz w:val="28"/>
          <w:szCs w:val="28"/>
          <w:lang w:eastAsia="es-MX"/>
        </w:rPr>
        <w:t>de abril</w:t>
      </w:r>
      <w:r w:rsidRPr="00D85C08">
        <w:rPr>
          <w:rFonts w:ascii="Times New Roman" w:eastAsia="Times New Roman" w:hAnsi="Times New Roman" w:cs="Times New Roman"/>
          <w:sz w:val="28"/>
          <w:szCs w:val="28"/>
          <w:lang w:eastAsia="es-MX"/>
        </w:rPr>
        <w:t xml:space="preserve"> de dos mil veinti</w:t>
      </w:r>
      <w:r w:rsidRPr="00D85C08">
        <w:rPr>
          <w:rFonts w:ascii="Times New Roman" w:eastAsia="Times New Roman" w:hAnsi="Times New Roman" w:cs="Times New Roman"/>
          <w:sz w:val="28"/>
          <w:szCs w:val="28"/>
          <w:lang w:eastAsia="es-MX"/>
        </w:rPr>
        <w:t>cuatro</w:t>
      </w:r>
      <w:r w:rsidRPr="00D85C08">
        <w:rPr>
          <w:rFonts w:ascii="Times New Roman" w:eastAsia="Times New Roman" w:hAnsi="Times New Roman" w:cs="Times New Roman"/>
          <w:sz w:val="28"/>
          <w:szCs w:val="28"/>
          <w:lang w:eastAsia="es-MX"/>
        </w:rPr>
        <w:t xml:space="preserve"> (202</w:t>
      </w:r>
      <w:r w:rsidRPr="00D85C08">
        <w:rPr>
          <w:rFonts w:ascii="Times New Roman" w:eastAsia="Times New Roman" w:hAnsi="Times New Roman" w:cs="Times New Roman"/>
          <w:sz w:val="28"/>
          <w:szCs w:val="28"/>
          <w:lang w:eastAsia="es-MX"/>
        </w:rPr>
        <w:t>4</w:t>
      </w:r>
      <w:r w:rsidRPr="00D85C08">
        <w:rPr>
          <w:rFonts w:ascii="Times New Roman" w:eastAsia="Times New Roman" w:hAnsi="Times New Roman" w:cs="Times New Roman"/>
          <w:sz w:val="28"/>
          <w:szCs w:val="28"/>
          <w:lang w:eastAsia="es-MX"/>
        </w:rPr>
        <w:t xml:space="preserve">). </w:t>
      </w:r>
    </w:p>
    <w:p w:rsidR="006478DD" w:rsidRPr="00D85C08" w:rsidRDefault="00D85C08" w:rsidP="006478DD">
      <w:pPr>
        <w:spacing w:after="0" w:line="240" w:lineRule="auto"/>
        <w:jc w:val="both"/>
        <w:rPr>
          <w:rFonts w:ascii="Times New Roman" w:eastAsia="Times New Roman" w:hAnsi="Times New Roman" w:cs="Times New Roman"/>
          <w:sz w:val="28"/>
          <w:szCs w:val="28"/>
          <w:lang w:eastAsia="es-MX"/>
        </w:rPr>
      </w:pPr>
    </w:p>
    <w:p w:rsidR="006478DD" w:rsidRPr="00D85C08" w:rsidRDefault="00D85C08" w:rsidP="006478DD">
      <w:pPr>
        <w:spacing w:after="0" w:line="240" w:lineRule="auto"/>
        <w:jc w:val="both"/>
        <w:rPr>
          <w:rFonts w:ascii="Times New Roman" w:eastAsia="Times New Roman" w:hAnsi="Times New Roman" w:cs="Times New Roman"/>
          <w:sz w:val="28"/>
          <w:szCs w:val="28"/>
          <w:shd w:val="clear" w:color="auto" w:fill="FFFFFF"/>
          <w:lang w:eastAsia="es-MX"/>
        </w:rPr>
      </w:pPr>
      <w:r w:rsidRPr="00D85C08">
        <w:rPr>
          <w:rFonts w:ascii="Times New Roman" w:eastAsia="Times New Roman" w:hAnsi="Times New Roman" w:cs="Times New Roman"/>
          <w:sz w:val="28"/>
          <w:szCs w:val="28"/>
          <w:shd w:val="clear" w:color="auto" w:fill="FFFFFF"/>
          <w:lang w:eastAsia="es-MX"/>
        </w:rPr>
        <w:t xml:space="preserve">La Sala Plena de la Corte Constitucional, en ejercicio de sus atribuciones </w:t>
      </w:r>
      <w:r w:rsidRPr="00D85C08">
        <w:rPr>
          <w:rFonts w:ascii="Times New Roman" w:eastAsia="Times New Roman" w:hAnsi="Times New Roman" w:cs="Times New Roman"/>
          <w:sz w:val="28"/>
          <w:szCs w:val="28"/>
          <w:shd w:val="clear" w:color="auto" w:fill="FFFFFF"/>
          <w:lang w:eastAsia="es-MX"/>
        </w:rPr>
        <w:t>constitucionales y de los requisitos y trámites establecidos</w:t>
      </w:r>
      <w:r w:rsidRPr="00D85C08">
        <w:rPr>
          <w:rFonts w:ascii="Times New Roman" w:hAnsi="Times New Roman" w:cs="Times New Roman"/>
          <w:color w:val="000000" w:themeColor="text1"/>
          <w:sz w:val="28"/>
          <w:szCs w:val="28"/>
          <w:shd w:val="clear" w:color="auto" w:fill="FFFFFF"/>
        </w:rPr>
        <w:t xml:space="preserve"> en el artículo 241.10 de la Constitución y de los trámites y requisitos establecidos en el Decreto Ley 2067 de 1991</w:t>
      </w:r>
      <w:r w:rsidRPr="00D85C08">
        <w:rPr>
          <w:rFonts w:ascii="Times New Roman" w:eastAsia="Times New Roman" w:hAnsi="Times New Roman" w:cs="Times New Roman"/>
          <w:sz w:val="28"/>
          <w:szCs w:val="28"/>
          <w:shd w:val="clear" w:color="auto" w:fill="FFFFFF"/>
          <w:lang w:eastAsia="es-MX"/>
        </w:rPr>
        <w:t>, ha proferido la siguiente:</w:t>
      </w:r>
    </w:p>
    <w:p w:rsidR="006478DD" w:rsidRPr="00D85C08" w:rsidRDefault="00D85C08" w:rsidP="006478DD">
      <w:pPr>
        <w:spacing w:after="0" w:line="240" w:lineRule="auto"/>
        <w:jc w:val="both"/>
        <w:rPr>
          <w:rFonts w:ascii="Times New Roman" w:eastAsia="Times New Roman" w:hAnsi="Times New Roman" w:cs="Times New Roman"/>
          <w:sz w:val="28"/>
          <w:szCs w:val="28"/>
          <w:lang w:eastAsia="es-MX"/>
        </w:rPr>
      </w:pPr>
    </w:p>
    <w:p w:rsidR="006478DD" w:rsidRPr="00D85C08" w:rsidRDefault="00D85C08" w:rsidP="006478DD">
      <w:pPr>
        <w:spacing w:after="0" w:line="240" w:lineRule="auto"/>
        <w:jc w:val="center"/>
        <w:rPr>
          <w:rFonts w:ascii="Times New Roman" w:eastAsia="Times New Roman" w:hAnsi="Times New Roman" w:cs="Times New Roman"/>
          <w:b/>
          <w:sz w:val="28"/>
          <w:szCs w:val="28"/>
          <w:lang w:eastAsia="es-MX"/>
        </w:rPr>
      </w:pPr>
      <w:r w:rsidRPr="00D85C08">
        <w:rPr>
          <w:rFonts w:ascii="Times New Roman" w:eastAsia="Times New Roman" w:hAnsi="Times New Roman" w:cs="Times New Roman"/>
          <w:b/>
          <w:sz w:val="28"/>
          <w:szCs w:val="28"/>
          <w:lang w:eastAsia="es-MX"/>
        </w:rPr>
        <w:t>SENTENCIA</w:t>
      </w:r>
    </w:p>
    <w:bookmarkEnd w:id="2"/>
    <w:p w:rsidR="006478DD" w:rsidRPr="00D85C08" w:rsidRDefault="00D85C08" w:rsidP="006478DD">
      <w:pPr>
        <w:spacing w:after="0" w:line="240" w:lineRule="auto"/>
        <w:jc w:val="both"/>
        <w:rPr>
          <w:rFonts w:ascii="Times New Roman" w:eastAsia="Times New Roman" w:hAnsi="Times New Roman" w:cs="Times New Roman"/>
          <w:b/>
          <w:bCs/>
          <w:sz w:val="28"/>
          <w:szCs w:val="28"/>
          <w:lang w:eastAsia="es-MX"/>
        </w:rPr>
      </w:pPr>
    </w:p>
    <w:p w:rsidR="00870ECA" w:rsidRPr="00D85C08" w:rsidRDefault="00D85C08" w:rsidP="00870ECA">
      <w:pPr>
        <w:pStyle w:val="Ttulo2"/>
        <w:rPr>
          <w:rFonts w:ascii="Times New Roman" w:hAnsi="Times New Roman" w:cs="Times New Roman"/>
        </w:rPr>
      </w:pPr>
      <w:r w:rsidRPr="00D85C08">
        <w:rPr>
          <w:rFonts w:ascii="Times New Roman" w:hAnsi="Times New Roman" w:cs="Times New Roman"/>
        </w:rPr>
        <w:t>Síntesis de la Decisión</w:t>
      </w:r>
    </w:p>
    <w:p w:rsidR="00870ECA" w:rsidRPr="00D85C08" w:rsidRDefault="00D85C08" w:rsidP="00870ECA">
      <w:pPr>
        <w:tabs>
          <w:tab w:val="left" w:pos="360"/>
        </w:tabs>
        <w:spacing w:after="0" w:line="240" w:lineRule="auto"/>
        <w:contextualSpacing/>
        <w:jc w:val="both"/>
        <w:rPr>
          <w:rFonts w:ascii="Times New Roman" w:eastAsia="Times New Roman" w:hAnsi="Times New Roman" w:cs="Times New Roman"/>
          <w:iCs/>
          <w:sz w:val="28"/>
          <w:szCs w:val="28"/>
        </w:rPr>
      </w:pPr>
    </w:p>
    <w:p w:rsidR="00870ECA" w:rsidRPr="00D85C08" w:rsidRDefault="00D85C08" w:rsidP="00870ECA">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En esta oportu</w:t>
      </w:r>
      <w:r w:rsidRPr="00D85C08">
        <w:rPr>
          <w:rFonts w:ascii="Times New Roman" w:hAnsi="Times New Roman" w:cs="Times New Roman"/>
          <w:iCs/>
          <w:sz w:val="28"/>
          <w:szCs w:val="28"/>
          <w:lang w:eastAsia="es-CO"/>
        </w:rPr>
        <w:t xml:space="preserve">nidad, se revisó por la Corte Constitucional el </w:t>
      </w:r>
      <w:r w:rsidRPr="00D85C08">
        <w:rPr>
          <w:rFonts w:ascii="Times New Roman" w:hAnsi="Times New Roman" w:cs="Times New Roman"/>
          <w:sz w:val="28"/>
          <w:szCs w:val="28"/>
          <w:lang w:val="es-ES_tradnl"/>
        </w:rPr>
        <w:t>«Protocolo Adicional</w:t>
      </w:r>
      <w:r w:rsidRPr="00D85C08">
        <w:rPr>
          <w:rFonts w:ascii="Times New Roman" w:hAnsi="Times New Roman" w:cs="Times New Roman"/>
          <w:sz w:val="28"/>
        </w:rPr>
        <w:t xml:space="preserve"> </w:t>
      </w:r>
      <w:r w:rsidRPr="00D85C08">
        <w:rPr>
          <w:rFonts w:ascii="Times New Roman" w:hAnsi="Times New Roman" w:cs="Times New Roman"/>
          <w:sz w:val="28"/>
          <w:szCs w:val="28"/>
        </w:rPr>
        <w:t>del Acuerdo Comercial entre la Unión Europea y sus Estados Miembros, por una parte, y Colombia y el Perú,</w:t>
      </w:r>
      <w:r w:rsidRPr="00D85C08">
        <w:rPr>
          <w:rFonts w:ascii="Times New Roman" w:hAnsi="Times New Roman" w:cs="Times New Roman"/>
          <w:sz w:val="28"/>
        </w:rPr>
        <w:t xml:space="preserve"> </w:t>
      </w:r>
      <w:r w:rsidRPr="00D85C08">
        <w:rPr>
          <w:rFonts w:ascii="Times New Roman" w:hAnsi="Times New Roman" w:cs="Times New Roman"/>
          <w:sz w:val="28"/>
          <w:szCs w:val="28"/>
        </w:rPr>
        <w:t xml:space="preserve">por otra, para tener en cuenta la adhesión de la República de Croacia a la Unión </w:t>
      </w:r>
      <w:r w:rsidRPr="00D85C08">
        <w:rPr>
          <w:rFonts w:ascii="Times New Roman" w:hAnsi="Times New Roman" w:cs="Times New Roman"/>
          <w:sz w:val="28"/>
          <w:szCs w:val="28"/>
        </w:rPr>
        <w:t>Europea</w:t>
      </w:r>
      <w:r w:rsidRPr="00D85C08">
        <w:rPr>
          <w:rFonts w:ascii="Times New Roman" w:hAnsi="Times New Roman" w:cs="Times New Roman"/>
          <w:sz w:val="28"/>
          <w:szCs w:val="28"/>
          <w:lang w:val="es-ES_tradnl"/>
        </w:rPr>
        <w:t>», suscrito en Bruselas el 30 de junio de 2015, y la Ley 2293 del 26 de abril de 2023, por medio de la cual fue aprobado.</w:t>
      </w:r>
    </w:p>
    <w:p w:rsidR="00870ECA" w:rsidRPr="00D85C08" w:rsidRDefault="00D85C08" w:rsidP="00870ECA">
      <w:pPr>
        <w:tabs>
          <w:tab w:val="left" w:pos="284"/>
        </w:tabs>
        <w:spacing w:after="0" w:line="240" w:lineRule="auto"/>
        <w:contextualSpacing/>
        <w:jc w:val="both"/>
        <w:rPr>
          <w:rFonts w:ascii="Times New Roman" w:eastAsia="Times New Roman" w:hAnsi="Times New Roman" w:cs="Times New Roman"/>
          <w:iCs/>
          <w:sz w:val="28"/>
          <w:szCs w:val="28"/>
        </w:rPr>
      </w:pPr>
    </w:p>
    <w:p w:rsidR="00870ECA" w:rsidRPr="00D85C08" w:rsidRDefault="00D85C08" w:rsidP="00870ECA">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 xml:space="preserve">En la revisión formal, la Corte concluyó que el Estado colombiano fue representado válidamente durante la negociación, </w:t>
      </w:r>
      <w:r w:rsidRPr="00D85C08">
        <w:rPr>
          <w:rFonts w:ascii="Times New Roman" w:hAnsi="Times New Roman" w:cs="Times New Roman"/>
          <w:iCs/>
          <w:sz w:val="28"/>
          <w:szCs w:val="28"/>
          <w:lang w:eastAsia="es-CO"/>
        </w:rPr>
        <w:t>celebración y suscripción del Acuerdo. También se verificaron los demás elementos constitucionales y legales del trámite legislativo de la ley aprobatoria del Acuerdo.</w:t>
      </w:r>
    </w:p>
    <w:p w:rsidR="00870ECA" w:rsidRPr="00D85C08" w:rsidRDefault="00D85C08" w:rsidP="00870ECA">
      <w:pPr>
        <w:tabs>
          <w:tab w:val="left" w:pos="284"/>
        </w:tabs>
        <w:spacing w:after="0" w:line="240" w:lineRule="auto"/>
        <w:contextualSpacing/>
        <w:jc w:val="both"/>
        <w:rPr>
          <w:rFonts w:ascii="Times New Roman" w:eastAsia="Times New Roman" w:hAnsi="Times New Roman" w:cs="Times New Roman"/>
          <w:iCs/>
          <w:sz w:val="28"/>
          <w:szCs w:val="28"/>
        </w:rPr>
      </w:pPr>
    </w:p>
    <w:p w:rsidR="00870ECA" w:rsidRPr="00D85C08" w:rsidRDefault="00D85C08" w:rsidP="00870ECA">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No obstante, siendo exigible el requisito de análisis del impacto fiscal la Corte advir</w:t>
      </w:r>
      <w:r w:rsidRPr="00D85C08">
        <w:rPr>
          <w:rFonts w:ascii="Times New Roman" w:hAnsi="Times New Roman" w:cs="Times New Roman"/>
          <w:iCs/>
          <w:sz w:val="28"/>
          <w:szCs w:val="28"/>
          <w:lang w:eastAsia="es-CO"/>
        </w:rPr>
        <w:t>tió que el mismo no fue cumplido. Al tratarse de un proyecto de ley de iniciativa gubernamental radicado con posterioridad a la notificación de la Sentencia C-170 de 2021 y contener el Protocolo Adicional varias disposiciones y anexos que implican una redu</w:t>
      </w:r>
      <w:r w:rsidRPr="00D85C08">
        <w:rPr>
          <w:rFonts w:ascii="Times New Roman" w:hAnsi="Times New Roman" w:cs="Times New Roman"/>
          <w:iCs/>
          <w:sz w:val="28"/>
          <w:szCs w:val="28"/>
          <w:lang w:eastAsia="es-CO"/>
        </w:rPr>
        <w:t>cción de ingresos para el Estado, el Ministerio de Hacienda y Crédito Público tenía el deber de presentar el correspondiente concepto sobre la compatibilidad del Acuerdo con el MFMP en el que incluyera las fuentes sustitutivas de ingreso, afectando la publ</w:t>
      </w:r>
      <w:r w:rsidRPr="00D85C08">
        <w:rPr>
          <w:rFonts w:ascii="Times New Roman" w:hAnsi="Times New Roman" w:cs="Times New Roman"/>
          <w:iCs/>
          <w:sz w:val="28"/>
          <w:szCs w:val="28"/>
          <w:lang w:eastAsia="es-CO"/>
        </w:rPr>
        <w:t>icidad y la calidad de la deliberación parlamentaria.</w:t>
      </w:r>
    </w:p>
    <w:p w:rsidR="00870ECA" w:rsidRPr="00D85C08" w:rsidRDefault="00D85C08" w:rsidP="00870ECA">
      <w:pPr>
        <w:pStyle w:val="Prrafodelista"/>
        <w:tabs>
          <w:tab w:val="left" w:pos="284"/>
          <w:tab w:val="left" w:pos="360"/>
        </w:tabs>
        <w:ind w:left="0"/>
        <w:jc w:val="both"/>
        <w:rPr>
          <w:rFonts w:ascii="Times New Roman" w:hAnsi="Times New Roman" w:cs="Times New Roman"/>
          <w:iCs/>
          <w:sz w:val="28"/>
          <w:szCs w:val="28"/>
          <w:lang w:eastAsia="es-CO"/>
        </w:rPr>
      </w:pPr>
    </w:p>
    <w:p w:rsidR="00870ECA" w:rsidRPr="00D85C08" w:rsidRDefault="00D85C08" w:rsidP="00870ECA">
      <w:pPr>
        <w:pStyle w:val="Prrafodelista"/>
        <w:numPr>
          <w:ilvl w:val="0"/>
          <w:numId w:val="1"/>
        </w:numPr>
        <w:tabs>
          <w:tab w:val="left" w:pos="284"/>
        </w:tabs>
        <w:ind w:left="0" w:firstLine="0"/>
        <w:jc w:val="both"/>
        <w:rPr>
          <w:rFonts w:ascii="Times New Roman" w:hAnsi="Times New Roman" w:cs="Times New Roman"/>
          <w:b/>
          <w:sz w:val="28"/>
          <w:szCs w:val="28"/>
        </w:rPr>
      </w:pPr>
      <w:r w:rsidRPr="00D85C08">
        <w:rPr>
          <w:rFonts w:ascii="Times New Roman" w:hAnsi="Times New Roman" w:cs="Times New Roman"/>
          <w:sz w:val="28"/>
          <w:szCs w:val="28"/>
        </w:rPr>
        <w:t xml:space="preserve">La Sala Plena, luego de recordar las alternativas con las que cuenta este ministerio para cumplir con el deber señalado en el </w:t>
      </w:r>
      <w:r w:rsidRPr="00D85C08">
        <w:rPr>
          <w:rFonts w:ascii="Times New Roman" w:hAnsi="Times New Roman" w:cs="Times New Roman"/>
          <w:iCs/>
          <w:sz w:val="28"/>
          <w:szCs w:val="28"/>
          <w:lang w:eastAsia="es-CO"/>
        </w:rPr>
        <w:t xml:space="preserve">artículo </w:t>
      </w:r>
      <w:r w:rsidRPr="00D85C08">
        <w:rPr>
          <w:rFonts w:ascii="Times New Roman" w:hAnsi="Times New Roman" w:cs="Times New Roman"/>
          <w:sz w:val="28"/>
          <w:szCs w:val="28"/>
        </w:rPr>
        <w:t>7 de la Ley Orgánica 819 de 2003, concluyó que en el presente caso</w:t>
      </w:r>
      <w:r w:rsidRPr="00D85C08">
        <w:rPr>
          <w:rFonts w:ascii="Times New Roman" w:hAnsi="Times New Roman" w:cs="Times New Roman"/>
          <w:sz w:val="28"/>
          <w:szCs w:val="28"/>
        </w:rPr>
        <w:t xml:space="preserve"> esta entidad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no acompañó la radicación del proyecto de ley en el Congreso de la República</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
          <w:sz w:val="28"/>
          <w:szCs w:val="28"/>
          <w:lang w:eastAsia="es-CO"/>
        </w:rPr>
        <w:t>ii)</w:t>
      </w:r>
      <w:r w:rsidRPr="00D85C08">
        <w:rPr>
          <w:rFonts w:ascii="Times New Roman" w:hAnsi="Times New Roman" w:cs="Times New Roman"/>
          <w:iCs/>
          <w:sz w:val="28"/>
          <w:szCs w:val="28"/>
          <w:lang w:eastAsia="es-CO"/>
        </w:rPr>
        <w:t xml:space="preserve"> no rindió concepto durante el trámite legislativo sobre </w:t>
      </w:r>
      <w:r w:rsidRPr="00D85C08">
        <w:rPr>
          <w:rFonts w:ascii="Times New Roman" w:hAnsi="Times New Roman" w:cs="Times New Roman"/>
          <w:sz w:val="28"/>
          <w:szCs w:val="28"/>
        </w:rPr>
        <w:t>la consistencia del análisis de impacto fiscal contenido en la exposición de motivos y en las ponenci</w:t>
      </w:r>
      <w:r w:rsidRPr="00D85C08">
        <w:rPr>
          <w:rFonts w:ascii="Times New Roman" w:hAnsi="Times New Roman" w:cs="Times New Roman"/>
          <w:sz w:val="28"/>
          <w:szCs w:val="28"/>
        </w:rPr>
        <w:t xml:space="preserve">as de trámite con el Marco Fiscal de Mediano Plazo;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no analizó ni aprobó «la correspondiente fuente sustitutiva por disminución de gasto» como resultado de la concesión de beneficios tributarios a favor de la República de Croacia y </w:t>
      </w:r>
      <w:r w:rsidRPr="00D85C08">
        <w:rPr>
          <w:rFonts w:ascii="Times New Roman" w:hAnsi="Times New Roman" w:cs="Times New Roman"/>
          <w:i/>
          <w:iCs/>
          <w:sz w:val="28"/>
          <w:szCs w:val="28"/>
        </w:rPr>
        <w:t>iv)</w:t>
      </w:r>
      <w:r w:rsidRPr="00D85C08">
        <w:rPr>
          <w:rFonts w:ascii="Times New Roman" w:hAnsi="Times New Roman" w:cs="Times New Roman"/>
          <w:sz w:val="28"/>
          <w:szCs w:val="28"/>
        </w:rPr>
        <w:t xml:space="preserve"> no intervino du</w:t>
      </w:r>
      <w:r w:rsidRPr="00D85C08">
        <w:rPr>
          <w:rFonts w:ascii="Times New Roman" w:hAnsi="Times New Roman" w:cs="Times New Roman"/>
          <w:sz w:val="28"/>
          <w:szCs w:val="28"/>
        </w:rPr>
        <w:t>rante una sesión en las comisiones o en la plenaria de alguna de las dos cámaras para informar el costo fiscal de la iniciativa y su compatibilidad con el Marco Fiscal de Mediano Plazo.</w:t>
      </w:r>
    </w:p>
    <w:p w:rsidR="00870ECA" w:rsidRPr="00D85C08" w:rsidRDefault="00D85C08" w:rsidP="00870ECA">
      <w:pPr>
        <w:pStyle w:val="Prrafodelista"/>
        <w:tabs>
          <w:tab w:val="left" w:pos="284"/>
        </w:tabs>
        <w:ind w:left="0"/>
        <w:jc w:val="both"/>
        <w:rPr>
          <w:rFonts w:ascii="Times New Roman" w:hAnsi="Times New Roman" w:cs="Times New Roman"/>
          <w:b/>
          <w:sz w:val="28"/>
          <w:szCs w:val="28"/>
        </w:rPr>
      </w:pPr>
    </w:p>
    <w:p w:rsidR="00870ECA" w:rsidRPr="00D85C08" w:rsidRDefault="00D85C08" w:rsidP="00870ECA">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sz w:val="28"/>
          <w:szCs w:val="28"/>
        </w:rPr>
        <w:t xml:space="preserve">Así las cosas, teniendo en cuenta que se trata de un vicio </w:t>
      </w:r>
      <w:r w:rsidRPr="00D85C08">
        <w:rPr>
          <w:rFonts w:ascii="Times New Roman" w:hAnsi="Times New Roman" w:cs="Times New Roman"/>
          <w:iCs/>
          <w:sz w:val="28"/>
          <w:szCs w:val="28"/>
          <w:lang w:eastAsia="es-CO"/>
        </w:rPr>
        <w:t>de carácte</w:t>
      </w:r>
      <w:r w:rsidRPr="00D85C08">
        <w:rPr>
          <w:rFonts w:ascii="Times New Roman" w:hAnsi="Times New Roman" w:cs="Times New Roman"/>
          <w:iCs/>
          <w:sz w:val="28"/>
          <w:szCs w:val="28"/>
          <w:lang w:eastAsia="es-CO"/>
        </w:rPr>
        <w:t>r insubsanable, la Sala Plena declaró la inexequibilidad de la Ley 2293 de 2023. Finalmente, la Corte advirtió que el Gobierno podrá presentar un proyecto de ley mediante el cual se apruebe el mismo Protocolo dando cumplimiento a todos los requisitos del p</w:t>
      </w:r>
      <w:r w:rsidRPr="00D85C08">
        <w:rPr>
          <w:rFonts w:ascii="Times New Roman" w:hAnsi="Times New Roman" w:cs="Times New Roman"/>
          <w:iCs/>
          <w:sz w:val="28"/>
          <w:szCs w:val="28"/>
          <w:lang w:eastAsia="es-CO"/>
        </w:rPr>
        <w:t>rocedimiento, en especial, la exigencia del artículo 7 de la Ley 819 de 2003 de conformidad con la jurisprudencia de esta Corte.</w:t>
      </w:r>
    </w:p>
    <w:p w:rsidR="00870ECA" w:rsidRPr="00D85C08" w:rsidRDefault="00D85C08" w:rsidP="006478DD">
      <w:pPr>
        <w:spacing w:after="0" w:line="240" w:lineRule="auto"/>
        <w:jc w:val="both"/>
        <w:rPr>
          <w:rFonts w:ascii="Times New Roman" w:eastAsia="Times New Roman" w:hAnsi="Times New Roman" w:cs="Times New Roman"/>
          <w:b/>
          <w:bCs/>
          <w:sz w:val="28"/>
          <w:szCs w:val="28"/>
          <w:lang w:eastAsia="es-MX"/>
        </w:rPr>
      </w:pPr>
    </w:p>
    <w:p w:rsidR="006478DD" w:rsidRPr="00D85C08" w:rsidRDefault="00D85C08" w:rsidP="00EF2BD7">
      <w:pPr>
        <w:pStyle w:val="Sinespaciado"/>
        <w:rPr>
          <w:rFonts w:ascii="Times New Roman" w:hAnsi="Times New Roman" w:cs="Times New Roman"/>
        </w:rPr>
      </w:pPr>
      <w:r w:rsidRPr="00D85C08">
        <w:rPr>
          <w:rFonts w:ascii="Times New Roman" w:hAnsi="Times New Roman" w:cs="Times New Roman"/>
        </w:rPr>
        <w:t xml:space="preserve">I. ANTECEDENTES </w:t>
      </w:r>
    </w:p>
    <w:p w:rsidR="006478DD" w:rsidRPr="00D85C08" w:rsidRDefault="00D85C08" w:rsidP="006478DD">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bookmarkStart w:id="5" w:name="_Hlk115786162"/>
      <w:r w:rsidRPr="00D85C08">
        <w:rPr>
          <w:rFonts w:ascii="Times New Roman" w:hAnsi="Times New Roman" w:cs="Times New Roman"/>
          <w:sz w:val="28"/>
          <w:szCs w:val="28"/>
        </w:rPr>
        <w:t>El 28 de abril de 2023, la Secretaría Jurídica de la Presidencia de la República remitió a la Secretaría Gen</w:t>
      </w:r>
      <w:r w:rsidRPr="00D85C08">
        <w:rPr>
          <w:rFonts w:ascii="Times New Roman" w:hAnsi="Times New Roman" w:cs="Times New Roman"/>
          <w:sz w:val="28"/>
          <w:szCs w:val="28"/>
        </w:rPr>
        <w:t xml:space="preserve">eral de la </w:t>
      </w:r>
      <w:r w:rsidRPr="00D85C08">
        <w:rPr>
          <w:rFonts w:ascii="Times New Roman" w:hAnsi="Times New Roman" w:cs="Times New Roman"/>
          <w:sz w:val="28"/>
          <w:szCs w:val="28"/>
        </w:rPr>
        <w:t>Corte Constitucional una</w:t>
      </w:r>
      <w:r w:rsidRPr="00D85C08">
        <w:rPr>
          <w:rFonts w:ascii="Times New Roman" w:hAnsi="Times New Roman" w:cs="Times New Roman"/>
          <w:sz w:val="28"/>
          <w:szCs w:val="28"/>
        </w:rPr>
        <w:t xml:space="preserve"> copia auténtica del expediente de la Ley 22</w:t>
      </w:r>
      <w:r w:rsidRPr="00D85C08">
        <w:rPr>
          <w:rFonts w:ascii="Times New Roman" w:hAnsi="Times New Roman" w:cs="Times New Roman"/>
          <w:sz w:val="28"/>
          <w:szCs w:val="28"/>
        </w:rPr>
        <w:t>93</w:t>
      </w:r>
      <w:r w:rsidRPr="00D85C08">
        <w:rPr>
          <w:rFonts w:ascii="Times New Roman" w:hAnsi="Times New Roman" w:cs="Times New Roman"/>
          <w:sz w:val="28"/>
          <w:szCs w:val="28"/>
        </w:rPr>
        <w:t xml:space="preserve"> de 202</w:t>
      </w:r>
      <w:r w:rsidRPr="00D85C08">
        <w:rPr>
          <w:rFonts w:ascii="Times New Roman" w:hAnsi="Times New Roman" w:cs="Times New Roman"/>
          <w:sz w:val="28"/>
          <w:szCs w:val="28"/>
        </w:rPr>
        <w:t>3</w:t>
      </w:r>
      <w:r w:rsidRPr="00D85C08">
        <w:rPr>
          <w:rFonts w:ascii="Times New Roman" w:hAnsi="Times New Roman" w:cs="Times New Roman"/>
          <w:sz w:val="28"/>
          <w:szCs w:val="28"/>
        </w:rPr>
        <w:t xml:space="preserve">. </w:t>
      </w:r>
    </w:p>
    <w:p w:rsidR="006478DD" w:rsidRPr="00D85C08" w:rsidRDefault="00D85C08" w:rsidP="005233F9">
      <w:pPr>
        <w:tabs>
          <w:tab w:val="left" w:pos="0"/>
        </w:tabs>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Mediante comunicación del </w:t>
      </w:r>
      <w:r w:rsidRPr="00D85C08">
        <w:rPr>
          <w:rFonts w:ascii="Times New Roman" w:hAnsi="Times New Roman" w:cs="Times New Roman"/>
          <w:sz w:val="28"/>
          <w:szCs w:val="28"/>
        </w:rPr>
        <w:t>15</w:t>
      </w:r>
      <w:r w:rsidRPr="00D85C08">
        <w:rPr>
          <w:rFonts w:ascii="Times New Roman" w:hAnsi="Times New Roman" w:cs="Times New Roman"/>
          <w:sz w:val="28"/>
          <w:szCs w:val="28"/>
        </w:rPr>
        <w:t xml:space="preserve"> de </w:t>
      </w:r>
      <w:r w:rsidRPr="00D85C08">
        <w:rPr>
          <w:rFonts w:ascii="Times New Roman" w:hAnsi="Times New Roman" w:cs="Times New Roman"/>
          <w:sz w:val="28"/>
          <w:szCs w:val="28"/>
        </w:rPr>
        <w:t>mayo</w:t>
      </w:r>
      <w:r w:rsidRPr="00D85C08">
        <w:rPr>
          <w:rFonts w:ascii="Times New Roman" w:hAnsi="Times New Roman" w:cs="Times New Roman"/>
          <w:sz w:val="28"/>
          <w:szCs w:val="28"/>
        </w:rPr>
        <w:t xml:space="preserve"> de 202</w:t>
      </w:r>
      <w:r w:rsidRPr="00D85C08">
        <w:rPr>
          <w:rFonts w:ascii="Times New Roman" w:hAnsi="Times New Roman" w:cs="Times New Roman"/>
          <w:sz w:val="28"/>
          <w:szCs w:val="28"/>
        </w:rPr>
        <w:t>3</w:t>
      </w:r>
      <w:r w:rsidRPr="00D85C08">
        <w:rPr>
          <w:rFonts w:ascii="Times New Roman" w:hAnsi="Times New Roman" w:cs="Times New Roman"/>
          <w:sz w:val="28"/>
          <w:szCs w:val="28"/>
        </w:rPr>
        <w:t xml:space="preserve">, previo sorteo realizado por la Sala Plena el </w:t>
      </w:r>
      <w:r w:rsidRPr="00D85C08">
        <w:rPr>
          <w:rFonts w:ascii="Times New Roman" w:hAnsi="Times New Roman" w:cs="Times New Roman"/>
          <w:sz w:val="28"/>
          <w:szCs w:val="28"/>
        </w:rPr>
        <w:t>día 11</w:t>
      </w:r>
      <w:r w:rsidRPr="00D85C08">
        <w:rPr>
          <w:rFonts w:ascii="Times New Roman" w:hAnsi="Times New Roman" w:cs="Times New Roman"/>
          <w:sz w:val="28"/>
          <w:szCs w:val="28"/>
        </w:rPr>
        <w:t xml:space="preserve"> del mismo </w:t>
      </w:r>
      <w:r w:rsidRPr="00D85C08">
        <w:rPr>
          <w:rFonts w:ascii="Times New Roman" w:hAnsi="Times New Roman" w:cs="Times New Roman"/>
          <w:sz w:val="28"/>
          <w:szCs w:val="28"/>
        </w:rPr>
        <w:t>mes</w:t>
      </w:r>
      <w:r w:rsidRPr="00D85C08">
        <w:rPr>
          <w:rFonts w:ascii="Times New Roman" w:hAnsi="Times New Roman" w:cs="Times New Roman"/>
          <w:sz w:val="28"/>
          <w:szCs w:val="28"/>
        </w:rPr>
        <w:t xml:space="preserve">, el expediente fue enviado al despacho de la magistrada </w:t>
      </w:r>
      <w:r w:rsidRPr="00D85C08">
        <w:rPr>
          <w:rFonts w:ascii="Times New Roman" w:hAnsi="Times New Roman" w:cs="Times New Roman"/>
          <w:bCs/>
          <w:sz w:val="28"/>
          <w:szCs w:val="28"/>
        </w:rPr>
        <w:t>Cristina Pardo Schlesinger</w:t>
      </w:r>
      <w:r w:rsidRPr="00D85C08">
        <w:rPr>
          <w:rFonts w:ascii="Times New Roman" w:hAnsi="Times New Roman" w:cs="Times New Roman"/>
          <w:sz w:val="28"/>
          <w:szCs w:val="28"/>
        </w:rPr>
        <w:t xml:space="preserve"> para que impartiera el trámite correspondiente.</w:t>
      </w:r>
    </w:p>
    <w:p w:rsidR="006478DD" w:rsidRPr="00D85C08" w:rsidRDefault="00D85C08" w:rsidP="005233F9">
      <w:pPr>
        <w:tabs>
          <w:tab w:val="left" w:pos="0"/>
        </w:tabs>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En Auto del </w:t>
      </w:r>
      <w:r w:rsidRPr="00D85C08">
        <w:rPr>
          <w:rFonts w:ascii="Times New Roman" w:hAnsi="Times New Roman" w:cs="Times New Roman"/>
          <w:sz w:val="28"/>
          <w:szCs w:val="28"/>
        </w:rPr>
        <w:t>26</w:t>
      </w:r>
      <w:r w:rsidRPr="00D85C08">
        <w:rPr>
          <w:rFonts w:ascii="Times New Roman" w:hAnsi="Times New Roman" w:cs="Times New Roman"/>
          <w:sz w:val="28"/>
          <w:szCs w:val="28"/>
        </w:rPr>
        <w:t xml:space="preserve"> de </w:t>
      </w:r>
      <w:r w:rsidRPr="00D85C08">
        <w:rPr>
          <w:rFonts w:ascii="Times New Roman" w:hAnsi="Times New Roman" w:cs="Times New Roman"/>
          <w:sz w:val="28"/>
          <w:szCs w:val="28"/>
        </w:rPr>
        <w:t>mayo</w:t>
      </w:r>
      <w:r w:rsidRPr="00D85C08">
        <w:rPr>
          <w:rFonts w:ascii="Times New Roman" w:hAnsi="Times New Roman" w:cs="Times New Roman"/>
          <w:sz w:val="28"/>
          <w:szCs w:val="28"/>
        </w:rPr>
        <w:t xml:space="preserve"> de 2022, el despacho de la magistrada ponente asumió el conocimiento del asunto y ordenó la práctica</w:t>
      </w:r>
      <w:r w:rsidRPr="00D85C08">
        <w:rPr>
          <w:rFonts w:ascii="Times New Roman" w:hAnsi="Times New Roman" w:cs="Times New Roman"/>
          <w:sz w:val="28"/>
          <w:szCs w:val="28"/>
        </w:rPr>
        <w:t xml:space="preserve"> de pruebas. Así mismo, dispuso comunicar la iniciación del proceso </w:t>
      </w:r>
      <w:r w:rsidRPr="00D85C08">
        <w:rPr>
          <w:rFonts w:ascii="Times New Roman" w:hAnsi="Times New Roman" w:cs="Times New Roman"/>
          <w:sz w:val="28"/>
          <w:szCs w:val="28"/>
          <w:lang w:eastAsia="es-ES"/>
        </w:rPr>
        <w:t xml:space="preserve">al presidente de la República y a los ministerios de </w:t>
      </w:r>
      <w:r w:rsidRPr="00D85C08">
        <w:rPr>
          <w:rFonts w:ascii="Times New Roman" w:hAnsi="Times New Roman" w:cs="Times New Roman"/>
          <w:sz w:val="28"/>
          <w:szCs w:val="28"/>
        </w:rPr>
        <w:t>Relaciones Exteriores, Hacienda y Crédito Público, y Comercio, Industria y Turismo.</w:t>
      </w:r>
      <w:r w:rsidRPr="00D85C08">
        <w:rPr>
          <w:rFonts w:ascii="Times New Roman" w:hAnsi="Times New Roman" w:cs="Times New Roman"/>
          <w:sz w:val="28"/>
          <w:szCs w:val="28"/>
          <w:lang w:eastAsia="es-ES"/>
        </w:rPr>
        <w:t xml:space="preserve"> </w:t>
      </w:r>
      <w:r w:rsidRPr="00D85C08">
        <w:rPr>
          <w:rFonts w:ascii="Times New Roman" w:hAnsi="Times New Roman" w:cs="Times New Roman"/>
          <w:sz w:val="28"/>
          <w:szCs w:val="28"/>
          <w:lang w:eastAsia="es-ES"/>
        </w:rPr>
        <w:t>De igual forma</w:t>
      </w:r>
      <w:r w:rsidRPr="00D85C08">
        <w:rPr>
          <w:rFonts w:ascii="Times New Roman" w:hAnsi="Times New Roman" w:cs="Times New Roman"/>
          <w:sz w:val="28"/>
          <w:szCs w:val="28"/>
          <w:lang w:eastAsia="es-ES"/>
        </w:rPr>
        <w:t xml:space="preserve">, </w:t>
      </w:r>
      <w:r w:rsidRPr="00D85C08">
        <w:rPr>
          <w:rFonts w:ascii="Times New Roman" w:hAnsi="Times New Roman" w:cs="Times New Roman"/>
          <w:sz w:val="28"/>
          <w:szCs w:val="28"/>
        </w:rPr>
        <w:t xml:space="preserve">ordenó fijar en lista el proceso e </w:t>
      </w:r>
      <w:r w:rsidRPr="00D85C08">
        <w:rPr>
          <w:rFonts w:ascii="Times New Roman" w:hAnsi="Times New Roman" w:cs="Times New Roman"/>
          <w:sz w:val="28"/>
          <w:szCs w:val="28"/>
        </w:rPr>
        <w:t xml:space="preserve">invitó a intervenir en </w:t>
      </w:r>
      <w:r w:rsidRPr="00D85C08">
        <w:rPr>
          <w:rFonts w:ascii="Times New Roman" w:hAnsi="Times New Roman" w:cs="Times New Roman"/>
          <w:sz w:val="28"/>
          <w:szCs w:val="28"/>
        </w:rPr>
        <w:t>é</w:t>
      </w:r>
      <w:r w:rsidRPr="00D85C08">
        <w:rPr>
          <w:rFonts w:ascii="Times New Roman" w:hAnsi="Times New Roman" w:cs="Times New Roman"/>
          <w:sz w:val="28"/>
          <w:szCs w:val="28"/>
        </w:rPr>
        <w:t>l a diferentes instituciones públicas y privadas</w:t>
      </w:r>
      <w:r w:rsidRPr="00D85C08">
        <w:rPr>
          <w:rFonts w:ascii="Times New Roman" w:hAnsi="Times New Roman" w:cs="Times New Roman"/>
          <w:sz w:val="28"/>
          <w:vertAlign w:val="superscript"/>
        </w:rPr>
        <w:footnoteReference w:id="1"/>
      </w:r>
      <w:r w:rsidRPr="00D85C08">
        <w:rPr>
          <w:rFonts w:ascii="Times New Roman" w:hAnsi="Times New Roman" w:cs="Times New Roman"/>
          <w:sz w:val="28"/>
          <w:szCs w:val="28"/>
        </w:rPr>
        <w:t>. Por último, dispuso correr traslado a la procuradora general de la Nación para que rindiera concepto.</w:t>
      </w:r>
    </w:p>
    <w:p w:rsidR="006478DD" w:rsidRPr="00D85C08" w:rsidRDefault="00D85C08" w:rsidP="005233F9">
      <w:pPr>
        <w:tabs>
          <w:tab w:val="left" w:pos="0"/>
        </w:tabs>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En Autos del </w:t>
      </w:r>
      <w:r w:rsidRPr="00D85C08">
        <w:rPr>
          <w:rFonts w:ascii="Times New Roman" w:hAnsi="Times New Roman" w:cs="Times New Roman"/>
          <w:sz w:val="28"/>
          <w:szCs w:val="28"/>
        </w:rPr>
        <w:t>23</w:t>
      </w:r>
      <w:r w:rsidRPr="00D85C08">
        <w:rPr>
          <w:rFonts w:ascii="Times New Roman" w:hAnsi="Times New Roman" w:cs="Times New Roman"/>
          <w:sz w:val="28"/>
          <w:szCs w:val="28"/>
        </w:rPr>
        <w:t xml:space="preserve"> de </w:t>
      </w:r>
      <w:r w:rsidRPr="00D85C08">
        <w:rPr>
          <w:rFonts w:ascii="Times New Roman" w:hAnsi="Times New Roman" w:cs="Times New Roman"/>
          <w:sz w:val="28"/>
          <w:szCs w:val="28"/>
        </w:rPr>
        <w:t>junio</w:t>
      </w:r>
      <w:r w:rsidRPr="00D85C08">
        <w:rPr>
          <w:rFonts w:ascii="Times New Roman" w:hAnsi="Times New Roman" w:cs="Times New Roman"/>
          <w:sz w:val="28"/>
          <w:szCs w:val="28"/>
        </w:rPr>
        <w:t xml:space="preserve">, 25 de julio y 28 de agosto </w:t>
      </w:r>
      <w:r w:rsidRPr="00D85C08">
        <w:rPr>
          <w:rFonts w:ascii="Times New Roman" w:hAnsi="Times New Roman" w:cs="Times New Roman"/>
          <w:sz w:val="28"/>
          <w:szCs w:val="28"/>
        </w:rPr>
        <w:t>202</w:t>
      </w:r>
      <w:r w:rsidRPr="00D85C08">
        <w:rPr>
          <w:rFonts w:ascii="Times New Roman" w:hAnsi="Times New Roman" w:cs="Times New Roman"/>
          <w:sz w:val="28"/>
          <w:szCs w:val="28"/>
        </w:rPr>
        <w:t>3</w:t>
      </w:r>
      <w:r w:rsidRPr="00D85C08">
        <w:rPr>
          <w:rFonts w:ascii="Times New Roman" w:hAnsi="Times New Roman" w:cs="Times New Roman"/>
          <w:sz w:val="28"/>
          <w:szCs w:val="28"/>
        </w:rPr>
        <w:t>, la magistrada susta</w:t>
      </w:r>
      <w:r w:rsidRPr="00D85C08">
        <w:rPr>
          <w:rFonts w:ascii="Times New Roman" w:hAnsi="Times New Roman" w:cs="Times New Roman"/>
          <w:sz w:val="28"/>
          <w:szCs w:val="28"/>
        </w:rPr>
        <w:t xml:space="preserve">nciadora requirió a </w:t>
      </w:r>
      <w:r w:rsidRPr="00D85C08">
        <w:rPr>
          <w:rFonts w:ascii="Times New Roman" w:hAnsi="Times New Roman" w:cs="Times New Roman"/>
          <w:sz w:val="28"/>
          <w:szCs w:val="28"/>
          <w:lang w:eastAsia="es-ES"/>
        </w:rPr>
        <w:t>los secretarios generales del Senado de la República y de la Cámara de Representantes que remitieran las pruebas solicitadas.</w:t>
      </w:r>
      <w:r w:rsidRPr="00D85C08">
        <w:rPr>
          <w:rFonts w:ascii="Times New Roman" w:hAnsi="Times New Roman" w:cs="Times New Roman"/>
          <w:sz w:val="28"/>
          <w:szCs w:val="28"/>
        </w:rPr>
        <w:t xml:space="preserve"> El </w:t>
      </w:r>
      <w:r w:rsidRPr="00D85C08">
        <w:rPr>
          <w:rFonts w:ascii="Times New Roman" w:hAnsi="Times New Roman" w:cs="Times New Roman"/>
          <w:sz w:val="28"/>
          <w:szCs w:val="28"/>
        </w:rPr>
        <w:t xml:space="preserve">26 </w:t>
      </w:r>
      <w:r w:rsidRPr="00D85C08">
        <w:rPr>
          <w:rFonts w:ascii="Times New Roman" w:hAnsi="Times New Roman" w:cs="Times New Roman"/>
          <w:sz w:val="28"/>
          <w:szCs w:val="28"/>
        </w:rPr>
        <w:t xml:space="preserve">de </w:t>
      </w:r>
      <w:r w:rsidRPr="00D85C08">
        <w:rPr>
          <w:rFonts w:ascii="Times New Roman" w:hAnsi="Times New Roman" w:cs="Times New Roman"/>
          <w:sz w:val="28"/>
          <w:szCs w:val="28"/>
        </w:rPr>
        <w:t>septiembre</w:t>
      </w:r>
      <w:r w:rsidRPr="00D85C08">
        <w:rPr>
          <w:rFonts w:ascii="Times New Roman" w:hAnsi="Times New Roman" w:cs="Times New Roman"/>
          <w:sz w:val="28"/>
          <w:szCs w:val="28"/>
        </w:rPr>
        <w:t xml:space="preserve"> de 202</w:t>
      </w:r>
      <w:r w:rsidRPr="00D85C08">
        <w:rPr>
          <w:rFonts w:ascii="Times New Roman" w:hAnsi="Times New Roman" w:cs="Times New Roman"/>
          <w:sz w:val="28"/>
          <w:szCs w:val="28"/>
        </w:rPr>
        <w:t>3</w:t>
      </w:r>
      <w:r w:rsidRPr="00D85C08">
        <w:rPr>
          <w:rFonts w:ascii="Times New Roman" w:hAnsi="Times New Roman" w:cs="Times New Roman"/>
          <w:sz w:val="28"/>
          <w:szCs w:val="28"/>
        </w:rPr>
        <w:t>, una vez allegadas y valoradas todas las pruebas, ordenó continuar con el proceso.</w:t>
      </w:r>
    </w:p>
    <w:bookmarkEnd w:id="5"/>
    <w:p w:rsidR="006478DD" w:rsidRPr="00D85C08" w:rsidRDefault="00D85C08" w:rsidP="005233F9">
      <w:pPr>
        <w:tabs>
          <w:tab w:val="left" w:pos="0"/>
        </w:tabs>
        <w:spacing w:after="0" w:line="240" w:lineRule="auto"/>
        <w:contextualSpacing/>
        <w:jc w:val="both"/>
        <w:rPr>
          <w:rFonts w:ascii="Times New Roman" w:eastAsia="Times New Roman" w:hAnsi="Times New Roman" w:cs="Times New Roman"/>
          <w:sz w:val="28"/>
          <w:szCs w:val="28"/>
          <w:lang w:eastAsia="es-MX"/>
        </w:rPr>
      </w:pPr>
    </w:p>
    <w:p w:rsidR="00602FC1"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Cumplidos los trámites pertinentes, la Sala Plena procede a adelantar el control de constitucionalidad </w:t>
      </w:r>
      <w:r w:rsidRPr="00D85C08">
        <w:rPr>
          <w:rFonts w:ascii="Times New Roman" w:hAnsi="Times New Roman" w:cs="Times New Roman"/>
          <w:sz w:val="28"/>
          <w:szCs w:val="28"/>
          <w:lang w:eastAsia="es-ES"/>
        </w:rPr>
        <w:t xml:space="preserve">del </w:t>
      </w:r>
      <w:r w:rsidRPr="00D85C08">
        <w:rPr>
          <w:rFonts w:ascii="Times New Roman" w:hAnsi="Times New Roman" w:cs="Times New Roman"/>
          <w:sz w:val="28"/>
          <w:szCs w:val="28"/>
          <w:lang w:val="es-ES_tradnl"/>
        </w:rPr>
        <w:t>«Protocolo Adicional</w:t>
      </w:r>
      <w:r w:rsidRPr="00D85C08">
        <w:rPr>
          <w:rFonts w:ascii="Times New Roman" w:hAnsi="Times New Roman" w:cs="Times New Roman"/>
          <w:sz w:val="28"/>
        </w:rPr>
        <w:t xml:space="preserve"> </w:t>
      </w:r>
      <w:r w:rsidRPr="00D85C08">
        <w:rPr>
          <w:rFonts w:ascii="Times New Roman" w:hAnsi="Times New Roman" w:cs="Times New Roman"/>
          <w:sz w:val="28"/>
          <w:szCs w:val="28"/>
        </w:rPr>
        <w:t>del Acuerdo Comercial entre la Unión Europea y sus Estados Miembros, por una parte, y Colombia y el Perú,</w:t>
      </w:r>
      <w:r w:rsidRPr="00D85C08">
        <w:rPr>
          <w:rFonts w:ascii="Times New Roman" w:hAnsi="Times New Roman" w:cs="Times New Roman"/>
          <w:sz w:val="28"/>
        </w:rPr>
        <w:t xml:space="preserve"> </w:t>
      </w:r>
      <w:r w:rsidRPr="00D85C08">
        <w:rPr>
          <w:rFonts w:ascii="Times New Roman" w:hAnsi="Times New Roman" w:cs="Times New Roman"/>
          <w:sz w:val="28"/>
          <w:szCs w:val="28"/>
        </w:rPr>
        <w:t>por otra, para tener</w:t>
      </w:r>
      <w:r w:rsidRPr="00D85C08">
        <w:rPr>
          <w:rFonts w:ascii="Times New Roman" w:hAnsi="Times New Roman" w:cs="Times New Roman"/>
          <w:sz w:val="28"/>
          <w:szCs w:val="28"/>
        </w:rPr>
        <w:t xml:space="preserve"> en cuenta la adhesión de la República de Croacia a la Unión Europea</w:t>
      </w:r>
      <w:r w:rsidRPr="00D85C08">
        <w:rPr>
          <w:rFonts w:ascii="Times New Roman" w:hAnsi="Times New Roman" w:cs="Times New Roman"/>
          <w:sz w:val="28"/>
          <w:szCs w:val="28"/>
          <w:lang w:val="es-ES_tradnl"/>
        </w:rPr>
        <w:t xml:space="preserve">» </w:t>
      </w:r>
      <w:r w:rsidRPr="00D85C08">
        <w:rPr>
          <w:rFonts w:ascii="Times New Roman" w:hAnsi="Times New Roman" w:cs="Times New Roman"/>
          <w:sz w:val="28"/>
          <w:szCs w:val="28"/>
          <w:lang w:eastAsia="es-ES"/>
        </w:rPr>
        <w:t>(en adelante el Protocolo)</w:t>
      </w:r>
      <w:r w:rsidRPr="00D85C08">
        <w:rPr>
          <w:rFonts w:ascii="Times New Roman" w:hAnsi="Times New Roman" w:cs="Times New Roman"/>
          <w:sz w:val="28"/>
          <w:szCs w:val="28"/>
          <w:lang w:val="es-ES_tradnl"/>
        </w:rPr>
        <w:t xml:space="preserve"> y de la Ley 2293 de 2023 </w:t>
      </w:r>
      <w:r w:rsidRPr="00D85C08">
        <w:rPr>
          <w:rFonts w:ascii="Times New Roman" w:hAnsi="Times New Roman" w:cs="Times New Roman"/>
          <w:sz w:val="28"/>
          <w:szCs w:val="28"/>
          <w:lang w:eastAsia="es-ES"/>
        </w:rPr>
        <w:t>(en adelante la ley aprobatoria).</w:t>
      </w:r>
    </w:p>
    <w:p w:rsidR="006478DD" w:rsidRPr="00D85C08" w:rsidRDefault="00D85C08" w:rsidP="005233F9">
      <w:pPr>
        <w:tabs>
          <w:tab w:val="left" w:pos="0"/>
          <w:tab w:val="left" w:pos="284"/>
          <w:tab w:val="left" w:pos="360"/>
        </w:tabs>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5233F9">
      <w:pPr>
        <w:pStyle w:val="Ttulo2"/>
        <w:rPr>
          <w:rFonts w:ascii="Times New Roman" w:hAnsi="Times New Roman" w:cs="Times New Roman"/>
        </w:rPr>
      </w:pPr>
      <w:r w:rsidRPr="00D85C08">
        <w:rPr>
          <w:rFonts w:ascii="Times New Roman" w:hAnsi="Times New Roman" w:cs="Times New Roman"/>
        </w:rPr>
        <w:t xml:space="preserve">Texto del </w:t>
      </w:r>
      <w:r w:rsidRPr="00D85C08">
        <w:rPr>
          <w:rFonts w:ascii="Times New Roman" w:hAnsi="Times New Roman" w:cs="Times New Roman"/>
        </w:rPr>
        <w:t>Protocolo</w:t>
      </w:r>
      <w:r w:rsidRPr="00D85C08">
        <w:rPr>
          <w:rFonts w:ascii="Times New Roman" w:hAnsi="Times New Roman" w:cs="Times New Roman"/>
        </w:rPr>
        <w:t xml:space="preserve"> que se revisa y de su ley aprobatoria </w:t>
      </w:r>
    </w:p>
    <w:p w:rsidR="006478DD" w:rsidRPr="00D85C08" w:rsidRDefault="00D85C08" w:rsidP="005233F9">
      <w:pPr>
        <w:tabs>
          <w:tab w:val="left" w:pos="0"/>
          <w:tab w:val="left" w:pos="360"/>
        </w:tabs>
        <w:spacing w:after="0" w:line="240" w:lineRule="auto"/>
        <w:jc w:val="both"/>
        <w:rPr>
          <w:rFonts w:ascii="Times New Roman" w:eastAsia="Times New Roman" w:hAnsi="Times New Roman" w:cs="Times New Roman"/>
          <w:b/>
          <w:sz w:val="28"/>
          <w:szCs w:val="28"/>
          <w:lang w:eastAsia="es-MX"/>
        </w:rPr>
      </w:pPr>
    </w:p>
    <w:p w:rsidR="006478DD"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lang w:eastAsia="es-ES"/>
        </w:rPr>
      </w:pPr>
      <w:r w:rsidRPr="00D85C08">
        <w:rPr>
          <w:rFonts w:ascii="Times New Roman" w:hAnsi="Times New Roman" w:cs="Times New Roman"/>
          <w:sz w:val="28"/>
          <w:szCs w:val="28"/>
          <w:lang w:eastAsia="es-ES"/>
        </w:rPr>
        <w:t>Dada su extensión</w:t>
      </w:r>
      <w:r w:rsidRPr="00D85C08">
        <w:rPr>
          <w:rFonts w:ascii="Times New Roman" w:hAnsi="Times New Roman" w:cs="Times New Roman"/>
          <w:sz w:val="28"/>
          <w:szCs w:val="28"/>
          <w:lang w:eastAsia="es-ES"/>
        </w:rPr>
        <w:t xml:space="preserve"> (176 folios)</w:t>
      </w:r>
      <w:r w:rsidRPr="00D85C08">
        <w:rPr>
          <w:rFonts w:ascii="Times New Roman" w:hAnsi="Times New Roman" w:cs="Times New Roman"/>
          <w:sz w:val="28"/>
          <w:szCs w:val="28"/>
          <w:lang w:eastAsia="es-ES"/>
        </w:rPr>
        <w:t>, e</w:t>
      </w:r>
      <w:r w:rsidRPr="00D85C08">
        <w:rPr>
          <w:rFonts w:ascii="Times New Roman" w:hAnsi="Times New Roman" w:cs="Times New Roman"/>
          <w:sz w:val="28"/>
          <w:szCs w:val="28"/>
          <w:lang w:eastAsia="es-ES"/>
        </w:rPr>
        <w:t>l cont</w:t>
      </w:r>
      <w:r w:rsidRPr="00D85C08">
        <w:rPr>
          <w:rFonts w:ascii="Times New Roman" w:hAnsi="Times New Roman" w:cs="Times New Roman"/>
          <w:sz w:val="28"/>
          <w:szCs w:val="28"/>
          <w:lang w:eastAsia="es-ES"/>
        </w:rPr>
        <w:t xml:space="preserve">enido del </w:t>
      </w:r>
      <w:r w:rsidRPr="00D85C08">
        <w:rPr>
          <w:rFonts w:ascii="Times New Roman" w:hAnsi="Times New Roman" w:cs="Times New Roman"/>
          <w:sz w:val="28"/>
          <w:szCs w:val="28"/>
          <w:lang w:eastAsia="es-ES"/>
        </w:rPr>
        <w:t>Protocolo</w:t>
      </w:r>
      <w:r w:rsidRPr="00D85C08">
        <w:rPr>
          <w:rFonts w:ascii="Times New Roman" w:hAnsi="Times New Roman" w:cs="Times New Roman"/>
          <w:sz w:val="28"/>
          <w:szCs w:val="28"/>
          <w:lang w:eastAsia="es-ES"/>
        </w:rPr>
        <w:t xml:space="preserve"> y de la ley aprobatoria se presentarán en </w:t>
      </w:r>
      <w:r w:rsidRPr="00D85C08">
        <w:rPr>
          <w:rFonts w:ascii="Times New Roman" w:hAnsi="Times New Roman" w:cs="Times New Roman"/>
          <w:sz w:val="28"/>
          <w:szCs w:val="28"/>
          <w:lang w:eastAsia="es-ES"/>
        </w:rPr>
        <w:t>un anexo</w:t>
      </w:r>
      <w:r w:rsidRPr="00D85C08">
        <w:rPr>
          <w:rFonts w:ascii="Times New Roman" w:hAnsi="Times New Roman" w:cs="Times New Roman"/>
          <w:sz w:val="28"/>
          <w:szCs w:val="28"/>
          <w:lang w:eastAsia="es-ES"/>
        </w:rPr>
        <w:t xml:space="preserve"> a la presente decisión</w:t>
      </w:r>
      <w:r w:rsidRPr="00D85C08">
        <w:rPr>
          <w:rFonts w:ascii="Times New Roman" w:hAnsi="Times New Roman" w:cs="Times New Roman"/>
          <w:sz w:val="28"/>
          <w:szCs w:val="28"/>
          <w:lang w:eastAsia="es-ES"/>
        </w:rPr>
        <w:t>.</w:t>
      </w:r>
    </w:p>
    <w:p w:rsidR="006478DD" w:rsidRPr="00D85C08" w:rsidRDefault="00D85C08" w:rsidP="005233F9">
      <w:pPr>
        <w:tabs>
          <w:tab w:val="left" w:pos="0"/>
          <w:tab w:val="left" w:pos="360"/>
        </w:tabs>
        <w:spacing w:after="0" w:line="240" w:lineRule="auto"/>
        <w:jc w:val="both"/>
        <w:rPr>
          <w:rFonts w:ascii="Times New Roman" w:hAnsi="Times New Roman" w:cs="Times New Roman"/>
          <w:sz w:val="28"/>
          <w:szCs w:val="28"/>
          <w:lang w:eastAsia="es-ES"/>
        </w:rPr>
      </w:pPr>
    </w:p>
    <w:p w:rsidR="006478DD" w:rsidRPr="00D85C08" w:rsidRDefault="00D85C08" w:rsidP="005233F9">
      <w:pPr>
        <w:pStyle w:val="Ttulo2"/>
        <w:rPr>
          <w:rFonts w:ascii="Times New Roman" w:hAnsi="Times New Roman" w:cs="Times New Roman"/>
        </w:rPr>
      </w:pPr>
      <w:r w:rsidRPr="00D85C08">
        <w:rPr>
          <w:rFonts w:ascii="Times New Roman" w:hAnsi="Times New Roman" w:cs="Times New Roman"/>
          <w:bCs/>
        </w:rPr>
        <w:t>Pruebas</w:t>
      </w:r>
      <w:r w:rsidRPr="00D85C08">
        <w:rPr>
          <w:rFonts w:ascii="Times New Roman" w:hAnsi="Times New Roman" w:cs="Times New Roman"/>
        </w:rPr>
        <w:t xml:space="preserve"> decretadas por la magistrada ponente</w:t>
      </w:r>
    </w:p>
    <w:p w:rsidR="006478DD" w:rsidRPr="00D85C08" w:rsidRDefault="00D85C08" w:rsidP="005233F9">
      <w:pPr>
        <w:tabs>
          <w:tab w:val="left" w:pos="0"/>
          <w:tab w:val="left" w:pos="284"/>
        </w:tabs>
        <w:spacing w:after="0" w:line="240" w:lineRule="auto"/>
        <w:contextualSpacing/>
        <w:jc w:val="both"/>
        <w:rPr>
          <w:rFonts w:ascii="Times New Roman" w:eastAsia="Times New Roman" w:hAnsi="Times New Roman" w:cs="Times New Roman"/>
          <w:sz w:val="28"/>
          <w:szCs w:val="28"/>
          <w:lang w:eastAsia="es-MX"/>
        </w:rPr>
      </w:pPr>
    </w:p>
    <w:p w:rsidR="00F836FB"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Las respuestas a las preguntas formuladas en los autos de pruebas serán abordadas en los acápites en los que se adelantará el control de constitucionalidad formal y material del </w:t>
      </w:r>
      <w:r w:rsidRPr="00D85C08">
        <w:rPr>
          <w:rFonts w:ascii="Times New Roman" w:hAnsi="Times New Roman" w:cs="Times New Roman"/>
          <w:sz w:val="28"/>
          <w:szCs w:val="28"/>
        </w:rPr>
        <w:t>Protocolo</w:t>
      </w:r>
      <w:r w:rsidRPr="00D85C08">
        <w:rPr>
          <w:rFonts w:ascii="Times New Roman" w:hAnsi="Times New Roman" w:cs="Times New Roman"/>
          <w:sz w:val="28"/>
          <w:szCs w:val="28"/>
        </w:rPr>
        <w:t xml:space="preserve"> </w:t>
      </w:r>
      <w:r w:rsidRPr="00D85C08">
        <w:rPr>
          <w:rFonts w:ascii="Times New Roman" w:hAnsi="Times New Roman" w:cs="Times New Roman"/>
          <w:sz w:val="28"/>
          <w:szCs w:val="28"/>
          <w:lang w:eastAsia="es-ES"/>
        </w:rPr>
        <w:t>y de la ley aprobatoria</w:t>
      </w:r>
      <w:r w:rsidRPr="00D85C08">
        <w:rPr>
          <w:rFonts w:ascii="Times New Roman" w:hAnsi="Times New Roman" w:cs="Times New Roman"/>
          <w:sz w:val="28"/>
          <w:szCs w:val="28"/>
        </w:rPr>
        <w:t>.</w:t>
      </w:r>
    </w:p>
    <w:p w:rsidR="006478DD" w:rsidRPr="00D85C08" w:rsidRDefault="00D85C08" w:rsidP="005233F9">
      <w:pPr>
        <w:tabs>
          <w:tab w:val="left" w:pos="0"/>
          <w:tab w:val="left" w:pos="360"/>
        </w:tabs>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5233F9">
      <w:pPr>
        <w:pStyle w:val="Ttulo2"/>
        <w:rPr>
          <w:rFonts w:ascii="Times New Roman" w:hAnsi="Times New Roman" w:cs="Times New Roman"/>
          <w:u w:color="000000"/>
          <w:bdr w:val="nil"/>
          <w:lang w:eastAsia="es-ES"/>
        </w:rPr>
      </w:pPr>
      <w:r w:rsidRPr="00D85C08">
        <w:rPr>
          <w:rFonts w:ascii="Times New Roman" w:hAnsi="Times New Roman" w:cs="Times New Roman"/>
          <w:u w:color="000000"/>
          <w:bdr w:val="nil"/>
          <w:lang w:eastAsia="es-ES"/>
        </w:rPr>
        <w:t>Intervenciones</w:t>
      </w:r>
    </w:p>
    <w:p w:rsidR="006478DD" w:rsidRPr="00D85C08" w:rsidRDefault="00D85C08" w:rsidP="005233F9">
      <w:pPr>
        <w:pBdr>
          <w:top w:val="nil"/>
          <w:left w:val="nil"/>
          <w:bottom w:val="nil"/>
          <w:right w:val="nil"/>
          <w:between w:val="nil"/>
          <w:bar w:val="nil"/>
        </w:pBdr>
        <w:tabs>
          <w:tab w:val="left" w:pos="0"/>
        </w:tabs>
        <w:spacing w:after="0" w:line="240" w:lineRule="auto"/>
        <w:jc w:val="both"/>
        <w:rPr>
          <w:rFonts w:ascii="Times New Roman" w:eastAsia="Times New Roman" w:hAnsi="Times New Roman" w:cs="Times New Roman"/>
          <w:b/>
          <w:sz w:val="28"/>
          <w:szCs w:val="28"/>
          <w:u w:color="000000"/>
          <w:bdr w:val="nil"/>
          <w:lang w:eastAsia="es-ES"/>
        </w:rPr>
      </w:pPr>
    </w:p>
    <w:p w:rsidR="006478DD"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La Corte Constitucional recibió </w:t>
      </w:r>
      <w:r w:rsidRPr="00D85C08">
        <w:rPr>
          <w:rFonts w:ascii="Times New Roman" w:hAnsi="Times New Roman" w:cs="Times New Roman"/>
          <w:sz w:val="28"/>
          <w:szCs w:val="28"/>
        </w:rPr>
        <w:t xml:space="preserve">cinco </w:t>
      </w:r>
      <w:r w:rsidRPr="00D85C08">
        <w:rPr>
          <w:rFonts w:ascii="Times New Roman" w:hAnsi="Times New Roman" w:cs="Times New Roman"/>
          <w:sz w:val="28"/>
          <w:szCs w:val="28"/>
        </w:rPr>
        <w:t xml:space="preserve">intervenciones dentro del presente proceso. </w:t>
      </w:r>
      <w:r w:rsidRPr="00D85C08">
        <w:rPr>
          <w:rFonts w:ascii="Times New Roman" w:hAnsi="Times New Roman" w:cs="Times New Roman"/>
          <w:sz w:val="28"/>
          <w:szCs w:val="28"/>
        </w:rPr>
        <w:t xml:space="preserve">A continuación, se hace un breve resumen de las intervenciones recibidas: </w:t>
      </w:r>
    </w:p>
    <w:p w:rsidR="00CD6C95" w:rsidRPr="00D85C08" w:rsidRDefault="00D85C08" w:rsidP="006478DD">
      <w:pPr>
        <w:spacing w:after="0" w:line="240" w:lineRule="auto"/>
        <w:jc w:val="both"/>
        <w:rPr>
          <w:rFonts w:ascii="Times New Roman" w:eastAsia="Times New Roman" w:hAnsi="Times New Roman" w:cs="Times New Roman"/>
          <w:sz w:val="28"/>
          <w:szCs w:val="28"/>
          <w:lang w:eastAsia="es-MX"/>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554"/>
        <w:gridCol w:w="6237"/>
      </w:tblGrid>
      <w:tr w:rsidR="006478DD" w:rsidRPr="00D85C08" w:rsidTr="0028123E">
        <w:trPr>
          <w:jc w:val="center"/>
        </w:trPr>
        <w:tc>
          <w:tcPr>
            <w:tcW w:w="2127" w:type="dxa"/>
            <w:shd w:val="clear" w:color="auto" w:fill="E7E6E6" w:themeFill="background2"/>
            <w:vAlign w:val="center"/>
          </w:tcPr>
          <w:p w:rsidR="006478DD"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Interviniente</w:t>
            </w:r>
          </w:p>
        </w:tc>
        <w:tc>
          <w:tcPr>
            <w:tcW w:w="1554" w:type="dxa"/>
            <w:shd w:val="clear" w:color="auto" w:fill="E7E6E6" w:themeFill="background2"/>
            <w:vAlign w:val="center"/>
          </w:tcPr>
          <w:p w:rsidR="006478DD"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Solicitud</w:t>
            </w:r>
          </w:p>
        </w:tc>
        <w:tc>
          <w:tcPr>
            <w:tcW w:w="6237" w:type="dxa"/>
            <w:shd w:val="clear" w:color="auto" w:fill="E7E6E6" w:themeFill="background2"/>
          </w:tcPr>
          <w:p w:rsidR="006478DD"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Consideraciones relevantes</w:t>
            </w:r>
          </w:p>
        </w:tc>
      </w:tr>
      <w:tr w:rsidR="006478DD" w:rsidRPr="00D85C08" w:rsidTr="0028123E">
        <w:trPr>
          <w:jc w:val="center"/>
        </w:trPr>
        <w:tc>
          <w:tcPr>
            <w:tcW w:w="2127" w:type="dxa"/>
            <w:vAlign w:val="center"/>
          </w:tcPr>
          <w:p w:rsidR="006478DD"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Ministerio de Relaciones Exteriores</w:t>
            </w:r>
          </w:p>
        </w:tc>
        <w:tc>
          <w:tcPr>
            <w:tcW w:w="1554" w:type="dxa"/>
            <w:vAlign w:val="center"/>
          </w:tcPr>
          <w:p w:rsidR="006478DD" w:rsidRPr="00D85C08" w:rsidRDefault="00D85C08" w:rsidP="006478D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Exequibilidad</w:t>
            </w:r>
          </w:p>
        </w:tc>
        <w:tc>
          <w:tcPr>
            <w:tcW w:w="6237" w:type="dxa"/>
          </w:tcPr>
          <w:p w:rsidR="006478DD" w:rsidRPr="00D85C08" w:rsidRDefault="00D85C08" w:rsidP="0028123E">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Luego de contextualizar el protocolo analizado y de resumir su contenido, </w:t>
            </w:r>
            <w:r w:rsidRPr="00D85C08">
              <w:rPr>
                <w:rFonts w:ascii="Times New Roman" w:eastAsia="Times New Roman" w:hAnsi="Times New Roman" w:cs="Times New Roman"/>
                <w:sz w:val="28"/>
                <w:szCs w:val="24"/>
                <w:lang w:eastAsia="es-MX"/>
              </w:rPr>
              <w:t xml:space="preserve">apoya la constitucionalidad del mismo, señalando que su único objetivo es incluir a Croacia dentro del Acuerdo Comercial entre Colombia y Perú por una parte y la Unión </w:t>
            </w:r>
            <w:r w:rsidRPr="00D85C08">
              <w:rPr>
                <w:rFonts w:ascii="Times New Roman" w:eastAsia="Times New Roman" w:hAnsi="Times New Roman" w:cs="Times New Roman"/>
                <w:sz w:val="28"/>
                <w:szCs w:val="24"/>
                <w:lang w:eastAsia="es-MX"/>
              </w:rPr>
              <w:t>Europea y sus Estados miembros</w:t>
            </w:r>
            <w:r w:rsidRPr="00D85C08">
              <w:rPr>
                <w:rFonts w:ascii="Times New Roman" w:eastAsia="Times New Roman" w:hAnsi="Times New Roman" w:cs="Times New Roman"/>
                <w:sz w:val="28"/>
                <w:szCs w:val="24"/>
                <w:lang w:eastAsia="es-MX"/>
              </w:rPr>
              <w:t xml:space="preserve"> </w:t>
            </w:r>
            <w:r w:rsidRPr="00D85C08">
              <w:rPr>
                <w:rFonts w:ascii="Times New Roman" w:eastAsia="Times New Roman" w:hAnsi="Times New Roman" w:cs="Times New Roman"/>
                <w:sz w:val="28"/>
                <w:szCs w:val="24"/>
                <w:lang w:eastAsia="es-MX"/>
              </w:rPr>
              <w:t>por otra, el cual ya fue declarado exequible por esta corporación.</w:t>
            </w:r>
            <w:r w:rsidRPr="00D85C08">
              <w:rPr>
                <w:rFonts w:ascii="Times New Roman" w:eastAsia="Times New Roman" w:hAnsi="Times New Roman" w:cs="Times New Roman"/>
                <w:sz w:val="28"/>
                <w:szCs w:val="24"/>
                <w:lang w:eastAsia="es-MX"/>
              </w:rPr>
              <w:t xml:space="preserve"> Además, consideró que este Protocolo persigue cumplir con los objetivos y fines del citado Acuerdo con la integración de un nuevo miembro.</w:t>
            </w:r>
          </w:p>
          <w:p w:rsidR="00D91BAC" w:rsidRPr="00D85C08" w:rsidRDefault="00D85C08" w:rsidP="0028123E">
            <w:pPr>
              <w:spacing w:after="0" w:line="240" w:lineRule="auto"/>
              <w:jc w:val="both"/>
              <w:rPr>
                <w:rFonts w:ascii="Times New Roman" w:eastAsia="Times New Roman" w:hAnsi="Times New Roman" w:cs="Times New Roman"/>
                <w:sz w:val="28"/>
                <w:szCs w:val="24"/>
                <w:lang w:eastAsia="es-MX"/>
              </w:rPr>
            </w:pPr>
          </w:p>
          <w:p w:rsidR="0028123E" w:rsidRPr="00D85C08" w:rsidRDefault="00D85C08" w:rsidP="0028123E">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En cuanto al análi</w:t>
            </w:r>
            <w:r w:rsidRPr="00D85C08">
              <w:rPr>
                <w:rFonts w:ascii="Times New Roman" w:eastAsia="Times New Roman" w:hAnsi="Times New Roman" w:cs="Times New Roman"/>
                <w:sz w:val="28"/>
                <w:szCs w:val="24"/>
                <w:lang w:eastAsia="es-MX"/>
              </w:rPr>
              <w:t>sis de impacto fiscal, resalta que tanto el Congreso como la Corte habían tenido la oportunidad de revisar el impacto fiscal del Acuerdo comercial «respecto al cual la totalidad de sus disposiciones aplicarían frente al Estado de Croacia, por lo cual no ex</w:t>
            </w:r>
            <w:r w:rsidRPr="00D85C08">
              <w:rPr>
                <w:rFonts w:ascii="Times New Roman" w:eastAsia="Times New Roman" w:hAnsi="Times New Roman" w:cs="Times New Roman"/>
                <w:sz w:val="28"/>
                <w:szCs w:val="24"/>
                <w:lang w:eastAsia="es-MX"/>
              </w:rPr>
              <w:t>istirá consideración diferente en la materia».</w:t>
            </w:r>
          </w:p>
        </w:tc>
      </w:tr>
      <w:tr w:rsidR="006478DD" w:rsidRPr="00D85C08" w:rsidTr="0028123E">
        <w:trPr>
          <w:jc w:val="center"/>
        </w:trPr>
        <w:tc>
          <w:tcPr>
            <w:tcW w:w="2127" w:type="dxa"/>
            <w:vAlign w:val="center"/>
          </w:tcPr>
          <w:p w:rsidR="006478DD"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Ministerio de Comercio, Industria y Turismo</w:t>
            </w:r>
          </w:p>
        </w:tc>
        <w:tc>
          <w:tcPr>
            <w:tcW w:w="1554" w:type="dxa"/>
            <w:vAlign w:val="center"/>
          </w:tcPr>
          <w:p w:rsidR="006478DD" w:rsidRPr="00D85C08" w:rsidRDefault="00D85C08" w:rsidP="006478D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Exequibilidad</w:t>
            </w:r>
          </w:p>
        </w:tc>
        <w:tc>
          <w:tcPr>
            <w:tcW w:w="6237" w:type="dxa"/>
          </w:tcPr>
          <w:p w:rsidR="00496A6C" w:rsidRPr="00D85C08" w:rsidRDefault="00D85C08" w:rsidP="0057044D">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En primer lugar, resalta el interés especial del Gobierno Nacional en ampliar la agenda comercial con países del continente europeo, ahora con Croacia, con quien se llevan 28 años de relaciones </w:t>
            </w:r>
            <w:r w:rsidRPr="00D85C08">
              <w:rPr>
                <w:rFonts w:ascii="Times New Roman" w:eastAsia="Times New Roman" w:hAnsi="Times New Roman" w:cs="Times New Roman"/>
                <w:sz w:val="28"/>
                <w:szCs w:val="24"/>
                <w:lang w:eastAsia="es-MX"/>
              </w:rPr>
              <w:t>diplomáticas</w:t>
            </w:r>
            <w:r w:rsidRPr="00D85C08">
              <w:rPr>
                <w:rFonts w:ascii="Times New Roman" w:eastAsia="Times New Roman" w:hAnsi="Times New Roman" w:cs="Times New Roman"/>
                <w:sz w:val="28"/>
                <w:szCs w:val="24"/>
                <w:lang w:eastAsia="es-MX"/>
              </w:rPr>
              <w:t>. De esta manera, con el Protocolo Adicional se ro</w:t>
            </w:r>
            <w:r w:rsidRPr="00D85C08">
              <w:rPr>
                <w:rFonts w:ascii="Times New Roman" w:eastAsia="Times New Roman" w:hAnsi="Times New Roman" w:cs="Times New Roman"/>
                <w:sz w:val="28"/>
                <w:szCs w:val="24"/>
                <w:lang w:eastAsia="es-MX"/>
              </w:rPr>
              <w:t>bustecerá</w:t>
            </w:r>
            <w:r w:rsidRPr="00D85C08">
              <w:rPr>
                <w:rFonts w:ascii="Times New Roman" w:eastAsia="Times New Roman" w:hAnsi="Times New Roman" w:cs="Times New Roman"/>
                <w:sz w:val="28"/>
                <w:szCs w:val="24"/>
                <w:lang w:eastAsia="es-MX"/>
              </w:rPr>
              <w:t>n</w:t>
            </w:r>
            <w:r w:rsidRPr="00D85C08">
              <w:rPr>
                <w:rFonts w:ascii="Times New Roman" w:eastAsia="Times New Roman" w:hAnsi="Times New Roman" w:cs="Times New Roman"/>
                <w:sz w:val="28"/>
                <w:szCs w:val="24"/>
                <w:lang w:eastAsia="es-MX"/>
              </w:rPr>
              <w:t xml:space="preserve"> las relaciones comerciales con este Estado y aumentar la presencia de productos nacionales en la región europea. </w:t>
            </w:r>
          </w:p>
          <w:p w:rsidR="00496A6C" w:rsidRPr="00D85C08" w:rsidRDefault="00D85C08" w:rsidP="0057044D">
            <w:pPr>
              <w:spacing w:after="0" w:line="240" w:lineRule="auto"/>
              <w:jc w:val="both"/>
              <w:rPr>
                <w:rFonts w:ascii="Times New Roman" w:eastAsia="Times New Roman" w:hAnsi="Times New Roman" w:cs="Times New Roman"/>
                <w:sz w:val="28"/>
                <w:szCs w:val="24"/>
                <w:lang w:eastAsia="es-MX"/>
              </w:rPr>
            </w:pPr>
          </w:p>
          <w:p w:rsidR="0057044D" w:rsidRPr="00D85C08" w:rsidRDefault="00D85C08" w:rsidP="0057044D">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Seguidamente hace un recuento de las relaciones comerciales entre los dos pa</w:t>
            </w:r>
            <w:r w:rsidRPr="00D85C08">
              <w:rPr>
                <w:rFonts w:ascii="Times New Roman" w:eastAsia="Times New Roman" w:hAnsi="Times New Roman" w:cs="Times New Roman"/>
                <w:sz w:val="28"/>
                <w:szCs w:val="24"/>
                <w:lang w:eastAsia="es-MX"/>
              </w:rPr>
              <w:t>íses,</w:t>
            </w:r>
            <w:r w:rsidRPr="00D85C08">
              <w:rPr>
                <w:rFonts w:ascii="Times New Roman" w:eastAsia="Times New Roman" w:hAnsi="Times New Roman" w:cs="Times New Roman"/>
                <w:sz w:val="28"/>
                <w:szCs w:val="24"/>
                <w:lang w:eastAsia="es-MX"/>
              </w:rPr>
              <w:t xml:space="preserve"> del impacto fiscal de la adhesión de Croacia al </w:t>
            </w:r>
            <w:r w:rsidRPr="00D85C08">
              <w:rPr>
                <w:rFonts w:ascii="Times New Roman" w:eastAsia="Times New Roman" w:hAnsi="Times New Roman" w:cs="Times New Roman"/>
                <w:sz w:val="28"/>
                <w:szCs w:val="24"/>
                <w:lang w:eastAsia="es-MX"/>
              </w:rPr>
              <w:t xml:space="preserve">Acuerdo Comercial con la Unión Europea y </w:t>
            </w:r>
            <w:r w:rsidRPr="00D85C08">
              <w:rPr>
                <w:rFonts w:ascii="Times New Roman" w:eastAsia="Times New Roman" w:hAnsi="Times New Roman" w:cs="Times New Roman"/>
                <w:sz w:val="28"/>
                <w:szCs w:val="24"/>
                <w:lang w:eastAsia="es-MX"/>
              </w:rPr>
              <w:t xml:space="preserve">de </w:t>
            </w:r>
            <w:r w:rsidRPr="00D85C08">
              <w:rPr>
                <w:rFonts w:ascii="Times New Roman" w:eastAsia="Times New Roman" w:hAnsi="Times New Roman" w:cs="Times New Roman"/>
                <w:sz w:val="28"/>
                <w:szCs w:val="24"/>
                <w:lang w:eastAsia="es-MX"/>
              </w:rPr>
              <w:t>los principales beneficios para Colombia</w:t>
            </w:r>
            <w:r w:rsidRPr="00D85C08">
              <w:rPr>
                <w:rFonts w:ascii="Times New Roman" w:eastAsia="Times New Roman" w:hAnsi="Times New Roman" w:cs="Times New Roman"/>
                <w:sz w:val="28"/>
                <w:szCs w:val="24"/>
                <w:lang w:eastAsia="es-MX"/>
              </w:rPr>
              <w:t>.</w:t>
            </w:r>
          </w:p>
          <w:p w:rsidR="00496A6C" w:rsidRPr="00D85C08" w:rsidRDefault="00D85C08" w:rsidP="0057044D">
            <w:pPr>
              <w:spacing w:after="0" w:line="240" w:lineRule="auto"/>
              <w:jc w:val="both"/>
              <w:rPr>
                <w:rFonts w:ascii="Times New Roman" w:eastAsia="Times New Roman" w:hAnsi="Times New Roman" w:cs="Times New Roman"/>
                <w:sz w:val="28"/>
                <w:szCs w:val="24"/>
                <w:lang w:eastAsia="es-MX"/>
              </w:rPr>
            </w:pPr>
          </w:p>
          <w:p w:rsidR="00496A6C" w:rsidRPr="00D85C08" w:rsidRDefault="00D85C08" w:rsidP="00496A6C">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Finalmente, destaca que el Protocolo Adicional cumplió con los presupuestos formales y materiales y es compatible con los mandatos constitucionales que imponen al Estado</w:t>
            </w:r>
            <w:r w:rsidRPr="00D85C08">
              <w:rPr>
                <w:rFonts w:ascii="Times New Roman" w:eastAsia="Times New Roman" w:hAnsi="Times New Roman" w:cs="Times New Roman"/>
                <w:sz w:val="28"/>
                <w:szCs w:val="24"/>
                <w:lang w:eastAsia="es-MX"/>
              </w:rPr>
              <w:t xml:space="preserve"> el deber de promover la internacionalización de las relaciones económicas y comerciales mediante la celebración de Acuerdos de integración económica.  </w:t>
            </w:r>
          </w:p>
          <w:p w:rsidR="00496A6C" w:rsidRPr="00D85C08" w:rsidRDefault="00D85C08" w:rsidP="00496A6C">
            <w:pPr>
              <w:spacing w:after="0" w:line="240" w:lineRule="auto"/>
              <w:jc w:val="both"/>
              <w:rPr>
                <w:rFonts w:ascii="Times New Roman" w:eastAsia="Times New Roman" w:hAnsi="Times New Roman" w:cs="Times New Roman"/>
                <w:sz w:val="28"/>
                <w:szCs w:val="24"/>
                <w:lang w:eastAsia="es-MX"/>
              </w:rPr>
            </w:pPr>
          </w:p>
          <w:p w:rsidR="006478DD" w:rsidRPr="00D85C08" w:rsidRDefault="00D85C08" w:rsidP="00B6179E">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Además, indica que teniendo en cuenta la exequibilidad del Acuerdo comercial entre Colombia y Perú por</w:t>
            </w:r>
            <w:r w:rsidRPr="00D85C08">
              <w:rPr>
                <w:rFonts w:ascii="Times New Roman" w:eastAsia="Times New Roman" w:hAnsi="Times New Roman" w:cs="Times New Roman"/>
                <w:sz w:val="28"/>
                <w:szCs w:val="24"/>
                <w:lang w:eastAsia="es-MX"/>
              </w:rPr>
              <w:t xml:space="preserve"> una Parte y la Unión Europea y sus Estados Miembros por otra, «el Protocolo Adicional, ciertamente, también es compatible con la Constitución Política y los mandatos constitucionales que imponen al Estado el deber de promover la internacionalización de la</w:t>
            </w:r>
            <w:r w:rsidRPr="00D85C08">
              <w:rPr>
                <w:rFonts w:ascii="Times New Roman" w:eastAsia="Times New Roman" w:hAnsi="Times New Roman" w:cs="Times New Roman"/>
                <w:sz w:val="28"/>
                <w:szCs w:val="24"/>
                <w:lang w:eastAsia="es-MX"/>
              </w:rPr>
              <w:t>s relaciones económicas. Este propósito, se logra a través del establecimiento de un marco jurídico vinculante para regular el libre intercambio de bienes y servicios entre las dos naciones bajo un marco de reciprocidad».</w:t>
            </w:r>
          </w:p>
        </w:tc>
      </w:tr>
      <w:tr w:rsidR="006478DD" w:rsidRPr="00D85C08" w:rsidTr="0028123E">
        <w:trPr>
          <w:jc w:val="center"/>
        </w:trPr>
        <w:tc>
          <w:tcPr>
            <w:tcW w:w="2127" w:type="dxa"/>
            <w:vAlign w:val="center"/>
          </w:tcPr>
          <w:p w:rsidR="006478DD"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 xml:space="preserve">Ministerio de Hacienda y Crédito </w:t>
            </w:r>
            <w:r w:rsidRPr="00D85C08">
              <w:rPr>
                <w:rFonts w:ascii="Times New Roman" w:eastAsia="Times New Roman" w:hAnsi="Times New Roman" w:cs="Times New Roman"/>
                <w:b/>
                <w:bCs/>
                <w:sz w:val="28"/>
                <w:szCs w:val="24"/>
                <w:lang w:eastAsia="es-MX"/>
              </w:rPr>
              <w:t>Público</w:t>
            </w:r>
          </w:p>
        </w:tc>
        <w:tc>
          <w:tcPr>
            <w:tcW w:w="1554" w:type="dxa"/>
            <w:vAlign w:val="center"/>
          </w:tcPr>
          <w:p w:rsidR="006478DD" w:rsidRPr="00D85C08" w:rsidRDefault="00D85C08" w:rsidP="006478D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Exequibilidad</w:t>
            </w:r>
          </w:p>
        </w:tc>
        <w:tc>
          <w:tcPr>
            <w:tcW w:w="6237" w:type="dxa"/>
          </w:tcPr>
          <w:p w:rsidR="00B6179E" w:rsidRPr="00D85C08" w:rsidRDefault="00D85C08" w:rsidP="00CF5375">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En primer lugar, hace un recuento sobre los antecedentes del Protocolo. Seguidamente resalta que el Gobierno nacional, en la exposición de motivos de la iniciativa legislativa, allegó al Congreso de la República</w:t>
            </w:r>
            <w:r w:rsidRPr="00D85C08">
              <w:rPr>
                <w:rFonts w:ascii="Times New Roman" w:eastAsia="Times New Roman" w:hAnsi="Times New Roman" w:cs="Times New Roman"/>
                <w:sz w:val="28"/>
                <w:szCs w:val="24"/>
                <w:lang w:eastAsia="es-MX"/>
              </w:rPr>
              <w:t>, entre otros,</w:t>
            </w:r>
            <w:r w:rsidRPr="00D85C08">
              <w:rPr>
                <w:rFonts w:ascii="Times New Roman" w:eastAsia="Times New Roman" w:hAnsi="Times New Roman" w:cs="Times New Roman"/>
                <w:sz w:val="28"/>
                <w:szCs w:val="24"/>
                <w:lang w:eastAsia="es-MX"/>
              </w:rPr>
              <w:t xml:space="preserve"> el análisis sobre</w:t>
            </w:r>
            <w:r w:rsidRPr="00D85C08">
              <w:rPr>
                <w:rFonts w:ascii="Times New Roman" w:eastAsia="Times New Roman" w:hAnsi="Times New Roman" w:cs="Times New Roman"/>
                <w:sz w:val="28"/>
                <w:szCs w:val="24"/>
                <w:lang w:eastAsia="es-MX"/>
              </w:rPr>
              <w:t xml:space="preserve"> </w:t>
            </w:r>
            <w:r w:rsidRPr="00D85C08">
              <w:rPr>
                <w:rFonts w:ascii="Times New Roman" w:eastAsia="Times New Roman" w:hAnsi="Times New Roman" w:cs="Times New Roman"/>
                <w:sz w:val="28"/>
                <w:szCs w:val="24"/>
                <w:lang w:eastAsia="es-MX"/>
              </w:rPr>
              <w:t>el impacto fiscal de la adhesión de Croacia al Acuerdo comercial Multipartes</w:t>
            </w:r>
            <w:r w:rsidRPr="00D85C08">
              <w:rPr>
                <w:rFonts w:ascii="Times New Roman" w:eastAsia="Times New Roman" w:hAnsi="Times New Roman" w:cs="Times New Roman"/>
                <w:sz w:val="28"/>
                <w:szCs w:val="24"/>
                <w:lang w:eastAsia="es-MX"/>
              </w:rPr>
              <w:t>, concluyendo que «la implementación de cualquier tratado, o acuerdo o convenio internacional, junto con los costos que pudieren ocasionarse con ocasión de la ap</w:t>
            </w:r>
            <w:r w:rsidRPr="00D85C08">
              <w:rPr>
                <w:rFonts w:ascii="Times New Roman" w:eastAsia="Times New Roman" w:hAnsi="Times New Roman" w:cs="Times New Roman"/>
                <w:sz w:val="28"/>
                <w:szCs w:val="24"/>
                <w:lang w:eastAsia="es-MX"/>
              </w:rPr>
              <w:t>licación del instrumento, se debe armonizar con las restricciones del Marco Fiscal de Mediano Plazo y con las proyecciones de gastos de mediano plazo de cada Sector involucrado en su ejecución. En esta medida, la finalidad sustantiva que las obligaciones d</w:t>
            </w:r>
            <w:r w:rsidRPr="00D85C08">
              <w:rPr>
                <w:rFonts w:ascii="Times New Roman" w:eastAsia="Times New Roman" w:hAnsi="Times New Roman" w:cs="Times New Roman"/>
                <w:sz w:val="28"/>
                <w:szCs w:val="24"/>
                <w:lang w:eastAsia="es-MX"/>
              </w:rPr>
              <w:t>el artículo 7 de la Ley 819 de 2033 persiguen estarían satisfechas. Una conclusión en sentido contrario daría lugar a pensar, equivocadamente, que los requisitos de la referida norma orgánica constituyen formas vacías de cualquier propósito».</w:t>
            </w:r>
          </w:p>
        </w:tc>
      </w:tr>
      <w:tr w:rsidR="00B6179E" w:rsidRPr="00D85C08" w:rsidTr="0028123E">
        <w:trPr>
          <w:jc w:val="center"/>
        </w:trPr>
        <w:tc>
          <w:tcPr>
            <w:tcW w:w="2127" w:type="dxa"/>
            <w:vAlign w:val="center"/>
          </w:tcPr>
          <w:p w:rsidR="00B6179E"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Asociación N</w:t>
            </w:r>
            <w:r w:rsidRPr="00D85C08">
              <w:rPr>
                <w:rFonts w:ascii="Times New Roman" w:eastAsia="Times New Roman" w:hAnsi="Times New Roman" w:cs="Times New Roman"/>
                <w:b/>
                <w:bCs/>
                <w:sz w:val="28"/>
                <w:szCs w:val="24"/>
                <w:lang w:eastAsia="es-MX"/>
              </w:rPr>
              <w:t xml:space="preserve">acional de Comercio Exterior - </w:t>
            </w:r>
            <w:r w:rsidRPr="00D85C08">
              <w:rPr>
                <w:rFonts w:ascii="Times New Roman" w:eastAsia="Times New Roman" w:hAnsi="Times New Roman" w:cs="Times New Roman"/>
                <w:b/>
                <w:bCs/>
                <w:sz w:val="28"/>
                <w:szCs w:val="24"/>
                <w:lang w:eastAsia="es-MX"/>
              </w:rPr>
              <w:t>Analdex</w:t>
            </w:r>
          </w:p>
        </w:tc>
        <w:tc>
          <w:tcPr>
            <w:tcW w:w="1554" w:type="dxa"/>
            <w:vAlign w:val="center"/>
          </w:tcPr>
          <w:p w:rsidR="00B6179E" w:rsidRPr="00D85C08" w:rsidRDefault="00D85C08" w:rsidP="006478D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Exequibilidad</w:t>
            </w:r>
          </w:p>
        </w:tc>
        <w:tc>
          <w:tcPr>
            <w:tcW w:w="6237" w:type="dxa"/>
          </w:tcPr>
          <w:p w:rsidR="00B6179E" w:rsidRPr="00D85C08" w:rsidRDefault="00D85C08" w:rsidP="001877D4">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Considera que el trámite legislativo no evidencia vicio alguno que pueda afectar su constitucionalidad. Además, a juicio de esta Asociación, «la suscripción de este Protocolo Adicional del Acuerdo es con</w:t>
            </w:r>
            <w:r w:rsidRPr="00D85C08">
              <w:rPr>
                <w:rFonts w:ascii="Times New Roman" w:eastAsia="Times New Roman" w:hAnsi="Times New Roman" w:cs="Times New Roman"/>
                <w:sz w:val="28"/>
                <w:szCs w:val="24"/>
                <w:lang w:eastAsia="es-MX"/>
              </w:rPr>
              <w:t>sistente con la política de inserción internacional y de profundización de las relaciones comerciales de nuestro país con los mercados internacionales. La Unión Europea ha sido muy importante para Colombia, ya que es uno de los mercados desarrollados de al</w:t>
            </w:r>
            <w:r w:rsidRPr="00D85C08">
              <w:rPr>
                <w:rFonts w:ascii="Times New Roman" w:eastAsia="Times New Roman" w:hAnsi="Times New Roman" w:cs="Times New Roman"/>
                <w:sz w:val="28"/>
                <w:szCs w:val="24"/>
                <w:lang w:eastAsia="es-MX"/>
              </w:rPr>
              <w:t>to poder adquisitivo a los que llegan los productos colombianos masivamente. En esta región se advierten oportunidades y retos innumerables. Croacia, al hacer parte de dicha comunidad, representa un gran potencial exportador para Colombia, especialmente de</w:t>
            </w:r>
            <w:r w:rsidRPr="00D85C08">
              <w:rPr>
                <w:rFonts w:ascii="Times New Roman" w:eastAsia="Times New Roman" w:hAnsi="Times New Roman" w:cs="Times New Roman"/>
                <w:sz w:val="28"/>
                <w:szCs w:val="24"/>
                <w:lang w:eastAsia="es-MX"/>
              </w:rPr>
              <w:t xml:space="preserve"> productos como café, plátanos, flores, aguacate, limones y demás productos NME».</w:t>
            </w:r>
          </w:p>
        </w:tc>
      </w:tr>
      <w:tr w:rsidR="00B6179E" w:rsidRPr="00D85C08" w:rsidTr="0028123E">
        <w:trPr>
          <w:jc w:val="center"/>
        </w:trPr>
        <w:tc>
          <w:tcPr>
            <w:tcW w:w="2127" w:type="dxa"/>
            <w:vAlign w:val="center"/>
          </w:tcPr>
          <w:p w:rsidR="00B6179E" w:rsidRPr="00D85C08" w:rsidRDefault="00D85C08" w:rsidP="006478DD">
            <w:pPr>
              <w:spacing w:after="0" w:line="240" w:lineRule="auto"/>
              <w:jc w:val="center"/>
              <w:rPr>
                <w:rFonts w:ascii="Times New Roman" w:eastAsia="Times New Roman" w:hAnsi="Times New Roman" w:cs="Times New Roman"/>
                <w:b/>
                <w:bCs/>
                <w:sz w:val="28"/>
                <w:szCs w:val="24"/>
                <w:lang w:eastAsia="es-MX"/>
              </w:rPr>
            </w:pPr>
            <w:r w:rsidRPr="00D85C08">
              <w:rPr>
                <w:rFonts w:ascii="Times New Roman" w:eastAsia="Times New Roman" w:hAnsi="Times New Roman" w:cs="Times New Roman"/>
                <w:b/>
                <w:bCs/>
                <w:sz w:val="28"/>
                <w:szCs w:val="24"/>
                <w:lang w:eastAsia="es-MX"/>
              </w:rPr>
              <w:t>Harold Sua Montaña</w:t>
            </w:r>
          </w:p>
        </w:tc>
        <w:tc>
          <w:tcPr>
            <w:tcW w:w="1554" w:type="dxa"/>
            <w:vAlign w:val="center"/>
          </w:tcPr>
          <w:p w:rsidR="00B6179E" w:rsidRPr="00D85C08" w:rsidRDefault="00D85C08" w:rsidP="006478D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Exequibilidad</w:t>
            </w:r>
          </w:p>
        </w:tc>
        <w:tc>
          <w:tcPr>
            <w:tcW w:w="6237" w:type="dxa"/>
          </w:tcPr>
          <w:p w:rsidR="00B6179E" w:rsidRPr="00D85C08" w:rsidRDefault="00D85C08" w:rsidP="00877B10">
            <w:pPr>
              <w:spacing w:after="0" w:line="240" w:lineRule="auto"/>
              <w:jc w:val="both"/>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El ciudadano considera que no evidencia motivos de incompatibilidad del Protocolo Adicional con la Constitución, por lo tanto, solicita su </w:t>
            </w:r>
            <w:r w:rsidRPr="00D85C08">
              <w:rPr>
                <w:rFonts w:ascii="Times New Roman" w:eastAsia="Times New Roman" w:hAnsi="Times New Roman" w:cs="Times New Roman"/>
                <w:sz w:val="28"/>
                <w:szCs w:val="24"/>
                <w:lang w:eastAsia="es-MX"/>
              </w:rPr>
              <w:t>constitucionalidad.</w:t>
            </w:r>
          </w:p>
        </w:tc>
      </w:tr>
    </w:tbl>
    <w:p w:rsidR="006478DD" w:rsidRPr="00D85C08" w:rsidRDefault="00D85C08" w:rsidP="006478DD">
      <w:pPr>
        <w:spacing w:after="0" w:line="240" w:lineRule="auto"/>
        <w:jc w:val="both"/>
        <w:rPr>
          <w:rFonts w:ascii="Times New Roman" w:eastAsia="Times New Roman" w:hAnsi="Times New Roman" w:cs="Times New Roman"/>
          <w:b/>
          <w:sz w:val="28"/>
          <w:szCs w:val="28"/>
          <w:lang w:eastAsia="es-MX"/>
        </w:rPr>
      </w:pPr>
    </w:p>
    <w:p w:rsidR="006478DD" w:rsidRPr="00D85C08" w:rsidRDefault="00D85C08" w:rsidP="00534BD2">
      <w:pPr>
        <w:pStyle w:val="Sinespaciado"/>
        <w:jc w:val="both"/>
        <w:rPr>
          <w:rFonts w:ascii="Times New Roman" w:hAnsi="Times New Roman" w:cs="Times New Roman"/>
          <w:bdr w:val="none" w:sz="0" w:space="0" w:color="auto" w:frame="1"/>
        </w:rPr>
      </w:pPr>
      <w:r w:rsidRPr="00D85C08">
        <w:rPr>
          <w:rFonts w:ascii="Times New Roman" w:hAnsi="Times New Roman" w:cs="Times New Roman"/>
        </w:rPr>
        <w:t xml:space="preserve">II. </w:t>
      </w:r>
      <w:r w:rsidRPr="00D85C08">
        <w:rPr>
          <w:rFonts w:ascii="Times New Roman" w:hAnsi="Times New Roman" w:cs="Times New Roman"/>
          <w:bdr w:val="none" w:sz="0" w:space="0" w:color="auto" w:frame="1"/>
        </w:rPr>
        <w:t>CONCEPTO DE</w:t>
      </w:r>
      <w:r w:rsidRPr="00D85C08">
        <w:rPr>
          <w:rFonts w:ascii="Times New Roman" w:hAnsi="Times New Roman" w:cs="Times New Roman"/>
          <w:bdr w:val="none" w:sz="0" w:space="0" w:color="auto" w:frame="1"/>
        </w:rPr>
        <w:t xml:space="preserve"> </w:t>
      </w:r>
      <w:r w:rsidRPr="00D85C08">
        <w:rPr>
          <w:rFonts w:ascii="Times New Roman" w:hAnsi="Times New Roman" w:cs="Times New Roman"/>
          <w:bdr w:val="none" w:sz="0" w:space="0" w:color="auto" w:frame="1"/>
        </w:rPr>
        <w:t>L</w:t>
      </w:r>
      <w:r w:rsidRPr="00D85C08">
        <w:rPr>
          <w:rFonts w:ascii="Times New Roman" w:hAnsi="Times New Roman" w:cs="Times New Roman"/>
          <w:bdr w:val="none" w:sz="0" w:space="0" w:color="auto" w:frame="1"/>
        </w:rPr>
        <w:t>A PROCURADURÍA GENERAL DE LA NACIÓN</w:t>
      </w:r>
    </w:p>
    <w:p w:rsidR="006478DD" w:rsidRPr="00D85C08" w:rsidRDefault="00D85C08" w:rsidP="006478DD">
      <w:pPr>
        <w:spacing w:after="0" w:line="240" w:lineRule="auto"/>
        <w:jc w:val="both"/>
        <w:rPr>
          <w:rFonts w:ascii="Times New Roman" w:eastAsia="Times New Roman" w:hAnsi="Times New Roman" w:cs="Times New Roman"/>
          <w:b/>
          <w:bCs/>
          <w:sz w:val="28"/>
          <w:szCs w:val="28"/>
          <w:bdr w:val="none" w:sz="0" w:space="0" w:color="auto" w:frame="1"/>
          <w:lang w:eastAsia="es-MX"/>
        </w:rPr>
      </w:pPr>
    </w:p>
    <w:p w:rsidR="006478DD" w:rsidRPr="00D85C08" w:rsidRDefault="00D85C08" w:rsidP="005233F9">
      <w:pPr>
        <w:pStyle w:val="Prrafodelista"/>
        <w:numPr>
          <w:ilvl w:val="0"/>
          <w:numId w:val="1"/>
        </w:numPr>
        <w:ind w:left="0" w:firstLine="0"/>
        <w:jc w:val="both"/>
        <w:rPr>
          <w:rFonts w:ascii="Times New Roman" w:hAnsi="Times New Roman" w:cs="Times New Roman"/>
          <w:bCs/>
          <w:sz w:val="28"/>
          <w:szCs w:val="28"/>
          <w:bdr w:val="none" w:sz="0" w:space="0" w:color="auto" w:frame="1"/>
        </w:rPr>
      </w:pPr>
      <w:r w:rsidRPr="00D85C08">
        <w:rPr>
          <w:rFonts w:ascii="Times New Roman" w:hAnsi="Times New Roman" w:cs="Times New Roman"/>
          <w:bCs/>
          <w:sz w:val="28"/>
          <w:szCs w:val="28"/>
          <w:bdr w:val="none" w:sz="0" w:space="0" w:color="auto" w:frame="1"/>
        </w:rPr>
        <w:t>L</w:t>
      </w:r>
      <w:r w:rsidRPr="00D85C08">
        <w:rPr>
          <w:rFonts w:ascii="Times New Roman" w:hAnsi="Times New Roman" w:cs="Times New Roman"/>
          <w:bCs/>
          <w:sz w:val="28"/>
          <w:szCs w:val="28"/>
          <w:bdr w:val="none" w:sz="0" w:space="0" w:color="auto" w:frame="1"/>
        </w:rPr>
        <w:t>a procuradora</w:t>
      </w:r>
      <w:r w:rsidRPr="00D85C08">
        <w:rPr>
          <w:rFonts w:ascii="Times New Roman" w:hAnsi="Times New Roman" w:cs="Times New Roman"/>
          <w:bCs/>
          <w:sz w:val="28"/>
          <w:szCs w:val="28"/>
          <w:bdr w:val="none" w:sz="0" w:space="0" w:color="auto" w:frame="1"/>
        </w:rPr>
        <w:t xml:space="preserve"> general de la Nación solicita a la Corte Constitucional que declare la exequibilidad del </w:t>
      </w:r>
      <w:r w:rsidRPr="00D85C08">
        <w:rPr>
          <w:rFonts w:ascii="Times New Roman" w:hAnsi="Times New Roman" w:cs="Times New Roman"/>
          <w:bCs/>
          <w:sz w:val="28"/>
          <w:szCs w:val="28"/>
          <w:bdr w:val="none" w:sz="0" w:space="0" w:color="auto" w:frame="1"/>
        </w:rPr>
        <w:t>Protocolo</w:t>
      </w:r>
      <w:r w:rsidRPr="00D85C08">
        <w:rPr>
          <w:rFonts w:ascii="Times New Roman" w:hAnsi="Times New Roman" w:cs="Times New Roman"/>
          <w:bCs/>
          <w:sz w:val="28"/>
          <w:szCs w:val="28"/>
          <w:bdr w:val="none" w:sz="0" w:space="0" w:color="auto" w:frame="1"/>
        </w:rPr>
        <w:t xml:space="preserve"> y de la </w:t>
      </w:r>
      <w:r w:rsidRPr="00D85C08">
        <w:rPr>
          <w:rFonts w:ascii="Times New Roman" w:hAnsi="Times New Roman" w:cs="Times New Roman"/>
          <w:bCs/>
          <w:sz w:val="28"/>
          <w:szCs w:val="28"/>
          <w:bdr w:val="none" w:sz="0" w:space="0" w:color="auto" w:frame="1"/>
        </w:rPr>
        <w:t>ley aprobatoria</w:t>
      </w:r>
      <w:r w:rsidRPr="00D85C08">
        <w:rPr>
          <w:rFonts w:ascii="Times New Roman" w:hAnsi="Times New Roman" w:cs="Times New Roman"/>
          <w:bCs/>
          <w:sz w:val="28"/>
          <w:szCs w:val="28"/>
          <w:bdr w:val="none" w:sz="0" w:space="0" w:color="auto" w:frame="1"/>
        </w:rPr>
        <w:t xml:space="preserve">. Para sustentar su solicitud, manifiesta </w:t>
      </w:r>
      <w:r w:rsidRPr="00D85C08">
        <w:rPr>
          <w:rFonts w:ascii="Times New Roman" w:hAnsi="Times New Roman" w:cs="Times New Roman"/>
          <w:bCs/>
          <w:sz w:val="28"/>
          <w:szCs w:val="28"/>
          <w:bdr w:val="none" w:sz="0" w:space="0" w:color="auto" w:frame="1"/>
        </w:rPr>
        <w:t>lo siguiente:</w:t>
      </w:r>
    </w:p>
    <w:p w:rsidR="006478DD" w:rsidRPr="00D85C08" w:rsidRDefault="00D85C08" w:rsidP="005233F9">
      <w:pPr>
        <w:spacing w:after="0" w:line="240" w:lineRule="auto"/>
        <w:contextualSpacing/>
        <w:jc w:val="both"/>
        <w:rPr>
          <w:rFonts w:ascii="Times New Roman" w:eastAsia="Times New Roman" w:hAnsi="Times New Roman" w:cs="Times New Roman"/>
          <w:bCs/>
          <w:sz w:val="28"/>
          <w:szCs w:val="28"/>
          <w:bdr w:val="none" w:sz="0" w:space="0" w:color="auto" w:frame="1"/>
          <w:lang w:eastAsia="es-MX"/>
        </w:rPr>
      </w:pPr>
    </w:p>
    <w:p w:rsidR="006478DD" w:rsidRPr="00D85C08" w:rsidRDefault="00D85C08" w:rsidP="005233F9">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bCs/>
          <w:sz w:val="28"/>
          <w:szCs w:val="28"/>
          <w:bdr w:val="none" w:sz="0" w:space="0" w:color="auto" w:frame="1"/>
        </w:rPr>
        <w:t xml:space="preserve">El </w:t>
      </w:r>
      <w:r w:rsidRPr="00D85C08">
        <w:rPr>
          <w:rFonts w:ascii="Times New Roman" w:hAnsi="Times New Roman" w:cs="Times New Roman"/>
          <w:sz w:val="28"/>
          <w:szCs w:val="28"/>
        </w:rPr>
        <w:t>Protocolo</w:t>
      </w:r>
      <w:r w:rsidRPr="00D85C08">
        <w:rPr>
          <w:rFonts w:ascii="Times New Roman" w:hAnsi="Times New Roman" w:cs="Times New Roman"/>
          <w:sz w:val="28"/>
          <w:szCs w:val="28"/>
        </w:rPr>
        <w:t xml:space="preserve"> y la </w:t>
      </w:r>
      <w:r w:rsidRPr="00D85C08">
        <w:rPr>
          <w:rFonts w:ascii="Times New Roman" w:hAnsi="Times New Roman" w:cs="Times New Roman"/>
          <w:sz w:val="28"/>
          <w:szCs w:val="28"/>
        </w:rPr>
        <w:t>ley aprobatoria</w:t>
      </w:r>
      <w:r w:rsidRPr="00D85C08">
        <w:rPr>
          <w:rFonts w:ascii="Times New Roman" w:hAnsi="Times New Roman" w:cs="Times New Roman"/>
          <w:sz w:val="28"/>
          <w:szCs w:val="28"/>
        </w:rPr>
        <w:t xml:space="preserve"> cumplen los requisitos formales previstos en los artículos 145, 146, 154, 157, 160, 162, 165, 189, 200 y 241 de la Constitución. Esto, pues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el </w:t>
      </w:r>
      <w:r w:rsidRPr="00D85C08">
        <w:rPr>
          <w:rFonts w:ascii="Times New Roman" w:hAnsi="Times New Roman" w:cs="Times New Roman"/>
          <w:sz w:val="28"/>
          <w:szCs w:val="28"/>
        </w:rPr>
        <w:t>Protocolo</w:t>
      </w:r>
      <w:r w:rsidRPr="00D85C08">
        <w:rPr>
          <w:rFonts w:ascii="Times New Roman" w:hAnsi="Times New Roman" w:cs="Times New Roman"/>
          <w:sz w:val="28"/>
          <w:szCs w:val="28"/>
        </w:rPr>
        <w:t xml:space="preserve"> fue suscrito por la entonces ministra de relaciones</w:t>
      </w:r>
      <w:r w:rsidRPr="00D85C08">
        <w:rPr>
          <w:rFonts w:ascii="Times New Roman" w:hAnsi="Times New Roman" w:cs="Times New Roman"/>
          <w:sz w:val="28"/>
          <w:szCs w:val="28"/>
        </w:rPr>
        <w:t xml:space="preserve"> exteriores;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el proyecto de ley fue tramitado en el Congreso de la República con sujeción a las reglas jurisprudenciales y legales que regulan la materia y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el presidente de la República sancionó la ley aprobatoria y la remitió a la Corte para su revisión. Además, en concordancia con la temática de la ley aprobatoria, no era necesario agotar el procedimiento de consulta previa.</w:t>
      </w:r>
    </w:p>
    <w:p w:rsidR="006C1B18" w:rsidRPr="00D85C08" w:rsidRDefault="00D85C08" w:rsidP="005233F9">
      <w:pPr>
        <w:spacing w:after="0" w:line="240" w:lineRule="auto"/>
        <w:contextualSpacing/>
        <w:jc w:val="both"/>
        <w:rPr>
          <w:rFonts w:ascii="Times New Roman" w:eastAsia="Times New Roman" w:hAnsi="Times New Roman" w:cs="Times New Roman"/>
          <w:sz w:val="28"/>
          <w:szCs w:val="28"/>
          <w:lang w:eastAsia="es-MX"/>
        </w:rPr>
      </w:pPr>
    </w:p>
    <w:p w:rsidR="006C1B18" w:rsidRPr="00D85C08" w:rsidRDefault="00D85C08" w:rsidP="005233F9">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Respecto de la exigencia del a</w:t>
      </w:r>
      <w:r w:rsidRPr="00D85C08">
        <w:rPr>
          <w:rFonts w:ascii="Times New Roman" w:hAnsi="Times New Roman" w:cs="Times New Roman"/>
          <w:sz w:val="28"/>
          <w:szCs w:val="28"/>
        </w:rPr>
        <w:t xml:space="preserve">rtículo 7 de la ley 819 de 2003, indicó que el Gobierno en la exposición de motivos incluyó el análisis fiscal, </w:t>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el cual fue considerado en las ponencias para los debates </w:t>
      </w:r>
      <w:r w:rsidRPr="00D85C08">
        <w:rPr>
          <w:rFonts w:ascii="Times New Roman" w:hAnsi="Times New Roman" w:cs="Times New Roman"/>
          <w:sz w:val="28"/>
          <w:szCs w:val="28"/>
        </w:rPr>
        <w:t>correspondientes ant</w:t>
      </w:r>
      <w:r w:rsidRPr="00D85C08">
        <w:rPr>
          <w:rFonts w:ascii="Times New Roman" w:hAnsi="Times New Roman" w:cs="Times New Roman"/>
          <w:sz w:val="28"/>
          <w:szCs w:val="28"/>
        </w:rPr>
        <w:t>e las</w:t>
      </w:r>
      <w:r w:rsidRPr="00D85C08">
        <w:rPr>
          <w:rFonts w:ascii="Times New Roman" w:hAnsi="Times New Roman" w:cs="Times New Roman"/>
          <w:sz w:val="28"/>
          <w:szCs w:val="28"/>
        </w:rPr>
        <w:t xml:space="preserve"> Cámaras. Ciertamente, en la deliberación parlamentaria se a</w:t>
      </w:r>
      <w:r w:rsidRPr="00D85C08">
        <w:rPr>
          <w:rFonts w:ascii="Times New Roman" w:hAnsi="Times New Roman" w:cs="Times New Roman"/>
          <w:sz w:val="28"/>
          <w:szCs w:val="28"/>
        </w:rPr>
        <w:t>dvirtió que, a partir de la balanza comercial entre Croacia y Colombia, la suscripción del tratado no genera “mayor costo fiscal por aranceles ni IVA”».</w:t>
      </w:r>
    </w:p>
    <w:p w:rsidR="0085021D" w:rsidRPr="00D85C08" w:rsidRDefault="00D85C08" w:rsidP="005233F9">
      <w:pPr>
        <w:spacing w:after="0" w:line="240" w:lineRule="auto"/>
        <w:contextualSpacing/>
        <w:jc w:val="both"/>
        <w:rPr>
          <w:rFonts w:ascii="Times New Roman" w:eastAsia="Times New Roman" w:hAnsi="Times New Roman" w:cs="Times New Roman"/>
          <w:sz w:val="28"/>
          <w:szCs w:val="28"/>
          <w:lang w:eastAsia="es-MX"/>
        </w:rPr>
      </w:pPr>
    </w:p>
    <w:p w:rsidR="00C82CD1" w:rsidRPr="00D85C08" w:rsidRDefault="00D85C08" w:rsidP="005233F9">
      <w:pPr>
        <w:pStyle w:val="Prrafodelista"/>
        <w:numPr>
          <w:ilvl w:val="0"/>
          <w:numId w:val="1"/>
        </w:numPr>
        <w:ind w:left="0" w:firstLine="0"/>
        <w:jc w:val="both"/>
        <w:rPr>
          <w:rFonts w:ascii="Times New Roman" w:hAnsi="Times New Roman" w:cs="Times New Roman"/>
          <w:color w:val="000000" w:themeColor="text1"/>
          <w:sz w:val="28"/>
          <w:szCs w:val="28"/>
          <w:lang w:val="es-ES_tradnl"/>
        </w:rPr>
      </w:pPr>
      <w:r w:rsidRPr="00D85C08">
        <w:rPr>
          <w:rFonts w:ascii="Times New Roman" w:hAnsi="Times New Roman" w:cs="Times New Roman"/>
          <w:sz w:val="28"/>
          <w:szCs w:val="28"/>
        </w:rPr>
        <w:t xml:space="preserve">Respecto de los requisitos materiales, </w:t>
      </w:r>
      <w:r w:rsidRPr="00D85C08">
        <w:rPr>
          <w:rFonts w:ascii="Times New Roman" w:hAnsi="Times New Roman" w:cs="Times New Roman"/>
          <w:sz w:val="28"/>
          <w:szCs w:val="28"/>
        </w:rPr>
        <w:t xml:space="preserve">la Procuradora concluyó que los 14 artículos del Protocolo objeto de examen «(i) formalizan la incorporación de Croacia a la zona de libre comercio creada por el tratado original en el año 2012 y, (ii) reemplazan algunos de los anexos técnicos de convenio </w:t>
      </w:r>
      <w:r w:rsidRPr="00D85C08">
        <w:rPr>
          <w:rFonts w:ascii="Times New Roman" w:hAnsi="Times New Roman" w:cs="Times New Roman"/>
          <w:sz w:val="28"/>
          <w:szCs w:val="28"/>
        </w:rPr>
        <w:t xml:space="preserve">inicial a fin de actualizar las prerrogativas y obligaciones mercantiles y arancelarias de las partes (Unión Europea y Colombia)». En este escenario, considera que las </w:t>
      </w:r>
      <w:r w:rsidRPr="00D85C08">
        <w:rPr>
          <w:rFonts w:ascii="Times New Roman" w:hAnsi="Times New Roman" w:cs="Times New Roman"/>
          <w:color w:val="000000" w:themeColor="text1"/>
          <w:sz w:val="28"/>
          <w:szCs w:val="28"/>
          <w:lang w:val="es-ES_tradnl"/>
        </w:rPr>
        <w:t>disposiciones que lo conforman son compatibles con la Carta Política porque encuentran f</w:t>
      </w:r>
      <w:r w:rsidRPr="00D85C08">
        <w:rPr>
          <w:rFonts w:ascii="Times New Roman" w:hAnsi="Times New Roman" w:cs="Times New Roman"/>
          <w:color w:val="000000" w:themeColor="text1"/>
          <w:sz w:val="28"/>
          <w:szCs w:val="28"/>
          <w:lang w:val="es-ES_tradnl"/>
        </w:rPr>
        <w:t xml:space="preserve">undamento en los artículos </w:t>
      </w:r>
      <w:r w:rsidRPr="00D85C08">
        <w:rPr>
          <w:rFonts w:ascii="Times New Roman" w:hAnsi="Times New Roman" w:cs="Times New Roman"/>
          <w:color w:val="000000" w:themeColor="text1"/>
          <w:sz w:val="28"/>
          <w:szCs w:val="28"/>
          <w:lang w:val="es-ES_tradnl"/>
        </w:rPr>
        <w:t xml:space="preserve">1, </w:t>
      </w:r>
      <w:r w:rsidRPr="00D85C08">
        <w:rPr>
          <w:rFonts w:ascii="Times New Roman" w:hAnsi="Times New Roman" w:cs="Times New Roman"/>
          <w:color w:val="000000" w:themeColor="text1"/>
          <w:sz w:val="28"/>
          <w:szCs w:val="28"/>
          <w:lang w:val="es-ES_tradnl"/>
        </w:rPr>
        <w:t>2</w:t>
      </w:r>
      <w:r w:rsidRPr="00D85C08">
        <w:rPr>
          <w:rFonts w:ascii="Times New Roman" w:hAnsi="Times New Roman" w:cs="Times New Roman"/>
          <w:color w:val="000000" w:themeColor="text1"/>
          <w:sz w:val="28"/>
          <w:szCs w:val="28"/>
          <w:lang w:val="es-ES_tradnl"/>
        </w:rPr>
        <w:t>, 3</w:t>
      </w:r>
      <w:r w:rsidRPr="00D85C08">
        <w:rPr>
          <w:rFonts w:ascii="Times New Roman" w:hAnsi="Times New Roman" w:cs="Times New Roman"/>
          <w:color w:val="000000" w:themeColor="text1"/>
          <w:sz w:val="28"/>
          <w:szCs w:val="28"/>
          <w:lang w:val="es-ES_tradnl"/>
        </w:rPr>
        <w:t xml:space="preserve">, 9, </w:t>
      </w:r>
      <w:r w:rsidRPr="00D85C08">
        <w:rPr>
          <w:rFonts w:ascii="Times New Roman" w:hAnsi="Times New Roman" w:cs="Times New Roman"/>
          <w:color w:val="000000" w:themeColor="text1"/>
          <w:sz w:val="28"/>
          <w:szCs w:val="28"/>
          <w:lang w:val="es-ES_tradnl"/>
        </w:rPr>
        <w:t xml:space="preserve">29, </w:t>
      </w:r>
      <w:r w:rsidRPr="00D85C08">
        <w:rPr>
          <w:rFonts w:ascii="Times New Roman" w:hAnsi="Times New Roman" w:cs="Times New Roman"/>
          <w:color w:val="000000" w:themeColor="text1"/>
          <w:sz w:val="28"/>
          <w:szCs w:val="28"/>
          <w:lang w:val="es-ES_tradnl"/>
        </w:rPr>
        <w:t xml:space="preserve">226, 227 y 333 de la Constitución. </w:t>
      </w:r>
    </w:p>
    <w:p w:rsidR="00C82CD1" w:rsidRPr="00D85C08" w:rsidRDefault="00D85C08" w:rsidP="005233F9">
      <w:pPr>
        <w:spacing w:after="0" w:line="240" w:lineRule="auto"/>
        <w:contextualSpacing/>
        <w:jc w:val="both"/>
        <w:rPr>
          <w:rFonts w:ascii="Times New Roman" w:hAnsi="Times New Roman" w:cs="Times New Roman"/>
          <w:color w:val="000000" w:themeColor="text1"/>
          <w:sz w:val="28"/>
          <w:szCs w:val="28"/>
          <w:lang w:val="es-ES_tradnl"/>
        </w:rPr>
      </w:pPr>
    </w:p>
    <w:p w:rsidR="0085021D" w:rsidRPr="00D85C08" w:rsidRDefault="00D85C08" w:rsidP="005233F9">
      <w:pPr>
        <w:pStyle w:val="Prrafodelista"/>
        <w:numPr>
          <w:ilvl w:val="0"/>
          <w:numId w:val="1"/>
        </w:numPr>
        <w:ind w:left="0" w:firstLine="0"/>
        <w:jc w:val="both"/>
        <w:rPr>
          <w:rFonts w:ascii="Times New Roman" w:hAnsi="Times New Roman" w:cs="Times New Roman"/>
          <w:color w:val="000000" w:themeColor="text1"/>
          <w:sz w:val="28"/>
          <w:szCs w:val="28"/>
          <w:lang w:val="es-ES_tradnl"/>
        </w:rPr>
      </w:pPr>
      <w:r w:rsidRPr="00D85C08">
        <w:rPr>
          <w:rFonts w:ascii="Times New Roman" w:hAnsi="Times New Roman" w:cs="Times New Roman"/>
          <w:color w:val="000000" w:themeColor="text1"/>
          <w:sz w:val="28"/>
          <w:szCs w:val="28"/>
        </w:rPr>
        <w:t xml:space="preserve">De otro lado, en cuanto al análisis material de constitucionalidad de la ley aprobatoria, </w:t>
      </w:r>
      <w:r w:rsidRPr="00D85C08">
        <w:rPr>
          <w:rFonts w:ascii="Times New Roman" w:hAnsi="Times New Roman" w:cs="Times New Roman"/>
          <w:color w:val="000000" w:themeColor="text1"/>
          <w:sz w:val="28"/>
          <w:szCs w:val="28"/>
        </w:rPr>
        <w:t xml:space="preserve">Ley </w:t>
      </w:r>
      <w:r w:rsidRPr="00D85C08">
        <w:rPr>
          <w:rFonts w:ascii="Times New Roman" w:hAnsi="Times New Roman" w:cs="Times New Roman"/>
          <w:color w:val="000000" w:themeColor="text1"/>
          <w:sz w:val="28"/>
          <w:szCs w:val="28"/>
        </w:rPr>
        <w:t xml:space="preserve">2293 de 2023, </w:t>
      </w:r>
      <w:r w:rsidRPr="00D85C08">
        <w:rPr>
          <w:rFonts w:ascii="Times New Roman" w:hAnsi="Times New Roman" w:cs="Times New Roman"/>
          <w:color w:val="000000" w:themeColor="text1"/>
          <w:sz w:val="28"/>
          <w:szCs w:val="28"/>
        </w:rPr>
        <w:t xml:space="preserve">la procuradora observó que existe </w:t>
      </w:r>
      <w:r w:rsidRPr="00D85C08">
        <w:rPr>
          <w:rFonts w:ascii="Times New Roman" w:hAnsi="Times New Roman" w:cs="Times New Roman"/>
          <w:color w:val="000000" w:themeColor="text1"/>
          <w:sz w:val="28"/>
          <w:szCs w:val="28"/>
        </w:rPr>
        <w:t>«</w:t>
      </w:r>
      <w:r w:rsidRPr="00D85C08">
        <w:rPr>
          <w:rFonts w:ascii="Times New Roman" w:hAnsi="Times New Roman" w:cs="Times New Roman"/>
          <w:color w:val="000000" w:themeColor="text1"/>
          <w:sz w:val="28"/>
          <w:szCs w:val="28"/>
        </w:rPr>
        <w:t xml:space="preserve">clara conexidad entre el título de la ley y sus tres artículos, en tanto </w:t>
      </w:r>
      <w:r w:rsidRPr="00D85C08">
        <w:rPr>
          <w:rFonts w:ascii="Times New Roman" w:hAnsi="Times New Roman" w:cs="Times New Roman"/>
          <w:color w:val="000000" w:themeColor="text1"/>
          <w:sz w:val="28"/>
          <w:szCs w:val="28"/>
        </w:rPr>
        <w:t xml:space="preserve">en su conjunto </w:t>
      </w:r>
      <w:r w:rsidRPr="00D85C08">
        <w:rPr>
          <w:rFonts w:ascii="Times New Roman" w:hAnsi="Times New Roman" w:cs="Times New Roman"/>
          <w:color w:val="000000" w:themeColor="text1"/>
          <w:sz w:val="28"/>
          <w:szCs w:val="28"/>
        </w:rPr>
        <w:t xml:space="preserve">se refieren a aspectos relacionados con la adopción del </w:t>
      </w:r>
      <w:r w:rsidRPr="00D85C08">
        <w:rPr>
          <w:rFonts w:ascii="Times New Roman" w:hAnsi="Times New Roman" w:cs="Times New Roman"/>
          <w:color w:val="000000" w:themeColor="text1"/>
          <w:sz w:val="28"/>
          <w:szCs w:val="28"/>
        </w:rPr>
        <w:t>Protocolo Adicional del Acuerdo Comercial entre la unión Europea y Colombia y Perú, para tener en cuenta la adhe</w:t>
      </w:r>
      <w:r w:rsidRPr="00D85C08">
        <w:rPr>
          <w:rFonts w:ascii="Times New Roman" w:hAnsi="Times New Roman" w:cs="Times New Roman"/>
          <w:color w:val="000000" w:themeColor="text1"/>
          <w:sz w:val="28"/>
          <w:szCs w:val="28"/>
        </w:rPr>
        <w:t>s</w:t>
      </w:r>
      <w:r w:rsidRPr="00D85C08">
        <w:rPr>
          <w:rFonts w:ascii="Times New Roman" w:hAnsi="Times New Roman" w:cs="Times New Roman"/>
          <w:color w:val="000000" w:themeColor="text1"/>
          <w:sz w:val="28"/>
          <w:szCs w:val="28"/>
        </w:rPr>
        <w:t xml:space="preserve">ión de la República de Croacia </w:t>
      </w:r>
      <w:r w:rsidRPr="00D85C08">
        <w:rPr>
          <w:rFonts w:ascii="Times New Roman" w:hAnsi="Times New Roman" w:cs="Times New Roman"/>
          <w:color w:val="000000" w:themeColor="text1"/>
          <w:sz w:val="28"/>
          <w:szCs w:val="28"/>
        </w:rPr>
        <w:t>aprobación, vigencia y publicidad, con lo cual se respeta el principio de unidad de materia establecido en los artículos 158 y 169 de la Carta Política».</w:t>
      </w:r>
      <w:r w:rsidRPr="00D85C08">
        <w:rPr>
          <w:rFonts w:ascii="Times New Roman" w:hAnsi="Times New Roman" w:cs="Times New Roman"/>
          <w:color w:val="000000" w:themeColor="text1"/>
          <w:sz w:val="28"/>
          <w:szCs w:val="28"/>
        </w:rPr>
        <w:t xml:space="preserve"> </w:t>
      </w:r>
    </w:p>
    <w:p w:rsidR="0085021D" w:rsidRPr="00D85C08" w:rsidRDefault="00D85C08" w:rsidP="006478DD">
      <w:pPr>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6478DD">
      <w:pPr>
        <w:tabs>
          <w:tab w:val="left" w:pos="5529"/>
        </w:tabs>
        <w:autoSpaceDE w:val="0"/>
        <w:autoSpaceDN w:val="0"/>
        <w:spacing w:after="0" w:line="240" w:lineRule="auto"/>
        <w:jc w:val="both"/>
        <w:rPr>
          <w:rFonts w:ascii="Times New Roman" w:eastAsia="Times New Roman" w:hAnsi="Times New Roman" w:cs="Times New Roman"/>
          <w:b/>
          <w:bCs/>
          <w:sz w:val="28"/>
          <w:szCs w:val="28"/>
        </w:rPr>
      </w:pPr>
      <w:r w:rsidRPr="00D85C08">
        <w:rPr>
          <w:rFonts w:ascii="Times New Roman" w:eastAsia="Times New Roman" w:hAnsi="Times New Roman" w:cs="Times New Roman"/>
          <w:b/>
          <w:bCs/>
          <w:sz w:val="28"/>
          <w:szCs w:val="28"/>
        </w:rPr>
        <w:t xml:space="preserve">III. CONSIDERACIONES DE LA CORTE </w:t>
      </w:r>
    </w:p>
    <w:p w:rsidR="006478DD" w:rsidRPr="00D85C08" w:rsidRDefault="00D85C08" w:rsidP="006478DD">
      <w:pPr>
        <w:tabs>
          <w:tab w:val="left" w:pos="851"/>
          <w:tab w:val="left" w:pos="5529"/>
        </w:tabs>
        <w:autoSpaceDE w:val="0"/>
        <w:autoSpaceDN w:val="0"/>
        <w:spacing w:after="0" w:line="240" w:lineRule="auto"/>
        <w:jc w:val="both"/>
        <w:rPr>
          <w:rFonts w:ascii="Times New Roman" w:eastAsia="Times New Roman" w:hAnsi="Times New Roman" w:cs="Times New Roman"/>
          <w:bCs/>
          <w:sz w:val="28"/>
          <w:szCs w:val="28"/>
          <w:u w:val="single"/>
        </w:rPr>
      </w:pPr>
    </w:p>
    <w:p w:rsidR="006478DD" w:rsidRPr="00D85C08" w:rsidRDefault="00D85C08" w:rsidP="005233F9">
      <w:pPr>
        <w:pStyle w:val="Ttulo2"/>
        <w:rPr>
          <w:rFonts w:ascii="Times New Roman" w:hAnsi="Times New Roman" w:cs="Times New Roman"/>
          <w:lang w:eastAsia="es-MX"/>
        </w:rPr>
      </w:pPr>
      <w:r w:rsidRPr="00D85C08">
        <w:rPr>
          <w:rFonts w:ascii="Times New Roman" w:hAnsi="Times New Roman" w:cs="Times New Roman"/>
          <w:lang w:eastAsia="es-MX"/>
        </w:rPr>
        <w:t xml:space="preserve">1. </w:t>
      </w:r>
      <w:r w:rsidRPr="00D85C08">
        <w:rPr>
          <w:rFonts w:ascii="Times New Roman" w:hAnsi="Times New Roman" w:cs="Times New Roman"/>
          <w:lang w:eastAsia="es-MX"/>
        </w:rPr>
        <w:t>Competencia</w:t>
      </w:r>
    </w:p>
    <w:p w:rsidR="006478DD" w:rsidRPr="00D85C08" w:rsidRDefault="00D85C08" w:rsidP="006478DD">
      <w:pPr>
        <w:spacing w:after="0" w:line="240" w:lineRule="auto"/>
        <w:jc w:val="both"/>
        <w:rPr>
          <w:rFonts w:ascii="Times New Roman" w:eastAsia="Times New Roman" w:hAnsi="Times New Roman" w:cs="Times New Roman"/>
          <w:b/>
          <w:sz w:val="28"/>
          <w:szCs w:val="28"/>
          <w:lang w:eastAsia="es-MX"/>
        </w:rPr>
      </w:pPr>
    </w:p>
    <w:p w:rsidR="006478DD" w:rsidRPr="00D85C08" w:rsidRDefault="00D85C08" w:rsidP="005233F9">
      <w:pPr>
        <w:pStyle w:val="Prrafodelista"/>
        <w:numPr>
          <w:ilvl w:val="0"/>
          <w:numId w:val="1"/>
        </w:numPr>
        <w:shd w:val="clear" w:color="auto" w:fill="FFFFFF" w:themeFill="background1"/>
        <w:ind w:left="0" w:firstLine="0"/>
        <w:jc w:val="both"/>
        <w:rPr>
          <w:rFonts w:ascii="Times New Roman" w:hAnsi="Times New Roman" w:cs="Times New Roman"/>
          <w:iCs/>
          <w:sz w:val="28"/>
          <w:szCs w:val="28"/>
        </w:rPr>
      </w:pPr>
      <w:r w:rsidRPr="00D85C08">
        <w:rPr>
          <w:rFonts w:ascii="Times New Roman" w:hAnsi="Times New Roman" w:cs="Times New Roman"/>
          <w:sz w:val="28"/>
          <w:szCs w:val="28"/>
        </w:rPr>
        <w:t>De conformidad co</w:t>
      </w:r>
      <w:r w:rsidRPr="00D85C08">
        <w:rPr>
          <w:rFonts w:ascii="Times New Roman" w:hAnsi="Times New Roman" w:cs="Times New Roman"/>
          <w:sz w:val="28"/>
          <w:szCs w:val="28"/>
        </w:rPr>
        <w:t xml:space="preserve">n lo dispuesto en el artículo 241, numeral 10, de la Constitución, la Corte Constitucional es competente para conocer y </w:t>
      </w:r>
      <w:r w:rsidRPr="00D85C08">
        <w:rPr>
          <w:rFonts w:ascii="Times New Roman" w:hAnsi="Times New Roman" w:cs="Times New Roman"/>
          <w:iCs/>
          <w:sz w:val="28"/>
          <w:szCs w:val="28"/>
        </w:rPr>
        <w:t xml:space="preserve">decidir definitivamente sobre la constitucionalidad del </w:t>
      </w:r>
      <w:r w:rsidRPr="00D85C08">
        <w:rPr>
          <w:rFonts w:ascii="Times New Roman" w:hAnsi="Times New Roman" w:cs="Times New Roman"/>
          <w:iCs/>
          <w:sz w:val="28"/>
          <w:szCs w:val="28"/>
        </w:rPr>
        <w:t>Protocolo</w:t>
      </w:r>
      <w:r w:rsidRPr="00D85C08">
        <w:rPr>
          <w:rFonts w:ascii="Times New Roman" w:hAnsi="Times New Roman" w:cs="Times New Roman"/>
          <w:iCs/>
          <w:sz w:val="28"/>
          <w:szCs w:val="28"/>
        </w:rPr>
        <w:t xml:space="preserve"> y de </w:t>
      </w:r>
      <w:r w:rsidRPr="00D85C08">
        <w:rPr>
          <w:rFonts w:ascii="Times New Roman" w:hAnsi="Times New Roman" w:cs="Times New Roman"/>
          <w:iCs/>
          <w:sz w:val="28"/>
          <w:szCs w:val="28"/>
        </w:rPr>
        <w:t>la</w:t>
      </w:r>
      <w:r w:rsidRPr="00D85C08">
        <w:rPr>
          <w:rFonts w:ascii="Times New Roman" w:hAnsi="Times New Roman" w:cs="Times New Roman"/>
          <w:iCs/>
          <w:sz w:val="28"/>
          <w:szCs w:val="28"/>
        </w:rPr>
        <w:t xml:space="preserve"> ley aprobatoria.</w:t>
      </w:r>
    </w:p>
    <w:p w:rsidR="006478DD" w:rsidRPr="00D85C08" w:rsidRDefault="00D85C08" w:rsidP="006478DD">
      <w:pPr>
        <w:tabs>
          <w:tab w:val="left" w:pos="360"/>
        </w:tabs>
        <w:spacing w:after="0" w:line="240" w:lineRule="auto"/>
        <w:jc w:val="both"/>
        <w:rPr>
          <w:rFonts w:ascii="Times New Roman" w:eastAsia="Times New Roman" w:hAnsi="Times New Roman" w:cs="Times New Roman"/>
          <w:sz w:val="28"/>
          <w:szCs w:val="28"/>
          <w:lang w:eastAsia="es-MX"/>
        </w:rPr>
      </w:pPr>
    </w:p>
    <w:p w:rsidR="006478DD" w:rsidRPr="00D85C08" w:rsidRDefault="00D85C08" w:rsidP="005233F9">
      <w:pPr>
        <w:pStyle w:val="Ttulo2"/>
        <w:rPr>
          <w:rFonts w:ascii="Times New Roman" w:hAnsi="Times New Roman" w:cs="Times New Roman"/>
          <w:lang w:eastAsia="es-MX"/>
        </w:rPr>
      </w:pPr>
      <w:r w:rsidRPr="00D85C08">
        <w:rPr>
          <w:rFonts w:ascii="Times New Roman" w:hAnsi="Times New Roman" w:cs="Times New Roman"/>
          <w:lang w:eastAsia="es-MX"/>
        </w:rPr>
        <w:t xml:space="preserve">2. </w:t>
      </w:r>
      <w:r w:rsidRPr="00D85C08">
        <w:rPr>
          <w:rFonts w:ascii="Times New Roman" w:hAnsi="Times New Roman" w:cs="Times New Roman"/>
          <w:lang w:eastAsia="es-MX"/>
        </w:rPr>
        <w:t>Asunto bajo revisión, problema jurídico y</w:t>
      </w:r>
      <w:r w:rsidRPr="00D85C08">
        <w:rPr>
          <w:rFonts w:ascii="Times New Roman" w:hAnsi="Times New Roman" w:cs="Times New Roman"/>
          <w:lang w:eastAsia="es-MX"/>
        </w:rPr>
        <w:t xml:space="preserve"> metodología de la decisión</w:t>
      </w:r>
    </w:p>
    <w:p w:rsidR="006478DD" w:rsidRPr="00D85C08" w:rsidRDefault="00D85C08" w:rsidP="006478DD">
      <w:pPr>
        <w:tabs>
          <w:tab w:val="left" w:pos="360"/>
        </w:tabs>
        <w:spacing w:after="0" w:line="240" w:lineRule="auto"/>
        <w:jc w:val="both"/>
        <w:rPr>
          <w:rFonts w:ascii="Times New Roman" w:eastAsia="Times New Roman" w:hAnsi="Times New Roman" w:cs="Times New Roman"/>
          <w:sz w:val="28"/>
          <w:szCs w:val="28"/>
          <w:lang w:eastAsia="es-MX"/>
        </w:rPr>
      </w:pPr>
    </w:p>
    <w:p w:rsidR="006478DD" w:rsidRPr="00D85C08" w:rsidRDefault="00D85C08" w:rsidP="005233F9">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En razón del alcance del control de los tratados internacionales y de las leyes que los aprueb</w:t>
      </w:r>
      <w:r w:rsidRPr="00D85C08">
        <w:rPr>
          <w:rFonts w:ascii="Times New Roman" w:hAnsi="Times New Roman" w:cs="Times New Roman"/>
          <w:sz w:val="28"/>
          <w:szCs w:val="28"/>
        </w:rPr>
        <w:t>a</w:t>
      </w:r>
      <w:r w:rsidRPr="00D85C08">
        <w:rPr>
          <w:rFonts w:ascii="Times New Roman" w:hAnsi="Times New Roman" w:cs="Times New Roman"/>
          <w:sz w:val="28"/>
          <w:szCs w:val="28"/>
        </w:rPr>
        <w:t>n</w:t>
      </w:r>
      <w:r w:rsidRPr="00D85C08">
        <w:rPr>
          <w:rStyle w:val="Refdenotaalpie"/>
          <w:rFonts w:ascii="Times New Roman" w:hAnsi="Times New Roman" w:cs="Times New Roman"/>
          <w:sz w:val="28"/>
          <w:szCs w:val="28"/>
        </w:rPr>
        <w:footnoteReference w:id="2"/>
      </w:r>
      <w:r w:rsidRPr="00D85C08">
        <w:rPr>
          <w:rFonts w:ascii="Times New Roman" w:hAnsi="Times New Roman" w:cs="Times New Roman"/>
          <w:sz w:val="28"/>
          <w:szCs w:val="28"/>
        </w:rPr>
        <w:t xml:space="preserve">, la Sala Plena deberá determinar si el </w:t>
      </w:r>
      <w:r w:rsidRPr="00D85C08">
        <w:rPr>
          <w:rFonts w:ascii="Times New Roman" w:hAnsi="Times New Roman" w:cs="Times New Roman"/>
          <w:sz w:val="28"/>
          <w:szCs w:val="28"/>
        </w:rPr>
        <w:t>Protocolo</w:t>
      </w:r>
      <w:r w:rsidRPr="00D85C08">
        <w:rPr>
          <w:rFonts w:ascii="Times New Roman" w:hAnsi="Times New Roman" w:cs="Times New Roman"/>
          <w:sz w:val="28"/>
          <w:szCs w:val="28"/>
        </w:rPr>
        <w:t xml:space="preserve"> y la </w:t>
      </w:r>
      <w:r w:rsidRPr="00D85C08">
        <w:rPr>
          <w:rFonts w:ascii="Times New Roman" w:hAnsi="Times New Roman" w:cs="Times New Roman"/>
          <w:sz w:val="28"/>
          <w:szCs w:val="28"/>
        </w:rPr>
        <w:t>ley aprobatoria</w:t>
      </w:r>
      <w:r w:rsidRPr="00D85C08">
        <w:rPr>
          <w:rFonts w:ascii="Times New Roman" w:hAnsi="Times New Roman" w:cs="Times New Roman"/>
          <w:sz w:val="28"/>
          <w:szCs w:val="28"/>
        </w:rPr>
        <w:t xml:space="preserve"> cumplen los requisitos formales y materiales de validez que, para el efecto, exigen la Constitución, la Ley 5 de 1992 y la jurisprudencia.</w:t>
      </w:r>
    </w:p>
    <w:p w:rsidR="006478DD" w:rsidRPr="00D85C08" w:rsidRDefault="00D85C08" w:rsidP="005233F9">
      <w:pPr>
        <w:tabs>
          <w:tab w:val="left" w:pos="142"/>
          <w:tab w:val="left" w:pos="360"/>
        </w:tabs>
        <w:spacing w:after="0" w:line="240" w:lineRule="auto"/>
        <w:jc w:val="both"/>
        <w:rPr>
          <w:rFonts w:ascii="Times New Roman" w:hAnsi="Times New Roman" w:cs="Times New Roman"/>
          <w:sz w:val="28"/>
          <w:szCs w:val="28"/>
        </w:rPr>
      </w:pPr>
    </w:p>
    <w:p w:rsidR="00F836FB" w:rsidRPr="00D85C08" w:rsidRDefault="00D85C08" w:rsidP="005233F9">
      <w:pPr>
        <w:pStyle w:val="Prrafodelista"/>
        <w:numPr>
          <w:ilvl w:val="0"/>
          <w:numId w:val="1"/>
        </w:numPr>
        <w:tabs>
          <w:tab w:val="left" w:pos="142"/>
          <w:tab w:val="left" w:pos="360"/>
        </w:tabs>
        <w:ind w:left="0" w:firstLine="0"/>
        <w:jc w:val="both"/>
        <w:rPr>
          <w:rFonts w:ascii="Times New Roman" w:hAnsi="Times New Roman" w:cs="Times New Roman"/>
          <w:sz w:val="28"/>
          <w:szCs w:val="28"/>
          <w:lang w:eastAsia="es-ES"/>
        </w:rPr>
      </w:pPr>
      <w:r w:rsidRPr="00D85C08">
        <w:rPr>
          <w:rFonts w:ascii="Times New Roman" w:hAnsi="Times New Roman" w:cs="Times New Roman"/>
          <w:sz w:val="28"/>
          <w:szCs w:val="28"/>
        </w:rPr>
        <w:t xml:space="preserve">Para resolver el problema jurídico planteado, </w:t>
      </w:r>
      <w:r w:rsidRPr="00D85C08">
        <w:rPr>
          <w:rFonts w:ascii="Times New Roman" w:hAnsi="Times New Roman" w:cs="Times New Roman"/>
          <w:sz w:val="28"/>
          <w:szCs w:val="28"/>
        </w:rPr>
        <w:t xml:space="preserve">en primer lugar, la Corte adelantará el análisis formal </w:t>
      </w:r>
      <w:r w:rsidRPr="00D85C08">
        <w:rPr>
          <w:rFonts w:ascii="Times New Roman" w:hAnsi="Times New Roman" w:cs="Times New Roman"/>
          <w:sz w:val="28"/>
          <w:szCs w:val="28"/>
          <w:lang w:eastAsia="es-ES"/>
        </w:rPr>
        <w:t>del procedimi</w:t>
      </w:r>
      <w:r w:rsidRPr="00D85C08">
        <w:rPr>
          <w:rFonts w:ascii="Times New Roman" w:hAnsi="Times New Roman" w:cs="Times New Roman"/>
          <w:sz w:val="28"/>
          <w:szCs w:val="28"/>
          <w:lang w:eastAsia="es-ES"/>
        </w:rPr>
        <w:t xml:space="preserve">ento gubernamental y legislativo que surtieron el Gobierno y el Congreso de la República, respectivamente, para la adopción del </w:t>
      </w:r>
      <w:r w:rsidRPr="00D85C08">
        <w:rPr>
          <w:rFonts w:ascii="Times New Roman" w:hAnsi="Times New Roman" w:cs="Times New Roman"/>
          <w:sz w:val="28"/>
          <w:szCs w:val="28"/>
          <w:lang w:eastAsia="es-ES"/>
        </w:rPr>
        <w:t>Protocolo</w:t>
      </w:r>
      <w:r w:rsidRPr="00D85C08">
        <w:rPr>
          <w:rFonts w:ascii="Times New Roman" w:hAnsi="Times New Roman" w:cs="Times New Roman"/>
          <w:sz w:val="28"/>
          <w:szCs w:val="28"/>
          <w:lang w:eastAsia="es-ES"/>
        </w:rPr>
        <w:t xml:space="preserve"> y de la ley aprobatoria, en cada una de sus fases. En este punto, verificará, además, si los requisitos dispuestos en </w:t>
      </w:r>
      <w:r w:rsidRPr="00D85C08">
        <w:rPr>
          <w:rFonts w:ascii="Times New Roman" w:hAnsi="Times New Roman" w:cs="Times New Roman"/>
          <w:sz w:val="28"/>
          <w:szCs w:val="28"/>
          <w:lang w:eastAsia="es-ES"/>
        </w:rPr>
        <w:t xml:space="preserve">el artículo 7 de la Ley Orgánica 819 de 2003 eran exigibles en el presente caso. </w:t>
      </w:r>
    </w:p>
    <w:p w:rsidR="00F836FB" w:rsidRPr="00D85C08" w:rsidRDefault="00D85C08" w:rsidP="005233F9">
      <w:pPr>
        <w:tabs>
          <w:tab w:val="left" w:pos="142"/>
          <w:tab w:val="left" w:pos="360"/>
        </w:tabs>
        <w:spacing w:after="0" w:line="240" w:lineRule="auto"/>
        <w:contextualSpacing/>
        <w:jc w:val="both"/>
        <w:rPr>
          <w:rFonts w:ascii="Times New Roman" w:eastAsia="Times New Roman" w:hAnsi="Times New Roman" w:cs="Times New Roman"/>
          <w:sz w:val="28"/>
          <w:szCs w:val="28"/>
          <w:lang w:eastAsia="es-ES"/>
        </w:rPr>
      </w:pPr>
    </w:p>
    <w:p w:rsidR="00F836FB" w:rsidRPr="00D85C08" w:rsidRDefault="00D85C08" w:rsidP="005233F9">
      <w:pPr>
        <w:pStyle w:val="Prrafodelista"/>
        <w:numPr>
          <w:ilvl w:val="0"/>
          <w:numId w:val="1"/>
        </w:numPr>
        <w:tabs>
          <w:tab w:val="left" w:pos="142"/>
          <w:tab w:val="left" w:pos="360"/>
        </w:tabs>
        <w:ind w:left="0" w:firstLine="0"/>
        <w:jc w:val="both"/>
        <w:rPr>
          <w:rFonts w:ascii="Times New Roman" w:hAnsi="Times New Roman" w:cs="Times New Roman"/>
          <w:sz w:val="28"/>
          <w:szCs w:val="28"/>
          <w:lang w:eastAsia="es-ES"/>
        </w:rPr>
      </w:pPr>
      <w:r w:rsidRPr="00D85C08">
        <w:rPr>
          <w:rFonts w:ascii="Times New Roman" w:hAnsi="Times New Roman" w:cs="Times New Roman"/>
          <w:sz w:val="28"/>
          <w:szCs w:val="28"/>
          <w:lang w:eastAsia="es-ES"/>
        </w:rPr>
        <w:t xml:space="preserve">En segundo lugar, revisará la constitucionalidad material del instrumento mediante el contraste de cada uno de sus artículos y de aquellos que integran la ley aprobatoria con las disposiciones pertinentes de la Constitución. </w:t>
      </w:r>
    </w:p>
    <w:p w:rsidR="006478DD" w:rsidRPr="00D85C08" w:rsidRDefault="00D85C08" w:rsidP="00F836FB">
      <w:pPr>
        <w:tabs>
          <w:tab w:val="left" w:pos="360"/>
        </w:tabs>
        <w:spacing w:after="0" w:line="240" w:lineRule="auto"/>
        <w:contextualSpacing/>
        <w:jc w:val="both"/>
        <w:rPr>
          <w:rFonts w:ascii="Times New Roman" w:hAnsi="Times New Roman" w:cs="Times New Roman"/>
          <w:sz w:val="28"/>
          <w:szCs w:val="28"/>
        </w:rPr>
      </w:pPr>
    </w:p>
    <w:p w:rsidR="00F836FB" w:rsidRPr="00D85C08" w:rsidRDefault="00D85C08" w:rsidP="005233F9">
      <w:pPr>
        <w:pStyle w:val="Ttulo2"/>
        <w:rPr>
          <w:rFonts w:ascii="Times New Roman" w:hAnsi="Times New Roman" w:cs="Times New Roman"/>
          <w:bCs/>
        </w:rPr>
      </w:pPr>
      <w:r w:rsidRPr="00D85C08">
        <w:rPr>
          <w:rFonts w:ascii="Times New Roman" w:hAnsi="Times New Roman" w:cs="Times New Roman"/>
          <w:shd w:val="clear" w:color="auto" w:fill="FFFFFF"/>
          <w:lang w:eastAsia="es-MX"/>
        </w:rPr>
        <w:t xml:space="preserve">3. </w:t>
      </w:r>
      <w:r w:rsidRPr="00D85C08">
        <w:rPr>
          <w:rFonts w:ascii="Times New Roman" w:hAnsi="Times New Roman" w:cs="Times New Roman"/>
          <w:shd w:val="clear" w:color="auto" w:fill="FFFFFF"/>
          <w:lang w:eastAsia="es-MX"/>
        </w:rPr>
        <w:t>Control de constitucionali</w:t>
      </w:r>
      <w:r w:rsidRPr="00D85C08">
        <w:rPr>
          <w:rFonts w:ascii="Times New Roman" w:hAnsi="Times New Roman" w:cs="Times New Roman"/>
          <w:shd w:val="clear" w:color="auto" w:fill="FFFFFF"/>
          <w:lang w:eastAsia="es-MX"/>
        </w:rPr>
        <w:t>dad formal</w:t>
      </w:r>
    </w:p>
    <w:p w:rsidR="00F836FB" w:rsidRPr="00D85C08" w:rsidRDefault="00D85C08" w:rsidP="00F836FB">
      <w:pPr>
        <w:tabs>
          <w:tab w:val="left" w:pos="360"/>
        </w:tabs>
        <w:spacing w:after="0" w:line="240" w:lineRule="auto"/>
        <w:jc w:val="both"/>
        <w:rPr>
          <w:rFonts w:ascii="Times New Roman" w:eastAsia="Times New Roman" w:hAnsi="Times New Roman" w:cs="Times New Roman"/>
          <w:b/>
          <w:sz w:val="28"/>
          <w:szCs w:val="28"/>
          <w:shd w:val="clear" w:color="auto" w:fill="FFFFFF"/>
          <w:lang w:eastAsia="es-MX"/>
        </w:rPr>
      </w:pPr>
    </w:p>
    <w:p w:rsidR="00F836FB" w:rsidRPr="00D85C08" w:rsidRDefault="00D85C08" w:rsidP="005233F9">
      <w:pPr>
        <w:pStyle w:val="Prrafodelista"/>
        <w:numPr>
          <w:ilvl w:val="0"/>
          <w:numId w:val="1"/>
        </w:numPr>
        <w:tabs>
          <w:tab w:val="left" w:pos="0"/>
        </w:tabs>
        <w:ind w:left="0" w:firstLine="0"/>
        <w:jc w:val="both"/>
        <w:rPr>
          <w:rFonts w:ascii="Times New Roman" w:hAnsi="Times New Roman" w:cs="Times New Roman"/>
          <w:iCs/>
          <w:sz w:val="28"/>
          <w:szCs w:val="28"/>
          <w:lang w:eastAsia="es-CO"/>
        </w:rPr>
      </w:pPr>
      <w:r w:rsidRPr="00D85C08">
        <w:rPr>
          <w:rFonts w:ascii="Times New Roman" w:hAnsi="Times New Roman" w:cs="Times New Roman"/>
          <w:sz w:val="28"/>
          <w:szCs w:val="28"/>
          <w:shd w:val="clear" w:color="auto" w:fill="FFFFFF"/>
        </w:rPr>
        <w:t xml:space="preserve">Esta corporación ha sostenido que el control formal de los tratados internacionales y de la ley aprobatoria comprende tres fases: </w:t>
      </w:r>
      <w:r w:rsidRPr="00D85C08">
        <w:rPr>
          <w:rFonts w:ascii="Times New Roman" w:hAnsi="Times New Roman" w:cs="Times New Roman"/>
          <w:i/>
          <w:iCs/>
          <w:sz w:val="28"/>
          <w:szCs w:val="28"/>
          <w:shd w:val="clear" w:color="auto" w:fill="FFFFFF"/>
        </w:rPr>
        <w:t>i)</w:t>
      </w:r>
      <w:r w:rsidRPr="00D85C08">
        <w:rPr>
          <w:rFonts w:ascii="Times New Roman" w:hAnsi="Times New Roman" w:cs="Times New Roman"/>
          <w:sz w:val="28"/>
          <w:szCs w:val="28"/>
          <w:shd w:val="clear" w:color="auto" w:fill="FFFFFF"/>
        </w:rPr>
        <w:t xml:space="preserve"> la fase previa gubernamental</w:t>
      </w:r>
      <w:r w:rsidRPr="00D85C08">
        <w:rPr>
          <w:rStyle w:val="Refdenotaalpie"/>
          <w:rFonts w:ascii="Times New Roman" w:hAnsi="Times New Roman" w:cs="Times New Roman"/>
          <w:sz w:val="28"/>
          <w:szCs w:val="28"/>
          <w:shd w:val="clear" w:color="auto" w:fill="FFFFFF"/>
        </w:rPr>
        <w:footnoteReference w:id="3"/>
      </w:r>
      <w:r w:rsidRPr="00D85C08">
        <w:rPr>
          <w:rFonts w:ascii="Times New Roman" w:hAnsi="Times New Roman" w:cs="Times New Roman"/>
          <w:sz w:val="28"/>
          <w:szCs w:val="28"/>
          <w:shd w:val="clear" w:color="auto" w:fill="FFFFFF"/>
        </w:rPr>
        <w:t xml:space="preserve">, </w:t>
      </w:r>
      <w:r w:rsidRPr="00D85C08">
        <w:rPr>
          <w:rFonts w:ascii="Times New Roman" w:hAnsi="Times New Roman" w:cs="Times New Roman"/>
          <w:i/>
          <w:iCs/>
          <w:sz w:val="28"/>
          <w:szCs w:val="28"/>
          <w:shd w:val="clear" w:color="auto" w:fill="FFFFFF"/>
        </w:rPr>
        <w:t>ii)</w:t>
      </w:r>
      <w:r w:rsidRPr="00D85C08">
        <w:rPr>
          <w:rFonts w:ascii="Times New Roman" w:hAnsi="Times New Roman" w:cs="Times New Roman"/>
          <w:sz w:val="28"/>
          <w:szCs w:val="28"/>
          <w:shd w:val="clear" w:color="auto" w:fill="FFFFFF"/>
        </w:rPr>
        <w:t xml:space="preserve"> la fase de trámite legislativo</w:t>
      </w:r>
      <w:r w:rsidRPr="00D85C08">
        <w:rPr>
          <w:rStyle w:val="Refdenotaalpie"/>
          <w:rFonts w:ascii="Times New Roman" w:hAnsi="Times New Roman" w:cs="Times New Roman"/>
          <w:sz w:val="28"/>
          <w:szCs w:val="28"/>
          <w:shd w:val="clear" w:color="auto" w:fill="FFFFFF"/>
        </w:rPr>
        <w:footnoteReference w:id="4"/>
      </w:r>
      <w:r w:rsidRPr="00D85C08">
        <w:rPr>
          <w:rFonts w:ascii="Times New Roman" w:hAnsi="Times New Roman" w:cs="Times New Roman"/>
          <w:sz w:val="28"/>
          <w:szCs w:val="28"/>
          <w:shd w:val="clear" w:color="auto" w:fill="FFFFFF"/>
        </w:rPr>
        <w:t xml:space="preserve"> y </w:t>
      </w:r>
      <w:r w:rsidRPr="00D85C08">
        <w:rPr>
          <w:rFonts w:ascii="Times New Roman" w:hAnsi="Times New Roman" w:cs="Times New Roman"/>
          <w:i/>
          <w:iCs/>
          <w:sz w:val="28"/>
          <w:szCs w:val="28"/>
          <w:shd w:val="clear" w:color="auto" w:fill="FFFFFF"/>
        </w:rPr>
        <w:t>iii)</w:t>
      </w:r>
      <w:r w:rsidRPr="00D85C08">
        <w:rPr>
          <w:rFonts w:ascii="Times New Roman" w:hAnsi="Times New Roman" w:cs="Times New Roman"/>
          <w:sz w:val="28"/>
          <w:szCs w:val="28"/>
          <w:shd w:val="clear" w:color="auto" w:fill="FFFFFF"/>
        </w:rPr>
        <w:t xml:space="preserve"> la sanción de la ley aprobatoria por </w:t>
      </w:r>
      <w:r w:rsidRPr="00D85C08">
        <w:rPr>
          <w:rFonts w:ascii="Times New Roman" w:hAnsi="Times New Roman" w:cs="Times New Roman"/>
          <w:sz w:val="28"/>
          <w:szCs w:val="28"/>
          <w:shd w:val="clear" w:color="auto" w:fill="FFFFFF"/>
        </w:rPr>
        <w:t xml:space="preserve">parte del </w:t>
      </w:r>
      <w:r w:rsidRPr="00D85C08">
        <w:rPr>
          <w:rFonts w:ascii="Times New Roman" w:hAnsi="Times New Roman" w:cs="Times New Roman"/>
          <w:sz w:val="28"/>
          <w:szCs w:val="28"/>
          <w:lang w:eastAsia="es-ES"/>
        </w:rPr>
        <w:t xml:space="preserve">presidente de la República y la remisión a la Corte Constitucional dentro de los seis días siguientes (artículo 241.10 de la Carta). </w:t>
      </w:r>
    </w:p>
    <w:p w:rsidR="00F836FB" w:rsidRPr="00D85C08" w:rsidRDefault="00D85C08" w:rsidP="005233F9">
      <w:pPr>
        <w:tabs>
          <w:tab w:val="left" w:pos="0"/>
        </w:tabs>
        <w:spacing w:after="0" w:line="240" w:lineRule="auto"/>
        <w:jc w:val="both"/>
        <w:rPr>
          <w:rFonts w:ascii="Times New Roman" w:eastAsia="Times New Roman" w:hAnsi="Times New Roman" w:cs="Times New Roman"/>
          <w:sz w:val="28"/>
          <w:szCs w:val="28"/>
          <w:lang w:eastAsia="es-ES"/>
        </w:rPr>
      </w:pPr>
    </w:p>
    <w:p w:rsidR="00F836FB" w:rsidRPr="00D85C08" w:rsidRDefault="00D85C08" w:rsidP="005233F9">
      <w:pPr>
        <w:pStyle w:val="Prrafodelista"/>
        <w:numPr>
          <w:ilvl w:val="0"/>
          <w:numId w:val="1"/>
        </w:numPr>
        <w:tabs>
          <w:tab w:val="left" w:pos="0"/>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 xml:space="preserve">Procede la Corte a comprobar si el </w:t>
      </w:r>
      <w:r w:rsidRPr="00D85C08">
        <w:rPr>
          <w:rFonts w:ascii="Times New Roman" w:hAnsi="Times New Roman" w:cs="Times New Roman"/>
          <w:iCs/>
          <w:sz w:val="28"/>
          <w:szCs w:val="28"/>
          <w:lang w:eastAsia="es-CO"/>
        </w:rPr>
        <w:t>Protocolo</w:t>
      </w:r>
      <w:r w:rsidRPr="00D85C08">
        <w:rPr>
          <w:rFonts w:ascii="Times New Roman" w:hAnsi="Times New Roman" w:cs="Times New Roman"/>
          <w:iCs/>
          <w:sz w:val="28"/>
          <w:szCs w:val="28"/>
          <w:lang w:eastAsia="es-CO"/>
        </w:rPr>
        <w:t xml:space="preserve"> y la ley aprobatoria cumplen, uno a uno, los requisitos formales indicados en precedencia. </w:t>
      </w:r>
    </w:p>
    <w:p w:rsidR="00F836FB" w:rsidRPr="00D85C08" w:rsidRDefault="00D85C08" w:rsidP="00F836FB">
      <w:pPr>
        <w:tabs>
          <w:tab w:val="left" w:pos="360"/>
        </w:tabs>
        <w:spacing w:after="0" w:line="240" w:lineRule="auto"/>
        <w:contextualSpacing/>
        <w:jc w:val="both"/>
        <w:rPr>
          <w:rFonts w:ascii="Times New Roman" w:eastAsia="Times New Roman" w:hAnsi="Times New Roman" w:cs="Times New Roman"/>
          <w:iCs/>
          <w:sz w:val="28"/>
          <w:szCs w:val="28"/>
        </w:rPr>
      </w:pPr>
    </w:p>
    <w:p w:rsidR="00F836FB" w:rsidRPr="00D85C08" w:rsidRDefault="00D85C08" w:rsidP="005233F9">
      <w:pPr>
        <w:pStyle w:val="Ttulo2"/>
        <w:rPr>
          <w:rFonts w:ascii="Times New Roman" w:hAnsi="Times New Roman" w:cs="Times New Roman"/>
        </w:rPr>
      </w:pPr>
      <w:r w:rsidRPr="00D85C08">
        <w:rPr>
          <w:rFonts w:ascii="Times New Roman" w:hAnsi="Times New Roman" w:cs="Times New Roman"/>
        </w:rPr>
        <w:t xml:space="preserve">3.1. </w:t>
      </w:r>
      <w:r w:rsidRPr="00D85C08">
        <w:rPr>
          <w:rFonts w:ascii="Times New Roman" w:hAnsi="Times New Roman" w:cs="Times New Roman"/>
        </w:rPr>
        <w:t>Fase previa gubernamental</w:t>
      </w:r>
    </w:p>
    <w:p w:rsidR="00F836FB" w:rsidRPr="00D85C08" w:rsidRDefault="00D85C08" w:rsidP="00F836FB">
      <w:pPr>
        <w:tabs>
          <w:tab w:val="left" w:pos="360"/>
        </w:tabs>
        <w:spacing w:after="0" w:line="240" w:lineRule="auto"/>
        <w:contextualSpacing/>
        <w:jc w:val="both"/>
        <w:rPr>
          <w:rFonts w:ascii="Times New Roman" w:hAnsi="Times New Roman" w:cs="Times New Roman"/>
          <w:b/>
          <w:bCs/>
          <w:sz w:val="28"/>
          <w:szCs w:val="28"/>
        </w:rPr>
      </w:pPr>
    </w:p>
    <w:p w:rsidR="00F836FB" w:rsidRPr="00D85C08" w:rsidRDefault="00D85C08" w:rsidP="005233F9">
      <w:pPr>
        <w:pStyle w:val="Ttulo2"/>
        <w:rPr>
          <w:rFonts w:ascii="Times New Roman" w:hAnsi="Times New Roman" w:cs="Times New Roman"/>
          <w:bCs/>
          <w:iCs/>
        </w:rPr>
      </w:pPr>
      <w:r w:rsidRPr="00D85C08">
        <w:rPr>
          <w:rFonts w:ascii="Times New Roman" w:hAnsi="Times New Roman" w:cs="Times New Roman"/>
          <w:bCs/>
          <w:iCs/>
        </w:rPr>
        <w:t xml:space="preserve">3.1.1. </w:t>
      </w:r>
      <w:r w:rsidRPr="00D85C08">
        <w:rPr>
          <w:rFonts w:ascii="Times New Roman" w:hAnsi="Times New Roman" w:cs="Times New Roman"/>
          <w:bCs/>
          <w:iCs/>
        </w:rPr>
        <w:t xml:space="preserve">La </w:t>
      </w:r>
      <w:r w:rsidRPr="00D85C08">
        <w:rPr>
          <w:rFonts w:ascii="Times New Roman" w:hAnsi="Times New Roman" w:cs="Times New Roman"/>
          <w:lang w:eastAsia="es-MX"/>
        </w:rPr>
        <w:t>representación del Estado colombiano en las fases de negociación, celebración y firma del Acuerdo</w:t>
      </w:r>
    </w:p>
    <w:p w:rsidR="00F836FB" w:rsidRPr="00D85C08" w:rsidRDefault="00D85C08" w:rsidP="00F836FB">
      <w:pPr>
        <w:tabs>
          <w:tab w:val="left" w:pos="360"/>
        </w:tabs>
        <w:spacing w:after="0" w:line="240" w:lineRule="auto"/>
        <w:jc w:val="both"/>
        <w:rPr>
          <w:rFonts w:ascii="Times New Roman" w:eastAsia="Times New Roman" w:hAnsi="Times New Roman" w:cs="Times New Roman"/>
          <w:b/>
          <w:bCs/>
          <w:iCs/>
          <w:sz w:val="28"/>
          <w:szCs w:val="28"/>
        </w:rPr>
      </w:pPr>
    </w:p>
    <w:p w:rsidR="00F836FB"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El artículo 7, numera</w:t>
      </w:r>
      <w:r w:rsidRPr="00D85C08">
        <w:rPr>
          <w:rFonts w:ascii="Times New Roman" w:hAnsi="Times New Roman" w:cs="Times New Roman"/>
          <w:sz w:val="28"/>
          <w:szCs w:val="28"/>
        </w:rPr>
        <w:t xml:space="preserve">l 1, literal a), </w:t>
      </w:r>
      <w:r w:rsidRPr="00D85C08">
        <w:rPr>
          <w:rFonts w:ascii="Times New Roman" w:hAnsi="Times New Roman" w:cs="Times New Roman"/>
          <w:bCs/>
          <w:sz w:val="28"/>
          <w:szCs w:val="28"/>
          <w:lang w:eastAsia="es-ES"/>
        </w:rPr>
        <w:t>de la Convención de Viena sobre el Derecho de los Tratados entre Estados y Organizaciones Internacionales o entre Organizaciones Internacionales, incorporada al ordenamiento interno por la Ley 406 de 1997</w:t>
      </w:r>
      <w:r w:rsidRPr="00D85C08">
        <w:rPr>
          <w:rFonts w:ascii="Times New Roman" w:hAnsi="Times New Roman" w:cs="Times New Roman"/>
          <w:sz w:val="28"/>
          <w:szCs w:val="28"/>
        </w:rPr>
        <w:t>, establece que una persona represe</w:t>
      </w:r>
      <w:r w:rsidRPr="00D85C08">
        <w:rPr>
          <w:rFonts w:ascii="Times New Roman" w:hAnsi="Times New Roman" w:cs="Times New Roman"/>
          <w:sz w:val="28"/>
          <w:szCs w:val="28"/>
        </w:rPr>
        <w:t>nta a un Estado cuando presenta los «adecuados plenos poderes».</w:t>
      </w:r>
    </w:p>
    <w:p w:rsidR="00F836FB" w:rsidRPr="00D85C08" w:rsidRDefault="00D85C08" w:rsidP="005233F9">
      <w:pPr>
        <w:tabs>
          <w:tab w:val="left" w:pos="0"/>
        </w:tabs>
        <w:spacing w:after="0" w:line="240" w:lineRule="auto"/>
        <w:contextualSpacing/>
        <w:jc w:val="both"/>
        <w:rPr>
          <w:rFonts w:ascii="Times New Roman" w:hAnsi="Times New Roman" w:cs="Times New Roman"/>
          <w:sz w:val="28"/>
          <w:szCs w:val="28"/>
        </w:rPr>
      </w:pPr>
    </w:p>
    <w:p w:rsidR="004123FB"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En el presente caso, el convenio fue suscrito por el entonces embajador de Colombia en Bruselas, Rodrigo Rivera Salazar, quien contaba con plenos poderes. Estos le fueron conferidos por el pr</w:t>
      </w:r>
      <w:r w:rsidRPr="00D85C08">
        <w:rPr>
          <w:rFonts w:ascii="Times New Roman" w:hAnsi="Times New Roman" w:cs="Times New Roman"/>
          <w:sz w:val="28"/>
          <w:szCs w:val="28"/>
        </w:rPr>
        <w:t>esidente de la República y refrendados por la viceministra de Relaciones Exteriores el 13 de enero de 2015</w:t>
      </w:r>
      <w:r w:rsidRPr="00D85C08">
        <w:rPr>
          <w:rStyle w:val="Refdenotaalpie"/>
          <w:rFonts w:ascii="Times New Roman" w:hAnsi="Times New Roman" w:cs="Times New Roman"/>
          <w:sz w:val="28"/>
          <w:szCs w:val="28"/>
        </w:rPr>
        <w:footnoteReference w:id="5"/>
      </w:r>
      <w:r w:rsidRPr="00D85C08">
        <w:rPr>
          <w:rFonts w:ascii="Times New Roman" w:hAnsi="Times New Roman" w:cs="Times New Roman"/>
          <w:sz w:val="28"/>
          <w:szCs w:val="28"/>
        </w:rPr>
        <w:t xml:space="preserve">. </w:t>
      </w:r>
    </w:p>
    <w:p w:rsidR="004123FB" w:rsidRPr="00D85C08" w:rsidRDefault="00D85C08" w:rsidP="005233F9">
      <w:pPr>
        <w:tabs>
          <w:tab w:val="left" w:pos="0"/>
        </w:tabs>
        <w:spacing w:after="0" w:line="240" w:lineRule="auto"/>
        <w:contextualSpacing/>
        <w:jc w:val="both"/>
        <w:rPr>
          <w:rFonts w:ascii="Times New Roman" w:hAnsi="Times New Roman" w:cs="Times New Roman"/>
          <w:sz w:val="28"/>
          <w:szCs w:val="28"/>
        </w:rPr>
      </w:pPr>
    </w:p>
    <w:p w:rsidR="00F836FB" w:rsidRPr="00D85C08" w:rsidRDefault="00D85C08" w:rsidP="005233F9">
      <w:pPr>
        <w:pStyle w:val="Prrafodelista"/>
        <w:numPr>
          <w:ilvl w:val="0"/>
          <w:numId w:val="1"/>
        </w:numPr>
        <w:tabs>
          <w:tab w:val="left" w:pos="0"/>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Por tanto, la suscripción del </w:t>
      </w:r>
      <w:r w:rsidRPr="00D85C08">
        <w:rPr>
          <w:rFonts w:ascii="Times New Roman" w:hAnsi="Times New Roman" w:cs="Times New Roman"/>
          <w:sz w:val="28"/>
          <w:szCs w:val="28"/>
        </w:rPr>
        <w:t xml:space="preserve">Protocolo </w:t>
      </w:r>
      <w:r w:rsidRPr="00D85C08">
        <w:rPr>
          <w:rFonts w:ascii="Times New Roman" w:hAnsi="Times New Roman" w:cs="Times New Roman"/>
          <w:sz w:val="28"/>
          <w:szCs w:val="28"/>
        </w:rPr>
        <w:t>fue válida, pues la representación del Estado colombiano</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 xml:space="preserve">fue ejercida por quien contaba con plenos </w:t>
      </w:r>
      <w:r w:rsidRPr="00D85C08">
        <w:rPr>
          <w:rFonts w:ascii="Times New Roman" w:hAnsi="Times New Roman" w:cs="Times New Roman"/>
          <w:sz w:val="28"/>
          <w:szCs w:val="28"/>
        </w:rPr>
        <w:t>poderes para ello.</w:t>
      </w:r>
    </w:p>
    <w:p w:rsidR="00F836FB" w:rsidRPr="00D85C08" w:rsidRDefault="00D85C08" w:rsidP="005233F9">
      <w:pPr>
        <w:tabs>
          <w:tab w:val="left" w:pos="0"/>
        </w:tabs>
        <w:spacing w:after="0" w:line="240" w:lineRule="auto"/>
        <w:contextualSpacing/>
        <w:jc w:val="both"/>
        <w:rPr>
          <w:rFonts w:ascii="Times New Roman" w:hAnsi="Times New Roman" w:cs="Times New Roman"/>
          <w:sz w:val="28"/>
          <w:szCs w:val="28"/>
        </w:rPr>
      </w:pPr>
    </w:p>
    <w:p w:rsidR="00AE1B65"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bCs/>
          <w:iCs/>
        </w:rPr>
        <w:t>3.1.2</w:t>
      </w:r>
      <w:r w:rsidRPr="00D85C08">
        <w:rPr>
          <w:rFonts w:ascii="Times New Roman" w:hAnsi="Times New Roman" w:cs="Times New Roman"/>
          <w:lang w:eastAsia="es-MX"/>
        </w:rPr>
        <w:t xml:space="preserve"> </w:t>
      </w:r>
      <w:bookmarkStart w:id="7" w:name="_Hlk117516834"/>
      <w:r w:rsidRPr="00D85C08">
        <w:rPr>
          <w:rFonts w:ascii="Times New Roman" w:hAnsi="Times New Roman" w:cs="Times New Roman"/>
          <w:lang w:eastAsia="es-MX"/>
        </w:rPr>
        <w:t>Cumplimiento del requisito de consulta previa</w:t>
      </w:r>
      <w:bookmarkEnd w:id="7"/>
    </w:p>
    <w:p w:rsidR="00AE1B65" w:rsidRPr="00D85C08" w:rsidRDefault="00D85C08" w:rsidP="00AE1B65">
      <w:pPr>
        <w:tabs>
          <w:tab w:val="left" w:pos="360"/>
        </w:tabs>
        <w:spacing w:after="0" w:line="240" w:lineRule="auto"/>
        <w:jc w:val="both"/>
        <w:rPr>
          <w:rFonts w:ascii="Times New Roman" w:eastAsia="Times New Roman" w:hAnsi="Times New Roman" w:cs="Times New Roman"/>
          <w:b/>
          <w:bCs/>
          <w:iCs/>
          <w:sz w:val="28"/>
          <w:szCs w:val="28"/>
        </w:rPr>
      </w:pPr>
    </w:p>
    <w:p w:rsidR="00AE1B65" w:rsidRPr="00D85C08" w:rsidRDefault="00D85C08" w:rsidP="005233F9">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w:t>
      </w:r>
      <w:r w:rsidRPr="00D85C08">
        <w:rPr>
          <w:rFonts w:ascii="Times New Roman" w:hAnsi="Times New Roman" w:cs="Times New Roman"/>
          <w:sz w:val="28"/>
          <w:szCs w:val="28"/>
        </w:rPr>
        <w:t xml:space="preserve">ste tribunal ha sostenido que, en concordancia con lo estatuido en los artículos 1, 2, 7, 70, 329 y 330 de la Carta y 6.1.a del Convenio 169 de la Organización Internacional del </w:t>
      </w:r>
      <w:r w:rsidRPr="00D85C08">
        <w:rPr>
          <w:rFonts w:ascii="Times New Roman" w:hAnsi="Times New Roman" w:cs="Times New Roman"/>
          <w:sz w:val="28"/>
          <w:szCs w:val="28"/>
        </w:rPr>
        <w:t>Trabajo (OIT) sobre Pueblos Indígenas y Tribales</w:t>
      </w:r>
      <w:r w:rsidRPr="00D85C08">
        <w:rPr>
          <w:rFonts w:ascii="Times New Roman" w:hAnsi="Times New Roman" w:cs="Times New Roman"/>
          <w:sz w:val="28"/>
          <w:vertAlign w:val="superscript"/>
        </w:rPr>
        <w:footnoteReference w:id="6"/>
      </w:r>
      <w:r w:rsidRPr="00D85C08">
        <w:rPr>
          <w:rFonts w:ascii="Times New Roman" w:hAnsi="Times New Roman" w:cs="Times New Roman"/>
          <w:sz w:val="28"/>
          <w:szCs w:val="28"/>
        </w:rPr>
        <w:t>, las comunidades étnicas son titulares del derecho fundamental a la consulta previa</w:t>
      </w:r>
      <w:r w:rsidRPr="00D85C08">
        <w:rPr>
          <w:rFonts w:ascii="Times New Roman" w:hAnsi="Times New Roman" w:cs="Times New Roman"/>
          <w:sz w:val="28"/>
          <w:vertAlign w:val="superscript"/>
        </w:rPr>
        <w:footnoteReference w:id="7"/>
      </w:r>
      <w:r w:rsidRPr="00D85C08">
        <w:rPr>
          <w:rFonts w:ascii="Times New Roman" w:hAnsi="Times New Roman" w:cs="Times New Roman"/>
          <w:sz w:val="28"/>
          <w:szCs w:val="28"/>
        </w:rPr>
        <w:t xml:space="preserve">. </w:t>
      </w:r>
    </w:p>
    <w:p w:rsidR="00AE1B65" w:rsidRPr="00D85C08" w:rsidRDefault="00D85C08" w:rsidP="005233F9">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AE1B65" w:rsidRPr="00D85C08" w:rsidRDefault="00D85C08" w:rsidP="005233F9">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w:t>
      </w:r>
      <w:r w:rsidRPr="00D85C08">
        <w:rPr>
          <w:rFonts w:ascii="Times New Roman" w:hAnsi="Times New Roman" w:cs="Times New Roman"/>
          <w:sz w:val="28"/>
          <w:szCs w:val="28"/>
        </w:rPr>
        <w:t xml:space="preserve">l artículo 6.1.a del convenio antes mencionado dispone que los gobiernos deberán consultar a los pueblos indígenas y </w:t>
      </w:r>
      <w:r w:rsidRPr="00D85C08">
        <w:rPr>
          <w:rFonts w:ascii="Times New Roman" w:hAnsi="Times New Roman" w:cs="Times New Roman"/>
          <w:sz w:val="28"/>
          <w:szCs w:val="28"/>
        </w:rPr>
        <w:t xml:space="preserve">tribales «las medidas legislativas o administrativas susceptibles de afectarles directamente». Esta </w:t>
      </w:r>
      <w:r w:rsidRPr="00D85C08">
        <w:rPr>
          <w:rFonts w:ascii="Times New Roman" w:hAnsi="Times New Roman" w:cs="Times New Roman"/>
          <w:i/>
          <w:iCs/>
          <w:sz w:val="28"/>
          <w:szCs w:val="28"/>
        </w:rPr>
        <w:t>afectación directa</w:t>
      </w:r>
      <w:r w:rsidRPr="00D85C08">
        <w:rPr>
          <w:rFonts w:ascii="Times New Roman" w:hAnsi="Times New Roman" w:cs="Times New Roman"/>
          <w:sz w:val="28"/>
          <w:szCs w:val="28"/>
        </w:rPr>
        <w:t xml:space="preserve"> ha sido definida por la jurisprudencia como «el impacto positivo o negativo que puede tener una medida sobre las condiciones sociales, ec</w:t>
      </w:r>
      <w:r w:rsidRPr="00D85C08">
        <w:rPr>
          <w:rFonts w:ascii="Times New Roman" w:hAnsi="Times New Roman" w:cs="Times New Roman"/>
          <w:sz w:val="28"/>
          <w:szCs w:val="28"/>
        </w:rPr>
        <w:t>onómicas, ambientales o culturales que constituyen la base de la cohesión social de una determinada comunidad étnica»</w:t>
      </w:r>
      <w:r w:rsidRPr="00D85C08">
        <w:rPr>
          <w:rFonts w:ascii="Times New Roman" w:eastAsiaTheme="majorEastAsia" w:hAnsi="Times New Roman" w:cs="Times New Roman"/>
          <w:sz w:val="28"/>
          <w:vertAlign w:val="superscript"/>
        </w:rPr>
        <w:footnoteReference w:id="8"/>
      </w:r>
      <w:r w:rsidRPr="00D85C08">
        <w:rPr>
          <w:rFonts w:ascii="Times New Roman" w:hAnsi="Times New Roman" w:cs="Times New Roman"/>
          <w:sz w:val="28"/>
          <w:szCs w:val="28"/>
        </w:rPr>
        <w:t>.</w:t>
      </w:r>
    </w:p>
    <w:p w:rsidR="00AE1B65" w:rsidRPr="00D85C08" w:rsidRDefault="00D85C08" w:rsidP="005233F9">
      <w:pPr>
        <w:tabs>
          <w:tab w:val="left" w:pos="142"/>
          <w:tab w:val="left" w:pos="360"/>
        </w:tabs>
        <w:spacing w:after="0" w:line="240" w:lineRule="auto"/>
        <w:contextualSpacing/>
        <w:jc w:val="both"/>
        <w:rPr>
          <w:rFonts w:ascii="Times New Roman" w:eastAsia="Times New Roman" w:hAnsi="Times New Roman" w:cs="Times New Roman"/>
          <w:b/>
          <w:bCs/>
          <w:iCs/>
          <w:sz w:val="28"/>
          <w:szCs w:val="28"/>
        </w:rPr>
      </w:pPr>
    </w:p>
    <w:p w:rsidR="004123FB" w:rsidRPr="00D85C08" w:rsidRDefault="00D85C08" w:rsidP="005233F9">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iCs/>
          <w:sz w:val="28"/>
          <w:szCs w:val="28"/>
          <w:lang w:eastAsia="es-CO"/>
        </w:rPr>
        <w:t xml:space="preserve">En aplicación de lo expuesto, la Sala constata que el </w:t>
      </w:r>
      <w:r w:rsidRPr="00D85C08">
        <w:rPr>
          <w:rFonts w:ascii="Times New Roman" w:hAnsi="Times New Roman" w:cs="Times New Roman"/>
          <w:iCs/>
          <w:sz w:val="28"/>
          <w:szCs w:val="28"/>
          <w:lang w:eastAsia="es-CO"/>
        </w:rPr>
        <w:t>Protocolo</w:t>
      </w:r>
      <w:r w:rsidRPr="00D85C08">
        <w:rPr>
          <w:rFonts w:ascii="Times New Roman" w:hAnsi="Times New Roman" w:cs="Times New Roman"/>
          <w:iCs/>
          <w:sz w:val="28"/>
          <w:szCs w:val="28"/>
          <w:lang w:eastAsia="es-CO"/>
        </w:rPr>
        <w:t xml:space="preserve"> y la ley aprobatoria no </w:t>
      </w:r>
      <w:r w:rsidRPr="00D85C08">
        <w:rPr>
          <w:rFonts w:ascii="Times New Roman" w:hAnsi="Times New Roman" w:cs="Times New Roman"/>
          <w:sz w:val="28"/>
          <w:szCs w:val="28"/>
        </w:rPr>
        <w:t xml:space="preserve">contienen medidas que afecten de forma directa a las comunidades indígenas y afrodescendientes colombianas. Estos textos normativos se limitan a </w:t>
      </w:r>
      <w:r w:rsidRPr="00D85C08">
        <w:rPr>
          <w:rFonts w:ascii="Times New Roman" w:hAnsi="Times New Roman" w:cs="Times New Roman"/>
          <w:sz w:val="28"/>
          <w:szCs w:val="28"/>
        </w:rPr>
        <w:t>complementar el «Acuerdo Comercial entre Colombia y Perú, por una parte, y la Unión Europea y sus Estados Miemb</w:t>
      </w:r>
      <w:r w:rsidRPr="00D85C08">
        <w:rPr>
          <w:rFonts w:ascii="Times New Roman" w:hAnsi="Times New Roman" w:cs="Times New Roman"/>
          <w:sz w:val="28"/>
          <w:szCs w:val="28"/>
        </w:rPr>
        <w:t xml:space="preserve">ros, por otra», firmado en Bruselas el 26 de junio de 2012, en el sentido de incorporar a la República de Croacia a dicho acuerdo. Esto, en razón de la adhesión de esta última a la Unión Europea el 1 de julio de 2013. </w:t>
      </w:r>
    </w:p>
    <w:p w:rsidR="004123FB" w:rsidRPr="00D85C08" w:rsidRDefault="00D85C08" w:rsidP="005233F9">
      <w:pPr>
        <w:tabs>
          <w:tab w:val="left" w:pos="142"/>
          <w:tab w:val="left" w:pos="360"/>
        </w:tabs>
        <w:spacing w:after="0" w:line="240" w:lineRule="auto"/>
        <w:contextualSpacing/>
        <w:jc w:val="both"/>
        <w:rPr>
          <w:rFonts w:ascii="Times New Roman" w:hAnsi="Times New Roman" w:cs="Times New Roman"/>
          <w:sz w:val="28"/>
          <w:szCs w:val="28"/>
        </w:rPr>
      </w:pPr>
    </w:p>
    <w:p w:rsidR="00FE15BB" w:rsidRPr="00D85C08" w:rsidRDefault="00D85C08" w:rsidP="005233F9">
      <w:pPr>
        <w:pStyle w:val="Prrafodelista"/>
        <w:numPr>
          <w:ilvl w:val="0"/>
          <w:numId w:val="1"/>
        </w:numPr>
        <w:tabs>
          <w:tab w:val="left" w:pos="0"/>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Tal complementación se contrae </w:t>
      </w:r>
      <w:r w:rsidRPr="00D85C08">
        <w:rPr>
          <w:rFonts w:ascii="Times New Roman" w:hAnsi="Times New Roman" w:cs="Times New Roman"/>
          <w:sz w:val="28"/>
          <w:szCs w:val="28"/>
        </w:rPr>
        <w:t xml:space="preserve">a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ampliar</w:t>
      </w:r>
      <w:r w:rsidRPr="00D85C08">
        <w:rPr>
          <w:rFonts w:ascii="Times New Roman" w:hAnsi="Times New Roman" w:cs="Times New Roman"/>
          <w:sz w:val="28"/>
          <w:szCs w:val="28"/>
        </w:rPr>
        <w:t xml:space="preserve"> las versiones lingüísticas del </w:t>
      </w:r>
      <w:r w:rsidRPr="00D85C08">
        <w:rPr>
          <w:rFonts w:ascii="Times New Roman" w:hAnsi="Times New Roman" w:cs="Times New Roman"/>
          <w:sz w:val="28"/>
          <w:szCs w:val="28"/>
        </w:rPr>
        <w:t>Acuerdo</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 xml:space="preserve">(artículos 2, 3 y 13);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precisar las mercancías de origen a las cuales se aplicarán las disposiciones de aquel (artículo 4);</w:t>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 xml:space="preserve">extender los beneficios comerciales previstos en </w:t>
      </w:r>
      <w:r w:rsidRPr="00D85C08">
        <w:rPr>
          <w:rFonts w:ascii="Times New Roman" w:hAnsi="Times New Roman" w:cs="Times New Roman"/>
          <w:sz w:val="28"/>
          <w:szCs w:val="28"/>
        </w:rPr>
        <w:t>el Acuerdo</w:t>
      </w:r>
      <w:r w:rsidRPr="00D85C08">
        <w:rPr>
          <w:rFonts w:ascii="Times New Roman" w:hAnsi="Times New Roman" w:cs="Times New Roman"/>
          <w:sz w:val="28"/>
          <w:szCs w:val="28"/>
        </w:rPr>
        <w:t xml:space="preserve"> a Croacia en mat</w:t>
      </w:r>
      <w:r w:rsidRPr="00D85C08">
        <w:rPr>
          <w:rFonts w:ascii="Times New Roman" w:hAnsi="Times New Roman" w:cs="Times New Roman"/>
          <w:sz w:val="28"/>
          <w:szCs w:val="28"/>
        </w:rPr>
        <w:t>eria de servicios, establecimiento y comercio electrónico</w:t>
      </w:r>
      <w:r w:rsidRPr="00D85C08">
        <w:rPr>
          <w:rFonts w:ascii="Times New Roman" w:hAnsi="Times New Roman" w:cs="Times New Roman"/>
          <w:sz w:val="28"/>
          <w:szCs w:val="28"/>
        </w:rPr>
        <w:t xml:space="preserve"> (artículos 5 a 9)</w:t>
      </w:r>
      <w:r w:rsidRPr="00D85C08">
        <w:rPr>
          <w:rFonts w:ascii="Times New Roman" w:hAnsi="Times New Roman" w:cs="Times New Roman"/>
          <w:sz w:val="28"/>
          <w:szCs w:val="28"/>
        </w:rPr>
        <w:t xml:space="preserve"> y contratación pública</w:t>
      </w:r>
      <w:r w:rsidRPr="00D85C08">
        <w:rPr>
          <w:rFonts w:ascii="Times New Roman" w:hAnsi="Times New Roman" w:cs="Times New Roman"/>
          <w:sz w:val="28"/>
          <w:szCs w:val="28"/>
        </w:rPr>
        <w:t xml:space="preserve"> (artículo 10) y </w:t>
      </w:r>
      <w:r w:rsidRPr="00D85C08">
        <w:rPr>
          <w:rFonts w:ascii="Times New Roman" w:hAnsi="Times New Roman" w:cs="Times New Roman"/>
          <w:i/>
          <w:iCs/>
          <w:sz w:val="28"/>
          <w:szCs w:val="28"/>
        </w:rPr>
        <w:t>iv)</w:t>
      </w:r>
      <w:r w:rsidRPr="00D85C08">
        <w:rPr>
          <w:rFonts w:ascii="Times New Roman" w:hAnsi="Times New Roman" w:cs="Times New Roman"/>
          <w:sz w:val="28"/>
          <w:szCs w:val="28"/>
        </w:rPr>
        <w:t xml:space="preserve"> definir la manera en que serán solucionadas las controversias que surjan entre las partes</w:t>
      </w:r>
      <w:r w:rsidRPr="00D85C08">
        <w:rPr>
          <w:rFonts w:ascii="Times New Roman" w:hAnsi="Times New Roman" w:cs="Times New Roman"/>
          <w:sz w:val="28"/>
          <w:szCs w:val="28"/>
        </w:rPr>
        <w:t xml:space="preserve">, así como </w:t>
      </w:r>
      <w:r w:rsidRPr="00D85C08">
        <w:rPr>
          <w:rFonts w:ascii="Times New Roman" w:hAnsi="Times New Roman" w:cs="Times New Roman"/>
          <w:sz w:val="28"/>
          <w:szCs w:val="28"/>
        </w:rPr>
        <w:t>la entrada en vigor del Protocolo (ar</w:t>
      </w:r>
      <w:r w:rsidRPr="00D85C08">
        <w:rPr>
          <w:rFonts w:ascii="Times New Roman" w:hAnsi="Times New Roman" w:cs="Times New Roman"/>
          <w:sz w:val="28"/>
          <w:szCs w:val="28"/>
        </w:rPr>
        <w:t>tículos 11, 2 y 14)</w:t>
      </w:r>
      <w:r w:rsidRPr="00D85C08">
        <w:rPr>
          <w:rFonts w:ascii="Times New Roman" w:hAnsi="Times New Roman" w:cs="Times New Roman"/>
          <w:sz w:val="28"/>
          <w:szCs w:val="28"/>
        </w:rPr>
        <w:t>.</w:t>
      </w:r>
    </w:p>
    <w:p w:rsidR="00FE15BB" w:rsidRPr="00D85C08" w:rsidRDefault="00D85C08" w:rsidP="005233F9">
      <w:pPr>
        <w:tabs>
          <w:tab w:val="left" w:pos="142"/>
          <w:tab w:val="left" w:pos="360"/>
        </w:tabs>
        <w:spacing w:after="0" w:line="240" w:lineRule="auto"/>
        <w:contextualSpacing/>
        <w:jc w:val="both"/>
        <w:rPr>
          <w:rFonts w:ascii="Times New Roman" w:eastAsia="Times New Roman" w:hAnsi="Times New Roman" w:cs="Times New Roman"/>
          <w:sz w:val="28"/>
          <w:szCs w:val="28"/>
          <w:lang w:eastAsia="es-MX"/>
        </w:rPr>
      </w:pPr>
    </w:p>
    <w:p w:rsidR="00AE1B65" w:rsidRPr="00D85C08" w:rsidRDefault="00D85C08" w:rsidP="005233F9">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rPr>
        <w:t xml:space="preserve">Esta regulación no tiene un impacto positivo o negativo sobre las condiciones de dichas comunidades, por lo que el </w:t>
      </w:r>
      <w:r w:rsidRPr="00D85C08">
        <w:rPr>
          <w:rFonts w:ascii="Times New Roman" w:hAnsi="Times New Roman" w:cs="Times New Roman"/>
          <w:sz w:val="28"/>
          <w:szCs w:val="28"/>
        </w:rPr>
        <w:t xml:space="preserve">Protocolo </w:t>
      </w:r>
      <w:r w:rsidRPr="00D85C08">
        <w:rPr>
          <w:rFonts w:ascii="Times New Roman" w:hAnsi="Times New Roman" w:cs="Times New Roman"/>
          <w:sz w:val="28"/>
          <w:szCs w:val="28"/>
        </w:rPr>
        <w:t xml:space="preserve">y su ley aprobatoria no debían someterse a un procedimiento de consulta previa. </w:t>
      </w:r>
    </w:p>
    <w:p w:rsidR="00AE1B65" w:rsidRPr="00D85C08" w:rsidRDefault="00D85C08" w:rsidP="00AE1B65">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AE1B65" w:rsidRPr="00D85C08" w:rsidRDefault="00D85C08" w:rsidP="00082E35">
      <w:pPr>
        <w:pStyle w:val="Ttulo2"/>
        <w:rPr>
          <w:rFonts w:ascii="Times New Roman" w:hAnsi="Times New Roman" w:cs="Times New Roman"/>
          <w:lang w:eastAsia="es-ES"/>
        </w:rPr>
      </w:pPr>
      <w:r w:rsidRPr="00D85C08">
        <w:rPr>
          <w:rFonts w:ascii="Times New Roman" w:hAnsi="Times New Roman" w:cs="Times New Roman"/>
          <w:lang w:eastAsia="es-ES"/>
        </w:rPr>
        <w:t xml:space="preserve">3.1.3 La aprobación presidencial y el sometimiento del tratado internacional a consideración del Congreso de la República </w:t>
      </w:r>
    </w:p>
    <w:p w:rsidR="00AE1B65" w:rsidRPr="00D85C08" w:rsidRDefault="00D85C08" w:rsidP="00AE1B65">
      <w:pPr>
        <w:spacing w:after="0" w:line="240" w:lineRule="auto"/>
        <w:contextualSpacing/>
        <w:jc w:val="both"/>
        <w:rPr>
          <w:rFonts w:ascii="Times New Roman" w:eastAsia="Times New Roman" w:hAnsi="Times New Roman" w:cs="Times New Roman"/>
          <w:sz w:val="28"/>
          <w:szCs w:val="28"/>
          <w:lang w:eastAsia="es-MX"/>
        </w:rPr>
      </w:pPr>
    </w:p>
    <w:p w:rsidR="00AE1B65" w:rsidRPr="00D85C08" w:rsidRDefault="00D85C08" w:rsidP="005233F9">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La Corte observa que, en aplicación del artículo 189.2 de la Constitución</w:t>
      </w:r>
      <w:r w:rsidRPr="00D85C08">
        <w:rPr>
          <w:rStyle w:val="Refdenotaalpie"/>
          <w:rFonts w:ascii="Times New Roman" w:hAnsi="Times New Roman" w:cs="Times New Roman"/>
          <w:sz w:val="28"/>
          <w:szCs w:val="28"/>
        </w:rPr>
        <w:footnoteReference w:id="9"/>
      </w:r>
      <w:r w:rsidRPr="00D85C08">
        <w:rPr>
          <w:rFonts w:ascii="Times New Roman" w:hAnsi="Times New Roman" w:cs="Times New Roman"/>
          <w:sz w:val="28"/>
          <w:szCs w:val="28"/>
        </w:rPr>
        <w:t xml:space="preserve">, el 24 de febrero de 2020, el presidente de la República </w:t>
      </w:r>
      <w:r w:rsidRPr="00D85C08">
        <w:rPr>
          <w:rFonts w:ascii="Times New Roman" w:hAnsi="Times New Roman" w:cs="Times New Roman"/>
          <w:sz w:val="28"/>
          <w:szCs w:val="28"/>
        </w:rPr>
        <w:t>aprobó el Protocolo y ordenó someterlo a consideración del Congreso de la República</w:t>
      </w:r>
      <w:r w:rsidRPr="00D85C08">
        <w:rPr>
          <w:rFonts w:ascii="Times New Roman" w:hAnsi="Times New Roman" w:cs="Times New Roman"/>
          <w:sz w:val="28"/>
          <w:vertAlign w:val="superscript"/>
          <w:lang w:eastAsia="es-ES"/>
        </w:rPr>
        <w:footnoteReference w:id="10"/>
      </w:r>
      <w:r w:rsidRPr="00D85C08">
        <w:rPr>
          <w:rFonts w:ascii="Times New Roman" w:hAnsi="Times New Roman" w:cs="Times New Roman"/>
          <w:sz w:val="28"/>
          <w:szCs w:val="28"/>
        </w:rPr>
        <w:t xml:space="preserve">, en concordancia con lo estatuido en el artículo 150.16 de la Constitución. </w:t>
      </w:r>
    </w:p>
    <w:p w:rsidR="007F1111" w:rsidRPr="00D85C08" w:rsidRDefault="00D85C08" w:rsidP="005233F9">
      <w:pPr>
        <w:spacing w:after="0" w:line="240" w:lineRule="auto"/>
        <w:rPr>
          <w:rFonts w:ascii="Times New Roman" w:eastAsia="Times New Roman" w:hAnsi="Times New Roman" w:cs="Times New Roman"/>
          <w:b/>
          <w:sz w:val="28"/>
          <w:szCs w:val="28"/>
          <w:lang w:eastAsia="es-MX"/>
        </w:rPr>
      </w:pPr>
    </w:p>
    <w:p w:rsidR="00AE1B65"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lang w:eastAsia="es-MX"/>
        </w:rPr>
        <w:t>3.2. Trámite en el Congreso de la República</w:t>
      </w:r>
    </w:p>
    <w:p w:rsidR="00AE1B65" w:rsidRPr="00D85C08" w:rsidRDefault="00D85C08" w:rsidP="00AE1B65">
      <w:pPr>
        <w:tabs>
          <w:tab w:val="left" w:pos="360"/>
        </w:tabs>
        <w:spacing w:after="0" w:line="240" w:lineRule="auto"/>
        <w:jc w:val="both"/>
        <w:rPr>
          <w:rFonts w:ascii="Times New Roman" w:eastAsia="Times New Roman" w:hAnsi="Times New Roman" w:cs="Times New Roman"/>
          <w:b/>
          <w:bCs/>
          <w:iCs/>
          <w:sz w:val="28"/>
          <w:szCs w:val="28"/>
        </w:rPr>
      </w:pPr>
    </w:p>
    <w:p w:rsidR="00AE1B65"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iCs/>
          <w:sz w:val="28"/>
          <w:szCs w:val="28"/>
          <w:lang w:eastAsia="es-CO"/>
        </w:rPr>
        <w:t>Las</w:t>
      </w:r>
      <w:r w:rsidRPr="00D85C08">
        <w:rPr>
          <w:rFonts w:ascii="Times New Roman" w:hAnsi="Times New Roman" w:cs="Times New Roman"/>
          <w:sz w:val="28"/>
          <w:szCs w:val="28"/>
          <w:lang w:eastAsia="es-ES"/>
        </w:rPr>
        <w:t xml:space="preserve"> leyes aprobatorias de los tratados internacionales deben cumplir el </w:t>
      </w:r>
      <w:r w:rsidRPr="00D85C08">
        <w:rPr>
          <w:rFonts w:ascii="Times New Roman" w:hAnsi="Times New Roman" w:cs="Times New Roman"/>
          <w:sz w:val="28"/>
          <w:szCs w:val="28"/>
          <w:lang w:eastAsia="es-ES"/>
        </w:rPr>
        <w:t xml:space="preserve">trámite </w:t>
      </w:r>
      <w:r w:rsidRPr="00D85C08">
        <w:rPr>
          <w:rFonts w:ascii="Times New Roman" w:hAnsi="Times New Roman" w:cs="Times New Roman"/>
          <w:sz w:val="28"/>
          <w:szCs w:val="28"/>
          <w:lang w:eastAsia="es-ES"/>
        </w:rPr>
        <w:t>dispuesto para las leyes ordinarias. Sin embargo, l</w:t>
      </w:r>
      <w:r w:rsidRPr="00D85C08">
        <w:rPr>
          <w:rFonts w:ascii="Times New Roman" w:hAnsi="Times New Roman" w:cs="Times New Roman"/>
          <w:sz w:val="28"/>
          <w:szCs w:val="28"/>
        </w:rPr>
        <w:t>a función del Congreso en las leyes aprobatorias de tratados celebrados por la Rama Ejecutiva «se limitan a la aprobación o impr</w:t>
      </w:r>
      <w:r w:rsidRPr="00D85C08">
        <w:rPr>
          <w:rFonts w:ascii="Times New Roman" w:hAnsi="Times New Roman" w:cs="Times New Roman"/>
          <w:sz w:val="28"/>
          <w:szCs w:val="28"/>
        </w:rPr>
        <w:t>obación del acuerdo suscrito, sin que le sea posible al órgano legislativo modificar el texto del mismo»</w:t>
      </w:r>
      <w:r w:rsidRPr="00D85C08">
        <w:rPr>
          <w:rStyle w:val="Refdenotaalpie"/>
          <w:rFonts w:ascii="Times New Roman" w:hAnsi="Times New Roman" w:cs="Times New Roman"/>
          <w:sz w:val="28"/>
          <w:szCs w:val="28"/>
        </w:rPr>
        <w:footnoteReference w:id="11"/>
      </w:r>
      <w:r w:rsidRPr="00D85C08">
        <w:rPr>
          <w:rFonts w:ascii="Times New Roman" w:hAnsi="Times New Roman" w:cs="Times New Roman"/>
          <w:sz w:val="28"/>
          <w:szCs w:val="28"/>
        </w:rPr>
        <w:t>.</w:t>
      </w:r>
    </w:p>
    <w:p w:rsidR="00AE1B65" w:rsidRPr="00D85C08" w:rsidRDefault="00D85C08" w:rsidP="008D6AF2">
      <w:pPr>
        <w:spacing w:after="0" w:line="240" w:lineRule="auto"/>
        <w:contextualSpacing/>
        <w:jc w:val="both"/>
        <w:rPr>
          <w:rFonts w:ascii="Times New Roman" w:eastAsia="Times New Roman" w:hAnsi="Times New Roman" w:cs="Times New Roman"/>
          <w:sz w:val="28"/>
          <w:szCs w:val="28"/>
          <w:lang w:eastAsia="es-ES"/>
        </w:rPr>
      </w:pPr>
    </w:p>
    <w:p w:rsidR="00AE1B65"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lang w:eastAsia="es-ES"/>
        </w:rPr>
        <w:t xml:space="preserve">De este modo, </w:t>
      </w:r>
      <w:r w:rsidRPr="00D85C08">
        <w:rPr>
          <w:rFonts w:ascii="Times New Roman" w:hAnsi="Times New Roman" w:cs="Times New Roman"/>
          <w:sz w:val="28"/>
          <w:szCs w:val="28"/>
        </w:rPr>
        <w:t xml:space="preserve">en esta fase del procedimiento, corresponde verificar el cumplimiento de los siguientes requisitos constitucionales: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la presentación del proyecto de ley ante el Senado de la República por parte del Gobierno nacional</w:t>
      </w:r>
      <w:r w:rsidRPr="00D85C08">
        <w:rPr>
          <w:rFonts w:ascii="Times New Roman" w:hAnsi="Times New Roman" w:cs="Times New Roman"/>
          <w:sz w:val="28"/>
          <w:vertAlign w:val="superscript"/>
        </w:rPr>
        <w:footnoteReference w:id="12"/>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la publicación oficial del proyecto de ley aprobatoria</w:t>
      </w:r>
      <w:r w:rsidRPr="00D85C08">
        <w:rPr>
          <w:rFonts w:ascii="Times New Roman" w:hAnsi="Times New Roman" w:cs="Times New Roman"/>
          <w:sz w:val="28"/>
          <w:vertAlign w:val="superscript"/>
        </w:rPr>
        <w:footnoteReference w:id="13"/>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el inicio del trámite legislativo en la respectiva comisión constitucional permanente de</w:t>
      </w:r>
      <w:r w:rsidRPr="00D85C08">
        <w:rPr>
          <w:rFonts w:ascii="Times New Roman" w:hAnsi="Times New Roman" w:cs="Times New Roman"/>
          <w:sz w:val="28"/>
          <w:szCs w:val="28"/>
        </w:rPr>
        <w:t>l Senado de la República</w:t>
      </w:r>
      <w:r w:rsidRPr="00D85C08">
        <w:rPr>
          <w:rFonts w:ascii="Times New Roman" w:hAnsi="Times New Roman" w:cs="Times New Roman"/>
          <w:sz w:val="28"/>
          <w:vertAlign w:val="superscript"/>
        </w:rPr>
        <w:footnoteReference w:id="14"/>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iv)</w:t>
      </w:r>
      <w:r w:rsidRPr="00D85C08">
        <w:rPr>
          <w:rFonts w:ascii="Times New Roman" w:hAnsi="Times New Roman" w:cs="Times New Roman"/>
          <w:sz w:val="28"/>
          <w:szCs w:val="28"/>
        </w:rPr>
        <w:t xml:space="preserve"> la publicación de la ponencia para su respectiva deliberación en las comisiones y en las plenarias</w:t>
      </w:r>
      <w:r w:rsidRPr="00D85C08">
        <w:rPr>
          <w:rFonts w:ascii="Times New Roman" w:hAnsi="Times New Roman" w:cs="Times New Roman"/>
          <w:sz w:val="28"/>
          <w:vertAlign w:val="superscript"/>
        </w:rPr>
        <w:footnoteReference w:id="15"/>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v)</w:t>
      </w:r>
      <w:r w:rsidRPr="00D85C08">
        <w:rPr>
          <w:rFonts w:ascii="Times New Roman" w:hAnsi="Times New Roman" w:cs="Times New Roman"/>
          <w:sz w:val="28"/>
          <w:szCs w:val="28"/>
        </w:rPr>
        <w:t xml:space="preserve"> el anuncio previo a la discusión y aprobación del texto</w:t>
      </w:r>
      <w:r w:rsidRPr="00D85C08">
        <w:rPr>
          <w:rFonts w:ascii="Times New Roman" w:hAnsi="Times New Roman" w:cs="Times New Roman"/>
          <w:sz w:val="28"/>
          <w:vertAlign w:val="superscript"/>
        </w:rPr>
        <w:footnoteReference w:id="16"/>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 xml:space="preserve">vi) </w:t>
      </w:r>
      <w:r w:rsidRPr="00D85C08">
        <w:rPr>
          <w:rFonts w:ascii="Times New Roman" w:hAnsi="Times New Roman" w:cs="Times New Roman"/>
          <w:sz w:val="28"/>
          <w:szCs w:val="28"/>
        </w:rPr>
        <w:t xml:space="preserve">la votación de acuerdo con las exigencias constitucionales </w:t>
      </w:r>
      <w:r w:rsidRPr="00D85C08">
        <w:rPr>
          <w:rFonts w:ascii="Times New Roman" w:hAnsi="Times New Roman" w:cs="Times New Roman"/>
          <w:sz w:val="28"/>
          <w:szCs w:val="28"/>
        </w:rPr>
        <w:t xml:space="preserve">de </w:t>
      </w:r>
      <w:r w:rsidRPr="00D85C08">
        <w:rPr>
          <w:rFonts w:ascii="Times New Roman" w:hAnsi="Times New Roman" w:cs="Times New Roman"/>
          <w:i/>
          <w:iCs/>
          <w:sz w:val="28"/>
          <w:szCs w:val="28"/>
        </w:rPr>
        <w:t>quorum</w:t>
      </w:r>
      <w:r w:rsidRPr="00D85C08">
        <w:rPr>
          <w:rFonts w:ascii="Times New Roman" w:hAnsi="Times New Roman" w:cs="Times New Roman"/>
          <w:sz w:val="28"/>
          <w:szCs w:val="28"/>
        </w:rPr>
        <w:t xml:space="preserve"> y mayorías</w:t>
      </w:r>
      <w:r w:rsidRPr="00D85C08">
        <w:rPr>
          <w:rFonts w:ascii="Times New Roman" w:hAnsi="Times New Roman" w:cs="Times New Roman"/>
          <w:sz w:val="28"/>
          <w:vertAlign w:val="superscript"/>
        </w:rPr>
        <w:footnoteReference w:id="17"/>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 xml:space="preserve">vii) </w:t>
      </w:r>
      <w:r w:rsidRPr="00D85C08">
        <w:rPr>
          <w:rFonts w:ascii="Times New Roman" w:hAnsi="Times New Roman" w:cs="Times New Roman"/>
          <w:sz w:val="28"/>
          <w:szCs w:val="28"/>
        </w:rPr>
        <w:t>el lapso entre los debates</w:t>
      </w:r>
      <w:r w:rsidRPr="00D85C08">
        <w:rPr>
          <w:rFonts w:ascii="Times New Roman" w:hAnsi="Times New Roman" w:cs="Times New Roman"/>
          <w:sz w:val="28"/>
          <w:vertAlign w:val="superscript"/>
        </w:rPr>
        <w:footnoteReference w:id="18"/>
      </w:r>
      <w:r w:rsidRPr="00D85C08">
        <w:rPr>
          <w:rFonts w:ascii="Times New Roman" w:hAnsi="Times New Roman" w:cs="Times New Roman"/>
          <w:sz w:val="28"/>
          <w:szCs w:val="28"/>
        </w:rPr>
        <w:t xml:space="preserve"> y </w:t>
      </w:r>
      <w:r w:rsidRPr="00D85C08">
        <w:rPr>
          <w:rFonts w:ascii="Times New Roman" w:hAnsi="Times New Roman" w:cs="Times New Roman"/>
          <w:i/>
          <w:iCs/>
          <w:sz w:val="28"/>
          <w:szCs w:val="28"/>
        </w:rPr>
        <w:t>viii)</w:t>
      </w:r>
      <w:r w:rsidRPr="00D85C08">
        <w:rPr>
          <w:rFonts w:ascii="Times New Roman" w:hAnsi="Times New Roman" w:cs="Times New Roman"/>
          <w:sz w:val="28"/>
          <w:szCs w:val="28"/>
        </w:rPr>
        <w:t xml:space="preserve"> el número máximo de legislaturas</w:t>
      </w:r>
      <w:r w:rsidRPr="00D85C08">
        <w:rPr>
          <w:rFonts w:ascii="Times New Roman" w:hAnsi="Times New Roman" w:cs="Times New Roman"/>
          <w:sz w:val="28"/>
          <w:vertAlign w:val="superscript"/>
        </w:rPr>
        <w:footnoteReference w:id="19"/>
      </w:r>
      <w:r w:rsidRPr="00D85C08">
        <w:rPr>
          <w:rFonts w:ascii="Times New Roman" w:hAnsi="Times New Roman" w:cs="Times New Roman"/>
          <w:sz w:val="28"/>
          <w:szCs w:val="28"/>
        </w:rPr>
        <w:t>.</w:t>
      </w:r>
    </w:p>
    <w:p w:rsidR="00AE1B65" w:rsidRPr="00D85C08" w:rsidRDefault="00D85C08" w:rsidP="00AE1B65">
      <w:pPr>
        <w:spacing w:after="0" w:line="240" w:lineRule="auto"/>
        <w:jc w:val="both"/>
        <w:rPr>
          <w:rFonts w:ascii="Times New Roman" w:eastAsia="Times New Roman" w:hAnsi="Times New Roman" w:cs="Times New Roman"/>
          <w:b/>
          <w:sz w:val="28"/>
          <w:szCs w:val="28"/>
          <w:lang w:eastAsia="es-MX"/>
        </w:rPr>
      </w:pPr>
    </w:p>
    <w:p w:rsidR="00AE1B65"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lang w:eastAsia="es-MX"/>
        </w:rPr>
        <w:t>3.2.1.</w:t>
      </w:r>
      <w:r w:rsidRPr="00D85C08">
        <w:rPr>
          <w:rFonts w:ascii="Times New Roman" w:hAnsi="Times New Roman" w:cs="Times New Roman"/>
          <w:lang w:eastAsia="es-MX"/>
        </w:rPr>
        <w:tab/>
        <w:t xml:space="preserve"> El trámite ante el Senado de la República </w:t>
      </w:r>
    </w:p>
    <w:p w:rsidR="00DA3870" w:rsidRPr="00D85C08" w:rsidRDefault="00D85C08" w:rsidP="00AE1B65">
      <w:pPr>
        <w:spacing w:after="0" w:line="240" w:lineRule="auto"/>
        <w:jc w:val="both"/>
        <w:rPr>
          <w:rFonts w:ascii="Times New Roman" w:eastAsia="Times New Roman" w:hAnsi="Times New Roman" w:cs="Times New Roman"/>
          <w:b/>
          <w:sz w:val="28"/>
          <w:szCs w:val="28"/>
          <w:lang w:eastAsia="es-MX"/>
        </w:rPr>
      </w:pPr>
    </w:p>
    <w:p w:rsidR="00DA3870"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El </w:t>
      </w:r>
      <w:r w:rsidRPr="00D85C08">
        <w:rPr>
          <w:rFonts w:ascii="Times New Roman" w:hAnsi="Times New Roman" w:cs="Times New Roman"/>
          <w:iCs/>
          <w:sz w:val="28"/>
          <w:szCs w:val="28"/>
          <w:lang w:eastAsia="es-CO"/>
        </w:rPr>
        <w:t>23 de septiembre de 2021</w:t>
      </w:r>
      <w:r w:rsidRPr="00D85C08">
        <w:rPr>
          <w:rFonts w:ascii="Times New Roman" w:hAnsi="Times New Roman" w:cs="Times New Roman"/>
          <w:sz w:val="28"/>
          <w:szCs w:val="28"/>
        </w:rPr>
        <w:t>, el proyecto de ley y su exposición de motivos fueron presentados por el Gob</w:t>
      </w:r>
      <w:r w:rsidRPr="00D85C08">
        <w:rPr>
          <w:rFonts w:ascii="Times New Roman" w:hAnsi="Times New Roman" w:cs="Times New Roman"/>
          <w:sz w:val="28"/>
          <w:szCs w:val="28"/>
        </w:rPr>
        <w:t>ierno nacional ante el Senado de la República</w:t>
      </w:r>
      <w:r w:rsidRPr="00D85C08">
        <w:rPr>
          <w:rFonts w:ascii="Times New Roman" w:hAnsi="Times New Roman" w:cs="Times New Roman"/>
          <w:sz w:val="28"/>
          <w:vertAlign w:val="superscript"/>
          <w:lang w:eastAsia="es-ES"/>
        </w:rPr>
        <w:footnoteReference w:id="20"/>
      </w:r>
      <w:r w:rsidRPr="00D85C08">
        <w:rPr>
          <w:rFonts w:ascii="Times New Roman" w:hAnsi="Times New Roman" w:cs="Times New Roman"/>
          <w:sz w:val="28"/>
          <w:szCs w:val="28"/>
        </w:rPr>
        <w:t>. Dicho proyecto fue publicado en la Gaceta del Congreso antes de su trámite en la Comisión Segunda Constitucional Permanente del Senado de la República</w:t>
      </w:r>
      <w:r w:rsidRPr="00D85C08">
        <w:rPr>
          <w:rFonts w:ascii="Times New Roman" w:hAnsi="Times New Roman" w:cs="Times New Roman"/>
          <w:sz w:val="28"/>
          <w:vertAlign w:val="superscript"/>
          <w:lang w:eastAsia="es-ES"/>
        </w:rPr>
        <w:footnoteReference w:id="21"/>
      </w:r>
      <w:r w:rsidRPr="00D85C08">
        <w:rPr>
          <w:rFonts w:ascii="Times New Roman" w:hAnsi="Times New Roman" w:cs="Times New Roman"/>
          <w:sz w:val="28"/>
          <w:szCs w:val="28"/>
        </w:rPr>
        <w:t>. En los debates del texto y en su aprobación en la Comis</w:t>
      </w:r>
      <w:r w:rsidRPr="00D85C08">
        <w:rPr>
          <w:rFonts w:ascii="Times New Roman" w:hAnsi="Times New Roman" w:cs="Times New Roman"/>
          <w:sz w:val="28"/>
          <w:szCs w:val="28"/>
        </w:rPr>
        <w:t xml:space="preserve">ión Segunda Constitucional Permanente del Senado y en la plenaria del Senado, se observaron las exigencias constitucionales y legales. </w:t>
      </w:r>
    </w:p>
    <w:p w:rsidR="00DA3870" w:rsidRPr="00D85C08" w:rsidRDefault="00D85C08" w:rsidP="008D6AF2">
      <w:pPr>
        <w:spacing w:after="0" w:line="240" w:lineRule="auto"/>
        <w:contextualSpacing/>
        <w:jc w:val="both"/>
        <w:rPr>
          <w:rFonts w:ascii="Times New Roman" w:eastAsia="Times New Roman" w:hAnsi="Times New Roman" w:cs="Times New Roman"/>
          <w:sz w:val="28"/>
          <w:szCs w:val="28"/>
          <w:lang w:eastAsia="es-MX"/>
        </w:rPr>
      </w:pPr>
    </w:p>
    <w:p w:rsidR="00E82674"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En efecto, en el primer debate, se cumplió con los deberes de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publicar el informe de ponencia</w:t>
      </w:r>
      <w:r w:rsidRPr="00D85C08">
        <w:rPr>
          <w:rFonts w:ascii="Times New Roman" w:hAnsi="Times New Roman" w:cs="Times New Roman"/>
          <w:sz w:val="28"/>
          <w:vertAlign w:val="superscript"/>
          <w:lang w:eastAsia="es-ES"/>
        </w:rPr>
        <w:footnoteReference w:id="22"/>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anunciar el proyecto de ley antes de su discusión y votación</w:t>
      </w:r>
      <w:r w:rsidRPr="00D85C08">
        <w:rPr>
          <w:rFonts w:ascii="Times New Roman" w:hAnsi="Times New Roman" w:cs="Times New Roman"/>
          <w:sz w:val="28"/>
          <w:vertAlign w:val="superscript"/>
          <w:lang w:eastAsia="es-ES"/>
        </w:rPr>
        <w:footnoteReference w:id="23"/>
      </w:r>
      <w:r w:rsidRPr="00D85C08">
        <w:rPr>
          <w:rFonts w:ascii="Times New Roman" w:hAnsi="Times New Roman" w:cs="Times New Roman"/>
          <w:sz w:val="28"/>
          <w:szCs w:val="28"/>
        </w:rPr>
        <w:t xml:space="preserve"> y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efectuar su aprobación</w:t>
      </w:r>
      <w:r w:rsidRPr="00D85C08">
        <w:rPr>
          <w:rFonts w:ascii="Times New Roman" w:hAnsi="Times New Roman" w:cs="Times New Roman"/>
          <w:sz w:val="28"/>
          <w:vertAlign w:val="superscript"/>
          <w:lang w:eastAsia="es-ES"/>
        </w:rPr>
        <w:footnoteReference w:id="24"/>
      </w:r>
      <w:r w:rsidRPr="00D85C08">
        <w:rPr>
          <w:rFonts w:ascii="Times New Roman" w:hAnsi="Times New Roman" w:cs="Times New Roman"/>
          <w:sz w:val="28"/>
          <w:szCs w:val="28"/>
        </w:rPr>
        <w:t xml:space="preserve">. Por su parte, en el segundo debate, es decir, en la plenaria del Senado, se cumplió con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la publicación del informe de ponencia</w:t>
      </w:r>
      <w:r w:rsidRPr="00D85C08">
        <w:rPr>
          <w:rFonts w:ascii="Times New Roman" w:hAnsi="Times New Roman" w:cs="Times New Roman"/>
          <w:sz w:val="28"/>
          <w:vertAlign w:val="superscript"/>
          <w:lang w:eastAsia="es-ES"/>
        </w:rPr>
        <w:footnoteReference w:id="25"/>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el anuncio previo del pro</w:t>
      </w:r>
      <w:r w:rsidRPr="00D85C08">
        <w:rPr>
          <w:rFonts w:ascii="Times New Roman" w:hAnsi="Times New Roman" w:cs="Times New Roman"/>
          <w:sz w:val="28"/>
          <w:szCs w:val="28"/>
        </w:rPr>
        <w:t>yecto de ley</w:t>
      </w:r>
      <w:r w:rsidRPr="00D85C08">
        <w:rPr>
          <w:rFonts w:ascii="Times New Roman" w:hAnsi="Times New Roman" w:cs="Times New Roman"/>
          <w:sz w:val="28"/>
          <w:vertAlign w:val="superscript"/>
          <w:lang w:eastAsia="es-ES"/>
        </w:rPr>
        <w:footnoteReference w:id="26"/>
      </w:r>
      <w:r w:rsidRPr="00D85C08">
        <w:rPr>
          <w:rFonts w:ascii="Times New Roman" w:hAnsi="Times New Roman" w:cs="Times New Roman"/>
          <w:sz w:val="28"/>
          <w:szCs w:val="28"/>
        </w:rPr>
        <w:t xml:space="preserve"> y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el debate y aprobación</w:t>
      </w:r>
      <w:r w:rsidRPr="00D85C08">
        <w:rPr>
          <w:rFonts w:ascii="Times New Roman" w:hAnsi="Times New Roman" w:cs="Times New Roman"/>
          <w:sz w:val="28"/>
          <w:vertAlign w:val="superscript"/>
          <w:lang w:eastAsia="es-ES"/>
        </w:rPr>
        <w:footnoteReference w:id="27"/>
      </w:r>
      <w:r w:rsidRPr="00D85C08">
        <w:rPr>
          <w:rFonts w:ascii="Times New Roman" w:hAnsi="Times New Roman" w:cs="Times New Roman"/>
          <w:sz w:val="28"/>
          <w:szCs w:val="28"/>
        </w:rPr>
        <w:t xml:space="preserve">. </w:t>
      </w:r>
    </w:p>
    <w:p w:rsidR="00E82674" w:rsidRPr="00D85C08" w:rsidRDefault="00D85C08" w:rsidP="00E82674">
      <w:pPr>
        <w:spacing w:after="0" w:line="240" w:lineRule="auto"/>
        <w:contextualSpacing/>
        <w:jc w:val="both"/>
        <w:rPr>
          <w:rFonts w:ascii="Times New Roman" w:eastAsia="Times New Roman" w:hAnsi="Times New Roman" w:cs="Times New Roman"/>
          <w:sz w:val="28"/>
          <w:szCs w:val="28"/>
          <w:lang w:eastAsia="es-MX"/>
        </w:rPr>
      </w:pPr>
    </w:p>
    <w:p w:rsidR="00E82674"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El trámite que se surtió tanto en la Comisión Segunda Constitucional Permanente como en la Sesión Plenaria del Senado de la República puede resumirse en las actas de las sesiones y en las gacetas respectivas </w:t>
      </w:r>
      <w:r w:rsidRPr="00D85C08">
        <w:rPr>
          <w:rFonts w:ascii="Times New Roman" w:hAnsi="Times New Roman" w:cs="Times New Roman"/>
          <w:sz w:val="28"/>
          <w:szCs w:val="28"/>
        </w:rPr>
        <w:t xml:space="preserve">del Congreso, así: </w:t>
      </w:r>
    </w:p>
    <w:p w:rsidR="00004CBF" w:rsidRPr="00D85C08" w:rsidRDefault="00D85C08" w:rsidP="00E82674">
      <w:pPr>
        <w:spacing w:after="0" w:line="240" w:lineRule="auto"/>
        <w:contextualSpacing/>
        <w:jc w:val="both"/>
        <w:rPr>
          <w:rFonts w:ascii="Times New Roman" w:eastAsia="Times New Roman" w:hAnsi="Times New Roman" w:cs="Times New Roman"/>
          <w:sz w:val="28"/>
          <w:szCs w:val="28"/>
          <w:lang w:eastAsia="es-MX"/>
        </w:rPr>
      </w:pPr>
    </w:p>
    <w:tbl>
      <w:tblP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1701"/>
        <w:gridCol w:w="1701"/>
        <w:gridCol w:w="1701"/>
        <w:gridCol w:w="1701"/>
      </w:tblGrid>
      <w:tr w:rsidR="00B67DE8" w:rsidRPr="00D85C08" w:rsidTr="00FE416D">
        <w:trPr>
          <w:jc w:val="center"/>
        </w:trPr>
        <w:tc>
          <w:tcPr>
            <w:tcW w:w="2850" w:type="dxa"/>
            <w:vAlign w:val="center"/>
          </w:tcPr>
          <w:p w:rsidR="00B67DE8" w:rsidRPr="00D85C08" w:rsidRDefault="00D85C08" w:rsidP="006D320D">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 xml:space="preserve">Exposición de motivos del proyecto de ley </w:t>
            </w:r>
            <w:r w:rsidRPr="00D85C08">
              <w:rPr>
                <w:rFonts w:ascii="Times New Roman" w:eastAsia="Times New Roman" w:hAnsi="Times New Roman" w:cs="Times New Roman"/>
                <w:b/>
                <w:sz w:val="28"/>
                <w:szCs w:val="24"/>
                <w:lang w:eastAsia="es-MX"/>
              </w:rPr>
              <w:t>220</w:t>
            </w:r>
            <w:r w:rsidRPr="00D85C08">
              <w:rPr>
                <w:rFonts w:ascii="Times New Roman" w:eastAsia="Times New Roman" w:hAnsi="Times New Roman" w:cs="Times New Roman"/>
                <w:b/>
                <w:sz w:val="28"/>
                <w:szCs w:val="24"/>
                <w:lang w:eastAsia="es-MX"/>
              </w:rPr>
              <w:t xml:space="preserve"> de 202</w:t>
            </w:r>
            <w:r w:rsidRPr="00D85C08">
              <w:rPr>
                <w:rFonts w:ascii="Times New Roman" w:eastAsia="Times New Roman" w:hAnsi="Times New Roman" w:cs="Times New Roman"/>
                <w:b/>
                <w:sz w:val="28"/>
                <w:szCs w:val="24"/>
                <w:lang w:eastAsia="es-MX"/>
              </w:rPr>
              <w:t>1</w:t>
            </w:r>
            <w:r w:rsidRPr="00D85C08">
              <w:rPr>
                <w:rFonts w:ascii="Times New Roman" w:eastAsia="Times New Roman" w:hAnsi="Times New Roman" w:cs="Times New Roman"/>
                <w:b/>
                <w:sz w:val="28"/>
                <w:szCs w:val="24"/>
                <w:lang w:eastAsia="es-MX"/>
              </w:rPr>
              <w:t xml:space="preserve">: Gaceta del Congreso n.° </w:t>
            </w:r>
            <w:r w:rsidRPr="00D85C08">
              <w:rPr>
                <w:rFonts w:ascii="Times New Roman" w:eastAsia="Times New Roman" w:hAnsi="Times New Roman" w:cs="Times New Roman"/>
                <w:b/>
                <w:sz w:val="28"/>
                <w:szCs w:val="24"/>
                <w:lang w:eastAsia="es-MX"/>
              </w:rPr>
              <w:t>1465 del 3 de octubre de 2021</w:t>
            </w:r>
          </w:p>
        </w:tc>
        <w:tc>
          <w:tcPr>
            <w:tcW w:w="1701" w:type="dxa"/>
            <w:vAlign w:val="center"/>
          </w:tcPr>
          <w:p w:rsidR="00B67DE8" w:rsidRPr="00D85C08" w:rsidRDefault="00D85C08" w:rsidP="006D320D">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Ponencia</w:t>
            </w:r>
          </w:p>
        </w:tc>
        <w:tc>
          <w:tcPr>
            <w:tcW w:w="1701" w:type="dxa"/>
            <w:vAlign w:val="center"/>
          </w:tcPr>
          <w:p w:rsidR="00B67DE8" w:rsidRPr="00D85C08" w:rsidRDefault="00D85C08" w:rsidP="006D320D">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Último anuncio</w:t>
            </w:r>
          </w:p>
        </w:tc>
        <w:tc>
          <w:tcPr>
            <w:tcW w:w="1701" w:type="dxa"/>
            <w:vAlign w:val="center"/>
          </w:tcPr>
          <w:p w:rsidR="00B67DE8" w:rsidRPr="00D85C08" w:rsidRDefault="00D85C08" w:rsidP="006D320D">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Votación</w:t>
            </w:r>
          </w:p>
        </w:tc>
        <w:tc>
          <w:tcPr>
            <w:tcW w:w="1701" w:type="dxa"/>
            <w:vAlign w:val="center"/>
          </w:tcPr>
          <w:p w:rsidR="00B67DE8" w:rsidRPr="00D85C08" w:rsidRDefault="00D85C08" w:rsidP="006D320D">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Publicación</w:t>
            </w:r>
          </w:p>
          <w:p w:rsidR="00B67DE8" w:rsidRPr="00D85C08" w:rsidRDefault="00D85C08" w:rsidP="006D320D">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del texto aprobado</w:t>
            </w:r>
          </w:p>
        </w:tc>
      </w:tr>
      <w:tr w:rsidR="00B67DE8" w:rsidRPr="00D85C08" w:rsidTr="00FE416D">
        <w:trPr>
          <w:trHeight w:val="2118"/>
          <w:jc w:val="center"/>
        </w:trPr>
        <w:tc>
          <w:tcPr>
            <w:tcW w:w="2850" w:type="dxa"/>
            <w:vAlign w:val="center"/>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Primer debate (Comisión)</w:t>
            </w:r>
          </w:p>
        </w:tc>
        <w:tc>
          <w:tcPr>
            <w:tcW w:w="1701" w:type="dxa"/>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Gaceta del Congreso n.° </w:t>
            </w:r>
            <w:r w:rsidRPr="00D85C08">
              <w:rPr>
                <w:rFonts w:ascii="Times New Roman" w:eastAsia="Times New Roman" w:hAnsi="Times New Roman" w:cs="Times New Roman"/>
                <w:sz w:val="28"/>
                <w:szCs w:val="24"/>
                <w:lang w:eastAsia="es-MX"/>
              </w:rPr>
              <w:t xml:space="preserve">1670 del 19 </w:t>
            </w:r>
            <w:r w:rsidRPr="00D85C08">
              <w:rPr>
                <w:rFonts w:ascii="Times New Roman" w:eastAsia="Times New Roman" w:hAnsi="Times New Roman" w:cs="Times New Roman"/>
                <w:sz w:val="28"/>
                <w:szCs w:val="24"/>
                <w:lang w:eastAsia="es-MX"/>
              </w:rPr>
              <w:t>de noviembre de 2021</w:t>
            </w:r>
          </w:p>
        </w:tc>
        <w:tc>
          <w:tcPr>
            <w:tcW w:w="1701" w:type="dxa"/>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Acta n.° 1</w:t>
            </w:r>
            <w:r w:rsidRPr="00D85C08">
              <w:rPr>
                <w:rFonts w:ascii="Times New Roman" w:eastAsia="Times New Roman" w:hAnsi="Times New Roman" w:cs="Times New Roman"/>
                <w:sz w:val="28"/>
                <w:szCs w:val="24"/>
                <w:lang w:eastAsia="es-MX"/>
              </w:rPr>
              <w:t>5</w:t>
            </w:r>
            <w:r w:rsidRPr="00D85C08">
              <w:rPr>
                <w:rFonts w:ascii="Times New Roman" w:eastAsia="Times New Roman" w:hAnsi="Times New Roman" w:cs="Times New Roman"/>
                <w:sz w:val="28"/>
                <w:szCs w:val="24"/>
                <w:lang w:eastAsia="es-MX"/>
              </w:rPr>
              <w:t xml:space="preserve"> del </w:t>
            </w:r>
            <w:r w:rsidRPr="00D85C08">
              <w:rPr>
                <w:rFonts w:ascii="Times New Roman" w:eastAsia="Times New Roman" w:hAnsi="Times New Roman" w:cs="Times New Roman"/>
                <w:sz w:val="28"/>
                <w:szCs w:val="24"/>
                <w:lang w:eastAsia="es-MX"/>
              </w:rPr>
              <w:t>1</w:t>
            </w:r>
            <w:r w:rsidRPr="00D85C08">
              <w:rPr>
                <w:rFonts w:ascii="Times New Roman" w:eastAsia="Times New Roman" w:hAnsi="Times New Roman" w:cs="Times New Roman"/>
                <w:sz w:val="28"/>
                <w:szCs w:val="24"/>
                <w:lang w:eastAsia="es-MX"/>
              </w:rPr>
              <w:t xml:space="preserve"> de </w:t>
            </w:r>
            <w:r w:rsidRPr="00D85C08">
              <w:rPr>
                <w:rFonts w:ascii="Times New Roman" w:eastAsia="Times New Roman" w:hAnsi="Times New Roman" w:cs="Times New Roman"/>
                <w:sz w:val="28"/>
                <w:szCs w:val="24"/>
                <w:lang w:eastAsia="es-MX"/>
              </w:rPr>
              <w:t>diciembre</w:t>
            </w:r>
            <w:r w:rsidRPr="00D85C08">
              <w:rPr>
                <w:rFonts w:ascii="Times New Roman" w:eastAsia="Times New Roman" w:hAnsi="Times New Roman" w:cs="Times New Roman"/>
                <w:sz w:val="28"/>
                <w:szCs w:val="24"/>
                <w:lang w:eastAsia="es-MX"/>
              </w:rPr>
              <w:t xml:space="preserve"> de 202</w:t>
            </w:r>
            <w:r w:rsidRPr="00D85C08">
              <w:rPr>
                <w:rFonts w:ascii="Times New Roman" w:eastAsia="Times New Roman" w:hAnsi="Times New Roman" w:cs="Times New Roman"/>
                <w:sz w:val="28"/>
                <w:szCs w:val="24"/>
                <w:lang w:eastAsia="es-MX"/>
              </w:rPr>
              <w:t>1</w:t>
            </w:r>
            <w:r w:rsidRPr="00D85C08">
              <w:rPr>
                <w:rFonts w:ascii="Times New Roman" w:eastAsia="Times New Roman" w:hAnsi="Times New Roman" w:cs="Times New Roman"/>
                <w:sz w:val="28"/>
                <w:szCs w:val="24"/>
                <w:lang w:eastAsia="es-MX"/>
              </w:rPr>
              <w:t xml:space="preserve">, publicada en la Gaceta del Congreso n.° </w:t>
            </w:r>
            <w:r w:rsidRPr="00D85C08">
              <w:rPr>
                <w:rFonts w:ascii="Times New Roman" w:eastAsia="Times New Roman" w:hAnsi="Times New Roman" w:cs="Times New Roman"/>
                <w:sz w:val="28"/>
                <w:szCs w:val="24"/>
                <w:lang w:eastAsia="es-MX"/>
              </w:rPr>
              <w:t>482 del 13 de mayo de 2022</w:t>
            </w:r>
          </w:p>
        </w:tc>
        <w:tc>
          <w:tcPr>
            <w:tcW w:w="1701" w:type="dxa"/>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Acta n.° 1</w:t>
            </w:r>
            <w:r w:rsidRPr="00D85C08">
              <w:rPr>
                <w:rFonts w:ascii="Times New Roman" w:eastAsia="Times New Roman" w:hAnsi="Times New Roman" w:cs="Times New Roman"/>
                <w:sz w:val="28"/>
                <w:szCs w:val="24"/>
                <w:lang w:eastAsia="es-MX"/>
              </w:rPr>
              <w:t>6</w:t>
            </w:r>
            <w:r w:rsidRPr="00D85C08">
              <w:rPr>
                <w:rFonts w:ascii="Times New Roman" w:eastAsia="Times New Roman" w:hAnsi="Times New Roman" w:cs="Times New Roman"/>
                <w:sz w:val="28"/>
                <w:szCs w:val="24"/>
                <w:lang w:eastAsia="es-MX"/>
              </w:rPr>
              <w:t xml:space="preserve"> del </w:t>
            </w:r>
            <w:r w:rsidRPr="00D85C08">
              <w:rPr>
                <w:rFonts w:ascii="Times New Roman" w:eastAsia="Times New Roman" w:hAnsi="Times New Roman" w:cs="Times New Roman"/>
                <w:sz w:val="28"/>
                <w:szCs w:val="24"/>
                <w:lang w:eastAsia="es-MX"/>
              </w:rPr>
              <w:t>7</w:t>
            </w:r>
            <w:r w:rsidRPr="00D85C08">
              <w:rPr>
                <w:rFonts w:ascii="Times New Roman" w:eastAsia="Times New Roman" w:hAnsi="Times New Roman" w:cs="Times New Roman"/>
                <w:sz w:val="28"/>
                <w:szCs w:val="24"/>
                <w:lang w:eastAsia="es-MX"/>
              </w:rPr>
              <w:t xml:space="preserve"> de </w:t>
            </w:r>
            <w:r w:rsidRPr="00D85C08">
              <w:rPr>
                <w:rFonts w:ascii="Times New Roman" w:eastAsia="Times New Roman" w:hAnsi="Times New Roman" w:cs="Times New Roman"/>
                <w:sz w:val="28"/>
                <w:szCs w:val="24"/>
                <w:lang w:eastAsia="es-MX"/>
              </w:rPr>
              <w:t>diciembre de 2021</w:t>
            </w:r>
            <w:r w:rsidRPr="00D85C08">
              <w:rPr>
                <w:rFonts w:ascii="Times New Roman" w:eastAsia="Times New Roman" w:hAnsi="Times New Roman" w:cs="Times New Roman"/>
                <w:sz w:val="28"/>
                <w:szCs w:val="24"/>
                <w:lang w:eastAsia="es-MX"/>
              </w:rPr>
              <w:t xml:space="preserve">, publicada en la Gaceta del Congreso n.° </w:t>
            </w:r>
            <w:r w:rsidRPr="00D85C08">
              <w:rPr>
                <w:rFonts w:ascii="Times New Roman" w:eastAsia="Times New Roman" w:hAnsi="Times New Roman" w:cs="Times New Roman"/>
                <w:sz w:val="28"/>
                <w:szCs w:val="24"/>
                <w:lang w:eastAsia="es-MX"/>
              </w:rPr>
              <w:t>482 del 13 de mayo de 2022</w:t>
            </w:r>
          </w:p>
        </w:tc>
        <w:tc>
          <w:tcPr>
            <w:tcW w:w="1701" w:type="dxa"/>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hAnsi="Times New Roman" w:cs="Times New Roman"/>
                <w:sz w:val="28"/>
                <w:szCs w:val="24"/>
              </w:rPr>
              <w:t>Gaceta del Congreso n</w:t>
            </w:r>
            <w:r w:rsidRPr="00D85C08">
              <w:rPr>
                <w:rFonts w:ascii="Times New Roman" w:hAnsi="Times New Roman" w:cs="Times New Roman"/>
                <w:sz w:val="28"/>
                <w:szCs w:val="24"/>
              </w:rPr>
              <w:t>.° 257 del 5 de abril de 2022</w:t>
            </w:r>
          </w:p>
        </w:tc>
      </w:tr>
      <w:tr w:rsidR="00B67DE8" w:rsidRPr="00D85C08" w:rsidTr="00FE416D">
        <w:trPr>
          <w:trHeight w:val="274"/>
          <w:jc w:val="center"/>
        </w:trPr>
        <w:tc>
          <w:tcPr>
            <w:tcW w:w="2850" w:type="dxa"/>
            <w:vAlign w:val="center"/>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Segundo debate (Plenaria)</w:t>
            </w:r>
          </w:p>
        </w:tc>
        <w:tc>
          <w:tcPr>
            <w:tcW w:w="1701" w:type="dxa"/>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Gacetas del Congreso 257 del 5 de abril y 540 del 19 de mayo de 2022 (nota aclaratoria)</w:t>
            </w:r>
          </w:p>
        </w:tc>
        <w:tc>
          <w:tcPr>
            <w:tcW w:w="1701" w:type="dxa"/>
            <w:shd w:val="clear" w:color="auto" w:fill="auto"/>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Acta n.° 09 del 13 de septiembre de 2022, publicada en la Gaceta del Congreso n.° 1432 del 15 de noviembre de </w:t>
            </w:r>
            <w:r w:rsidRPr="00D85C08">
              <w:rPr>
                <w:rFonts w:ascii="Times New Roman" w:eastAsia="Times New Roman" w:hAnsi="Times New Roman" w:cs="Times New Roman"/>
                <w:sz w:val="28"/>
                <w:szCs w:val="24"/>
                <w:lang w:eastAsia="es-MX"/>
              </w:rPr>
              <w:t>2022</w:t>
            </w:r>
          </w:p>
        </w:tc>
        <w:tc>
          <w:tcPr>
            <w:tcW w:w="1701" w:type="dxa"/>
            <w:shd w:val="clear" w:color="auto" w:fill="auto"/>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Acta n.° </w:t>
            </w:r>
            <w:r w:rsidRPr="00D85C08">
              <w:rPr>
                <w:rFonts w:ascii="Times New Roman" w:eastAsia="Times New Roman" w:hAnsi="Times New Roman" w:cs="Times New Roman"/>
                <w:sz w:val="28"/>
                <w:szCs w:val="24"/>
                <w:lang w:eastAsia="es-MX"/>
              </w:rPr>
              <w:t>10</w:t>
            </w:r>
            <w:r w:rsidRPr="00D85C08">
              <w:rPr>
                <w:rFonts w:ascii="Times New Roman" w:eastAsia="Times New Roman" w:hAnsi="Times New Roman" w:cs="Times New Roman"/>
                <w:sz w:val="28"/>
                <w:szCs w:val="24"/>
                <w:lang w:eastAsia="es-MX"/>
              </w:rPr>
              <w:t xml:space="preserve"> del </w:t>
            </w:r>
            <w:r w:rsidRPr="00D85C08">
              <w:rPr>
                <w:rFonts w:ascii="Times New Roman" w:eastAsia="Times New Roman" w:hAnsi="Times New Roman" w:cs="Times New Roman"/>
                <w:sz w:val="28"/>
                <w:szCs w:val="24"/>
                <w:lang w:eastAsia="es-MX"/>
              </w:rPr>
              <w:t>20 de septiembre de 2022</w:t>
            </w:r>
            <w:r w:rsidRPr="00D85C08">
              <w:rPr>
                <w:rFonts w:ascii="Times New Roman" w:eastAsia="Times New Roman" w:hAnsi="Times New Roman" w:cs="Times New Roman"/>
                <w:sz w:val="28"/>
                <w:szCs w:val="24"/>
                <w:lang w:eastAsia="es-MX"/>
              </w:rPr>
              <w:t>, publicada en la Gaceta del Congreso n.° 14</w:t>
            </w:r>
            <w:r w:rsidRPr="00D85C08">
              <w:rPr>
                <w:rFonts w:ascii="Times New Roman" w:eastAsia="Times New Roman" w:hAnsi="Times New Roman" w:cs="Times New Roman"/>
                <w:sz w:val="28"/>
                <w:szCs w:val="24"/>
                <w:lang w:eastAsia="es-MX"/>
              </w:rPr>
              <w:t>33</w:t>
            </w:r>
            <w:r w:rsidRPr="00D85C08">
              <w:rPr>
                <w:rFonts w:ascii="Times New Roman" w:eastAsia="Times New Roman" w:hAnsi="Times New Roman" w:cs="Times New Roman"/>
                <w:sz w:val="28"/>
                <w:szCs w:val="24"/>
                <w:lang w:eastAsia="es-MX"/>
              </w:rPr>
              <w:t xml:space="preserve"> </w:t>
            </w:r>
            <w:r w:rsidRPr="00D85C08">
              <w:rPr>
                <w:rFonts w:ascii="Times New Roman" w:eastAsia="Times New Roman" w:hAnsi="Times New Roman" w:cs="Times New Roman"/>
                <w:sz w:val="28"/>
                <w:szCs w:val="24"/>
                <w:lang w:eastAsia="es-MX"/>
              </w:rPr>
              <w:t>del 15 de noviembre de 2022</w:t>
            </w:r>
          </w:p>
        </w:tc>
        <w:tc>
          <w:tcPr>
            <w:tcW w:w="1701" w:type="dxa"/>
          </w:tcPr>
          <w:p w:rsidR="00B67DE8" w:rsidRPr="00D85C08" w:rsidRDefault="00D85C08" w:rsidP="006D320D">
            <w:pPr>
              <w:spacing w:after="0" w:line="240" w:lineRule="auto"/>
              <w:jc w:val="center"/>
              <w:rPr>
                <w:rFonts w:ascii="Times New Roman" w:eastAsia="Times New Roman" w:hAnsi="Times New Roman" w:cs="Times New Roman"/>
                <w:sz w:val="28"/>
                <w:szCs w:val="24"/>
                <w:lang w:eastAsia="es-MX"/>
              </w:rPr>
            </w:pPr>
            <w:r w:rsidRPr="00D85C08">
              <w:rPr>
                <w:rFonts w:ascii="Times New Roman" w:hAnsi="Times New Roman" w:cs="Times New Roman"/>
                <w:sz w:val="28"/>
                <w:szCs w:val="24"/>
              </w:rPr>
              <w:t xml:space="preserve">Gaceta del Congreso n.° </w:t>
            </w:r>
            <w:r w:rsidRPr="00D85C08">
              <w:rPr>
                <w:rFonts w:ascii="Times New Roman" w:eastAsia="Times New Roman" w:hAnsi="Times New Roman" w:cs="Times New Roman"/>
                <w:sz w:val="28"/>
                <w:szCs w:val="24"/>
                <w:lang w:eastAsia="es-MX"/>
              </w:rPr>
              <w:t>1152 del 28 de septiembre de 2022</w:t>
            </w:r>
          </w:p>
        </w:tc>
      </w:tr>
    </w:tbl>
    <w:p w:rsidR="00B67DE8" w:rsidRPr="00D85C08" w:rsidRDefault="00D85C08" w:rsidP="00E82674">
      <w:pPr>
        <w:spacing w:after="0" w:line="240" w:lineRule="auto"/>
        <w:contextualSpacing/>
        <w:jc w:val="both"/>
        <w:rPr>
          <w:rFonts w:ascii="Times New Roman" w:eastAsia="Times New Roman" w:hAnsi="Times New Roman" w:cs="Times New Roman"/>
          <w:sz w:val="28"/>
          <w:szCs w:val="28"/>
          <w:lang w:eastAsia="es-MX"/>
        </w:rPr>
      </w:pPr>
    </w:p>
    <w:p w:rsidR="001A05EE"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En los debates y en la aprobación del proyecto de ley, tanto en la Comisión Segunda Constitucional Permanente como en la plenaria del Senado de la República, se dio cumplimiento a las exigencias sobre </w:t>
      </w:r>
      <w:r w:rsidRPr="00D85C08">
        <w:rPr>
          <w:rFonts w:ascii="Times New Roman" w:hAnsi="Times New Roman" w:cs="Times New Roman"/>
          <w:i/>
          <w:iCs/>
          <w:sz w:val="28"/>
          <w:szCs w:val="28"/>
        </w:rPr>
        <w:t xml:space="preserve">quorum </w:t>
      </w:r>
      <w:r w:rsidRPr="00D85C08">
        <w:rPr>
          <w:rFonts w:ascii="Times New Roman" w:hAnsi="Times New Roman" w:cs="Times New Roman"/>
          <w:sz w:val="28"/>
          <w:szCs w:val="28"/>
        </w:rPr>
        <w:t xml:space="preserve">deliberatorio y decisorio, de conformidad con lo dispuesto en el artículo 145 de la Constitución. Además, mediante votación nominal y pública, en los términos del artículo 133 </w:t>
      </w:r>
      <w:r w:rsidRPr="00D85C08">
        <w:rPr>
          <w:rFonts w:ascii="Times New Roman" w:hAnsi="Times New Roman" w:cs="Times New Roman"/>
          <w:i/>
          <w:iCs/>
          <w:sz w:val="28"/>
          <w:szCs w:val="28"/>
        </w:rPr>
        <w:t>ejusdem</w:t>
      </w:r>
      <w:r w:rsidRPr="00D85C08">
        <w:rPr>
          <w:rFonts w:ascii="Times New Roman" w:hAnsi="Times New Roman" w:cs="Times New Roman"/>
          <w:sz w:val="28"/>
          <w:szCs w:val="28"/>
        </w:rPr>
        <w:t>, se aprobaron la proposición final con que terminaba el informe de ponen</w:t>
      </w:r>
      <w:r w:rsidRPr="00D85C08">
        <w:rPr>
          <w:rFonts w:ascii="Times New Roman" w:hAnsi="Times New Roman" w:cs="Times New Roman"/>
          <w:sz w:val="28"/>
          <w:szCs w:val="28"/>
        </w:rPr>
        <w:t>cia, el articulado del proyecto, el título del proyecto y la intención para que el mismo hiciera tránsito a segundo debate ante la Cámara de Representantes, como se indica a continuación:</w:t>
      </w:r>
    </w:p>
    <w:p w:rsidR="00B67DE8" w:rsidRPr="00D85C08" w:rsidRDefault="00D85C08" w:rsidP="00E82674">
      <w:pPr>
        <w:spacing w:after="0" w:line="240" w:lineRule="auto"/>
        <w:contextualSpacing/>
        <w:jc w:val="both"/>
        <w:rPr>
          <w:rFonts w:ascii="Times New Roman" w:eastAsia="Times New Roman" w:hAnsi="Times New Roman" w:cs="Times New Roman"/>
          <w:sz w:val="28"/>
          <w:szCs w:val="28"/>
          <w:lang w:eastAsia="es-MX"/>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3"/>
        <w:gridCol w:w="542"/>
        <w:gridCol w:w="713"/>
        <w:gridCol w:w="709"/>
        <w:gridCol w:w="572"/>
        <w:gridCol w:w="567"/>
        <w:gridCol w:w="567"/>
        <w:gridCol w:w="698"/>
        <w:gridCol w:w="567"/>
        <w:gridCol w:w="567"/>
        <w:gridCol w:w="573"/>
        <w:gridCol w:w="703"/>
        <w:gridCol w:w="567"/>
      </w:tblGrid>
      <w:tr w:rsidR="00BA161F" w:rsidRPr="00D85C08" w:rsidTr="008311C9">
        <w:trPr>
          <w:jc w:val="center"/>
        </w:trPr>
        <w:tc>
          <w:tcPr>
            <w:tcW w:w="2573" w:type="dxa"/>
          </w:tcPr>
          <w:p w:rsidR="00BA161F" w:rsidRPr="00D85C08" w:rsidRDefault="00D85C08" w:rsidP="006D320D">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Senado</w:t>
            </w:r>
          </w:p>
        </w:tc>
        <w:tc>
          <w:tcPr>
            <w:tcW w:w="2536" w:type="dxa"/>
            <w:gridSpan w:val="4"/>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Proposición final</w:t>
            </w:r>
          </w:p>
        </w:tc>
        <w:tc>
          <w:tcPr>
            <w:tcW w:w="2399" w:type="dxa"/>
            <w:gridSpan w:val="4"/>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Articulado</w:t>
            </w:r>
          </w:p>
        </w:tc>
        <w:tc>
          <w:tcPr>
            <w:tcW w:w="2410" w:type="dxa"/>
            <w:gridSpan w:val="4"/>
          </w:tcPr>
          <w:p w:rsidR="00BA161F" w:rsidRPr="00D85C08" w:rsidRDefault="00D85C08" w:rsidP="007C1BEE">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Título e inten</w:t>
            </w:r>
            <w:r w:rsidRPr="00D85C08">
              <w:rPr>
                <w:rFonts w:ascii="Times New Roman" w:eastAsia="Times New Roman" w:hAnsi="Times New Roman" w:cs="Times New Roman"/>
                <w:b/>
                <w:sz w:val="28"/>
                <w:lang w:eastAsia="es-ES"/>
              </w:rPr>
              <w:t>c</w:t>
            </w:r>
            <w:r w:rsidRPr="00D85C08">
              <w:rPr>
                <w:rFonts w:ascii="Times New Roman" w:eastAsia="Times New Roman" w:hAnsi="Times New Roman" w:cs="Times New Roman"/>
                <w:b/>
                <w:sz w:val="28"/>
                <w:lang w:eastAsia="es-ES"/>
              </w:rPr>
              <w:t>ión para segundo</w:t>
            </w:r>
            <w:r w:rsidRPr="00D85C08">
              <w:rPr>
                <w:rFonts w:ascii="Times New Roman" w:eastAsia="Times New Roman" w:hAnsi="Times New Roman" w:cs="Times New Roman"/>
                <w:b/>
                <w:sz w:val="28"/>
                <w:lang w:eastAsia="es-ES"/>
              </w:rPr>
              <w:t xml:space="preserve"> debate</w:t>
            </w:r>
          </w:p>
        </w:tc>
      </w:tr>
      <w:tr w:rsidR="00BA161F" w:rsidRPr="00D85C08" w:rsidTr="008311C9">
        <w:trPr>
          <w:trHeight w:val="439"/>
          <w:jc w:val="center"/>
        </w:trPr>
        <w:tc>
          <w:tcPr>
            <w:tcW w:w="2573" w:type="dxa"/>
            <w:vMerge w:val="restart"/>
          </w:tcPr>
          <w:p w:rsidR="00BA161F" w:rsidRPr="00D85C08" w:rsidRDefault="00D85C08" w:rsidP="006D320D">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Debate en la Comisión</w:t>
            </w:r>
            <w:r w:rsidRPr="00D85C08">
              <w:rPr>
                <w:rFonts w:ascii="Times New Roman" w:hAnsi="Times New Roman" w:cs="Times New Roman"/>
                <w:b/>
                <w:sz w:val="28"/>
              </w:rPr>
              <w:t xml:space="preserve"> </w:t>
            </w:r>
            <w:r w:rsidRPr="00D85C08">
              <w:rPr>
                <w:rFonts w:ascii="Times New Roman" w:eastAsia="Times New Roman" w:hAnsi="Times New Roman" w:cs="Times New Roman"/>
                <w:b/>
                <w:sz w:val="28"/>
                <w:lang w:eastAsia="es-ES"/>
              </w:rPr>
              <w:t xml:space="preserve">Segunda Constitucional Permanente </w:t>
            </w:r>
          </w:p>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w:t>
            </w:r>
            <w:r w:rsidRPr="00D85C08">
              <w:rPr>
                <w:rFonts w:ascii="Times New Roman" w:eastAsia="Times New Roman" w:hAnsi="Times New Roman" w:cs="Times New Roman"/>
                <w:b/>
                <w:sz w:val="28"/>
                <w:lang w:eastAsia="es-MX"/>
              </w:rPr>
              <w:t>Acta n.° 16 del 7 de diciembre de 2021, publicada en la Gaceta del Congreso n.° 482 del 13 de mayo de 2022</w:t>
            </w:r>
            <w:r w:rsidRPr="00D85C08">
              <w:rPr>
                <w:rFonts w:ascii="Times New Roman" w:eastAsia="Times New Roman" w:hAnsi="Times New Roman" w:cs="Times New Roman"/>
                <w:b/>
                <w:sz w:val="28"/>
                <w:lang w:eastAsia="es-ES"/>
              </w:rPr>
              <w:t>)</w:t>
            </w:r>
          </w:p>
        </w:tc>
        <w:tc>
          <w:tcPr>
            <w:tcW w:w="2536"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13 integrantes</w:t>
            </w:r>
          </w:p>
        </w:tc>
        <w:tc>
          <w:tcPr>
            <w:tcW w:w="2399"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13 integrantes</w:t>
            </w:r>
          </w:p>
        </w:tc>
        <w:tc>
          <w:tcPr>
            <w:tcW w:w="2410"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13 integrantes</w:t>
            </w:r>
          </w:p>
        </w:tc>
      </w:tr>
      <w:tr w:rsidR="00BA161F" w:rsidRPr="00D85C08" w:rsidTr="008311C9">
        <w:trPr>
          <w:trHeight w:val="438"/>
          <w:jc w:val="center"/>
        </w:trPr>
        <w:tc>
          <w:tcPr>
            <w:tcW w:w="2573" w:type="dxa"/>
            <w:vMerge/>
          </w:tcPr>
          <w:p w:rsidR="00BA161F" w:rsidRPr="00D85C08" w:rsidRDefault="00D85C08" w:rsidP="006D320D">
            <w:pPr>
              <w:spacing w:after="0" w:line="240" w:lineRule="auto"/>
              <w:rPr>
                <w:rFonts w:ascii="Times New Roman" w:eastAsia="Times New Roman" w:hAnsi="Times New Roman" w:cs="Times New Roman"/>
                <w:bCs/>
                <w:sz w:val="28"/>
                <w:lang w:eastAsia="es-ES"/>
              </w:rPr>
            </w:pPr>
          </w:p>
        </w:tc>
        <w:tc>
          <w:tcPr>
            <w:tcW w:w="2536"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11 asistentes</w:t>
            </w:r>
          </w:p>
        </w:tc>
        <w:tc>
          <w:tcPr>
            <w:tcW w:w="2399"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11 asistentes</w:t>
            </w:r>
          </w:p>
        </w:tc>
        <w:tc>
          <w:tcPr>
            <w:tcW w:w="2410"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 xml:space="preserve">11 </w:t>
            </w:r>
            <w:r w:rsidRPr="00D85C08">
              <w:rPr>
                <w:rFonts w:ascii="Times New Roman" w:eastAsia="Times New Roman" w:hAnsi="Times New Roman" w:cs="Times New Roman"/>
                <w:sz w:val="28"/>
                <w:lang w:eastAsia="es-MX"/>
              </w:rPr>
              <w:t>asistentes</w:t>
            </w:r>
          </w:p>
        </w:tc>
      </w:tr>
      <w:tr w:rsidR="00BA161F" w:rsidRPr="00D85C08" w:rsidTr="008311C9">
        <w:trPr>
          <w:trHeight w:val="438"/>
          <w:jc w:val="center"/>
        </w:trPr>
        <w:tc>
          <w:tcPr>
            <w:tcW w:w="2573" w:type="dxa"/>
            <w:vMerge/>
          </w:tcPr>
          <w:p w:rsidR="00BA161F" w:rsidRPr="00D85C08" w:rsidRDefault="00D85C08" w:rsidP="006D320D">
            <w:pPr>
              <w:spacing w:after="0" w:line="240" w:lineRule="auto"/>
              <w:rPr>
                <w:rFonts w:ascii="Times New Roman" w:eastAsia="Times New Roman" w:hAnsi="Times New Roman" w:cs="Times New Roman"/>
                <w:bCs/>
                <w:sz w:val="28"/>
                <w:lang w:eastAsia="es-ES"/>
              </w:rPr>
            </w:pPr>
          </w:p>
        </w:tc>
        <w:tc>
          <w:tcPr>
            <w:tcW w:w="2536"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c>
          <w:tcPr>
            <w:tcW w:w="2399"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r w:rsidRPr="00D85C08">
              <w:rPr>
                <w:rFonts w:ascii="Times New Roman" w:eastAsia="Times New Roman" w:hAnsi="Times New Roman" w:cs="Times New Roman"/>
                <w:b/>
                <w:sz w:val="28"/>
                <w:vertAlign w:val="superscript"/>
                <w:lang w:eastAsia="es-MX"/>
              </w:rPr>
              <w:footnoteReference w:id="28"/>
            </w:r>
          </w:p>
        </w:tc>
        <w:tc>
          <w:tcPr>
            <w:tcW w:w="2410" w:type="dxa"/>
            <w:gridSpan w:val="4"/>
            <w:vAlign w:val="center"/>
          </w:tcPr>
          <w:p w:rsidR="00BA161F" w:rsidRPr="00D85C08" w:rsidRDefault="00D85C08" w:rsidP="006D320D">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r w:rsidRPr="00D85C08">
              <w:rPr>
                <w:rFonts w:ascii="Times New Roman" w:eastAsia="Times New Roman" w:hAnsi="Times New Roman" w:cs="Times New Roman"/>
                <w:b/>
                <w:sz w:val="28"/>
                <w:vertAlign w:val="superscript"/>
                <w:lang w:eastAsia="es-MX"/>
              </w:rPr>
              <w:footnoteReference w:id="29"/>
            </w:r>
          </w:p>
        </w:tc>
      </w:tr>
      <w:tr w:rsidR="008311C9" w:rsidRPr="00D85C08" w:rsidTr="008311C9">
        <w:trPr>
          <w:trHeight w:val="55"/>
          <w:jc w:val="center"/>
        </w:trPr>
        <w:tc>
          <w:tcPr>
            <w:tcW w:w="2573" w:type="dxa"/>
            <w:vMerge/>
          </w:tcPr>
          <w:p w:rsidR="00BA161F" w:rsidRPr="00D85C08" w:rsidRDefault="00D85C08" w:rsidP="006D320D">
            <w:pPr>
              <w:spacing w:after="0" w:line="240" w:lineRule="auto"/>
              <w:rPr>
                <w:rFonts w:ascii="Times New Roman" w:eastAsia="Times New Roman" w:hAnsi="Times New Roman" w:cs="Times New Roman"/>
                <w:bCs/>
                <w:sz w:val="28"/>
                <w:lang w:eastAsia="es-ES"/>
              </w:rPr>
            </w:pPr>
          </w:p>
        </w:tc>
        <w:tc>
          <w:tcPr>
            <w:tcW w:w="542" w:type="dxa"/>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713" w:type="dxa"/>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9</w:t>
            </w:r>
          </w:p>
        </w:tc>
        <w:tc>
          <w:tcPr>
            <w:tcW w:w="709" w:type="dxa"/>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72" w:type="dxa"/>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2</w:t>
            </w:r>
            <w:r w:rsidRPr="00D85C08">
              <w:rPr>
                <w:rStyle w:val="Refdenotaalpie"/>
                <w:rFonts w:ascii="Times New Roman" w:eastAsia="Times New Roman" w:hAnsi="Times New Roman" w:cs="Times New Roman"/>
                <w:sz w:val="28"/>
                <w:lang w:eastAsia="es-MX"/>
              </w:rPr>
              <w:footnoteReference w:id="30"/>
            </w:r>
          </w:p>
        </w:tc>
        <w:tc>
          <w:tcPr>
            <w:tcW w:w="567" w:type="dxa"/>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567" w:type="dxa"/>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9</w:t>
            </w:r>
          </w:p>
        </w:tc>
        <w:tc>
          <w:tcPr>
            <w:tcW w:w="698" w:type="dxa"/>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67" w:type="dxa"/>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2</w:t>
            </w:r>
            <w:r w:rsidRPr="00D85C08">
              <w:rPr>
                <w:rStyle w:val="Refdenotaalpie"/>
                <w:rFonts w:ascii="Times New Roman" w:eastAsia="Times New Roman" w:hAnsi="Times New Roman" w:cs="Times New Roman"/>
                <w:sz w:val="28"/>
                <w:lang w:eastAsia="es-MX"/>
              </w:rPr>
              <w:footnoteReference w:id="31"/>
            </w:r>
          </w:p>
        </w:tc>
        <w:tc>
          <w:tcPr>
            <w:tcW w:w="567" w:type="dxa"/>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573" w:type="dxa"/>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1</w:t>
            </w:r>
          </w:p>
        </w:tc>
        <w:tc>
          <w:tcPr>
            <w:tcW w:w="703" w:type="dxa"/>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67" w:type="dxa"/>
            <w:vAlign w:val="center"/>
          </w:tcPr>
          <w:p w:rsidR="008311C9" w:rsidRPr="00D85C08" w:rsidRDefault="00D85C08" w:rsidP="008311C9">
            <w:pPr>
              <w:spacing w:after="0" w:line="240" w:lineRule="auto"/>
              <w:jc w:val="center"/>
              <w:rPr>
                <w:rFonts w:ascii="Times New Roman" w:eastAsia="Times New Roman" w:hAnsi="Times New Roman" w:cs="Times New Roman"/>
                <w:sz w:val="28"/>
                <w:lang w:eastAsia="es-MX"/>
              </w:rPr>
            </w:pPr>
          </w:p>
          <w:p w:rsidR="008311C9" w:rsidRPr="00D85C08" w:rsidRDefault="00D85C08" w:rsidP="008311C9">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0</w:t>
            </w:r>
          </w:p>
          <w:p w:rsidR="008311C9" w:rsidRPr="00D85C08" w:rsidRDefault="00D85C08" w:rsidP="008311C9">
            <w:pPr>
              <w:spacing w:after="0" w:line="240" w:lineRule="auto"/>
              <w:jc w:val="center"/>
              <w:rPr>
                <w:rFonts w:ascii="Times New Roman" w:eastAsia="Times New Roman" w:hAnsi="Times New Roman" w:cs="Times New Roman"/>
                <w:sz w:val="28"/>
                <w:lang w:eastAsia="es-MX"/>
              </w:rPr>
            </w:pPr>
          </w:p>
        </w:tc>
      </w:tr>
      <w:tr w:rsidR="00BA161F" w:rsidRPr="00D85C08" w:rsidTr="008311C9">
        <w:trPr>
          <w:trHeight w:val="443"/>
          <w:jc w:val="center"/>
        </w:trPr>
        <w:tc>
          <w:tcPr>
            <w:tcW w:w="2573" w:type="dxa"/>
            <w:vMerge w:val="restart"/>
            <w:shd w:val="clear" w:color="auto" w:fill="auto"/>
          </w:tcPr>
          <w:p w:rsidR="00BA161F" w:rsidRPr="00D85C08" w:rsidRDefault="00D85C08" w:rsidP="006D320D">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Debate en la plenaria</w:t>
            </w:r>
          </w:p>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MX"/>
              </w:rPr>
              <w:t>(</w:t>
            </w:r>
            <w:r w:rsidRPr="00D85C08">
              <w:rPr>
                <w:rFonts w:ascii="Times New Roman" w:eastAsia="Times New Roman" w:hAnsi="Times New Roman" w:cs="Times New Roman"/>
                <w:b/>
                <w:sz w:val="28"/>
                <w:lang w:eastAsia="es-MX"/>
              </w:rPr>
              <w:t>Acta n.° 10 del 20 de septiembre de 2022, publicada en la Gaceta del Congreso n.° 1433 del 15 de noviembre de 2022</w:t>
            </w:r>
            <w:r w:rsidRPr="00D85C08">
              <w:rPr>
                <w:rFonts w:ascii="Times New Roman" w:eastAsia="Times New Roman" w:hAnsi="Times New Roman" w:cs="Times New Roman"/>
                <w:b/>
                <w:sz w:val="28"/>
                <w:lang w:eastAsia="es-MX"/>
              </w:rPr>
              <w:t>)</w:t>
            </w:r>
          </w:p>
        </w:tc>
        <w:tc>
          <w:tcPr>
            <w:tcW w:w="2536" w:type="dxa"/>
            <w:gridSpan w:val="4"/>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108 miembros</w:t>
            </w:r>
          </w:p>
        </w:tc>
        <w:tc>
          <w:tcPr>
            <w:tcW w:w="4809" w:type="dxa"/>
            <w:gridSpan w:val="8"/>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108 miembros</w:t>
            </w:r>
          </w:p>
        </w:tc>
      </w:tr>
      <w:tr w:rsidR="00BA161F" w:rsidRPr="00D85C08" w:rsidTr="008311C9">
        <w:trPr>
          <w:trHeight w:val="441"/>
          <w:jc w:val="center"/>
        </w:trPr>
        <w:tc>
          <w:tcPr>
            <w:tcW w:w="2573" w:type="dxa"/>
            <w:vMerge/>
            <w:shd w:val="clear" w:color="auto" w:fill="auto"/>
          </w:tcPr>
          <w:p w:rsidR="00BA161F" w:rsidRPr="00D85C08" w:rsidRDefault="00D85C08" w:rsidP="006D320D">
            <w:pPr>
              <w:spacing w:after="0" w:line="240" w:lineRule="auto"/>
              <w:rPr>
                <w:rFonts w:ascii="Times New Roman" w:eastAsia="Times New Roman" w:hAnsi="Times New Roman" w:cs="Times New Roman"/>
                <w:sz w:val="28"/>
                <w:lang w:eastAsia="es-MX"/>
              </w:rPr>
            </w:pPr>
          </w:p>
        </w:tc>
        <w:tc>
          <w:tcPr>
            <w:tcW w:w="2536" w:type="dxa"/>
            <w:gridSpan w:val="4"/>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99</w:t>
            </w:r>
            <w:r w:rsidRPr="00D85C08">
              <w:rPr>
                <w:rFonts w:ascii="Times New Roman" w:eastAsia="Times New Roman" w:hAnsi="Times New Roman" w:cs="Times New Roman"/>
                <w:sz w:val="28"/>
                <w:lang w:eastAsia="es-MX"/>
              </w:rPr>
              <w:t xml:space="preserve"> asistentes</w:t>
            </w:r>
            <w:r w:rsidRPr="00D85C08">
              <w:rPr>
                <w:rStyle w:val="Refdenotaalpie"/>
                <w:rFonts w:ascii="Times New Roman" w:eastAsia="Times New Roman" w:hAnsi="Times New Roman" w:cs="Times New Roman"/>
                <w:sz w:val="28"/>
                <w:lang w:eastAsia="es-MX"/>
              </w:rPr>
              <w:footnoteReference w:id="32"/>
            </w:r>
          </w:p>
        </w:tc>
        <w:tc>
          <w:tcPr>
            <w:tcW w:w="4809" w:type="dxa"/>
            <w:gridSpan w:val="8"/>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99</w:t>
            </w:r>
            <w:r w:rsidRPr="00D85C08">
              <w:rPr>
                <w:rFonts w:ascii="Times New Roman" w:eastAsia="Times New Roman" w:hAnsi="Times New Roman" w:cs="Times New Roman"/>
                <w:sz w:val="28"/>
                <w:lang w:eastAsia="es-MX"/>
              </w:rPr>
              <w:t xml:space="preserve"> asistentes</w:t>
            </w:r>
            <w:r w:rsidRPr="00D85C08">
              <w:rPr>
                <w:rStyle w:val="Refdenotaalpie"/>
                <w:rFonts w:ascii="Times New Roman" w:eastAsia="Times New Roman" w:hAnsi="Times New Roman" w:cs="Times New Roman"/>
                <w:sz w:val="28"/>
                <w:lang w:eastAsia="es-MX"/>
              </w:rPr>
              <w:footnoteReference w:id="33"/>
            </w:r>
          </w:p>
        </w:tc>
      </w:tr>
      <w:tr w:rsidR="00BA161F" w:rsidRPr="00D85C08" w:rsidTr="008311C9">
        <w:trPr>
          <w:trHeight w:val="441"/>
          <w:jc w:val="center"/>
        </w:trPr>
        <w:tc>
          <w:tcPr>
            <w:tcW w:w="2573" w:type="dxa"/>
            <w:vMerge/>
            <w:shd w:val="clear" w:color="auto" w:fill="auto"/>
          </w:tcPr>
          <w:p w:rsidR="00BA161F" w:rsidRPr="00D85C08" w:rsidRDefault="00D85C08" w:rsidP="006D320D">
            <w:pPr>
              <w:spacing w:after="0" w:line="240" w:lineRule="auto"/>
              <w:rPr>
                <w:rFonts w:ascii="Times New Roman" w:eastAsia="Times New Roman" w:hAnsi="Times New Roman" w:cs="Times New Roman"/>
                <w:sz w:val="28"/>
                <w:lang w:eastAsia="es-MX"/>
              </w:rPr>
            </w:pPr>
          </w:p>
        </w:tc>
        <w:tc>
          <w:tcPr>
            <w:tcW w:w="2536" w:type="dxa"/>
            <w:gridSpan w:val="4"/>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r w:rsidRPr="00D85C08">
              <w:rPr>
                <w:rFonts w:ascii="Times New Roman" w:eastAsia="Times New Roman" w:hAnsi="Times New Roman" w:cs="Times New Roman"/>
                <w:b/>
                <w:sz w:val="28"/>
                <w:vertAlign w:val="superscript"/>
                <w:lang w:eastAsia="es-MX"/>
              </w:rPr>
              <w:footnoteReference w:id="34"/>
            </w:r>
          </w:p>
        </w:tc>
        <w:tc>
          <w:tcPr>
            <w:tcW w:w="4809" w:type="dxa"/>
            <w:gridSpan w:val="8"/>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r w:rsidRPr="00D85C08">
              <w:rPr>
                <w:rFonts w:ascii="Times New Roman" w:eastAsia="Times New Roman" w:hAnsi="Times New Roman" w:cs="Times New Roman"/>
                <w:b/>
                <w:sz w:val="28"/>
                <w:vertAlign w:val="superscript"/>
                <w:lang w:eastAsia="es-MX"/>
              </w:rPr>
              <w:footnoteReference w:id="35"/>
            </w:r>
          </w:p>
        </w:tc>
      </w:tr>
      <w:tr w:rsidR="00BA161F" w:rsidRPr="00D85C08" w:rsidTr="008311C9">
        <w:trPr>
          <w:trHeight w:val="441"/>
          <w:jc w:val="center"/>
        </w:trPr>
        <w:tc>
          <w:tcPr>
            <w:tcW w:w="2573" w:type="dxa"/>
            <w:vMerge/>
            <w:shd w:val="clear" w:color="auto" w:fill="auto"/>
          </w:tcPr>
          <w:p w:rsidR="00BA161F" w:rsidRPr="00D85C08" w:rsidRDefault="00D85C08" w:rsidP="006D320D">
            <w:pPr>
              <w:spacing w:after="0" w:line="240" w:lineRule="auto"/>
              <w:rPr>
                <w:rFonts w:ascii="Times New Roman" w:eastAsia="Times New Roman" w:hAnsi="Times New Roman" w:cs="Times New Roman"/>
                <w:sz w:val="28"/>
                <w:lang w:eastAsia="es-MX"/>
              </w:rPr>
            </w:pPr>
          </w:p>
        </w:tc>
        <w:tc>
          <w:tcPr>
            <w:tcW w:w="542" w:type="dxa"/>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bCs/>
                <w:sz w:val="28"/>
                <w:lang w:eastAsia="es-MX"/>
              </w:rPr>
              <w:t>SÍ</w:t>
            </w:r>
          </w:p>
        </w:tc>
        <w:tc>
          <w:tcPr>
            <w:tcW w:w="713" w:type="dxa"/>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60</w:t>
            </w:r>
            <w:r w:rsidRPr="00D85C08">
              <w:rPr>
                <w:rFonts w:ascii="Times New Roman" w:eastAsia="Times New Roman" w:hAnsi="Times New Roman" w:cs="Times New Roman"/>
                <w:sz w:val="28"/>
                <w:vertAlign w:val="superscript"/>
                <w:lang w:eastAsia="es-MX"/>
              </w:rPr>
              <w:footnoteReference w:id="36"/>
            </w:r>
          </w:p>
        </w:tc>
        <w:tc>
          <w:tcPr>
            <w:tcW w:w="709" w:type="dxa"/>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72" w:type="dxa"/>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0</w:t>
            </w:r>
          </w:p>
        </w:tc>
        <w:tc>
          <w:tcPr>
            <w:tcW w:w="1134" w:type="dxa"/>
            <w:gridSpan w:val="2"/>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bCs/>
                <w:sz w:val="28"/>
                <w:lang w:eastAsia="es-MX"/>
              </w:rPr>
              <w:t>SÍ</w:t>
            </w:r>
          </w:p>
        </w:tc>
        <w:tc>
          <w:tcPr>
            <w:tcW w:w="1265" w:type="dxa"/>
            <w:gridSpan w:val="2"/>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5</w:t>
            </w:r>
            <w:r w:rsidRPr="00D85C08">
              <w:rPr>
                <w:rFonts w:ascii="Times New Roman" w:eastAsia="Times New Roman" w:hAnsi="Times New Roman" w:cs="Times New Roman"/>
                <w:sz w:val="28"/>
                <w:lang w:eastAsia="es-MX"/>
              </w:rPr>
              <w:t>9</w:t>
            </w:r>
            <w:r w:rsidRPr="00D85C08">
              <w:rPr>
                <w:rFonts w:ascii="Times New Roman" w:eastAsia="Times New Roman" w:hAnsi="Times New Roman" w:cs="Times New Roman"/>
                <w:sz w:val="28"/>
                <w:vertAlign w:val="superscript"/>
                <w:lang w:eastAsia="es-MX"/>
              </w:rPr>
              <w:footnoteReference w:id="37"/>
            </w:r>
          </w:p>
        </w:tc>
        <w:tc>
          <w:tcPr>
            <w:tcW w:w="1140" w:type="dxa"/>
            <w:gridSpan w:val="2"/>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1270" w:type="dxa"/>
            <w:gridSpan w:val="2"/>
            <w:shd w:val="clear" w:color="auto" w:fill="auto"/>
            <w:vAlign w:val="center"/>
          </w:tcPr>
          <w:p w:rsidR="00BA161F" w:rsidRPr="00D85C08" w:rsidRDefault="00D85C08" w:rsidP="006D320D">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0</w:t>
            </w:r>
          </w:p>
        </w:tc>
      </w:tr>
    </w:tbl>
    <w:p w:rsidR="00DA3870" w:rsidRPr="00D85C08" w:rsidRDefault="00D85C08" w:rsidP="00AE1B65">
      <w:pPr>
        <w:spacing w:after="0" w:line="240" w:lineRule="auto"/>
        <w:jc w:val="both"/>
        <w:rPr>
          <w:rFonts w:ascii="Times New Roman" w:eastAsia="Times New Roman" w:hAnsi="Times New Roman" w:cs="Times New Roman"/>
          <w:b/>
          <w:sz w:val="28"/>
          <w:szCs w:val="28"/>
          <w:lang w:eastAsia="es-MX"/>
        </w:rPr>
      </w:pPr>
    </w:p>
    <w:p w:rsidR="00CC05D2" w:rsidRPr="00D85C08" w:rsidRDefault="00D85C08" w:rsidP="008D6AF2">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Sobre la información contenida en el cuadro anterior, la Corte destaca que existió una diferencia sustancial entre el número de senadores asistentes a la sesión (100) —según el registro inicial— y el</w:t>
      </w:r>
      <w:r w:rsidRPr="00D85C08">
        <w:rPr>
          <w:rFonts w:ascii="Times New Roman" w:hAnsi="Times New Roman" w:cs="Times New Roman"/>
          <w:sz w:val="28"/>
          <w:szCs w:val="28"/>
        </w:rPr>
        <w:t xml:space="preserve"> número de senadores que finalmente votó la iniciativa</w:t>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60</w:t>
      </w:r>
      <w:r w:rsidRPr="00D85C08">
        <w:rPr>
          <w:rFonts w:ascii="Times New Roman" w:hAnsi="Times New Roman" w:cs="Times New Roman"/>
          <w:sz w:val="28"/>
          <w:szCs w:val="28"/>
        </w:rPr>
        <w:t xml:space="preserve"> votaron</w:t>
      </w:r>
      <w:r w:rsidRPr="00D85C08">
        <w:rPr>
          <w:rFonts w:ascii="Times New Roman" w:hAnsi="Times New Roman" w:cs="Times New Roman"/>
          <w:sz w:val="28"/>
          <w:szCs w:val="28"/>
        </w:rPr>
        <w:t xml:space="preserve"> la proposición positiva con que terminó el informe de ponencia y 59, la omisión de la lectura del articulado, el bloque del articulado, el título y que el proyecto de ley hiciera tránsito </w:t>
      </w:r>
      <w:r w:rsidRPr="00D85C08">
        <w:rPr>
          <w:rFonts w:ascii="Times New Roman" w:hAnsi="Times New Roman" w:cs="Times New Roman"/>
          <w:sz w:val="28"/>
          <w:szCs w:val="28"/>
        </w:rPr>
        <w:t>a la Cámara de Representantes</w:t>
      </w:r>
      <w:r w:rsidRPr="00D85C08">
        <w:rPr>
          <w:rStyle w:val="Refdenotaalpie"/>
          <w:rFonts w:ascii="Times New Roman" w:hAnsi="Times New Roman" w:cs="Times New Roman"/>
          <w:sz w:val="28"/>
          <w:szCs w:val="28"/>
        </w:rPr>
        <w:footnoteReference w:id="38"/>
      </w:r>
      <w:r w:rsidRPr="00D85C08">
        <w:rPr>
          <w:rFonts w:ascii="Times New Roman" w:hAnsi="Times New Roman" w:cs="Times New Roman"/>
          <w:sz w:val="28"/>
          <w:szCs w:val="28"/>
        </w:rPr>
        <w:t xml:space="preserve">. </w:t>
      </w:r>
    </w:p>
    <w:p w:rsidR="00CC05D2" w:rsidRPr="00D85C08" w:rsidRDefault="00D85C08" w:rsidP="008D6AF2">
      <w:pPr>
        <w:spacing w:after="0" w:line="240" w:lineRule="auto"/>
        <w:jc w:val="both"/>
        <w:rPr>
          <w:rFonts w:ascii="Times New Roman" w:hAnsi="Times New Roman" w:cs="Times New Roman"/>
          <w:sz w:val="28"/>
          <w:szCs w:val="28"/>
        </w:rPr>
      </w:pPr>
    </w:p>
    <w:p w:rsidR="00DA3870" w:rsidRPr="00D85C08" w:rsidRDefault="00D85C08" w:rsidP="008D6AF2">
      <w:pPr>
        <w:pStyle w:val="Prrafodelista"/>
        <w:numPr>
          <w:ilvl w:val="0"/>
          <w:numId w:val="1"/>
        </w:numPr>
        <w:ind w:left="0" w:firstLine="0"/>
        <w:jc w:val="both"/>
        <w:rPr>
          <w:rFonts w:ascii="Times New Roman" w:hAnsi="Times New Roman" w:cs="Times New Roman"/>
          <w:b/>
          <w:sz w:val="28"/>
          <w:szCs w:val="28"/>
        </w:rPr>
      </w:pPr>
      <w:r w:rsidRPr="00D85C08">
        <w:rPr>
          <w:rFonts w:ascii="Times New Roman" w:hAnsi="Times New Roman" w:cs="Times New Roman"/>
          <w:sz w:val="28"/>
          <w:szCs w:val="28"/>
        </w:rPr>
        <w:t>De conformidad con la votación obtenida, la Sala observa que, al momento de votar, en la sesión plenaria mixta había 60 senadores. Teniendo en cuenta que el número de Senadores activos para ese momento era de ciento ocho (</w:t>
      </w:r>
      <w:r w:rsidRPr="00D85C08">
        <w:rPr>
          <w:rFonts w:ascii="Times New Roman" w:hAnsi="Times New Roman" w:cs="Times New Roman"/>
          <w:sz w:val="28"/>
          <w:szCs w:val="28"/>
        </w:rPr>
        <w:t xml:space="preserve">108), los </w:t>
      </w:r>
      <w:r w:rsidRPr="00D85C08">
        <w:rPr>
          <w:rFonts w:ascii="Times New Roman" w:hAnsi="Times New Roman" w:cs="Times New Roman"/>
          <w:i/>
          <w:sz w:val="28"/>
          <w:szCs w:val="28"/>
        </w:rPr>
        <w:t>quorum</w:t>
      </w:r>
      <w:r w:rsidRPr="00D85C08">
        <w:rPr>
          <w:rFonts w:ascii="Times New Roman" w:hAnsi="Times New Roman" w:cs="Times New Roman"/>
          <w:sz w:val="28"/>
          <w:szCs w:val="28"/>
        </w:rPr>
        <w:t xml:space="preserve"> deliberatorio</w:t>
      </w:r>
      <w:r w:rsidRPr="00D85C08">
        <w:rPr>
          <w:rFonts w:ascii="Times New Roman" w:hAnsi="Times New Roman" w:cs="Times New Roman"/>
          <w:sz w:val="28"/>
          <w:szCs w:val="28"/>
        </w:rPr>
        <w:t xml:space="preserve"> —cuarta parte de los miembros</w:t>
      </w:r>
      <w:r w:rsidRPr="00D85C08">
        <w:rPr>
          <w:rStyle w:val="Refdenotaalpie"/>
          <w:rFonts w:ascii="Times New Roman" w:hAnsi="Times New Roman" w:cs="Times New Roman"/>
          <w:sz w:val="28"/>
          <w:szCs w:val="28"/>
        </w:rPr>
        <w:footnoteReference w:id="39"/>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y decisorio</w:t>
      </w:r>
      <w:r w:rsidRPr="00D85C08">
        <w:rPr>
          <w:rFonts w:ascii="Times New Roman" w:hAnsi="Times New Roman" w:cs="Times New Roman"/>
          <w:sz w:val="28"/>
          <w:szCs w:val="28"/>
        </w:rPr>
        <w:t xml:space="preserve"> —mayoría de los miembros</w:t>
      </w:r>
      <w:r w:rsidRPr="00D85C08">
        <w:rPr>
          <w:rStyle w:val="Refdenotaalpie"/>
          <w:rFonts w:ascii="Times New Roman" w:hAnsi="Times New Roman" w:cs="Times New Roman"/>
          <w:sz w:val="28"/>
          <w:szCs w:val="28"/>
        </w:rPr>
        <w:footnoteReference w:id="40"/>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se encontraban conformados. Además, el número de votos válidos emitidos permite concluir que la decisión fue aprobada en cumplimiento de la regla de la mayoría simple</w:t>
      </w:r>
      <w:r w:rsidRPr="00D85C08">
        <w:rPr>
          <w:rStyle w:val="Refdenotaalpie"/>
          <w:rFonts w:ascii="Times New Roman" w:hAnsi="Times New Roman" w:cs="Times New Roman"/>
          <w:iCs/>
          <w:sz w:val="28"/>
          <w:szCs w:val="28"/>
        </w:rPr>
        <w:footnoteReference w:id="41"/>
      </w:r>
      <w:r w:rsidRPr="00D85C08">
        <w:rPr>
          <w:rFonts w:ascii="Times New Roman" w:hAnsi="Times New Roman" w:cs="Times New Roman"/>
          <w:sz w:val="28"/>
          <w:szCs w:val="28"/>
        </w:rPr>
        <w:t xml:space="preserve">, de acuerdo con el número de </w:t>
      </w:r>
      <w:r w:rsidRPr="00D85C08">
        <w:rPr>
          <w:rFonts w:ascii="Times New Roman" w:hAnsi="Times New Roman" w:cs="Times New Roman"/>
          <w:sz w:val="28"/>
          <w:szCs w:val="28"/>
        </w:rPr>
        <w:t>senadores que votó la iniciativa</w:t>
      </w:r>
      <w:r w:rsidRPr="00D85C08">
        <w:rPr>
          <w:rStyle w:val="Refdenotaalpie"/>
          <w:rFonts w:ascii="Times New Roman" w:hAnsi="Times New Roman" w:cs="Times New Roman"/>
          <w:sz w:val="28"/>
          <w:szCs w:val="28"/>
        </w:rPr>
        <w:footnoteReference w:id="42"/>
      </w:r>
      <w:r w:rsidRPr="00D85C08">
        <w:rPr>
          <w:rFonts w:ascii="Times New Roman" w:hAnsi="Times New Roman" w:cs="Times New Roman"/>
          <w:iCs/>
          <w:sz w:val="28"/>
          <w:szCs w:val="28"/>
        </w:rPr>
        <w:t>.</w:t>
      </w:r>
    </w:p>
    <w:p w:rsidR="00DA3870" w:rsidRPr="00D85C08" w:rsidRDefault="00D85C08" w:rsidP="00AE1B65">
      <w:pPr>
        <w:spacing w:after="0" w:line="240" w:lineRule="auto"/>
        <w:jc w:val="both"/>
        <w:rPr>
          <w:rFonts w:ascii="Times New Roman" w:eastAsia="Times New Roman" w:hAnsi="Times New Roman" w:cs="Times New Roman"/>
          <w:b/>
          <w:sz w:val="28"/>
          <w:szCs w:val="28"/>
          <w:lang w:eastAsia="es-MX"/>
        </w:rPr>
      </w:pPr>
    </w:p>
    <w:p w:rsidR="00FE15BB"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lang w:eastAsia="es-MX"/>
        </w:rPr>
        <w:t xml:space="preserve">3.2.2 El trámite ante </w:t>
      </w:r>
      <w:r w:rsidRPr="00D85C08">
        <w:rPr>
          <w:rFonts w:ascii="Times New Roman" w:hAnsi="Times New Roman" w:cs="Times New Roman"/>
          <w:lang w:eastAsia="es-MX"/>
        </w:rPr>
        <w:t xml:space="preserve">la Cámara de Representantes </w:t>
      </w:r>
    </w:p>
    <w:p w:rsidR="00004CBF" w:rsidRPr="00D85C08" w:rsidRDefault="00D85C08" w:rsidP="00FE15BB">
      <w:pPr>
        <w:spacing w:after="0" w:line="240" w:lineRule="auto"/>
        <w:jc w:val="both"/>
        <w:rPr>
          <w:rFonts w:ascii="Times New Roman" w:eastAsia="Times New Roman" w:hAnsi="Times New Roman" w:cs="Times New Roman"/>
          <w:sz w:val="28"/>
          <w:szCs w:val="28"/>
          <w:lang w:eastAsia="es-MX"/>
        </w:rPr>
      </w:pPr>
    </w:p>
    <w:p w:rsidR="00532A3C" w:rsidRPr="00D85C08" w:rsidRDefault="00D85C08" w:rsidP="00F255F1">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En los debates del texto y en su aprobación en la Comisión Segunda Constitucional Permanente y en la plenaria de</w:t>
      </w:r>
      <w:r w:rsidRPr="00D85C08">
        <w:rPr>
          <w:rFonts w:ascii="Times New Roman" w:hAnsi="Times New Roman" w:cs="Times New Roman"/>
          <w:sz w:val="28"/>
          <w:szCs w:val="28"/>
        </w:rPr>
        <w:t xml:space="preserve"> la Cámara de Representantes</w:t>
      </w:r>
      <w:r w:rsidRPr="00D85C08">
        <w:rPr>
          <w:rFonts w:ascii="Times New Roman" w:hAnsi="Times New Roman" w:cs="Times New Roman"/>
          <w:sz w:val="28"/>
          <w:szCs w:val="28"/>
        </w:rPr>
        <w:t xml:space="preserve">, se observaron las exigencias constitucionales y legales. </w:t>
      </w:r>
    </w:p>
    <w:p w:rsidR="00532A3C" w:rsidRPr="00D85C08" w:rsidRDefault="00D85C08" w:rsidP="00F255F1">
      <w:pPr>
        <w:spacing w:after="0" w:line="240" w:lineRule="auto"/>
        <w:contextualSpacing/>
        <w:jc w:val="both"/>
        <w:rPr>
          <w:rFonts w:ascii="Times New Roman" w:eastAsia="Times New Roman" w:hAnsi="Times New Roman" w:cs="Times New Roman"/>
          <w:sz w:val="28"/>
          <w:szCs w:val="28"/>
          <w:lang w:eastAsia="es-MX"/>
        </w:rPr>
      </w:pPr>
    </w:p>
    <w:p w:rsidR="00DE6CD5" w:rsidRPr="00D85C08" w:rsidRDefault="00D85C08" w:rsidP="00F255F1">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En efecto, en el </w:t>
      </w:r>
      <w:r w:rsidRPr="00D85C08">
        <w:rPr>
          <w:rFonts w:ascii="Times New Roman" w:hAnsi="Times New Roman" w:cs="Times New Roman"/>
          <w:sz w:val="28"/>
          <w:szCs w:val="28"/>
        </w:rPr>
        <w:t>tercer</w:t>
      </w:r>
      <w:r w:rsidRPr="00D85C08">
        <w:rPr>
          <w:rFonts w:ascii="Times New Roman" w:hAnsi="Times New Roman" w:cs="Times New Roman"/>
          <w:sz w:val="28"/>
          <w:szCs w:val="28"/>
        </w:rPr>
        <w:t xml:space="preserve"> debate, se cumplió con los deberes de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publicar el </w:t>
      </w:r>
      <w:r w:rsidRPr="00D85C08">
        <w:rPr>
          <w:rFonts w:ascii="Times New Roman" w:hAnsi="Times New Roman" w:cs="Times New Roman"/>
          <w:sz w:val="28"/>
          <w:szCs w:val="28"/>
        </w:rPr>
        <w:t>texto propuesto para tercer debate</w:t>
      </w:r>
      <w:r w:rsidRPr="00D85C08">
        <w:rPr>
          <w:rFonts w:ascii="Times New Roman" w:hAnsi="Times New Roman" w:cs="Times New Roman"/>
          <w:sz w:val="28"/>
          <w:vertAlign w:val="superscript"/>
          <w:lang w:eastAsia="es-ES"/>
        </w:rPr>
        <w:footnoteReference w:id="43"/>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anunciar el proyecto de ley antes de su discusión y votación</w:t>
      </w:r>
      <w:r w:rsidRPr="00D85C08">
        <w:rPr>
          <w:rFonts w:ascii="Times New Roman" w:hAnsi="Times New Roman" w:cs="Times New Roman"/>
          <w:sz w:val="28"/>
          <w:vertAlign w:val="superscript"/>
          <w:lang w:eastAsia="es-ES"/>
        </w:rPr>
        <w:footnoteReference w:id="44"/>
      </w:r>
      <w:r w:rsidRPr="00D85C08">
        <w:rPr>
          <w:rFonts w:ascii="Times New Roman" w:hAnsi="Times New Roman" w:cs="Times New Roman"/>
          <w:sz w:val="28"/>
          <w:szCs w:val="28"/>
        </w:rPr>
        <w:t xml:space="preserve"> y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efectuar su aprobación</w:t>
      </w:r>
      <w:r w:rsidRPr="00D85C08">
        <w:rPr>
          <w:rFonts w:ascii="Times New Roman" w:hAnsi="Times New Roman" w:cs="Times New Roman"/>
          <w:sz w:val="28"/>
          <w:vertAlign w:val="superscript"/>
          <w:lang w:eastAsia="es-ES"/>
        </w:rPr>
        <w:footnoteReference w:id="45"/>
      </w:r>
      <w:r w:rsidRPr="00D85C08">
        <w:rPr>
          <w:rFonts w:ascii="Times New Roman" w:hAnsi="Times New Roman" w:cs="Times New Roman"/>
          <w:sz w:val="28"/>
          <w:szCs w:val="28"/>
        </w:rPr>
        <w:t xml:space="preserve">. Por su parte, en el </w:t>
      </w:r>
      <w:r w:rsidRPr="00D85C08">
        <w:rPr>
          <w:rFonts w:ascii="Times New Roman" w:hAnsi="Times New Roman" w:cs="Times New Roman"/>
          <w:sz w:val="28"/>
          <w:szCs w:val="28"/>
        </w:rPr>
        <w:t>cuarto</w:t>
      </w:r>
      <w:r w:rsidRPr="00D85C08">
        <w:rPr>
          <w:rFonts w:ascii="Times New Roman" w:hAnsi="Times New Roman" w:cs="Times New Roman"/>
          <w:sz w:val="28"/>
          <w:szCs w:val="28"/>
        </w:rPr>
        <w:t xml:space="preserve"> debate, es decir, en la plenaria de</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l</w:t>
      </w:r>
      <w:r w:rsidRPr="00D85C08">
        <w:rPr>
          <w:rFonts w:ascii="Times New Roman" w:hAnsi="Times New Roman" w:cs="Times New Roman"/>
          <w:sz w:val="28"/>
          <w:szCs w:val="28"/>
        </w:rPr>
        <w:t>a C</w:t>
      </w:r>
      <w:r w:rsidRPr="00D85C08">
        <w:rPr>
          <w:rFonts w:ascii="Times New Roman" w:hAnsi="Times New Roman" w:cs="Times New Roman"/>
          <w:sz w:val="28"/>
          <w:szCs w:val="28"/>
        </w:rPr>
        <w:t>ámara de Representantes</w:t>
      </w:r>
      <w:r w:rsidRPr="00D85C08">
        <w:rPr>
          <w:rFonts w:ascii="Times New Roman" w:hAnsi="Times New Roman" w:cs="Times New Roman"/>
          <w:sz w:val="28"/>
          <w:szCs w:val="28"/>
        </w:rPr>
        <w:t xml:space="preserve">, se cumplió con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la publicación del informe de ponencia</w:t>
      </w:r>
      <w:r w:rsidRPr="00D85C08">
        <w:rPr>
          <w:rFonts w:ascii="Times New Roman" w:hAnsi="Times New Roman" w:cs="Times New Roman"/>
          <w:sz w:val="28"/>
          <w:vertAlign w:val="superscript"/>
          <w:lang w:eastAsia="es-ES"/>
        </w:rPr>
        <w:footnoteReference w:id="46"/>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el anuncio previo del proyecto de ley</w:t>
      </w:r>
      <w:r w:rsidRPr="00D85C08">
        <w:rPr>
          <w:rFonts w:ascii="Times New Roman" w:hAnsi="Times New Roman" w:cs="Times New Roman"/>
          <w:sz w:val="28"/>
          <w:vertAlign w:val="superscript"/>
          <w:lang w:eastAsia="es-ES"/>
        </w:rPr>
        <w:footnoteReference w:id="47"/>
      </w:r>
      <w:r w:rsidRPr="00D85C08">
        <w:rPr>
          <w:rFonts w:ascii="Times New Roman" w:hAnsi="Times New Roman" w:cs="Times New Roman"/>
          <w:sz w:val="28"/>
          <w:szCs w:val="28"/>
        </w:rPr>
        <w:t xml:space="preserve"> y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el debate y aprobación</w:t>
      </w:r>
      <w:r w:rsidRPr="00D85C08">
        <w:rPr>
          <w:rFonts w:ascii="Times New Roman" w:hAnsi="Times New Roman" w:cs="Times New Roman"/>
          <w:sz w:val="28"/>
          <w:vertAlign w:val="superscript"/>
          <w:lang w:eastAsia="es-ES"/>
        </w:rPr>
        <w:footnoteReference w:id="48"/>
      </w:r>
      <w:r w:rsidRPr="00D85C08">
        <w:rPr>
          <w:rFonts w:ascii="Times New Roman" w:hAnsi="Times New Roman" w:cs="Times New Roman"/>
          <w:sz w:val="28"/>
          <w:szCs w:val="28"/>
        </w:rPr>
        <w:t xml:space="preserve">. </w:t>
      </w:r>
    </w:p>
    <w:p w:rsidR="00DE6CD5" w:rsidRPr="00D85C08" w:rsidRDefault="00D85C08" w:rsidP="00DE6CD5">
      <w:pPr>
        <w:spacing w:after="0" w:line="240" w:lineRule="auto"/>
        <w:contextualSpacing/>
        <w:jc w:val="both"/>
        <w:rPr>
          <w:rFonts w:ascii="Times New Roman" w:eastAsia="Times New Roman" w:hAnsi="Times New Roman" w:cs="Times New Roman"/>
          <w:sz w:val="28"/>
          <w:szCs w:val="28"/>
          <w:lang w:eastAsia="es-MX"/>
        </w:rPr>
      </w:pPr>
    </w:p>
    <w:p w:rsidR="00DE6CD5" w:rsidRPr="00D85C08" w:rsidRDefault="00D85C08" w:rsidP="00F255F1">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El trámite que se surtió tanto en la Comisión Segunda Constitucional Permanente como en la Sesi</w:t>
      </w:r>
      <w:r w:rsidRPr="00D85C08">
        <w:rPr>
          <w:rFonts w:ascii="Times New Roman" w:hAnsi="Times New Roman" w:cs="Times New Roman"/>
          <w:sz w:val="28"/>
          <w:szCs w:val="28"/>
        </w:rPr>
        <w:t>ón Plenaria de</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l</w:t>
      </w:r>
      <w:r w:rsidRPr="00D85C08">
        <w:rPr>
          <w:rFonts w:ascii="Times New Roman" w:hAnsi="Times New Roman" w:cs="Times New Roman"/>
          <w:sz w:val="28"/>
          <w:szCs w:val="28"/>
        </w:rPr>
        <w:t>a</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Cámara de Representantes</w:t>
      </w:r>
      <w:r w:rsidRPr="00D85C08">
        <w:rPr>
          <w:rFonts w:ascii="Times New Roman" w:hAnsi="Times New Roman" w:cs="Times New Roman"/>
          <w:sz w:val="28"/>
          <w:szCs w:val="28"/>
        </w:rPr>
        <w:t xml:space="preserve"> puede resumirse en las actas de las sesiones y en las gacetas respectivas del Congreso, así: </w:t>
      </w:r>
    </w:p>
    <w:p w:rsidR="00DE6CD5" w:rsidRPr="00D85C08" w:rsidRDefault="00D85C08" w:rsidP="00DE6CD5">
      <w:pPr>
        <w:spacing w:after="0" w:line="240" w:lineRule="auto"/>
        <w:contextualSpacing/>
        <w:jc w:val="both"/>
        <w:rPr>
          <w:rFonts w:ascii="Times New Roman" w:eastAsia="Times New Roman" w:hAnsi="Times New Roman" w:cs="Times New Roman"/>
          <w:sz w:val="28"/>
          <w:szCs w:val="28"/>
          <w:lang w:eastAsia="es-MX"/>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6"/>
        <w:gridCol w:w="1701"/>
        <w:gridCol w:w="1701"/>
        <w:gridCol w:w="1701"/>
        <w:gridCol w:w="1701"/>
      </w:tblGrid>
      <w:tr w:rsidR="00F17D23" w:rsidRPr="00D85C08" w:rsidTr="00FE416D">
        <w:trPr>
          <w:jc w:val="center"/>
        </w:trPr>
        <w:tc>
          <w:tcPr>
            <w:tcW w:w="2856" w:type="dxa"/>
            <w:vAlign w:val="center"/>
          </w:tcPr>
          <w:p w:rsidR="00F17D23" w:rsidRPr="00D85C08" w:rsidRDefault="00D85C08" w:rsidP="00A26323">
            <w:pPr>
              <w:spacing w:after="0" w:line="240" w:lineRule="auto"/>
              <w:jc w:val="center"/>
              <w:rPr>
                <w:rFonts w:ascii="Times New Roman" w:eastAsia="Times New Roman" w:hAnsi="Times New Roman" w:cs="Times New Roman"/>
                <w:b/>
                <w:sz w:val="28"/>
                <w:szCs w:val="24"/>
                <w:lang w:eastAsia="es-MX"/>
              </w:rPr>
            </w:pPr>
          </w:p>
        </w:tc>
        <w:tc>
          <w:tcPr>
            <w:tcW w:w="1701" w:type="dxa"/>
            <w:vAlign w:val="center"/>
          </w:tcPr>
          <w:p w:rsidR="00F17D23" w:rsidRPr="00D85C08" w:rsidRDefault="00D85C08" w:rsidP="00A26323">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Ponencia</w:t>
            </w:r>
          </w:p>
        </w:tc>
        <w:tc>
          <w:tcPr>
            <w:tcW w:w="1701" w:type="dxa"/>
            <w:vAlign w:val="center"/>
          </w:tcPr>
          <w:p w:rsidR="00F17D23" w:rsidRPr="00D85C08" w:rsidRDefault="00D85C08" w:rsidP="00A26323">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Último anuncio</w:t>
            </w:r>
          </w:p>
        </w:tc>
        <w:tc>
          <w:tcPr>
            <w:tcW w:w="1701" w:type="dxa"/>
            <w:vAlign w:val="center"/>
          </w:tcPr>
          <w:p w:rsidR="00F17D23" w:rsidRPr="00D85C08" w:rsidRDefault="00D85C08" w:rsidP="00A26323">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Votación</w:t>
            </w:r>
          </w:p>
        </w:tc>
        <w:tc>
          <w:tcPr>
            <w:tcW w:w="1701" w:type="dxa"/>
            <w:vAlign w:val="center"/>
          </w:tcPr>
          <w:p w:rsidR="00F17D23" w:rsidRPr="00D85C08" w:rsidRDefault="00D85C08" w:rsidP="00A26323">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Publicación</w:t>
            </w:r>
          </w:p>
          <w:p w:rsidR="00F17D23" w:rsidRPr="00D85C08" w:rsidRDefault="00D85C08" w:rsidP="00A26323">
            <w:pPr>
              <w:spacing w:after="0" w:line="240" w:lineRule="auto"/>
              <w:jc w:val="center"/>
              <w:rPr>
                <w:rFonts w:ascii="Times New Roman" w:eastAsia="Times New Roman" w:hAnsi="Times New Roman" w:cs="Times New Roman"/>
                <w:b/>
                <w:sz w:val="28"/>
                <w:szCs w:val="24"/>
                <w:lang w:eastAsia="es-MX"/>
              </w:rPr>
            </w:pPr>
            <w:r w:rsidRPr="00D85C08">
              <w:rPr>
                <w:rFonts w:ascii="Times New Roman" w:eastAsia="Times New Roman" w:hAnsi="Times New Roman" w:cs="Times New Roman"/>
                <w:b/>
                <w:sz w:val="28"/>
                <w:szCs w:val="24"/>
                <w:lang w:eastAsia="es-MX"/>
              </w:rPr>
              <w:t>del texto aprobado</w:t>
            </w:r>
          </w:p>
        </w:tc>
      </w:tr>
      <w:tr w:rsidR="00F17D23" w:rsidRPr="00D85C08" w:rsidTr="00FE416D">
        <w:trPr>
          <w:trHeight w:val="2118"/>
          <w:jc w:val="center"/>
        </w:trPr>
        <w:tc>
          <w:tcPr>
            <w:tcW w:w="2856" w:type="dxa"/>
            <w:vAlign w:val="center"/>
          </w:tcPr>
          <w:p w:rsidR="00F17D23" w:rsidRPr="00D85C08" w:rsidRDefault="00D85C08" w:rsidP="00A26323">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Primer debate (Comisión)</w:t>
            </w:r>
          </w:p>
        </w:tc>
        <w:tc>
          <w:tcPr>
            <w:tcW w:w="1701" w:type="dxa"/>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Gaceta del Congreso 1401 </w:t>
            </w:r>
            <w:r w:rsidRPr="00D85C08">
              <w:rPr>
                <w:rFonts w:ascii="Times New Roman" w:eastAsia="Times New Roman" w:hAnsi="Times New Roman" w:cs="Times New Roman"/>
                <w:sz w:val="28"/>
                <w:szCs w:val="24"/>
                <w:lang w:eastAsia="es-MX"/>
              </w:rPr>
              <w:t>del 10 de noviembre de 2022</w:t>
            </w:r>
          </w:p>
        </w:tc>
        <w:tc>
          <w:tcPr>
            <w:tcW w:w="1701" w:type="dxa"/>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Acta n.° 12 del 22 de noviembre de 2022, publicada en la Gaceta del Congreso </w:t>
            </w:r>
            <w:r w:rsidRPr="00D85C08">
              <w:rPr>
                <w:rFonts w:ascii="Times New Roman" w:eastAsia="Times New Roman" w:hAnsi="Times New Roman" w:cs="Times New Roman"/>
                <w:sz w:val="28"/>
                <w:szCs w:val="24"/>
                <w:lang w:eastAsia="es-MX"/>
              </w:rPr>
              <w:t>465 del 10 de mayo de 2023</w:t>
            </w:r>
          </w:p>
        </w:tc>
        <w:tc>
          <w:tcPr>
            <w:tcW w:w="1701" w:type="dxa"/>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Acta n.° 13 del 23 de noviembre de 2022, publicada en la </w:t>
            </w:r>
            <w:r w:rsidRPr="00D85C08">
              <w:rPr>
                <w:rFonts w:ascii="Times New Roman" w:eastAsia="Times New Roman" w:hAnsi="Times New Roman" w:cs="Times New Roman"/>
                <w:sz w:val="28"/>
                <w:szCs w:val="24"/>
                <w:lang w:eastAsia="es-MX"/>
              </w:rPr>
              <w:t>Gaceta del Congreso 465 del 10 de mayo de 2023</w:t>
            </w:r>
          </w:p>
        </w:tc>
        <w:tc>
          <w:tcPr>
            <w:tcW w:w="1701" w:type="dxa"/>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hAnsi="Times New Roman" w:cs="Times New Roman"/>
                <w:sz w:val="28"/>
                <w:szCs w:val="24"/>
              </w:rPr>
              <w:t xml:space="preserve">Gaceta del Congreso </w:t>
            </w:r>
            <w:r w:rsidRPr="00D85C08">
              <w:rPr>
                <w:rFonts w:ascii="Times New Roman" w:hAnsi="Times New Roman" w:cs="Times New Roman"/>
                <w:sz w:val="28"/>
                <w:szCs w:val="24"/>
              </w:rPr>
              <w:t>1567 del 2 de diciembre de 2022</w:t>
            </w:r>
          </w:p>
        </w:tc>
      </w:tr>
      <w:tr w:rsidR="00F17D23" w:rsidRPr="00D85C08" w:rsidTr="00FE416D">
        <w:trPr>
          <w:trHeight w:val="274"/>
          <w:jc w:val="center"/>
        </w:trPr>
        <w:tc>
          <w:tcPr>
            <w:tcW w:w="2856" w:type="dxa"/>
            <w:vAlign w:val="center"/>
          </w:tcPr>
          <w:p w:rsidR="00F17D23" w:rsidRPr="00D85C08" w:rsidRDefault="00D85C08" w:rsidP="00A26323">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Segundo debate (Plenaria)</w:t>
            </w:r>
          </w:p>
        </w:tc>
        <w:tc>
          <w:tcPr>
            <w:tcW w:w="1701" w:type="dxa"/>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hAnsi="Times New Roman" w:cs="Times New Roman"/>
                <w:sz w:val="28"/>
                <w:szCs w:val="24"/>
              </w:rPr>
              <w:t>Gaceta del Congreso 1567 del 2 de diciembre de 2022</w:t>
            </w:r>
          </w:p>
        </w:tc>
        <w:tc>
          <w:tcPr>
            <w:tcW w:w="1701" w:type="dxa"/>
            <w:shd w:val="clear" w:color="auto" w:fill="auto"/>
          </w:tcPr>
          <w:p w:rsidR="00F17D23" w:rsidRPr="00D85C08" w:rsidRDefault="00D85C08" w:rsidP="00DC52EF">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Acta n.° </w:t>
            </w:r>
            <w:r w:rsidRPr="00D85C08">
              <w:rPr>
                <w:rFonts w:ascii="Times New Roman" w:eastAsia="Times New Roman" w:hAnsi="Times New Roman" w:cs="Times New Roman"/>
                <w:sz w:val="28"/>
                <w:szCs w:val="24"/>
                <w:lang w:eastAsia="es-MX"/>
              </w:rPr>
              <w:t>3</w:t>
            </w:r>
            <w:r w:rsidRPr="00D85C08">
              <w:rPr>
                <w:rFonts w:ascii="Times New Roman" w:eastAsia="Times New Roman" w:hAnsi="Times New Roman" w:cs="Times New Roman"/>
                <w:sz w:val="28"/>
                <w:szCs w:val="24"/>
                <w:lang w:eastAsia="es-MX"/>
              </w:rPr>
              <w:t xml:space="preserve">9 del </w:t>
            </w:r>
            <w:r w:rsidRPr="00D85C08">
              <w:rPr>
                <w:rFonts w:ascii="Times New Roman" w:eastAsia="Times New Roman" w:hAnsi="Times New Roman" w:cs="Times New Roman"/>
                <w:sz w:val="28"/>
                <w:szCs w:val="24"/>
                <w:lang w:eastAsia="es-MX"/>
              </w:rPr>
              <w:t>13</w:t>
            </w:r>
            <w:r w:rsidRPr="00D85C08">
              <w:rPr>
                <w:rFonts w:ascii="Times New Roman" w:eastAsia="Times New Roman" w:hAnsi="Times New Roman" w:cs="Times New Roman"/>
                <w:sz w:val="28"/>
                <w:szCs w:val="24"/>
                <w:lang w:eastAsia="es-MX"/>
              </w:rPr>
              <w:t xml:space="preserve"> de </w:t>
            </w:r>
            <w:r w:rsidRPr="00D85C08">
              <w:rPr>
                <w:rFonts w:ascii="Times New Roman" w:eastAsia="Times New Roman" w:hAnsi="Times New Roman" w:cs="Times New Roman"/>
                <w:sz w:val="28"/>
                <w:szCs w:val="24"/>
                <w:lang w:eastAsia="es-MX"/>
              </w:rPr>
              <w:t>dic</w:t>
            </w:r>
            <w:r w:rsidRPr="00D85C08">
              <w:rPr>
                <w:rFonts w:ascii="Times New Roman" w:eastAsia="Times New Roman" w:hAnsi="Times New Roman" w:cs="Times New Roman"/>
                <w:sz w:val="28"/>
                <w:szCs w:val="24"/>
                <w:lang w:eastAsia="es-MX"/>
              </w:rPr>
              <w:t xml:space="preserve">iembre de 2022, publicada en la Gaceta del </w:t>
            </w:r>
            <w:r w:rsidRPr="00D85C08">
              <w:rPr>
                <w:rFonts w:ascii="Times New Roman" w:eastAsia="Times New Roman" w:hAnsi="Times New Roman" w:cs="Times New Roman"/>
                <w:sz w:val="28"/>
                <w:szCs w:val="24"/>
                <w:lang w:eastAsia="es-MX"/>
              </w:rPr>
              <w:t>Congreso 256</w:t>
            </w:r>
            <w:r w:rsidRPr="00D85C08">
              <w:rPr>
                <w:rFonts w:ascii="Times New Roman" w:eastAsia="Times New Roman" w:hAnsi="Times New Roman" w:cs="Times New Roman"/>
                <w:sz w:val="28"/>
                <w:szCs w:val="24"/>
                <w:lang w:eastAsia="es-MX"/>
              </w:rPr>
              <w:t xml:space="preserve"> </w:t>
            </w:r>
            <w:r w:rsidRPr="00D85C08">
              <w:rPr>
                <w:rFonts w:ascii="Times New Roman" w:eastAsia="Times New Roman" w:hAnsi="Times New Roman" w:cs="Times New Roman"/>
                <w:sz w:val="28"/>
                <w:szCs w:val="24"/>
                <w:lang w:eastAsia="es-MX"/>
              </w:rPr>
              <w:t>del 29 de marzo de 2023</w:t>
            </w:r>
          </w:p>
        </w:tc>
        <w:tc>
          <w:tcPr>
            <w:tcW w:w="1701" w:type="dxa"/>
            <w:shd w:val="clear" w:color="auto" w:fill="auto"/>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eastAsia="Times New Roman" w:hAnsi="Times New Roman" w:cs="Times New Roman"/>
                <w:sz w:val="28"/>
                <w:szCs w:val="24"/>
                <w:lang w:eastAsia="es-MX"/>
              </w:rPr>
              <w:t xml:space="preserve">Acta n.° </w:t>
            </w:r>
            <w:r w:rsidRPr="00D85C08">
              <w:rPr>
                <w:rFonts w:ascii="Times New Roman" w:eastAsia="Times New Roman" w:hAnsi="Times New Roman" w:cs="Times New Roman"/>
                <w:sz w:val="28"/>
                <w:szCs w:val="24"/>
                <w:lang w:eastAsia="es-MX"/>
              </w:rPr>
              <w:t>4</w:t>
            </w:r>
            <w:r w:rsidRPr="00D85C08">
              <w:rPr>
                <w:rFonts w:ascii="Times New Roman" w:eastAsia="Times New Roman" w:hAnsi="Times New Roman" w:cs="Times New Roman"/>
                <w:sz w:val="28"/>
                <w:szCs w:val="24"/>
                <w:lang w:eastAsia="es-MX"/>
              </w:rPr>
              <w:t xml:space="preserve">0 del </w:t>
            </w:r>
            <w:r w:rsidRPr="00D85C08">
              <w:rPr>
                <w:rFonts w:ascii="Times New Roman" w:eastAsia="Times New Roman" w:hAnsi="Times New Roman" w:cs="Times New Roman"/>
                <w:sz w:val="28"/>
                <w:szCs w:val="24"/>
                <w:lang w:eastAsia="es-MX"/>
              </w:rPr>
              <w:t>14</w:t>
            </w:r>
            <w:r w:rsidRPr="00D85C08">
              <w:rPr>
                <w:rFonts w:ascii="Times New Roman" w:eastAsia="Times New Roman" w:hAnsi="Times New Roman" w:cs="Times New Roman"/>
                <w:sz w:val="28"/>
                <w:szCs w:val="24"/>
                <w:lang w:eastAsia="es-MX"/>
              </w:rPr>
              <w:t xml:space="preserve"> de </w:t>
            </w:r>
            <w:r w:rsidRPr="00D85C08">
              <w:rPr>
                <w:rFonts w:ascii="Times New Roman" w:eastAsia="Times New Roman" w:hAnsi="Times New Roman" w:cs="Times New Roman"/>
                <w:sz w:val="28"/>
                <w:szCs w:val="24"/>
                <w:lang w:eastAsia="es-MX"/>
              </w:rPr>
              <w:t>dic</w:t>
            </w:r>
            <w:r w:rsidRPr="00D85C08">
              <w:rPr>
                <w:rFonts w:ascii="Times New Roman" w:eastAsia="Times New Roman" w:hAnsi="Times New Roman" w:cs="Times New Roman"/>
                <w:sz w:val="28"/>
                <w:szCs w:val="24"/>
                <w:lang w:eastAsia="es-MX"/>
              </w:rPr>
              <w:t>iembre de 2022,</w:t>
            </w:r>
            <w:r w:rsidRPr="00D85C08">
              <w:rPr>
                <w:rFonts w:ascii="Times New Roman" w:eastAsia="Times New Roman" w:hAnsi="Times New Roman" w:cs="Times New Roman"/>
                <w:sz w:val="28"/>
                <w:szCs w:val="24"/>
                <w:lang w:eastAsia="es-MX"/>
              </w:rPr>
              <w:t xml:space="preserve"> publicada en la Gaceta del Congreso 1</w:t>
            </w:r>
            <w:r w:rsidRPr="00D85C08">
              <w:rPr>
                <w:rFonts w:ascii="Times New Roman" w:eastAsia="Times New Roman" w:hAnsi="Times New Roman" w:cs="Times New Roman"/>
                <w:sz w:val="28"/>
                <w:szCs w:val="24"/>
                <w:lang w:eastAsia="es-MX"/>
              </w:rPr>
              <w:t>51</w:t>
            </w:r>
            <w:r w:rsidRPr="00D85C08">
              <w:rPr>
                <w:rFonts w:ascii="Times New Roman" w:eastAsia="Times New Roman" w:hAnsi="Times New Roman" w:cs="Times New Roman"/>
                <w:sz w:val="28"/>
                <w:szCs w:val="24"/>
                <w:lang w:eastAsia="es-MX"/>
              </w:rPr>
              <w:t xml:space="preserve"> del 1</w:t>
            </w:r>
            <w:r w:rsidRPr="00D85C08">
              <w:rPr>
                <w:rFonts w:ascii="Times New Roman" w:eastAsia="Times New Roman" w:hAnsi="Times New Roman" w:cs="Times New Roman"/>
                <w:sz w:val="28"/>
                <w:szCs w:val="24"/>
                <w:lang w:eastAsia="es-MX"/>
              </w:rPr>
              <w:t>4</w:t>
            </w:r>
            <w:r w:rsidRPr="00D85C08">
              <w:rPr>
                <w:rFonts w:ascii="Times New Roman" w:eastAsia="Times New Roman" w:hAnsi="Times New Roman" w:cs="Times New Roman"/>
                <w:sz w:val="28"/>
                <w:szCs w:val="24"/>
                <w:lang w:eastAsia="es-MX"/>
              </w:rPr>
              <w:t xml:space="preserve"> de </w:t>
            </w:r>
            <w:r w:rsidRPr="00D85C08">
              <w:rPr>
                <w:rFonts w:ascii="Times New Roman" w:eastAsia="Times New Roman" w:hAnsi="Times New Roman" w:cs="Times New Roman"/>
                <w:sz w:val="28"/>
                <w:szCs w:val="24"/>
                <w:lang w:eastAsia="es-MX"/>
              </w:rPr>
              <w:t>marzo</w:t>
            </w:r>
            <w:r w:rsidRPr="00D85C08">
              <w:rPr>
                <w:rFonts w:ascii="Times New Roman" w:eastAsia="Times New Roman" w:hAnsi="Times New Roman" w:cs="Times New Roman"/>
                <w:sz w:val="28"/>
                <w:szCs w:val="24"/>
                <w:lang w:eastAsia="es-MX"/>
              </w:rPr>
              <w:t xml:space="preserve"> de 202</w:t>
            </w:r>
            <w:r w:rsidRPr="00D85C08">
              <w:rPr>
                <w:rFonts w:ascii="Times New Roman" w:eastAsia="Times New Roman" w:hAnsi="Times New Roman" w:cs="Times New Roman"/>
                <w:sz w:val="28"/>
                <w:szCs w:val="24"/>
                <w:lang w:eastAsia="es-MX"/>
              </w:rPr>
              <w:t>3</w:t>
            </w:r>
          </w:p>
        </w:tc>
        <w:tc>
          <w:tcPr>
            <w:tcW w:w="1701" w:type="dxa"/>
          </w:tcPr>
          <w:p w:rsidR="00F17D23" w:rsidRPr="00D85C08" w:rsidRDefault="00D85C08" w:rsidP="008F1EA9">
            <w:pPr>
              <w:spacing w:after="0" w:line="240" w:lineRule="auto"/>
              <w:jc w:val="center"/>
              <w:rPr>
                <w:rFonts w:ascii="Times New Roman" w:eastAsia="Times New Roman" w:hAnsi="Times New Roman" w:cs="Times New Roman"/>
                <w:sz w:val="28"/>
                <w:szCs w:val="24"/>
                <w:lang w:eastAsia="es-MX"/>
              </w:rPr>
            </w:pPr>
            <w:r w:rsidRPr="00D85C08">
              <w:rPr>
                <w:rFonts w:ascii="Times New Roman" w:hAnsi="Times New Roman" w:cs="Times New Roman"/>
                <w:sz w:val="28"/>
                <w:szCs w:val="24"/>
              </w:rPr>
              <w:t xml:space="preserve">Gaceta del Congreso </w:t>
            </w:r>
            <w:r w:rsidRPr="00D85C08">
              <w:rPr>
                <w:rFonts w:ascii="Times New Roman" w:eastAsia="Times New Roman" w:hAnsi="Times New Roman" w:cs="Times New Roman"/>
                <w:sz w:val="28"/>
                <w:szCs w:val="24"/>
                <w:lang w:eastAsia="es-MX"/>
              </w:rPr>
              <w:t>1736 del 29 de diciembre de 2022</w:t>
            </w:r>
          </w:p>
        </w:tc>
      </w:tr>
    </w:tbl>
    <w:p w:rsidR="00532A3C" w:rsidRPr="00D85C08" w:rsidRDefault="00D85C08" w:rsidP="00FE15BB">
      <w:pPr>
        <w:spacing w:after="0" w:line="240" w:lineRule="auto"/>
        <w:jc w:val="both"/>
        <w:rPr>
          <w:rFonts w:ascii="Times New Roman" w:eastAsia="Times New Roman" w:hAnsi="Times New Roman" w:cs="Times New Roman"/>
          <w:sz w:val="28"/>
          <w:szCs w:val="28"/>
          <w:lang w:eastAsia="es-MX"/>
        </w:rPr>
      </w:pPr>
    </w:p>
    <w:p w:rsidR="00FE416D" w:rsidRPr="00D85C08" w:rsidRDefault="00D85C08" w:rsidP="00E54CDC">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En los debates y en la aprobación del proyecto de ley, tanto en la Comisión Segunda Constitucional Pe</w:t>
      </w:r>
      <w:r w:rsidRPr="00D85C08">
        <w:rPr>
          <w:rFonts w:ascii="Times New Roman" w:hAnsi="Times New Roman" w:cs="Times New Roman"/>
          <w:sz w:val="28"/>
          <w:szCs w:val="28"/>
        </w:rPr>
        <w:t xml:space="preserve">rmanente como en la plenaria de la </w:t>
      </w:r>
      <w:r w:rsidRPr="00D85C08">
        <w:rPr>
          <w:rFonts w:ascii="Times New Roman" w:hAnsi="Times New Roman" w:cs="Times New Roman"/>
          <w:sz w:val="28"/>
          <w:szCs w:val="28"/>
        </w:rPr>
        <w:t>Cámara de Representantes</w:t>
      </w:r>
      <w:r w:rsidRPr="00D85C08">
        <w:rPr>
          <w:rFonts w:ascii="Times New Roman" w:hAnsi="Times New Roman" w:cs="Times New Roman"/>
          <w:sz w:val="28"/>
          <w:szCs w:val="28"/>
        </w:rPr>
        <w:t xml:space="preserve">, se dio cumplimiento a las exigencias sobre </w:t>
      </w:r>
      <w:r w:rsidRPr="00D85C08">
        <w:rPr>
          <w:rFonts w:ascii="Times New Roman" w:hAnsi="Times New Roman" w:cs="Times New Roman"/>
          <w:i/>
          <w:iCs/>
          <w:sz w:val="28"/>
          <w:szCs w:val="28"/>
        </w:rPr>
        <w:t xml:space="preserve">quorum </w:t>
      </w:r>
      <w:r w:rsidRPr="00D85C08">
        <w:rPr>
          <w:rFonts w:ascii="Times New Roman" w:hAnsi="Times New Roman" w:cs="Times New Roman"/>
          <w:sz w:val="28"/>
          <w:szCs w:val="28"/>
        </w:rPr>
        <w:t xml:space="preserve">deliberatorio y decisorio, de conformidad con lo dispuesto en el artículo 145 de la Constitución. Además, mediante votación nominal y pública, en los términos del artículo 133 </w:t>
      </w:r>
      <w:r w:rsidRPr="00D85C08">
        <w:rPr>
          <w:rFonts w:ascii="Times New Roman" w:hAnsi="Times New Roman" w:cs="Times New Roman"/>
          <w:i/>
          <w:iCs/>
          <w:sz w:val="28"/>
          <w:szCs w:val="28"/>
        </w:rPr>
        <w:t>ejus</w:t>
      </w:r>
      <w:r w:rsidRPr="00D85C08">
        <w:rPr>
          <w:rFonts w:ascii="Times New Roman" w:hAnsi="Times New Roman" w:cs="Times New Roman"/>
          <w:i/>
          <w:iCs/>
          <w:sz w:val="28"/>
          <w:szCs w:val="28"/>
        </w:rPr>
        <w:t>dem</w:t>
      </w:r>
      <w:r w:rsidRPr="00D85C08">
        <w:rPr>
          <w:rFonts w:ascii="Times New Roman" w:hAnsi="Times New Roman" w:cs="Times New Roman"/>
          <w:sz w:val="28"/>
          <w:szCs w:val="28"/>
        </w:rPr>
        <w:t>, se aprobaron la proposición final con que terminaba el informe de ponencia, el articulado del proyecto, el título del proyecto, como se indica a continuación:</w:t>
      </w:r>
    </w:p>
    <w:p w:rsidR="00532A3C" w:rsidRPr="00D85C08" w:rsidRDefault="00D85C08" w:rsidP="00FE15BB">
      <w:pPr>
        <w:spacing w:after="0" w:line="240" w:lineRule="auto"/>
        <w:jc w:val="both"/>
        <w:rPr>
          <w:rFonts w:ascii="Times New Roman" w:eastAsia="Times New Roman" w:hAnsi="Times New Roman" w:cs="Times New Roman"/>
          <w:sz w:val="28"/>
          <w:szCs w:val="28"/>
          <w:lang w:eastAsia="es-MX"/>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5"/>
        <w:gridCol w:w="539"/>
        <w:gridCol w:w="712"/>
        <w:gridCol w:w="709"/>
        <w:gridCol w:w="572"/>
        <w:gridCol w:w="567"/>
        <w:gridCol w:w="567"/>
        <w:gridCol w:w="637"/>
        <w:gridCol w:w="61"/>
        <w:gridCol w:w="576"/>
        <w:gridCol w:w="570"/>
        <w:gridCol w:w="573"/>
        <w:gridCol w:w="635"/>
        <w:gridCol w:w="68"/>
        <w:gridCol w:w="567"/>
      </w:tblGrid>
      <w:tr w:rsidR="00FE416D" w:rsidRPr="00D85C08" w:rsidTr="00284D82">
        <w:trPr>
          <w:jc w:val="center"/>
        </w:trPr>
        <w:tc>
          <w:tcPr>
            <w:tcW w:w="2565" w:type="dxa"/>
          </w:tcPr>
          <w:p w:rsidR="00FE416D" w:rsidRPr="00D85C08" w:rsidRDefault="00D85C08" w:rsidP="00A26323">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Cámara de Representantes</w:t>
            </w:r>
          </w:p>
        </w:tc>
        <w:tc>
          <w:tcPr>
            <w:tcW w:w="2532" w:type="dxa"/>
            <w:gridSpan w:val="4"/>
          </w:tcPr>
          <w:p w:rsidR="00FE416D"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Proposición final</w:t>
            </w:r>
          </w:p>
        </w:tc>
        <w:tc>
          <w:tcPr>
            <w:tcW w:w="2408" w:type="dxa"/>
            <w:gridSpan w:val="5"/>
          </w:tcPr>
          <w:p w:rsidR="00FE416D"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Articulado</w:t>
            </w:r>
          </w:p>
        </w:tc>
        <w:tc>
          <w:tcPr>
            <w:tcW w:w="2413" w:type="dxa"/>
            <w:gridSpan w:val="5"/>
          </w:tcPr>
          <w:p w:rsidR="00FE416D" w:rsidRPr="00D85C08" w:rsidRDefault="00D85C08" w:rsidP="00586010">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 xml:space="preserve">Título e intención </w:t>
            </w:r>
            <w:r w:rsidRPr="00D85C08">
              <w:rPr>
                <w:rFonts w:ascii="Times New Roman" w:eastAsia="Times New Roman" w:hAnsi="Times New Roman" w:cs="Times New Roman"/>
                <w:b/>
                <w:sz w:val="28"/>
                <w:lang w:eastAsia="es-ES"/>
              </w:rPr>
              <w:t>para segundo debat</w:t>
            </w:r>
            <w:r w:rsidRPr="00D85C08">
              <w:rPr>
                <w:rFonts w:ascii="Times New Roman" w:eastAsia="Times New Roman" w:hAnsi="Times New Roman" w:cs="Times New Roman"/>
                <w:b/>
                <w:sz w:val="28"/>
                <w:lang w:eastAsia="es-ES"/>
              </w:rPr>
              <w:t>e</w:t>
            </w:r>
          </w:p>
        </w:tc>
      </w:tr>
      <w:tr w:rsidR="00FE416D" w:rsidRPr="00D85C08" w:rsidTr="00284D82">
        <w:trPr>
          <w:trHeight w:val="439"/>
          <w:jc w:val="center"/>
        </w:trPr>
        <w:tc>
          <w:tcPr>
            <w:tcW w:w="2565" w:type="dxa"/>
            <w:vMerge w:val="restart"/>
          </w:tcPr>
          <w:p w:rsidR="00FE416D" w:rsidRPr="00D85C08" w:rsidRDefault="00D85C08" w:rsidP="00A26323">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Debate en la Comisión</w:t>
            </w:r>
            <w:r w:rsidRPr="00D85C08">
              <w:rPr>
                <w:rFonts w:ascii="Times New Roman" w:hAnsi="Times New Roman" w:cs="Times New Roman"/>
                <w:b/>
                <w:sz w:val="28"/>
              </w:rPr>
              <w:t xml:space="preserve"> </w:t>
            </w:r>
            <w:r w:rsidRPr="00D85C08">
              <w:rPr>
                <w:rFonts w:ascii="Times New Roman" w:eastAsia="Times New Roman" w:hAnsi="Times New Roman" w:cs="Times New Roman"/>
                <w:b/>
                <w:sz w:val="28"/>
                <w:lang w:eastAsia="es-ES"/>
              </w:rPr>
              <w:t xml:space="preserve">Segunda Constitucional Permanente </w:t>
            </w:r>
          </w:p>
          <w:p w:rsidR="00FE416D" w:rsidRPr="00D85C08" w:rsidRDefault="00D85C08" w:rsidP="001753A7">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w:t>
            </w:r>
            <w:r w:rsidRPr="00D85C08">
              <w:rPr>
                <w:rFonts w:ascii="Times New Roman" w:eastAsia="Times New Roman" w:hAnsi="Times New Roman" w:cs="Times New Roman"/>
                <w:b/>
                <w:sz w:val="28"/>
                <w:lang w:eastAsia="es-MX"/>
              </w:rPr>
              <w:t>Acta n.° 1</w:t>
            </w:r>
            <w:r w:rsidRPr="00D85C08">
              <w:rPr>
                <w:rFonts w:ascii="Times New Roman" w:eastAsia="Times New Roman" w:hAnsi="Times New Roman" w:cs="Times New Roman"/>
                <w:b/>
                <w:sz w:val="28"/>
                <w:lang w:eastAsia="es-MX"/>
              </w:rPr>
              <w:t>3</w:t>
            </w:r>
            <w:r w:rsidRPr="00D85C08">
              <w:rPr>
                <w:rFonts w:ascii="Times New Roman" w:eastAsia="Times New Roman" w:hAnsi="Times New Roman" w:cs="Times New Roman"/>
                <w:b/>
                <w:sz w:val="28"/>
                <w:lang w:eastAsia="es-MX"/>
              </w:rPr>
              <w:t xml:space="preserve"> del </w:t>
            </w:r>
            <w:r w:rsidRPr="00D85C08">
              <w:rPr>
                <w:rFonts w:ascii="Times New Roman" w:eastAsia="Times New Roman" w:hAnsi="Times New Roman" w:cs="Times New Roman"/>
                <w:b/>
                <w:sz w:val="28"/>
                <w:lang w:eastAsia="es-MX"/>
              </w:rPr>
              <w:t>14</w:t>
            </w:r>
            <w:r w:rsidRPr="00D85C08">
              <w:rPr>
                <w:rFonts w:ascii="Times New Roman" w:eastAsia="Times New Roman" w:hAnsi="Times New Roman" w:cs="Times New Roman"/>
                <w:b/>
                <w:sz w:val="28"/>
                <w:lang w:eastAsia="es-MX"/>
              </w:rPr>
              <w:t xml:space="preserve"> de diciembre de 202</w:t>
            </w:r>
            <w:r w:rsidRPr="00D85C08">
              <w:rPr>
                <w:rFonts w:ascii="Times New Roman" w:eastAsia="Times New Roman" w:hAnsi="Times New Roman" w:cs="Times New Roman"/>
                <w:b/>
                <w:sz w:val="28"/>
                <w:lang w:eastAsia="es-MX"/>
              </w:rPr>
              <w:t>2</w:t>
            </w:r>
            <w:r w:rsidRPr="00D85C08">
              <w:rPr>
                <w:rFonts w:ascii="Times New Roman" w:eastAsia="Times New Roman" w:hAnsi="Times New Roman" w:cs="Times New Roman"/>
                <w:b/>
                <w:sz w:val="28"/>
                <w:lang w:eastAsia="es-MX"/>
              </w:rPr>
              <w:t>, publicada e</w:t>
            </w:r>
            <w:r w:rsidRPr="00D85C08">
              <w:rPr>
                <w:rFonts w:ascii="Times New Roman" w:eastAsia="Times New Roman" w:hAnsi="Times New Roman" w:cs="Times New Roman"/>
                <w:b/>
                <w:sz w:val="28"/>
                <w:lang w:eastAsia="es-MX"/>
              </w:rPr>
              <w:t>n la Gaceta del Congreso n.° 465 del 10 de mayo de 2023</w:t>
            </w:r>
            <w:r w:rsidRPr="00D85C08">
              <w:rPr>
                <w:rFonts w:ascii="Times New Roman" w:eastAsia="Times New Roman" w:hAnsi="Times New Roman" w:cs="Times New Roman"/>
                <w:b/>
                <w:sz w:val="28"/>
                <w:lang w:eastAsia="es-ES"/>
              </w:rPr>
              <w:t>)</w:t>
            </w:r>
          </w:p>
        </w:tc>
        <w:tc>
          <w:tcPr>
            <w:tcW w:w="2532" w:type="dxa"/>
            <w:gridSpan w:val="4"/>
            <w:vAlign w:val="center"/>
          </w:tcPr>
          <w:p w:rsidR="00FE416D" w:rsidRPr="00D85C08" w:rsidRDefault="00D85C08" w:rsidP="001753A7">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20</w:t>
            </w:r>
            <w:r w:rsidRPr="00D85C08">
              <w:rPr>
                <w:rFonts w:ascii="Times New Roman" w:eastAsia="Times New Roman" w:hAnsi="Times New Roman" w:cs="Times New Roman"/>
                <w:sz w:val="28"/>
                <w:lang w:eastAsia="es-MX"/>
              </w:rPr>
              <w:t xml:space="preserve"> integrantes</w:t>
            </w:r>
          </w:p>
        </w:tc>
        <w:tc>
          <w:tcPr>
            <w:tcW w:w="2408" w:type="dxa"/>
            <w:gridSpan w:val="5"/>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20</w:t>
            </w:r>
            <w:r w:rsidRPr="00D85C08">
              <w:rPr>
                <w:rFonts w:ascii="Times New Roman" w:eastAsia="Times New Roman" w:hAnsi="Times New Roman" w:cs="Times New Roman"/>
                <w:sz w:val="28"/>
                <w:lang w:eastAsia="es-MX"/>
              </w:rPr>
              <w:t xml:space="preserve"> integrantes</w:t>
            </w:r>
          </w:p>
        </w:tc>
        <w:tc>
          <w:tcPr>
            <w:tcW w:w="2413" w:type="dxa"/>
            <w:gridSpan w:val="5"/>
            <w:vAlign w:val="center"/>
          </w:tcPr>
          <w:p w:rsidR="00FE416D"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20</w:t>
            </w:r>
            <w:r w:rsidRPr="00D85C08">
              <w:rPr>
                <w:rFonts w:ascii="Times New Roman" w:eastAsia="Times New Roman" w:hAnsi="Times New Roman" w:cs="Times New Roman"/>
                <w:sz w:val="28"/>
                <w:lang w:eastAsia="es-MX"/>
              </w:rPr>
              <w:t xml:space="preserve"> integrantes</w:t>
            </w:r>
          </w:p>
        </w:tc>
      </w:tr>
      <w:tr w:rsidR="00FE416D" w:rsidRPr="00D85C08" w:rsidTr="00284D82">
        <w:trPr>
          <w:trHeight w:val="438"/>
          <w:jc w:val="center"/>
        </w:trPr>
        <w:tc>
          <w:tcPr>
            <w:tcW w:w="2565" w:type="dxa"/>
            <w:vMerge/>
          </w:tcPr>
          <w:p w:rsidR="00FE416D" w:rsidRPr="00D85C08" w:rsidRDefault="00D85C08" w:rsidP="00A26323">
            <w:pPr>
              <w:spacing w:after="0" w:line="240" w:lineRule="auto"/>
              <w:rPr>
                <w:rFonts w:ascii="Times New Roman" w:eastAsia="Times New Roman" w:hAnsi="Times New Roman" w:cs="Times New Roman"/>
                <w:bCs/>
                <w:sz w:val="28"/>
                <w:lang w:eastAsia="es-ES"/>
              </w:rPr>
            </w:pPr>
          </w:p>
        </w:tc>
        <w:tc>
          <w:tcPr>
            <w:tcW w:w="2532" w:type="dxa"/>
            <w:gridSpan w:val="4"/>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6</w:t>
            </w:r>
            <w:r w:rsidRPr="00D85C08">
              <w:rPr>
                <w:rFonts w:ascii="Times New Roman" w:eastAsia="Times New Roman" w:hAnsi="Times New Roman" w:cs="Times New Roman"/>
                <w:sz w:val="28"/>
                <w:lang w:eastAsia="es-MX"/>
              </w:rPr>
              <w:t xml:space="preserve"> asistentes</w:t>
            </w:r>
          </w:p>
        </w:tc>
        <w:tc>
          <w:tcPr>
            <w:tcW w:w="2408" w:type="dxa"/>
            <w:gridSpan w:val="5"/>
            <w:vAlign w:val="center"/>
          </w:tcPr>
          <w:p w:rsidR="00FE416D"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6</w:t>
            </w:r>
            <w:r w:rsidRPr="00D85C08">
              <w:rPr>
                <w:rFonts w:ascii="Times New Roman" w:eastAsia="Times New Roman" w:hAnsi="Times New Roman" w:cs="Times New Roman"/>
                <w:sz w:val="28"/>
                <w:lang w:eastAsia="es-MX"/>
              </w:rPr>
              <w:t xml:space="preserve"> asistentes</w:t>
            </w:r>
          </w:p>
        </w:tc>
        <w:tc>
          <w:tcPr>
            <w:tcW w:w="2413" w:type="dxa"/>
            <w:gridSpan w:val="5"/>
            <w:vAlign w:val="center"/>
          </w:tcPr>
          <w:p w:rsidR="00FE416D"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6</w:t>
            </w:r>
            <w:r w:rsidRPr="00D85C08">
              <w:rPr>
                <w:rFonts w:ascii="Times New Roman" w:eastAsia="Times New Roman" w:hAnsi="Times New Roman" w:cs="Times New Roman"/>
                <w:sz w:val="28"/>
                <w:lang w:eastAsia="es-MX"/>
              </w:rPr>
              <w:t xml:space="preserve"> asistentes</w:t>
            </w:r>
          </w:p>
        </w:tc>
      </w:tr>
      <w:tr w:rsidR="00FE416D" w:rsidRPr="00D85C08" w:rsidTr="00284D82">
        <w:trPr>
          <w:trHeight w:val="438"/>
          <w:jc w:val="center"/>
        </w:trPr>
        <w:tc>
          <w:tcPr>
            <w:tcW w:w="2565" w:type="dxa"/>
            <w:vMerge/>
          </w:tcPr>
          <w:p w:rsidR="00FE416D" w:rsidRPr="00D85C08" w:rsidRDefault="00D85C08" w:rsidP="00A26323">
            <w:pPr>
              <w:spacing w:after="0" w:line="240" w:lineRule="auto"/>
              <w:rPr>
                <w:rFonts w:ascii="Times New Roman" w:eastAsia="Times New Roman" w:hAnsi="Times New Roman" w:cs="Times New Roman"/>
                <w:bCs/>
                <w:sz w:val="28"/>
                <w:lang w:eastAsia="es-ES"/>
              </w:rPr>
            </w:pPr>
          </w:p>
        </w:tc>
        <w:tc>
          <w:tcPr>
            <w:tcW w:w="2532" w:type="dxa"/>
            <w:gridSpan w:val="4"/>
            <w:vAlign w:val="center"/>
          </w:tcPr>
          <w:p w:rsidR="00FE416D" w:rsidRPr="00D85C08" w:rsidRDefault="00D85C08" w:rsidP="00A26323">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c>
          <w:tcPr>
            <w:tcW w:w="2408" w:type="dxa"/>
            <w:gridSpan w:val="5"/>
            <w:vAlign w:val="center"/>
          </w:tcPr>
          <w:p w:rsidR="00FE416D" w:rsidRPr="00D85C08" w:rsidRDefault="00D85C08" w:rsidP="00E35683">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c>
          <w:tcPr>
            <w:tcW w:w="2413" w:type="dxa"/>
            <w:gridSpan w:val="5"/>
            <w:vAlign w:val="center"/>
          </w:tcPr>
          <w:p w:rsidR="00FE416D" w:rsidRPr="00D85C08" w:rsidRDefault="00D85C08" w:rsidP="00A26323">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r w:rsidRPr="00D85C08">
              <w:rPr>
                <w:rFonts w:ascii="Times New Roman" w:eastAsia="Times New Roman" w:hAnsi="Times New Roman" w:cs="Times New Roman"/>
                <w:b/>
                <w:sz w:val="28"/>
                <w:vertAlign w:val="superscript"/>
                <w:lang w:eastAsia="es-MX"/>
              </w:rPr>
              <w:footnoteReference w:id="49"/>
            </w:r>
          </w:p>
        </w:tc>
      </w:tr>
      <w:tr w:rsidR="00FE416D" w:rsidRPr="00D85C08" w:rsidTr="00284D82">
        <w:trPr>
          <w:trHeight w:val="55"/>
          <w:jc w:val="center"/>
        </w:trPr>
        <w:tc>
          <w:tcPr>
            <w:tcW w:w="2565" w:type="dxa"/>
            <w:vMerge/>
          </w:tcPr>
          <w:p w:rsidR="00FE416D" w:rsidRPr="00D85C08" w:rsidRDefault="00D85C08" w:rsidP="00A26323">
            <w:pPr>
              <w:spacing w:after="0" w:line="240" w:lineRule="auto"/>
              <w:rPr>
                <w:rFonts w:ascii="Times New Roman" w:eastAsia="Times New Roman" w:hAnsi="Times New Roman" w:cs="Times New Roman"/>
                <w:bCs/>
                <w:sz w:val="28"/>
                <w:lang w:eastAsia="es-ES"/>
              </w:rPr>
            </w:pPr>
          </w:p>
        </w:tc>
        <w:tc>
          <w:tcPr>
            <w:tcW w:w="539" w:type="dxa"/>
            <w:vAlign w:val="center"/>
          </w:tcPr>
          <w:p w:rsidR="00FE416D"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712" w:type="dxa"/>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16</w:t>
            </w:r>
          </w:p>
        </w:tc>
        <w:tc>
          <w:tcPr>
            <w:tcW w:w="709" w:type="dxa"/>
            <w:vAlign w:val="center"/>
          </w:tcPr>
          <w:p w:rsidR="00FE416D"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72" w:type="dxa"/>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0</w:t>
            </w:r>
          </w:p>
        </w:tc>
        <w:tc>
          <w:tcPr>
            <w:tcW w:w="567" w:type="dxa"/>
            <w:vAlign w:val="center"/>
          </w:tcPr>
          <w:p w:rsidR="00FE416D"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567" w:type="dxa"/>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16</w:t>
            </w:r>
          </w:p>
        </w:tc>
        <w:tc>
          <w:tcPr>
            <w:tcW w:w="698" w:type="dxa"/>
            <w:gridSpan w:val="2"/>
            <w:vAlign w:val="center"/>
          </w:tcPr>
          <w:p w:rsidR="00FE416D"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76" w:type="dxa"/>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0</w:t>
            </w:r>
          </w:p>
        </w:tc>
        <w:tc>
          <w:tcPr>
            <w:tcW w:w="570" w:type="dxa"/>
            <w:vAlign w:val="center"/>
          </w:tcPr>
          <w:p w:rsidR="00FE416D"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573" w:type="dxa"/>
            <w:vAlign w:val="center"/>
          </w:tcPr>
          <w:p w:rsidR="00FE416D" w:rsidRPr="00D85C08" w:rsidRDefault="00D85C08" w:rsidP="00E3568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6</w:t>
            </w:r>
          </w:p>
        </w:tc>
        <w:tc>
          <w:tcPr>
            <w:tcW w:w="703" w:type="dxa"/>
            <w:gridSpan w:val="2"/>
            <w:vAlign w:val="center"/>
          </w:tcPr>
          <w:p w:rsidR="00FE416D"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67" w:type="dxa"/>
            <w:vAlign w:val="center"/>
          </w:tcPr>
          <w:p w:rsidR="00FE416D" w:rsidRPr="00D85C08" w:rsidRDefault="00D85C08" w:rsidP="00A26323">
            <w:pPr>
              <w:spacing w:after="0" w:line="240" w:lineRule="auto"/>
              <w:jc w:val="center"/>
              <w:rPr>
                <w:rFonts w:ascii="Times New Roman" w:eastAsia="Times New Roman" w:hAnsi="Times New Roman" w:cs="Times New Roman"/>
                <w:sz w:val="28"/>
                <w:lang w:eastAsia="es-MX"/>
              </w:rPr>
            </w:pPr>
          </w:p>
          <w:p w:rsidR="00FE416D"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0</w:t>
            </w:r>
          </w:p>
          <w:p w:rsidR="00FE416D" w:rsidRPr="00D85C08" w:rsidRDefault="00D85C08" w:rsidP="00A26323">
            <w:pPr>
              <w:spacing w:after="0" w:line="240" w:lineRule="auto"/>
              <w:jc w:val="center"/>
              <w:rPr>
                <w:rFonts w:ascii="Times New Roman" w:eastAsia="Times New Roman" w:hAnsi="Times New Roman" w:cs="Times New Roman"/>
                <w:sz w:val="28"/>
                <w:lang w:eastAsia="es-MX"/>
              </w:rPr>
            </w:pPr>
          </w:p>
        </w:tc>
      </w:tr>
      <w:tr w:rsidR="00BF11A5" w:rsidRPr="00D85C08" w:rsidTr="00284D82">
        <w:trPr>
          <w:trHeight w:val="443"/>
          <w:jc w:val="center"/>
        </w:trPr>
        <w:tc>
          <w:tcPr>
            <w:tcW w:w="2565" w:type="dxa"/>
            <w:vMerge w:val="restart"/>
            <w:shd w:val="clear" w:color="auto" w:fill="auto"/>
          </w:tcPr>
          <w:p w:rsidR="00BF11A5" w:rsidRPr="00D85C08" w:rsidRDefault="00D85C08" w:rsidP="00A26323">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Debate en la plenaria</w:t>
            </w:r>
          </w:p>
          <w:p w:rsidR="00BF11A5" w:rsidRPr="00D85C08" w:rsidRDefault="00D85C08" w:rsidP="00634E38">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MX"/>
              </w:rPr>
              <w:t>(Acta n.° 40 del 14 de diciembre de 2022, publicada en la Gaceta del Congreso n.° 151 del 14 de marzo de 2023)</w:t>
            </w:r>
          </w:p>
        </w:tc>
        <w:tc>
          <w:tcPr>
            <w:tcW w:w="2532" w:type="dxa"/>
            <w:gridSpan w:val="4"/>
            <w:shd w:val="clear" w:color="auto" w:fill="auto"/>
            <w:vAlign w:val="center"/>
          </w:tcPr>
          <w:p w:rsidR="00BF11A5" w:rsidRPr="00D85C08" w:rsidRDefault="00D85C08" w:rsidP="00373397">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87</w:t>
            </w:r>
            <w:r w:rsidRPr="00D85C08">
              <w:rPr>
                <w:rFonts w:ascii="Times New Roman" w:eastAsia="Times New Roman" w:hAnsi="Times New Roman" w:cs="Times New Roman"/>
                <w:sz w:val="28"/>
                <w:lang w:eastAsia="es-MX"/>
              </w:rPr>
              <w:t xml:space="preserve"> miembros</w:t>
            </w:r>
          </w:p>
        </w:tc>
        <w:tc>
          <w:tcPr>
            <w:tcW w:w="2408" w:type="dxa"/>
            <w:gridSpan w:val="5"/>
            <w:shd w:val="clear" w:color="auto" w:fill="auto"/>
            <w:vAlign w:val="center"/>
          </w:tcPr>
          <w:p w:rsidR="00BF11A5" w:rsidRPr="00D85C08" w:rsidRDefault="00D85C08" w:rsidP="00BF11A5">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87</w:t>
            </w:r>
            <w:r w:rsidRPr="00D85C08">
              <w:rPr>
                <w:rFonts w:ascii="Times New Roman" w:eastAsia="Times New Roman" w:hAnsi="Times New Roman" w:cs="Times New Roman"/>
                <w:sz w:val="28"/>
                <w:lang w:eastAsia="es-MX"/>
              </w:rPr>
              <w:t xml:space="preserve"> miembros</w:t>
            </w:r>
          </w:p>
        </w:tc>
        <w:tc>
          <w:tcPr>
            <w:tcW w:w="2413" w:type="dxa"/>
            <w:gridSpan w:val="5"/>
            <w:shd w:val="clear" w:color="auto" w:fill="auto"/>
            <w:vAlign w:val="center"/>
          </w:tcPr>
          <w:p w:rsidR="00BF11A5"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87</w:t>
            </w:r>
            <w:r w:rsidRPr="00D85C08">
              <w:rPr>
                <w:rFonts w:ascii="Times New Roman" w:eastAsia="Times New Roman" w:hAnsi="Times New Roman" w:cs="Times New Roman"/>
                <w:sz w:val="28"/>
                <w:lang w:eastAsia="es-MX"/>
              </w:rPr>
              <w:t xml:space="preserve"> miembros</w:t>
            </w:r>
          </w:p>
        </w:tc>
      </w:tr>
      <w:tr w:rsidR="00BF11A5" w:rsidRPr="00D85C08" w:rsidTr="00284D82">
        <w:trPr>
          <w:trHeight w:val="441"/>
          <w:jc w:val="center"/>
        </w:trPr>
        <w:tc>
          <w:tcPr>
            <w:tcW w:w="2565" w:type="dxa"/>
            <w:vMerge/>
            <w:shd w:val="clear" w:color="auto" w:fill="auto"/>
          </w:tcPr>
          <w:p w:rsidR="00BF11A5" w:rsidRPr="00D85C08" w:rsidRDefault="00D85C08" w:rsidP="00A26323">
            <w:pPr>
              <w:spacing w:after="0" w:line="240" w:lineRule="auto"/>
              <w:rPr>
                <w:rFonts w:ascii="Times New Roman" w:eastAsia="Times New Roman" w:hAnsi="Times New Roman" w:cs="Times New Roman"/>
                <w:sz w:val="28"/>
                <w:lang w:eastAsia="es-MX"/>
              </w:rPr>
            </w:pPr>
          </w:p>
        </w:tc>
        <w:tc>
          <w:tcPr>
            <w:tcW w:w="2532" w:type="dxa"/>
            <w:gridSpan w:val="4"/>
            <w:shd w:val="clear" w:color="auto" w:fill="auto"/>
            <w:vAlign w:val="center"/>
          </w:tcPr>
          <w:p w:rsidR="00BF11A5" w:rsidRPr="00D85C08" w:rsidRDefault="00D85C08" w:rsidP="007E64A5">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77</w:t>
            </w:r>
            <w:r w:rsidRPr="00D85C08">
              <w:rPr>
                <w:rFonts w:ascii="Times New Roman" w:eastAsia="Times New Roman" w:hAnsi="Times New Roman" w:cs="Times New Roman"/>
                <w:sz w:val="28"/>
                <w:lang w:eastAsia="es-MX"/>
              </w:rPr>
              <w:t xml:space="preserve"> asistentes</w:t>
            </w:r>
          </w:p>
        </w:tc>
        <w:tc>
          <w:tcPr>
            <w:tcW w:w="2408" w:type="dxa"/>
            <w:gridSpan w:val="5"/>
            <w:shd w:val="clear" w:color="auto" w:fill="auto"/>
            <w:vAlign w:val="center"/>
          </w:tcPr>
          <w:p w:rsidR="00BF11A5" w:rsidRPr="00D85C08" w:rsidRDefault="00D85C08" w:rsidP="007E64A5">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77</w:t>
            </w:r>
            <w:r w:rsidRPr="00D85C08">
              <w:rPr>
                <w:rFonts w:ascii="Times New Roman" w:eastAsia="Times New Roman" w:hAnsi="Times New Roman" w:cs="Times New Roman"/>
                <w:sz w:val="28"/>
                <w:lang w:eastAsia="es-MX"/>
              </w:rPr>
              <w:t xml:space="preserve"> asistentes</w:t>
            </w:r>
          </w:p>
        </w:tc>
        <w:tc>
          <w:tcPr>
            <w:tcW w:w="2413" w:type="dxa"/>
            <w:gridSpan w:val="5"/>
            <w:shd w:val="clear" w:color="auto" w:fill="auto"/>
            <w:vAlign w:val="center"/>
          </w:tcPr>
          <w:p w:rsidR="00BF11A5" w:rsidRPr="00D85C08" w:rsidRDefault="00D85C08" w:rsidP="007E64A5">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77</w:t>
            </w:r>
            <w:r w:rsidRPr="00D85C08">
              <w:rPr>
                <w:rFonts w:ascii="Times New Roman" w:eastAsia="Times New Roman" w:hAnsi="Times New Roman" w:cs="Times New Roman"/>
                <w:sz w:val="28"/>
                <w:lang w:eastAsia="es-MX"/>
              </w:rPr>
              <w:t xml:space="preserve"> asistentes</w:t>
            </w:r>
          </w:p>
        </w:tc>
      </w:tr>
      <w:tr w:rsidR="00BF11A5" w:rsidRPr="00D85C08" w:rsidTr="00284D82">
        <w:trPr>
          <w:trHeight w:val="441"/>
          <w:jc w:val="center"/>
        </w:trPr>
        <w:tc>
          <w:tcPr>
            <w:tcW w:w="2565" w:type="dxa"/>
            <w:vMerge/>
            <w:shd w:val="clear" w:color="auto" w:fill="auto"/>
          </w:tcPr>
          <w:p w:rsidR="00BF11A5" w:rsidRPr="00D85C08" w:rsidRDefault="00D85C08" w:rsidP="00A26323">
            <w:pPr>
              <w:spacing w:after="0" w:line="240" w:lineRule="auto"/>
              <w:rPr>
                <w:rFonts w:ascii="Times New Roman" w:eastAsia="Times New Roman" w:hAnsi="Times New Roman" w:cs="Times New Roman"/>
                <w:sz w:val="28"/>
                <w:lang w:eastAsia="es-MX"/>
              </w:rPr>
            </w:pPr>
          </w:p>
        </w:tc>
        <w:tc>
          <w:tcPr>
            <w:tcW w:w="2532" w:type="dxa"/>
            <w:gridSpan w:val="4"/>
            <w:shd w:val="clear" w:color="auto" w:fill="auto"/>
            <w:vAlign w:val="center"/>
          </w:tcPr>
          <w:p w:rsidR="00BF11A5" w:rsidRPr="00D85C08" w:rsidRDefault="00D85C08" w:rsidP="003A44DE">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c>
          <w:tcPr>
            <w:tcW w:w="2408" w:type="dxa"/>
            <w:gridSpan w:val="5"/>
            <w:shd w:val="clear" w:color="auto" w:fill="auto"/>
            <w:vAlign w:val="center"/>
          </w:tcPr>
          <w:p w:rsidR="00BF11A5" w:rsidRPr="00D85C08" w:rsidRDefault="00D85C08" w:rsidP="00284D82">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c>
          <w:tcPr>
            <w:tcW w:w="2413" w:type="dxa"/>
            <w:gridSpan w:val="5"/>
            <w:shd w:val="clear" w:color="auto" w:fill="auto"/>
            <w:vAlign w:val="center"/>
          </w:tcPr>
          <w:p w:rsidR="00BF11A5" w:rsidRPr="00D85C08" w:rsidRDefault="00D85C08" w:rsidP="00A26323">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r w:rsidRPr="00D85C08">
              <w:rPr>
                <w:rFonts w:ascii="Times New Roman" w:eastAsia="Times New Roman" w:hAnsi="Times New Roman" w:cs="Times New Roman"/>
                <w:b/>
                <w:sz w:val="28"/>
                <w:vertAlign w:val="superscript"/>
                <w:lang w:eastAsia="es-MX"/>
              </w:rPr>
              <w:footnoteReference w:id="50"/>
            </w:r>
          </w:p>
        </w:tc>
      </w:tr>
      <w:tr w:rsidR="00284D82" w:rsidRPr="00D85C08" w:rsidTr="00284D82">
        <w:trPr>
          <w:trHeight w:val="441"/>
          <w:jc w:val="center"/>
        </w:trPr>
        <w:tc>
          <w:tcPr>
            <w:tcW w:w="2565" w:type="dxa"/>
            <w:vMerge/>
            <w:shd w:val="clear" w:color="auto" w:fill="auto"/>
          </w:tcPr>
          <w:p w:rsidR="00284D82" w:rsidRPr="00D85C08" w:rsidRDefault="00D85C08" w:rsidP="00A26323">
            <w:pPr>
              <w:spacing w:after="0" w:line="240" w:lineRule="auto"/>
              <w:rPr>
                <w:rFonts w:ascii="Times New Roman" w:eastAsia="Times New Roman" w:hAnsi="Times New Roman" w:cs="Times New Roman"/>
                <w:sz w:val="28"/>
                <w:lang w:eastAsia="es-MX"/>
              </w:rPr>
            </w:pPr>
          </w:p>
        </w:tc>
        <w:tc>
          <w:tcPr>
            <w:tcW w:w="539" w:type="dxa"/>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bCs/>
                <w:sz w:val="28"/>
                <w:lang w:eastAsia="es-MX"/>
              </w:rPr>
              <w:t>SÍ</w:t>
            </w:r>
          </w:p>
        </w:tc>
        <w:tc>
          <w:tcPr>
            <w:tcW w:w="712" w:type="dxa"/>
            <w:shd w:val="clear" w:color="auto" w:fill="auto"/>
            <w:vAlign w:val="center"/>
          </w:tcPr>
          <w:p w:rsidR="00284D82" w:rsidRPr="00D85C08" w:rsidRDefault="00D85C08" w:rsidP="003A44DE">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146</w:t>
            </w:r>
          </w:p>
        </w:tc>
        <w:tc>
          <w:tcPr>
            <w:tcW w:w="709" w:type="dxa"/>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572" w:type="dxa"/>
            <w:shd w:val="clear" w:color="auto" w:fill="auto"/>
            <w:vAlign w:val="center"/>
          </w:tcPr>
          <w:p w:rsidR="00284D82" w:rsidRPr="00D85C08" w:rsidRDefault="00D85C08" w:rsidP="00525B5A">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3</w:t>
            </w:r>
          </w:p>
        </w:tc>
        <w:tc>
          <w:tcPr>
            <w:tcW w:w="567" w:type="dxa"/>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bCs/>
                <w:sz w:val="28"/>
                <w:lang w:eastAsia="es-MX"/>
              </w:rPr>
              <w:t>SÍ</w:t>
            </w:r>
          </w:p>
        </w:tc>
        <w:tc>
          <w:tcPr>
            <w:tcW w:w="567" w:type="dxa"/>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136</w:t>
            </w:r>
          </w:p>
        </w:tc>
        <w:tc>
          <w:tcPr>
            <w:tcW w:w="637" w:type="dxa"/>
            <w:shd w:val="clear" w:color="auto" w:fill="auto"/>
            <w:vAlign w:val="center"/>
          </w:tcPr>
          <w:p w:rsidR="00284D82" w:rsidRPr="00D85C08" w:rsidRDefault="00D85C08" w:rsidP="00284D82">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MX"/>
              </w:rPr>
              <w:t>NO</w:t>
            </w:r>
          </w:p>
        </w:tc>
        <w:tc>
          <w:tcPr>
            <w:tcW w:w="637" w:type="dxa"/>
            <w:gridSpan w:val="2"/>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2</w:t>
            </w:r>
          </w:p>
        </w:tc>
        <w:tc>
          <w:tcPr>
            <w:tcW w:w="570" w:type="dxa"/>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SI</w:t>
            </w:r>
          </w:p>
        </w:tc>
        <w:tc>
          <w:tcPr>
            <w:tcW w:w="573" w:type="dxa"/>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bCs/>
                <w:sz w:val="28"/>
                <w:lang w:eastAsia="es-MX"/>
              </w:rPr>
            </w:pPr>
            <w:r w:rsidRPr="00D85C08">
              <w:rPr>
                <w:rFonts w:ascii="Times New Roman" w:eastAsia="Times New Roman" w:hAnsi="Times New Roman" w:cs="Times New Roman"/>
                <w:bCs/>
                <w:sz w:val="28"/>
                <w:lang w:eastAsia="es-MX"/>
              </w:rPr>
              <w:t>133</w:t>
            </w:r>
          </w:p>
        </w:tc>
        <w:tc>
          <w:tcPr>
            <w:tcW w:w="635" w:type="dxa"/>
            <w:shd w:val="clear" w:color="auto" w:fill="auto"/>
            <w:vAlign w:val="center"/>
          </w:tcPr>
          <w:p w:rsidR="00284D82" w:rsidRPr="00D85C08" w:rsidRDefault="00D85C08" w:rsidP="00284D82">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MX"/>
              </w:rPr>
              <w:t>NO</w:t>
            </w:r>
          </w:p>
        </w:tc>
        <w:tc>
          <w:tcPr>
            <w:tcW w:w="635" w:type="dxa"/>
            <w:gridSpan w:val="2"/>
            <w:shd w:val="clear" w:color="auto" w:fill="auto"/>
            <w:vAlign w:val="center"/>
          </w:tcPr>
          <w:p w:rsidR="00284D82" w:rsidRPr="00D85C08" w:rsidRDefault="00D85C08" w:rsidP="00A26323">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p>
        </w:tc>
      </w:tr>
    </w:tbl>
    <w:p w:rsidR="00532A3C" w:rsidRPr="00D85C08" w:rsidRDefault="00D85C08" w:rsidP="00FE15BB">
      <w:pPr>
        <w:spacing w:after="0" w:line="240" w:lineRule="auto"/>
        <w:jc w:val="both"/>
        <w:rPr>
          <w:rFonts w:ascii="Times New Roman" w:eastAsia="Times New Roman" w:hAnsi="Times New Roman" w:cs="Times New Roman"/>
          <w:sz w:val="28"/>
          <w:szCs w:val="28"/>
          <w:lang w:eastAsia="es-MX"/>
        </w:rPr>
      </w:pPr>
    </w:p>
    <w:p w:rsidR="00AC018A"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lang w:eastAsia="es-MX"/>
        </w:rPr>
        <w:t>3.2.3. Trámite de conciliación</w:t>
      </w:r>
    </w:p>
    <w:p w:rsidR="00AC018A" w:rsidRPr="00D85C08" w:rsidRDefault="00D85C08" w:rsidP="00AC018A">
      <w:pPr>
        <w:spacing w:after="0" w:line="240" w:lineRule="auto"/>
        <w:contextualSpacing/>
        <w:jc w:val="both"/>
        <w:rPr>
          <w:rFonts w:ascii="Times New Roman" w:eastAsia="Times New Roman" w:hAnsi="Times New Roman" w:cs="Times New Roman"/>
          <w:sz w:val="28"/>
          <w:szCs w:val="28"/>
          <w:lang w:eastAsia="es-MX"/>
        </w:rPr>
      </w:pPr>
    </w:p>
    <w:p w:rsidR="00930160" w:rsidRPr="00D85C08" w:rsidRDefault="00D85C08" w:rsidP="00E54CDC">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Como consecuencia de una diferencia en la transcripción de los textos aprobados en las plenarias del Senado de la </w:t>
      </w:r>
      <w:r w:rsidRPr="00D85C08">
        <w:rPr>
          <w:rFonts w:ascii="Times New Roman" w:hAnsi="Times New Roman" w:cs="Times New Roman"/>
          <w:sz w:val="28"/>
          <w:szCs w:val="28"/>
        </w:rPr>
        <w:t>República y de la Cámara de Representantes, se proced</w:t>
      </w:r>
      <w:r w:rsidRPr="00D85C08">
        <w:rPr>
          <w:rFonts w:ascii="Times New Roman" w:hAnsi="Times New Roman" w:cs="Times New Roman"/>
          <w:sz w:val="28"/>
          <w:szCs w:val="28"/>
        </w:rPr>
        <w:t>ió</w:t>
      </w:r>
      <w:r w:rsidRPr="00D85C08">
        <w:rPr>
          <w:rFonts w:ascii="Times New Roman" w:hAnsi="Times New Roman" w:cs="Times New Roman"/>
          <w:sz w:val="28"/>
          <w:szCs w:val="28"/>
        </w:rPr>
        <w:t xml:space="preserve"> a conciliar los textos</w:t>
      </w:r>
      <w:r w:rsidRPr="00D85C08">
        <w:rPr>
          <w:rStyle w:val="Refdenotaalpie"/>
          <w:rFonts w:ascii="Times New Roman" w:hAnsi="Times New Roman" w:cs="Times New Roman"/>
          <w:sz w:val="28"/>
          <w:szCs w:val="28"/>
        </w:rPr>
        <w:footnoteReference w:id="51"/>
      </w:r>
      <w:r w:rsidRPr="00D85C08">
        <w:rPr>
          <w:rFonts w:ascii="Times New Roman" w:hAnsi="Times New Roman" w:cs="Times New Roman"/>
          <w:sz w:val="28"/>
          <w:szCs w:val="28"/>
        </w:rPr>
        <w:t xml:space="preserve"> con el fin de continuar con el trámite correspondiente</w:t>
      </w:r>
      <w:r w:rsidRPr="00D85C08">
        <w:rPr>
          <w:rFonts w:ascii="Times New Roman" w:hAnsi="Times New Roman" w:cs="Times New Roman"/>
          <w:sz w:val="28"/>
          <w:szCs w:val="28"/>
        </w:rPr>
        <w:t>, como se evidencia a continuación:</w:t>
      </w:r>
    </w:p>
    <w:p w:rsidR="002D3AF5" w:rsidRPr="00D85C08" w:rsidRDefault="00D85C08" w:rsidP="00AC018A">
      <w:pPr>
        <w:spacing w:after="0" w:line="240" w:lineRule="auto"/>
        <w:contextualSpacing/>
        <w:jc w:val="both"/>
        <w:rPr>
          <w:rFonts w:ascii="Times New Roman" w:eastAsia="Times New Roman" w:hAnsi="Times New Roman" w:cs="Times New Roman"/>
          <w:sz w:val="28"/>
          <w:szCs w:val="28"/>
          <w:lang w:eastAsia="es-MX"/>
        </w:rPr>
      </w:pPr>
    </w:p>
    <w:tbl>
      <w:tblPr>
        <w:tblStyle w:val="Tablaconcuadrcula"/>
        <w:tblW w:w="0" w:type="auto"/>
        <w:tblLook w:val="04A0" w:firstRow="1" w:lastRow="0" w:firstColumn="1" w:lastColumn="0" w:noHBand="0" w:noVBand="1"/>
      </w:tblPr>
      <w:tblGrid>
        <w:gridCol w:w="3132"/>
        <w:gridCol w:w="3132"/>
        <w:gridCol w:w="3132"/>
      </w:tblGrid>
      <w:tr w:rsidR="002D3AF5" w:rsidRPr="00D85C08" w:rsidTr="002D3AF5">
        <w:tc>
          <w:tcPr>
            <w:tcW w:w="3132" w:type="dxa"/>
          </w:tcPr>
          <w:p w:rsidR="002D3AF5" w:rsidRPr="00D85C08" w:rsidRDefault="00D85C08" w:rsidP="002D3AF5">
            <w:pPr>
              <w:contextualSpacing/>
              <w:jc w:val="center"/>
              <w:rPr>
                <w:rFonts w:ascii="Times New Roman" w:eastAsia="Times New Roman" w:hAnsi="Times New Roman" w:cs="Times New Roman"/>
                <w:sz w:val="28"/>
                <w:szCs w:val="28"/>
                <w:lang w:eastAsia="es-MX"/>
              </w:rPr>
            </w:pPr>
            <w:r w:rsidRPr="00D85C08">
              <w:rPr>
                <w:rFonts w:ascii="Times New Roman" w:hAnsi="Times New Roman" w:cs="Times New Roman"/>
                <w:sz w:val="28"/>
              </w:rPr>
              <w:t>TEXTO APROBADO EN PLENARIA DE SENADO DE LA REPÚBLICA</w:t>
            </w:r>
          </w:p>
        </w:tc>
        <w:tc>
          <w:tcPr>
            <w:tcW w:w="3132" w:type="dxa"/>
          </w:tcPr>
          <w:p w:rsidR="002D3AF5" w:rsidRPr="00D85C08" w:rsidRDefault="00D85C08" w:rsidP="002D3AF5">
            <w:pPr>
              <w:contextualSpacing/>
              <w:jc w:val="center"/>
              <w:rPr>
                <w:rFonts w:ascii="Times New Roman" w:eastAsia="Times New Roman" w:hAnsi="Times New Roman" w:cs="Times New Roman"/>
                <w:sz w:val="28"/>
                <w:szCs w:val="28"/>
                <w:lang w:eastAsia="es-MX"/>
              </w:rPr>
            </w:pPr>
            <w:r w:rsidRPr="00D85C08">
              <w:rPr>
                <w:rFonts w:ascii="Times New Roman" w:hAnsi="Times New Roman" w:cs="Times New Roman"/>
                <w:sz w:val="28"/>
              </w:rPr>
              <w:t>TEXTO APROBADO EN PLENARIA DE LA</w:t>
            </w:r>
            <w:r w:rsidRPr="00D85C08">
              <w:rPr>
                <w:rFonts w:ascii="Times New Roman" w:hAnsi="Times New Roman" w:cs="Times New Roman"/>
                <w:sz w:val="28"/>
              </w:rPr>
              <w:t xml:space="preserve"> CÁMARA DE REPRESENTANTES</w:t>
            </w:r>
          </w:p>
        </w:tc>
        <w:tc>
          <w:tcPr>
            <w:tcW w:w="3132" w:type="dxa"/>
          </w:tcPr>
          <w:p w:rsidR="002D3AF5" w:rsidRPr="00D85C08" w:rsidRDefault="00D85C08" w:rsidP="002D3AF5">
            <w:pPr>
              <w:contextualSpacing/>
              <w:jc w:val="center"/>
              <w:rPr>
                <w:rFonts w:ascii="Times New Roman" w:eastAsia="Times New Roman" w:hAnsi="Times New Roman" w:cs="Times New Roman"/>
                <w:sz w:val="28"/>
                <w:szCs w:val="28"/>
                <w:lang w:eastAsia="es-MX"/>
              </w:rPr>
            </w:pPr>
            <w:r w:rsidRPr="00D85C08">
              <w:rPr>
                <w:rFonts w:ascii="Times New Roman" w:hAnsi="Times New Roman" w:cs="Times New Roman"/>
                <w:sz w:val="28"/>
              </w:rPr>
              <w:t>TEXTO ACOGIDO POR LA COMISIÓN ACCIDENTAL</w:t>
            </w:r>
          </w:p>
        </w:tc>
      </w:tr>
      <w:tr w:rsidR="002D3AF5" w:rsidRPr="00D85C08" w:rsidTr="002D3AF5">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ARTÍCULO PRIMERO. Apruébese el «Protocolo Adicional del Acuerdo Comercial entre la Unión Europea y sus Estados Miembros, por una parte, y Colombia y el Perú, por otra, para tener en cuenta</w:t>
            </w:r>
            <w:r w:rsidRPr="00D85C08">
              <w:rPr>
                <w:rFonts w:ascii="Times New Roman" w:eastAsia="Times New Roman" w:hAnsi="Times New Roman" w:cs="Times New Roman"/>
                <w:sz w:val="28"/>
                <w:szCs w:val="22"/>
                <w:lang w:eastAsia="es-MX"/>
              </w:rPr>
              <w:t xml:space="preserve"> la adhesión de la República de Croacia a la Unión Europea», suscrito en Bruselas, el 30 de junio de 2015.</w:t>
            </w:r>
          </w:p>
        </w:tc>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 xml:space="preserve">ARTÍCULO PRIMERO. Apruébese el «Protocolo Adicional del Acuerdo Comercial entre la Unión Europea y sus Estados Miembros, por una parte, y Colombia y </w:t>
            </w:r>
            <w:r w:rsidRPr="00D85C08">
              <w:rPr>
                <w:rFonts w:ascii="Times New Roman" w:eastAsia="Times New Roman" w:hAnsi="Times New Roman" w:cs="Times New Roman"/>
                <w:sz w:val="28"/>
                <w:szCs w:val="22"/>
                <w:lang w:eastAsia="es-MX"/>
              </w:rPr>
              <w:t>el Perú, por otra, para tener en cuenta la adhesión de la República de Croacia a la Unión Europea», suscrito en Bruselas, el 30 de junio de 2015.</w:t>
            </w:r>
          </w:p>
        </w:tc>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SIN CAMBIOS</w:t>
            </w:r>
          </w:p>
        </w:tc>
      </w:tr>
      <w:tr w:rsidR="002D3AF5" w:rsidRPr="00D85C08" w:rsidTr="002D3AF5">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ARTÍCULO SEGUNDO. De conformidad con lo dispuesto en el artículo 1o de la Ley 7ª de 1944, el «Pro</w:t>
            </w:r>
            <w:r w:rsidRPr="00D85C08">
              <w:rPr>
                <w:rFonts w:ascii="Times New Roman" w:eastAsia="Times New Roman" w:hAnsi="Times New Roman" w:cs="Times New Roman"/>
                <w:sz w:val="28"/>
                <w:szCs w:val="22"/>
                <w:lang w:eastAsia="es-MX"/>
              </w:rPr>
              <w:t>tocolo Adicional del Acuerdo Comercial entre la Unión Europea y sus Estados Miembros, por una parte, y Colombia y el Perú, por otra, para tener en cuenta la adhesión de la República de Croacia a la Unión Europea», suscrito en Bruselas, el 30 de junio de 20</w:t>
            </w:r>
            <w:r w:rsidRPr="00D85C08">
              <w:rPr>
                <w:rFonts w:ascii="Times New Roman" w:eastAsia="Times New Roman" w:hAnsi="Times New Roman" w:cs="Times New Roman"/>
                <w:sz w:val="28"/>
                <w:szCs w:val="22"/>
                <w:lang w:eastAsia="es-MX"/>
              </w:rPr>
              <w:t xml:space="preserve">15, que por el artículo primero de esta ley se aprueba, obligará a la República de Colombia a partir de la fecha en que se perfeccione el vínculo internacional respecto </w:t>
            </w:r>
            <w:r w:rsidRPr="00D85C08">
              <w:rPr>
                <w:rFonts w:ascii="Times New Roman" w:eastAsia="Times New Roman" w:hAnsi="Times New Roman" w:cs="Times New Roman"/>
                <w:b/>
                <w:sz w:val="28"/>
                <w:szCs w:val="22"/>
                <w:lang w:eastAsia="es-MX"/>
              </w:rPr>
              <w:t>de la</w:t>
            </w:r>
            <w:r w:rsidRPr="00D85C08">
              <w:rPr>
                <w:rFonts w:ascii="Times New Roman" w:eastAsia="Times New Roman" w:hAnsi="Times New Roman" w:cs="Times New Roman"/>
                <w:sz w:val="28"/>
                <w:szCs w:val="22"/>
                <w:lang w:eastAsia="es-MX"/>
              </w:rPr>
              <w:t xml:space="preserve"> </w:t>
            </w:r>
            <w:r w:rsidRPr="00D85C08">
              <w:rPr>
                <w:rFonts w:ascii="Times New Roman" w:eastAsia="Times New Roman" w:hAnsi="Times New Roman" w:cs="Times New Roman"/>
                <w:b/>
                <w:sz w:val="28"/>
                <w:szCs w:val="22"/>
                <w:lang w:eastAsia="es-MX"/>
              </w:rPr>
              <w:t>misma.</w:t>
            </w:r>
          </w:p>
        </w:tc>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 xml:space="preserve">ARTÍCULO SEGUNDO. De conformidad con lo dispuesto en el artículo 1o de la </w:t>
            </w:r>
            <w:r w:rsidRPr="00D85C08">
              <w:rPr>
                <w:rFonts w:ascii="Times New Roman" w:eastAsia="Times New Roman" w:hAnsi="Times New Roman" w:cs="Times New Roman"/>
                <w:sz w:val="28"/>
                <w:szCs w:val="22"/>
                <w:lang w:eastAsia="es-MX"/>
              </w:rPr>
              <w:t>Ley 7ª de 1944, el «Protocolo Adicional del Acuerdo Comercial entre la Unión Europea y sus Estados Miembros, por una parte, y Colombia y el Perú, por otra, para tener en cuenta la adhesión de la República de Croacia a la Unión Europea», suscrito en Brusela</w:t>
            </w:r>
            <w:r w:rsidRPr="00D85C08">
              <w:rPr>
                <w:rFonts w:ascii="Times New Roman" w:eastAsia="Times New Roman" w:hAnsi="Times New Roman" w:cs="Times New Roman"/>
                <w:sz w:val="28"/>
                <w:szCs w:val="22"/>
                <w:lang w:eastAsia="es-MX"/>
              </w:rPr>
              <w:t xml:space="preserve">s, el 30 de junio de 2015, que por el artículo primero de esta ley se aprueba, obligará a la República de Colombia a partir de la fecha en que se perfeccione el vínculo internacional respecto </w:t>
            </w:r>
            <w:r w:rsidRPr="00D85C08">
              <w:rPr>
                <w:rFonts w:ascii="Times New Roman" w:eastAsia="Times New Roman" w:hAnsi="Times New Roman" w:cs="Times New Roman"/>
                <w:b/>
                <w:strike/>
                <w:sz w:val="28"/>
                <w:szCs w:val="22"/>
                <w:lang w:eastAsia="es-MX"/>
              </w:rPr>
              <w:t>del mismo.</w:t>
            </w:r>
          </w:p>
        </w:tc>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Se enmienda error de transcripción cometido en la pon</w:t>
            </w:r>
            <w:r w:rsidRPr="00D85C08">
              <w:rPr>
                <w:rFonts w:ascii="Times New Roman" w:eastAsia="Times New Roman" w:hAnsi="Times New Roman" w:cs="Times New Roman"/>
                <w:sz w:val="28"/>
                <w:szCs w:val="22"/>
                <w:lang w:eastAsia="es-MX"/>
              </w:rPr>
              <w:t xml:space="preserve">encia para segundo debate en la Cámara de Representantes y se acoge el texto aprobado en la Plenaria del Senado de la República donde se pone de forma correcta de acuerdo con el texto radicado: </w:t>
            </w:r>
          </w:p>
          <w:p w:rsidR="002D3AF5" w:rsidRPr="00D85C08" w:rsidRDefault="00D85C08" w:rsidP="00AC018A">
            <w:pPr>
              <w:contextualSpacing/>
              <w:jc w:val="both"/>
              <w:rPr>
                <w:rFonts w:ascii="Times New Roman" w:eastAsia="Times New Roman" w:hAnsi="Times New Roman" w:cs="Times New Roman"/>
                <w:b/>
                <w:sz w:val="28"/>
                <w:szCs w:val="22"/>
                <w:lang w:eastAsia="es-MX"/>
              </w:rPr>
            </w:pPr>
            <w:r w:rsidRPr="00D85C08">
              <w:rPr>
                <w:rFonts w:ascii="Times New Roman" w:eastAsia="Times New Roman" w:hAnsi="Times New Roman" w:cs="Times New Roman"/>
                <w:b/>
                <w:sz w:val="28"/>
                <w:szCs w:val="22"/>
                <w:lang w:eastAsia="es-MX"/>
              </w:rPr>
              <w:t>“respecto de la misma.”</w:t>
            </w:r>
          </w:p>
        </w:tc>
      </w:tr>
      <w:tr w:rsidR="002D3AF5" w:rsidRPr="00D85C08" w:rsidTr="002D3AF5">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 xml:space="preserve">ARTÍCULO TERCERO. La presente ley </w:t>
            </w:r>
            <w:r w:rsidRPr="00D85C08">
              <w:rPr>
                <w:rFonts w:ascii="Times New Roman" w:eastAsia="Times New Roman" w:hAnsi="Times New Roman" w:cs="Times New Roman"/>
                <w:sz w:val="28"/>
                <w:szCs w:val="22"/>
                <w:lang w:eastAsia="es-MX"/>
              </w:rPr>
              <w:t>rige a partir de la fecha de su publicación</w:t>
            </w:r>
          </w:p>
        </w:tc>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ARTÍCULO TERCERO. La presente ley rige a partir de la fecha de su publicación.</w:t>
            </w:r>
          </w:p>
        </w:tc>
        <w:tc>
          <w:tcPr>
            <w:tcW w:w="3132" w:type="dxa"/>
          </w:tcPr>
          <w:p w:rsidR="002D3AF5" w:rsidRPr="00D85C08" w:rsidRDefault="00D85C08" w:rsidP="00AC018A">
            <w:pPr>
              <w:contextualSpacing/>
              <w:jc w:val="both"/>
              <w:rPr>
                <w:rFonts w:ascii="Times New Roman" w:eastAsia="Times New Roman" w:hAnsi="Times New Roman" w:cs="Times New Roman"/>
                <w:sz w:val="28"/>
                <w:szCs w:val="22"/>
                <w:lang w:eastAsia="es-MX"/>
              </w:rPr>
            </w:pPr>
            <w:r w:rsidRPr="00D85C08">
              <w:rPr>
                <w:rFonts w:ascii="Times New Roman" w:eastAsia="Times New Roman" w:hAnsi="Times New Roman" w:cs="Times New Roman"/>
                <w:sz w:val="28"/>
                <w:szCs w:val="22"/>
                <w:lang w:eastAsia="es-MX"/>
              </w:rPr>
              <w:t>SIN CAMBIOS</w:t>
            </w:r>
          </w:p>
        </w:tc>
      </w:tr>
    </w:tbl>
    <w:p w:rsidR="004D5ADA" w:rsidRPr="00D85C08" w:rsidRDefault="00D85C08" w:rsidP="004D5ADA">
      <w:pPr>
        <w:shd w:val="clear" w:color="auto" w:fill="FFFFFF"/>
        <w:spacing w:after="0" w:line="240" w:lineRule="auto"/>
        <w:ind w:right="191"/>
        <w:jc w:val="both"/>
        <w:rPr>
          <w:rFonts w:ascii="Times New Roman" w:eastAsia="Times New Roman" w:hAnsi="Times New Roman" w:cs="Times New Roman"/>
          <w:color w:val="2D2D2D"/>
          <w:sz w:val="28"/>
          <w:szCs w:val="24"/>
        </w:rPr>
      </w:pPr>
    </w:p>
    <w:p w:rsidR="004D5ADA" w:rsidRPr="00D85C08" w:rsidRDefault="00D85C08" w:rsidP="00E54CDC">
      <w:pPr>
        <w:pStyle w:val="Prrafodelista"/>
        <w:numPr>
          <w:ilvl w:val="0"/>
          <w:numId w:val="1"/>
        </w:numPr>
        <w:shd w:val="clear" w:color="auto" w:fill="FFFFFF"/>
        <w:ind w:left="0" w:right="191" w:firstLine="0"/>
        <w:jc w:val="both"/>
        <w:rPr>
          <w:rFonts w:ascii="Times New Roman" w:hAnsi="Times New Roman" w:cs="Times New Roman"/>
          <w:color w:val="2D2D2D"/>
          <w:sz w:val="28"/>
          <w:lang w:eastAsia="es-CO"/>
        </w:rPr>
      </w:pPr>
      <w:r w:rsidRPr="00D85C08">
        <w:rPr>
          <w:rFonts w:ascii="Times New Roman" w:hAnsi="Times New Roman" w:cs="Times New Roman"/>
          <w:color w:val="2D2D2D"/>
          <w:sz w:val="28"/>
          <w:szCs w:val="28"/>
          <w:lang w:val="es-ES" w:eastAsia="es-CO"/>
        </w:rPr>
        <w:t>El informe de conciliación fue anunciado para ser votado en la Plenaria de</w:t>
      </w:r>
      <w:r w:rsidRPr="00D85C08">
        <w:rPr>
          <w:rFonts w:ascii="Times New Roman" w:hAnsi="Times New Roman" w:cs="Times New Roman"/>
          <w:color w:val="2D2D2D"/>
          <w:sz w:val="28"/>
          <w:szCs w:val="28"/>
          <w:lang w:val="es-ES" w:eastAsia="es-CO"/>
        </w:rPr>
        <w:t xml:space="preserve"> </w:t>
      </w:r>
      <w:r w:rsidRPr="00D85C08">
        <w:rPr>
          <w:rFonts w:ascii="Times New Roman" w:hAnsi="Times New Roman" w:cs="Times New Roman"/>
          <w:color w:val="2D2D2D"/>
          <w:sz w:val="28"/>
          <w:szCs w:val="28"/>
          <w:lang w:val="es-ES" w:eastAsia="es-CO"/>
        </w:rPr>
        <w:t>l</w:t>
      </w:r>
      <w:r w:rsidRPr="00D85C08">
        <w:rPr>
          <w:rFonts w:ascii="Times New Roman" w:hAnsi="Times New Roman" w:cs="Times New Roman"/>
          <w:color w:val="2D2D2D"/>
          <w:sz w:val="28"/>
          <w:szCs w:val="28"/>
          <w:lang w:val="es-ES" w:eastAsia="es-CO"/>
        </w:rPr>
        <w:t>a Cámara de Representantes</w:t>
      </w:r>
      <w:r w:rsidRPr="00D85C08">
        <w:rPr>
          <w:rFonts w:ascii="Times New Roman" w:hAnsi="Times New Roman" w:cs="Times New Roman"/>
          <w:color w:val="2D2D2D"/>
          <w:sz w:val="28"/>
          <w:szCs w:val="28"/>
          <w:lang w:val="es-ES" w:eastAsia="es-CO"/>
        </w:rPr>
        <w:t xml:space="preserve"> el </w:t>
      </w:r>
      <w:r w:rsidRPr="00D85C08">
        <w:rPr>
          <w:rFonts w:ascii="Times New Roman" w:hAnsi="Times New Roman" w:cs="Times New Roman"/>
          <w:color w:val="2D2D2D"/>
          <w:sz w:val="28"/>
          <w:szCs w:val="28"/>
          <w:lang w:val="es-ES" w:eastAsia="es-CO"/>
        </w:rPr>
        <w:t>22</w:t>
      </w:r>
      <w:r w:rsidRPr="00D85C08">
        <w:rPr>
          <w:rFonts w:ascii="Times New Roman" w:hAnsi="Times New Roman" w:cs="Times New Roman"/>
          <w:color w:val="2D2D2D"/>
          <w:sz w:val="28"/>
          <w:szCs w:val="28"/>
          <w:lang w:val="es-ES" w:eastAsia="es-CO"/>
        </w:rPr>
        <w:t xml:space="preserve"> de </w:t>
      </w:r>
      <w:r w:rsidRPr="00D85C08">
        <w:rPr>
          <w:rFonts w:ascii="Times New Roman" w:hAnsi="Times New Roman" w:cs="Times New Roman"/>
          <w:color w:val="2D2D2D"/>
          <w:sz w:val="28"/>
          <w:szCs w:val="28"/>
          <w:lang w:val="es-ES" w:eastAsia="es-CO"/>
        </w:rPr>
        <w:t>marzo</w:t>
      </w:r>
      <w:r w:rsidRPr="00D85C08">
        <w:rPr>
          <w:rFonts w:ascii="Times New Roman" w:hAnsi="Times New Roman" w:cs="Times New Roman"/>
          <w:color w:val="2D2D2D"/>
          <w:sz w:val="28"/>
          <w:szCs w:val="28"/>
          <w:lang w:val="es-ES" w:eastAsia="es-CO"/>
        </w:rPr>
        <w:t xml:space="preserve"> de 202</w:t>
      </w:r>
      <w:r w:rsidRPr="00D85C08">
        <w:rPr>
          <w:rFonts w:ascii="Times New Roman" w:hAnsi="Times New Roman" w:cs="Times New Roman"/>
          <w:color w:val="2D2D2D"/>
          <w:sz w:val="28"/>
          <w:szCs w:val="28"/>
          <w:lang w:val="es-ES" w:eastAsia="es-CO"/>
        </w:rPr>
        <w:t>3</w:t>
      </w:r>
      <w:r w:rsidRPr="00D85C08">
        <w:rPr>
          <w:rFonts w:ascii="Times New Roman" w:hAnsi="Times New Roman" w:cs="Times New Roman"/>
          <w:color w:val="2D2D2D"/>
          <w:sz w:val="28"/>
          <w:szCs w:val="28"/>
          <w:lang w:val="es-ES" w:eastAsia="es-CO"/>
        </w:rPr>
        <w:t xml:space="preserve"> en la sesión del día siguiente, según consta en el Acta</w:t>
      </w:r>
      <w:r w:rsidRPr="00D85C08">
        <w:rPr>
          <w:rFonts w:ascii="Times New Roman" w:hAnsi="Times New Roman" w:cs="Times New Roman"/>
          <w:color w:val="2D2D2D"/>
          <w:sz w:val="28"/>
          <w:szCs w:val="28"/>
          <w:lang w:val="es-ES" w:eastAsia="es-CO"/>
        </w:rPr>
        <w:t xml:space="preserve"> </w:t>
      </w:r>
      <w:r w:rsidRPr="00D85C08">
        <w:rPr>
          <w:rFonts w:ascii="Times New Roman" w:hAnsi="Times New Roman" w:cs="Times New Roman"/>
          <w:color w:val="2D2D2D"/>
          <w:sz w:val="28"/>
          <w:szCs w:val="28"/>
          <w:lang w:val="es-ES" w:eastAsia="es-CO"/>
        </w:rPr>
        <w:t>N. 44</w:t>
      </w:r>
      <w:r w:rsidRPr="00D85C08">
        <w:rPr>
          <w:rFonts w:ascii="Times New Roman" w:hAnsi="Times New Roman" w:cs="Times New Roman"/>
          <w:color w:val="2D2D2D"/>
          <w:sz w:val="28"/>
          <w:szCs w:val="28"/>
          <w:lang w:val="es-ES" w:eastAsia="es-CO"/>
        </w:rPr>
        <w:t>, publicada en la Gaceta del Congreso</w:t>
      </w:r>
      <w:r w:rsidRPr="00D85C08">
        <w:rPr>
          <w:rFonts w:ascii="Times New Roman" w:hAnsi="Times New Roman" w:cs="Times New Roman"/>
          <w:color w:val="2D2D2D"/>
          <w:sz w:val="28"/>
          <w:szCs w:val="28"/>
          <w:lang w:val="es-ES" w:eastAsia="es-CO"/>
        </w:rPr>
        <w:t xml:space="preserve"> </w:t>
      </w:r>
      <w:r w:rsidRPr="00D85C08">
        <w:rPr>
          <w:rFonts w:ascii="Times New Roman" w:hAnsi="Times New Roman" w:cs="Times New Roman"/>
          <w:color w:val="2D2D2D"/>
          <w:sz w:val="28"/>
          <w:szCs w:val="28"/>
          <w:lang w:val="es-ES" w:eastAsia="es-CO"/>
        </w:rPr>
        <w:t>475 del 12 de mayo de 2023.</w:t>
      </w:r>
      <w:r w:rsidRPr="00D85C08">
        <w:rPr>
          <w:rFonts w:ascii="Times New Roman" w:hAnsi="Times New Roman" w:cs="Times New Roman"/>
          <w:color w:val="2D2D2D"/>
          <w:sz w:val="28"/>
          <w:szCs w:val="28"/>
          <w:lang w:val="es-ES" w:eastAsia="es-CO"/>
        </w:rPr>
        <w:t xml:space="preserve"> Allí se </w:t>
      </w:r>
      <w:r w:rsidRPr="00D85C08">
        <w:rPr>
          <w:rFonts w:ascii="Times New Roman" w:hAnsi="Times New Roman" w:cs="Times New Roman"/>
          <w:color w:val="2D2D2D"/>
          <w:sz w:val="28"/>
          <w:szCs w:val="28"/>
          <w:lang w:val="es-ES" w:eastAsia="es-CO"/>
        </w:rPr>
        <w:t>anunciaron</w:t>
      </w:r>
      <w:r w:rsidRPr="00D85C08">
        <w:rPr>
          <w:rFonts w:ascii="Times New Roman" w:hAnsi="Times New Roman" w:cs="Times New Roman"/>
          <w:color w:val="2D2D2D"/>
          <w:sz w:val="28"/>
          <w:szCs w:val="28"/>
          <w:lang w:val="es-ES" w:eastAsia="es-CO"/>
        </w:rPr>
        <w:t xml:space="preserve"> </w:t>
      </w:r>
      <w:r w:rsidRPr="00D85C08">
        <w:rPr>
          <w:rFonts w:ascii="Times New Roman" w:hAnsi="Times New Roman" w:cs="Times New Roman"/>
          <w:color w:val="2D2D2D"/>
          <w:sz w:val="28"/>
          <w:szCs w:val="28"/>
          <w:lang w:val="es-ES" w:eastAsia="es-CO"/>
        </w:rPr>
        <w:t>«</w:t>
      </w:r>
      <w:r w:rsidRPr="00D85C08">
        <w:rPr>
          <w:rFonts w:ascii="Times New Roman" w:hAnsi="Times New Roman" w:cs="Times New Roman"/>
          <w:color w:val="2D2D2D"/>
          <w:sz w:val="28"/>
          <w:szCs w:val="28"/>
          <w:lang w:val="es-ES" w:eastAsia="es-CO"/>
        </w:rPr>
        <w:t>los proyectos de ley de informes de conciliación para la próxima sesión del lunes 27 de marzo o para</w:t>
      </w:r>
      <w:r w:rsidRPr="00D85C08">
        <w:rPr>
          <w:rFonts w:ascii="Times New Roman" w:hAnsi="Times New Roman" w:cs="Times New Roman"/>
          <w:color w:val="2D2D2D"/>
          <w:sz w:val="28"/>
          <w:szCs w:val="28"/>
          <w:lang w:val="es-ES" w:eastAsia="es-CO"/>
        </w:rPr>
        <w:t xml:space="preserve"> la siguiente sesión donde se discuten y votan proyectos de ley</w:t>
      </w:r>
      <w:r w:rsidRPr="00D85C08">
        <w:rPr>
          <w:rFonts w:ascii="Times New Roman" w:hAnsi="Times New Roman" w:cs="Times New Roman"/>
          <w:color w:val="2D2D2D"/>
          <w:sz w:val="28"/>
          <w:szCs w:val="28"/>
          <w:lang w:val="es-ES" w:eastAsia="es-CO"/>
        </w:rPr>
        <w:t>»</w:t>
      </w:r>
      <w:r w:rsidRPr="00D85C08">
        <w:rPr>
          <w:rStyle w:val="Refdenotaalpie"/>
          <w:rFonts w:ascii="Times New Roman" w:hAnsi="Times New Roman" w:cs="Times New Roman"/>
          <w:color w:val="2D2D2D"/>
          <w:sz w:val="28"/>
          <w:szCs w:val="28"/>
          <w:lang w:val="es-ES" w:eastAsia="es-CO"/>
        </w:rPr>
        <w:footnoteReference w:id="52"/>
      </w:r>
      <w:r w:rsidRPr="00D85C08">
        <w:rPr>
          <w:rFonts w:ascii="Times New Roman" w:hAnsi="Times New Roman" w:cs="Times New Roman"/>
          <w:color w:val="2D2D2D"/>
          <w:sz w:val="28"/>
          <w:szCs w:val="28"/>
          <w:lang w:val="es-ES" w:eastAsia="es-CO"/>
        </w:rPr>
        <w:t>.</w:t>
      </w:r>
      <w:r w:rsidRPr="00D85C08">
        <w:rPr>
          <w:rFonts w:ascii="Times New Roman" w:hAnsi="Times New Roman" w:cs="Times New Roman"/>
          <w:color w:val="2D2D2D"/>
          <w:sz w:val="28"/>
          <w:szCs w:val="28"/>
          <w:lang w:val="es-ES" w:eastAsia="es-CO"/>
        </w:rPr>
        <w:cr/>
      </w:r>
      <w:r w:rsidRPr="00D85C08">
        <w:rPr>
          <w:rFonts w:ascii="Times New Roman" w:hAnsi="Times New Roman" w:cs="Times New Roman"/>
          <w:color w:val="2D2D2D"/>
          <w:sz w:val="28"/>
          <w:szCs w:val="28"/>
          <w:lang w:val="es-ES" w:eastAsia="es-CO"/>
        </w:rPr>
        <w:t> </w:t>
      </w:r>
    </w:p>
    <w:p w:rsidR="004D5ADA" w:rsidRPr="00D85C08" w:rsidRDefault="00D85C08" w:rsidP="00E54CDC">
      <w:pPr>
        <w:pStyle w:val="Prrafodelista"/>
        <w:numPr>
          <w:ilvl w:val="0"/>
          <w:numId w:val="1"/>
        </w:numPr>
        <w:shd w:val="clear" w:color="auto" w:fill="FFFFFF"/>
        <w:ind w:left="0" w:right="191" w:firstLine="0"/>
        <w:jc w:val="both"/>
        <w:rPr>
          <w:rFonts w:ascii="Times New Roman" w:hAnsi="Times New Roman" w:cs="Times New Roman"/>
          <w:color w:val="2D2D2D"/>
          <w:sz w:val="28"/>
          <w:lang w:eastAsia="es-CO"/>
        </w:rPr>
      </w:pPr>
      <w:r w:rsidRPr="00D85C08">
        <w:rPr>
          <w:rFonts w:ascii="Times New Roman" w:hAnsi="Times New Roman" w:cs="Times New Roman"/>
          <w:color w:val="2D2D2D"/>
          <w:sz w:val="28"/>
          <w:szCs w:val="28"/>
          <w:lang w:val="es-ES" w:eastAsia="es-CO"/>
        </w:rPr>
        <w:t xml:space="preserve">Por su parte, el </w:t>
      </w:r>
      <w:r w:rsidRPr="00D85C08">
        <w:rPr>
          <w:rFonts w:ascii="Times New Roman" w:hAnsi="Times New Roman" w:cs="Times New Roman"/>
          <w:color w:val="2D2D2D"/>
          <w:sz w:val="28"/>
          <w:szCs w:val="28"/>
          <w:lang w:val="es-ES" w:eastAsia="es-CO"/>
        </w:rPr>
        <w:t xml:space="preserve">27 </w:t>
      </w:r>
      <w:r w:rsidRPr="00D85C08">
        <w:rPr>
          <w:rFonts w:ascii="Times New Roman" w:hAnsi="Times New Roman" w:cs="Times New Roman"/>
          <w:color w:val="2D2D2D"/>
          <w:sz w:val="28"/>
          <w:szCs w:val="28"/>
          <w:lang w:val="es-ES" w:eastAsia="es-CO"/>
        </w:rPr>
        <w:t xml:space="preserve">de </w:t>
      </w:r>
      <w:r w:rsidRPr="00D85C08">
        <w:rPr>
          <w:rFonts w:ascii="Times New Roman" w:hAnsi="Times New Roman" w:cs="Times New Roman"/>
          <w:color w:val="2D2D2D"/>
          <w:sz w:val="28"/>
          <w:szCs w:val="28"/>
          <w:lang w:val="es-ES" w:eastAsia="es-CO"/>
        </w:rPr>
        <w:t>marzo</w:t>
      </w:r>
      <w:r w:rsidRPr="00D85C08">
        <w:rPr>
          <w:rFonts w:ascii="Times New Roman" w:hAnsi="Times New Roman" w:cs="Times New Roman"/>
          <w:color w:val="2D2D2D"/>
          <w:sz w:val="28"/>
          <w:szCs w:val="28"/>
          <w:lang w:val="es-ES" w:eastAsia="es-CO"/>
        </w:rPr>
        <w:t xml:space="preserve"> de 20</w:t>
      </w:r>
      <w:r w:rsidRPr="00D85C08">
        <w:rPr>
          <w:rFonts w:ascii="Times New Roman" w:hAnsi="Times New Roman" w:cs="Times New Roman"/>
          <w:color w:val="2D2D2D"/>
          <w:sz w:val="28"/>
          <w:szCs w:val="28"/>
          <w:lang w:val="es-ES" w:eastAsia="es-CO"/>
        </w:rPr>
        <w:t>23</w:t>
      </w:r>
      <w:r w:rsidRPr="00D85C08">
        <w:rPr>
          <w:rFonts w:ascii="Times New Roman" w:hAnsi="Times New Roman" w:cs="Times New Roman"/>
          <w:color w:val="2D2D2D"/>
          <w:sz w:val="28"/>
          <w:szCs w:val="28"/>
          <w:lang w:val="es-ES" w:eastAsia="es-CO"/>
        </w:rPr>
        <w:t xml:space="preserve">, tal y como consta en el Acta N. </w:t>
      </w:r>
      <w:r w:rsidRPr="00D85C08">
        <w:rPr>
          <w:rFonts w:ascii="Times New Roman" w:hAnsi="Times New Roman" w:cs="Times New Roman"/>
          <w:color w:val="2D2D2D"/>
          <w:sz w:val="28"/>
          <w:szCs w:val="28"/>
          <w:lang w:val="es-ES" w:eastAsia="es-CO"/>
        </w:rPr>
        <w:t>45 de ese mismo día</w:t>
      </w:r>
      <w:r w:rsidRPr="00D85C08">
        <w:rPr>
          <w:rFonts w:ascii="Times New Roman" w:hAnsi="Times New Roman" w:cs="Times New Roman"/>
          <w:color w:val="2D2D2D"/>
          <w:sz w:val="28"/>
          <w:szCs w:val="28"/>
          <w:lang w:val="es-ES" w:eastAsia="es-CO"/>
        </w:rPr>
        <w:t xml:space="preserve">, publicada en la Gaceta del Congreso </w:t>
      </w:r>
      <w:r w:rsidRPr="00D85C08">
        <w:rPr>
          <w:rFonts w:ascii="Times New Roman" w:hAnsi="Times New Roman" w:cs="Times New Roman"/>
          <w:color w:val="2D2D2D"/>
          <w:sz w:val="28"/>
          <w:szCs w:val="28"/>
          <w:lang w:val="es-ES" w:eastAsia="es-CO"/>
        </w:rPr>
        <w:t>556</w:t>
      </w:r>
      <w:r w:rsidRPr="00D85C08">
        <w:rPr>
          <w:rFonts w:ascii="Times New Roman" w:hAnsi="Times New Roman" w:cs="Times New Roman"/>
          <w:color w:val="2D2D2D"/>
          <w:sz w:val="28"/>
          <w:szCs w:val="28"/>
          <w:lang w:val="es-ES" w:eastAsia="es-CO"/>
        </w:rPr>
        <w:t xml:space="preserve"> del </w:t>
      </w:r>
      <w:r w:rsidRPr="00D85C08">
        <w:rPr>
          <w:rFonts w:ascii="Times New Roman" w:hAnsi="Times New Roman" w:cs="Times New Roman"/>
          <w:color w:val="2D2D2D"/>
          <w:sz w:val="28"/>
          <w:szCs w:val="28"/>
          <w:lang w:val="es-ES" w:eastAsia="es-CO"/>
        </w:rPr>
        <w:t>29</w:t>
      </w:r>
      <w:r w:rsidRPr="00D85C08">
        <w:rPr>
          <w:rFonts w:ascii="Times New Roman" w:hAnsi="Times New Roman" w:cs="Times New Roman"/>
          <w:color w:val="2D2D2D"/>
          <w:sz w:val="28"/>
          <w:szCs w:val="28"/>
          <w:lang w:val="es-ES" w:eastAsia="es-CO"/>
        </w:rPr>
        <w:t xml:space="preserve"> de </w:t>
      </w:r>
      <w:r w:rsidRPr="00D85C08">
        <w:rPr>
          <w:rFonts w:ascii="Times New Roman" w:hAnsi="Times New Roman" w:cs="Times New Roman"/>
          <w:color w:val="2D2D2D"/>
          <w:sz w:val="28"/>
          <w:szCs w:val="28"/>
          <w:lang w:val="es-ES" w:eastAsia="es-CO"/>
        </w:rPr>
        <w:t>mayo</w:t>
      </w:r>
      <w:r w:rsidRPr="00D85C08">
        <w:rPr>
          <w:rFonts w:ascii="Times New Roman" w:hAnsi="Times New Roman" w:cs="Times New Roman"/>
          <w:color w:val="2D2D2D"/>
          <w:sz w:val="28"/>
          <w:szCs w:val="28"/>
          <w:lang w:val="es-ES" w:eastAsia="es-CO"/>
        </w:rPr>
        <w:t xml:space="preserve"> de 202</w:t>
      </w:r>
      <w:r w:rsidRPr="00D85C08">
        <w:rPr>
          <w:rFonts w:ascii="Times New Roman" w:hAnsi="Times New Roman" w:cs="Times New Roman"/>
          <w:color w:val="2D2D2D"/>
          <w:sz w:val="28"/>
          <w:szCs w:val="28"/>
          <w:lang w:val="es-ES" w:eastAsia="es-CO"/>
        </w:rPr>
        <w:t>3</w:t>
      </w:r>
      <w:r w:rsidRPr="00D85C08">
        <w:rPr>
          <w:rFonts w:ascii="Times New Roman" w:hAnsi="Times New Roman" w:cs="Times New Roman"/>
          <w:color w:val="2D2D2D"/>
          <w:sz w:val="28"/>
          <w:szCs w:val="28"/>
          <w:lang w:val="es-ES" w:eastAsia="es-CO"/>
        </w:rPr>
        <w:t>, luego de que se le diera lectura</w:t>
      </w:r>
      <w:r w:rsidRPr="00D85C08">
        <w:rPr>
          <w:rFonts w:ascii="Times New Roman" w:hAnsi="Times New Roman" w:cs="Times New Roman"/>
          <w:color w:val="2D2D2D"/>
          <w:sz w:val="28"/>
          <w:szCs w:val="28"/>
          <w:lang w:val="es-ES" w:eastAsia="es-CO"/>
        </w:rPr>
        <w:t xml:space="preserve"> al informe de conciliación y se verificara el quorum deliberatorio y decisorio, se procedió a su votación, la cual fue aprobada por </w:t>
      </w:r>
      <w:r w:rsidRPr="00D85C08">
        <w:rPr>
          <w:rFonts w:ascii="Times New Roman" w:hAnsi="Times New Roman" w:cs="Times New Roman"/>
          <w:color w:val="2D2D2D"/>
          <w:sz w:val="28"/>
          <w:szCs w:val="28"/>
          <w:lang w:val="es-ES" w:eastAsia="es-CO"/>
        </w:rPr>
        <w:t>11</w:t>
      </w:r>
      <w:r w:rsidRPr="00D85C08">
        <w:rPr>
          <w:rFonts w:ascii="Times New Roman" w:hAnsi="Times New Roman" w:cs="Times New Roman"/>
          <w:color w:val="2D2D2D"/>
          <w:sz w:val="28"/>
          <w:szCs w:val="28"/>
          <w:lang w:val="es-ES" w:eastAsia="es-CO"/>
        </w:rPr>
        <w:t>2</w:t>
      </w:r>
      <w:r w:rsidRPr="00D85C08">
        <w:rPr>
          <w:rFonts w:ascii="Times New Roman" w:hAnsi="Times New Roman" w:cs="Times New Roman"/>
          <w:color w:val="2D2D2D"/>
          <w:sz w:val="28"/>
          <w:szCs w:val="28"/>
          <w:lang w:val="es-ES" w:eastAsia="es-CO"/>
        </w:rPr>
        <w:t xml:space="preserve"> votos</w:t>
      </w:r>
      <w:r w:rsidRPr="00D85C08">
        <w:rPr>
          <w:rStyle w:val="Refdenotaalpie"/>
          <w:rFonts w:ascii="Times New Roman" w:hAnsi="Times New Roman" w:cs="Times New Roman"/>
          <w:color w:val="2D2D2D"/>
          <w:sz w:val="28"/>
          <w:szCs w:val="28"/>
          <w:lang w:val="es-ES" w:eastAsia="es-CO"/>
        </w:rPr>
        <w:footnoteReference w:id="53"/>
      </w:r>
      <w:r w:rsidRPr="00D85C08">
        <w:rPr>
          <w:rFonts w:ascii="Times New Roman" w:hAnsi="Times New Roman" w:cs="Times New Roman"/>
          <w:color w:val="2D2D2D"/>
          <w:sz w:val="28"/>
          <w:szCs w:val="28"/>
          <w:lang w:val="es-ES" w:eastAsia="es-CO"/>
        </w:rPr>
        <w:t>.</w:t>
      </w:r>
    </w:p>
    <w:p w:rsidR="004D5ADA" w:rsidRPr="00D85C08" w:rsidRDefault="00D85C08" w:rsidP="00E54CDC">
      <w:pPr>
        <w:shd w:val="clear" w:color="auto" w:fill="FFFFFF"/>
        <w:spacing w:after="0" w:line="240" w:lineRule="auto"/>
        <w:ind w:right="191"/>
        <w:jc w:val="both"/>
        <w:rPr>
          <w:rFonts w:ascii="Times New Roman" w:eastAsia="Times New Roman" w:hAnsi="Times New Roman" w:cs="Times New Roman"/>
          <w:color w:val="2D2D2D"/>
          <w:sz w:val="28"/>
          <w:szCs w:val="24"/>
        </w:rPr>
      </w:pPr>
    </w:p>
    <w:p w:rsidR="004D5ADA" w:rsidRPr="00D85C08" w:rsidRDefault="00D85C08" w:rsidP="00E54CDC">
      <w:pPr>
        <w:pStyle w:val="Prrafodelista"/>
        <w:numPr>
          <w:ilvl w:val="0"/>
          <w:numId w:val="1"/>
        </w:numPr>
        <w:shd w:val="clear" w:color="auto" w:fill="FFFFFF"/>
        <w:ind w:left="0" w:right="191" w:firstLine="0"/>
        <w:jc w:val="both"/>
        <w:rPr>
          <w:rFonts w:ascii="Times New Roman" w:hAnsi="Times New Roman" w:cs="Times New Roman"/>
          <w:color w:val="2D2D2D"/>
          <w:sz w:val="28"/>
          <w:lang w:eastAsia="es-CO"/>
        </w:rPr>
      </w:pPr>
      <w:r w:rsidRPr="00D85C08">
        <w:rPr>
          <w:rFonts w:ascii="Times New Roman" w:hAnsi="Times New Roman" w:cs="Times New Roman"/>
          <w:color w:val="2D2D2D"/>
          <w:sz w:val="28"/>
          <w:szCs w:val="28"/>
          <w:lang w:val="es-ES" w:eastAsia="es-CO"/>
        </w:rPr>
        <w:t xml:space="preserve">En la sesión del </w:t>
      </w:r>
      <w:r w:rsidRPr="00D85C08">
        <w:rPr>
          <w:rFonts w:ascii="Times New Roman" w:hAnsi="Times New Roman" w:cs="Times New Roman"/>
          <w:color w:val="2D2D2D"/>
          <w:sz w:val="28"/>
          <w:szCs w:val="28"/>
          <w:lang w:val="es-ES" w:eastAsia="es-CO"/>
        </w:rPr>
        <w:t>22 de marzo</w:t>
      </w:r>
      <w:r w:rsidRPr="00D85C08">
        <w:rPr>
          <w:rFonts w:ascii="Times New Roman" w:hAnsi="Times New Roman" w:cs="Times New Roman"/>
          <w:color w:val="2D2D2D"/>
          <w:sz w:val="28"/>
          <w:szCs w:val="28"/>
          <w:lang w:val="es-ES" w:eastAsia="es-CO"/>
        </w:rPr>
        <w:t xml:space="preserve"> </w:t>
      </w:r>
      <w:r w:rsidRPr="00D85C08">
        <w:rPr>
          <w:rFonts w:ascii="Times New Roman" w:hAnsi="Times New Roman" w:cs="Times New Roman"/>
          <w:color w:val="2D2D2D"/>
          <w:sz w:val="28"/>
          <w:szCs w:val="28"/>
          <w:lang w:val="es-ES" w:eastAsia="es-CO"/>
        </w:rPr>
        <w:t>de 202</w:t>
      </w:r>
      <w:r w:rsidRPr="00D85C08">
        <w:rPr>
          <w:rFonts w:ascii="Times New Roman" w:hAnsi="Times New Roman" w:cs="Times New Roman"/>
          <w:color w:val="2D2D2D"/>
          <w:sz w:val="28"/>
          <w:szCs w:val="28"/>
          <w:lang w:val="es-ES" w:eastAsia="es-CO"/>
        </w:rPr>
        <w:t>3</w:t>
      </w:r>
      <w:r w:rsidRPr="00D85C08">
        <w:rPr>
          <w:rFonts w:ascii="Times New Roman" w:hAnsi="Times New Roman" w:cs="Times New Roman"/>
          <w:color w:val="2D2D2D"/>
          <w:sz w:val="28"/>
          <w:szCs w:val="28"/>
          <w:lang w:val="es-ES" w:eastAsia="es-CO"/>
        </w:rPr>
        <w:t xml:space="preserve"> de la Plenaria del Senado</w:t>
      </w:r>
      <w:r w:rsidRPr="00D85C08">
        <w:rPr>
          <w:rFonts w:ascii="Times New Roman" w:hAnsi="Times New Roman" w:cs="Times New Roman"/>
          <w:color w:val="2D2D2D"/>
          <w:sz w:val="28"/>
          <w:szCs w:val="28"/>
          <w:lang w:val="es-ES" w:eastAsia="es-CO"/>
        </w:rPr>
        <w:t xml:space="preserve">, se anuncia la votación del informe </w:t>
      </w:r>
      <w:r w:rsidRPr="00D85C08">
        <w:rPr>
          <w:rFonts w:ascii="Times New Roman" w:hAnsi="Times New Roman" w:cs="Times New Roman"/>
          <w:color w:val="2D2D2D"/>
          <w:sz w:val="28"/>
          <w:szCs w:val="28"/>
          <w:lang w:val="es-ES" w:eastAsia="es-CO"/>
        </w:rPr>
        <w:t xml:space="preserve">de </w:t>
      </w:r>
      <w:r w:rsidRPr="00D85C08">
        <w:rPr>
          <w:rFonts w:ascii="Times New Roman" w:hAnsi="Times New Roman" w:cs="Times New Roman"/>
          <w:color w:val="2D2D2D"/>
          <w:sz w:val="28"/>
          <w:szCs w:val="28"/>
          <w:lang w:val="es-ES" w:eastAsia="es-CO"/>
        </w:rPr>
        <w:t>conciliación</w:t>
      </w:r>
      <w:r w:rsidRPr="00D85C08">
        <w:rPr>
          <w:rFonts w:ascii="Times New Roman" w:hAnsi="Times New Roman" w:cs="Times New Roman"/>
          <w:color w:val="2D2D2D"/>
          <w:sz w:val="28"/>
          <w:szCs w:val="28"/>
          <w:lang w:val="es-ES" w:eastAsia="es-CO"/>
        </w:rPr>
        <w:t xml:space="preserve">, tal y como consta en el Acta No. </w:t>
      </w:r>
      <w:r w:rsidRPr="00D85C08">
        <w:rPr>
          <w:rFonts w:ascii="Times New Roman" w:hAnsi="Times New Roman" w:cs="Times New Roman"/>
          <w:color w:val="2D2D2D"/>
          <w:sz w:val="28"/>
          <w:szCs w:val="28"/>
          <w:lang w:val="es-ES" w:eastAsia="es-CO"/>
        </w:rPr>
        <w:t>40</w:t>
      </w:r>
      <w:r w:rsidRPr="00D85C08">
        <w:rPr>
          <w:rFonts w:ascii="Times New Roman" w:hAnsi="Times New Roman" w:cs="Times New Roman"/>
          <w:color w:val="2D2D2D"/>
          <w:sz w:val="28"/>
          <w:szCs w:val="28"/>
          <w:lang w:val="es-ES" w:eastAsia="es-CO"/>
        </w:rPr>
        <w:t xml:space="preserve">, publicada en la Gaceta del Congreso </w:t>
      </w:r>
      <w:r w:rsidRPr="00D85C08">
        <w:rPr>
          <w:rFonts w:ascii="Times New Roman" w:hAnsi="Times New Roman" w:cs="Times New Roman"/>
          <w:color w:val="2D2D2D"/>
          <w:sz w:val="28"/>
          <w:szCs w:val="28"/>
          <w:lang w:val="es-ES" w:eastAsia="es-CO"/>
        </w:rPr>
        <w:t>432 del 8 de mayo de 2023</w:t>
      </w:r>
      <w:r w:rsidRPr="00D85C08">
        <w:rPr>
          <w:rFonts w:ascii="Times New Roman" w:hAnsi="Times New Roman" w:cs="Times New Roman"/>
          <w:color w:val="2D2D2D"/>
          <w:sz w:val="28"/>
          <w:szCs w:val="28"/>
          <w:lang w:val="es-ES" w:eastAsia="es-CO"/>
        </w:rPr>
        <w:t xml:space="preserve">. Allí se </w:t>
      </w:r>
      <w:r w:rsidRPr="00D85C08">
        <w:rPr>
          <w:rFonts w:ascii="Times New Roman" w:hAnsi="Times New Roman" w:cs="Times New Roman"/>
          <w:color w:val="2D2D2D"/>
          <w:sz w:val="28"/>
          <w:szCs w:val="28"/>
          <w:lang w:val="es-ES" w:eastAsia="es-CO"/>
        </w:rPr>
        <w:t>anunciaron</w:t>
      </w:r>
      <w:r w:rsidRPr="00D85C08">
        <w:rPr>
          <w:rFonts w:ascii="Times New Roman" w:hAnsi="Times New Roman" w:cs="Times New Roman"/>
          <w:color w:val="2D2D2D"/>
          <w:sz w:val="28"/>
          <w:szCs w:val="28"/>
          <w:lang w:val="es-ES" w:eastAsia="es-CO"/>
        </w:rPr>
        <w:t xml:space="preserve"> «los proyectos </w:t>
      </w:r>
      <w:r w:rsidRPr="00D85C08">
        <w:rPr>
          <w:rFonts w:ascii="Times New Roman" w:hAnsi="Times New Roman" w:cs="Times New Roman"/>
          <w:color w:val="2D2D2D"/>
          <w:sz w:val="28"/>
          <w:szCs w:val="28"/>
          <w:lang w:eastAsia="es-CO"/>
        </w:rPr>
        <w:t>de ley o de acto legislativo que serán considerados y eventualmente votados en la sesión plenaria del honora</w:t>
      </w:r>
      <w:r w:rsidRPr="00D85C08">
        <w:rPr>
          <w:rFonts w:ascii="Times New Roman" w:hAnsi="Times New Roman" w:cs="Times New Roman"/>
          <w:color w:val="2D2D2D"/>
          <w:sz w:val="28"/>
          <w:szCs w:val="28"/>
          <w:lang w:eastAsia="es-CO"/>
        </w:rPr>
        <w:t>ble Senado de la República siguiente a la del día 22 de marzo 22 de marzo de 2023»</w:t>
      </w:r>
      <w:r w:rsidRPr="00D85C08">
        <w:rPr>
          <w:rStyle w:val="Refdenotaalpie"/>
          <w:rFonts w:ascii="Times New Roman" w:hAnsi="Times New Roman" w:cs="Times New Roman"/>
          <w:color w:val="2D2D2D"/>
          <w:sz w:val="28"/>
          <w:szCs w:val="28"/>
          <w:lang w:eastAsia="es-CO"/>
        </w:rPr>
        <w:footnoteReference w:id="54"/>
      </w:r>
      <w:r w:rsidRPr="00D85C08">
        <w:rPr>
          <w:rFonts w:ascii="Times New Roman" w:hAnsi="Times New Roman" w:cs="Times New Roman"/>
          <w:color w:val="2D2D2D"/>
          <w:sz w:val="28"/>
          <w:szCs w:val="28"/>
          <w:lang w:eastAsia="es-CO"/>
        </w:rPr>
        <w:t>.</w:t>
      </w:r>
    </w:p>
    <w:p w:rsidR="004D5ADA" w:rsidRPr="00D85C08" w:rsidRDefault="00D85C08" w:rsidP="00E54CDC">
      <w:pPr>
        <w:shd w:val="clear" w:color="auto" w:fill="FFFFFF"/>
        <w:spacing w:after="0" w:line="240" w:lineRule="auto"/>
        <w:ind w:right="191"/>
        <w:jc w:val="both"/>
        <w:rPr>
          <w:rFonts w:ascii="Times New Roman" w:eastAsia="Times New Roman" w:hAnsi="Times New Roman" w:cs="Times New Roman"/>
          <w:color w:val="2D2D2D"/>
          <w:sz w:val="28"/>
          <w:szCs w:val="24"/>
        </w:rPr>
      </w:pPr>
    </w:p>
    <w:p w:rsidR="004D5ADA" w:rsidRPr="00D85C08" w:rsidRDefault="00D85C08" w:rsidP="00E54CDC">
      <w:pPr>
        <w:pStyle w:val="Prrafodelista"/>
        <w:numPr>
          <w:ilvl w:val="0"/>
          <w:numId w:val="1"/>
        </w:numPr>
        <w:shd w:val="clear" w:color="auto" w:fill="FFFFFF"/>
        <w:ind w:left="0" w:right="191" w:firstLine="0"/>
        <w:jc w:val="both"/>
        <w:rPr>
          <w:rFonts w:ascii="Times New Roman" w:hAnsi="Times New Roman" w:cs="Times New Roman"/>
          <w:color w:val="2D2D2D"/>
          <w:sz w:val="28"/>
          <w:lang w:eastAsia="es-CO"/>
        </w:rPr>
      </w:pPr>
      <w:r w:rsidRPr="00D85C08">
        <w:rPr>
          <w:rFonts w:ascii="Times New Roman" w:hAnsi="Times New Roman" w:cs="Times New Roman"/>
          <w:color w:val="2D2D2D"/>
          <w:sz w:val="28"/>
          <w:szCs w:val="28"/>
          <w:lang w:val="es-ES" w:eastAsia="es-CO"/>
        </w:rPr>
        <w:t xml:space="preserve">Finalmente, el </w:t>
      </w:r>
      <w:r w:rsidRPr="00D85C08">
        <w:rPr>
          <w:rFonts w:ascii="Times New Roman" w:hAnsi="Times New Roman" w:cs="Times New Roman"/>
          <w:color w:val="2D2D2D"/>
          <w:sz w:val="28"/>
          <w:szCs w:val="28"/>
          <w:lang w:val="es-ES" w:eastAsia="es-CO"/>
        </w:rPr>
        <w:t>28 de marzo</w:t>
      </w:r>
      <w:r w:rsidRPr="00D85C08">
        <w:rPr>
          <w:rFonts w:ascii="Times New Roman" w:hAnsi="Times New Roman" w:cs="Times New Roman"/>
          <w:color w:val="2D2D2D"/>
          <w:sz w:val="28"/>
          <w:szCs w:val="28"/>
          <w:lang w:val="es-ES" w:eastAsia="es-CO"/>
        </w:rPr>
        <w:t xml:space="preserve"> de 202</w:t>
      </w:r>
      <w:r w:rsidRPr="00D85C08">
        <w:rPr>
          <w:rFonts w:ascii="Times New Roman" w:hAnsi="Times New Roman" w:cs="Times New Roman"/>
          <w:color w:val="2D2D2D"/>
          <w:sz w:val="28"/>
          <w:szCs w:val="28"/>
          <w:lang w:val="es-ES" w:eastAsia="es-CO"/>
        </w:rPr>
        <w:t>3</w:t>
      </w:r>
      <w:r w:rsidRPr="00D85C08">
        <w:rPr>
          <w:rFonts w:ascii="Times New Roman" w:hAnsi="Times New Roman" w:cs="Times New Roman"/>
          <w:color w:val="2D2D2D"/>
          <w:sz w:val="28"/>
          <w:szCs w:val="28"/>
          <w:lang w:val="es-ES" w:eastAsia="es-CO"/>
        </w:rPr>
        <w:t>, luego de dar lectura al informe de conciliación la Plenaria de</w:t>
      </w:r>
      <w:r w:rsidRPr="00D85C08">
        <w:rPr>
          <w:rFonts w:ascii="Times New Roman" w:hAnsi="Times New Roman" w:cs="Times New Roman"/>
          <w:color w:val="2D2D2D"/>
          <w:sz w:val="28"/>
          <w:szCs w:val="28"/>
          <w:lang w:val="es-ES" w:eastAsia="es-CO"/>
        </w:rPr>
        <w:t>l Senado lo aprobó por 6</w:t>
      </w:r>
      <w:r w:rsidRPr="00D85C08">
        <w:rPr>
          <w:rFonts w:ascii="Times New Roman" w:hAnsi="Times New Roman" w:cs="Times New Roman"/>
          <w:color w:val="2D2D2D"/>
          <w:sz w:val="28"/>
          <w:szCs w:val="28"/>
          <w:lang w:val="es-ES" w:eastAsia="es-CO"/>
        </w:rPr>
        <w:t>5</w:t>
      </w:r>
      <w:r w:rsidRPr="00D85C08">
        <w:rPr>
          <w:rFonts w:ascii="Times New Roman" w:hAnsi="Times New Roman" w:cs="Times New Roman"/>
          <w:color w:val="2D2D2D"/>
          <w:sz w:val="28"/>
          <w:szCs w:val="28"/>
          <w:lang w:val="es-ES" w:eastAsia="es-CO"/>
        </w:rPr>
        <w:t xml:space="preserve"> votos por el sí, tal y como consta en el Acta No. </w:t>
      </w:r>
      <w:r w:rsidRPr="00D85C08">
        <w:rPr>
          <w:rFonts w:ascii="Times New Roman" w:hAnsi="Times New Roman" w:cs="Times New Roman"/>
          <w:color w:val="2D2D2D"/>
          <w:sz w:val="28"/>
          <w:szCs w:val="28"/>
          <w:lang w:val="es-ES" w:eastAsia="es-CO"/>
        </w:rPr>
        <w:t>41 de la misma fecha</w:t>
      </w:r>
      <w:r w:rsidRPr="00D85C08">
        <w:rPr>
          <w:rStyle w:val="Refdenotaalpie"/>
          <w:rFonts w:ascii="Times New Roman" w:hAnsi="Times New Roman" w:cs="Times New Roman"/>
          <w:color w:val="2D2D2D"/>
          <w:sz w:val="28"/>
          <w:szCs w:val="28"/>
          <w:lang w:val="es-ES" w:eastAsia="es-CO"/>
        </w:rPr>
        <w:footnoteReference w:id="55"/>
      </w:r>
      <w:r w:rsidRPr="00D85C08">
        <w:rPr>
          <w:rFonts w:ascii="Times New Roman" w:hAnsi="Times New Roman" w:cs="Times New Roman"/>
          <w:color w:val="2D2D2D"/>
          <w:sz w:val="28"/>
          <w:szCs w:val="28"/>
          <w:lang w:val="es-ES" w:eastAsia="es-CO"/>
        </w:rPr>
        <w:t>, publicada en la Gaceta del Congreso 436</w:t>
      </w:r>
      <w:r w:rsidRPr="00D85C08">
        <w:rPr>
          <w:rFonts w:ascii="Times New Roman" w:hAnsi="Times New Roman" w:cs="Times New Roman"/>
          <w:color w:val="2D2D2D"/>
          <w:sz w:val="28"/>
          <w:szCs w:val="28"/>
          <w:lang w:val="es-ES" w:eastAsia="es-CO"/>
        </w:rPr>
        <w:t xml:space="preserve"> del 8 de mayo de 2023</w:t>
      </w:r>
      <w:r w:rsidRPr="00D85C08">
        <w:rPr>
          <w:rFonts w:ascii="Times New Roman" w:hAnsi="Times New Roman" w:cs="Times New Roman"/>
          <w:color w:val="2D2D2D"/>
          <w:sz w:val="28"/>
          <w:szCs w:val="28"/>
          <w:lang w:val="es-ES" w:eastAsia="es-CO"/>
        </w:rPr>
        <w:t>.</w:t>
      </w:r>
    </w:p>
    <w:p w:rsidR="0007760C" w:rsidRPr="00D85C08" w:rsidRDefault="00D85C08" w:rsidP="00AC018A">
      <w:pPr>
        <w:spacing w:after="0" w:line="240" w:lineRule="auto"/>
        <w:contextualSpacing/>
        <w:jc w:val="both"/>
        <w:rPr>
          <w:rFonts w:ascii="Times New Roman" w:eastAsia="Times New Roman" w:hAnsi="Times New Roman" w:cs="Times New Roman"/>
          <w:sz w:val="28"/>
          <w:szCs w:val="28"/>
          <w:lang w:eastAsia="es-MX"/>
        </w:rPr>
      </w:pPr>
    </w:p>
    <w:p w:rsidR="0007760C" w:rsidRPr="00D85C08" w:rsidRDefault="00D85C08" w:rsidP="00E54CDC">
      <w:pPr>
        <w:pStyle w:val="Prrafodelista"/>
        <w:numPr>
          <w:ilvl w:val="0"/>
          <w:numId w:val="1"/>
        </w:numPr>
        <w:ind w:left="0" w:firstLine="0"/>
        <w:jc w:val="both"/>
        <w:rPr>
          <w:rFonts w:ascii="Times New Roman" w:hAnsi="Times New Roman" w:cs="Times New Roman"/>
          <w:sz w:val="28"/>
          <w:szCs w:val="28"/>
        </w:rPr>
      </w:pPr>
      <w:r w:rsidRPr="00D85C08">
        <w:rPr>
          <w:rFonts w:ascii="Times New Roman" w:hAnsi="Times New Roman" w:cs="Times New Roman"/>
          <w:sz w:val="28"/>
          <w:szCs w:val="28"/>
        </w:rPr>
        <w:t>A continuación, se precisa la forma en que se dio cumplimiento a la exigencia del qu</w:t>
      </w:r>
      <w:r w:rsidRPr="00D85C08">
        <w:rPr>
          <w:rFonts w:ascii="Times New Roman" w:hAnsi="Times New Roman" w:cs="Times New Roman"/>
          <w:sz w:val="28"/>
          <w:szCs w:val="28"/>
        </w:rPr>
        <w:t>o</w:t>
      </w:r>
      <w:r w:rsidRPr="00D85C08">
        <w:rPr>
          <w:rFonts w:ascii="Times New Roman" w:hAnsi="Times New Roman" w:cs="Times New Roman"/>
          <w:sz w:val="28"/>
          <w:szCs w:val="28"/>
        </w:rPr>
        <w:t xml:space="preserve">rum deliberatorio y decisorio, </w:t>
      </w:r>
      <w:r w:rsidRPr="00D85C08">
        <w:rPr>
          <w:rFonts w:ascii="Times New Roman" w:hAnsi="Times New Roman" w:cs="Times New Roman"/>
          <w:sz w:val="28"/>
          <w:szCs w:val="28"/>
        </w:rPr>
        <w:t xml:space="preserve">que establece el artículo 145 de la Constitución, así como a la de votación nominal y pública que exige su artículo 133, para la aprobación de: (a) la proposición positiva del informe de ponencia, (b) el articulado del proyecto de ley y (c) el título y la </w:t>
      </w:r>
      <w:r w:rsidRPr="00D85C08">
        <w:rPr>
          <w:rFonts w:ascii="Times New Roman" w:hAnsi="Times New Roman" w:cs="Times New Roman"/>
          <w:sz w:val="28"/>
          <w:szCs w:val="28"/>
        </w:rPr>
        <w:t>intención de que el proyecto pase a segundo debate:</w:t>
      </w:r>
    </w:p>
    <w:p w:rsidR="0007760C" w:rsidRPr="00D85C08" w:rsidRDefault="00D85C08" w:rsidP="0007760C">
      <w:pPr>
        <w:spacing w:after="0" w:line="240" w:lineRule="auto"/>
        <w:contextualSpacing/>
        <w:jc w:val="both"/>
        <w:rPr>
          <w:rFonts w:ascii="Times New Roman" w:eastAsia="Times New Roman" w:hAnsi="Times New Roman" w:cs="Times New Roman"/>
          <w:sz w:val="28"/>
          <w:szCs w:val="28"/>
          <w:lang w:eastAsia="es-MX"/>
        </w:rPr>
      </w:pPr>
    </w:p>
    <w:tbl>
      <w:tblPr>
        <w:tblW w:w="7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3"/>
        <w:gridCol w:w="539"/>
        <w:gridCol w:w="712"/>
        <w:gridCol w:w="709"/>
        <w:gridCol w:w="1707"/>
      </w:tblGrid>
      <w:tr w:rsidR="003E1FD4" w:rsidRPr="00D85C08" w:rsidTr="003E1FD4">
        <w:trPr>
          <w:jc w:val="center"/>
        </w:trPr>
        <w:tc>
          <w:tcPr>
            <w:tcW w:w="3563" w:type="dxa"/>
          </w:tcPr>
          <w:p w:rsidR="003E1FD4" w:rsidRPr="00D85C08" w:rsidRDefault="00D85C08" w:rsidP="003E1FD4">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 xml:space="preserve">Cámara </w:t>
            </w:r>
          </w:p>
        </w:tc>
        <w:tc>
          <w:tcPr>
            <w:tcW w:w="3667" w:type="dxa"/>
            <w:gridSpan w:val="4"/>
          </w:tcPr>
          <w:p w:rsidR="003E1FD4" w:rsidRPr="00D85C08" w:rsidRDefault="00D85C08" w:rsidP="008A56B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 xml:space="preserve">Informe de conciliación </w:t>
            </w:r>
          </w:p>
        </w:tc>
      </w:tr>
      <w:tr w:rsidR="003E1FD4" w:rsidRPr="00D85C08" w:rsidTr="003E1FD4">
        <w:trPr>
          <w:trHeight w:val="439"/>
          <w:jc w:val="center"/>
        </w:trPr>
        <w:tc>
          <w:tcPr>
            <w:tcW w:w="3563" w:type="dxa"/>
            <w:vMerge w:val="restart"/>
          </w:tcPr>
          <w:p w:rsidR="003E1FD4" w:rsidRPr="00D85C08" w:rsidRDefault="00D85C08" w:rsidP="008A56B4">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 xml:space="preserve">Cámara de Representantes </w:t>
            </w:r>
          </w:p>
          <w:p w:rsidR="003E1FD4" w:rsidRPr="00D85C08" w:rsidRDefault="00D85C08" w:rsidP="008A56B4">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Plenaria</w:t>
            </w:r>
          </w:p>
          <w:p w:rsidR="003E1FD4" w:rsidRPr="00D85C08" w:rsidRDefault="00D85C08" w:rsidP="003E1FD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ES"/>
              </w:rPr>
              <w:t>(</w:t>
            </w:r>
            <w:r w:rsidRPr="00D85C08">
              <w:rPr>
                <w:rFonts w:ascii="Times New Roman" w:eastAsia="Times New Roman" w:hAnsi="Times New Roman" w:cs="Times New Roman"/>
                <w:b/>
                <w:sz w:val="28"/>
                <w:lang w:val="es-ES" w:eastAsia="es-MX"/>
              </w:rPr>
              <w:t>Acta N. 45 del 27 de marzo de 2023, publicada en la Gaceta del Congreso 556 del 29 de mayo de 2023</w:t>
            </w:r>
            <w:r w:rsidRPr="00D85C08">
              <w:rPr>
                <w:rFonts w:ascii="Times New Roman" w:eastAsia="Times New Roman" w:hAnsi="Times New Roman" w:cs="Times New Roman"/>
                <w:b/>
                <w:sz w:val="28"/>
                <w:lang w:eastAsia="es-ES"/>
              </w:rPr>
              <w:t>)</w:t>
            </w:r>
          </w:p>
        </w:tc>
        <w:tc>
          <w:tcPr>
            <w:tcW w:w="3667" w:type="dxa"/>
            <w:gridSpan w:val="4"/>
            <w:vAlign w:val="center"/>
          </w:tcPr>
          <w:p w:rsidR="003E1FD4" w:rsidRPr="00D85C08" w:rsidRDefault="00D85C08" w:rsidP="003E1FD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187 integrantes</w:t>
            </w:r>
          </w:p>
        </w:tc>
      </w:tr>
      <w:tr w:rsidR="003E1FD4" w:rsidRPr="00D85C08" w:rsidTr="003E1FD4">
        <w:trPr>
          <w:trHeight w:val="438"/>
          <w:jc w:val="center"/>
        </w:trPr>
        <w:tc>
          <w:tcPr>
            <w:tcW w:w="3563" w:type="dxa"/>
            <w:vMerge/>
          </w:tcPr>
          <w:p w:rsidR="003E1FD4" w:rsidRPr="00D85C08" w:rsidRDefault="00D85C08" w:rsidP="008A56B4">
            <w:pPr>
              <w:spacing w:after="0" w:line="240" w:lineRule="auto"/>
              <w:rPr>
                <w:rFonts w:ascii="Times New Roman" w:eastAsia="Times New Roman" w:hAnsi="Times New Roman" w:cs="Times New Roman"/>
                <w:bCs/>
                <w:sz w:val="28"/>
                <w:lang w:eastAsia="es-ES"/>
              </w:rPr>
            </w:pPr>
          </w:p>
        </w:tc>
        <w:tc>
          <w:tcPr>
            <w:tcW w:w="3667" w:type="dxa"/>
            <w:gridSpan w:val="4"/>
            <w:vAlign w:val="center"/>
          </w:tcPr>
          <w:p w:rsidR="003E1FD4" w:rsidRPr="00D85C08" w:rsidRDefault="00D85C08" w:rsidP="008A56B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156</w:t>
            </w:r>
            <w:r w:rsidRPr="00D85C08">
              <w:rPr>
                <w:rFonts w:ascii="Times New Roman" w:eastAsia="Times New Roman" w:hAnsi="Times New Roman" w:cs="Times New Roman"/>
                <w:sz w:val="28"/>
                <w:lang w:eastAsia="es-MX"/>
              </w:rPr>
              <w:t xml:space="preserve"> asistentes</w:t>
            </w:r>
          </w:p>
        </w:tc>
      </w:tr>
      <w:tr w:rsidR="003E1FD4" w:rsidRPr="00D85C08" w:rsidTr="003E1FD4">
        <w:trPr>
          <w:trHeight w:val="438"/>
          <w:jc w:val="center"/>
        </w:trPr>
        <w:tc>
          <w:tcPr>
            <w:tcW w:w="3563" w:type="dxa"/>
            <w:vMerge/>
          </w:tcPr>
          <w:p w:rsidR="003E1FD4" w:rsidRPr="00D85C08" w:rsidRDefault="00D85C08" w:rsidP="008A56B4">
            <w:pPr>
              <w:spacing w:after="0" w:line="240" w:lineRule="auto"/>
              <w:rPr>
                <w:rFonts w:ascii="Times New Roman" w:eastAsia="Times New Roman" w:hAnsi="Times New Roman" w:cs="Times New Roman"/>
                <w:bCs/>
                <w:sz w:val="28"/>
                <w:lang w:eastAsia="es-ES"/>
              </w:rPr>
            </w:pPr>
          </w:p>
        </w:tc>
        <w:tc>
          <w:tcPr>
            <w:tcW w:w="3667" w:type="dxa"/>
            <w:gridSpan w:val="4"/>
            <w:vAlign w:val="center"/>
          </w:tcPr>
          <w:p w:rsidR="003E1FD4" w:rsidRPr="00D85C08" w:rsidRDefault="00D85C08" w:rsidP="008A56B4">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r>
      <w:tr w:rsidR="003E1FD4" w:rsidRPr="00D85C08" w:rsidTr="003E1FD4">
        <w:trPr>
          <w:trHeight w:val="55"/>
          <w:jc w:val="center"/>
        </w:trPr>
        <w:tc>
          <w:tcPr>
            <w:tcW w:w="3563" w:type="dxa"/>
            <w:vMerge/>
          </w:tcPr>
          <w:p w:rsidR="003E1FD4" w:rsidRPr="00D85C08" w:rsidRDefault="00D85C08" w:rsidP="008A56B4">
            <w:pPr>
              <w:spacing w:after="0" w:line="240" w:lineRule="auto"/>
              <w:rPr>
                <w:rFonts w:ascii="Times New Roman" w:eastAsia="Times New Roman" w:hAnsi="Times New Roman" w:cs="Times New Roman"/>
                <w:bCs/>
                <w:sz w:val="28"/>
                <w:lang w:eastAsia="es-ES"/>
              </w:rPr>
            </w:pPr>
          </w:p>
        </w:tc>
        <w:tc>
          <w:tcPr>
            <w:tcW w:w="539" w:type="dxa"/>
            <w:vAlign w:val="center"/>
          </w:tcPr>
          <w:p w:rsidR="003E1FD4" w:rsidRPr="00D85C08" w:rsidRDefault="00D85C08" w:rsidP="008A56B4">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SÍ</w:t>
            </w:r>
          </w:p>
        </w:tc>
        <w:tc>
          <w:tcPr>
            <w:tcW w:w="712" w:type="dxa"/>
            <w:vAlign w:val="center"/>
          </w:tcPr>
          <w:p w:rsidR="003E1FD4" w:rsidRPr="00D85C08" w:rsidRDefault="00D85C08" w:rsidP="003D3EE8">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1</w:t>
            </w:r>
            <w:r w:rsidRPr="00D85C08">
              <w:rPr>
                <w:rFonts w:ascii="Times New Roman" w:eastAsia="Times New Roman" w:hAnsi="Times New Roman" w:cs="Times New Roman"/>
                <w:sz w:val="28"/>
                <w:lang w:eastAsia="es-MX"/>
              </w:rPr>
              <w:t>2</w:t>
            </w:r>
          </w:p>
        </w:tc>
        <w:tc>
          <w:tcPr>
            <w:tcW w:w="709" w:type="dxa"/>
            <w:vAlign w:val="center"/>
          </w:tcPr>
          <w:p w:rsidR="003E1FD4" w:rsidRPr="00D85C08" w:rsidRDefault="00D85C08" w:rsidP="008A56B4">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1707" w:type="dxa"/>
            <w:vAlign w:val="center"/>
          </w:tcPr>
          <w:p w:rsidR="003E1FD4" w:rsidRPr="00D85C08" w:rsidRDefault="00D85C08" w:rsidP="003D3EE8">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w:t>
            </w:r>
          </w:p>
        </w:tc>
      </w:tr>
      <w:tr w:rsidR="003E1FD4" w:rsidRPr="00D85C08" w:rsidTr="003E1FD4">
        <w:trPr>
          <w:trHeight w:val="443"/>
          <w:jc w:val="center"/>
        </w:trPr>
        <w:tc>
          <w:tcPr>
            <w:tcW w:w="3563" w:type="dxa"/>
            <w:vMerge w:val="restart"/>
            <w:shd w:val="clear" w:color="auto" w:fill="auto"/>
          </w:tcPr>
          <w:p w:rsidR="003E1FD4" w:rsidRPr="00D85C08" w:rsidRDefault="00D85C08" w:rsidP="008A56B4">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Senado de la República</w:t>
            </w:r>
          </w:p>
          <w:p w:rsidR="003E1FD4" w:rsidRPr="00D85C08" w:rsidRDefault="00D85C08" w:rsidP="008A56B4">
            <w:pPr>
              <w:spacing w:after="0" w:line="240" w:lineRule="auto"/>
              <w:jc w:val="center"/>
              <w:rPr>
                <w:rFonts w:ascii="Times New Roman" w:eastAsia="Times New Roman" w:hAnsi="Times New Roman" w:cs="Times New Roman"/>
                <w:b/>
                <w:sz w:val="28"/>
                <w:lang w:eastAsia="es-ES"/>
              </w:rPr>
            </w:pPr>
            <w:r w:rsidRPr="00D85C08">
              <w:rPr>
                <w:rFonts w:ascii="Times New Roman" w:eastAsia="Times New Roman" w:hAnsi="Times New Roman" w:cs="Times New Roman"/>
                <w:b/>
                <w:sz w:val="28"/>
                <w:lang w:eastAsia="es-ES"/>
              </w:rPr>
              <w:t xml:space="preserve">Plenaria </w:t>
            </w:r>
          </w:p>
          <w:p w:rsidR="003E1FD4" w:rsidRPr="00D85C08" w:rsidRDefault="00D85C08" w:rsidP="003E1FD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sz w:val="28"/>
                <w:lang w:eastAsia="es-MX"/>
              </w:rPr>
              <w:t>(Acta N. 41 del 28 de marzo de 2023, publicada en la Gaceta del Congreso 436 del 8 de mayo de 2023)</w:t>
            </w:r>
          </w:p>
        </w:tc>
        <w:tc>
          <w:tcPr>
            <w:tcW w:w="3667" w:type="dxa"/>
            <w:gridSpan w:val="4"/>
            <w:shd w:val="clear" w:color="auto" w:fill="auto"/>
            <w:vAlign w:val="center"/>
          </w:tcPr>
          <w:p w:rsidR="003E1FD4" w:rsidRPr="00D85C08" w:rsidRDefault="00D85C08" w:rsidP="003E1FD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108 miembros</w:t>
            </w:r>
          </w:p>
        </w:tc>
      </w:tr>
      <w:tr w:rsidR="003E1FD4" w:rsidRPr="00D85C08" w:rsidTr="003E1FD4">
        <w:trPr>
          <w:trHeight w:val="441"/>
          <w:jc w:val="center"/>
        </w:trPr>
        <w:tc>
          <w:tcPr>
            <w:tcW w:w="3563" w:type="dxa"/>
            <w:vMerge/>
            <w:shd w:val="clear" w:color="auto" w:fill="auto"/>
          </w:tcPr>
          <w:p w:rsidR="003E1FD4" w:rsidRPr="00D85C08" w:rsidRDefault="00D85C08" w:rsidP="008A56B4">
            <w:pPr>
              <w:spacing w:after="0" w:line="240" w:lineRule="auto"/>
              <w:rPr>
                <w:rFonts w:ascii="Times New Roman" w:eastAsia="Times New Roman" w:hAnsi="Times New Roman" w:cs="Times New Roman"/>
                <w:sz w:val="28"/>
                <w:lang w:eastAsia="es-MX"/>
              </w:rPr>
            </w:pPr>
          </w:p>
        </w:tc>
        <w:tc>
          <w:tcPr>
            <w:tcW w:w="3667" w:type="dxa"/>
            <w:gridSpan w:val="4"/>
            <w:shd w:val="clear" w:color="auto" w:fill="auto"/>
            <w:vAlign w:val="center"/>
          </w:tcPr>
          <w:p w:rsidR="003E1FD4" w:rsidRPr="00D85C08" w:rsidRDefault="00D85C08" w:rsidP="00ED673F">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98</w:t>
            </w:r>
            <w:r w:rsidRPr="00D85C08">
              <w:rPr>
                <w:rFonts w:ascii="Times New Roman" w:eastAsia="Times New Roman" w:hAnsi="Times New Roman" w:cs="Times New Roman"/>
                <w:sz w:val="28"/>
                <w:lang w:eastAsia="es-MX"/>
              </w:rPr>
              <w:t xml:space="preserve"> asistentes</w:t>
            </w:r>
          </w:p>
        </w:tc>
      </w:tr>
      <w:tr w:rsidR="003E1FD4" w:rsidRPr="00D85C08" w:rsidTr="003E1FD4">
        <w:trPr>
          <w:trHeight w:val="441"/>
          <w:jc w:val="center"/>
        </w:trPr>
        <w:tc>
          <w:tcPr>
            <w:tcW w:w="3563" w:type="dxa"/>
            <w:vMerge/>
            <w:shd w:val="clear" w:color="auto" w:fill="auto"/>
          </w:tcPr>
          <w:p w:rsidR="003E1FD4" w:rsidRPr="00D85C08" w:rsidRDefault="00D85C08" w:rsidP="008A56B4">
            <w:pPr>
              <w:spacing w:after="0" w:line="240" w:lineRule="auto"/>
              <w:rPr>
                <w:rFonts w:ascii="Times New Roman" w:eastAsia="Times New Roman" w:hAnsi="Times New Roman" w:cs="Times New Roman"/>
                <w:sz w:val="28"/>
                <w:lang w:eastAsia="es-MX"/>
              </w:rPr>
            </w:pPr>
          </w:p>
        </w:tc>
        <w:tc>
          <w:tcPr>
            <w:tcW w:w="3667" w:type="dxa"/>
            <w:gridSpan w:val="4"/>
            <w:shd w:val="clear" w:color="auto" w:fill="auto"/>
            <w:vAlign w:val="center"/>
          </w:tcPr>
          <w:p w:rsidR="003E1FD4" w:rsidRPr="00D85C08" w:rsidRDefault="00D85C08" w:rsidP="008A56B4">
            <w:pPr>
              <w:spacing w:after="0" w:line="240" w:lineRule="auto"/>
              <w:jc w:val="center"/>
              <w:rPr>
                <w:rFonts w:ascii="Times New Roman" w:eastAsia="Times New Roman" w:hAnsi="Times New Roman" w:cs="Times New Roman"/>
                <w:b/>
                <w:sz w:val="28"/>
                <w:lang w:eastAsia="es-MX"/>
              </w:rPr>
            </w:pPr>
            <w:r w:rsidRPr="00D85C08">
              <w:rPr>
                <w:rFonts w:ascii="Times New Roman" w:eastAsia="Times New Roman" w:hAnsi="Times New Roman" w:cs="Times New Roman"/>
                <w:b/>
                <w:sz w:val="28"/>
                <w:lang w:eastAsia="es-MX"/>
              </w:rPr>
              <w:t>Votos</w:t>
            </w:r>
          </w:p>
        </w:tc>
      </w:tr>
      <w:tr w:rsidR="003E1FD4" w:rsidRPr="00D85C08" w:rsidTr="003E1FD4">
        <w:trPr>
          <w:trHeight w:val="441"/>
          <w:jc w:val="center"/>
        </w:trPr>
        <w:tc>
          <w:tcPr>
            <w:tcW w:w="3563" w:type="dxa"/>
            <w:vMerge/>
            <w:shd w:val="clear" w:color="auto" w:fill="auto"/>
          </w:tcPr>
          <w:p w:rsidR="003E1FD4" w:rsidRPr="00D85C08" w:rsidRDefault="00D85C08" w:rsidP="008A56B4">
            <w:pPr>
              <w:spacing w:after="0" w:line="240" w:lineRule="auto"/>
              <w:rPr>
                <w:rFonts w:ascii="Times New Roman" w:eastAsia="Times New Roman" w:hAnsi="Times New Roman" w:cs="Times New Roman"/>
                <w:sz w:val="28"/>
                <w:lang w:eastAsia="es-MX"/>
              </w:rPr>
            </w:pPr>
          </w:p>
        </w:tc>
        <w:tc>
          <w:tcPr>
            <w:tcW w:w="539" w:type="dxa"/>
            <w:shd w:val="clear" w:color="auto" w:fill="auto"/>
            <w:vAlign w:val="center"/>
          </w:tcPr>
          <w:p w:rsidR="003E1FD4" w:rsidRPr="00D85C08" w:rsidRDefault="00D85C08" w:rsidP="008A56B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b/>
                <w:bCs/>
                <w:sz w:val="28"/>
                <w:lang w:eastAsia="es-MX"/>
              </w:rPr>
              <w:t>SÍ</w:t>
            </w:r>
          </w:p>
        </w:tc>
        <w:tc>
          <w:tcPr>
            <w:tcW w:w="712" w:type="dxa"/>
            <w:shd w:val="clear" w:color="auto" w:fill="auto"/>
            <w:vAlign w:val="center"/>
          </w:tcPr>
          <w:p w:rsidR="003E1FD4" w:rsidRPr="00D85C08" w:rsidRDefault="00D85C08" w:rsidP="00CF0649">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65</w:t>
            </w:r>
          </w:p>
        </w:tc>
        <w:tc>
          <w:tcPr>
            <w:tcW w:w="709" w:type="dxa"/>
            <w:shd w:val="clear" w:color="auto" w:fill="auto"/>
            <w:vAlign w:val="center"/>
          </w:tcPr>
          <w:p w:rsidR="003E1FD4" w:rsidRPr="00D85C08" w:rsidRDefault="00D85C08" w:rsidP="008A56B4">
            <w:pPr>
              <w:spacing w:after="0" w:line="240" w:lineRule="auto"/>
              <w:jc w:val="center"/>
              <w:rPr>
                <w:rFonts w:ascii="Times New Roman" w:eastAsia="Times New Roman" w:hAnsi="Times New Roman" w:cs="Times New Roman"/>
                <w:b/>
                <w:bCs/>
                <w:sz w:val="28"/>
                <w:lang w:eastAsia="es-MX"/>
              </w:rPr>
            </w:pPr>
            <w:r w:rsidRPr="00D85C08">
              <w:rPr>
                <w:rFonts w:ascii="Times New Roman" w:eastAsia="Times New Roman" w:hAnsi="Times New Roman" w:cs="Times New Roman"/>
                <w:b/>
                <w:bCs/>
                <w:sz w:val="28"/>
                <w:lang w:eastAsia="es-MX"/>
              </w:rPr>
              <w:t>NO</w:t>
            </w:r>
          </w:p>
        </w:tc>
        <w:tc>
          <w:tcPr>
            <w:tcW w:w="1707" w:type="dxa"/>
            <w:shd w:val="clear" w:color="auto" w:fill="auto"/>
            <w:vAlign w:val="center"/>
          </w:tcPr>
          <w:p w:rsidR="003E1FD4" w:rsidRPr="00D85C08" w:rsidRDefault="00D85C08" w:rsidP="008A56B4">
            <w:pPr>
              <w:spacing w:after="0" w:line="240" w:lineRule="auto"/>
              <w:jc w:val="center"/>
              <w:rPr>
                <w:rFonts w:ascii="Times New Roman" w:eastAsia="Times New Roman" w:hAnsi="Times New Roman" w:cs="Times New Roman"/>
                <w:sz w:val="28"/>
                <w:lang w:eastAsia="es-MX"/>
              </w:rPr>
            </w:pPr>
            <w:r w:rsidRPr="00D85C08">
              <w:rPr>
                <w:rFonts w:ascii="Times New Roman" w:eastAsia="Times New Roman" w:hAnsi="Times New Roman" w:cs="Times New Roman"/>
                <w:sz w:val="28"/>
                <w:lang w:eastAsia="es-MX"/>
              </w:rPr>
              <w:t>3</w:t>
            </w:r>
          </w:p>
        </w:tc>
      </w:tr>
    </w:tbl>
    <w:p w:rsidR="0007760C" w:rsidRPr="00D85C08" w:rsidRDefault="00D85C08" w:rsidP="00AC018A">
      <w:pPr>
        <w:spacing w:after="0" w:line="240" w:lineRule="auto"/>
        <w:contextualSpacing/>
        <w:jc w:val="both"/>
        <w:rPr>
          <w:rFonts w:ascii="Times New Roman" w:eastAsia="Times New Roman" w:hAnsi="Times New Roman" w:cs="Times New Roman"/>
          <w:sz w:val="28"/>
          <w:szCs w:val="28"/>
          <w:lang w:eastAsia="es-MX"/>
        </w:rPr>
      </w:pPr>
    </w:p>
    <w:p w:rsidR="00CD6C95"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lang w:eastAsia="es-MX"/>
        </w:rPr>
        <w:t>3.</w:t>
      </w:r>
      <w:r w:rsidRPr="00D85C08">
        <w:rPr>
          <w:rFonts w:ascii="Times New Roman" w:hAnsi="Times New Roman" w:cs="Times New Roman"/>
          <w:lang w:eastAsia="es-MX"/>
        </w:rPr>
        <w:t>2.4</w:t>
      </w:r>
      <w:r w:rsidRPr="00D85C08">
        <w:rPr>
          <w:rFonts w:ascii="Times New Roman" w:hAnsi="Times New Roman" w:cs="Times New Roman"/>
          <w:lang w:eastAsia="es-MX"/>
        </w:rPr>
        <w:t>.</w:t>
      </w:r>
      <w:r w:rsidRPr="00D85C08">
        <w:rPr>
          <w:rFonts w:ascii="Times New Roman" w:hAnsi="Times New Roman" w:cs="Times New Roman"/>
          <w:lang w:eastAsia="es-MX"/>
        </w:rPr>
        <w:t xml:space="preserve"> Análisis del impacto fiscal de la ley aprobatoria</w:t>
      </w:r>
    </w:p>
    <w:p w:rsidR="00CD6C95" w:rsidRPr="00D85C08" w:rsidRDefault="00D85C08" w:rsidP="00CD6C95">
      <w:pPr>
        <w:tabs>
          <w:tab w:val="left" w:pos="360"/>
        </w:tabs>
        <w:spacing w:after="0" w:line="240" w:lineRule="auto"/>
        <w:jc w:val="both"/>
        <w:rPr>
          <w:rFonts w:ascii="Times New Roman" w:eastAsia="Times New Roman" w:hAnsi="Times New Roman" w:cs="Times New Roman"/>
          <w:sz w:val="28"/>
          <w:szCs w:val="28"/>
          <w:lang w:eastAsia="es-MX"/>
        </w:rPr>
      </w:pPr>
    </w:p>
    <w:p w:rsidR="00F47E82" w:rsidRPr="00D85C08" w:rsidRDefault="00D85C08" w:rsidP="00FB6D3A">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En relación con el análisis del impacto fiscal, el artículo 7 de la Ley Orgánica 819 de 2003 establece lo siguiente:</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r w:rsidRPr="00D85C08">
        <w:rPr>
          <w:rFonts w:ascii="Times New Roman" w:eastAsia="Times New Roman" w:hAnsi="Times New Roman" w:cs="Times New Roman"/>
          <w:sz w:val="28"/>
          <w:szCs w:val="26"/>
          <w:lang w:eastAsia="es-MX"/>
        </w:rPr>
        <w:t xml:space="preserve">ARTÍCULO 7. ANÁLISIS DEL IMPACTO FISCAL DE LAS NORMAS. En todo momento, el impacto </w:t>
      </w:r>
      <w:r w:rsidRPr="00D85C08">
        <w:rPr>
          <w:rFonts w:ascii="Times New Roman" w:eastAsia="Times New Roman" w:hAnsi="Times New Roman" w:cs="Times New Roman"/>
          <w:sz w:val="28"/>
          <w:szCs w:val="26"/>
          <w:lang w:eastAsia="es-MX"/>
        </w:rPr>
        <w:t>fiscal de cualquier proyecto de ley, ordenanza o acuerdo, que ordene gasto o que otorgue beneficios tributarios, deberá hacerse explícito y deberá ser compatible con el Marco Fiscal de Mediano Plazo.</w:t>
      </w: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r w:rsidRPr="00D85C08">
        <w:rPr>
          <w:rFonts w:ascii="Times New Roman" w:eastAsia="Times New Roman" w:hAnsi="Times New Roman" w:cs="Times New Roman"/>
          <w:sz w:val="28"/>
          <w:szCs w:val="26"/>
          <w:lang w:eastAsia="es-MX"/>
        </w:rPr>
        <w:t>Para estos propósitos, deberá incluirse expresamente en</w:t>
      </w:r>
      <w:r w:rsidRPr="00D85C08">
        <w:rPr>
          <w:rFonts w:ascii="Times New Roman" w:eastAsia="Times New Roman" w:hAnsi="Times New Roman" w:cs="Times New Roman"/>
          <w:sz w:val="28"/>
          <w:szCs w:val="26"/>
          <w:lang w:eastAsia="es-MX"/>
        </w:rPr>
        <w:t xml:space="preserve"> la exposición de motivos y en las ponencias de trámite respectivas los costos fiscales de la iniciativa y la fuente de ingreso adicional generada para el financiamiento de dicho costo.</w:t>
      </w: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r w:rsidRPr="00D85C08">
        <w:rPr>
          <w:rFonts w:ascii="Times New Roman" w:eastAsia="Times New Roman" w:hAnsi="Times New Roman" w:cs="Times New Roman"/>
          <w:sz w:val="28"/>
          <w:szCs w:val="26"/>
          <w:lang w:eastAsia="es-MX"/>
        </w:rPr>
        <w:t>El Ministerio de Hacienda y Crédito Público, en cualquier tiempo dura</w:t>
      </w:r>
      <w:r w:rsidRPr="00D85C08">
        <w:rPr>
          <w:rFonts w:ascii="Times New Roman" w:eastAsia="Times New Roman" w:hAnsi="Times New Roman" w:cs="Times New Roman"/>
          <w:sz w:val="28"/>
          <w:szCs w:val="26"/>
          <w:lang w:eastAsia="es-MX"/>
        </w:rPr>
        <w:t>nte el respectivo trámite en el Congreso de la República, deberá rendir su concepto frente a la consistencia de lo dispuesto en el inciso anterior. En ningún caso este concepto podrá ir en contravía del Marco Fiscal de Mediano Plazo. Este informe será publ</w:t>
      </w:r>
      <w:r w:rsidRPr="00D85C08">
        <w:rPr>
          <w:rFonts w:ascii="Times New Roman" w:eastAsia="Times New Roman" w:hAnsi="Times New Roman" w:cs="Times New Roman"/>
          <w:sz w:val="28"/>
          <w:szCs w:val="26"/>
          <w:lang w:eastAsia="es-MX"/>
        </w:rPr>
        <w:t>icado en la Gaceta del Congreso.</w:t>
      </w: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r w:rsidRPr="00D85C08">
        <w:rPr>
          <w:rFonts w:ascii="Times New Roman" w:eastAsia="Times New Roman" w:hAnsi="Times New Roman" w:cs="Times New Roman"/>
          <w:sz w:val="28"/>
          <w:szCs w:val="26"/>
          <w:lang w:eastAsia="es-MX"/>
        </w:rPr>
        <w:t xml:space="preserve">Los proyectos de ley de iniciativa gubernamental, que planteen un gasto adicional o una reducción de ingresos, deberá contener la correspondiente fuente sustitutiva por disminución de gasto o aumentos de ingresos, lo cual </w:t>
      </w:r>
      <w:r w:rsidRPr="00D85C08">
        <w:rPr>
          <w:rFonts w:ascii="Times New Roman" w:eastAsia="Times New Roman" w:hAnsi="Times New Roman" w:cs="Times New Roman"/>
          <w:sz w:val="28"/>
          <w:szCs w:val="26"/>
          <w:lang w:eastAsia="es-MX"/>
        </w:rPr>
        <w:t>deberá ser analizado y aprobado por el Ministerio de Hacienda y Crédito Público.</w:t>
      </w: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p>
    <w:p w:rsidR="00F47E82" w:rsidRPr="00D85C08" w:rsidRDefault="00D85C08" w:rsidP="00F47E82">
      <w:pPr>
        <w:tabs>
          <w:tab w:val="left" w:pos="360"/>
        </w:tabs>
        <w:spacing w:after="0" w:line="240" w:lineRule="auto"/>
        <w:ind w:left="567"/>
        <w:contextualSpacing/>
        <w:jc w:val="both"/>
        <w:rPr>
          <w:rFonts w:ascii="Times New Roman" w:eastAsia="Times New Roman" w:hAnsi="Times New Roman" w:cs="Times New Roman"/>
          <w:sz w:val="28"/>
          <w:szCs w:val="26"/>
          <w:lang w:eastAsia="es-MX"/>
        </w:rPr>
      </w:pPr>
      <w:r w:rsidRPr="00D85C08">
        <w:rPr>
          <w:rFonts w:ascii="Times New Roman" w:eastAsia="Times New Roman" w:hAnsi="Times New Roman" w:cs="Times New Roman"/>
          <w:sz w:val="28"/>
          <w:szCs w:val="26"/>
          <w:lang w:eastAsia="es-MX"/>
        </w:rPr>
        <w:t>En las entidades territoriales, el trámite previsto en el inciso anterior será surtido ante la respectiva Secretaría de Hacienda o quien haga sus veces.</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FB6D3A">
      <w:pPr>
        <w:pStyle w:val="Prrafodelista"/>
        <w:numPr>
          <w:ilvl w:val="0"/>
          <w:numId w:val="1"/>
        </w:numPr>
        <w:tabs>
          <w:tab w:val="left" w:pos="0"/>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rPr>
        <w:t>En la Sentencia C-17</w:t>
      </w:r>
      <w:r w:rsidRPr="00D85C08">
        <w:rPr>
          <w:rFonts w:ascii="Times New Roman" w:hAnsi="Times New Roman" w:cs="Times New Roman"/>
          <w:sz w:val="28"/>
          <w:szCs w:val="28"/>
        </w:rPr>
        <w:t>0 de 2021</w:t>
      </w:r>
      <w:r w:rsidRPr="00D85C08">
        <w:rPr>
          <w:rStyle w:val="Refdenotaalpie"/>
          <w:rFonts w:ascii="Times New Roman" w:hAnsi="Times New Roman" w:cs="Times New Roman"/>
          <w:sz w:val="28"/>
          <w:szCs w:val="28"/>
        </w:rPr>
        <w:footnoteReference w:id="56"/>
      </w:r>
      <w:r w:rsidRPr="00D85C08">
        <w:rPr>
          <w:rFonts w:ascii="Times New Roman" w:hAnsi="Times New Roman" w:cs="Times New Roman"/>
          <w:sz w:val="28"/>
          <w:szCs w:val="28"/>
        </w:rPr>
        <w:t xml:space="preserve">, este tribunal sostuvo que el análisis del impacto fiscal sí es exigible a todos los proyectos de ley aprobatorios de </w:t>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 xml:space="preserve">tratados </w:t>
      </w:r>
      <w:r w:rsidRPr="00D85C08">
        <w:rPr>
          <w:rFonts w:ascii="Times New Roman" w:hAnsi="Times New Roman" w:cs="Times New Roman"/>
          <w:sz w:val="28"/>
          <w:szCs w:val="28"/>
          <w:shd w:val="clear" w:color="auto" w:fill="FFFFFF"/>
        </w:rPr>
        <w:t>que consagren beneficios tributarios a favor de sujetos de derecho internacional, así como del personal diplomático o</w:t>
      </w:r>
      <w:r w:rsidRPr="00D85C08">
        <w:rPr>
          <w:rFonts w:ascii="Times New Roman" w:hAnsi="Times New Roman" w:cs="Times New Roman"/>
          <w:sz w:val="28"/>
          <w:szCs w:val="28"/>
          <w:shd w:val="clear" w:color="auto" w:fill="FFFFFF"/>
        </w:rPr>
        <w:t xml:space="preserve"> cooperante que apoya la ejecución de sus actividades en Colombia». Al respecto, la Sala reiteró que «[p]ara que una determinada disposición se pueda considerar como un beneficio tributario, debe tener esencialmente el propósito de colocar al sujeto o acti</w:t>
      </w:r>
      <w:r w:rsidRPr="00D85C08">
        <w:rPr>
          <w:rFonts w:ascii="Times New Roman" w:hAnsi="Times New Roman" w:cs="Times New Roman"/>
          <w:sz w:val="28"/>
          <w:szCs w:val="28"/>
          <w:shd w:val="clear" w:color="auto" w:fill="FFFFFF"/>
        </w:rPr>
        <w:t>vidad destinataria de la misma en una situación preferencial o de privilegio, con fines esencialmente extrafiscales»</w:t>
      </w:r>
      <w:r w:rsidRPr="00D85C08">
        <w:rPr>
          <w:rStyle w:val="Refdenotaalpie"/>
          <w:rFonts w:ascii="Times New Roman" w:hAnsi="Times New Roman" w:cs="Times New Roman"/>
          <w:sz w:val="28"/>
          <w:szCs w:val="28"/>
          <w:shd w:val="clear" w:color="auto" w:fill="FFFFFF"/>
        </w:rPr>
        <w:footnoteReference w:id="57"/>
      </w:r>
      <w:r w:rsidRPr="00D85C08">
        <w:rPr>
          <w:rFonts w:ascii="Times New Roman" w:hAnsi="Times New Roman" w:cs="Times New Roman"/>
          <w:sz w:val="28"/>
          <w:szCs w:val="28"/>
          <w:shd w:val="clear" w:color="auto" w:fill="FFFFFF"/>
        </w:rPr>
        <w:t>. En este sentido, constituyen beneficios tributarios, por ejemplo, «las exenciones, las deducciones de base, los regímenes contributivos s</w:t>
      </w:r>
      <w:r w:rsidRPr="00D85C08">
        <w:rPr>
          <w:rFonts w:ascii="Times New Roman" w:hAnsi="Times New Roman" w:cs="Times New Roman"/>
          <w:sz w:val="28"/>
          <w:szCs w:val="28"/>
          <w:shd w:val="clear" w:color="auto" w:fill="FFFFFF"/>
        </w:rPr>
        <w:t>ustitutivos, la suspensión temporal del recaudo, la concesión de incentivos tributarios y la devolución de impuestos»</w:t>
      </w:r>
      <w:r w:rsidRPr="00D85C08">
        <w:rPr>
          <w:rStyle w:val="Refdenotaalpie"/>
          <w:rFonts w:ascii="Times New Roman" w:hAnsi="Times New Roman" w:cs="Times New Roman"/>
          <w:sz w:val="28"/>
          <w:szCs w:val="28"/>
          <w:shd w:val="clear" w:color="auto" w:fill="FFFFFF"/>
        </w:rPr>
        <w:footnoteReference w:id="58"/>
      </w:r>
      <w:r w:rsidRPr="00D85C08">
        <w:rPr>
          <w:rFonts w:ascii="Times New Roman" w:hAnsi="Times New Roman" w:cs="Times New Roman"/>
          <w:sz w:val="28"/>
          <w:szCs w:val="28"/>
          <w:shd w:val="clear" w:color="auto" w:fill="FFFFFF"/>
        </w:rPr>
        <w:t>.</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FB6D3A">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shd w:val="clear" w:color="auto" w:fill="FFFFFF"/>
        </w:rPr>
        <w:t xml:space="preserve">En la misma oportunidad, la corporación advirtió que </w:t>
      </w:r>
      <w:r w:rsidRPr="00D85C08">
        <w:rPr>
          <w:rFonts w:ascii="Times New Roman" w:hAnsi="Times New Roman" w:cs="Times New Roman"/>
          <w:sz w:val="28"/>
          <w:szCs w:val="28"/>
        </w:rPr>
        <w:t>la aplicación inmediata de este cambio de precedente podía afectar la seguridad ju</w:t>
      </w:r>
      <w:r w:rsidRPr="00D85C08">
        <w:rPr>
          <w:rFonts w:ascii="Times New Roman" w:hAnsi="Times New Roman" w:cs="Times New Roman"/>
          <w:sz w:val="28"/>
          <w:szCs w:val="28"/>
        </w:rPr>
        <w:t xml:space="preserve">rídica y </w:t>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tener un efecto significativo en la financiación de proyectos de importancia para el Estado colombiano</w:t>
      </w:r>
      <w:r w:rsidRPr="00D85C08">
        <w:rPr>
          <w:rFonts w:ascii="Times New Roman" w:hAnsi="Times New Roman" w:cs="Times New Roman"/>
          <w:sz w:val="28"/>
          <w:szCs w:val="28"/>
          <w:shd w:val="clear" w:color="auto" w:fill="FFFFFF"/>
        </w:rPr>
        <w:t>». Por ende, resolvió que esta regla sería exigible únicamente a los proyectos de ley radicados en el Congreso de la República con posterioridad</w:t>
      </w:r>
      <w:r w:rsidRPr="00D85C08">
        <w:rPr>
          <w:rFonts w:ascii="Times New Roman" w:hAnsi="Times New Roman" w:cs="Times New Roman"/>
          <w:sz w:val="28"/>
          <w:szCs w:val="28"/>
          <w:shd w:val="clear" w:color="auto" w:fill="FFFFFF"/>
        </w:rPr>
        <w:t xml:space="preserve"> a la notificación de esa sentencia, es decir, después del 30 de julio de 2021</w:t>
      </w:r>
      <w:r w:rsidRPr="00D85C08">
        <w:rPr>
          <w:rStyle w:val="Refdenotaalpie"/>
          <w:rFonts w:ascii="Times New Roman" w:hAnsi="Times New Roman" w:cs="Times New Roman"/>
          <w:sz w:val="28"/>
          <w:szCs w:val="28"/>
          <w:shd w:val="clear" w:color="auto" w:fill="FFFFFF"/>
        </w:rPr>
        <w:footnoteReference w:id="59"/>
      </w:r>
      <w:r w:rsidRPr="00D85C08">
        <w:rPr>
          <w:rFonts w:ascii="Times New Roman" w:hAnsi="Times New Roman" w:cs="Times New Roman"/>
          <w:sz w:val="28"/>
          <w:szCs w:val="28"/>
          <w:shd w:val="clear" w:color="auto" w:fill="FFFFFF"/>
        </w:rPr>
        <w:t>.</w:t>
      </w:r>
    </w:p>
    <w:p w:rsidR="00F47E82" w:rsidRPr="00D85C08" w:rsidRDefault="00D85C08" w:rsidP="00FB6D3A">
      <w:pPr>
        <w:tabs>
          <w:tab w:val="left" w:pos="142"/>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FB6D3A">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shd w:val="clear" w:color="auto" w:fill="FFFFFF"/>
        </w:rPr>
        <w:t>Para llegar a esta conclusión, con fundamento en la Sentencia C-110 de 2019, la Corte identificó un deber general y tres deberes especiales que se derivan del artículo 7 de l</w:t>
      </w:r>
      <w:r w:rsidRPr="00D85C08">
        <w:rPr>
          <w:rFonts w:ascii="Times New Roman" w:hAnsi="Times New Roman" w:cs="Times New Roman"/>
          <w:sz w:val="28"/>
          <w:szCs w:val="28"/>
          <w:shd w:val="clear" w:color="auto" w:fill="FFFFFF"/>
        </w:rPr>
        <w:t>a Ley 819 de 2003. En su conjunto, tales deberes «constituyen un parámetro de racionalidad legislativa, que está encaminado a cumplir propósitos constitucionalmente valiosos, entre ellos el orden de las finanzas públicas, la estabilidad macroeconómica y la</w:t>
      </w:r>
      <w:r w:rsidRPr="00D85C08">
        <w:rPr>
          <w:rFonts w:ascii="Times New Roman" w:hAnsi="Times New Roman" w:cs="Times New Roman"/>
          <w:sz w:val="28"/>
          <w:szCs w:val="28"/>
          <w:shd w:val="clear" w:color="auto" w:fill="FFFFFF"/>
        </w:rPr>
        <w:t xml:space="preserve"> aplicación efectiva de las leyes»</w:t>
      </w:r>
      <w:r w:rsidRPr="00D85C08">
        <w:rPr>
          <w:rStyle w:val="Refdenotaalpie"/>
          <w:rFonts w:ascii="Times New Roman" w:hAnsi="Times New Roman" w:cs="Times New Roman"/>
          <w:sz w:val="28"/>
          <w:szCs w:val="28"/>
          <w:shd w:val="clear" w:color="auto" w:fill="FFFFFF"/>
        </w:rPr>
        <w:footnoteReference w:id="60"/>
      </w:r>
      <w:r w:rsidRPr="00D85C08">
        <w:rPr>
          <w:rFonts w:ascii="Times New Roman" w:hAnsi="Times New Roman" w:cs="Times New Roman"/>
          <w:sz w:val="28"/>
          <w:szCs w:val="28"/>
          <w:shd w:val="clear" w:color="auto" w:fill="FFFFFF"/>
        </w:rPr>
        <w:t>. Por consiguiente, las obligaciones previstas en la citada disposición buscan reducir «el margen de incertidumbre respecto de la ejecución material de las previsiones legislativas»</w:t>
      </w:r>
      <w:r w:rsidRPr="00D85C08">
        <w:rPr>
          <w:rStyle w:val="Refdenotaalpie"/>
          <w:rFonts w:ascii="Times New Roman" w:hAnsi="Times New Roman" w:cs="Times New Roman"/>
          <w:sz w:val="28"/>
          <w:szCs w:val="28"/>
          <w:shd w:val="clear" w:color="auto" w:fill="FFFFFF"/>
        </w:rPr>
        <w:footnoteReference w:id="61"/>
      </w:r>
      <w:r w:rsidRPr="00D85C08">
        <w:rPr>
          <w:rFonts w:ascii="Times New Roman" w:hAnsi="Times New Roman" w:cs="Times New Roman"/>
          <w:sz w:val="28"/>
          <w:szCs w:val="28"/>
          <w:shd w:val="clear" w:color="auto" w:fill="FFFFFF"/>
        </w:rPr>
        <w:t>.</w:t>
      </w:r>
    </w:p>
    <w:p w:rsidR="00F47E82" w:rsidRPr="00D85C08" w:rsidRDefault="00D85C08" w:rsidP="00FB6D3A">
      <w:pPr>
        <w:tabs>
          <w:tab w:val="left" w:pos="142"/>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FB6D3A">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shd w:val="clear" w:color="auto" w:fill="FFFFFF"/>
        </w:rPr>
        <w:t>El deber general antes anunciado con</w:t>
      </w:r>
      <w:r w:rsidRPr="00D85C08">
        <w:rPr>
          <w:rFonts w:ascii="Times New Roman" w:hAnsi="Times New Roman" w:cs="Times New Roman"/>
          <w:sz w:val="28"/>
          <w:szCs w:val="28"/>
          <w:shd w:val="clear" w:color="auto" w:fill="FFFFFF"/>
        </w:rPr>
        <w:t>siste en efectuar el análisis del impacto fiscal de todos los proyectos de ley que prevean una orden de gasto o un beneficio tributario.  Este análisis debe cumplir dos condiciones: ser explícito y ser compatible con el Marco Fiscal de Mediano Plazo</w:t>
      </w:r>
      <w:r w:rsidRPr="00D85C08">
        <w:rPr>
          <w:rStyle w:val="Refdenotaalpie"/>
          <w:rFonts w:ascii="Times New Roman" w:hAnsi="Times New Roman" w:cs="Times New Roman"/>
          <w:sz w:val="28"/>
          <w:szCs w:val="28"/>
          <w:shd w:val="clear" w:color="auto" w:fill="FFFFFF"/>
        </w:rPr>
        <w:footnoteReference w:id="62"/>
      </w:r>
      <w:r w:rsidRPr="00D85C08">
        <w:rPr>
          <w:rFonts w:ascii="Times New Roman" w:hAnsi="Times New Roman" w:cs="Times New Roman"/>
          <w:sz w:val="28"/>
          <w:szCs w:val="28"/>
          <w:shd w:val="clear" w:color="auto" w:fill="FFFFFF"/>
        </w:rPr>
        <w:t xml:space="preserve">. Con </w:t>
      </w:r>
      <w:r w:rsidRPr="00D85C08">
        <w:rPr>
          <w:rFonts w:ascii="Times New Roman" w:hAnsi="Times New Roman" w:cs="Times New Roman"/>
          <w:sz w:val="28"/>
          <w:szCs w:val="28"/>
          <w:shd w:val="clear" w:color="auto" w:fill="FFFFFF"/>
        </w:rPr>
        <w:t xml:space="preserve">el objeto de satisfacer este deber general, dijo el tribunal, determinados sujetos deben cumplir los tres deberes especiales que se indican a continuación: </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7E6220">
      <w:pPr>
        <w:tabs>
          <w:tab w:val="left" w:pos="360"/>
        </w:tabs>
        <w:spacing w:after="0" w:line="240" w:lineRule="auto"/>
        <w:ind w:left="708"/>
        <w:contextualSpacing/>
        <w:jc w:val="both"/>
        <w:rPr>
          <w:rFonts w:ascii="Times New Roman" w:hAnsi="Times New Roman" w:cs="Times New Roman"/>
          <w:sz w:val="28"/>
          <w:szCs w:val="28"/>
        </w:rPr>
      </w:pPr>
      <w:r w:rsidRPr="00D85C08">
        <w:rPr>
          <w:rFonts w:ascii="Times New Roman" w:eastAsia="Times New Roman" w:hAnsi="Times New Roman" w:cs="Times New Roman"/>
          <w:sz w:val="28"/>
          <w:szCs w:val="28"/>
          <w:lang w:eastAsia="es-MX"/>
        </w:rPr>
        <w:t xml:space="preserve">1. El Congreso de la República: está obligado a </w:t>
      </w:r>
      <w:r w:rsidRPr="00D85C08">
        <w:rPr>
          <w:rFonts w:ascii="Times New Roman" w:hAnsi="Times New Roman" w:cs="Times New Roman"/>
          <w:sz w:val="28"/>
          <w:szCs w:val="28"/>
        </w:rPr>
        <w:t xml:space="preserve">incluir en la exposición de motivos y en las ponencias de trámite los costos fiscales de la iniciativa y la fuente de ingreso adicional generada para el financiamiento de esos costos. </w:t>
      </w:r>
    </w:p>
    <w:p w:rsidR="00F47E82" w:rsidRPr="00D85C08" w:rsidRDefault="00D85C08" w:rsidP="007E6220">
      <w:pPr>
        <w:tabs>
          <w:tab w:val="left" w:pos="360"/>
        </w:tabs>
        <w:spacing w:after="0" w:line="240" w:lineRule="auto"/>
        <w:ind w:left="708"/>
        <w:contextualSpacing/>
        <w:jc w:val="both"/>
        <w:rPr>
          <w:rFonts w:ascii="Times New Roman" w:hAnsi="Times New Roman" w:cs="Times New Roman"/>
          <w:sz w:val="28"/>
          <w:szCs w:val="28"/>
        </w:rPr>
      </w:pPr>
    </w:p>
    <w:p w:rsidR="00F47E82" w:rsidRPr="00D85C08" w:rsidRDefault="00D85C08" w:rsidP="007E6220">
      <w:pPr>
        <w:tabs>
          <w:tab w:val="left" w:pos="360"/>
        </w:tabs>
        <w:spacing w:after="0" w:line="240" w:lineRule="auto"/>
        <w:ind w:left="708"/>
        <w:contextualSpacing/>
        <w:jc w:val="both"/>
        <w:rPr>
          <w:rFonts w:ascii="Times New Roman" w:hAnsi="Times New Roman" w:cs="Times New Roman"/>
          <w:sz w:val="28"/>
          <w:szCs w:val="28"/>
        </w:rPr>
      </w:pPr>
      <w:r w:rsidRPr="00D85C08">
        <w:rPr>
          <w:rFonts w:ascii="Times New Roman" w:hAnsi="Times New Roman" w:cs="Times New Roman"/>
          <w:sz w:val="28"/>
          <w:szCs w:val="28"/>
        </w:rPr>
        <w:t xml:space="preserve">2. El Ministerio de Hacienda y Crédito Público: está llamado a </w:t>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rendir</w:t>
      </w:r>
      <w:r w:rsidRPr="00D85C08">
        <w:rPr>
          <w:rFonts w:ascii="Times New Roman" w:hAnsi="Times New Roman" w:cs="Times New Roman"/>
          <w:sz w:val="28"/>
          <w:szCs w:val="28"/>
        </w:rPr>
        <w:t xml:space="preserve"> —en cualquier tiempo durante el respectivo trámite en el Congreso de la República— su concepto sobre la consistencia del análisis de los costos fiscales</w:t>
      </w:r>
      <w:r w:rsidRPr="00D85C08">
        <w:rPr>
          <w:rFonts w:ascii="Times New Roman" w:hAnsi="Times New Roman" w:cs="Times New Roman"/>
          <w:sz w:val="28"/>
          <w:szCs w:val="28"/>
          <w:shd w:val="clear" w:color="auto" w:fill="FFFFFF"/>
        </w:rPr>
        <w:t>»</w:t>
      </w:r>
      <w:r w:rsidRPr="00D85C08">
        <w:rPr>
          <w:rStyle w:val="Refdenotaalpie"/>
          <w:rFonts w:ascii="Times New Roman" w:hAnsi="Times New Roman" w:cs="Times New Roman"/>
          <w:sz w:val="28"/>
          <w:szCs w:val="28"/>
          <w:shd w:val="clear" w:color="auto" w:fill="FFFFFF"/>
        </w:rPr>
        <w:footnoteReference w:id="63"/>
      </w:r>
      <w:r w:rsidRPr="00D85C08">
        <w:rPr>
          <w:rFonts w:ascii="Times New Roman" w:hAnsi="Times New Roman" w:cs="Times New Roman"/>
          <w:sz w:val="28"/>
          <w:szCs w:val="28"/>
          <w:shd w:val="clear" w:color="auto" w:fill="FFFFFF"/>
        </w:rPr>
        <w:t xml:space="preserve">. </w:t>
      </w:r>
      <w:r w:rsidRPr="00D85C08">
        <w:rPr>
          <w:rFonts w:ascii="Times New Roman" w:hAnsi="Times New Roman" w:cs="Times New Roman"/>
          <w:sz w:val="28"/>
          <w:szCs w:val="28"/>
        </w:rPr>
        <w:t xml:space="preserve">Este concepto debe, a su vez, reunir dos requisitos: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no podrá ir en contravía del Marco Fiscal d</w:t>
      </w:r>
      <w:r w:rsidRPr="00D85C08">
        <w:rPr>
          <w:rFonts w:ascii="Times New Roman" w:hAnsi="Times New Roman" w:cs="Times New Roman"/>
          <w:sz w:val="28"/>
          <w:szCs w:val="28"/>
        </w:rPr>
        <w:t xml:space="preserve">e Mediano Plazo y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deberá ser publicado en la Gaceta del Congreso.</w:t>
      </w:r>
    </w:p>
    <w:p w:rsidR="00F47E82" w:rsidRPr="00D85C08" w:rsidRDefault="00D85C08" w:rsidP="007E6220">
      <w:pPr>
        <w:tabs>
          <w:tab w:val="left" w:pos="360"/>
        </w:tabs>
        <w:spacing w:after="0" w:line="240" w:lineRule="auto"/>
        <w:ind w:left="708"/>
        <w:contextualSpacing/>
        <w:jc w:val="both"/>
        <w:rPr>
          <w:rFonts w:ascii="Times New Roman" w:hAnsi="Times New Roman" w:cs="Times New Roman"/>
          <w:sz w:val="28"/>
          <w:szCs w:val="28"/>
        </w:rPr>
      </w:pPr>
    </w:p>
    <w:p w:rsidR="00F47E82" w:rsidRPr="00D85C08" w:rsidRDefault="00D85C08" w:rsidP="007E6220">
      <w:pPr>
        <w:tabs>
          <w:tab w:val="left" w:pos="360"/>
        </w:tabs>
        <w:spacing w:after="0" w:line="240" w:lineRule="auto"/>
        <w:ind w:left="708"/>
        <w:contextualSpacing/>
        <w:jc w:val="both"/>
        <w:rPr>
          <w:rFonts w:ascii="Times New Roman" w:eastAsia="Times New Roman" w:hAnsi="Times New Roman" w:cs="Times New Roman"/>
          <w:sz w:val="28"/>
          <w:szCs w:val="28"/>
          <w:lang w:eastAsia="es-MX"/>
        </w:rPr>
      </w:pPr>
      <w:r w:rsidRPr="00D85C08">
        <w:rPr>
          <w:rFonts w:ascii="Times New Roman" w:hAnsi="Times New Roman" w:cs="Times New Roman"/>
          <w:sz w:val="28"/>
          <w:szCs w:val="28"/>
        </w:rPr>
        <w:t>3. El Gobierno nacional: cuando se trate de proyectos de ley de iniciativa gubernamental que planteen un gasto adicional o una reducción de ingresos, deberá incorporar en el texto norma</w:t>
      </w:r>
      <w:r w:rsidRPr="00D85C08">
        <w:rPr>
          <w:rFonts w:ascii="Times New Roman" w:hAnsi="Times New Roman" w:cs="Times New Roman"/>
          <w:sz w:val="28"/>
          <w:szCs w:val="28"/>
        </w:rPr>
        <w:t xml:space="preserve">tivo </w:t>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la fuente sustitutiva por disminución de gasto o aumentos de ingresos</w:t>
      </w:r>
      <w:r w:rsidRPr="00D85C08">
        <w:rPr>
          <w:rFonts w:ascii="Times New Roman" w:hAnsi="Times New Roman" w:cs="Times New Roman"/>
          <w:sz w:val="28"/>
          <w:szCs w:val="28"/>
          <w:shd w:val="clear" w:color="auto" w:fill="FFFFFF"/>
        </w:rPr>
        <w:t>»</w:t>
      </w:r>
      <w:r w:rsidRPr="00D85C08">
        <w:rPr>
          <w:rStyle w:val="Refdenotaalpie"/>
          <w:rFonts w:ascii="Times New Roman" w:hAnsi="Times New Roman" w:cs="Times New Roman"/>
          <w:sz w:val="28"/>
          <w:szCs w:val="28"/>
          <w:shd w:val="clear" w:color="auto" w:fill="FFFFFF"/>
        </w:rPr>
        <w:footnoteReference w:id="64"/>
      </w:r>
      <w:r w:rsidRPr="00D85C08">
        <w:rPr>
          <w:rFonts w:ascii="Times New Roman" w:hAnsi="Times New Roman" w:cs="Times New Roman"/>
          <w:sz w:val="28"/>
          <w:szCs w:val="28"/>
          <w:shd w:val="clear" w:color="auto" w:fill="FFFFFF"/>
        </w:rPr>
        <w:t xml:space="preserve">. </w:t>
      </w:r>
      <w:r w:rsidRPr="00D85C08">
        <w:rPr>
          <w:rFonts w:ascii="Times New Roman" w:hAnsi="Times New Roman" w:cs="Times New Roman"/>
          <w:sz w:val="28"/>
          <w:szCs w:val="28"/>
        </w:rPr>
        <w:t xml:space="preserve"> Esto </w:t>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deberá ser analizado y aprobado por el Ministerio de Hacienda y Crédito Público</w:t>
      </w:r>
      <w:r w:rsidRPr="00D85C08">
        <w:rPr>
          <w:rFonts w:ascii="Times New Roman" w:hAnsi="Times New Roman" w:cs="Times New Roman"/>
          <w:sz w:val="28"/>
          <w:szCs w:val="28"/>
          <w:shd w:val="clear" w:color="auto" w:fill="FFFFFF"/>
        </w:rPr>
        <w:t>»</w:t>
      </w:r>
      <w:r w:rsidRPr="00D85C08">
        <w:rPr>
          <w:rStyle w:val="Refdenotaalpie"/>
          <w:rFonts w:ascii="Times New Roman" w:hAnsi="Times New Roman" w:cs="Times New Roman"/>
          <w:sz w:val="28"/>
          <w:szCs w:val="28"/>
          <w:shd w:val="clear" w:color="auto" w:fill="FFFFFF"/>
        </w:rPr>
        <w:footnoteReference w:id="65"/>
      </w:r>
      <w:r w:rsidRPr="00D85C08">
        <w:rPr>
          <w:rFonts w:ascii="Times New Roman" w:hAnsi="Times New Roman" w:cs="Times New Roman"/>
          <w:sz w:val="28"/>
          <w:szCs w:val="28"/>
          <w:shd w:val="clear" w:color="auto" w:fill="FFFFFF"/>
        </w:rPr>
        <w:t>.</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372891">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En ese contexto, la Sala aclaró que, de conformidad con los mandatos de actuación indi</w:t>
      </w:r>
      <w:r w:rsidRPr="00D85C08">
        <w:rPr>
          <w:rFonts w:ascii="Times New Roman" w:hAnsi="Times New Roman" w:cs="Times New Roman"/>
          <w:sz w:val="28"/>
          <w:szCs w:val="28"/>
        </w:rPr>
        <w:t>cados en precedencia, es necesario distinguir entre, por un lado, los proyectos de ley de iniciativa legislativa y, por el otro, los proyectos de ley de iniciativa gubernamental</w:t>
      </w:r>
      <w:r w:rsidRPr="00D85C08">
        <w:rPr>
          <w:rStyle w:val="Refdenotaalpie"/>
          <w:rFonts w:ascii="Times New Roman" w:hAnsi="Times New Roman" w:cs="Times New Roman"/>
          <w:sz w:val="28"/>
          <w:szCs w:val="28"/>
        </w:rPr>
        <w:footnoteReference w:id="66"/>
      </w:r>
      <w:r w:rsidRPr="00D85C08">
        <w:rPr>
          <w:rFonts w:ascii="Times New Roman" w:hAnsi="Times New Roman" w:cs="Times New Roman"/>
          <w:sz w:val="28"/>
          <w:szCs w:val="28"/>
        </w:rPr>
        <w:t>. En lo que resulta de interés para los proyectos de ley que aprueban tratados</w:t>
      </w:r>
      <w:r w:rsidRPr="00D85C08">
        <w:rPr>
          <w:rFonts w:ascii="Times New Roman" w:hAnsi="Times New Roman" w:cs="Times New Roman"/>
          <w:sz w:val="28"/>
          <w:szCs w:val="28"/>
        </w:rPr>
        <w:t xml:space="preserve"> internacionales y el análisis de su impacto fiscal, la Corte recordó que, por expreso mandato constitucional</w:t>
      </w:r>
      <w:r w:rsidRPr="00D85C08">
        <w:rPr>
          <w:rStyle w:val="Refdenotaalpie"/>
          <w:rFonts w:ascii="Times New Roman" w:hAnsi="Times New Roman" w:cs="Times New Roman"/>
          <w:sz w:val="28"/>
          <w:szCs w:val="28"/>
        </w:rPr>
        <w:footnoteReference w:id="67"/>
      </w:r>
      <w:r w:rsidRPr="00D85C08">
        <w:rPr>
          <w:rFonts w:ascii="Times New Roman" w:hAnsi="Times New Roman" w:cs="Times New Roman"/>
          <w:sz w:val="28"/>
          <w:szCs w:val="28"/>
        </w:rPr>
        <w:t xml:space="preserve">, estos siempre son de iniciativa del Gobierno nacional. </w:t>
      </w:r>
    </w:p>
    <w:p w:rsidR="00F47E82" w:rsidRPr="00D85C08" w:rsidRDefault="00D85C08" w:rsidP="00372891">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372891">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Sobre el particular, concluyó que el artículo 7 de la Ley Orgánica 819 de 2003 «impone </w:t>
      </w:r>
      <w:r w:rsidRPr="00D85C08">
        <w:rPr>
          <w:rFonts w:ascii="Times New Roman" w:hAnsi="Times New Roman" w:cs="Times New Roman"/>
          <w:sz w:val="28"/>
          <w:szCs w:val="28"/>
        </w:rPr>
        <w:t>un deber especial al Gobierno y su incumplimiento afecta la constitucionalidad de la ley», al punto de que este «configura un vicio de trámite insubsanable»</w:t>
      </w:r>
      <w:r w:rsidRPr="00D85C08">
        <w:rPr>
          <w:rStyle w:val="Refdenotaalpie"/>
          <w:rFonts w:ascii="Times New Roman" w:hAnsi="Times New Roman" w:cs="Times New Roman"/>
          <w:sz w:val="28"/>
          <w:szCs w:val="28"/>
        </w:rPr>
        <w:footnoteReference w:id="68"/>
      </w:r>
      <w:r w:rsidRPr="00D85C08">
        <w:rPr>
          <w:rFonts w:ascii="Times New Roman" w:hAnsi="Times New Roman" w:cs="Times New Roman"/>
          <w:sz w:val="28"/>
          <w:szCs w:val="28"/>
        </w:rPr>
        <w:t>. El aludido deber en cabeza del Gobierno nacional se traduce en la obligación de «presentar al Congreso de manera detallada y precisa el análisis de impacto fiscal y, cuando quiera que se produzca una reducción de ingresos, la correspondiente fuente susti</w:t>
      </w:r>
      <w:r w:rsidRPr="00D85C08">
        <w:rPr>
          <w:rFonts w:ascii="Times New Roman" w:hAnsi="Times New Roman" w:cs="Times New Roman"/>
          <w:sz w:val="28"/>
          <w:szCs w:val="28"/>
        </w:rPr>
        <w:t xml:space="preserve">tutiva». </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rPr>
      </w:pPr>
    </w:p>
    <w:p w:rsidR="00F47E82" w:rsidRPr="00D85C08" w:rsidRDefault="00D85C08" w:rsidP="00442505">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shd w:val="clear" w:color="auto" w:fill="FFFFFF"/>
        </w:rPr>
        <w:t>Con fundamento en este precedente</w:t>
      </w:r>
      <w:r w:rsidRPr="00D85C08">
        <w:rPr>
          <w:rStyle w:val="Refdenotaalpie"/>
          <w:rFonts w:ascii="Times New Roman" w:hAnsi="Times New Roman" w:cs="Times New Roman"/>
          <w:sz w:val="28"/>
          <w:szCs w:val="28"/>
          <w:shd w:val="clear" w:color="auto" w:fill="FFFFFF"/>
        </w:rPr>
        <w:footnoteReference w:id="69"/>
      </w:r>
      <w:r w:rsidRPr="00D85C08">
        <w:rPr>
          <w:rFonts w:ascii="Times New Roman" w:hAnsi="Times New Roman" w:cs="Times New Roman"/>
          <w:sz w:val="28"/>
          <w:szCs w:val="28"/>
          <w:shd w:val="clear" w:color="auto" w:fill="FFFFFF"/>
        </w:rPr>
        <w:t xml:space="preserve">, por ejemplo, en la Sentencia </w:t>
      </w:r>
      <w:r w:rsidRPr="00D85C08">
        <w:rPr>
          <w:rFonts w:ascii="Times New Roman" w:hAnsi="Times New Roman" w:cs="Times New Roman"/>
          <w:sz w:val="28"/>
          <w:szCs w:val="28"/>
        </w:rPr>
        <w:t>C-125 de 2022</w:t>
      </w:r>
      <w:r w:rsidRPr="00D85C08">
        <w:rPr>
          <w:rStyle w:val="Refdenotaalpie"/>
          <w:rFonts w:ascii="Times New Roman" w:hAnsi="Times New Roman" w:cs="Times New Roman"/>
          <w:sz w:val="28"/>
          <w:szCs w:val="28"/>
          <w:shd w:val="clear" w:color="auto" w:fill="FFFFFF"/>
        </w:rPr>
        <w:footnoteReference w:id="70"/>
      </w:r>
      <w:r w:rsidRPr="00D85C08">
        <w:rPr>
          <w:rFonts w:ascii="Times New Roman" w:hAnsi="Times New Roman" w:cs="Times New Roman"/>
          <w:sz w:val="28"/>
          <w:szCs w:val="28"/>
        </w:rPr>
        <w:t>, la Corte afirmó que la obligación estatuida en el artículo 7 de la Ley Orgánica 819 de 2003 no era aplicable a la ley aprobatoria analizada en esa oportunidad porqu</w:t>
      </w:r>
      <w:r w:rsidRPr="00D85C08">
        <w:rPr>
          <w:rFonts w:ascii="Times New Roman" w:hAnsi="Times New Roman" w:cs="Times New Roman"/>
          <w:sz w:val="28"/>
          <w:szCs w:val="28"/>
        </w:rPr>
        <w:t xml:space="preserve">e, para la fecha en que había sido notificada la Sentencia C-170 de 2021, </w:t>
      </w:r>
      <w:r w:rsidRPr="00D85C08">
        <w:rPr>
          <w:rFonts w:ascii="Times New Roman" w:hAnsi="Times New Roman" w:cs="Times New Roman"/>
          <w:sz w:val="28"/>
          <w:szCs w:val="28"/>
          <w:shd w:val="clear" w:color="auto" w:fill="FFFFFF"/>
        </w:rPr>
        <w:t>«ya se había empezado (2019) y casi se había concluido la aprobación del proyecto de ley».</w:t>
      </w:r>
      <w:r w:rsidRPr="00D85C08">
        <w:rPr>
          <w:rFonts w:ascii="Times New Roman" w:hAnsi="Times New Roman" w:cs="Times New Roman"/>
          <w:sz w:val="28"/>
          <w:szCs w:val="28"/>
        </w:rPr>
        <w:t xml:space="preserve"> Este mismo razonamiento fue aplicado por la Sala Plena en la Sentencia C-187 de 2022</w:t>
      </w:r>
      <w:r w:rsidRPr="00D85C08">
        <w:rPr>
          <w:rStyle w:val="Refdenotaalpie"/>
          <w:rFonts w:ascii="Times New Roman" w:hAnsi="Times New Roman" w:cs="Times New Roman"/>
          <w:sz w:val="28"/>
          <w:szCs w:val="28"/>
        </w:rPr>
        <w:footnoteReference w:id="71"/>
      </w:r>
      <w:r w:rsidRPr="00D85C08">
        <w:rPr>
          <w:rFonts w:ascii="Times New Roman" w:hAnsi="Times New Roman" w:cs="Times New Roman"/>
          <w:sz w:val="28"/>
          <w:szCs w:val="28"/>
        </w:rPr>
        <w:t>, al a</w:t>
      </w:r>
      <w:r w:rsidRPr="00D85C08">
        <w:rPr>
          <w:rFonts w:ascii="Times New Roman" w:hAnsi="Times New Roman" w:cs="Times New Roman"/>
          <w:sz w:val="28"/>
          <w:szCs w:val="28"/>
        </w:rPr>
        <w:t>dvertir, entre otras razones</w:t>
      </w:r>
      <w:r w:rsidRPr="00D85C08">
        <w:rPr>
          <w:rStyle w:val="Refdenotaalpie"/>
          <w:rFonts w:ascii="Times New Roman" w:hAnsi="Times New Roman" w:cs="Times New Roman"/>
          <w:sz w:val="28"/>
          <w:szCs w:val="28"/>
        </w:rPr>
        <w:footnoteReference w:id="72"/>
      </w:r>
      <w:r w:rsidRPr="00D85C08">
        <w:rPr>
          <w:rFonts w:ascii="Times New Roman" w:hAnsi="Times New Roman" w:cs="Times New Roman"/>
          <w:sz w:val="28"/>
          <w:szCs w:val="28"/>
        </w:rPr>
        <w:t xml:space="preserve">, que el proyecto de ley había sido radicado ocho meses antes de la notificación de la Sentencia C-170 de 2021. </w:t>
      </w:r>
      <w:r w:rsidRPr="00D85C08">
        <w:rPr>
          <w:rFonts w:ascii="Times New Roman" w:hAnsi="Times New Roman" w:cs="Times New Roman"/>
          <w:sz w:val="28"/>
          <w:szCs w:val="28"/>
          <w:shd w:val="clear" w:color="auto" w:fill="FFFFFF"/>
        </w:rPr>
        <w:t>Algo similar ocurrió en la Sentencia C-126 de 2023</w:t>
      </w:r>
      <w:r w:rsidRPr="00D85C08">
        <w:rPr>
          <w:rStyle w:val="Refdenotaalpie"/>
          <w:rFonts w:ascii="Times New Roman" w:hAnsi="Times New Roman" w:cs="Times New Roman"/>
          <w:sz w:val="28"/>
          <w:szCs w:val="28"/>
          <w:shd w:val="clear" w:color="auto" w:fill="FFFFFF"/>
        </w:rPr>
        <w:footnoteReference w:id="73"/>
      </w:r>
      <w:r w:rsidRPr="00D85C08">
        <w:rPr>
          <w:rFonts w:ascii="Times New Roman" w:hAnsi="Times New Roman" w:cs="Times New Roman"/>
          <w:sz w:val="28"/>
          <w:szCs w:val="28"/>
          <w:shd w:val="clear" w:color="auto" w:fill="FFFFFF"/>
        </w:rPr>
        <w:t>, en la cual la Sala afirmó que</w:t>
      </w:r>
      <w:r w:rsidRPr="00D85C08">
        <w:rPr>
          <w:rFonts w:ascii="Times New Roman" w:hAnsi="Times New Roman" w:cs="Times New Roman"/>
          <w:sz w:val="28"/>
        </w:rPr>
        <w:t xml:space="preserve"> </w:t>
      </w:r>
      <w:r w:rsidRPr="00D85C08">
        <w:rPr>
          <w:rFonts w:ascii="Times New Roman" w:hAnsi="Times New Roman" w:cs="Times New Roman"/>
          <w:sz w:val="28"/>
          <w:szCs w:val="28"/>
          <w:shd w:val="clear" w:color="auto" w:fill="FFFFFF"/>
        </w:rPr>
        <w:t xml:space="preserve">la mencionada obligación no era </w:t>
      </w:r>
      <w:r w:rsidRPr="00D85C08">
        <w:rPr>
          <w:rFonts w:ascii="Times New Roman" w:hAnsi="Times New Roman" w:cs="Times New Roman"/>
          <w:sz w:val="28"/>
          <w:szCs w:val="28"/>
          <w:shd w:val="clear" w:color="auto" w:fill="FFFFFF"/>
        </w:rPr>
        <w:t>aplicable porque «el proyecto de ley y su exposición de motivos fueron radicados […] aproximadamente doce meses antes de la notificación de la Sentencia C-170 de 2021».</w:t>
      </w:r>
    </w:p>
    <w:p w:rsidR="00F47E82" w:rsidRPr="00D85C08" w:rsidRDefault="00D85C08" w:rsidP="00442505">
      <w:pPr>
        <w:tabs>
          <w:tab w:val="left" w:pos="142"/>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442505">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shd w:val="clear" w:color="auto" w:fill="FFFFFF"/>
        </w:rPr>
        <w:t xml:space="preserve">También en aplicación de esta regla, en la reciente Sentencia C-175 de 2023, la Corte </w:t>
      </w:r>
      <w:r w:rsidRPr="00D85C08">
        <w:rPr>
          <w:rFonts w:ascii="Times New Roman" w:hAnsi="Times New Roman" w:cs="Times New Roman"/>
          <w:sz w:val="28"/>
          <w:szCs w:val="28"/>
          <w:shd w:val="clear" w:color="auto" w:fill="FFFFFF"/>
        </w:rPr>
        <w:t>declaró la inexequibilidad de la Ley 2246 de 2022, por la cual se aprobó el «Acuerdo entre el Gobierno de la República de Colombia y el Gobierno de los Emiratos Árabes Unidos en relación con servicios aéreos entre y más allá de sus respectivos territorios»</w:t>
      </w:r>
      <w:r w:rsidRPr="00D85C08">
        <w:rPr>
          <w:rFonts w:ascii="Times New Roman" w:hAnsi="Times New Roman" w:cs="Times New Roman"/>
          <w:sz w:val="28"/>
          <w:szCs w:val="28"/>
          <w:shd w:val="clear" w:color="auto" w:fill="FFFFFF"/>
        </w:rPr>
        <w:t xml:space="preserve">, suscrito en Brasilia, el 7 de noviembre de 2012. Lo anterior, al </w:t>
      </w:r>
      <w:r w:rsidRPr="00D85C08">
        <w:rPr>
          <w:rFonts w:ascii="Times New Roman" w:hAnsi="Times New Roman" w:cs="Times New Roman"/>
          <w:sz w:val="28"/>
          <w:szCs w:val="28"/>
        </w:rPr>
        <w:t>observar que dos de sus artículos contenían beneficios tributarios y que el proyecto de ley aprobatoria había sido radicado doce días después de la notificación de la Sentencia C-170 de 202</w:t>
      </w:r>
      <w:r w:rsidRPr="00D85C08">
        <w:rPr>
          <w:rFonts w:ascii="Times New Roman" w:hAnsi="Times New Roman" w:cs="Times New Roman"/>
          <w:sz w:val="28"/>
          <w:szCs w:val="28"/>
        </w:rPr>
        <w:t>1. L</w:t>
      </w:r>
      <w:r w:rsidRPr="00D85C08">
        <w:rPr>
          <w:rFonts w:ascii="Times New Roman" w:hAnsi="Times New Roman" w:cs="Times New Roman"/>
          <w:sz w:val="28"/>
          <w:szCs w:val="28"/>
          <w:shd w:val="clear" w:color="auto" w:fill="FFFFFF"/>
        </w:rPr>
        <w:t>a corporación resaltó que el deber de incluir los costos fiscales de la iniciativa y la fuente de ingreso adicional para su financiamiento, en la exposición de motivos y en las ponencias de trámite, está a cargo de «quien ejerza la iniciativa legislati</w:t>
      </w:r>
      <w:r w:rsidRPr="00D85C08">
        <w:rPr>
          <w:rFonts w:ascii="Times New Roman" w:hAnsi="Times New Roman" w:cs="Times New Roman"/>
          <w:sz w:val="28"/>
          <w:szCs w:val="28"/>
          <w:shd w:val="clear" w:color="auto" w:fill="FFFFFF"/>
        </w:rPr>
        <w:t>va». Aunque este análisis no debe ser detallado o exhaustivo, sí debe tener «una mínima consideración al respecto, de modo que sea posible establecer los referentes básicos para analizar los efectos fiscales»</w:t>
      </w:r>
      <w:r w:rsidRPr="00D85C08">
        <w:rPr>
          <w:rStyle w:val="Refdenotaalpie"/>
          <w:rFonts w:ascii="Times New Roman" w:hAnsi="Times New Roman" w:cs="Times New Roman"/>
          <w:sz w:val="28"/>
          <w:szCs w:val="28"/>
          <w:shd w:val="clear" w:color="auto" w:fill="FFFFFF"/>
        </w:rPr>
        <w:footnoteReference w:id="74"/>
      </w:r>
      <w:r w:rsidRPr="00D85C08">
        <w:rPr>
          <w:rFonts w:ascii="Times New Roman" w:hAnsi="Times New Roman" w:cs="Times New Roman"/>
          <w:sz w:val="28"/>
          <w:szCs w:val="28"/>
          <w:shd w:val="clear" w:color="auto" w:fill="FFFFFF"/>
        </w:rPr>
        <w:t>.</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6B223F" w:rsidRPr="00D85C08" w:rsidRDefault="00D85C08" w:rsidP="005B6457">
      <w:pPr>
        <w:pStyle w:val="Prrafodelista"/>
        <w:numPr>
          <w:ilvl w:val="0"/>
          <w:numId w:val="1"/>
        </w:numPr>
        <w:tabs>
          <w:tab w:val="left" w:pos="284"/>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Ahora bien, la Corte </w:t>
      </w:r>
      <w:r w:rsidRPr="00D85C08">
        <w:rPr>
          <w:rFonts w:ascii="Times New Roman" w:hAnsi="Times New Roman" w:cs="Times New Roman"/>
          <w:b/>
          <w:sz w:val="28"/>
          <w:szCs w:val="28"/>
        </w:rPr>
        <w:t xml:space="preserve">constata la necesidad </w:t>
      </w:r>
      <w:r w:rsidRPr="00D85C08">
        <w:rPr>
          <w:rFonts w:ascii="Times New Roman" w:hAnsi="Times New Roman" w:cs="Times New Roman"/>
          <w:b/>
          <w:sz w:val="28"/>
          <w:szCs w:val="28"/>
        </w:rPr>
        <w:t>de hacer una precisión adicional en relación con los deberes del Gobierno nacional y del Ministerio de Hacienda</w:t>
      </w:r>
      <w:r w:rsidRPr="00D85C08">
        <w:rPr>
          <w:rFonts w:ascii="Times New Roman" w:hAnsi="Times New Roman" w:cs="Times New Roman"/>
          <w:sz w:val="28"/>
          <w:szCs w:val="28"/>
        </w:rPr>
        <w:t xml:space="preserve"> y Crédito Público cuando se trata de proyectos de ley de iniciativa gubernamental,</w:t>
      </w:r>
      <w:r w:rsidRPr="00D85C08">
        <w:rPr>
          <w:rFonts w:ascii="Times New Roman" w:hAnsi="Times New Roman" w:cs="Times New Roman"/>
          <w:sz w:val="28"/>
        </w:rPr>
        <w:t xml:space="preserve"> </w:t>
      </w:r>
      <w:r w:rsidRPr="00D85C08">
        <w:rPr>
          <w:rFonts w:ascii="Times New Roman" w:hAnsi="Times New Roman" w:cs="Times New Roman"/>
          <w:sz w:val="28"/>
          <w:szCs w:val="28"/>
        </w:rPr>
        <w:t xml:space="preserve">que ordenen gasto u otorguen beneficios tributarios. </w:t>
      </w:r>
    </w:p>
    <w:p w:rsidR="006B223F" w:rsidRPr="00D85C08" w:rsidRDefault="00D85C08" w:rsidP="006B223F">
      <w:pPr>
        <w:pStyle w:val="Prrafodelista"/>
        <w:tabs>
          <w:tab w:val="left" w:pos="284"/>
        </w:tabs>
        <w:ind w:left="0"/>
        <w:jc w:val="both"/>
        <w:rPr>
          <w:rFonts w:ascii="Times New Roman" w:hAnsi="Times New Roman" w:cs="Times New Roman"/>
          <w:sz w:val="28"/>
          <w:szCs w:val="28"/>
        </w:rPr>
      </w:pPr>
    </w:p>
    <w:p w:rsidR="00F47E82" w:rsidRPr="00D85C08" w:rsidRDefault="00D85C08" w:rsidP="005B6457">
      <w:pPr>
        <w:pStyle w:val="Prrafodelista"/>
        <w:numPr>
          <w:ilvl w:val="0"/>
          <w:numId w:val="1"/>
        </w:numPr>
        <w:tabs>
          <w:tab w:val="left" w:pos="284"/>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En con</w:t>
      </w:r>
      <w:r w:rsidRPr="00D85C08">
        <w:rPr>
          <w:rFonts w:ascii="Times New Roman" w:hAnsi="Times New Roman" w:cs="Times New Roman"/>
          <w:sz w:val="28"/>
          <w:szCs w:val="28"/>
        </w:rPr>
        <w:t xml:space="preserve">cordancia con el tenor literal del artículo 7 de la Ley Orgánica 819 de 2003, la corporación interpreta que, tratándose de proyectos de ley de iniciativa gubernamental, aquel contiene obligaciones específicas y cualificadas en cabeza de cada uno </w:t>
      </w:r>
      <w:r w:rsidRPr="00D85C08">
        <w:rPr>
          <w:rFonts w:ascii="Times New Roman" w:hAnsi="Times New Roman" w:cs="Times New Roman"/>
          <w:sz w:val="28"/>
          <w:szCs w:val="28"/>
        </w:rPr>
        <w:t xml:space="preserve">de </w:t>
      </w:r>
      <w:r w:rsidRPr="00D85C08">
        <w:rPr>
          <w:rFonts w:ascii="Times New Roman" w:hAnsi="Times New Roman" w:cs="Times New Roman"/>
          <w:sz w:val="28"/>
          <w:szCs w:val="28"/>
        </w:rPr>
        <w:t xml:space="preserve">esos </w:t>
      </w:r>
      <w:r w:rsidRPr="00D85C08">
        <w:rPr>
          <w:rFonts w:ascii="Times New Roman" w:hAnsi="Times New Roman" w:cs="Times New Roman"/>
          <w:sz w:val="28"/>
          <w:szCs w:val="28"/>
        </w:rPr>
        <w:t>sujetos, así:</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6B223F">
      <w:pPr>
        <w:tabs>
          <w:tab w:val="left" w:pos="360"/>
        </w:tabs>
        <w:spacing w:after="0" w:line="240" w:lineRule="auto"/>
        <w:ind w:left="708"/>
        <w:contextualSpacing/>
        <w:jc w:val="both"/>
        <w:rPr>
          <w:rFonts w:ascii="Times New Roman" w:hAnsi="Times New Roman" w:cs="Times New Roman"/>
          <w:sz w:val="28"/>
          <w:szCs w:val="28"/>
        </w:rPr>
      </w:pPr>
      <w:r w:rsidRPr="00D85C08">
        <w:rPr>
          <w:rFonts w:ascii="Times New Roman" w:hAnsi="Times New Roman" w:cs="Times New Roman"/>
          <w:b/>
          <w:sz w:val="28"/>
          <w:szCs w:val="28"/>
        </w:rPr>
        <w:t>El</w:t>
      </w:r>
      <w:r w:rsidRPr="00D85C08">
        <w:rPr>
          <w:rFonts w:ascii="Times New Roman" w:hAnsi="Times New Roman" w:cs="Times New Roman"/>
          <w:sz w:val="28"/>
          <w:szCs w:val="28"/>
        </w:rPr>
        <w:t xml:space="preserve"> </w:t>
      </w:r>
      <w:r w:rsidRPr="00D85C08">
        <w:rPr>
          <w:rFonts w:ascii="Times New Roman" w:hAnsi="Times New Roman" w:cs="Times New Roman"/>
          <w:b/>
          <w:sz w:val="28"/>
          <w:szCs w:val="28"/>
        </w:rPr>
        <w:t>Gobierno nacional</w:t>
      </w:r>
      <w:r w:rsidRPr="00D85C08">
        <w:rPr>
          <w:rFonts w:ascii="Times New Roman" w:hAnsi="Times New Roman" w:cs="Times New Roman"/>
          <w:sz w:val="28"/>
          <w:szCs w:val="28"/>
        </w:rPr>
        <w:t xml:space="preserve">: </w:t>
      </w:r>
      <w:r w:rsidRPr="00D85C08">
        <w:rPr>
          <w:rFonts w:ascii="Times New Roman" w:eastAsia="Times New Roman" w:hAnsi="Times New Roman" w:cs="Times New Roman"/>
          <w:sz w:val="28"/>
          <w:szCs w:val="28"/>
          <w:lang w:eastAsia="es-MX"/>
        </w:rPr>
        <w:t xml:space="preserve">está obligado a </w:t>
      </w:r>
      <w:r w:rsidRPr="00D85C08">
        <w:rPr>
          <w:rFonts w:ascii="Times New Roman" w:hAnsi="Times New Roman" w:cs="Times New Roman"/>
          <w:sz w:val="28"/>
          <w:szCs w:val="28"/>
        </w:rPr>
        <w:t>incluir en la exposición de motivos y en las ponencias de trámite respectivas los costos fiscales de la iniciativa y la fuente de ingreso adicional generada para el financiamiento de esos costos</w:t>
      </w:r>
      <w:r w:rsidRPr="00D85C08">
        <w:rPr>
          <w:rStyle w:val="Refdenotaalpie"/>
          <w:rFonts w:ascii="Times New Roman" w:hAnsi="Times New Roman" w:cs="Times New Roman"/>
          <w:sz w:val="28"/>
          <w:szCs w:val="28"/>
        </w:rPr>
        <w:footnoteReference w:id="75"/>
      </w:r>
      <w:r w:rsidRPr="00D85C08">
        <w:rPr>
          <w:rFonts w:ascii="Times New Roman" w:hAnsi="Times New Roman" w:cs="Times New Roman"/>
          <w:sz w:val="28"/>
          <w:szCs w:val="28"/>
        </w:rPr>
        <w:t>. Para e</w:t>
      </w:r>
      <w:r w:rsidRPr="00D85C08">
        <w:rPr>
          <w:rFonts w:ascii="Times New Roman" w:hAnsi="Times New Roman" w:cs="Times New Roman"/>
          <w:sz w:val="28"/>
          <w:szCs w:val="28"/>
        </w:rPr>
        <w:t>l efecto, de conformidad con lo dispuesto en el artículo 115 de la Constitución, el presidente de la República y un ministro o un director de departamento, «en cada negocio particular, constituyen el Gobierno».</w:t>
      </w:r>
    </w:p>
    <w:p w:rsidR="00F47E82" w:rsidRPr="00D85C08" w:rsidRDefault="00D85C08" w:rsidP="006B223F">
      <w:pPr>
        <w:tabs>
          <w:tab w:val="left" w:pos="360"/>
        </w:tabs>
        <w:spacing w:after="0" w:line="240" w:lineRule="auto"/>
        <w:ind w:left="708"/>
        <w:contextualSpacing/>
        <w:jc w:val="both"/>
        <w:rPr>
          <w:rFonts w:ascii="Times New Roman" w:hAnsi="Times New Roman" w:cs="Times New Roman"/>
          <w:sz w:val="28"/>
          <w:szCs w:val="28"/>
        </w:rPr>
      </w:pPr>
    </w:p>
    <w:p w:rsidR="00F47E82" w:rsidRPr="00D85C08" w:rsidRDefault="00D85C08" w:rsidP="006B223F">
      <w:pPr>
        <w:tabs>
          <w:tab w:val="left" w:pos="360"/>
        </w:tabs>
        <w:spacing w:after="0" w:line="240" w:lineRule="auto"/>
        <w:ind w:left="708"/>
        <w:contextualSpacing/>
        <w:jc w:val="both"/>
        <w:rPr>
          <w:rFonts w:ascii="Times New Roman" w:hAnsi="Times New Roman" w:cs="Times New Roman"/>
          <w:sz w:val="28"/>
          <w:szCs w:val="28"/>
        </w:rPr>
      </w:pPr>
      <w:bookmarkStart w:id="12" w:name="_Hlk138834530"/>
      <w:r w:rsidRPr="00D85C08">
        <w:rPr>
          <w:rFonts w:ascii="Times New Roman" w:hAnsi="Times New Roman" w:cs="Times New Roman"/>
          <w:b/>
          <w:sz w:val="28"/>
          <w:szCs w:val="28"/>
        </w:rPr>
        <w:t>El Ministerio de Hacienda y Crédito Público</w:t>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tiene el deber de analizar y aprobar la correspondiente fuente sustitutiva por disminución de gasto o aumento de ingresos contenida en el proyecto de ley</w:t>
      </w:r>
      <w:r w:rsidRPr="00D85C08">
        <w:rPr>
          <w:rStyle w:val="Refdenotaalpie"/>
          <w:rFonts w:ascii="Times New Roman" w:hAnsi="Times New Roman" w:cs="Times New Roman"/>
          <w:sz w:val="28"/>
          <w:szCs w:val="28"/>
        </w:rPr>
        <w:footnoteReference w:id="76"/>
      </w:r>
      <w:r w:rsidRPr="00D85C08">
        <w:rPr>
          <w:rFonts w:ascii="Times New Roman" w:hAnsi="Times New Roman" w:cs="Times New Roman"/>
          <w:sz w:val="28"/>
          <w:szCs w:val="28"/>
        </w:rPr>
        <w:t xml:space="preserve">. </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rPr>
      </w:pPr>
    </w:p>
    <w:p w:rsidR="00F47E82" w:rsidRPr="00D85C08" w:rsidRDefault="00D85C08" w:rsidP="00E35B56">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De acuerdo con la jurisprudencia, en principio, esta regla se cumple cuando el proyecto de ley es</w:t>
      </w:r>
      <w:r w:rsidRPr="00D85C08">
        <w:rPr>
          <w:rFonts w:ascii="Times New Roman" w:hAnsi="Times New Roman" w:cs="Times New Roman"/>
          <w:sz w:val="28"/>
          <w:szCs w:val="28"/>
        </w:rPr>
        <w:t xml:space="preserve"> radicado en el Congreso de la República por el ministro de Hacienda y Crédito Público de forma individual o con otros ministros</w:t>
      </w:r>
      <w:r w:rsidRPr="00D85C08">
        <w:rPr>
          <w:rStyle w:val="Refdenotaalpie"/>
          <w:rFonts w:ascii="Times New Roman" w:hAnsi="Times New Roman" w:cs="Times New Roman"/>
          <w:sz w:val="28"/>
          <w:szCs w:val="28"/>
        </w:rPr>
        <w:footnoteReference w:id="77"/>
      </w:r>
      <w:r w:rsidRPr="00D85C08">
        <w:rPr>
          <w:rFonts w:ascii="Times New Roman" w:hAnsi="Times New Roman" w:cs="Times New Roman"/>
          <w:sz w:val="28"/>
          <w:szCs w:val="28"/>
        </w:rPr>
        <w:t>. En este evento, se entiende que el aludido deber del Ministerio de Hacienda y Crédito Público se solapa y, por tanto, se sati</w:t>
      </w:r>
      <w:r w:rsidRPr="00D85C08">
        <w:rPr>
          <w:rFonts w:ascii="Times New Roman" w:hAnsi="Times New Roman" w:cs="Times New Roman"/>
          <w:sz w:val="28"/>
          <w:szCs w:val="28"/>
        </w:rPr>
        <w:t>sface con el acatamiento, por parte del Gobierno nacional, del deber indicado en el numeral anterior. Dicho deber se cumple cuando en la exposición de motivos, el Ministerio de Hacienda y Crédito Público incluye «un análisis global y sistemático sobre el i</w:t>
      </w:r>
      <w:r w:rsidRPr="00D85C08">
        <w:rPr>
          <w:rFonts w:ascii="Times New Roman" w:hAnsi="Times New Roman" w:cs="Times New Roman"/>
          <w:sz w:val="28"/>
          <w:szCs w:val="28"/>
        </w:rPr>
        <w:t>mpacto tributario de toda la reforma»</w:t>
      </w:r>
      <w:r w:rsidRPr="00D85C08">
        <w:rPr>
          <w:rStyle w:val="Refdenotaalpie"/>
          <w:rFonts w:ascii="Times New Roman" w:hAnsi="Times New Roman" w:cs="Times New Roman"/>
          <w:sz w:val="28"/>
          <w:szCs w:val="28"/>
        </w:rPr>
        <w:footnoteReference w:id="78"/>
      </w:r>
      <w:r w:rsidRPr="00D85C08">
        <w:rPr>
          <w:rFonts w:ascii="Times New Roman" w:hAnsi="Times New Roman" w:cs="Times New Roman"/>
          <w:sz w:val="28"/>
          <w:szCs w:val="28"/>
        </w:rPr>
        <w:t>, de manera que «el Legislador pueda evaluar la conveniencia fiscal de la reforma y de cada una de las medidas»</w:t>
      </w:r>
      <w:r w:rsidRPr="00D85C08">
        <w:rPr>
          <w:rStyle w:val="Refdenotaalpie"/>
          <w:rFonts w:ascii="Times New Roman" w:hAnsi="Times New Roman" w:cs="Times New Roman"/>
          <w:sz w:val="28"/>
          <w:szCs w:val="28"/>
        </w:rPr>
        <w:footnoteReference w:id="79"/>
      </w:r>
      <w:r w:rsidRPr="00D85C08">
        <w:rPr>
          <w:rFonts w:ascii="Times New Roman" w:hAnsi="Times New Roman" w:cs="Times New Roman"/>
          <w:sz w:val="28"/>
          <w:szCs w:val="28"/>
        </w:rPr>
        <w:t xml:space="preserve">.  </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rPr>
      </w:pPr>
    </w:p>
    <w:p w:rsidR="00F47E82" w:rsidRPr="00D85C08" w:rsidRDefault="00D85C08" w:rsidP="00DC7C6C">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Sin embargo, la Sala observa que bien puede ocurrir que el proyecto de ley que ordene gasto o que oto</w:t>
      </w:r>
      <w:r w:rsidRPr="00D85C08">
        <w:rPr>
          <w:rFonts w:ascii="Times New Roman" w:hAnsi="Times New Roman" w:cs="Times New Roman"/>
          <w:sz w:val="28"/>
          <w:szCs w:val="28"/>
        </w:rPr>
        <w:t xml:space="preserve">rgue beneficios tributarios no sea radicado en el Congreso de la República por el Ministerio de Hacienda y Crédito Público. Esto puede suceder, entre otras razones, por las dinámicas internas del Gobierno nacional, la distribución de los negocios según su </w:t>
      </w:r>
      <w:r w:rsidRPr="00D85C08">
        <w:rPr>
          <w:rFonts w:ascii="Times New Roman" w:hAnsi="Times New Roman" w:cs="Times New Roman"/>
          <w:sz w:val="28"/>
          <w:szCs w:val="28"/>
        </w:rPr>
        <w:t xml:space="preserve">naturaleza entre los ministerios, la poca relevancia del tema tributario en un determinado proyecto de ley o, incluso, por la inconformidad del Ministerio de Hacienda y Crédito Público con la iniciativa. </w:t>
      </w:r>
    </w:p>
    <w:p w:rsidR="00F47E82" w:rsidRPr="00D85C08" w:rsidRDefault="00D85C08" w:rsidP="00DC7C6C">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6C651D" w:rsidRPr="00D85C08" w:rsidRDefault="00D85C08" w:rsidP="00DC7C6C">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El artículo 7 de la Ley Orgánica 819 de 2003 y la jurisprudencia constitucional prevén varias alternativas cuando la radicación del proyecto </w:t>
      </w:r>
      <w:r w:rsidRPr="00D85C08">
        <w:rPr>
          <w:rFonts w:ascii="Times New Roman" w:hAnsi="Times New Roman" w:cs="Times New Roman"/>
          <w:b/>
          <w:sz w:val="28"/>
          <w:szCs w:val="28"/>
        </w:rPr>
        <w:t>no</w:t>
      </w:r>
      <w:r w:rsidRPr="00D85C08">
        <w:rPr>
          <w:rFonts w:ascii="Times New Roman" w:hAnsi="Times New Roman" w:cs="Times New Roman"/>
          <w:sz w:val="28"/>
          <w:szCs w:val="28"/>
        </w:rPr>
        <w:t xml:space="preserve"> es acompañada por el Ministerio de Hacienda y Crédito Público. </w:t>
      </w:r>
    </w:p>
    <w:p w:rsidR="006C651D" w:rsidRPr="00D85C08" w:rsidRDefault="00D85C08" w:rsidP="006C651D">
      <w:pPr>
        <w:pStyle w:val="Prrafodelista"/>
        <w:tabs>
          <w:tab w:val="left" w:pos="142"/>
        </w:tabs>
        <w:ind w:left="0"/>
        <w:jc w:val="both"/>
        <w:rPr>
          <w:rFonts w:ascii="Times New Roman" w:hAnsi="Times New Roman" w:cs="Times New Roman"/>
          <w:sz w:val="28"/>
          <w:szCs w:val="28"/>
        </w:rPr>
      </w:pPr>
    </w:p>
    <w:p w:rsidR="00F47E82" w:rsidRPr="00D85C08" w:rsidRDefault="00D85C08" w:rsidP="00DC7C6C">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b/>
          <w:sz w:val="28"/>
          <w:szCs w:val="28"/>
        </w:rPr>
        <w:t>La primera</w:t>
      </w:r>
      <w:r w:rsidRPr="00D85C08">
        <w:rPr>
          <w:rFonts w:ascii="Times New Roman" w:hAnsi="Times New Roman" w:cs="Times New Roman"/>
          <w:sz w:val="28"/>
          <w:szCs w:val="28"/>
        </w:rPr>
        <w:t xml:space="preserve"> de ellas se halla en el inciso terce</w:t>
      </w:r>
      <w:r w:rsidRPr="00D85C08">
        <w:rPr>
          <w:rFonts w:ascii="Times New Roman" w:hAnsi="Times New Roman" w:cs="Times New Roman"/>
          <w:sz w:val="28"/>
          <w:szCs w:val="28"/>
        </w:rPr>
        <w:t>ro de ese artículo y consiste en la activación de la obligación general a cargo de esa cartera de rendir concepto, en cualquier tiempo durante el respectivo trámite legislativo, sobre la consistencia del análisis de impacto fiscal contenido en la exposició</w:t>
      </w:r>
      <w:r w:rsidRPr="00D85C08">
        <w:rPr>
          <w:rFonts w:ascii="Times New Roman" w:hAnsi="Times New Roman" w:cs="Times New Roman"/>
          <w:sz w:val="28"/>
          <w:szCs w:val="28"/>
        </w:rPr>
        <w:t xml:space="preserve">n de motivos y en las ponencias de trámite con el Marco Fiscal de Mediano Plazo. </w:t>
      </w:r>
    </w:p>
    <w:p w:rsidR="00F47E82" w:rsidRPr="00D85C08" w:rsidRDefault="00D85C08" w:rsidP="00DC7C6C">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DC7C6C">
      <w:pPr>
        <w:pStyle w:val="Prrafodelista"/>
        <w:numPr>
          <w:ilvl w:val="0"/>
          <w:numId w:val="1"/>
        </w:numPr>
        <w:tabs>
          <w:tab w:val="left" w:pos="142"/>
        </w:tabs>
        <w:ind w:left="0" w:firstLine="0"/>
        <w:jc w:val="both"/>
        <w:rPr>
          <w:rFonts w:ascii="Times New Roman" w:hAnsi="Times New Roman" w:cs="Times New Roman"/>
          <w:sz w:val="28"/>
          <w:szCs w:val="28"/>
          <w:shd w:val="clear" w:color="auto" w:fill="FFFFFF"/>
        </w:rPr>
      </w:pPr>
      <w:r w:rsidRPr="00D85C08">
        <w:rPr>
          <w:rFonts w:ascii="Times New Roman" w:hAnsi="Times New Roman" w:cs="Times New Roman"/>
          <w:sz w:val="28"/>
          <w:szCs w:val="28"/>
        </w:rPr>
        <w:t>Ciertamente, esta alternativa ya ha sido considerada marginalmente por la Corte al estudiar la constitucionalidad de leyes aprobatorias de tratados y, específicamente, el cu</w:t>
      </w:r>
      <w:r w:rsidRPr="00D85C08">
        <w:rPr>
          <w:rFonts w:ascii="Times New Roman" w:hAnsi="Times New Roman" w:cs="Times New Roman"/>
          <w:sz w:val="28"/>
          <w:szCs w:val="28"/>
        </w:rPr>
        <w:t xml:space="preserve">mplimiento del requisito estatuido en el artículo 7 de la Ley Orgánica 819 de 2003. En la ya citada Sentencia </w:t>
      </w:r>
      <w:r w:rsidRPr="00D85C08">
        <w:rPr>
          <w:rFonts w:ascii="Times New Roman" w:hAnsi="Times New Roman" w:cs="Times New Roman"/>
          <w:sz w:val="28"/>
          <w:szCs w:val="28"/>
          <w:shd w:val="clear" w:color="auto" w:fill="FFFFFF"/>
        </w:rPr>
        <w:t>C-175 de 2023, la Sala se refirió al incumplimiento de esta obligación puntual para resaltar el carácter insubsanable de ese vicio de procedimient</w:t>
      </w:r>
      <w:r w:rsidRPr="00D85C08">
        <w:rPr>
          <w:rFonts w:ascii="Times New Roman" w:hAnsi="Times New Roman" w:cs="Times New Roman"/>
          <w:sz w:val="28"/>
          <w:szCs w:val="28"/>
          <w:shd w:val="clear" w:color="auto" w:fill="FFFFFF"/>
        </w:rPr>
        <w:t>o</w:t>
      </w:r>
      <w:r w:rsidRPr="00D85C08">
        <w:rPr>
          <w:rStyle w:val="Refdenotaalpie"/>
          <w:rFonts w:ascii="Times New Roman" w:hAnsi="Times New Roman" w:cs="Times New Roman"/>
          <w:sz w:val="28"/>
          <w:szCs w:val="28"/>
          <w:shd w:val="clear" w:color="auto" w:fill="FFFFFF"/>
        </w:rPr>
        <w:footnoteReference w:id="80"/>
      </w:r>
      <w:r w:rsidRPr="00D85C08">
        <w:rPr>
          <w:rFonts w:ascii="Times New Roman" w:hAnsi="Times New Roman" w:cs="Times New Roman"/>
          <w:sz w:val="28"/>
          <w:szCs w:val="28"/>
          <w:shd w:val="clear" w:color="auto" w:fill="FFFFFF"/>
        </w:rPr>
        <w:t xml:space="preserve">: </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F47E82">
      <w:pPr>
        <w:tabs>
          <w:tab w:val="left" w:pos="360"/>
        </w:tabs>
        <w:spacing w:after="0" w:line="240" w:lineRule="auto"/>
        <w:ind w:left="567"/>
        <w:contextualSpacing/>
        <w:jc w:val="both"/>
        <w:rPr>
          <w:rFonts w:ascii="Times New Roman" w:hAnsi="Times New Roman" w:cs="Times New Roman"/>
          <w:sz w:val="28"/>
          <w:szCs w:val="26"/>
          <w:shd w:val="clear" w:color="auto" w:fill="FFFFFF"/>
        </w:rPr>
      </w:pPr>
      <w:r w:rsidRPr="00D85C08">
        <w:rPr>
          <w:rFonts w:ascii="Times New Roman" w:hAnsi="Times New Roman" w:cs="Times New Roman"/>
          <w:sz w:val="28"/>
          <w:szCs w:val="26"/>
          <w:shd w:val="clear" w:color="auto" w:fill="FFFFFF"/>
        </w:rPr>
        <w:t>[E]l carácter insubsanable obedece a que no se contó con este análisis en ninguno de los momentos del procedimiento legislativo en los cuales era exigible. Es decir, no se incluyó en la exposición de motivos del proyecto de ley. Tampoco se discutió o exami</w:t>
      </w:r>
      <w:r w:rsidRPr="00D85C08">
        <w:rPr>
          <w:rFonts w:ascii="Times New Roman" w:hAnsi="Times New Roman" w:cs="Times New Roman"/>
          <w:sz w:val="28"/>
          <w:szCs w:val="26"/>
          <w:shd w:val="clear" w:color="auto" w:fill="FFFFFF"/>
        </w:rPr>
        <w:t xml:space="preserve">nó en cada una de las ponencias durante su trámite. </w:t>
      </w:r>
      <w:r w:rsidRPr="00D85C08">
        <w:rPr>
          <w:rFonts w:ascii="Times New Roman" w:hAnsi="Times New Roman" w:cs="Times New Roman"/>
          <w:b/>
          <w:bCs/>
          <w:sz w:val="28"/>
          <w:szCs w:val="26"/>
          <w:shd w:val="clear" w:color="auto" w:fill="FFFFFF"/>
        </w:rPr>
        <w:t>Más aún, pese a que el Ministerio de Hacienda puede emitir su concepto en cualquier momento del trámite legislativo, esto no ocurrió</w:t>
      </w:r>
      <w:r w:rsidRPr="00D85C08">
        <w:rPr>
          <w:rFonts w:ascii="Times New Roman" w:hAnsi="Times New Roman" w:cs="Times New Roman"/>
          <w:sz w:val="28"/>
          <w:szCs w:val="26"/>
          <w:shd w:val="clear" w:color="auto" w:fill="FFFFFF"/>
        </w:rPr>
        <w:t>. De ahí que la exigencia de estudio de impacto fiscal sea transversal a</w:t>
      </w:r>
      <w:r w:rsidRPr="00D85C08">
        <w:rPr>
          <w:rFonts w:ascii="Times New Roman" w:hAnsi="Times New Roman" w:cs="Times New Roman"/>
          <w:sz w:val="28"/>
          <w:szCs w:val="26"/>
          <w:shd w:val="clear" w:color="auto" w:fill="FFFFFF"/>
        </w:rPr>
        <w:t xml:space="preserve">l procedimiento en el Congreso de la República y, por tal circunstancia, su omisión se proyecta a la totalidad del trámite legislativo </w:t>
      </w:r>
      <w:bookmarkStart w:id="13" w:name="_Hlk138920646"/>
      <w:r w:rsidRPr="00D85C08">
        <w:rPr>
          <w:rFonts w:ascii="Times New Roman" w:hAnsi="Times New Roman" w:cs="Times New Roman"/>
          <w:sz w:val="28"/>
          <w:szCs w:val="26"/>
          <w:shd w:val="clear" w:color="auto" w:fill="FFFFFF"/>
        </w:rPr>
        <w:t>[negrilla fuera del texto original].</w:t>
      </w:r>
    </w:p>
    <w:bookmarkEnd w:id="13"/>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shd w:val="clear" w:color="auto" w:fill="FFFFFF"/>
        </w:rPr>
      </w:pPr>
    </w:p>
    <w:p w:rsidR="00F47E82" w:rsidRPr="00D85C08" w:rsidRDefault="00D85C08" w:rsidP="00C36DCA">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shd w:val="clear" w:color="auto" w:fill="FFFFFF"/>
        </w:rPr>
        <w:t>En similares términos, previamente, en la Sentencia C-126 de 2023, el tribunal obse</w:t>
      </w:r>
      <w:r w:rsidRPr="00D85C08">
        <w:rPr>
          <w:rFonts w:ascii="Times New Roman" w:hAnsi="Times New Roman" w:cs="Times New Roman"/>
          <w:sz w:val="28"/>
          <w:szCs w:val="28"/>
          <w:shd w:val="clear" w:color="auto" w:fill="FFFFFF"/>
        </w:rPr>
        <w:t xml:space="preserve">rvó que, </w:t>
      </w:r>
      <w:r w:rsidRPr="00D85C08">
        <w:rPr>
          <w:rFonts w:ascii="Times New Roman" w:hAnsi="Times New Roman" w:cs="Times New Roman"/>
          <w:sz w:val="28"/>
          <w:szCs w:val="28"/>
        </w:rPr>
        <w:t>«</w:t>
      </w:r>
      <w:r w:rsidRPr="00D85C08">
        <w:rPr>
          <w:rFonts w:ascii="Times New Roman" w:hAnsi="Times New Roman" w:cs="Times New Roman"/>
          <w:sz w:val="28"/>
          <w:szCs w:val="28"/>
          <w:shd w:val="clear" w:color="auto" w:fill="FFFFFF"/>
        </w:rPr>
        <w:t>[s]i bien el Acuerdo contiene beneficios tributarios y aduaneros […], su impacto fiscal no fue analizado durante el trámite legislativo […]. Es decir, no se examinó su compatibilidad con el Marco Fiscal de Mediano Plazo, no se incluyeron los cost</w:t>
      </w:r>
      <w:r w:rsidRPr="00D85C08">
        <w:rPr>
          <w:rFonts w:ascii="Times New Roman" w:hAnsi="Times New Roman" w:cs="Times New Roman"/>
          <w:sz w:val="28"/>
          <w:szCs w:val="28"/>
          <w:shd w:val="clear" w:color="auto" w:fill="FFFFFF"/>
        </w:rPr>
        <w:t xml:space="preserve">os fiscales de la iniciativa y la fuente de ingreso adicional en la exposición de motivos y en las ponencias de trámite, y </w:t>
      </w:r>
      <w:r w:rsidRPr="00D85C08">
        <w:rPr>
          <w:rFonts w:ascii="Times New Roman" w:hAnsi="Times New Roman" w:cs="Times New Roman"/>
          <w:b/>
          <w:bCs/>
          <w:sz w:val="28"/>
          <w:szCs w:val="28"/>
          <w:shd w:val="clear" w:color="auto" w:fill="FFFFFF"/>
        </w:rPr>
        <w:t>el Ministerio de Hacienda y Crédito Público tampoco rindió el concepto respectivo</w:t>
      </w:r>
      <w:r w:rsidRPr="00D85C08">
        <w:rPr>
          <w:rFonts w:ascii="Times New Roman" w:hAnsi="Times New Roman" w:cs="Times New Roman"/>
          <w:sz w:val="28"/>
          <w:szCs w:val="28"/>
        </w:rPr>
        <w:t>» [negrilla fuera del texto original].</w:t>
      </w:r>
      <w:r w:rsidRPr="00D85C08">
        <w:rPr>
          <w:rFonts w:ascii="Times New Roman" w:hAnsi="Times New Roman" w:cs="Times New Roman"/>
          <w:sz w:val="28"/>
          <w:szCs w:val="28"/>
          <w:shd w:val="clear" w:color="auto" w:fill="FFFFFF"/>
        </w:rPr>
        <w:t xml:space="preserve">   </w:t>
      </w:r>
    </w:p>
    <w:p w:rsidR="00F47E82" w:rsidRPr="00D85C08" w:rsidRDefault="00D85C08" w:rsidP="00C36DCA">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C36DCA">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b/>
          <w:sz w:val="28"/>
          <w:szCs w:val="28"/>
        </w:rPr>
        <w:t>Además, d</w:t>
      </w:r>
      <w:r w:rsidRPr="00D85C08">
        <w:rPr>
          <w:rFonts w:ascii="Times New Roman" w:hAnsi="Times New Roman" w:cs="Times New Roman"/>
          <w:b/>
          <w:sz w:val="28"/>
          <w:szCs w:val="28"/>
        </w:rPr>
        <w:t>e lo anterior</w:t>
      </w:r>
      <w:r w:rsidRPr="00D85C08">
        <w:rPr>
          <w:rFonts w:ascii="Times New Roman" w:hAnsi="Times New Roman" w:cs="Times New Roman"/>
          <w:sz w:val="28"/>
          <w:szCs w:val="28"/>
        </w:rPr>
        <w:t xml:space="preserve"> el artículo en comento en su inciso cuarto</w:t>
      </w:r>
      <w:r w:rsidRPr="00D85C08">
        <w:rPr>
          <w:rFonts w:ascii="Times New Roman" w:hAnsi="Times New Roman" w:cs="Times New Roman"/>
          <w:sz w:val="28"/>
          <w:szCs w:val="28"/>
        </w:rPr>
        <w:t xml:space="preserve"> contempla en proyectos de origen gubernamental que </w:t>
      </w:r>
      <w:r w:rsidRPr="00D85C08">
        <w:rPr>
          <w:rFonts w:ascii="Times New Roman" w:hAnsi="Times New Roman" w:cs="Times New Roman"/>
          <w:sz w:val="28"/>
          <w:szCs w:val="28"/>
        </w:rPr>
        <w:t>el Ministerio de Hacienda y Crédito público</w:t>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 xml:space="preserve">deberá demostrar que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w:t>
      </w:r>
      <w:r w:rsidRPr="00D85C08">
        <w:rPr>
          <w:rFonts w:ascii="Times New Roman" w:hAnsi="Times New Roman" w:cs="Times New Roman"/>
          <w:i/>
          <w:iCs/>
          <w:sz w:val="28"/>
          <w:szCs w:val="28"/>
        </w:rPr>
        <w:t>analizó</w:t>
      </w:r>
      <w:r w:rsidRPr="00D85C08">
        <w:rPr>
          <w:rFonts w:ascii="Times New Roman" w:hAnsi="Times New Roman" w:cs="Times New Roman"/>
          <w:sz w:val="28"/>
          <w:szCs w:val="28"/>
        </w:rPr>
        <w:t xml:space="preserve"> y </w:t>
      </w:r>
      <w:r w:rsidRPr="00D85C08">
        <w:rPr>
          <w:rFonts w:ascii="Times New Roman" w:hAnsi="Times New Roman" w:cs="Times New Roman"/>
          <w:i/>
          <w:iCs/>
          <w:sz w:val="28"/>
          <w:szCs w:val="28"/>
        </w:rPr>
        <w:t>aprobó</w:t>
      </w:r>
      <w:r w:rsidRPr="00D85C08">
        <w:rPr>
          <w:rFonts w:ascii="Times New Roman" w:hAnsi="Times New Roman" w:cs="Times New Roman"/>
          <w:sz w:val="28"/>
          <w:szCs w:val="28"/>
        </w:rPr>
        <w:t xml:space="preserve"> «la correspondiente fuente sustitutiva por disminución de gasto o aumentos de ingresos», prevista en el proyecto de ley y </w:t>
      </w:r>
      <w:r w:rsidRPr="00D85C08">
        <w:rPr>
          <w:rFonts w:ascii="Times New Roman" w:hAnsi="Times New Roman" w:cs="Times New Roman"/>
          <w:i/>
          <w:iCs/>
          <w:sz w:val="28"/>
          <w:szCs w:val="28"/>
        </w:rPr>
        <w:t>ii)</w:t>
      </w:r>
      <w:r w:rsidRPr="00D85C08">
        <w:rPr>
          <w:rFonts w:ascii="Times New Roman" w:hAnsi="Times New Roman" w:cs="Times New Roman"/>
          <w:sz w:val="28"/>
          <w:szCs w:val="28"/>
        </w:rPr>
        <w:t xml:space="preserve"> que esta situación fue informada durante el trámite legislativo por el Gobierno nacional. En este evento, debe existir la constan</w:t>
      </w:r>
      <w:r w:rsidRPr="00D85C08">
        <w:rPr>
          <w:rFonts w:ascii="Times New Roman" w:hAnsi="Times New Roman" w:cs="Times New Roman"/>
          <w:sz w:val="28"/>
          <w:szCs w:val="28"/>
        </w:rPr>
        <w:t xml:space="preserve">cia correspondiente en la Gaceta del Congreso, según lo establecido en el inciso tercero de la misma disposición. </w:t>
      </w:r>
    </w:p>
    <w:p w:rsidR="00F47E82" w:rsidRPr="00D85C08" w:rsidRDefault="00D85C08" w:rsidP="00C36DCA">
      <w:pPr>
        <w:tabs>
          <w:tab w:val="left" w:pos="142"/>
        </w:tabs>
        <w:spacing w:after="0" w:line="240" w:lineRule="auto"/>
        <w:contextualSpacing/>
        <w:jc w:val="both"/>
        <w:rPr>
          <w:rFonts w:ascii="Times New Roman" w:hAnsi="Times New Roman" w:cs="Times New Roman"/>
          <w:sz w:val="28"/>
          <w:szCs w:val="28"/>
        </w:rPr>
      </w:pPr>
    </w:p>
    <w:p w:rsidR="00F47E82" w:rsidRPr="00D85C08" w:rsidRDefault="00D85C08" w:rsidP="00C36DCA">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Esta última exigencia se justifica en la relación que existe entre el análisis del impacto fiscal y el principio de publicidad en el trámite</w:t>
      </w:r>
      <w:r w:rsidRPr="00D85C08">
        <w:rPr>
          <w:rFonts w:ascii="Times New Roman" w:hAnsi="Times New Roman" w:cs="Times New Roman"/>
          <w:sz w:val="28"/>
          <w:szCs w:val="28"/>
        </w:rPr>
        <w:t xml:space="preserve"> de los proyectos de ley. Al respecto, en el caso particular de las leyes aprobatorias de tratados, en la Sentencia C-175 de 2023, la Sala reiteró que «cuando se trata de un proyecto de iniciativa gubernamental, las formalidades en cuestión resultan de par</w:t>
      </w:r>
      <w:r w:rsidRPr="00D85C08">
        <w:rPr>
          <w:rFonts w:ascii="Times New Roman" w:hAnsi="Times New Roman" w:cs="Times New Roman"/>
          <w:sz w:val="28"/>
          <w:szCs w:val="28"/>
        </w:rPr>
        <w:t>ticular importancia para que el Congreso pueda realizar el debate del proyecto con la suficiente ilustración acerca de sus implicaciones fiscales»</w:t>
      </w:r>
      <w:r w:rsidRPr="00D85C08">
        <w:rPr>
          <w:rStyle w:val="Refdenotaalpie"/>
          <w:rFonts w:ascii="Times New Roman" w:hAnsi="Times New Roman" w:cs="Times New Roman"/>
          <w:sz w:val="28"/>
          <w:szCs w:val="28"/>
        </w:rPr>
        <w:footnoteReference w:id="81"/>
      </w:r>
      <w:r w:rsidRPr="00D85C08">
        <w:rPr>
          <w:rFonts w:ascii="Times New Roman" w:hAnsi="Times New Roman" w:cs="Times New Roman"/>
          <w:sz w:val="28"/>
          <w:szCs w:val="28"/>
        </w:rPr>
        <w:t>. Por esta razón, tales formalidades «cobran particular relevancia desde la perspectiva del principio de publ</w:t>
      </w:r>
      <w:r w:rsidRPr="00D85C08">
        <w:rPr>
          <w:rFonts w:ascii="Times New Roman" w:hAnsi="Times New Roman" w:cs="Times New Roman"/>
          <w:sz w:val="28"/>
          <w:szCs w:val="28"/>
        </w:rPr>
        <w:t>icidad dentro del trámite legislativo»</w:t>
      </w:r>
      <w:r w:rsidRPr="00D85C08">
        <w:rPr>
          <w:rStyle w:val="Refdenotaalpie"/>
          <w:rFonts w:ascii="Times New Roman" w:hAnsi="Times New Roman" w:cs="Times New Roman"/>
          <w:sz w:val="28"/>
          <w:szCs w:val="28"/>
        </w:rPr>
        <w:footnoteReference w:id="82"/>
      </w:r>
      <w:r w:rsidRPr="00D85C08">
        <w:rPr>
          <w:rFonts w:ascii="Times New Roman" w:hAnsi="Times New Roman" w:cs="Times New Roman"/>
          <w:sz w:val="28"/>
          <w:szCs w:val="28"/>
        </w:rPr>
        <w:t xml:space="preserve">. De este modo, «la información contenida en la exposición de motivos y en las ponencias, al igual que el concepto a cargo del ministro de Hacienda y Crédito Público, […] cumplen con este propósito y son un mecanismo </w:t>
      </w:r>
      <w:r w:rsidRPr="00D85C08">
        <w:rPr>
          <w:rFonts w:ascii="Times New Roman" w:hAnsi="Times New Roman" w:cs="Times New Roman"/>
          <w:sz w:val="28"/>
          <w:szCs w:val="28"/>
        </w:rPr>
        <w:t>que permite a los congresistas enterarse de las consecuencias macroeconómicas de un proyecto de ley»</w:t>
      </w:r>
      <w:r w:rsidRPr="00D85C08">
        <w:rPr>
          <w:rStyle w:val="Refdenotaalpie"/>
          <w:rFonts w:ascii="Times New Roman" w:hAnsi="Times New Roman" w:cs="Times New Roman"/>
          <w:sz w:val="28"/>
          <w:szCs w:val="28"/>
        </w:rPr>
        <w:footnoteReference w:id="83"/>
      </w:r>
      <w:r w:rsidRPr="00D85C08">
        <w:rPr>
          <w:rFonts w:ascii="Times New Roman" w:hAnsi="Times New Roman" w:cs="Times New Roman"/>
          <w:sz w:val="28"/>
          <w:szCs w:val="28"/>
        </w:rPr>
        <w:t xml:space="preserve">.  </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C36DCA">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b/>
          <w:sz w:val="28"/>
          <w:szCs w:val="28"/>
        </w:rPr>
        <w:t xml:space="preserve">La </w:t>
      </w:r>
      <w:r w:rsidRPr="00D85C08">
        <w:rPr>
          <w:rFonts w:ascii="Times New Roman" w:hAnsi="Times New Roman" w:cs="Times New Roman"/>
          <w:b/>
          <w:sz w:val="28"/>
          <w:szCs w:val="28"/>
        </w:rPr>
        <w:t>segunda</w:t>
      </w:r>
      <w:r w:rsidRPr="00D85C08">
        <w:rPr>
          <w:rFonts w:ascii="Times New Roman" w:hAnsi="Times New Roman" w:cs="Times New Roman"/>
          <w:b/>
          <w:sz w:val="28"/>
          <w:szCs w:val="28"/>
        </w:rPr>
        <w:t xml:space="preserve"> alternativa</w:t>
      </w:r>
      <w:r w:rsidRPr="00D85C08">
        <w:rPr>
          <w:rFonts w:ascii="Times New Roman" w:hAnsi="Times New Roman" w:cs="Times New Roman"/>
          <w:sz w:val="28"/>
          <w:szCs w:val="28"/>
        </w:rPr>
        <w:t xml:space="preserve"> ha sido identificada de tiempo atrás por la jurisprudencia constitucional. Se trata de la posibilidad de que el Ministerio de Hacienda y Crédito Público no presente un concepto escrito, pero sí haga una exposición oral durante una sesión en comisión o en </w:t>
      </w:r>
      <w:r w:rsidRPr="00D85C08">
        <w:rPr>
          <w:rFonts w:ascii="Times New Roman" w:hAnsi="Times New Roman" w:cs="Times New Roman"/>
          <w:sz w:val="28"/>
          <w:szCs w:val="28"/>
        </w:rPr>
        <w:t>la plenaria de alguna de las dos cámaras, informando sobre «el costo fiscal [de la iniciativa], sus fuentes de financiamiento y su compatibilidad con el Marco Fiscal de Mediano Plazo»</w:t>
      </w:r>
      <w:r w:rsidRPr="00D85C08">
        <w:rPr>
          <w:rStyle w:val="Refdenotaalpie"/>
          <w:rFonts w:ascii="Times New Roman" w:hAnsi="Times New Roman" w:cs="Times New Roman"/>
          <w:sz w:val="28"/>
          <w:szCs w:val="28"/>
        </w:rPr>
        <w:footnoteReference w:id="84"/>
      </w:r>
      <w:r w:rsidRPr="00D85C08">
        <w:rPr>
          <w:rFonts w:ascii="Times New Roman" w:hAnsi="Times New Roman" w:cs="Times New Roman"/>
          <w:sz w:val="28"/>
          <w:szCs w:val="28"/>
        </w:rPr>
        <w:t xml:space="preserve">. En todo caso, para satisfacer el principio de publicidad, ha dicho la </w:t>
      </w:r>
      <w:r w:rsidRPr="00D85C08">
        <w:rPr>
          <w:rFonts w:ascii="Times New Roman" w:hAnsi="Times New Roman" w:cs="Times New Roman"/>
          <w:sz w:val="28"/>
          <w:szCs w:val="28"/>
        </w:rPr>
        <w:t xml:space="preserve">Corte, el informe oral debe publicarse en la Gaceta del Congreso, de manera que se dé cumplimiento a </w:t>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la exigencia establecida en el inciso tercero del artículo 7 de la Ley 819 de 2003</w:t>
      </w:r>
      <w:r w:rsidRPr="00D85C08">
        <w:rPr>
          <w:rFonts w:ascii="Times New Roman" w:hAnsi="Times New Roman" w:cs="Times New Roman"/>
          <w:sz w:val="28"/>
          <w:szCs w:val="28"/>
          <w:shd w:val="clear" w:color="auto" w:fill="FFFFFF"/>
        </w:rPr>
        <w:t>»</w:t>
      </w:r>
      <w:r w:rsidRPr="00D85C08">
        <w:rPr>
          <w:rStyle w:val="Refdenotaalpie"/>
          <w:rFonts w:ascii="Times New Roman" w:hAnsi="Times New Roman" w:cs="Times New Roman"/>
          <w:sz w:val="28"/>
          <w:szCs w:val="28"/>
          <w:shd w:val="clear" w:color="auto" w:fill="FFFFFF"/>
        </w:rPr>
        <w:footnoteReference w:id="85"/>
      </w:r>
      <w:r w:rsidRPr="00D85C08">
        <w:rPr>
          <w:rFonts w:ascii="Times New Roman" w:hAnsi="Times New Roman" w:cs="Times New Roman"/>
          <w:sz w:val="28"/>
          <w:szCs w:val="28"/>
          <w:shd w:val="clear" w:color="auto" w:fill="FFFFFF"/>
        </w:rPr>
        <w:t>.</w:t>
      </w:r>
      <w:r w:rsidRPr="00D85C08">
        <w:rPr>
          <w:rFonts w:ascii="Times New Roman" w:hAnsi="Times New Roman" w:cs="Times New Roman"/>
          <w:sz w:val="28"/>
          <w:szCs w:val="28"/>
        </w:rPr>
        <w:t xml:space="preserve"> </w:t>
      </w:r>
    </w:p>
    <w:bookmarkEnd w:id="12"/>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C36DCA"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bCs/>
          <w:lang w:eastAsia="es-MX"/>
        </w:rPr>
        <w:t>3.2.</w:t>
      </w:r>
      <w:r w:rsidRPr="00D85C08">
        <w:rPr>
          <w:rFonts w:ascii="Times New Roman" w:hAnsi="Times New Roman" w:cs="Times New Roman"/>
          <w:bCs/>
          <w:lang w:eastAsia="es-MX"/>
        </w:rPr>
        <w:t>4</w:t>
      </w:r>
      <w:r w:rsidRPr="00D85C08">
        <w:rPr>
          <w:rFonts w:ascii="Times New Roman" w:hAnsi="Times New Roman" w:cs="Times New Roman"/>
          <w:bCs/>
          <w:lang w:eastAsia="es-MX"/>
        </w:rPr>
        <w:t>.</w:t>
      </w:r>
      <w:r w:rsidRPr="00D85C08">
        <w:rPr>
          <w:rFonts w:ascii="Times New Roman" w:hAnsi="Times New Roman" w:cs="Times New Roman"/>
          <w:bCs/>
          <w:lang w:eastAsia="es-MX"/>
        </w:rPr>
        <w:t>1</w:t>
      </w:r>
      <w:r w:rsidRPr="00D85C08">
        <w:rPr>
          <w:rFonts w:ascii="Times New Roman" w:hAnsi="Times New Roman" w:cs="Times New Roman"/>
          <w:bCs/>
          <w:lang w:eastAsia="es-MX"/>
        </w:rPr>
        <w:t>.</w:t>
      </w:r>
      <w:r w:rsidRPr="00D85C08">
        <w:rPr>
          <w:rFonts w:ascii="Times New Roman" w:hAnsi="Times New Roman" w:cs="Times New Roman"/>
          <w:lang w:eastAsia="es-MX"/>
        </w:rPr>
        <w:t xml:space="preserve"> </w:t>
      </w:r>
      <w:r w:rsidRPr="00D85C08">
        <w:rPr>
          <w:rFonts w:ascii="Times New Roman" w:hAnsi="Times New Roman" w:cs="Times New Roman"/>
          <w:lang w:eastAsia="es-MX"/>
        </w:rPr>
        <w:t>Verificación de la exigencia de impacto fiscal en el pres</w:t>
      </w:r>
      <w:r w:rsidRPr="00D85C08">
        <w:rPr>
          <w:rFonts w:ascii="Times New Roman" w:hAnsi="Times New Roman" w:cs="Times New Roman"/>
          <w:lang w:eastAsia="es-MX"/>
        </w:rPr>
        <w:t>ente asunto</w:t>
      </w:r>
    </w:p>
    <w:p w:rsidR="00C36DCA"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C36DCA">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Con fundamento en lo anterior, pasa la Corte a verificar </w:t>
      </w:r>
      <w:r w:rsidRPr="00D85C08">
        <w:rPr>
          <w:rFonts w:ascii="Times New Roman" w:hAnsi="Times New Roman" w:cs="Times New Roman"/>
          <w:sz w:val="28"/>
          <w:szCs w:val="28"/>
          <w:lang w:eastAsia="es-ES"/>
        </w:rPr>
        <w:t>si los requisitos dispuestos en el artículo 7 de la Ley Orgánica 819 de 2003 eran exigibles en el presente caso y, de ser así, si los mismos fueron cumplidos.</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300450">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iCs/>
          <w:sz w:val="28"/>
          <w:szCs w:val="28"/>
          <w:lang w:eastAsia="es-CO"/>
        </w:rPr>
        <w:t xml:space="preserve">El Protocolo es un tratado complementario del </w:t>
      </w:r>
      <w:r w:rsidRPr="00D85C08">
        <w:rPr>
          <w:rFonts w:ascii="Times New Roman" w:hAnsi="Times New Roman" w:cs="Times New Roman"/>
          <w:sz w:val="28"/>
          <w:szCs w:val="28"/>
        </w:rPr>
        <w:t>«</w:t>
      </w:r>
      <w:bookmarkStart w:id="14" w:name="_Hlk136331634"/>
      <w:r w:rsidRPr="00D85C08">
        <w:rPr>
          <w:rFonts w:ascii="Times New Roman" w:hAnsi="Times New Roman" w:cs="Times New Roman"/>
          <w:sz w:val="28"/>
          <w:szCs w:val="28"/>
        </w:rPr>
        <w:t>Acuerdo Comercial entre Colombia y Perú, por una parte, y la Unión Europea y sus Estados Miembros, por otra»</w:t>
      </w:r>
      <w:bookmarkEnd w:id="14"/>
      <w:r w:rsidRPr="00D85C08">
        <w:rPr>
          <w:rFonts w:ascii="Times New Roman" w:hAnsi="Times New Roman" w:cs="Times New Roman"/>
          <w:sz w:val="28"/>
          <w:szCs w:val="28"/>
        </w:rPr>
        <w:t>, firmado en Bruselas el 26 de junio de 2012</w:t>
      </w:r>
      <w:r w:rsidRPr="00D85C08">
        <w:rPr>
          <w:rStyle w:val="Refdenotaalpie"/>
          <w:rFonts w:ascii="Times New Roman" w:hAnsi="Times New Roman" w:cs="Times New Roman"/>
          <w:sz w:val="28"/>
          <w:szCs w:val="28"/>
        </w:rPr>
        <w:footnoteReference w:id="86"/>
      </w:r>
      <w:r w:rsidRPr="00D85C08">
        <w:rPr>
          <w:rFonts w:ascii="Times New Roman" w:hAnsi="Times New Roman" w:cs="Times New Roman"/>
          <w:sz w:val="28"/>
          <w:szCs w:val="28"/>
        </w:rPr>
        <w:t>. Es complementario porque incorpora la República de Cro</w:t>
      </w:r>
      <w:r w:rsidRPr="00D85C08">
        <w:rPr>
          <w:rFonts w:ascii="Times New Roman" w:hAnsi="Times New Roman" w:cs="Times New Roman"/>
          <w:sz w:val="28"/>
          <w:szCs w:val="28"/>
        </w:rPr>
        <w:t>acia a dicho acuerdo, en razón de la adhesión de es</w:t>
      </w:r>
      <w:r w:rsidRPr="00D85C08">
        <w:rPr>
          <w:rFonts w:ascii="Times New Roman" w:hAnsi="Times New Roman" w:cs="Times New Roman"/>
          <w:sz w:val="28"/>
          <w:szCs w:val="28"/>
        </w:rPr>
        <w:t>e</w:t>
      </w:r>
      <w:r w:rsidRPr="00D85C08">
        <w:rPr>
          <w:rFonts w:ascii="Times New Roman" w:hAnsi="Times New Roman" w:cs="Times New Roman"/>
          <w:sz w:val="28"/>
          <w:szCs w:val="28"/>
        </w:rPr>
        <w:t xml:space="preserve"> </w:t>
      </w:r>
      <w:r w:rsidRPr="00D85C08">
        <w:rPr>
          <w:rFonts w:ascii="Times New Roman" w:hAnsi="Times New Roman" w:cs="Times New Roman"/>
          <w:sz w:val="28"/>
          <w:szCs w:val="28"/>
        </w:rPr>
        <w:t>país</w:t>
      </w:r>
      <w:r w:rsidRPr="00D85C08">
        <w:rPr>
          <w:rFonts w:ascii="Times New Roman" w:hAnsi="Times New Roman" w:cs="Times New Roman"/>
          <w:sz w:val="28"/>
          <w:szCs w:val="28"/>
        </w:rPr>
        <w:t xml:space="preserve"> a la Unión Europea el 1 de julio de 2013. </w:t>
      </w:r>
    </w:p>
    <w:p w:rsidR="00F47E82" w:rsidRPr="00D85C08" w:rsidRDefault="00D85C08" w:rsidP="00300450">
      <w:pPr>
        <w:tabs>
          <w:tab w:val="left" w:pos="142"/>
        </w:tabs>
        <w:spacing w:after="0" w:line="240" w:lineRule="auto"/>
        <w:contextualSpacing/>
        <w:jc w:val="both"/>
        <w:rPr>
          <w:rFonts w:ascii="Times New Roman" w:hAnsi="Times New Roman" w:cs="Times New Roman"/>
          <w:sz w:val="28"/>
          <w:szCs w:val="28"/>
        </w:rPr>
      </w:pPr>
    </w:p>
    <w:p w:rsidR="00F47E82" w:rsidRPr="00D85C08" w:rsidRDefault="00D85C08" w:rsidP="00300450">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Para el momento en que entró en vigor tal adhesión, el mencionado acuerdo comercial ya se había negociado y suscrito</w:t>
      </w:r>
      <w:r w:rsidRPr="00D85C08">
        <w:rPr>
          <w:rStyle w:val="Refdenotaalpie"/>
          <w:rFonts w:ascii="Times New Roman" w:hAnsi="Times New Roman" w:cs="Times New Roman"/>
          <w:sz w:val="28"/>
          <w:szCs w:val="28"/>
        </w:rPr>
        <w:footnoteReference w:id="87"/>
      </w:r>
      <w:r w:rsidRPr="00D85C08">
        <w:rPr>
          <w:rFonts w:ascii="Times New Roman" w:hAnsi="Times New Roman" w:cs="Times New Roman"/>
          <w:sz w:val="28"/>
          <w:szCs w:val="28"/>
        </w:rPr>
        <w:t>. El artículo 9.1. de ese acuerdo dis</w:t>
      </w:r>
      <w:r w:rsidRPr="00D85C08">
        <w:rPr>
          <w:rFonts w:ascii="Times New Roman" w:hAnsi="Times New Roman" w:cs="Times New Roman"/>
          <w:sz w:val="28"/>
          <w:szCs w:val="28"/>
        </w:rPr>
        <w:t>pone que este «se aplicará, por un lado, a los territorios en los que es aplicable el Tratado de la Unión Europea y el Tratado de Funcionamiento de la Unión Europea y en las condiciones previstas por dichos Tratados, y por el otro, a los territorios de Col</w:t>
      </w:r>
      <w:r w:rsidRPr="00D85C08">
        <w:rPr>
          <w:rFonts w:ascii="Times New Roman" w:hAnsi="Times New Roman" w:cs="Times New Roman"/>
          <w:sz w:val="28"/>
          <w:szCs w:val="28"/>
        </w:rPr>
        <w:t xml:space="preserve">ombia y Perú, respectivamente». De otro lado, el artículo 328 del mismo instrumento prevé la adhesión de nuevos Estados miembros a la Unión Europea y determina que «la Parte UE y los Países Andinos signatarios examinarán cualquier efecto de dicha adhesión </w:t>
      </w:r>
      <w:r w:rsidRPr="00D85C08">
        <w:rPr>
          <w:rFonts w:ascii="Times New Roman" w:hAnsi="Times New Roman" w:cs="Times New Roman"/>
          <w:sz w:val="28"/>
          <w:szCs w:val="28"/>
        </w:rPr>
        <w:t xml:space="preserve">sobre este Acuerdo». </w:t>
      </w:r>
    </w:p>
    <w:p w:rsidR="00F47E82" w:rsidRPr="00D85C08" w:rsidRDefault="00D85C08" w:rsidP="00300450">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F47E82" w:rsidRPr="00D85C08" w:rsidRDefault="00D85C08" w:rsidP="00300450">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Por consiguiente, Croacia, que inicialmente no formaba parte del acuerdo comercial, al adquirir la calidad de Estado miembro de la Unión Europea</w:t>
      </w:r>
      <w:r w:rsidRPr="00D85C08">
        <w:rPr>
          <w:rStyle w:val="Refdenotaalpie"/>
          <w:rFonts w:ascii="Times New Roman" w:hAnsi="Times New Roman" w:cs="Times New Roman"/>
          <w:sz w:val="28"/>
          <w:szCs w:val="28"/>
        </w:rPr>
        <w:footnoteReference w:id="88"/>
      </w:r>
      <w:r w:rsidRPr="00D85C08">
        <w:rPr>
          <w:rFonts w:ascii="Times New Roman" w:hAnsi="Times New Roman" w:cs="Times New Roman"/>
          <w:sz w:val="28"/>
          <w:szCs w:val="28"/>
        </w:rPr>
        <w:t>, también debía ser reconocida como Estado parte de ese acuerdo. De conformidad con el a</w:t>
      </w:r>
      <w:r w:rsidRPr="00D85C08">
        <w:rPr>
          <w:rFonts w:ascii="Times New Roman" w:hAnsi="Times New Roman" w:cs="Times New Roman"/>
          <w:sz w:val="28"/>
          <w:szCs w:val="28"/>
        </w:rPr>
        <w:t>rtículo 6.2. del Acta de Adhesión de Croacia a la Unión Europea, ese reconocimiento «debía formalizarse mediante la celebración de un protocolo al acuerdo comercial»</w:t>
      </w:r>
      <w:r w:rsidRPr="00D85C08">
        <w:rPr>
          <w:rStyle w:val="Refdenotaalpie"/>
          <w:rFonts w:ascii="Times New Roman" w:hAnsi="Times New Roman" w:cs="Times New Roman"/>
          <w:sz w:val="28"/>
          <w:szCs w:val="28"/>
        </w:rPr>
        <w:footnoteReference w:id="89"/>
      </w:r>
      <w:r w:rsidRPr="00D85C08">
        <w:rPr>
          <w:rFonts w:ascii="Times New Roman" w:hAnsi="Times New Roman" w:cs="Times New Roman"/>
          <w:sz w:val="28"/>
          <w:szCs w:val="28"/>
        </w:rPr>
        <w:t xml:space="preserve">. Este es el origen del Protocolo que ahora es objeto de revisión por parte de la Corte. </w:t>
      </w:r>
    </w:p>
    <w:p w:rsidR="00F47E82" w:rsidRPr="00D85C08" w:rsidRDefault="00D85C08" w:rsidP="00300450">
      <w:pPr>
        <w:tabs>
          <w:tab w:val="left" w:pos="142"/>
        </w:tabs>
        <w:spacing w:after="0" w:line="240" w:lineRule="auto"/>
        <w:contextualSpacing/>
        <w:jc w:val="both"/>
        <w:rPr>
          <w:rFonts w:ascii="Times New Roman" w:eastAsia="Times New Roman" w:hAnsi="Times New Roman" w:cs="Times New Roman"/>
          <w:sz w:val="28"/>
          <w:szCs w:val="28"/>
          <w:lang w:eastAsia="es-MX"/>
        </w:rPr>
      </w:pPr>
    </w:p>
    <w:p w:rsidR="00FA6741" w:rsidRPr="00D85C08" w:rsidRDefault="00D85C08" w:rsidP="00CF2D4E">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iCs/>
          <w:sz w:val="28"/>
          <w:szCs w:val="28"/>
          <w:lang w:eastAsia="es-CO"/>
        </w:rPr>
        <w:t>El Acuerdo inicial, es decir, el tratado suscrito en 2012, tiene por objeto el establecimiento de una zona de libre comercio</w:t>
      </w:r>
      <w:r w:rsidRPr="00D85C08">
        <w:rPr>
          <w:rStyle w:val="Refdenotaalpie"/>
          <w:rFonts w:ascii="Times New Roman" w:hAnsi="Times New Roman" w:cs="Times New Roman"/>
          <w:iCs/>
          <w:sz w:val="28"/>
          <w:szCs w:val="28"/>
          <w:lang w:eastAsia="es-CO"/>
        </w:rPr>
        <w:footnoteReference w:id="90"/>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D</w:t>
      </w:r>
      <w:r w:rsidRPr="00D85C08">
        <w:rPr>
          <w:rFonts w:ascii="Times New Roman" w:eastAsia="Calibri" w:hAnsi="Times New Roman" w:cs="Times New Roman"/>
          <w:color w:val="000000" w:themeColor="text1"/>
          <w:sz w:val="28"/>
          <w:szCs w:val="28"/>
        </w:rPr>
        <w:t>entro de sus disposiciones incluyó la eliminación de aranceles aduaneros e impuestos a la exportación, así como un trato nacion</w:t>
      </w:r>
      <w:r w:rsidRPr="00D85C08">
        <w:rPr>
          <w:rFonts w:ascii="Times New Roman" w:eastAsia="Calibri" w:hAnsi="Times New Roman" w:cs="Times New Roman"/>
          <w:color w:val="000000" w:themeColor="text1"/>
          <w:sz w:val="28"/>
          <w:szCs w:val="28"/>
        </w:rPr>
        <w:t xml:space="preserve">al a las mercancías importadas, entre otras medidas relacionadas con tópicos tributarios. </w:t>
      </w:r>
      <w:r w:rsidRPr="00D85C08">
        <w:rPr>
          <w:rFonts w:ascii="Times New Roman" w:hAnsi="Times New Roman" w:cs="Times New Roman"/>
          <w:iCs/>
          <w:sz w:val="28"/>
          <w:szCs w:val="28"/>
          <w:lang w:eastAsia="es-CO"/>
        </w:rPr>
        <w:t>Ello implica, entre otras cuestiones, la exoneración de aranceles aduaneros y de otros gravámenes para un alto porcentaje de productos importados desde la Unión Europ</w:t>
      </w:r>
      <w:r w:rsidRPr="00D85C08">
        <w:rPr>
          <w:rFonts w:ascii="Times New Roman" w:hAnsi="Times New Roman" w:cs="Times New Roman"/>
          <w:iCs/>
          <w:sz w:val="28"/>
          <w:szCs w:val="28"/>
          <w:lang w:eastAsia="es-CO"/>
        </w:rPr>
        <w:t xml:space="preserve">ea hacia </w:t>
      </w:r>
      <w:r w:rsidRPr="00D85C08">
        <w:rPr>
          <w:rFonts w:ascii="Times New Roman" w:hAnsi="Times New Roman" w:cs="Times New Roman"/>
          <w:sz w:val="28"/>
          <w:szCs w:val="28"/>
        </w:rPr>
        <w:t>los Países Andinos signatarios</w:t>
      </w:r>
      <w:r w:rsidRPr="00D85C08">
        <w:rPr>
          <w:rStyle w:val="Refdenotaalpie"/>
          <w:rFonts w:ascii="Times New Roman" w:hAnsi="Times New Roman" w:cs="Times New Roman"/>
          <w:iCs/>
          <w:sz w:val="28"/>
          <w:szCs w:val="28"/>
          <w:lang w:eastAsia="es-CO"/>
        </w:rPr>
        <w:footnoteReference w:id="91"/>
      </w:r>
      <w:r w:rsidRPr="00D85C08">
        <w:rPr>
          <w:rFonts w:ascii="Times New Roman" w:hAnsi="Times New Roman" w:cs="Times New Roman"/>
          <w:iCs/>
          <w:sz w:val="28"/>
          <w:szCs w:val="28"/>
          <w:lang w:eastAsia="es-CO"/>
        </w:rPr>
        <w:t xml:space="preserve">. El Protocolo extiende esos beneficios a la República de Croacia y, en consecuencia, otorga </w:t>
      </w:r>
      <w:r w:rsidRPr="00D85C08">
        <w:rPr>
          <w:rFonts w:ascii="Times New Roman" w:hAnsi="Times New Roman" w:cs="Times New Roman"/>
          <w:i/>
          <w:sz w:val="28"/>
          <w:szCs w:val="28"/>
          <w:lang w:eastAsia="es-CO"/>
        </w:rPr>
        <w:t>beneficios tributarios</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 xml:space="preserve">que no aplicaban previamente </w:t>
      </w:r>
      <w:r w:rsidRPr="00D85C08">
        <w:rPr>
          <w:rFonts w:ascii="Times New Roman" w:hAnsi="Times New Roman" w:cs="Times New Roman"/>
          <w:iCs/>
          <w:sz w:val="28"/>
          <w:szCs w:val="28"/>
          <w:lang w:eastAsia="es-CO"/>
        </w:rPr>
        <w:t>a ese país en los términos del artículo 7 de la Ley Orgánica 819 de 20</w:t>
      </w:r>
      <w:r w:rsidRPr="00D85C08">
        <w:rPr>
          <w:rFonts w:ascii="Times New Roman" w:hAnsi="Times New Roman" w:cs="Times New Roman"/>
          <w:iCs/>
          <w:sz w:val="28"/>
          <w:szCs w:val="28"/>
          <w:lang w:eastAsia="es-CO"/>
        </w:rPr>
        <w:t>0</w:t>
      </w:r>
      <w:r w:rsidRPr="00D85C08">
        <w:rPr>
          <w:rFonts w:ascii="Times New Roman" w:hAnsi="Times New Roman" w:cs="Times New Roman"/>
          <w:iCs/>
          <w:sz w:val="28"/>
          <w:szCs w:val="28"/>
          <w:lang w:eastAsia="es-CO"/>
        </w:rPr>
        <w:t>3 y la jurisprudencia constitucional</w:t>
      </w:r>
      <w:r w:rsidRPr="00D85C08">
        <w:rPr>
          <w:rStyle w:val="Refdenotaalpie"/>
          <w:rFonts w:ascii="Times New Roman" w:hAnsi="Times New Roman" w:cs="Times New Roman"/>
          <w:iCs/>
          <w:sz w:val="28"/>
          <w:szCs w:val="28"/>
          <w:lang w:eastAsia="es-CO"/>
        </w:rPr>
        <w:footnoteReference w:id="92"/>
      </w:r>
      <w:r w:rsidRPr="00D85C08">
        <w:rPr>
          <w:rFonts w:ascii="Times New Roman" w:hAnsi="Times New Roman" w:cs="Times New Roman"/>
          <w:iCs/>
          <w:sz w:val="28"/>
          <w:szCs w:val="28"/>
          <w:lang w:eastAsia="es-CO"/>
        </w:rPr>
        <w:t xml:space="preserve">. </w:t>
      </w:r>
      <w:r w:rsidRPr="00D85C08">
        <w:rPr>
          <w:rFonts w:ascii="Times New Roman" w:eastAsia="Calibri" w:hAnsi="Times New Roman" w:cs="Times New Roman"/>
          <w:color w:val="000000" w:themeColor="text1"/>
          <w:sz w:val="28"/>
          <w:szCs w:val="28"/>
        </w:rPr>
        <w:t>Por consiguiente, salta a la vista la necesidad del análisis de impacto fiscal, pues el Protocolo Adicional implica, en la práctica, extender beneficios con implicaciones tributarias a un país para el cual actualmente</w:t>
      </w:r>
      <w:r w:rsidRPr="00D85C08">
        <w:rPr>
          <w:rFonts w:ascii="Times New Roman" w:eastAsia="Calibri" w:hAnsi="Times New Roman" w:cs="Times New Roman"/>
          <w:color w:val="000000" w:themeColor="text1"/>
          <w:sz w:val="28"/>
          <w:szCs w:val="28"/>
        </w:rPr>
        <w:t xml:space="preserve"> no existen preferencias arancelarias o tributarias que sí obtendría tras su entrada en vigencia.</w:t>
      </w:r>
    </w:p>
    <w:p w:rsidR="00FA6741" w:rsidRPr="00D85C08" w:rsidRDefault="00D85C08" w:rsidP="00300450">
      <w:pPr>
        <w:tabs>
          <w:tab w:val="left" w:pos="142"/>
        </w:tabs>
        <w:spacing w:after="0" w:line="240" w:lineRule="auto"/>
        <w:contextualSpacing/>
        <w:jc w:val="both"/>
        <w:rPr>
          <w:rFonts w:ascii="Times New Roman" w:eastAsia="Times New Roman" w:hAnsi="Times New Roman" w:cs="Times New Roman"/>
          <w:iCs/>
          <w:sz w:val="28"/>
          <w:szCs w:val="28"/>
        </w:rPr>
      </w:pPr>
    </w:p>
    <w:p w:rsidR="00F47E82" w:rsidRPr="00D85C08" w:rsidRDefault="00D85C08" w:rsidP="00300450">
      <w:pPr>
        <w:pStyle w:val="Prrafodelista"/>
        <w:numPr>
          <w:ilvl w:val="0"/>
          <w:numId w:val="1"/>
        </w:numPr>
        <w:tabs>
          <w:tab w:val="left" w:pos="142"/>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Consciente de esta situación y, presumiblemente, de los efectos temporales de la Sentencia C-170 de 2021 sobre el Protocolo —el proyecto de ley aprobatorio f</w:t>
      </w:r>
      <w:r w:rsidRPr="00D85C08">
        <w:rPr>
          <w:rFonts w:ascii="Times New Roman" w:hAnsi="Times New Roman" w:cs="Times New Roman"/>
          <w:iCs/>
          <w:sz w:val="28"/>
          <w:szCs w:val="28"/>
          <w:lang w:eastAsia="es-CO"/>
        </w:rPr>
        <w:t>ue radicado en el Congreso de la República el 23 de septiembre de 2021, es decir, aproximadamente un mes y 23 días después de la notificación de ese fallo—, el Gobierno nacional incorporó en la exposición de motivos un acápite denominado «Impacto fiscal de</w:t>
      </w:r>
      <w:r w:rsidRPr="00D85C08">
        <w:rPr>
          <w:rFonts w:ascii="Times New Roman" w:hAnsi="Times New Roman" w:cs="Times New Roman"/>
          <w:iCs/>
          <w:sz w:val="28"/>
          <w:szCs w:val="28"/>
          <w:lang w:eastAsia="es-CO"/>
        </w:rPr>
        <w:t xml:space="preserve"> la adhesión de Croacia al Acuerdo Comercial Multipartes»</w:t>
      </w:r>
      <w:r w:rsidRPr="00D85C08">
        <w:rPr>
          <w:rStyle w:val="Refdenotaalpie"/>
          <w:rFonts w:ascii="Times New Roman" w:hAnsi="Times New Roman" w:cs="Times New Roman"/>
          <w:iCs/>
          <w:sz w:val="28"/>
          <w:szCs w:val="28"/>
          <w:lang w:eastAsia="es-CO"/>
        </w:rPr>
        <w:footnoteReference w:id="93"/>
      </w:r>
      <w:r w:rsidRPr="00D85C08">
        <w:rPr>
          <w:rFonts w:ascii="Times New Roman" w:hAnsi="Times New Roman" w:cs="Times New Roman"/>
          <w:iCs/>
          <w:sz w:val="28"/>
          <w:szCs w:val="28"/>
          <w:lang w:eastAsia="es-CO"/>
        </w:rPr>
        <w:t>. Para el asunto específico, el Gobierno nacional estaba constituido por las entonces ministras de Relaciones Exteriores, Martha Lucía Ramírez Blanco, y de Comercio, Industria y Turismo, María Ximen</w:t>
      </w:r>
      <w:r w:rsidRPr="00D85C08">
        <w:rPr>
          <w:rFonts w:ascii="Times New Roman" w:hAnsi="Times New Roman" w:cs="Times New Roman"/>
          <w:iCs/>
          <w:sz w:val="28"/>
          <w:szCs w:val="28"/>
          <w:lang w:eastAsia="es-CO"/>
        </w:rPr>
        <w:t xml:space="preserve">a Lombana Villalba. </w:t>
      </w:r>
    </w:p>
    <w:p w:rsidR="00F47E82" w:rsidRPr="00D85C08" w:rsidRDefault="00D85C08" w:rsidP="00300450">
      <w:pPr>
        <w:tabs>
          <w:tab w:val="left" w:pos="142"/>
        </w:tabs>
        <w:spacing w:after="0" w:line="240" w:lineRule="auto"/>
        <w:contextualSpacing/>
        <w:jc w:val="both"/>
        <w:rPr>
          <w:rFonts w:ascii="Times New Roman" w:eastAsia="Times New Roman" w:hAnsi="Times New Roman" w:cs="Times New Roman"/>
          <w:iCs/>
          <w:sz w:val="28"/>
          <w:szCs w:val="28"/>
        </w:rPr>
      </w:pPr>
    </w:p>
    <w:p w:rsidR="00F47E82" w:rsidRPr="00D85C08" w:rsidRDefault="00D85C08" w:rsidP="00300450">
      <w:pPr>
        <w:pStyle w:val="Prrafodelista"/>
        <w:numPr>
          <w:ilvl w:val="0"/>
          <w:numId w:val="1"/>
        </w:numPr>
        <w:tabs>
          <w:tab w:val="left" w:pos="142"/>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 xml:space="preserve">En dicho acápite se lee que «[p]ara los años 2012 a 2018, el monto máximo de nuestras exportaciones a Croacia ha sido de USD 78,5 millones (2012) y para los mismos años nuestras importaciones de este país, en su mayor auge, han sido </w:t>
      </w:r>
      <w:r w:rsidRPr="00D85C08">
        <w:rPr>
          <w:rFonts w:ascii="Times New Roman" w:hAnsi="Times New Roman" w:cs="Times New Roman"/>
          <w:iCs/>
          <w:sz w:val="28"/>
          <w:szCs w:val="28"/>
          <w:lang w:eastAsia="es-CO"/>
        </w:rPr>
        <w:t>de USD 69,5 millones (2015, caso excepcional, pues las importaciones no habían pasado de USD 5,8 millones como en el año 2013»</w:t>
      </w:r>
      <w:r w:rsidRPr="00D85C08">
        <w:rPr>
          <w:rStyle w:val="Refdenotaalpie"/>
          <w:rFonts w:ascii="Times New Roman" w:hAnsi="Times New Roman" w:cs="Times New Roman"/>
          <w:iCs/>
          <w:sz w:val="28"/>
          <w:szCs w:val="28"/>
          <w:lang w:eastAsia="es-CO"/>
        </w:rPr>
        <w:footnoteReference w:id="94"/>
      </w:r>
      <w:r w:rsidRPr="00D85C08">
        <w:rPr>
          <w:rFonts w:ascii="Times New Roman" w:hAnsi="Times New Roman" w:cs="Times New Roman"/>
          <w:iCs/>
          <w:sz w:val="28"/>
          <w:szCs w:val="28"/>
          <w:lang w:eastAsia="es-CO"/>
        </w:rPr>
        <w:t>. Esto «indica que no existe mayor costo fiscal por aranceles e IVA»</w:t>
      </w:r>
      <w:r w:rsidRPr="00D85C08">
        <w:rPr>
          <w:rStyle w:val="Refdenotaalpie"/>
          <w:rFonts w:ascii="Times New Roman" w:hAnsi="Times New Roman" w:cs="Times New Roman"/>
          <w:iCs/>
          <w:sz w:val="28"/>
          <w:szCs w:val="28"/>
          <w:lang w:eastAsia="es-CO"/>
        </w:rPr>
        <w:footnoteReference w:id="95"/>
      </w:r>
      <w:r w:rsidRPr="00D85C08">
        <w:rPr>
          <w:rFonts w:ascii="Times New Roman" w:hAnsi="Times New Roman" w:cs="Times New Roman"/>
          <w:iCs/>
          <w:sz w:val="28"/>
          <w:szCs w:val="28"/>
          <w:lang w:eastAsia="es-CO"/>
        </w:rPr>
        <w:t>. Adicionalmente, se señala: «Las estimaciones anteriores in</w:t>
      </w:r>
      <w:r w:rsidRPr="00D85C08">
        <w:rPr>
          <w:rFonts w:ascii="Times New Roman" w:hAnsi="Times New Roman" w:cs="Times New Roman"/>
          <w:iCs/>
          <w:sz w:val="28"/>
          <w:szCs w:val="28"/>
          <w:lang w:eastAsia="es-CO"/>
        </w:rPr>
        <w:t>cluyen el impacto fiscal sobre el IVA, dado que el gravamen hace parte de la base gravable para calcular dicho tributo y no contempla la incidencia que esta medida pueda tener sobre el crecimiento económico y el efecto positivo sobre la tributación derivad</w:t>
      </w:r>
      <w:r w:rsidRPr="00D85C08">
        <w:rPr>
          <w:rFonts w:ascii="Times New Roman" w:hAnsi="Times New Roman" w:cs="Times New Roman"/>
          <w:iCs/>
          <w:sz w:val="28"/>
          <w:szCs w:val="28"/>
          <w:lang w:eastAsia="es-CO"/>
        </w:rPr>
        <w:t>o de dicho cambio»</w:t>
      </w:r>
      <w:r w:rsidRPr="00D85C08">
        <w:rPr>
          <w:rStyle w:val="Refdenotaalpie"/>
          <w:rFonts w:ascii="Times New Roman" w:hAnsi="Times New Roman" w:cs="Times New Roman"/>
          <w:iCs/>
          <w:sz w:val="28"/>
          <w:szCs w:val="28"/>
          <w:lang w:eastAsia="es-CO"/>
        </w:rPr>
        <w:footnoteReference w:id="96"/>
      </w:r>
      <w:r w:rsidRPr="00D85C08">
        <w:rPr>
          <w:rFonts w:ascii="Times New Roman" w:hAnsi="Times New Roman" w:cs="Times New Roman"/>
          <w:iCs/>
          <w:sz w:val="28"/>
          <w:szCs w:val="28"/>
          <w:lang w:eastAsia="es-CO"/>
        </w:rPr>
        <w:t xml:space="preserve">. </w:t>
      </w:r>
    </w:p>
    <w:p w:rsidR="00F47E82" w:rsidRPr="00D85C08" w:rsidRDefault="00D85C08" w:rsidP="00300450">
      <w:pPr>
        <w:tabs>
          <w:tab w:val="left" w:pos="142"/>
        </w:tabs>
        <w:spacing w:after="0" w:line="240" w:lineRule="auto"/>
        <w:contextualSpacing/>
        <w:jc w:val="both"/>
        <w:rPr>
          <w:rFonts w:ascii="Times New Roman" w:eastAsia="Times New Roman" w:hAnsi="Times New Roman" w:cs="Times New Roman"/>
          <w:iCs/>
          <w:sz w:val="28"/>
          <w:szCs w:val="28"/>
        </w:rPr>
      </w:pPr>
    </w:p>
    <w:p w:rsidR="00F47E82" w:rsidRPr="00D85C08" w:rsidRDefault="00D85C08" w:rsidP="00300450">
      <w:pPr>
        <w:pStyle w:val="Prrafodelista"/>
        <w:numPr>
          <w:ilvl w:val="0"/>
          <w:numId w:val="1"/>
        </w:numPr>
        <w:tabs>
          <w:tab w:val="left" w:pos="142"/>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 xml:space="preserve">Dando cumplimiento a las obligaciones impuestas al Gobierno nacional en el artículo </w:t>
      </w:r>
      <w:r w:rsidRPr="00D85C08">
        <w:rPr>
          <w:rFonts w:ascii="Times New Roman" w:hAnsi="Times New Roman" w:cs="Times New Roman"/>
          <w:sz w:val="28"/>
          <w:szCs w:val="28"/>
        </w:rPr>
        <w:t>7 de la Ley Orgánica 819 de 2003, e</w:t>
      </w:r>
      <w:r w:rsidRPr="00D85C08">
        <w:rPr>
          <w:rFonts w:ascii="Times New Roman" w:hAnsi="Times New Roman" w:cs="Times New Roman"/>
          <w:iCs/>
          <w:sz w:val="28"/>
          <w:szCs w:val="28"/>
          <w:lang w:eastAsia="es-CO"/>
        </w:rPr>
        <w:t xml:space="preserve">ste análisis de impacto fiscal, con algunas variaciones, también fue incorporado en dos de las cuatro </w:t>
      </w:r>
      <w:r w:rsidRPr="00D85C08">
        <w:rPr>
          <w:rFonts w:ascii="Times New Roman" w:hAnsi="Times New Roman" w:cs="Times New Roman"/>
          <w:sz w:val="28"/>
          <w:szCs w:val="28"/>
        </w:rPr>
        <w:t>ponencias de</w:t>
      </w:r>
      <w:r w:rsidRPr="00D85C08">
        <w:rPr>
          <w:rFonts w:ascii="Times New Roman" w:hAnsi="Times New Roman" w:cs="Times New Roman"/>
          <w:sz w:val="28"/>
          <w:szCs w:val="28"/>
        </w:rPr>
        <w:t xml:space="preserve"> trámite. Esto, según consta en las Gacetas del Congreso 1670 de 2021 (primer debate)</w:t>
      </w:r>
      <w:r w:rsidRPr="00D85C08">
        <w:rPr>
          <w:rStyle w:val="Refdenotaalpie"/>
          <w:rFonts w:ascii="Times New Roman" w:hAnsi="Times New Roman" w:cs="Times New Roman"/>
          <w:sz w:val="28"/>
          <w:szCs w:val="28"/>
        </w:rPr>
        <w:footnoteReference w:id="97"/>
      </w:r>
      <w:r w:rsidRPr="00D85C08">
        <w:rPr>
          <w:rFonts w:ascii="Times New Roman" w:hAnsi="Times New Roman" w:cs="Times New Roman"/>
          <w:sz w:val="28"/>
          <w:szCs w:val="28"/>
        </w:rPr>
        <w:t xml:space="preserve"> y 257</w:t>
      </w:r>
      <w:r w:rsidRPr="00D85C08">
        <w:rPr>
          <w:rStyle w:val="Refdenotaalpie"/>
          <w:rFonts w:ascii="Times New Roman" w:hAnsi="Times New Roman" w:cs="Times New Roman"/>
          <w:sz w:val="28"/>
          <w:szCs w:val="28"/>
        </w:rPr>
        <w:footnoteReference w:id="98"/>
      </w:r>
      <w:r w:rsidRPr="00D85C08">
        <w:rPr>
          <w:rFonts w:ascii="Times New Roman" w:hAnsi="Times New Roman" w:cs="Times New Roman"/>
          <w:sz w:val="28"/>
          <w:szCs w:val="28"/>
        </w:rPr>
        <w:t xml:space="preserve"> y 540 de 2022 (segundo debate)</w:t>
      </w:r>
      <w:r w:rsidRPr="00D85C08">
        <w:rPr>
          <w:rStyle w:val="Refdenotaalpie"/>
          <w:rFonts w:ascii="Times New Roman" w:hAnsi="Times New Roman" w:cs="Times New Roman"/>
          <w:sz w:val="28"/>
          <w:szCs w:val="28"/>
        </w:rPr>
        <w:footnoteReference w:id="99"/>
      </w:r>
      <w:r w:rsidRPr="00D85C08">
        <w:rPr>
          <w:rFonts w:ascii="Times New Roman" w:hAnsi="Times New Roman" w:cs="Times New Roman"/>
          <w:sz w:val="28"/>
          <w:szCs w:val="28"/>
        </w:rPr>
        <w:t>.</w:t>
      </w:r>
    </w:p>
    <w:p w:rsidR="00F47E82" w:rsidRPr="00D85C08" w:rsidRDefault="00D85C08" w:rsidP="00300450">
      <w:pPr>
        <w:tabs>
          <w:tab w:val="left" w:pos="142"/>
        </w:tabs>
        <w:spacing w:after="0" w:line="240" w:lineRule="auto"/>
        <w:contextualSpacing/>
        <w:jc w:val="both"/>
        <w:rPr>
          <w:rFonts w:ascii="Times New Roman" w:eastAsia="Times New Roman" w:hAnsi="Times New Roman" w:cs="Times New Roman"/>
          <w:iCs/>
          <w:sz w:val="28"/>
          <w:szCs w:val="28"/>
        </w:rPr>
      </w:pPr>
    </w:p>
    <w:p w:rsidR="00F47E82" w:rsidRPr="00D85C08" w:rsidRDefault="00D85C08" w:rsidP="001D2834">
      <w:pPr>
        <w:pStyle w:val="Prrafodelista"/>
        <w:numPr>
          <w:ilvl w:val="0"/>
          <w:numId w:val="1"/>
        </w:numPr>
        <w:tabs>
          <w:tab w:val="left" w:pos="142"/>
        </w:tabs>
        <w:ind w:left="0" w:firstLine="0"/>
        <w:jc w:val="both"/>
        <w:rPr>
          <w:rFonts w:ascii="Times New Roman" w:hAnsi="Times New Roman" w:cs="Times New Roman"/>
          <w:sz w:val="28"/>
          <w:szCs w:val="28"/>
        </w:rPr>
      </w:pPr>
      <w:r w:rsidRPr="00D85C08">
        <w:rPr>
          <w:rFonts w:ascii="Times New Roman" w:hAnsi="Times New Roman" w:cs="Times New Roman"/>
          <w:iCs/>
          <w:sz w:val="28"/>
          <w:szCs w:val="28"/>
          <w:lang w:eastAsia="es-CO"/>
        </w:rPr>
        <w:t xml:space="preserve">La Sala observa que, no obstante, </w:t>
      </w:r>
      <w:r w:rsidRPr="00D85C08">
        <w:rPr>
          <w:rFonts w:ascii="Times New Roman" w:hAnsi="Times New Roman" w:cs="Times New Roman"/>
          <w:b/>
          <w:iCs/>
          <w:sz w:val="28"/>
          <w:szCs w:val="28"/>
          <w:lang w:eastAsia="es-CO"/>
        </w:rPr>
        <w:t>el Ministerio de Hacienda y Crédito Público</w:t>
      </w:r>
      <w:r w:rsidRPr="00D85C08">
        <w:rPr>
          <w:rFonts w:ascii="Times New Roman" w:hAnsi="Times New Roman" w:cs="Times New Roman"/>
          <w:iCs/>
          <w:sz w:val="28"/>
          <w:szCs w:val="28"/>
          <w:lang w:eastAsia="es-CO"/>
        </w:rPr>
        <w:t xml:space="preserve"> </w:t>
      </w:r>
      <w:r w:rsidRPr="00D85C08">
        <w:rPr>
          <w:rFonts w:ascii="Times New Roman" w:hAnsi="Times New Roman" w:cs="Times New Roman"/>
          <w:b/>
          <w:iCs/>
          <w:sz w:val="28"/>
          <w:szCs w:val="28"/>
          <w:lang w:eastAsia="es-CO"/>
        </w:rPr>
        <w:t>no cumplió</w:t>
      </w:r>
      <w:r w:rsidRPr="00D85C08">
        <w:rPr>
          <w:rFonts w:ascii="Times New Roman" w:hAnsi="Times New Roman" w:cs="Times New Roman"/>
          <w:iCs/>
          <w:sz w:val="28"/>
          <w:szCs w:val="28"/>
          <w:lang w:eastAsia="es-CO"/>
        </w:rPr>
        <w:t xml:space="preserve"> las obligaciones previstas en la citada norma orgánica. Para comenzar, se ha de indicar que, de acuerdo con la jurisprudencia, el hecho de que el costo fiscal de la iniciativa sea bajo o incluso inexistente, como se afirma en la exposición de motivos,</w:t>
      </w:r>
      <w:r w:rsidRPr="00D85C08">
        <w:rPr>
          <w:rFonts w:ascii="Times New Roman" w:hAnsi="Times New Roman" w:cs="Times New Roman"/>
          <w:sz w:val="28"/>
          <w:szCs w:val="28"/>
        </w:rPr>
        <w:t xml:space="preserve"> </w:t>
      </w:r>
      <w:r w:rsidRPr="00D85C08">
        <w:rPr>
          <w:rFonts w:ascii="Times New Roman" w:hAnsi="Times New Roman" w:cs="Times New Roman"/>
          <w:iCs/>
          <w:sz w:val="28"/>
          <w:szCs w:val="28"/>
          <w:lang w:eastAsia="es-CO"/>
        </w:rPr>
        <w:t>«</w:t>
      </w:r>
      <w:r w:rsidRPr="00D85C08">
        <w:rPr>
          <w:rFonts w:ascii="Times New Roman" w:hAnsi="Times New Roman" w:cs="Times New Roman"/>
          <w:sz w:val="28"/>
          <w:szCs w:val="28"/>
        </w:rPr>
        <w:t>no</w:t>
      </w:r>
      <w:r w:rsidRPr="00D85C08">
        <w:rPr>
          <w:rFonts w:ascii="Times New Roman" w:hAnsi="Times New Roman" w:cs="Times New Roman"/>
          <w:sz w:val="28"/>
          <w:szCs w:val="28"/>
        </w:rPr>
        <w:t xml:space="preserve"> le resta fuerza al deber» en cabeza del Ministerio de Hacienda y Crédito Público</w:t>
      </w:r>
      <w:r w:rsidRPr="00D85C08">
        <w:rPr>
          <w:rStyle w:val="Refdenotaalpie"/>
          <w:rFonts w:ascii="Times New Roman" w:hAnsi="Times New Roman" w:cs="Times New Roman"/>
          <w:sz w:val="28"/>
          <w:szCs w:val="28"/>
        </w:rPr>
        <w:footnoteReference w:id="100"/>
      </w:r>
      <w:r w:rsidRPr="00D85C08">
        <w:rPr>
          <w:rFonts w:ascii="Times New Roman" w:hAnsi="Times New Roman" w:cs="Times New Roman"/>
          <w:sz w:val="28"/>
          <w:szCs w:val="28"/>
        </w:rPr>
        <w:t xml:space="preserve">. Esto es así porque </w:t>
      </w:r>
      <w:r w:rsidRPr="00D85C08">
        <w:rPr>
          <w:rFonts w:ascii="Times New Roman" w:hAnsi="Times New Roman" w:cs="Times New Roman"/>
          <w:iCs/>
          <w:sz w:val="28"/>
          <w:szCs w:val="28"/>
          <w:lang w:eastAsia="es-CO"/>
        </w:rPr>
        <w:t>«</w:t>
      </w:r>
      <w:r w:rsidRPr="00D85C08">
        <w:rPr>
          <w:rFonts w:ascii="Times New Roman" w:hAnsi="Times New Roman" w:cs="Times New Roman"/>
          <w:sz w:val="28"/>
          <w:szCs w:val="28"/>
        </w:rPr>
        <w:t>[s]u incumplimiento […] afecta el proceso democrático dado que impide al Congreso conocer de manera suficiente los efectos de la aprobación de la ley»</w:t>
      </w:r>
      <w:r w:rsidRPr="00D85C08">
        <w:rPr>
          <w:rStyle w:val="Refdenotaalpie"/>
          <w:rFonts w:ascii="Times New Roman" w:hAnsi="Times New Roman" w:cs="Times New Roman"/>
          <w:sz w:val="28"/>
          <w:szCs w:val="28"/>
        </w:rPr>
        <w:footnoteReference w:id="101"/>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Es claro que se trata de una condición necesaria para que la deliberación en el seno del Congreso sea adecuada y esté debidamente fundada.</w:t>
      </w:r>
    </w:p>
    <w:p w:rsidR="00F47E82" w:rsidRPr="00D85C08" w:rsidRDefault="00D85C08" w:rsidP="00F47E82">
      <w:pPr>
        <w:tabs>
          <w:tab w:val="left" w:pos="360"/>
        </w:tabs>
        <w:spacing w:after="0" w:line="240" w:lineRule="auto"/>
        <w:contextualSpacing/>
        <w:jc w:val="both"/>
        <w:rPr>
          <w:rFonts w:ascii="Times New Roman" w:hAnsi="Times New Roman" w:cs="Times New Roman"/>
          <w:sz w:val="28"/>
          <w:szCs w:val="28"/>
        </w:rPr>
      </w:pPr>
    </w:p>
    <w:p w:rsidR="00F47E82" w:rsidRPr="00D85C08" w:rsidRDefault="00D85C08" w:rsidP="006516CA">
      <w:pPr>
        <w:pStyle w:val="Prrafodelista"/>
        <w:numPr>
          <w:ilvl w:val="0"/>
          <w:numId w:val="1"/>
        </w:numPr>
        <w:tabs>
          <w:tab w:val="left" w:pos="284"/>
        </w:tabs>
        <w:ind w:left="0" w:firstLine="0"/>
        <w:jc w:val="both"/>
        <w:rPr>
          <w:rFonts w:ascii="Times New Roman" w:hAnsi="Times New Roman" w:cs="Times New Roman"/>
          <w:b/>
          <w:sz w:val="28"/>
          <w:szCs w:val="28"/>
        </w:rPr>
      </w:pPr>
      <w:r w:rsidRPr="00D85C08">
        <w:rPr>
          <w:rFonts w:ascii="Times New Roman" w:hAnsi="Times New Roman" w:cs="Times New Roman"/>
          <w:sz w:val="28"/>
          <w:szCs w:val="28"/>
        </w:rPr>
        <w:t>En efecto, de acuerdo con la información suministrada al despacho de la magistrada sustanciadora por los secretario</w:t>
      </w:r>
      <w:r w:rsidRPr="00D85C08">
        <w:rPr>
          <w:rFonts w:ascii="Times New Roman" w:hAnsi="Times New Roman" w:cs="Times New Roman"/>
          <w:sz w:val="28"/>
          <w:szCs w:val="28"/>
        </w:rPr>
        <w:t xml:space="preserve">s generales del Senado y la Cámara de Representantes y el Ministerio de Hacienda y Crédito Público, esta cartera no siguió ninguna de las alternativas que consagra el </w:t>
      </w:r>
      <w:r w:rsidRPr="00D85C08">
        <w:rPr>
          <w:rFonts w:ascii="Times New Roman" w:hAnsi="Times New Roman" w:cs="Times New Roman"/>
          <w:iCs/>
          <w:sz w:val="28"/>
          <w:szCs w:val="28"/>
          <w:lang w:eastAsia="es-CO"/>
        </w:rPr>
        <w:t xml:space="preserve">artículo </w:t>
      </w:r>
      <w:r w:rsidRPr="00D85C08">
        <w:rPr>
          <w:rFonts w:ascii="Times New Roman" w:hAnsi="Times New Roman" w:cs="Times New Roman"/>
          <w:sz w:val="28"/>
          <w:szCs w:val="28"/>
        </w:rPr>
        <w:t>7 de la Ley Orgánica 819 de 2003 para cumplir el deber allí señalado. De este mo</w:t>
      </w:r>
      <w:r w:rsidRPr="00D85C08">
        <w:rPr>
          <w:rFonts w:ascii="Times New Roman" w:hAnsi="Times New Roman" w:cs="Times New Roman"/>
          <w:sz w:val="28"/>
          <w:szCs w:val="28"/>
        </w:rPr>
        <w:t xml:space="preserve">do, </w:t>
      </w:r>
      <w:r w:rsidRPr="00D85C08">
        <w:rPr>
          <w:rFonts w:ascii="Times New Roman" w:hAnsi="Times New Roman" w:cs="Times New Roman"/>
          <w:i/>
          <w:iCs/>
          <w:sz w:val="28"/>
          <w:szCs w:val="28"/>
        </w:rPr>
        <w:t>i)</w:t>
      </w:r>
      <w:r w:rsidRPr="00D85C08">
        <w:rPr>
          <w:rFonts w:ascii="Times New Roman" w:hAnsi="Times New Roman" w:cs="Times New Roman"/>
          <w:sz w:val="28"/>
          <w:szCs w:val="28"/>
        </w:rPr>
        <w:t xml:space="preserve"> no acompañó la radicación del proyecto de ley en el Congreso de la República</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
          <w:sz w:val="28"/>
          <w:szCs w:val="28"/>
          <w:lang w:eastAsia="es-CO"/>
        </w:rPr>
        <w:t>ii)</w:t>
      </w:r>
      <w:r w:rsidRPr="00D85C08">
        <w:rPr>
          <w:rFonts w:ascii="Times New Roman" w:hAnsi="Times New Roman" w:cs="Times New Roman"/>
          <w:iCs/>
          <w:sz w:val="28"/>
          <w:szCs w:val="28"/>
          <w:lang w:eastAsia="es-CO"/>
        </w:rPr>
        <w:t xml:space="preserve"> no rindió concepto durante el trámite legislativo sobre </w:t>
      </w:r>
      <w:r w:rsidRPr="00D85C08">
        <w:rPr>
          <w:rFonts w:ascii="Times New Roman" w:hAnsi="Times New Roman" w:cs="Times New Roman"/>
          <w:sz w:val="28"/>
          <w:szCs w:val="28"/>
        </w:rPr>
        <w:t>la consistencia del análisis de impacto fiscal contenido en la exposición de motivos y en las ponencias de trám</w:t>
      </w:r>
      <w:r w:rsidRPr="00D85C08">
        <w:rPr>
          <w:rFonts w:ascii="Times New Roman" w:hAnsi="Times New Roman" w:cs="Times New Roman"/>
          <w:sz w:val="28"/>
          <w:szCs w:val="28"/>
        </w:rPr>
        <w:t xml:space="preserve">ite con el Marco Fiscal de Mediano Plazo; </w:t>
      </w:r>
      <w:r w:rsidRPr="00D85C08">
        <w:rPr>
          <w:rFonts w:ascii="Times New Roman" w:hAnsi="Times New Roman" w:cs="Times New Roman"/>
          <w:i/>
          <w:iCs/>
          <w:sz w:val="28"/>
          <w:szCs w:val="28"/>
        </w:rPr>
        <w:t>iii)</w:t>
      </w:r>
      <w:r w:rsidRPr="00D85C08">
        <w:rPr>
          <w:rFonts w:ascii="Times New Roman" w:hAnsi="Times New Roman" w:cs="Times New Roman"/>
          <w:sz w:val="28"/>
          <w:szCs w:val="28"/>
        </w:rPr>
        <w:t xml:space="preserve"> no analizó ni aprobó «la correspondiente fuente sustitutiva por disminución de gasto» como resultado de la concesión de beneficios tributarios a favor de la República de Croacia y </w:t>
      </w:r>
      <w:r w:rsidRPr="00D85C08">
        <w:rPr>
          <w:rFonts w:ascii="Times New Roman" w:hAnsi="Times New Roman" w:cs="Times New Roman"/>
          <w:i/>
          <w:iCs/>
          <w:sz w:val="28"/>
          <w:szCs w:val="28"/>
        </w:rPr>
        <w:t>iv)</w:t>
      </w:r>
      <w:r w:rsidRPr="00D85C08">
        <w:rPr>
          <w:rFonts w:ascii="Times New Roman" w:hAnsi="Times New Roman" w:cs="Times New Roman"/>
          <w:sz w:val="28"/>
          <w:szCs w:val="28"/>
        </w:rPr>
        <w:t xml:space="preserve"> no intervino durante una </w:t>
      </w:r>
      <w:r w:rsidRPr="00D85C08">
        <w:rPr>
          <w:rFonts w:ascii="Times New Roman" w:hAnsi="Times New Roman" w:cs="Times New Roman"/>
          <w:sz w:val="28"/>
          <w:szCs w:val="28"/>
        </w:rPr>
        <w:t>sesión en las comisiones o en la plenaria de alguna de las dos cámaras para informar el costo fiscal de la iniciativa y su compatibilidad con el Marco Fiscal de Mediano Plazo.</w:t>
      </w:r>
      <w:r w:rsidRPr="00D85C08">
        <w:rPr>
          <w:rFonts w:ascii="Times New Roman" w:hAnsi="Times New Roman" w:cs="Times New Roman"/>
          <w:b/>
          <w:sz w:val="28"/>
          <w:szCs w:val="28"/>
        </w:rPr>
        <w:t xml:space="preserve"> </w:t>
      </w:r>
    </w:p>
    <w:p w:rsidR="00F47E82" w:rsidRPr="00D85C08" w:rsidRDefault="00D85C08" w:rsidP="006516CA">
      <w:pPr>
        <w:tabs>
          <w:tab w:val="left" w:pos="284"/>
        </w:tabs>
        <w:spacing w:after="0" w:line="240" w:lineRule="auto"/>
        <w:contextualSpacing/>
        <w:jc w:val="both"/>
        <w:rPr>
          <w:rFonts w:ascii="Times New Roman" w:hAnsi="Times New Roman" w:cs="Times New Roman"/>
          <w:sz w:val="28"/>
          <w:szCs w:val="28"/>
        </w:rPr>
      </w:pPr>
    </w:p>
    <w:p w:rsidR="00F47E82" w:rsidRPr="00D85C08" w:rsidRDefault="00D85C08" w:rsidP="006516CA">
      <w:pPr>
        <w:pStyle w:val="Prrafodelista"/>
        <w:numPr>
          <w:ilvl w:val="0"/>
          <w:numId w:val="1"/>
        </w:numPr>
        <w:tabs>
          <w:tab w:val="left" w:pos="284"/>
        </w:tabs>
        <w:ind w:left="0" w:firstLine="0"/>
        <w:jc w:val="both"/>
        <w:rPr>
          <w:rFonts w:ascii="Times New Roman" w:hAnsi="Times New Roman" w:cs="Times New Roman"/>
          <w:sz w:val="28"/>
          <w:szCs w:val="28"/>
        </w:rPr>
      </w:pPr>
      <w:r w:rsidRPr="00D85C08">
        <w:rPr>
          <w:rFonts w:ascii="Times New Roman" w:hAnsi="Times New Roman" w:cs="Times New Roman"/>
          <w:sz w:val="28"/>
          <w:szCs w:val="28"/>
        </w:rPr>
        <w:t xml:space="preserve">Por ende, debe declararse que en el trámite legislativo de la ley aprobatoria </w:t>
      </w:r>
      <w:r w:rsidRPr="00D85C08">
        <w:rPr>
          <w:rFonts w:ascii="Times New Roman" w:hAnsi="Times New Roman" w:cs="Times New Roman"/>
          <w:sz w:val="28"/>
          <w:szCs w:val="28"/>
        </w:rPr>
        <w:t xml:space="preserve">se incumplió el requisito referido en </w:t>
      </w:r>
      <w:r w:rsidRPr="00D85C08">
        <w:rPr>
          <w:rFonts w:ascii="Times New Roman" w:hAnsi="Times New Roman" w:cs="Times New Roman"/>
          <w:iCs/>
          <w:sz w:val="28"/>
          <w:szCs w:val="28"/>
          <w:lang w:eastAsia="es-CO"/>
        </w:rPr>
        <w:t>el artículo 7 (incisos tercero y cuarto) de la Ley Orgánica 819 de 2003. En concordancia con las Sentencias C-170 de 2021 y C-175 de 2023, esta omisión constituye un vicio de inconstitucionalidad de carácter insubsanab</w:t>
      </w:r>
      <w:r w:rsidRPr="00D85C08">
        <w:rPr>
          <w:rFonts w:ascii="Times New Roman" w:hAnsi="Times New Roman" w:cs="Times New Roman"/>
          <w:iCs/>
          <w:sz w:val="28"/>
          <w:szCs w:val="28"/>
          <w:lang w:eastAsia="es-CO"/>
        </w:rPr>
        <w:t>le.</w:t>
      </w:r>
    </w:p>
    <w:p w:rsidR="00F47E82" w:rsidRPr="00D85C08" w:rsidRDefault="00D85C08" w:rsidP="006516CA">
      <w:pPr>
        <w:tabs>
          <w:tab w:val="left" w:pos="284"/>
        </w:tabs>
        <w:spacing w:after="0" w:line="240" w:lineRule="auto"/>
        <w:contextualSpacing/>
        <w:jc w:val="both"/>
        <w:rPr>
          <w:rFonts w:ascii="Times New Roman" w:eastAsia="Times New Roman" w:hAnsi="Times New Roman" w:cs="Times New Roman"/>
          <w:iCs/>
          <w:sz w:val="28"/>
          <w:szCs w:val="28"/>
        </w:rPr>
      </w:pPr>
    </w:p>
    <w:p w:rsidR="00F47E82" w:rsidRPr="00D85C08" w:rsidRDefault="00D85C08" w:rsidP="006516CA">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Sin perjuicio de lo anterior</w:t>
      </w:r>
      <w:r w:rsidRPr="00D85C08">
        <w:rPr>
          <w:rFonts w:ascii="Times New Roman" w:hAnsi="Times New Roman" w:cs="Times New Roman"/>
          <w:iCs/>
          <w:sz w:val="28"/>
          <w:szCs w:val="28"/>
          <w:lang w:eastAsia="es-CO"/>
        </w:rPr>
        <w:t xml:space="preserve">, la Sala encuentra que, mediante oficio remitido a la Corte el 22 de junio de 2023, el Ministerio de Hacienda y Crédito Público se pronunció sobre el auto de pruebas dictado por la magistrada ponente el día 1° de ese mes. </w:t>
      </w:r>
      <w:r w:rsidRPr="00D85C08">
        <w:rPr>
          <w:rFonts w:ascii="Times New Roman" w:hAnsi="Times New Roman" w:cs="Times New Roman"/>
          <w:iCs/>
          <w:sz w:val="28"/>
          <w:szCs w:val="28"/>
          <w:lang w:eastAsia="es-CO"/>
        </w:rPr>
        <w:t xml:space="preserve">En dicho auto, se preguntó a esa entidad si </w:t>
      </w:r>
      <w:r w:rsidRPr="00D85C08">
        <w:rPr>
          <w:rFonts w:ascii="Times New Roman" w:hAnsi="Times New Roman" w:cs="Times New Roman"/>
          <w:sz w:val="28"/>
          <w:szCs w:val="28"/>
        </w:rPr>
        <w:t>«</w:t>
      </w:r>
      <w:r w:rsidRPr="00D85C08">
        <w:rPr>
          <w:rFonts w:ascii="Times New Roman" w:hAnsi="Times New Roman" w:cs="Times New Roman"/>
          <w:iCs/>
          <w:sz w:val="28"/>
          <w:szCs w:val="28"/>
          <w:lang w:eastAsia="es-CO"/>
        </w:rPr>
        <w:t>en el trámite legislativo del proyecto de ley número 220 de 2021 Senado – 220 de 2022 Cámara, rindió el concepto al que se refiere el artículo 7 (incisos tercero y cuarto) de la Ley Orgánica 819 de 2003</w:t>
      </w:r>
      <w:r w:rsidRPr="00D85C08">
        <w:rPr>
          <w:rFonts w:ascii="Times New Roman" w:hAnsi="Times New Roman" w:cs="Times New Roman"/>
          <w:sz w:val="28"/>
          <w:szCs w:val="28"/>
        </w:rPr>
        <w:t>». Al res</w:t>
      </w:r>
      <w:r w:rsidRPr="00D85C08">
        <w:rPr>
          <w:rFonts w:ascii="Times New Roman" w:hAnsi="Times New Roman" w:cs="Times New Roman"/>
          <w:sz w:val="28"/>
          <w:szCs w:val="28"/>
        </w:rPr>
        <w:t xml:space="preserve">pecto, el Ministerio manifestó que, «[d]urante el trámite del proyecto de ley en cuestión, y particularmente desde la exposición de motivos de la iniciativa legislativa», el </w:t>
      </w:r>
      <w:r w:rsidRPr="00D85C08">
        <w:rPr>
          <w:rFonts w:ascii="Times New Roman" w:hAnsi="Times New Roman" w:cs="Times New Roman"/>
          <w:i/>
          <w:iCs/>
          <w:sz w:val="28"/>
          <w:szCs w:val="28"/>
        </w:rPr>
        <w:t>Gobierno nacional</w:t>
      </w:r>
      <w:r w:rsidRPr="00D85C08">
        <w:rPr>
          <w:rFonts w:ascii="Times New Roman" w:hAnsi="Times New Roman" w:cs="Times New Roman"/>
          <w:sz w:val="28"/>
          <w:szCs w:val="28"/>
        </w:rPr>
        <w:t xml:space="preserve"> sí había informado al Congreso de la República «sobre el impacto</w:t>
      </w:r>
      <w:r w:rsidRPr="00D85C08">
        <w:rPr>
          <w:rFonts w:ascii="Times New Roman" w:hAnsi="Times New Roman" w:cs="Times New Roman"/>
          <w:sz w:val="28"/>
          <w:szCs w:val="28"/>
        </w:rPr>
        <w:t xml:space="preserve"> fiscal de la adhesión de Croacia al Acuerdo comercial Multipartes».</w:t>
      </w:r>
    </w:p>
    <w:p w:rsidR="007F42F3" w:rsidRPr="00D85C08" w:rsidRDefault="00D85C08" w:rsidP="007F42F3">
      <w:pPr>
        <w:pStyle w:val="Prrafodelista"/>
        <w:tabs>
          <w:tab w:val="left" w:pos="284"/>
        </w:tabs>
        <w:ind w:left="0"/>
        <w:jc w:val="both"/>
        <w:rPr>
          <w:rFonts w:ascii="Times New Roman" w:hAnsi="Times New Roman" w:cs="Times New Roman"/>
          <w:iCs/>
          <w:sz w:val="28"/>
          <w:szCs w:val="28"/>
          <w:lang w:eastAsia="es-CO"/>
        </w:rPr>
      </w:pPr>
    </w:p>
    <w:p w:rsidR="00F47E82" w:rsidRPr="00D85C08" w:rsidRDefault="00D85C08" w:rsidP="00CF2D4E">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sz w:val="28"/>
          <w:szCs w:val="28"/>
        </w:rPr>
        <w:t>Igualmente, se advierte que</w:t>
      </w:r>
      <w:r w:rsidRPr="00D85C08">
        <w:rPr>
          <w:rFonts w:ascii="Times New Roman" w:hAnsi="Times New Roman" w:cs="Times New Roman"/>
          <w:sz w:val="28"/>
          <w:szCs w:val="28"/>
        </w:rPr>
        <w:t>,</w:t>
      </w:r>
      <w:r w:rsidRPr="00D85C08">
        <w:rPr>
          <w:rFonts w:ascii="Times New Roman" w:hAnsi="Times New Roman" w:cs="Times New Roman"/>
          <w:sz w:val="28"/>
          <w:szCs w:val="28"/>
        </w:rPr>
        <w:t xml:space="preserve"> en la intervención del Ministerio de Hacienda y Crédito Público, remitida el 13 de octubre de 2023, nada se dice s</w:t>
      </w:r>
      <w:r w:rsidRPr="00D85C08">
        <w:rPr>
          <w:rFonts w:ascii="Times New Roman" w:hAnsi="Times New Roman" w:cs="Times New Roman"/>
          <w:sz w:val="28"/>
          <w:szCs w:val="28"/>
        </w:rPr>
        <w:t xml:space="preserve">i el análisis de compatibilidad del Protocolo con el Marco Fiscal de Mediano Plazo realizado por </w:t>
      </w:r>
      <w:r w:rsidRPr="00D85C08">
        <w:rPr>
          <w:rFonts w:ascii="Times New Roman" w:hAnsi="Times New Roman" w:cs="Times New Roman"/>
          <w:color w:val="000000" w:themeColor="text1"/>
          <w:sz w:val="28"/>
          <w:szCs w:val="28"/>
        </w:rPr>
        <w:t xml:space="preserve">la Dirección General de Política Macroeconómica o la de Presupuesto Público </w:t>
      </w:r>
      <w:r w:rsidRPr="00D85C08">
        <w:rPr>
          <w:rFonts w:ascii="Times New Roman" w:hAnsi="Times New Roman" w:cs="Times New Roman"/>
          <w:color w:val="000000" w:themeColor="text1"/>
          <w:sz w:val="28"/>
          <w:szCs w:val="28"/>
        </w:rPr>
        <w:t>se hizo durante</w:t>
      </w:r>
      <w:r w:rsidRPr="00D85C08">
        <w:rPr>
          <w:rFonts w:ascii="Times New Roman" w:hAnsi="Times New Roman" w:cs="Times New Roman"/>
          <w:color w:val="000000" w:themeColor="text1"/>
          <w:sz w:val="28"/>
          <w:szCs w:val="28"/>
        </w:rPr>
        <w:t xml:space="preserve"> el trámite legislativo</w:t>
      </w:r>
      <w:r w:rsidRPr="00D85C08">
        <w:rPr>
          <w:rFonts w:ascii="Times New Roman" w:hAnsi="Times New Roman" w:cs="Times New Roman"/>
          <w:color w:val="000000" w:themeColor="text1"/>
          <w:sz w:val="28"/>
          <w:szCs w:val="28"/>
        </w:rPr>
        <w:t xml:space="preserve"> y si en el mismo hubo</w:t>
      </w:r>
      <w:r w:rsidRPr="00D85C08">
        <w:rPr>
          <w:rFonts w:ascii="Times New Roman" w:hAnsi="Times New Roman" w:cs="Times New Roman"/>
          <w:color w:val="000000" w:themeColor="text1"/>
          <w:sz w:val="28"/>
          <w:szCs w:val="28"/>
        </w:rPr>
        <w:t xml:space="preserve"> participación de algun</w:t>
      </w:r>
      <w:r w:rsidRPr="00D85C08">
        <w:rPr>
          <w:rFonts w:ascii="Times New Roman" w:hAnsi="Times New Roman" w:cs="Times New Roman"/>
          <w:color w:val="000000" w:themeColor="text1"/>
          <w:sz w:val="28"/>
          <w:szCs w:val="28"/>
        </w:rPr>
        <w:t xml:space="preserve">a dirección o dependencia del mencionado </w:t>
      </w:r>
      <w:r w:rsidRPr="00D85C08">
        <w:rPr>
          <w:rFonts w:ascii="Times New Roman" w:hAnsi="Times New Roman" w:cs="Times New Roman"/>
          <w:color w:val="000000" w:themeColor="text1"/>
          <w:sz w:val="28"/>
          <w:szCs w:val="28"/>
        </w:rPr>
        <w:t>Ministerio.</w:t>
      </w:r>
    </w:p>
    <w:p w:rsidR="00F47E82" w:rsidRPr="00D85C08" w:rsidRDefault="00D85C08" w:rsidP="006516CA">
      <w:pPr>
        <w:pStyle w:val="Prrafodelista"/>
        <w:numPr>
          <w:ilvl w:val="0"/>
          <w:numId w:val="1"/>
        </w:numPr>
        <w:tabs>
          <w:tab w:val="left" w:pos="284"/>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La distinción entre las obligaciones del Gobierno nacional y del Ministerio de Hacienda y Crédito Público, de conformidad con lo dispuesto en el artículo 7 de la Ley Orgánica 819 de 2003, permite resalta</w:t>
      </w:r>
      <w:r w:rsidRPr="00D85C08">
        <w:rPr>
          <w:rFonts w:ascii="Times New Roman" w:hAnsi="Times New Roman" w:cs="Times New Roman"/>
          <w:iCs/>
          <w:sz w:val="28"/>
          <w:szCs w:val="28"/>
          <w:lang w:eastAsia="es-CO"/>
        </w:rPr>
        <w:t xml:space="preserve">r la equivocación en la que incurre </w:t>
      </w:r>
      <w:r w:rsidRPr="00D85C08">
        <w:rPr>
          <w:rFonts w:ascii="Times New Roman" w:hAnsi="Times New Roman" w:cs="Times New Roman"/>
          <w:iCs/>
          <w:sz w:val="28"/>
          <w:szCs w:val="28"/>
          <w:lang w:eastAsia="es-CO"/>
        </w:rPr>
        <w:t xml:space="preserve">tanto la </w:t>
      </w:r>
      <w:r w:rsidRPr="00D85C08">
        <w:rPr>
          <w:rFonts w:ascii="Times New Roman" w:hAnsi="Times New Roman" w:cs="Times New Roman"/>
          <w:iCs/>
          <w:sz w:val="28"/>
          <w:szCs w:val="28"/>
          <w:lang w:eastAsia="es-CO"/>
        </w:rPr>
        <w:t>respuesta</w:t>
      </w:r>
      <w:r w:rsidRPr="00D85C08">
        <w:rPr>
          <w:rFonts w:ascii="Times New Roman" w:hAnsi="Times New Roman" w:cs="Times New Roman"/>
          <w:iCs/>
          <w:sz w:val="28"/>
          <w:szCs w:val="28"/>
          <w:lang w:eastAsia="es-CO"/>
        </w:rPr>
        <w:t xml:space="preserve"> al auto de pruebas como la intervención</w:t>
      </w:r>
      <w:r w:rsidRPr="00D85C08">
        <w:rPr>
          <w:rFonts w:ascii="Times New Roman" w:hAnsi="Times New Roman" w:cs="Times New Roman"/>
          <w:iCs/>
          <w:sz w:val="28"/>
          <w:szCs w:val="28"/>
          <w:lang w:eastAsia="es-CO"/>
        </w:rPr>
        <w:t>. Es evidente que confunde los deberes que esa norma asigna al Gobierno nacional con las responsabilidades que son propias del Ministerio de Hacienda y Crédito Pú</w:t>
      </w:r>
      <w:r w:rsidRPr="00D85C08">
        <w:rPr>
          <w:rFonts w:ascii="Times New Roman" w:hAnsi="Times New Roman" w:cs="Times New Roman"/>
          <w:iCs/>
          <w:sz w:val="28"/>
          <w:szCs w:val="28"/>
          <w:lang w:eastAsia="es-CO"/>
        </w:rPr>
        <w:t>blico</w:t>
      </w:r>
      <w:r w:rsidRPr="00D85C08">
        <w:rPr>
          <w:rFonts w:ascii="Times New Roman" w:hAnsi="Times New Roman" w:cs="Times New Roman"/>
          <w:iCs/>
          <w:sz w:val="28"/>
          <w:szCs w:val="28"/>
          <w:lang w:eastAsia="es-CO"/>
        </w:rPr>
        <w:t xml:space="preserve"> dentro del trámite legislativo</w:t>
      </w:r>
      <w:r w:rsidRPr="00D85C08">
        <w:rPr>
          <w:rFonts w:ascii="Times New Roman" w:hAnsi="Times New Roman" w:cs="Times New Roman"/>
          <w:iCs/>
          <w:sz w:val="28"/>
          <w:szCs w:val="28"/>
          <w:lang w:eastAsia="es-CO"/>
        </w:rPr>
        <w:t xml:space="preserve">. </w:t>
      </w:r>
    </w:p>
    <w:p w:rsidR="00F47E82" w:rsidRPr="00D85C08" w:rsidRDefault="00D85C08" w:rsidP="00F47E82">
      <w:pPr>
        <w:tabs>
          <w:tab w:val="left" w:pos="360"/>
        </w:tabs>
        <w:spacing w:after="0" w:line="240" w:lineRule="auto"/>
        <w:contextualSpacing/>
        <w:jc w:val="both"/>
        <w:rPr>
          <w:rFonts w:ascii="Times New Roman" w:eastAsia="Times New Roman" w:hAnsi="Times New Roman" w:cs="Times New Roman"/>
          <w:iCs/>
          <w:sz w:val="28"/>
          <w:szCs w:val="28"/>
        </w:rPr>
      </w:pPr>
    </w:p>
    <w:p w:rsidR="000C1ED0" w:rsidRPr="00D85C08" w:rsidRDefault="00D85C08" w:rsidP="00FE06C3">
      <w:pPr>
        <w:pStyle w:val="Prrafodelista"/>
        <w:numPr>
          <w:ilvl w:val="0"/>
          <w:numId w:val="1"/>
        </w:numPr>
        <w:tabs>
          <w:tab w:val="left" w:pos="142"/>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 xml:space="preserve">En tal virtud, estima la Sala Plena que es necesario </w:t>
      </w:r>
      <w:r w:rsidRPr="00D85C08">
        <w:rPr>
          <w:rFonts w:ascii="Times New Roman" w:hAnsi="Times New Roman" w:cs="Times New Roman"/>
          <w:iCs/>
          <w:sz w:val="28"/>
          <w:szCs w:val="28"/>
          <w:lang w:eastAsia="es-CO"/>
        </w:rPr>
        <w:t xml:space="preserve">hacer énfasis en </w:t>
      </w:r>
      <w:r w:rsidRPr="00D85C08">
        <w:rPr>
          <w:rFonts w:ascii="Times New Roman" w:hAnsi="Times New Roman" w:cs="Times New Roman"/>
          <w:iCs/>
          <w:sz w:val="28"/>
          <w:szCs w:val="28"/>
          <w:lang w:eastAsia="es-CO"/>
        </w:rPr>
        <w:t xml:space="preserve">las </w:t>
      </w:r>
      <w:r w:rsidRPr="00D85C08">
        <w:rPr>
          <w:rFonts w:ascii="Times New Roman" w:hAnsi="Times New Roman" w:cs="Times New Roman"/>
          <w:iCs/>
          <w:sz w:val="28"/>
          <w:szCs w:val="28"/>
          <w:lang w:eastAsia="es-CO"/>
        </w:rPr>
        <w:t>alternativas con las que cuenta el Ministerio de Hacienda y Crédito Público para dar cumplimiento a los deberes previstos en el mencionado art</w:t>
      </w:r>
      <w:r w:rsidRPr="00D85C08">
        <w:rPr>
          <w:rFonts w:ascii="Times New Roman" w:hAnsi="Times New Roman" w:cs="Times New Roman"/>
          <w:iCs/>
          <w:sz w:val="28"/>
          <w:szCs w:val="28"/>
          <w:lang w:eastAsia="es-CO"/>
        </w:rPr>
        <w:t>ículo orgánico</w:t>
      </w:r>
      <w:r w:rsidRPr="00D85C08">
        <w:rPr>
          <w:rFonts w:ascii="Times New Roman" w:hAnsi="Times New Roman" w:cs="Times New Roman"/>
          <w:iCs/>
          <w:sz w:val="28"/>
          <w:szCs w:val="28"/>
          <w:lang w:eastAsia="es-CO"/>
        </w:rPr>
        <w:t xml:space="preserve"> y explicadas en párrafos anteriores (</w:t>
      </w:r>
      <w:r w:rsidRPr="00D85C08">
        <w:rPr>
          <w:rFonts w:ascii="Times New Roman" w:hAnsi="Times New Roman" w:cs="Times New Roman"/>
          <w:i/>
          <w:iCs/>
          <w:sz w:val="28"/>
          <w:szCs w:val="28"/>
          <w:lang w:eastAsia="es-CO"/>
        </w:rPr>
        <w:t>Supra</w:t>
      </w:r>
      <w:r w:rsidRPr="00D85C08">
        <w:rPr>
          <w:rFonts w:ascii="Times New Roman" w:hAnsi="Times New Roman" w:cs="Times New Roman"/>
          <w:iCs/>
          <w:sz w:val="28"/>
          <w:szCs w:val="28"/>
          <w:lang w:eastAsia="es-CO"/>
        </w:rPr>
        <w:t xml:space="preserve">, 60 </w:t>
      </w:r>
      <w:r w:rsidRPr="00D85C08">
        <w:rPr>
          <w:rFonts w:ascii="Times New Roman" w:hAnsi="Times New Roman" w:cs="Times New Roman"/>
          <w:iCs/>
          <w:sz w:val="28"/>
          <w:szCs w:val="28"/>
          <w:lang w:eastAsia="es-CO"/>
        </w:rPr>
        <w:t>a 66</w:t>
      </w:r>
      <w:r w:rsidRPr="00D85C08">
        <w:rPr>
          <w:rFonts w:ascii="Times New Roman" w:hAnsi="Times New Roman" w:cs="Times New Roman"/>
          <w:iCs/>
          <w:sz w:val="28"/>
          <w:szCs w:val="28"/>
          <w:lang w:eastAsia="es-CO"/>
        </w:rPr>
        <w:t>)</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Lo anterior, con el fin de evitar confusiones en cuanto a la titularidad del cumplimiento de los mismos y</w:t>
      </w:r>
      <w:r w:rsidRPr="00D85C08">
        <w:rPr>
          <w:rFonts w:ascii="Times New Roman" w:hAnsi="Times New Roman" w:cs="Times New Roman"/>
          <w:iCs/>
          <w:sz w:val="28"/>
          <w:szCs w:val="28"/>
          <w:lang w:eastAsia="es-CO"/>
        </w:rPr>
        <w:t>,</w:t>
      </w:r>
      <w:r w:rsidRPr="00D85C08">
        <w:rPr>
          <w:rFonts w:ascii="Times New Roman" w:hAnsi="Times New Roman" w:cs="Times New Roman"/>
          <w:iCs/>
          <w:sz w:val="28"/>
          <w:szCs w:val="28"/>
          <w:lang w:eastAsia="es-CO"/>
        </w:rPr>
        <w:t xml:space="preserve"> por tanto, no afectar la exequibilidad de los proyectos de leyes aprobatorias de tratados</w:t>
      </w:r>
      <w:r w:rsidRPr="00D85C08">
        <w:rPr>
          <w:rFonts w:ascii="Times New Roman" w:hAnsi="Times New Roman" w:cs="Times New Roman"/>
          <w:iCs/>
          <w:sz w:val="28"/>
          <w:szCs w:val="28"/>
          <w:lang w:eastAsia="es-CO"/>
        </w:rPr>
        <w:t>.</w:t>
      </w:r>
    </w:p>
    <w:p w:rsidR="00977C23" w:rsidRPr="00D85C08" w:rsidRDefault="00D85C08" w:rsidP="00977C23">
      <w:pPr>
        <w:pStyle w:val="Prrafodelista"/>
        <w:tabs>
          <w:tab w:val="left" w:pos="142"/>
        </w:tabs>
        <w:ind w:left="0"/>
        <w:jc w:val="both"/>
        <w:rPr>
          <w:rFonts w:ascii="Times New Roman" w:hAnsi="Times New Roman" w:cs="Times New Roman"/>
          <w:iCs/>
          <w:sz w:val="28"/>
          <w:szCs w:val="28"/>
          <w:lang w:eastAsia="es-CO"/>
        </w:rPr>
      </w:pPr>
    </w:p>
    <w:p w:rsidR="00EA770C" w:rsidRPr="00D85C08" w:rsidRDefault="00D85C08" w:rsidP="00082E35">
      <w:pPr>
        <w:pStyle w:val="Ttulo2"/>
        <w:rPr>
          <w:rFonts w:ascii="Times New Roman" w:hAnsi="Times New Roman" w:cs="Times New Roman"/>
          <w:lang w:eastAsia="es-MX"/>
        </w:rPr>
      </w:pPr>
      <w:r w:rsidRPr="00D85C08">
        <w:rPr>
          <w:rFonts w:ascii="Times New Roman" w:hAnsi="Times New Roman" w:cs="Times New Roman"/>
          <w:bCs/>
          <w:lang w:eastAsia="es-MX"/>
        </w:rPr>
        <w:t>3.2.</w:t>
      </w:r>
      <w:r w:rsidRPr="00D85C08">
        <w:rPr>
          <w:rFonts w:ascii="Times New Roman" w:hAnsi="Times New Roman" w:cs="Times New Roman"/>
          <w:bCs/>
          <w:lang w:eastAsia="es-MX"/>
        </w:rPr>
        <w:t>4</w:t>
      </w:r>
      <w:r w:rsidRPr="00D85C08">
        <w:rPr>
          <w:rFonts w:ascii="Times New Roman" w:hAnsi="Times New Roman" w:cs="Times New Roman"/>
          <w:bCs/>
          <w:lang w:eastAsia="es-MX"/>
        </w:rPr>
        <w:t>.</w:t>
      </w:r>
      <w:r w:rsidRPr="00D85C08">
        <w:rPr>
          <w:rFonts w:ascii="Times New Roman" w:hAnsi="Times New Roman" w:cs="Times New Roman"/>
          <w:bCs/>
          <w:lang w:eastAsia="es-MX"/>
        </w:rPr>
        <w:t>2</w:t>
      </w:r>
      <w:r w:rsidRPr="00D85C08">
        <w:rPr>
          <w:rFonts w:ascii="Times New Roman" w:hAnsi="Times New Roman" w:cs="Times New Roman"/>
          <w:bCs/>
          <w:lang w:eastAsia="es-MX"/>
        </w:rPr>
        <w:t>.</w:t>
      </w:r>
      <w:r w:rsidRPr="00D85C08">
        <w:rPr>
          <w:rFonts w:ascii="Times New Roman" w:hAnsi="Times New Roman" w:cs="Times New Roman"/>
          <w:lang w:eastAsia="es-MX"/>
        </w:rPr>
        <w:t xml:space="preserve"> Decisión a adoptar en el presente asunto</w:t>
      </w:r>
    </w:p>
    <w:p w:rsidR="00EA770C" w:rsidRPr="00D85C08" w:rsidRDefault="00D85C08" w:rsidP="00977C23">
      <w:pPr>
        <w:pStyle w:val="Prrafodelista"/>
        <w:tabs>
          <w:tab w:val="left" w:pos="142"/>
        </w:tabs>
        <w:ind w:left="0"/>
        <w:jc w:val="both"/>
        <w:rPr>
          <w:rFonts w:ascii="Times New Roman" w:hAnsi="Times New Roman" w:cs="Times New Roman"/>
          <w:iCs/>
          <w:sz w:val="28"/>
          <w:szCs w:val="28"/>
          <w:lang w:eastAsia="es-CO"/>
        </w:rPr>
      </w:pPr>
    </w:p>
    <w:p w:rsidR="00EA770C" w:rsidRPr="00D85C08" w:rsidRDefault="00D85C08" w:rsidP="0085360B">
      <w:pPr>
        <w:pStyle w:val="Prrafodelista"/>
        <w:numPr>
          <w:ilvl w:val="0"/>
          <w:numId w:val="1"/>
        </w:numPr>
        <w:tabs>
          <w:tab w:val="left" w:pos="142"/>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Como consecuencia de la configuración de un vicio de procedimiento insubsanable en la formación de la ley aproba</w:t>
      </w:r>
      <w:r w:rsidRPr="00D85C08">
        <w:rPr>
          <w:rFonts w:ascii="Times New Roman" w:hAnsi="Times New Roman" w:cs="Times New Roman"/>
          <w:iCs/>
          <w:sz w:val="28"/>
          <w:szCs w:val="28"/>
          <w:lang w:eastAsia="es-CO"/>
        </w:rPr>
        <w:t xml:space="preserve">toria del Protocolo </w:t>
      </w:r>
      <w:r w:rsidRPr="00D85C08">
        <w:rPr>
          <w:rFonts w:ascii="Times New Roman" w:hAnsi="Times New Roman" w:cs="Times New Roman"/>
          <w:sz w:val="28"/>
          <w:szCs w:val="28"/>
          <w:lang w:val="es-ES_tradnl"/>
        </w:rPr>
        <w:t>Adicional</w:t>
      </w:r>
      <w:r w:rsidRPr="00D85C08">
        <w:rPr>
          <w:rFonts w:ascii="Times New Roman" w:hAnsi="Times New Roman" w:cs="Times New Roman"/>
          <w:sz w:val="28"/>
        </w:rPr>
        <w:t xml:space="preserve"> </w:t>
      </w:r>
      <w:r w:rsidRPr="00D85C08">
        <w:rPr>
          <w:rFonts w:ascii="Times New Roman" w:hAnsi="Times New Roman" w:cs="Times New Roman"/>
          <w:sz w:val="28"/>
          <w:szCs w:val="28"/>
        </w:rPr>
        <w:t>del Acuerdo Comercial entre la Unión Europea y sus Estados Miembros, por una parte, y Colombia y el Perú,</w:t>
      </w:r>
      <w:r w:rsidRPr="00D85C08">
        <w:rPr>
          <w:rFonts w:ascii="Times New Roman" w:hAnsi="Times New Roman" w:cs="Times New Roman"/>
          <w:sz w:val="28"/>
        </w:rPr>
        <w:t xml:space="preserve"> </w:t>
      </w:r>
      <w:r w:rsidRPr="00D85C08">
        <w:rPr>
          <w:rFonts w:ascii="Times New Roman" w:hAnsi="Times New Roman" w:cs="Times New Roman"/>
          <w:sz w:val="28"/>
          <w:szCs w:val="28"/>
        </w:rPr>
        <w:t>por otra, para tener en cuenta la adhesión de la República de Croacia a la Unión Europea, la Corte declarará la inexequibilidad de la ley aprobatoria del mismo, Ley 2293 de 2023. Lo anterior, por no cumplirse el requisito de análisis de impacto fiscal orde</w:t>
      </w:r>
      <w:r w:rsidRPr="00D85C08">
        <w:rPr>
          <w:rFonts w:ascii="Times New Roman" w:hAnsi="Times New Roman" w:cs="Times New Roman"/>
          <w:sz w:val="28"/>
          <w:szCs w:val="28"/>
        </w:rPr>
        <w:t xml:space="preserve">nado por el artículo 7 de la Ley 819 de 2003. </w:t>
      </w:r>
      <w:r w:rsidRPr="00D85C08">
        <w:rPr>
          <w:rFonts w:ascii="Times New Roman" w:hAnsi="Times New Roman" w:cs="Times New Roman"/>
          <w:iCs/>
          <w:sz w:val="28"/>
          <w:szCs w:val="28"/>
          <w:lang w:eastAsia="es-CO"/>
        </w:rPr>
        <w:t xml:space="preserve"> </w:t>
      </w:r>
    </w:p>
    <w:p w:rsidR="00EA770C" w:rsidRPr="00D85C08" w:rsidRDefault="00D85C08" w:rsidP="00EA770C">
      <w:pPr>
        <w:pStyle w:val="Prrafodelista"/>
        <w:tabs>
          <w:tab w:val="left" w:pos="142"/>
        </w:tabs>
        <w:ind w:left="0"/>
        <w:jc w:val="both"/>
        <w:rPr>
          <w:rFonts w:ascii="Times New Roman" w:hAnsi="Times New Roman" w:cs="Times New Roman"/>
          <w:iCs/>
          <w:sz w:val="28"/>
          <w:szCs w:val="28"/>
          <w:lang w:eastAsia="es-CO"/>
        </w:rPr>
      </w:pPr>
    </w:p>
    <w:p w:rsidR="0085360B" w:rsidRPr="00D85C08" w:rsidRDefault="00D85C08" w:rsidP="0085360B">
      <w:pPr>
        <w:pStyle w:val="Prrafodelista"/>
        <w:numPr>
          <w:ilvl w:val="0"/>
          <w:numId w:val="1"/>
        </w:numPr>
        <w:tabs>
          <w:tab w:val="left" w:pos="142"/>
        </w:tabs>
        <w:ind w:left="0" w:firstLine="0"/>
        <w:jc w:val="both"/>
        <w:rPr>
          <w:rFonts w:ascii="Times New Roman" w:hAnsi="Times New Roman" w:cs="Times New Roman"/>
          <w:iCs/>
          <w:sz w:val="28"/>
          <w:szCs w:val="28"/>
          <w:lang w:eastAsia="es-CO"/>
        </w:rPr>
      </w:pPr>
      <w:r w:rsidRPr="00D85C08">
        <w:rPr>
          <w:rFonts w:ascii="Times New Roman" w:hAnsi="Times New Roman" w:cs="Times New Roman"/>
          <w:iCs/>
          <w:sz w:val="28"/>
          <w:szCs w:val="28"/>
          <w:lang w:eastAsia="es-CO"/>
        </w:rPr>
        <w:t xml:space="preserve">Se aclara que esta decisión no </w:t>
      </w:r>
      <w:r w:rsidRPr="00D85C08">
        <w:rPr>
          <w:rFonts w:ascii="Times New Roman" w:hAnsi="Times New Roman" w:cs="Times New Roman"/>
          <w:iCs/>
          <w:sz w:val="28"/>
          <w:szCs w:val="28"/>
          <w:lang w:eastAsia="es-CO"/>
        </w:rPr>
        <w:t>impide que el</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 xml:space="preserve">Gobierno presente un nuevo proyecto de ley </w:t>
      </w:r>
      <w:r w:rsidRPr="00D85C08">
        <w:rPr>
          <w:rFonts w:ascii="Times New Roman" w:hAnsi="Times New Roman" w:cs="Times New Roman"/>
          <w:iCs/>
          <w:sz w:val="28"/>
          <w:szCs w:val="28"/>
          <w:lang w:eastAsia="es-CO"/>
        </w:rPr>
        <w:t>con la finalidad de aprobar el mencionado Protocolo</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Adicional</w:t>
      </w:r>
      <w:r w:rsidRPr="00D85C08">
        <w:rPr>
          <w:rFonts w:ascii="Times New Roman" w:hAnsi="Times New Roman" w:cs="Times New Roman"/>
          <w:iCs/>
          <w:sz w:val="28"/>
          <w:szCs w:val="28"/>
          <w:lang w:eastAsia="es-CO"/>
        </w:rPr>
        <w:t>, teniendo en cuenta el</w:t>
      </w:r>
      <w:r w:rsidRPr="00D85C08">
        <w:rPr>
          <w:rFonts w:ascii="Times New Roman" w:hAnsi="Times New Roman" w:cs="Times New Roman"/>
          <w:iCs/>
          <w:sz w:val="28"/>
          <w:szCs w:val="28"/>
          <w:lang w:eastAsia="es-CO"/>
        </w:rPr>
        <w:t xml:space="preserve"> estricto cumplimiento de</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todos los</w:t>
      </w:r>
      <w:r w:rsidRPr="00D85C08">
        <w:rPr>
          <w:rFonts w:ascii="Times New Roman" w:hAnsi="Times New Roman" w:cs="Times New Roman"/>
          <w:iCs/>
          <w:sz w:val="28"/>
          <w:szCs w:val="28"/>
          <w:lang w:eastAsia="es-CO"/>
        </w:rPr>
        <w:t xml:space="preserve"> requisitos del procedimiento</w:t>
      </w:r>
      <w:r w:rsidRPr="00D85C08">
        <w:rPr>
          <w:rFonts w:ascii="Times New Roman" w:hAnsi="Times New Roman" w:cs="Times New Roman"/>
          <w:iCs/>
          <w:sz w:val="28"/>
          <w:szCs w:val="28"/>
          <w:lang w:eastAsia="es-CO"/>
        </w:rPr>
        <w:t>, especialmente el previsto</w:t>
      </w:r>
      <w:r w:rsidRPr="00D85C08">
        <w:rPr>
          <w:rFonts w:ascii="Times New Roman" w:hAnsi="Times New Roman" w:cs="Times New Roman"/>
          <w:iCs/>
          <w:sz w:val="28"/>
          <w:szCs w:val="28"/>
          <w:lang w:eastAsia="es-CO"/>
        </w:rPr>
        <w:t xml:space="preserve"> en el</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artículo 7 de la Ley 819 de 2003</w:t>
      </w:r>
      <w:r w:rsidRPr="00D85C08">
        <w:rPr>
          <w:rFonts w:ascii="Times New Roman" w:hAnsi="Times New Roman" w:cs="Times New Roman"/>
          <w:iCs/>
          <w:sz w:val="28"/>
          <w:szCs w:val="28"/>
          <w:lang w:eastAsia="es-CO"/>
        </w:rPr>
        <w:t>, siguiendo los parámetros de</w:t>
      </w:r>
      <w:r w:rsidRPr="00D85C08">
        <w:rPr>
          <w:rFonts w:ascii="Times New Roman" w:hAnsi="Times New Roman" w:cs="Times New Roman"/>
          <w:iCs/>
          <w:sz w:val="28"/>
          <w:szCs w:val="28"/>
          <w:lang w:eastAsia="es-CO"/>
        </w:rPr>
        <w:t xml:space="preserve"> la</w:t>
      </w:r>
      <w:r w:rsidRPr="00D85C08">
        <w:rPr>
          <w:rFonts w:ascii="Times New Roman" w:hAnsi="Times New Roman" w:cs="Times New Roman"/>
          <w:iCs/>
          <w:sz w:val="28"/>
          <w:szCs w:val="28"/>
          <w:lang w:eastAsia="es-CO"/>
        </w:rPr>
        <w:t xml:space="preserve"> </w:t>
      </w:r>
      <w:r w:rsidRPr="00D85C08">
        <w:rPr>
          <w:rFonts w:ascii="Times New Roman" w:hAnsi="Times New Roman" w:cs="Times New Roman"/>
          <w:iCs/>
          <w:sz w:val="28"/>
          <w:szCs w:val="28"/>
          <w:lang w:eastAsia="es-CO"/>
        </w:rPr>
        <w:t>jurisprudencia de la Corte Constitucional</w:t>
      </w:r>
      <w:r w:rsidRPr="00D85C08">
        <w:rPr>
          <w:rFonts w:ascii="Times New Roman" w:hAnsi="Times New Roman" w:cs="Times New Roman"/>
          <w:iCs/>
          <w:sz w:val="28"/>
          <w:szCs w:val="28"/>
          <w:lang w:eastAsia="es-CO"/>
        </w:rPr>
        <w:t xml:space="preserve"> y en especial, las alternativas con las que cuenta el Ministerio de Hacienda y Crédito</w:t>
      </w:r>
      <w:r w:rsidRPr="00D85C08">
        <w:rPr>
          <w:rFonts w:ascii="Times New Roman" w:hAnsi="Times New Roman" w:cs="Times New Roman"/>
          <w:iCs/>
          <w:sz w:val="28"/>
          <w:szCs w:val="28"/>
          <w:lang w:eastAsia="es-CO"/>
        </w:rPr>
        <w:t xml:space="preserve"> Público destacadas en la presente providencia</w:t>
      </w:r>
      <w:r w:rsidRPr="00D85C08">
        <w:rPr>
          <w:rFonts w:ascii="Times New Roman" w:hAnsi="Times New Roman" w:cs="Times New Roman"/>
          <w:iCs/>
          <w:sz w:val="28"/>
          <w:szCs w:val="28"/>
          <w:lang w:eastAsia="es-CO"/>
        </w:rPr>
        <w:t>.</w:t>
      </w:r>
    </w:p>
    <w:p w:rsidR="001A27FC" w:rsidRPr="00D85C08" w:rsidRDefault="00D85C08" w:rsidP="0058160D">
      <w:pPr>
        <w:tabs>
          <w:tab w:val="left" w:pos="360"/>
        </w:tabs>
        <w:spacing w:after="0" w:line="240" w:lineRule="auto"/>
        <w:contextualSpacing/>
        <w:jc w:val="both"/>
        <w:rPr>
          <w:rFonts w:ascii="Times New Roman" w:eastAsia="Times New Roman" w:hAnsi="Times New Roman" w:cs="Times New Roman"/>
          <w:bCs/>
          <w:sz w:val="28"/>
          <w:szCs w:val="28"/>
          <w:lang w:eastAsia="es-MX"/>
        </w:rPr>
      </w:pPr>
    </w:p>
    <w:p w:rsidR="006478DD" w:rsidRPr="00D85C08" w:rsidRDefault="00D85C08" w:rsidP="001B44A6">
      <w:pPr>
        <w:pStyle w:val="Sinespaciado"/>
        <w:rPr>
          <w:rFonts w:ascii="Times New Roman" w:hAnsi="Times New Roman" w:cs="Times New Roman"/>
        </w:rPr>
      </w:pPr>
      <w:r w:rsidRPr="00D85C08">
        <w:rPr>
          <w:rFonts w:ascii="Times New Roman" w:hAnsi="Times New Roman" w:cs="Times New Roman"/>
        </w:rPr>
        <w:t>IV. DECISIÓN</w:t>
      </w:r>
    </w:p>
    <w:p w:rsidR="006478DD" w:rsidRPr="00D85C08" w:rsidRDefault="00D85C08" w:rsidP="006478DD">
      <w:pPr>
        <w:shd w:val="clear" w:color="auto" w:fill="FFFFFF"/>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6478DD">
      <w:pPr>
        <w:shd w:val="clear" w:color="auto" w:fill="FFFFFF"/>
        <w:spacing w:after="0" w:line="240" w:lineRule="auto"/>
        <w:contextualSpacing/>
        <w:jc w:val="both"/>
        <w:rPr>
          <w:rFonts w:ascii="Times New Roman" w:eastAsia="Times New Roman" w:hAnsi="Times New Roman" w:cs="Times New Roman"/>
          <w:sz w:val="28"/>
          <w:szCs w:val="28"/>
          <w:lang w:eastAsia="es-MX"/>
        </w:rPr>
      </w:pPr>
      <w:r w:rsidRPr="00D85C08">
        <w:rPr>
          <w:rFonts w:ascii="Times New Roman" w:eastAsia="Times New Roman" w:hAnsi="Times New Roman" w:cs="Times New Roman"/>
          <w:sz w:val="28"/>
          <w:szCs w:val="28"/>
          <w:lang w:eastAsia="es-MX"/>
        </w:rPr>
        <w:t>En mérito de lo expuesto, la Corte Constitucional de la República de Colombia, administrando justicia en nombre del pueblo y por mandato de la Constitución,</w:t>
      </w:r>
    </w:p>
    <w:p w:rsidR="006478DD" w:rsidRPr="00D85C08" w:rsidRDefault="00D85C08" w:rsidP="006478DD">
      <w:pPr>
        <w:shd w:val="clear" w:color="auto" w:fill="FFFFFF"/>
        <w:spacing w:after="0" w:line="240" w:lineRule="auto"/>
        <w:contextualSpacing/>
        <w:jc w:val="both"/>
        <w:rPr>
          <w:rFonts w:ascii="Times New Roman" w:eastAsia="Times New Roman" w:hAnsi="Times New Roman" w:cs="Times New Roman"/>
          <w:sz w:val="28"/>
          <w:szCs w:val="28"/>
          <w:lang w:eastAsia="es-MX"/>
        </w:rPr>
      </w:pPr>
    </w:p>
    <w:p w:rsidR="006478DD" w:rsidRPr="00D85C08" w:rsidRDefault="00D85C08" w:rsidP="006478DD">
      <w:pPr>
        <w:shd w:val="clear" w:color="auto" w:fill="FFFFFF"/>
        <w:spacing w:after="0" w:line="240" w:lineRule="auto"/>
        <w:jc w:val="center"/>
        <w:rPr>
          <w:rFonts w:ascii="Times New Roman" w:eastAsia="Times New Roman" w:hAnsi="Times New Roman" w:cs="Times New Roman"/>
          <w:sz w:val="28"/>
          <w:szCs w:val="28"/>
          <w:lang w:eastAsia="es-MX"/>
        </w:rPr>
      </w:pPr>
      <w:r w:rsidRPr="00D85C08">
        <w:rPr>
          <w:rFonts w:ascii="Times New Roman" w:eastAsia="Times New Roman" w:hAnsi="Times New Roman" w:cs="Times New Roman"/>
          <w:b/>
          <w:bCs/>
          <w:sz w:val="28"/>
          <w:szCs w:val="28"/>
          <w:lang w:eastAsia="es-MX"/>
        </w:rPr>
        <w:t>RESUELVE</w:t>
      </w:r>
    </w:p>
    <w:p w:rsidR="006478DD" w:rsidRPr="00D85C08" w:rsidRDefault="00D85C08" w:rsidP="006478DD">
      <w:pPr>
        <w:shd w:val="clear" w:color="auto" w:fill="FFFFFF"/>
        <w:spacing w:after="0" w:line="240" w:lineRule="auto"/>
        <w:jc w:val="both"/>
        <w:rPr>
          <w:rFonts w:ascii="Times New Roman" w:eastAsia="Times New Roman" w:hAnsi="Times New Roman" w:cs="Times New Roman"/>
          <w:sz w:val="28"/>
          <w:szCs w:val="28"/>
          <w:lang w:eastAsia="es-MX"/>
        </w:rPr>
      </w:pPr>
    </w:p>
    <w:p w:rsidR="001D220D" w:rsidRPr="00D85C08" w:rsidRDefault="00D85C08" w:rsidP="001D220D">
      <w:pPr>
        <w:shd w:val="clear" w:color="auto" w:fill="FFFFFF"/>
        <w:spacing w:after="0" w:line="240" w:lineRule="auto"/>
        <w:jc w:val="both"/>
        <w:rPr>
          <w:rFonts w:ascii="Times New Roman" w:hAnsi="Times New Roman" w:cs="Times New Roman"/>
          <w:sz w:val="28"/>
          <w:szCs w:val="28"/>
          <w:lang w:val="es-ES_tradnl"/>
        </w:rPr>
      </w:pPr>
      <w:bookmarkStart w:id="15" w:name="_Hlk133494870"/>
      <w:r w:rsidRPr="00D85C08">
        <w:rPr>
          <w:rFonts w:ascii="Times New Roman" w:eastAsia="Times New Roman" w:hAnsi="Times New Roman" w:cs="Times New Roman"/>
          <w:b/>
          <w:sz w:val="28"/>
          <w:szCs w:val="28"/>
          <w:lang w:eastAsia="es-MX"/>
        </w:rPr>
        <w:t>Primero.</w:t>
      </w:r>
      <w:r w:rsidRPr="00D85C08">
        <w:rPr>
          <w:rFonts w:ascii="Times New Roman" w:eastAsia="Times New Roman" w:hAnsi="Times New Roman" w:cs="Times New Roman"/>
          <w:sz w:val="28"/>
          <w:szCs w:val="28"/>
          <w:lang w:eastAsia="es-MX"/>
        </w:rPr>
        <w:t xml:space="preserve"> </w:t>
      </w:r>
      <w:r w:rsidRPr="00D85C08">
        <w:rPr>
          <w:rFonts w:ascii="Times New Roman" w:eastAsia="Times New Roman" w:hAnsi="Times New Roman" w:cs="Times New Roman"/>
          <w:bCs/>
          <w:sz w:val="28"/>
          <w:szCs w:val="28"/>
          <w:lang w:eastAsia="es-ES"/>
        </w:rPr>
        <w:t xml:space="preserve">Declarar </w:t>
      </w:r>
      <w:r w:rsidRPr="00D85C08">
        <w:rPr>
          <w:rFonts w:ascii="Times New Roman" w:eastAsia="Times New Roman" w:hAnsi="Times New Roman" w:cs="Times New Roman"/>
          <w:b/>
          <w:sz w:val="28"/>
          <w:szCs w:val="28"/>
          <w:lang w:eastAsia="es-ES"/>
        </w:rPr>
        <w:t xml:space="preserve">INEXEQUIBLE </w:t>
      </w:r>
      <w:r w:rsidRPr="00D85C08">
        <w:rPr>
          <w:rFonts w:ascii="Times New Roman" w:eastAsia="Times New Roman" w:hAnsi="Times New Roman" w:cs="Times New Roman"/>
          <w:sz w:val="28"/>
          <w:szCs w:val="28"/>
          <w:lang w:eastAsia="es-MX"/>
        </w:rPr>
        <w:t xml:space="preserve">la Ley </w:t>
      </w:r>
      <w:r w:rsidRPr="00D85C08">
        <w:rPr>
          <w:rFonts w:ascii="Times New Roman" w:eastAsia="Times New Roman" w:hAnsi="Times New Roman" w:cs="Times New Roman"/>
          <w:sz w:val="28"/>
          <w:szCs w:val="28"/>
          <w:lang w:val="es-ES_tradnl" w:eastAsia="es-MX"/>
        </w:rPr>
        <w:t xml:space="preserve">2293 del 26 de abril de 2023, por medio de la cual </w:t>
      </w:r>
      <w:r w:rsidRPr="00D85C08">
        <w:rPr>
          <w:rFonts w:ascii="Times New Roman" w:eastAsia="Times New Roman" w:hAnsi="Times New Roman" w:cs="Times New Roman"/>
          <w:sz w:val="28"/>
          <w:szCs w:val="28"/>
          <w:lang w:val="es-ES_tradnl" w:eastAsia="es-MX"/>
        </w:rPr>
        <w:t xml:space="preserve">aprueba </w:t>
      </w:r>
      <w:r w:rsidRPr="00D85C08">
        <w:rPr>
          <w:rFonts w:ascii="Times New Roman" w:eastAsia="Times New Roman" w:hAnsi="Times New Roman" w:cs="Times New Roman"/>
          <w:bCs/>
          <w:sz w:val="28"/>
          <w:szCs w:val="28"/>
          <w:lang w:eastAsia="es-ES"/>
        </w:rPr>
        <w:t xml:space="preserve">el </w:t>
      </w:r>
      <w:r w:rsidRPr="00D85C08">
        <w:rPr>
          <w:rFonts w:ascii="Times New Roman" w:eastAsia="Times New Roman" w:hAnsi="Times New Roman" w:cs="Times New Roman"/>
          <w:sz w:val="28"/>
          <w:szCs w:val="28"/>
          <w:lang w:eastAsia="es-MX"/>
        </w:rPr>
        <w:t>«</w:t>
      </w:r>
      <w:r w:rsidRPr="00D85C08">
        <w:rPr>
          <w:rFonts w:ascii="Times New Roman" w:hAnsi="Times New Roman" w:cs="Times New Roman"/>
          <w:sz w:val="28"/>
          <w:szCs w:val="28"/>
          <w:lang w:val="es-ES_tradnl"/>
        </w:rPr>
        <w:t>Protocolo Adicional</w:t>
      </w:r>
      <w:r w:rsidRPr="00D85C08">
        <w:rPr>
          <w:rFonts w:ascii="Times New Roman" w:hAnsi="Times New Roman" w:cs="Times New Roman"/>
          <w:sz w:val="28"/>
        </w:rPr>
        <w:t xml:space="preserve"> </w:t>
      </w:r>
      <w:r w:rsidRPr="00D85C08">
        <w:rPr>
          <w:rFonts w:ascii="Times New Roman" w:hAnsi="Times New Roman" w:cs="Times New Roman"/>
          <w:sz w:val="28"/>
          <w:szCs w:val="28"/>
        </w:rPr>
        <w:t>del Acuerdo Comercial entre la Unión Europea y sus Estados Miembros, por una parte, y Colombia y el Perú,</w:t>
      </w:r>
      <w:r w:rsidRPr="00D85C08">
        <w:rPr>
          <w:rFonts w:ascii="Times New Roman" w:hAnsi="Times New Roman" w:cs="Times New Roman"/>
          <w:sz w:val="28"/>
        </w:rPr>
        <w:t xml:space="preserve"> </w:t>
      </w:r>
      <w:r w:rsidRPr="00D85C08">
        <w:rPr>
          <w:rFonts w:ascii="Times New Roman" w:hAnsi="Times New Roman" w:cs="Times New Roman"/>
          <w:sz w:val="28"/>
          <w:szCs w:val="28"/>
        </w:rPr>
        <w:t>por otra, para tener en cuenta la adhesión de la</w:t>
      </w:r>
      <w:r w:rsidRPr="00D85C08">
        <w:rPr>
          <w:rFonts w:ascii="Times New Roman" w:hAnsi="Times New Roman" w:cs="Times New Roman"/>
          <w:sz w:val="28"/>
          <w:szCs w:val="28"/>
        </w:rPr>
        <w:t xml:space="preserve"> República de Croacia a la Unión Europea</w:t>
      </w:r>
      <w:r w:rsidRPr="00D85C08">
        <w:rPr>
          <w:rFonts w:ascii="Times New Roman" w:hAnsi="Times New Roman" w:cs="Times New Roman"/>
          <w:sz w:val="28"/>
          <w:szCs w:val="28"/>
          <w:lang w:val="es-ES_tradnl"/>
        </w:rPr>
        <w:t xml:space="preserve">», por las razones expuestas en la presente providencia. </w:t>
      </w:r>
    </w:p>
    <w:p w:rsidR="001D220D" w:rsidRPr="00D85C08" w:rsidRDefault="00D85C08" w:rsidP="001D220D">
      <w:pPr>
        <w:shd w:val="clear" w:color="auto" w:fill="FFFFFF"/>
        <w:spacing w:after="0" w:line="240" w:lineRule="auto"/>
        <w:jc w:val="both"/>
        <w:rPr>
          <w:rFonts w:ascii="Times New Roman" w:hAnsi="Times New Roman" w:cs="Times New Roman"/>
          <w:sz w:val="28"/>
          <w:szCs w:val="28"/>
          <w:lang w:val="es-ES_tradnl"/>
        </w:rPr>
      </w:pPr>
    </w:p>
    <w:bookmarkEnd w:id="15"/>
    <w:p w:rsidR="006478DD" w:rsidRPr="00D85C08" w:rsidRDefault="00D85C08" w:rsidP="006478DD">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es-MX"/>
        </w:rPr>
      </w:pPr>
      <w:r w:rsidRPr="00D85C08">
        <w:rPr>
          <w:rFonts w:ascii="Times New Roman" w:eastAsia="Times New Roman" w:hAnsi="Times New Roman" w:cs="Times New Roman"/>
          <w:sz w:val="28"/>
          <w:szCs w:val="28"/>
          <w:bdr w:val="none" w:sz="0" w:space="0" w:color="auto" w:frame="1"/>
          <w:lang w:eastAsia="es-MX"/>
        </w:rPr>
        <w:t xml:space="preserve">Notifíquese, comuníquese y cúmplase. </w:t>
      </w:r>
    </w:p>
    <w:bookmarkEnd w:id="3"/>
    <w:p w:rsidR="006478DD" w:rsidRPr="00D85C08" w:rsidRDefault="00D85C08" w:rsidP="006478DD">
      <w:pPr>
        <w:spacing w:after="0" w:line="240" w:lineRule="auto"/>
        <w:jc w:val="center"/>
        <w:rPr>
          <w:rFonts w:ascii="Times New Roman" w:eastAsia="Times New Roman" w:hAnsi="Times New Roman" w:cs="Times New Roman"/>
          <w:sz w:val="28"/>
          <w:szCs w:val="28"/>
          <w:lang w:val="es-ES_tradnl" w:eastAsia="es-MX"/>
        </w:rPr>
      </w:pPr>
    </w:p>
    <w:p w:rsidR="00F50972" w:rsidRPr="00D85C08" w:rsidRDefault="00D85C08" w:rsidP="00F50972">
      <w:pPr>
        <w:spacing w:after="0" w:line="240" w:lineRule="auto"/>
        <w:jc w:val="center"/>
        <w:rPr>
          <w:rFonts w:ascii="Times New Roman" w:eastAsia="Times New Roman" w:hAnsi="Times New Roman" w:cs="Times New Roman"/>
          <w:color w:val="000000"/>
          <w:sz w:val="28"/>
          <w:szCs w:val="28"/>
        </w:rPr>
      </w:pPr>
    </w:p>
    <w:p w:rsidR="00EE5A50" w:rsidRPr="00D85C08" w:rsidRDefault="00D85C08" w:rsidP="00264BF9">
      <w:pPr>
        <w:spacing w:after="0" w:line="240" w:lineRule="auto"/>
        <w:rPr>
          <w:rFonts w:ascii="Times New Roman" w:hAnsi="Times New Roman" w:cs="Times New Roman"/>
          <w:sz w:val="28"/>
        </w:rPr>
      </w:pPr>
    </w:p>
    <w:p w:rsidR="00F679DB" w:rsidRPr="00D85C08" w:rsidRDefault="00D85C08" w:rsidP="00264BF9">
      <w:pPr>
        <w:spacing w:after="0" w:line="240" w:lineRule="auto"/>
        <w:rPr>
          <w:rFonts w:ascii="Times New Roman" w:hAnsi="Times New Roman" w:cs="Times New Roman"/>
          <w:sz w:val="28"/>
        </w:rPr>
      </w:pPr>
    </w:p>
    <w:p w:rsidR="00F679DB" w:rsidRPr="00D85C08" w:rsidRDefault="00D85C08" w:rsidP="00264BF9">
      <w:pPr>
        <w:spacing w:after="0" w:line="240" w:lineRule="auto"/>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JOSE FERNANDO REYES CUARTAS</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Presidente</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NATALIA ÁNGEL CABO</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Magistrada</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JUAN CARLOS CORTÉS GONZÁLEZ</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Magistrado</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DIANA FAJARDO RIVERA</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Magistrada</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VLADIMIR FERNÁNDEZ ANDRADE</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Magistrado</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Con impedimento aceptado</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 xml:space="preserve">JORGE ENRIQUE IBÁÑEZ NAJAR </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Magistrado</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ANTONIO JOSÉ LIZARAZO OCAMPO</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Magistrado</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PAOLA ANDREA MENESES MOSQUERA</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Magistrada</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 xml:space="preserve">CRISTINA PARDO </w:t>
      </w:r>
      <w:r w:rsidRPr="00D85C08">
        <w:rPr>
          <w:rFonts w:ascii="Times New Roman" w:hAnsi="Times New Roman" w:cs="Times New Roman"/>
          <w:sz w:val="28"/>
        </w:rPr>
        <w:t>SCHLESINGER</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Magistrada</w:t>
      </w: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ANDREA LILIANA ROMERO LOPEZ</w:t>
      </w:r>
    </w:p>
    <w:p w:rsidR="00F679DB" w:rsidRPr="00D85C08" w:rsidRDefault="00D85C08" w:rsidP="00F679DB">
      <w:pPr>
        <w:spacing w:after="0" w:line="240" w:lineRule="auto"/>
        <w:jc w:val="center"/>
        <w:rPr>
          <w:rFonts w:ascii="Times New Roman" w:hAnsi="Times New Roman" w:cs="Times New Roman"/>
          <w:sz w:val="28"/>
        </w:rPr>
      </w:pPr>
      <w:r w:rsidRPr="00D85C08">
        <w:rPr>
          <w:rFonts w:ascii="Times New Roman" w:hAnsi="Times New Roman" w:cs="Times New Roman"/>
          <w:sz w:val="28"/>
        </w:rPr>
        <w:t>Secretaria General</w:t>
      </w:r>
    </w:p>
    <w:sectPr w:rsidR="00F679DB" w:rsidRPr="00D85C0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85C08">
      <w:pPr>
        <w:spacing w:after="0" w:line="240" w:lineRule="auto"/>
      </w:pPr>
      <w:r>
        <w:separator/>
      </w:r>
    </w:p>
  </w:endnote>
  <w:endnote w:type="continuationSeparator" w:id="0">
    <w:p w:rsidR="00000000" w:rsidRDefault="00D8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85C08">
      <w:pPr>
        <w:spacing w:after="0" w:line="240" w:lineRule="auto"/>
      </w:pPr>
      <w:r>
        <w:separator/>
      </w:r>
    </w:p>
  </w:footnote>
  <w:footnote w:type="continuationSeparator" w:id="0">
    <w:p w:rsidR="00000000" w:rsidRDefault="00D85C08">
      <w:pPr>
        <w:spacing w:after="0" w:line="240" w:lineRule="auto"/>
      </w:pPr>
      <w:r>
        <w:continuationSeparator/>
      </w:r>
    </w:p>
  </w:footnote>
  <w:footnote w:id="1">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El despacho de la magistrada ponente invitó a intervenir en el proceso a la Asociación Colombiana de Medianas y Pequeñas Industrias (Acopi), a la Asociación Nacional de Comercio Exterior (Analdex), a la Asociación Nacional de Empresarios de Colombia (ANDI</w:t>
      </w:r>
      <w:r w:rsidRPr="001A49EB">
        <w:rPr>
          <w:sz w:val="20"/>
          <w:szCs w:val="20"/>
        </w:rPr>
        <w:t>), a la Federación Colombiana de Agentes Logísticos en Comercio Internacional (FITAC), a la Federación Nacional de Comercio (Fenalco) y a las facultades de derecho de las universidades Rosario, EAFIT, Externado de Colombia, Tecnológica del Chocó, de la Ama</w:t>
      </w:r>
      <w:r w:rsidRPr="001A49EB">
        <w:rPr>
          <w:sz w:val="20"/>
          <w:szCs w:val="20"/>
        </w:rPr>
        <w:t>zonía y de Nariño.</w:t>
      </w:r>
    </w:p>
  </w:footnote>
  <w:footnote w:id="2">
    <w:p w:rsidR="00035165" w:rsidRPr="001A49EB" w:rsidRDefault="00D85C08" w:rsidP="002E78BC">
      <w:pPr>
        <w:tabs>
          <w:tab w:val="left" w:pos="142"/>
        </w:tabs>
        <w:spacing w:after="0" w:line="240" w:lineRule="auto"/>
        <w:contextualSpacing/>
        <w:jc w:val="both"/>
        <w:rPr>
          <w:rFonts w:eastAsia="Times New Roman"/>
          <w:sz w:val="20"/>
          <w:szCs w:val="20"/>
          <w:lang w:eastAsia="es-MX"/>
        </w:rPr>
      </w:pPr>
      <w:r w:rsidRPr="001A49EB">
        <w:rPr>
          <w:rStyle w:val="Refdenotaalpie"/>
          <w:sz w:val="20"/>
          <w:szCs w:val="20"/>
        </w:rPr>
        <w:footnoteRef/>
      </w:r>
      <w:r w:rsidRPr="001A49EB">
        <w:rPr>
          <w:sz w:val="20"/>
          <w:szCs w:val="20"/>
        </w:rPr>
        <w:t xml:space="preserve"> Al respecto, en la Sentencia C-126 de 2023, la Corte indicó:</w:t>
      </w:r>
      <w:bookmarkStart w:id="6" w:name="_Hlk111728247"/>
      <w:r w:rsidRPr="001A49EB">
        <w:rPr>
          <w:rFonts w:eastAsia="Times New Roman"/>
          <w:sz w:val="20"/>
          <w:szCs w:val="20"/>
          <w:lang w:eastAsia="es-MX"/>
        </w:rPr>
        <w:t xml:space="preserve"> «De conformidad con la jurisprudencia, en esta sede el control de los tratados internacionales y de las leyes que los aprueben tiene las siguientes características: </w:t>
      </w:r>
      <w:r w:rsidRPr="001A49EB">
        <w:rPr>
          <w:rFonts w:eastAsia="Times New Roman"/>
          <w:i/>
          <w:iCs/>
          <w:sz w:val="20"/>
          <w:szCs w:val="20"/>
          <w:lang w:eastAsia="es-MX"/>
        </w:rPr>
        <w:t>i)</w:t>
      </w:r>
      <w:r w:rsidRPr="001A49EB">
        <w:rPr>
          <w:rFonts w:eastAsia="Times New Roman"/>
          <w:sz w:val="20"/>
          <w:szCs w:val="20"/>
          <w:lang w:eastAsia="es-MX"/>
        </w:rPr>
        <w:t xml:space="preserve"> es </w:t>
      </w:r>
      <w:r w:rsidRPr="001A49EB">
        <w:rPr>
          <w:rFonts w:eastAsia="Times New Roman"/>
          <w:i/>
          <w:iCs/>
          <w:sz w:val="20"/>
          <w:szCs w:val="20"/>
          <w:lang w:eastAsia="es-MX"/>
        </w:rPr>
        <w:t>pre</w:t>
      </w:r>
      <w:r w:rsidRPr="001A49EB">
        <w:rPr>
          <w:rFonts w:eastAsia="Times New Roman"/>
          <w:i/>
          <w:iCs/>
          <w:sz w:val="20"/>
          <w:szCs w:val="20"/>
          <w:lang w:eastAsia="es-MX"/>
        </w:rPr>
        <w:t>vio</w:t>
      </w:r>
      <w:r w:rsidRPr="001A49EB">
        <w:rPr>
          <w:rFonts w:eastAsia="Times New Roman"/>
          <w:sz w:val="20"/>
          <w:szCs w:val="20"/>
          <w:lang w:eastAsia="es-MX"/>
        </w:rPr>
        <w:t xml:space="preserve"> al perfeccionamiento del instrumento, pero </w:t>
      </w:r>
      <w:r w:rsidRPr="001A49EB">
        <w:rPr>
          <w:rFonts w:eastAsia="Times New Roman"/>
          <w:i/>
          <w:iCs/>
          <w:sz w:val="20"/>
          <w:szCs w:val="20"/>
          <w:lang w:eastAsia="es-MX"/>
        </w:rPr>
        <w:t>posterior</w:t>
      </w:r>
      <w:r w:rsidRPr="001A49EB">
        <w:rPr>
          <w:rFonts w:eastAsia="Times New Roman"/>
          <w:sz w:val="20"/>
          <w:szCs w:val="20"/>
          <w:lang w:eastAsia="es-MX"/>
        </w:rPr>
        <w:t xml:space="preserve"> a su aprobación por parte del Congreso y a la sanción presidencial; </w:t>
      </w:r>
      <w:r w:rsidRPr="001A49EB">
        <w:rPr>
          <w:rFonts w:eastAsia="Times New Roman"/>
          <w:i/>
          <w:iCs/>
          <w:sz w:val="20"/>
          <w:szCs w:val="20"/>
          <w:lang w:eastAsia="es-MX"/>
        </w:rPr>
        <w:t>ii)</w:t>
      </w:r>
      <w:r w:rsidRPr="001A49EB">
        <w:rPr>
          <w:rFonts w:eastAsia="Times New Roman"/>
          <w:sz w:val="20"/>
          <w:szCs w:val="20"/>
          <w:lang w:eastAsia="es-MX"/>
        </w:rPr>
        <w:t xml:space="preserve"> es </w:t>
      </w:r>
      <w:r w:rsidRPr="001A49EB">
        <w:rPr>
          <w:rFonts w:eastAsia="Times New Roman"/>
          <w:i/>
          <w:iCs/>
          <w:sz w:val="20"/>
          <w:szCs w:val="20"/>
          <w:lang w:eastAsia="es-MX"/>
        </w:rPr>
        <w:t>automático</w:t>
      </w:r>
      <w:r w:rsidRPr="001A49EB">
        <w:rPr>
          <w:rFonts w:eastAsia="Times New Roman"/>
          <w:sz w:val="20"/>
          <w:szCs w:val="20"/>
          <w:lang w:eastAsia="es-MX"/>
        </w:rPr>
        <w:t>, pues en concordancia con lo estatuido en el artículo 241.10 superior, tanto el tratado como su ley aprobatoria d</w:t>
      </w:r>
      <w:r w:rsidRPr="001A49EB">
        <w:rPr>
          <w:rFonts w:eastAsia="Times New Roman"/>
          <w:sz w:val="20"/>
          <w:szCs w:val="20"/>
          <w:lang w:eastAsia="es-MX"/>
        </w:rPr>
        <w:t xml:space="preserve">eben ser remitidos por el Gobierno nacional a la Corte; </w:t>
      </w:r>
      <w:r w:rsidRPr="001A49EB">
        <w:rPr>
          <w:rFonts w:eastAsia="Times New Roman"/>
          <w:i/>
          <w:iCs/>
          <w:sz w:val="20"/>
          <w:szCs w:val="20"/>
          <w:lang w:eastAsia="es-MX"/>
        </w:rPr>
        <w:t>iii)</w:t>
      </w:r>
      <w:r w:rsidRPr="001A49EB">
        <w:rPr>
          <w:rFonts w:eastAsia="Times New Roman"/>
          <w:sz w:val="20"/>
          <w:szCs w:val="20"/>
          <w:lang w:eastAsia="es-MX"/>
        </w:rPr>
        <w:t xml:space="preserve"> es </w:t>
      </w:r>
      <w:r w:rsidRPr="001A49EB">
        <w:rPr>
          <w:rFonts w:eastAsia="Times New Roman"/>
          <w:i/>
          <w:iCs/>
          <w:sz w:val="20"/>
          <w:szCs w:val="20"/>
          <w:lang w:eastAsia="es-MX"/>
        </w:rPr>
        <w:t>integral</w:t>
      </w:r>
      <w:r w:rsidRPr="001A49EB">
        <w:rPr>
          <w:rFonts w:eastAsia="Times New Roman"/>
          <w:sz w:val="20"/>
          <w:szCs w:val="20"/>
          <w:lang w:eastAsia="es-MX"/>
        </w:rPr>
        <w:t xml:space="preserve">, toda vez que la Sala Plena tiene competencia para analizar los aspectos formales y materiales del instrumento y de la ley aprobatoria; </w:t>
      </w:r>
      <w:r w:rsidRPr="001A49EB">
        <w:rPr>
          <w:rFonts w:eastAsia="Times New Roman"/>
          <w:i/>
          <w:iCs/>
          <w:sz w:val="20"/>
          <w:szCs w:val="20"/>
          <w:lang w:eastAsia="es-MX"/>
        </w:rPr>
        <w:t>iv)</w:t>
      </w:r>
      <w:r w:rsidRPr="001A49EB">
        <w:rPr>
          <w:rFonts w:eastAsia="Times New Roman"/>
          <w:sz w:val="20"/>
          <w:szCs w:val="20"/>
          <w:lang w:eastAsia="es-MX"/>
        </w:rPr>
        <w:t xml:space="preserve"> tiene </w:t>
      </w:r>
      <w:r w:rsidRPr="001A49EB">
        <w:rPr>
          <w:rFonts w:eastAsia="Times New Roman"/>
          <w:i/>
          <w:iCs/>
          <w:sz w:val="20"/>
          <w:szCs w:val="20"/>
          <w:lang w:eastAsia="es-MX"/>
        </w:rPr>
        <w:t>efectos de cosa juzgada absoluta</w:t>
      </w:r>
      <w:r w:rsidRPr="001A49EB">
        <w:rPr>
          <w:rFonts w:eastAsia="Times New Roman"/>
          <w:sz w:val="20"/>
          <w:szCs w:val="20"/>
          <w:lang w:eastAsia="es-MX"/>
        </w:rPr>
        <w:t xml:space="preserve">, en </w:t>
      </w:r>
      <w:r w:rsidRPr="001A49EB">
        <w:rPr>
          <w:rFonts w:eastAsia="Times New Roman"/>
          <w:sz w:val="20"/>
          <w:szCs w:val="20"/>
          <w:lang w:eastAsia="es-MX"/>
        </w:rPr>
        <w:t xml:space="preserve">la medida en que esta corporación confronta estos textos normativos con todo el articulado de la Constitución y de la Ley Orgánica 5 de 1992; </w:t>
      </w:r>
      <w:r w:rsidRPr="001A49EB">
        <w:rPr>
          <w:rFonts w:eastAsia="Times New Roman"/>
          <w:i/>
          <w:iCs/>
          <w:sz w:val="20"/>
          <w:szCs w:val="20"/>
          <w:lang w:eastAsia="es-MX"/>
        </w:rPr>
        <w:t>v)</w:t>
      </w:r>
      <w:r w:rsidRPr="001A49EB">
        <w:rPr>
          <w:rFonts w:eastAsia="Times New Roman"/>
          <w:sz w:val="20"/>
          <w:szCs w:val="20"/>
          <w:lang w:eastAsia="es-MX"/>
        </w:rPr>
        <w:t xml:space="preserve"> es una </w:t>
      </w:r>
      <w:r w:rsidRPr="001A49EB">
        <w:rPr>
          <w:rFonts w:eastAsia="Times New Roman"/>
          <w:i/>
          <w:iCs/>
          <w:sz w:val="20"/>
          <w:szCs w:val="20"/>
          <w:lang w:eastAsia="es-MX"/>
        </w:rPr>
        <w:t>condición indispensable</w:t>
      </w:r>
      <w:r w:rsidRPr="001A49EB">
        <w:rPr>
          <w:rFonts w:eastAsia="Times New Roman"/>
          <w:sz w:val="20"/>
          <w:szCs w:val="20"/>
          <w:lang w:eastAsia="es-MX"/>
        </w:rPr>
        <w:t xml:space="preserve"> para la ratificación del tratado; </w:t>
      </w:r>
      <w:r w:rsidRPr="001A49EB">
        <w:rPr>
          <w:rFonts w:eastAsia="Times New Roman"/>
          <w:i/>
          <w:iCs/>
          <w:sz w:val="20"/>
          <w:szCs w:val="20"/>
          <w:lang w:eastAsia="es-MX"/>
        </w:rPr>
        <w:t>vi)</w:t>
      </w:r>
      <w:r w:rsidRPr="001A49EB">
        <w:rPr>
          <w:rFonts w:eastAsia="Times New Roman"/>
          <w:sz w:val="20"/>
          <w:szCs w:val="20"/>
          <w:lang w:eastAsia="es-MX"/>
        </w:rPr>
        <w:t xml:space="preserve"> tiene una </w:t>
      </w:r>
      <w:r w:rsidRPr="001A49EB">
        <w:rPr>
          <w:rFonts w:eastAsia="Times New Roman"/>
          <w:i/>
          <w:iCs/>
          <w:sz w:val="20"/>
          <w:szCs w:val="20"/>
          <w:lang w:eastAsia="es-MX"/>
        </w:rPr>
        <w:t>función preventiva</w:t>
      </w:r>
      <w:r w:rsidRPr="001A49EB">
        <w:rPr>
          <w:rFonts w:eastAsia="Times New Roman"/>
          <w:sz w:val="20"/>
          <w:szCs w:val="20"/>
          <w:lang w:eastAsia="es-MX"/>
        </w:rPr>
        <w:t>, ya que “</w:t>
      </w:r>
      <w:r w:rsidRPr="001A49EB">
        <w:rPr>
          <w:rFonts w:eastAsia="Times New Roman"/>
          <w:sz w:val="20"/>
          <w:szCs w:val="20"/>
          <w:lang w:eastAsia="es-ES"/>
        </w:rPr>
        <w:t>su f</w:t>
      </w:r>
      <w:r w:rsidRPr="001A49EB">
        <w:rPr>
          <w:rFonts w:eastAsia="Times New Roman"/>
          <w:sz w:val="20"/>
          <w:szCs w:val="20"/>
          <w:lang w:eastAsia="es-ES"/>
        </w:rPr>
        <w:t>inalidad es garantizar la supremacía de la Constitución Política y el cumplimiento de los compromisos internacionales adquiridos por el Estado colombiano”</w:t>
      </w:r>
      <w:r w:rsidRPr="001A49EB">
        <w:rPr>
          <w:rFonts w:eastAsia="Times New Roman"/>
          <w:sz w:val="20"/>
          <w:szCs w:val="20"/>
          <w:lang w:eastAsia="es-MX"/>
        </w:rPr>
        <w:t xml:space="preserve"> [Sentencia C-252 de 2019] y </w:t>
      </w:r>
      <w:r w:rsidRPr="001A49EB">
        <w:rPr>
          <w:rFonts w:eastAsia="Times New Roman"/>
          <w:i/>
          <w:iCs/>
          <w:sz w:val="20"/>
          <w:szCs w:val="20"/>
          <w:lang w:eastAsia="es-MX"/>
        </w:rPr>
        <w:t xml:space="preserve">vii) </w:t>
      </w:r>
      <w:r w:rsidRPr="001A49EB">
        <w:rPr>
          <w:rFonts w:eastAsia="Times New Roman"/>
          <w:sz w:val="20"/>
          <w:szCs w:val="20"/>
          <w:lang w:eastAsia="es-MX"/>
        </w:rPr>
        <w:t>no implica una valoración de aspectos relacionados con la convenienc</w:t>
      </w:r>
      <w:r w:rsidRPr="001A49EB">
        <w:rPr>
          <w:rFonts w:eastAsia="Times New Roman"/>
          <w:sz w:val="20"/>
          <w:szCs w:val="20"/>
          <w:lang w:eastAsia="es-MX"/>
        </w:rPr>
        <w:t xml:space="preserve">ia o efectividad del instrumento, comoquiera que la Constitución le confiere esta tarea únicamente a las ramas ejecutiva y legislativa». Sentencias </w:t>
      </w:r>
      <w:r w:rsidRPr="001A49EB">
        <w:rPr>
          <w:sz w:val="20"/>
          <w:szCs w:val="20"/>
        </w:rPr>
        <w:t>C-091 de 2021, C-492, C-491, C-275, C-252, C-224 y C-154 de 2019, C-048 de 2018, C-332 y C-260 de 2014, C-82</w:t>
      </w:r>
      <w:r w:rsidRPr="001A49EB">
        <w:rPr>
          <w:sz w:val="20"/>
          <w:szCs w:val="20"/>
        </w:rPr>
        <w:t>9 y C-622 de 2013, C-822 de 2012, C-027 de 2011, C-460 de 2010, C-751 y C-464 de 2008, C-276 de 2006, C-924 de 2000, C-400 de 1998, C-468 de 1997, y C-682 y C-378 de 1996.</w:t>
      </w:r>
      <w:bookmarkEnd w:id="6"/>
    </w:p>
  </w:footnote>
  <w:footnote w:id="3">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Esta fase implica la verificación de tres elementos: </w:t>
      </w:r>
      <w:r w:rsidRPr="001A49EB">
        <w:rPr>
          <w:i/>
          <w:iCs/>
          <w:sz w:val="20"/>
          <w:szCs w:val="20"/>
        </w:rPr>
        <w:t>i)</w:t>
      </w:r>
      <w:r w:rsidRPr="001A49EB">
        <w:rPr>
          <w:sz w:val="20"/>
          <w:szCs w:val="20"/>
        </w:rPr>
        <w:t xml:space="preserve"> la validez de la calidad d</w:t>
      </w:r>
      <w:r w:rsidRPr="001A49EB">
        <w:rPr>
          <w:sz w:val="20"/>
          <w:szCs w:val="20"/>
        </w:rPr>
        <w:t xml:space="preserve">e quienes actuaron en nombre de Colombia en la negociación, celebración y suscripción del tratado (Sentencias C-491 de 2019, C-048 de 2018, C-214 y C-047 de 2017, C-378 y C-039 de 2009, C-537 y C-534 de 2008, C-933 de 2006 y C-582 de 2002); </w:t>
      </w:r>
      <w:r w:rsidRPr="001A49EB">
        <w:rPr>
          <w:i/>
          <w:iCs/>
          <w:sz w:val="20"/>
          <w:szCs w:val="20"/>
        </w:rPr>
        <w:t>ii)</w:t>
      </w:r>
      <w:r w:rsidRPr="001A49EB">
        <w:rPr>
          <w:sz w:val="20"/>
          <w:szCs w:val="20"/>
        </w:rPr>
        <w:t xml:space="preserve"> la realizac</w:t>
      </w:r>
      <w:r w:rsidRPr="001A49EB">
        <w:rPr>
          <w:sz w:val="20"/>
          <w:szCs w:val="20"/>
        </w:rPr>
        <w:t>ión de un proceso de consulta previa sobre la aprobación del tratado, cuando ello sea necesario (Sentencias C-214 de 2017, C-184 y C-157 de 2016, C-217 de 2015, C-217 de 2017, C-1051 de 2012, C-915 de 2010, C-027 de 2011 y C-750 de 2008) y iii) la aprobaci</w:t>
      </w:r>
      <w:r w:rsidRPr="001A49EB">
        <w:rPr>
          <w:sz w:val="20"/>
          <w:szCs w:val="20"/>
        </w:rPr>
        <w:t>ón ejecutiva impartida por el presidente de la República, mediante la cual ordena someter el instrumento a la aprobación del Congreso de la República (Sentencias C-491 y C-252 de 2019).</w:t>
      </w:r>
    </w:p>
  </w:footnote>
  <w:footnote w:id="4">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Esta fase abarca el análisis del trámite legislativo en el Congreso </w:t>
      </w:r>
      <w:r w:rsidRPr="001A49EB">
        <w:rPr>
          <w:sz w:val="20"/>
          <w:szCs w:val="20"/>
        </w:rPr>
        <w:t>de la República. Dado que la Constitución no prevé un trámite especial para las leyes aprobatorias de los tratados internacionales, la jurisprudencia ha considerado que estas deben cumplir el trámite previsto para las leyes ordinarias (Sentencia C-048 de 2</w:t>
      </w:r>
      <w:r w:rsidRPr="001A49EB">
        <w:rPr>
          <w:sz w:val="20"/>
          <w:szCs w:val="20"/>
        </w:rPr>
        <w:t xml:space="preserve">018). La única particularidad consiste en que, por tratarse de asuntos relativos a las relaciones internacionales, en virtud de lo estatuido en el artículo 154 superior, el debate legislativo debe iniciar en el Senado de la República. </w:t>
      </w:r>
    </w:p>
  </w:footnote>
  <w:footnote w:id="5">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color w:val="000000"/>
          <w:sz w:val="20"/>
          <w:szCs w:val="20"/>
          <w:shd w:val="clear" w:color="auto" w:fill="FFFFFF"/>
        </w:rPr>
        <w:t xml:space="preserve">Oficio </w:t>
      </w:r>
      <w:r w:rsidRPr="001A49EB">
        <w:rPr>
          <w:color w:val="000000"/>
          <w:sz w:val="20"/>
          <w:szCs w:val="20"/>
          <w:shd w:val="clear" w:color="auto" w:fill="FFFFFF"/>
        </w:rPr>
        <w:t>S-GTAJI-23-010282 del 5 de junio de 2023, suscrito el director de Asuntos Jurídicos Internacionales de la Cancillería de Colombia y remitido a esta corporación el día 13 del mismo mes (f</w:t>
      </w:r>
      <w:r w:rsidRPr="001A49EB">
        <w:rPr>
          <w:sz w:val="20"/>
          <w:szCs w:val="20"/>
        </w:rPr>
        <w:t>olios 4 y 5).</w:t>
      </w:r>
    </w:p>
  </w:footnote>
  <w:footnote w:id="6">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Este convenio fue incorporado al ordenamiento jurídico</w:t>
      </w:r>
      <w:r w:rsidRPr="001A49EB">
        <w:rPr>
          <w:sz w:val="20"/>
          <w:szCs w:val="20"/>
        </w:rPr>
        <w:t xml:space="preserve"> interno mediante la Ley 21 de 1991.</w:t>
      </w:r>
    </w:p>
  </w:footnote>
  <w:footnote w:id="7">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Sentencias C-126 de 2023, C-091 de 2021, C-020 y C-013 de 2018, C-730, C-674, C-290, C-214 y C-067 de 2017, C-184 y C-157 de 2016, C-317 de 2012, C-882 de 2011, C-941, C-702 y C-608 de 2010, entre otras. Sobre el alca</w:t>
      </w:r>
      <w:r w:rsidRPr="001A49EB">
        <w:rPr>
          <w:sz w:val="20"/>
          <w:szCs w:val="20"/>
        </w:rPr>
        <w:t>nce del derecho a la consulta previa en la aprobación de tratados internaciones, se puede consultar la Sentencia C-615 de 2009.</w:t>
      </w:r>
    </w:p>
  </w:footnote>
  <w:footnote w:id="8">
    <w:p w:rsidR="00035165" w:rsidRPr="001A49EB" w:rsidRDefault="00D85C08" w:rsidP="002E78BC">
      <w:pPr>
        <w:pStyle w:val="Textonotapie"/>
        <w:jc w:val="both"/>
        <w:rPr>
          <w:sz w:val="20"/>
          <w:szCs w:val="20"/>
        </w:rPr>
      </w:pPr>
      <w:r w:rsidRPr="001A49EB">
        <w:rPr>
          <w:rStyle w:val="Refdenotaalpie"/>
          <w:rFonts w:eastAsiaTheme="majorEastAsia"/>
          <w:sz w:val="20"/>
          <w:szCs w:val="20"/>
        </w:rPr>
        <w:footnoteRef/>
      </w:r>
      <w:r w:rsidRPr="001A49EB">
        <w:rPr>
          <w:sz w:val="20"/>
          <w:szCs w:val="20"/>
        </w:rPr>
        <w:t xml:space="preserve"> Sentencia SU-123 de 2018.</w:t>
      </w:r>
    </w:p>
  </w:footnote>
  <w:footnote w:id="9">
    <w:p w:rsidR="00035165" w:rsidRPr="001A49EB" w:rsidRDefault="00D85C08" w:rsidP="002E78BC">
      <w:pPr>
        <w:pStyle w:val="Textonotapie"/>
        <w:jc w:val="both"/>
        <w:rPr>
          <w:sz w:val="20"/>
          <w:szCs w:val="20"/>
          <w:lang w:val="es-ES"/>
        </w:rPr>
      </w:pPr>
      <w:r w:rsidRPr="001A49EB">
        <w:rPr>
          <w:rStyle w:val="Refdenotaalpie"/>
          <w:sz w:val="20"/>
          <w:szCs w:val="20"/>
        </w:rPr>
        <w:footnoteRef/>
      </w:r>
      <w:r w:rsidRPr="001A49EB">
        <w:rPr>
          <w:sz w:val="20"/>
          <w:szCs w:val="20"/>
        </w:rPr>
        <w:t xml:space="preserve"> Artículo 189.2 de la Constitución: «Corresponde al presidente de la República como Jefe de Estado,</w:t>
      </w:r>
      <w:r w:rsidRPr="001A49EB">
        <w:rPr>
          <w:sz w:val="20"/>
          <w:szCs w:val="20"/>
        </w:rPr>
        <w:t xml:space="preserve"> Jefe del Gobierno y Suprema Autoridad Administrativa: || […] 2. Dirigir las relaciones internacionales. Nombrar a los agentes diplomáticos y consulares, recibir a los agentes respectivos y celebrar con otros Estados y entidades de derecho internacional tr</w:t>
      </w:r>
      <w:r w:rsidRPr="001A49EB">
        <w:rPr>
          <w:sz w:val="20"/>
          <w:szCs w:val="20"/>
        </w:rPr>
        <w:t>atados o convenios que se someterán a la aprobación del Congreso».</w:t>
      </w:r>
    </w:p>
  </w:footnote>
  <w:footnote w:id="10">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color w:val="000000"/>
          <w:sz w:val="20"/>
          <w:szCs w:val="20"/>
          <w:shd w:val="clear" w:color="auto" w:fill="FFFFFF"/>
        </w:rPr>
        <w:t xml:space="preserve">Oficio S-GTAJI-23-010282 del 5 de junio de 2023, suscrito el director de Asuntos Jurídicos Internacionales de la Cancillería de Colombia y remitido a esta corporación el día 13 del mismo </w:t>
      </w:r>
      <w:r w:rsidRPr="001A49EB">
        <w:rPr>
          <w:color w:val="000000"/>
          <w:sz w:val="20"/>
          <w:szCs w:val="20"/>
          <w:shd w:val="clear" w:color="auto" w:fill="FFFFFF"/>
        </w:rPr>
        <w:t>mes (f</w:t>
      </w:r>
      <w:r w:rsidRPr="001A49EB">
        <w:rPr>
          <w:sz w:val="20"/>
          <w:szCs w:val="20"/>
        </w:rPr>
        <w:t>olio 6).</w:t>
      </w:r>
    </w:p>
  </w:footnote>
  <w:footnote w:id="11">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sz w:val="20"/>
          <w:szCs w:val="20"/>
          <w:lang w:val="es-ES"/>
        </w:rPr>
        <w:t>Sentencia C-098 de 2020.</w:t>
      </w:r>
    </w:p>
  </w:footnote>
  <w:footnote w:id="12">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Artículos 157 y 144 de la Constitución.</w:t>
      </w:r>
    </w:p>
  </w:footnote>
  <w:footnote w:id="13">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 156 de la Ley 5 de 1992. </w:t>
      </w:r>
    </w:p>
  </w:footnote>
  <w:footnote w:id="14">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 154 de la Constitución.</w:t>
      </w:r>
    </w:p>
  </w:footnote>
  <w:footnote w:id="15">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Artículos 157 y 185 de la Ley 5 de 1992. </w:t>
      </w:r>
    </w:p>
  </w:footnote>
  <w:footnote w:id="16">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 160 de Constitución. </w:t>
      </w:r>
    </w:p>
  </w:footnote>
  <w:footnote w:id="17">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Artículos 145 y 146 d</w:t>
      </w:r>
      <w:r w:rsidRPr="001A49EB">
        <w:rPr>
          <w:sz w:val="20"/>
          <w:szCs w:val="20"/>
        </w:rPr>
        <w:t xml:space="preserve">e la Constitución. </w:t>
      </w:r>
    </w:p>
  </w:footnote>
  <w:footnote w:id="18">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 160 de la Constitución. </w:t>
      </w:r>
    </w:p>
  </w:footnote>
  <w:footnote w:id="19">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Artículo 162 de la Constitución.</w:t>
      </w:r>
    </w:p>
  </w:footnote>
  <w:footnote w:id="20">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vertAlign w:val="superscript"/>
        </w:rPr>
        <w:t xml:space="preserve"> </w:t>
      </w:r>
      <w:r w:rsidRPr="001A49EB">
        <w:rPr>
          <w:sz w:val="20"/>
          <w:szCs w:val="20"/>
        </w:rPr>
        <w:t>El 23 de septiembre de 2021, las entonces ministras de Relaciones Exteriores, Martha Lucía Ramírez Blanco, y de Comercio, Industria y Turismo, María Ximena Lombana</w:t>
      </w:r>
      <w:r w:rsidRPr="001A49EB">
        <w:rPr>
          <w:sz w:val="20"/>
          <w:szCs w:val="20"/>
        </w:rPr>
        <w:t xml:space="preserve"> Villalba, radicaron el proyecto de la ley aprobatoria, junto con su exposición de motivos, ante la Secretaría General del Senado de la República. Gaceta del Congreso n.° 1465 del 3 de octubre de 2021. A ese proyecto le fue asignado el número de radicado 2</w:t>
      </w:r>
      <w:r w:rsidRPr="001A49EB">
        <w:rPr>
          <w:sz w:val="20"/>
          <w:szCs w:val="20"/>
        </w:rPr>
        <w:t xml:space="preserve">20 de 2021 Senado. Por tanto, se dio cumplimiento a lo dispuesto en el artículo 142.20 de la Ley 5 de 1992 y en el último inciso del artículo 154 de la Constitución. </w:t>
      </w:r>
    </w:p>
  </w:footnote>
  <w:footnote w:id="21">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El texto original del proyecto de ley y la exposición de motivos fueron publicados en l</w:t>
      </w:r>
      <w:r w:rsidRPr="001A49EB">
        <w:rPr>
          <w:sz w:val="20"/>
          <w:szCs w:val="20"/>
        </w:rPr>
        <w:t xml:space="preserve">a Gaceta del Congreso n.° 1465 del 3 de octubre de 2021, antes del trámite respectivo en la Comisión Segunda Constitucional Permanente del Senado de la República (artículo 2 de la Ley 3 de 1992). Con esto se cumplió con lo previsto en los artículos 144 de </w:t>
      </w:r>
      <w:r w:rsidRPr="001A49EB">
        <w:rPr>
          <w:sz w:val="20"/>
          <w:szCs w:val="20"/>
        </w:rPr>
        <w:t xml:space="preserve">la Ley 5 de 1992 y 157 de la Constitución. </w:t>
      </w:r>
    </w:p>
  </w:footnote>
  <w:footnote w:id="22">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La senadora ponente Paola Andrea Holguín Moreno presentó informe de ponencia para primer debate ante el vicepresidente de la Comisión Segunda Constitucional Permanente del Senado, Lidio García Turbay. Este info</w:t>
      </w:r>
      <w:r w:rsidRPr="001A49EB">
        <w:rPr>
          <w:sz w:val="20"/>
          <w:szCs w:val="20"/>
        </w:rPr>
        <w:t xml:space="preserve">rme fue publicado en la Gaceta del Congreso n.° 1670 del 19 de noviembre de 2021 (pág. 5 a 48). En tales términos, se observaron las exigencias previstas por los artículos 160 de la Constitución (inciso cuarto) y 156 y 157 de la Ley 5 de 1992. </w:t>
      </w:r>
    </w:p>
  </w:footnote>
  <w:footnote w:id="23">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El anunci</w:t>
      </w:r>
      <w:r w:rsidRPr="001A49EB">
        <w:rPr>
          <w:sz w:val="20"/>
          <w:szCs w:val="20"/>
        </w:rPr>
        <w:t>o previo al primer debate se llevó a cabo el 1 de diciembre de 2021, tal y como consta en el Acta n.° 15 de la misma fecha, publicada en la Gaceta del Congreso n.° 482 del 13 de mayo de 2022 (pág. 14 y 15). Lo anterior, de conformidad con lo estatuido en e</w:t>
      </w:r>
      <w:r w:rsidRPr="001A49EB">
        <w:rPr>
          <w:sz w:val="20"/>
          <w:szCs w:val="20"/>
        </w:rPr>
        <w:t>l inciso final del artículo 160 de la Constitución. La fórmula utilizada para hacer el anuncio fue la siguiente:</w:t>
      </w:r>
      <w:r w:rsidRPr="001A49EB">
        <w:rPr>
          <w:noProof/>
          <w:sz w:val="20"/>
          <w:szCs w:val="20"/>
        </w:rPr>
        <w:t xml:space="preserve"> «El secretario de la Comisión Segunda del Senado de la República, doctor Diego Alejandro González González, informa: || </w:t>
      </w:r>
      <w:r w:rsidRPr="001A49EB">
        <w:rPr>
          <w:b/>
          <w:bCs/>
          <w:noProof/>
          <w:sz w:val="20"/>
          <w:szCs w:val="20"/>
        </w:rPr>
        <w:t>Me permito realizar los</w:t>
      </w:r>
      <w:r w:rsidRPr="001A49EB">
        <w:rPr>
          <w:b/>
          <w:bCs/>
          <w:noProof/>
          <w:sz w:val="20"/>
          <w:szCs w:val="20"/>
        </w:rPr>
        <w:t xml:space="preserve"> anuncios de los proyectos de ley que se discutirán en la próxima sesión</w:t>
      </w:r>
      <w:r w:rsidRPr="001A49EB">
        <w:rPr>
          <w:noProof/>
          <w:sz w:val="20"/>
          <w:szCs w:val="20"/>
        </w:rPr>
        <w:t>. || […] - Proyecto de ley número 220 de 2021 Senado, por medio de la cual se aprueba el protocolo adicional del acuerdo comercial entre la unión europea y sus estados miembros, por un</w:t>
      </w:r>
      <w:r w:rsidRPr="001A49EB">
        <w:rPr>
          <w:noProof/>
          <w:sz w:val="20"/>
          <w:szCs w:val="20"/>
        </w:rPr>
        <w:t>a parte, y Colombia y el Perú, por otra, para tener en cuenta la adhesión de la república de Croacia a la unión europea”, suscrito en Bruselas, el 30 de junio de 2015</w:t>
      </w:r>
      <w:bookmarkStart w:id="8" w:name="_Hlk133509264"/>
      <w:r w:rsidRPr="001A49EB">
        <w:rPr>
          <w:noProof/>
          <w:sz w:val="20"/>
          <w:szCs w:val="20"/>
        </w:rPr>
        <w:t>»</w:t>
      </w:r>
      <w:bookmarkEnd w:id="8"/>
      <w:r w:rsidRPr="001A49EB">
        <w:rPr>
          <w:noProof/>
          <w:sz w:val="20"/>
          <w:szCs w:val="20"/>
        </w:rPr>
        <w:t xml:space="preserve"> [negrilla fuera del texto].</w:t>
      </w:r>
    </w:p>
  </w:footnote>
  <w:footnote w:id="24">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El debate y la aprobación del proyecto de ley se llevó a cabo en la sesión ordinaria mixta del 7 de diciembre de 2021, como consta en el Acta n.° 16 del mismo día, publicada en la Gaceta del Congreso n.° 482 del 13 de mayo de 2022 (pág. 22 a 26). El texto</w:t>
      </w:r>
      <w:r w:rsidRPr="001A49EB">
        <w:rPr>
          <w:sz w:val="20"/>
          <w:szCs w:val="20"/>
        </w:rPr>
        <w:t xml:space="preserve"> del proyecto de ley aprobado en primer debate fue publicado en la Gaceta del Congreso n.° 257 del 5 de abril de 2022 (pág. 47).</w:t>
      </w:r>
    </w:p>
  </w:footnote>
  <w:footnote w:id="25">
    <w:p w:rsidR="00035165" w:rsidRPr="001A49EB" w:rsidRDefault="00D85C08" w:rsidP="002E78BC">
      <w:pPr>
        <w:pStyle w:val="Textonotapie"/>
        <w:jc w:val="both"/>
        <w:rPr>
          <w:sz w:val="20"/>
          <w:szCs w:val="20"/>
        </w:rPr>
      </w:pPr>
      <w:r w:rsidRPr="001A49EB">
        <w:rPr>
          <w:sz w:val="20"/>
          <w:szCs w:val="20"/>
          <w:vertAlign w:val="superscript"/>
        </w:rPr>
        <w:footnoteRef/>
      </w:r>
      <w:r w:rsidRPr="001A49EB">
        <w:rPr>
          <w:sz w:val="20"/>
          <w:szCs w:val="20"/>
          <w:vertAlign w:val="superscript"/>
        </w:rPr>
        <w:t xml:space="preserve"> </w:t>
      </w:r>
      <w:r w:rsidRPr="001A49EB">
        <w:rPr>
          <w:sz w:val="20"/>
          <w:szCs w:val="20"/>
        </w:rPr>
        <w:t>El 29 de marzo de 2022, la senadora ponente Paola Andrea Holguín Moreno presentó informe de ponencia para segundo debate ante</w:t>
      </w:r>
      <w:r w:rsidRPr="001A49EB">
        <w:rPr>
          <w:sz w:val="20"/>
          <w:szCs w:val="20"/>
        </w:rPr>
        <w:t xml:space="preserve"> el vicepresidente de la Comisión Segunda Constitucional Permanente del Senado, Lidio García Turbay. Dicho informe fue publicado en las Gacetas del Congreso 257 del 5 de abril (pág. 1 a 46) y 540 del 19 de mayo de 2022 (nota aclaratoria). </w:t>
      </w:r>
    </w:p>
  </w:footnote>
  <w:footnote w:id="26">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vertAlign w:val="superscript"/>
        </w:rPr>
        <w:t xml:space="preserve"> </w:t>
      </w:r>
      <w:r w:rsidRPr="001A49EB">
        <w:rPr>
          <w:sz w:val="20"/>
          <w:szCs w:val="20"/>
        </w:rPr>
        <w:t>El anuncio pre</w:t>
      </w:r>
      <w:r w:rsidRPr="001A49EB">
        <w:rPr>
          <w:sz w:val="20"/>
          <w:szCs w:val="20"/>
        </w:rPr>
        <w:t>vio a la votación se llevó a cabo en la sesión plenaria del 13 de septiembre de 2022, como consta en el Acta de la plenaria del Senado n.° 9, publicada en la Gaceta del Congreso n.° 1432 del 15 de noviembre de 2022 (pág. 18 y 19). La fórmula utilizada para</w:t>
      </w:r>
      <w:r w:rsidRPr="001A49EB">
        <w:rPr>
          <w:sz w:val="20"/>
          <w:szCs w:val="20"/>
        </w:rPr>
        <w:t xml:space="preserve"> hacer el anuncio fue la siguiente:</w:t>
      </w:r>
      <w:r w:rsidRPr="001A49EB">
        <w:rPr>
          <w:noProof/>
          <w:sz w:val="20"/>
          <w:szCs w:val="20"/>
        </w:rPr>
        <w:t xml:space="preserve"> «Anuncio de proyectos || Por instrucciones de la Presidencia y, de conformidad con el Acto legislativo 01 de 2003, por Secretaría </w:t>
      </w:r>
      <w:r w:rsidRPr="001A49EB">
        <w:rPr>
          <w:b/>
          <w:bCs/>
          <w:noProof/>
          <w:sz w:val="20"/>
          <w:szCs w:val="20"/>
        </w:rPr>
        <w:t>se anuncian los proyectos que se discutirán y aprobarán en la próxima sesión</w:t>
      </w:r>
      <w:r w:rsidRPr="001A49EB">
        <w:rPr>
          <w:noProof/>
          <w:sz w:val="20"/>
          <w:szCs w:val="20"/>
        </w:rPr>
        <w:t>. || Primer pu</w:t>
      </w:r>
      <w:r w:rsidRPr="001A49EB">
        <w:rPr>
          <w:noProof/>
          <w:sz w:val="20"/>
          <w:szCs w:val="20"/>
        </w:rPr>
        <w:t>nto, anuncio de proyectos, señor Presidente, proyectos de ley: || […] Proyecto de ley número 220 de 2021 Senado, por medio de la cual se aprueba el “protocolo adicional del acuerdo comercial entre la Unión Europea y sus Estados miembros, por una parte, y C</w:t>
      </w:r>
      <w:r w:rsidRPr="001A49EB">
        <w:rPr>
          <w:noProof/>
          <w:sz w:val="20"/>
          <w:szCs w:val="20"/>
        </w:rPr>
        <w:t>olombia y el Perú, por otra, para tener en cuenta la adhesión de la República de Croacia a la Unión Europea” suscrito en Bruselas, el 30 de junio de 2015» [negrilla fuera del texto].</w:t>
      </w:r>
    </w:p>
  </w:footnote>
  <w:footnote w:id="27">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El proyecto de ley fue aprobado en sesión plenaria el 20 de septiembre de 2022. De esto se dejó prueba en el Acta de la plenaria del Senado n.° 10, publicada en la Gaceta del Congreso 1433 del 15 de noviembre de 2022 (pág. 36 a 41). El texto del proyecto </w:t>
      </w:r>
      <w:r w:rsidRPr="001A49EB">
        <w:rPr>
          <w:sz w:val="20"/>
          <w:szCs w:val="20"/>
        </w:rPr>
        <w:t>de ley aprobado en segundo debate fue publicado en la Gaceta del Congreso n.° 1152 del 28 de septiembre de 2022 (pág. 15).</w:t>
      </w:r>
    </w:p>
  </w:footnote>
  <w:footnote w:id="28">
    <w:p w:rsidR="00035165" w:rsidRPr="001A49EB" w:rsidRDefault="00D85C08" w:rsidP="008311C9">
      <w:pPr>
        <w:pStyle w:val="Textonotapie"/>
        <w:jc w:val="both"/>
        <w:rPr>
          <w:sz w:val="20"/>
          <w:szCs w:val="20"/>
        </w:rPr>
      </w:pPr>
      <w:r w:rsidRPr="001A49EB">
        <w:rPr>
          <w:rStyle w:val="Refdenotaalpie"/>
          <w:sz w:val="20"/>
          <w:szCs w:val="20"/>
        </w:rPr>
        <w:footnoteRef/>
      </w:r>
      <w:r w:rsidRPr="001A49EB">
        <w:rPr>
          <w:sz w:val="20"/>
          <w:szCs w:val="20"/>
        </w:rPr>
        <w:t xml:space="preserve"> Se votó y aprobó la omisión de la lectura del articulado y el articulado propuesto del proyecto de ley.</w:t>
      </w:r>
    </w:p>
  </w:footnote>
  <w:footnote w:id="29">
    <w:p w:rsidR="00035165" w:rsidRPr="001A49EB" w:rsidRDefault="00D85C08" w:rsidP="008311C9">
      <w:pPr>
        <w:pStyle w:val="Textonotapie"/>
        <w:jc w:val="both"/>
        <w:rPr>
          <w:sz w:val="20"/>
          <w:szCs w:val="20"/>
        </w:rPr>
      </w:pPr>
      <w:r w:rsidRPr="001A49EB">
        <w:rPr>
          <w:rStyle w:val="Refdenotaalpie"/>
          <w:sz w:val="20"/>
          <w:szCs w:val="20"/>
        </w:rPr>
        <w:footnoteRef/>
      </w:r>
      <w:r w:rsidRPr="001A49EB">
        <w:rPr>
          <w:sz w:val="20"/>
          <w:szCs w:val="20"/>
        </w:rPr>
        <w:t xml:space="preserve"> Se votó y aprobó el títul</w:t>
      </w:r>
      <w:r w:rsidRPr="001A49EB">
        <w:rPr>
          <w:sz w:val="20"/>
          <w:szCs w:val="20"/>
        </w:rPr>
        <w:t xml:space="preserve">o del proyecto y la intención de que este tuviera segundo debate. </w:t>
      </w:r>
    </w:p>
  </w:footnote>
  <w:footnote w:id="30">
    <w:p w:rsidR="00035165" w:rsidRPr="001A49EB" w:rsidRDefault="00D85C08" w:rsidP="008311C9">
      <w:pPr>
        <w:pStyle w:val="Textonotapie"/>
        <w:jc w:val="both"/>
        <w:rPr>
          <w:sz w:val="20"/>
          <w:szCs w:val="20"/>
        </w:rPr>
      </w:pPr>
      <w:r w:rsidRPr="001A49EB">
        <w:rPr>
          <w:rStyle w:val="Refdenotaalpie"/>
          <w:sz w:val="20"/>
          <w:szCs w:val="20"/>
        </w:rPr>
        <w:footnoteRef/>
      </w:r>
      <w:r w:rsidRPr="001A49EB">
        <w:rPr>
          <w:sz w:val="20"/>
          <w:szCs w:val="20"/>
        </w:rPr>
        <w:t xml:space="preserve"> Los senadores Iván Cepeda Castro y Feliciano Valencia Medina votaron en contra de la proposición final.</w:t>
      </w:r>
    </w:p>
  </w:footnote>
  <w:footnote w:id="31">
    <w:p w:rsidR="00035165" w:rsidRPr="001A49EB" w:rsidRDefault="00D85C08" w:rsidP="008311C9">
      <w:pPr>
        <w:pStyle w:val="Textonotapie"/>
        <w:jc w:val="both"/>
        <w:rPr>
          <w:sz w:val="20"/>
          <w:szCs w:val="20"/>
        </w:rPr>
      </w:pPr>
      <w:r w:rsidRPr="001A49EB">
        <w:rPr>
          <w:rStyle w:val="Refdenotaalpie"/>
          <w:sz w:val="20"/>
          <w:szCs w:val="20"/>
        </w:rPr>
        <w:footnoteRef/>
      </w:r>
      <w:r w:rsidRPr="001A49EB">
        <w:rPr>
          <w:sz w:val="20"/>
          <w:szCs w:val="20"/>
        </w:rPr>
        <w:t xml:space="preserve"> Los senadores Iván Cepeda Castro y Feliciano Valencia Medina votaron en contra de</w:t>
      </w:r>
      <w:r w:rsidRPr="001A49EB">
        <w:rPr>
          <w:sz w:val="20"/>
          <w:szCs w:val="20"/>
        </w:rPr>
        <w:t xml:space="preserve"> la aprobación de la omisión de la lectura del articulado y del articulado propuesto del proyecto de ley. </w:t>
      </w:r>
    </w:p>
  </w:footnote>
  <w:footnote w:id="32">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Acta n.° 10 del 20 de septiembre de 2022, publicada en la Gaceta del Congreso n.° 1433 del 15 de noviembre de 2022 (pág. 1 y 2). </w:t>
      </w:r>
    </w:p>
  </w:footnote>
  <w:footnote w:id="33">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34">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Se v</w:t>
      </w:r>
      <w:r w:rsidRPr="001A49EB">
        <w:rPr>
          <w:sz w:val="20"/>
          <w:szCs w:val="20"/>
        </w:rPr>
        <w:t xml:space="preserve">otó y aprobó la proposición positiva con que terminó el informe de ponencia. </w:t>
      </w:r>
    </w:p>
  </w:footnote>
  <w:footnote w:id="35">
    <w:p w:rsidR="00035165" w:rsidRPr="001A49EB" w:rsidRDefault="00D85C08" w:rsidP="002E78BC">
      <w:pPr>
        <w:pStyle w:val="Textonotapie"/>
        <w:jc w:val="both"/>
        <w:rPr>
          <w:sz w:val="20"/>
          <w:szCs w:val="20"/>
        </w:rPr>
      </w:pPr>
      <w:r w:rsidRPr="001A49EB">
        <w:rPr>
          <w:rStyle w:val="Refdenotaalpie"/>
          <w:sz w:val="20"/>
          <w:szCs w:val="20"/>
        </w:rPr>
        <w:footnoteRef/>
      </w:r>
      <w:r w:rsidRPr="001A49EB">
        <w:rPr>
          <w:sz w:val="20"/>
          <w:szCs w:val="20"/>
        </w:rPr>
        <w:t xml:space="preserve"> Se votó y aprobó la omisión de la lectura del articulado, el bloque del articulado, el título y que el proyecto de ley hiciera tránsito a la Cámara de Representantes. </w:t>
      </w:r>
    </w:p>
  </w:footnote>
  <w:footnote w:id="36">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La vot</w:t>
      </w:r>
      <w:r w:rsidRPr="001A49EB">
        <w:rPr>
          <w:sz w:val="20"/>
          <w:szCs w:val="20"/>
        </w:rPr>
        <w:t>ación nominal de la proposición positiva con que terminó el informe de ponencia se encuentra registrada en las páginas 39 y 40 de la Gaceta del Congreso n.° 1433 del 15 de noviembre de 2022.</w:t>
      </w:r>
    </w:p>
  </w:footnote>
  <w:footnote w:id="37">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La votación nominal de la omisión de la lectura del articulado,</w:t>
      </w:r>
      <w:r w:rsidRPr="001A49EB">
        <w:rPr>
          <w:sz w:val="20"/>
          <w:szCs w:val="20"/>
        </w:rPr>
        <w:t xml:space="preserve"> el bloque del articulado, el título y que el proyecto de ley hiciera tránsito a la Cámara de Representantes se encuentra registrada en la página 41 de la Gaceta del Congreso n.° 1433 del 15 de noviembre de 2022.</w:t>
      </w:r>
    </w:p>
  </w:footnote>
  <w:footnote w:id="38">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Sobre la diferencia entre el número de le</w:t>
      </w:r>
      <w:r w:rsidRPr="001A49EB">
        <w:rPr>
          <w:sz w:val="20"/>
          <w:szCs w:val="20"/>
        </w:rPr>
        <w:t>gisladores asistentes a la sesión y el número de votos válidos obtenidos, se puede consultar la Sentencia C-029 de 2018, reiterada en las Sentencias C-126 de 2023 y C-187 de 2022.</w:t>
      </w:r>
    </w:p>
  </w:footnote>
  <w:footnote w:id="39">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Artículos 145 de la Constitución y 116 de la Ley 5 de 1992.</w:t>
      </w:r>
    </w:p>
  </w:footnote>
  <w:footnote w:id="40">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w:t>
      </w:r>
    </w:p>
  </w:footnote>
  <w:footnote w:id="41">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Ar</w:t>
      </w:r>
      <w:r w:rsidRPr="001A49EB">
        <w:rPr>
          <w:sz w:val="20"/>
          <w:szCs w:val="20"/>
        </w:rPr>
        <w:t>tículos 146 de la Constitución y 117.1 y 118 de la Ley 5 de 1992.</w:t>
      </w:r>
    </w:p>
  </w:footnote>
  <w:footnote w:id="42">
    <w:p w:rsidR="00035165" w:rsidRPr="001A49EB" w:rsidRDefault="00D85C08" w:rsidP="00004CBF">
      <w:pPr>
        <w:pStyle w:val="Textonotapie"/>
        <w:jc w:val="both"/>
        <w:rPr>
          <w:sz w:val="20"/>
          <w:szCs w:val="20"/>
        </w:rPr>
      </w:pPr>
      <w:r w:rsidRPr="001A49EB">
        <w:rPr>
          <w:rStyle w:val="Refdenotaalpie"/>
          <w:sz w:val="20"/>
          <w:szCs w:val="20"/>
        </w:rPr>
        <w:footnoteRef/>
      </w:r>
      <w:r w:rsidRPr="001A49EB">
        <w:rPr>
          <w:sz w:val="20"/>
          <w:szCs w:val="20"/>
        </w:rPr>
        <w:t xml:space="preserve"> Cfr. Certificación suscrita por el secretario general del Senado de la República, Gregorio Eljach Pacheco, el 12 de julio de 2023. </w:t>
      </w:r>
    </w:p>
  </w:footnote>
  <w:footnote w:id="43">
    <w:p w:rsidR="00035165" w:rsidRPr="001A49EB" w:rsidRDefault="00D85C08" w:rsidP="00F16061">
      <w:pPr>
        <w:pStyle w:val="Textonotapie"/>
        <w:jc w:val="both"/>
        <w:rPr>
          <w:sz w:val="20"/>
          <w:szCs w:val="20"/>
        </w:rPr>
      </w:pPr>
      <w:r w:rsidRPr="001A49EB">
        <w:rPr>
          <w:rStyle w:val="Refdenotaalpie"/>
          <w:sz w:val="20"/>
          <w:szCs w:val="20"/>
        </w:rPr>
        <w:footnoteRef/>
      </w:r>
      <w:r w:rsidRPr="001A49EB">
        <w:rPr>
          <w:sz w:val="20"/>
          <w:szCs w:val="20"/>
        </w:rPr>
        <w:t xml:space="preserve"> El texto propuesto del proyecto de ley fue publicado e</w:t>
      </w:r>
      <w:r w:rsidRPr="001A49EB">
        <w:rPr>
          <w:sz w:val="20"/>
          <w:szCs w:val="20"/>
        </w:rPr>
        <w:t xml:space="preserve">n la Gaceta del Congreso n.° 1401 del 10 de noviembre de 2022, páginas 17 y18. </w:t>
      </w:r>
    </w:p>
  </w:footnote>
  <w:footnote w:id="44">
    <w:p w:rsidR="00035165" w:rsidRPr="001A49EB" w:rsidRDefault="00D85C08" w:rsidP="00DE6CD5">
      <w:pPr>
        <w:pStyle w:val="Textonotapie"/>
        <w:jc w:val="both"/>
        <w:rPr>
          <w:sz w:val="20"/>
          <w:szCs w:val="20"/>
        </w:rPr>
      </w:pPr>
      <w:r w:rsidRPr="001A49EB">
        <w:rPr>
          <w:rStyle w:val="Refdenotaalpie"/>
          <w:sz w:val="20"/>
          <w:szCs w:val="20"/>
        </w:rPr>
        <w:footnoteRef/>
      </w:r>
      <w:r w:rsidRPr="001A49EB">
        <w:rPr>
          <w:sz w:val="20"/>
          <w:szCs w:val="20"/>
        </w:rPr>
        <w:t xml:space="preserve"> El anuncio previo al primer debate se llevó a cabo el 22 de noviembre de 2022, tal y como consta en el Acta n.° 12 de la misma fecha, publicada en la Gaceta del Congreso n.° </w:t>
      </w:r>
      <w:r w:rsidRPr="001A49EB">
        <w:rPr>
          <w:sz w:val="20"/>
          <w:szCs w:val="20"/>
        </w:rPr>
        <w:t>465 del 10 de mayo de 2023 (pág. 2). Lo anterior, de conformidad con lo estatuido en el inciso final del artículo 160 de la Constitución. La fórmula utilizada para hacer el anuncio fue la siguiente:</w:t>
      </w:r>
      <w:r w:rsidRPr="001A49EB">
        <w:rPr>
          <w:noProof/>
          <w:sz w:val="20"/>
          <w:szCs w:val="20"/>
        </w:rPr>
        <w:t xml:space="preserve"> «Hace uso de la palabra el Secretario de la Comisión Segu</w:t>
      </w:r>
      <w:r w:rsidRPr="001A49EB">
        <w:rPr>
          <w:noProof/>
          <w:sz w:val="20"/>
          <w:szCs w:val="20"/>
        </w:rPr>
        <w:t xml:space="preserve">nda; doctor Juan Carlos Rivera Peña: Anuncio de proyectos de ley para discusión y votación en primer debate.|| </w:t>
      </w:r>
      <w:r w:rsidRPr="001A49EB">
        <w:rPr>
          <w:b/>
          <w:bCs/>
          <w:noProof/>
          <w:sz w:val="20"/>
          <w:szCs w:val="20"/>
        </w:rPr>
        <w:t>Procedo, señora Presidenta, a leer los proyectos de ley que vamos a anunciar.</w:t>
      </w:r>
      <w:r w:rsidRPr="001A49EB">
        <w:rPr>
          <w:noProof/>
          <w:sz w:val="20"/>
          <w:szCs w:val="20"/>
        </w:rPr>
        <w:t xml:space="preserve"> || […] - Proyecto de ley número 220 de 2021 Senado, por medio de la</w:t>
      </w:r>
      <w:r w:rsidRPr="001A49EB">
        <w:rPr>
          <w:noProof/>
          <w:sz w:val="20"/>
          <w:szCs w:val="20"/>
        </w:rPr>
        <w:t xml:space="preserve"> cual se aprueba el protocolo adicional del acuerdo comercial entre la unión europea y sus estados miembros, por una parte, y Colombia y el Perú, por otra, para tener en cuenta la adhesión de la república de Croacia a la unión europea”, suscrito en Brusela</w:t>
      </w:r>
      <w:r w:rsidRPr="001A49EB">
        <w:rPr>
          <w:noProof/>
          <w:sz w:val="20"/>
          <w:szCs w:val="20"/>
        </w:rPr>
        <w:t>s, el 30 de junio de 2015. Publicación: Ponencia Primer Debate Cámara Gaceta del Congreso número 1401 de 2022.» [negrilla fuera del texto].</w:t>
      </w:r>
    </w:p>
  </w:footnote>
  <w:footnote w:id="45">
    <w:p w:rsidR="00035165" w:rsidRPr="001A49EB" w:rsidRDefault="00D85C08" w:rsidP="00DE6CD5">
      <w:pPr>
        <w:pStyle w:val="Textonotapie"/>
        <w:jc w:val="both"/>
        <w:rPr>
          <w:sz w:val="20"/>
          <w:szCs w:val="20"/>
        </w:rPr>
      </w:pPr>
      <w:r w:rsidRPr="001A49EB">
        <w:rPr>
          <w:rStyle w:val="Refdenotaalpie"/>
          <w:sz w:val="20"/>
          <w:szCs w:val="20"/>
        </w:rPr>
        <w:footnoteRef/>
      </w:r>
      <w:r w:rsidRPr="001A49EB">
        <w:rPr>
          <w:sz w:val="20"/>
          <w:szCs w:val="20"/>
        </w:rPr>
        <w:t xml:space="preserve"> El debate y la aprobación del proyecto de ley se llevó a cabo en la sesión ordinaria del 23 de noviembre de 2022, </w:t>
      </w:r>
      <w:r w:rsidRPr="001A49EB">
        <w:rPr>
          <w:sz w:val="20"/>
          <w:szCs w:val="20"/>
        </w:rPr>
        <w:t>como consta en el Acta n.° 13 del mismo día, publicada en la Gaceta del Congreso n.° 465 del 10 de mayo de 2023 (pág. 12 a 14). El texto del proyecto de ley aprobado en primer debate fue publicado en la Gaceta del Congreso n.° 1567 del 2 de diciembre de 20</w:t>
      </w:r>
      <w:r w:rsidRPr="001A49EB">
        <w:rPr>
          <w:sz w:val="20"/>
          <w:szCs w:val="20"/>
        </w:rPr>
        <w:t>22 (pág. 18).</w:t>
      </w:r>
    </w:p>
  </w:footnote>
  <w:footnote w:id="46">
    <w:p w:rsidR="00035165" w:rsidRPr="001A49EB" w:rsidRDefault="00D85C08" w:rsidP="00DE6CD5">
      <w:pPr>
        <w:pStyle w:val="Textonotapie"/>
        <w:jc w:val="both"/>
        <w:rPr>
          <w:sz w:val="20"/>
          <w:szCs w:val="20"/>
        </w:rPr>
      </w:pPr>
      <w:r w:rsidRPr="001A49EB">
        <w:rPr>
          <w:sz w:val="20"/>
          <w:szCs w:val="20"/>
          <w:vertAlign w:val="superscript"/>
        </w:rPr>
        <w:footnoteRef/>
      </w:r>
      <w:r w:rsidRPr="001A49EB">
        <w:rPr>
          <w:sz w:val="20"/>
          <w:szCs w:val="20"/>
          <w:vertAlign w:val="superscript"/>
        </w:rPr>
        <w:t xml:space="preserve"> </w:t>
      </w:r>
      <w:r w:rsidRPr="001A49EB">
        <w:rPr>
          <w:sz w:val="20"/>
          <w:szCs w:val="20"/>
        </w:rPr>
        <w:t>El 30 de noviembre de 2022, los ponentes presentaron informe de ponencia para segundo debate ante la presidente de la Comisión Segunda Constitucional Permanente de la Cámara de Representantes, Juana Carolina Londoño. Dicho informe fue publi</w:t>
      </w:r>
      <w:r w:rsidRPr="001A49EB">
        <w:rPr>
          <w:sz w:val="20"/>
          <w:szCs w:val="20"/>
        </w:rPr>
        <w:t xml:space="preserve">cado en la Gaceta del Congreso 1567 del 2 de diciembre de 2022 (pág. 15 a 20). </w:t>
      </w:r>
    </w:p>
  </w:footnote>
  <w:footnote w:id="47">
    <w:p w:rsidR="00035165" w:rsidRPr="001A49EB" w:rsidRDefault="00D85C08" w:rsidP="00F46476">
      <w:pPr>
        <w:pStyle w:val="Textonotapie"/>
        <w:jc w:val="both"/>
        <w:rPr>
          <w:sz w:val="20"/>
          <w:szCs w:val="20"/>
        </w:rPr>
      </w:pPr>
      <w:r w:rsidRPr="001A49EB">
        <w:rPr>
          <w:rStyle w:val="Refdenotaalpie"/>
          <w:sz w:val="20"/>
          <w:szCs w:val="20"/>
        </w:rPr>
        <w:footnoteRef/>
      </w:r>
      <w:r w:rsidRPr="001A49EB">
        <w:rPr>
          <w:sz w:val="20"/>
          <w:szCs w:val="20"/>
          <w:vertAlign w:val="superscript"/>
        </w:rPr>
        <w:t xml:space="preserve"> </w:t>
      </w:r>
      <w:r w:rsidRPr="001A49EB">
        <w:rPr>
          <w:sz w:val="20"/>
          <w:szCs w:val="20"/>
        </w:rPr>
        <w:t xml:space="preserve">El anuncio previo a la votación se llevó a cabo en la sesión plenaria del 13 de diciembre de 2022, como consta en el Acta de la plenaria del Senado n.°039, </w:t>
      </w:r>
      <w:r w:rsidRPr="00134AE5">
        <w:rPr>
          <w:sz w:val="20"/>
          <w:szCs w:val="20"/>
        </w:rPr>
        <w:t xml:space="preserve">publicada en la </w:t>
      </w:r>
      <w:r w:rsidRPr="00134AE5">
        <w:rPr>
          <w:sz w:val="20"/>
          <w:szCs w:val="20"/>
        </w:rPr>
        <w:t>Gaceta del Congreso n. 256 del 29 de marzo de 2023 (pág. 122).</w:t>
      </w:r>
      <w:r w:rsidRPr="001A49EB">
        <w:rPr>
          <w:sz w:val="20"/>
          <w:szCs w:val="20"/>
        </w:rPr>
        <w:t xml:space="preserve"> </w:t>
      </w:r>
      <w:r w:rsidRPr="00CC0DFA">
        <w:rPr>
          <w:sz w:val="20"/>
          <w:szCs w:val="20"/>
        </w:rPr>
        <w:t>La fórmula utilizada para hacer el anuncio fue la siguiente:</w:t>
      </w:r>
      <w:r w:rsidRPr="00CC0DFA">
        <w:rPr>
          <w:noProof/>
          <w:sz w:val="20"/>
          <w:szCs w:val="20"/>
        </w:rPr>
        <w:t xml:space="preserve"> «Sí Presidente, muchas gracias. Se anuncian los siguientes proyectos para la sesión plenaria del día de mañana miércoles 14 de dicie</w:t>
      </w:r>
      <w:r w:rsidRPr="00CC0DFA">
        <w:rPr>
          <w:noProof/>
          <w:sz w:val="20"/>
          <w:szCs w:val="20"/>
        </w:rPr>
        <w:t>mbre a las 3 de la tarde, he dicho, o para la siguiente sesión plenaria en la cual se debatan los proyectos de ley o actos legislativos. || Proyectos para segundo debate. (…) Proyecto de ley número 220 de 2022 Cámara, 220 de 2021 Senado, por el cual se apr</w:t>
      </w:r>
      <w:r w:rsidRPr="00CC0DFA">
        <w:rPr>
          <w:noProof/>
          <w:sz w:val="20"/>
          <w:szCs w:val="20"/>
        </w:rPr>
        <w:t>ueba el “Protocolo Nacional de Acuerdo Comercial entre la Unión Europea y los Estados Miembros por una Parte y Colombia y el Perú por otra, para tener en cuenta la adhesión de la República de Croacia a la Unión Europea”.</w:t>
      </w:r>
    </w:p>
  </w:footnote>
  <w:footnote w:id="48">
    <w:p w:rsidR="00035165" w:rsidRPr="001A49EB" w:rsidRDefault="00D85C08" w:rsidP="00DE6CD5">
      <w:pPr>
        <w:pStyle w:val="Textonotapie"/>
        <w:jc w:val="both"/>
        <w:rPr>
          <w:sz w:val="20"/>
          <w:szCs w:val="20"/>
        </w:rPr>
      </w:pPr>
      <w:r w:rsidRPr="001A49EB">
        <w:rPr>
          <w:rStyle w:val="Refdenotaalpie"/>
          <w:sz w:val="20"/>
          <w:szCs w:val="20"/>
        </w:rPr>
        <w:footnoteRef/>
      </w:r>
      <w:r w:rsidRPr="001A49EB">
        <w:rPr>
          <w:sz w:val="20"/>
          <w:szCs w:val="20"/>
        </w:rPr>
        <w:t xml:space="preserve"> El proyecto de ley fue aprobado e</w:t>
      </w:r>
      <w:r w:rsidRPr="001A49EB">
        <w:rPr>
          <w:sz w:val="20"/>
          <w:szCs w:val="20"/>
        </w:rPr>
        <w:t>n sesión plenaria el 14 de diciembre de 2022. De esto se dejó prueba en el Acta de la plenaria del Senado n.° 40, publicada en la Gaceta del Congreso 151 del 14 de marzo de 2023 (pág. 25 a 31). El texto del proyecto de ley aprobado en segundo debate fue pu</w:t>
      </w:r>
      <w:r w:rsidRPr="001A49EB">
        <w:rPr>
          <w:sz w:val="20"/>
          <w:szCs w:val="20"/>
        </w:rPr>
        <w:t>blicado en la Gaceta del Congreso n.° 1736 del 29 de diciembre de 2022 (pág. 4).</w:t>
      </w:r>
    </w:p>
  </w:footnote>
  <w:footnote w:id="49">
    <w:p w:rsidR="00035165" w:rsidRPr="001A49EB" w:rsidRDefault="00D85C08" w:rsidP="00FE416D">
      <w:pPr>
        <w:pStyle w:val="Textonotapie"/>
        <w:jc w:val="both"/>
        <w:rPr>
          <w:sz w:val="20"/>
          <w:szCs w:val="20"/>
        </w:rPr>
      </w:pPr>
      <w:r w:rsidRPr="001A49EB">
        <w:rPr>
          <w:rStyle w:val="Refdenotaalpie"/>
          <w:sz w:val="20"/>
          <w:szCs w:val="20"/>
        </w:rPr>
        <w:footnoteRef/>
      </w:r>
      <w:r w:rsidRPr="001A49EB">
        <w:rPr>
          <w:sz w:val="20"/>
          <w:szCs w:val="20"/>
        </w:rPr>
        <w:t xml:space="preserve"> Se votó y aprobó el título del proyecto y la intención de que este tuviera segundo debate. </w:t>
      </w:r>
    </w:p>
  </w:footnote>
  <w:footnote w:id="50">
    <w:p w:rsidR="00035165" w:rsidRPr="001A49EB" w:rsidRDefault="00D85C08" w:rsidP="00284D82">
      <w:pPr>
        <w:pStyle w:val="Textonotapie"/>
        <w:jc w:val="both"/>
        <w:rPr>
          <w:sz w:val="20"/>
          <w:szCs w:val="20"/>
        </w:rPr>
      </w:pPr>
      <w:r w:rsidRPr="001A49EB">
        <w:rPr>
          <w:rStyle w:val="Refdenotaalpie"/>
          <w:sz w:val="20"/>
          <w:szCs w:val="20"/>
        </w:rPr>
        <w:footnoteRef/>
      </w:r>
      <w:r w:rsidRPr="001A49EB">
        <w:rPr>
          <w:sz w:val="20"/>
          <w:szCs w:val="20"/>
        </w:rPr>
        <w:t xml:space="preserve"> Se votó y aprobó el título y que el proyecto de ley </w:t>
      </w:r>
      <w:r w:rsidRPr="00C67C26">
        <w:rPr>
          <w:sz w:val="20"/>
          <w:szCs w:val="20"/>
        </w:rPr>
        <w:t>sig</w:t>
      </w:r>
      <w:r>
        <w:rPr>
          <w:sz w:val="20"/>
          <w:szCs w:val="20"/>
        </w:rPr>
        <w:t>uiera</w:t>
      </w:r>
      <w:r w:rsidRPr="00C67C26">
        <w:rPr>
          <w:sz w:val="20"/>
          <w:szCs w:val="20"/>
        </w:rPr>
        <w:t xml:space="preserve"> su curso y </w:t>
      </w:r>
      <w:r>
        <w:rPr>
          <w:sz w:val="20"/>
          <w:szCs w:val="20"/>
        </w:rPr>
        <w:t>fuera</w:t>
      </w:r>
      <w:r w:rsidRPr="00C67C26">
        <w:rPr>
          <w:sz w:val="20"/>
          <w:szCs w:val="20"/>
        </w:rPr>
        <w:t xml:space="preserve"> ley de la República</w:t>
      </w:r>
      <w:r w:rsidRPr="001A49EB">
        <w:rPr>
          <w:sz w:val="20"/>
          <w:szCs w:val="20"/>
        </w:rPr>
        <w:t xml:space="preserve">. </w:t>
      </w:r>
    </w:p>
  </w:footnote>
  <w:footnote w:id="51">
    <w:p w:rsidR="00035165" w:rsidRPr="00074426" w:rsidRDefault="00D85C08" w:rsidP="00A027DF">
      <w:pPr>
        <w:pStyle w:val="Textonotapie"/>
        <w:jc w:val="both"/>
        <w:rPr>
          <w:sz w:val="20"/>
        </w:rPr>
      </w:pPr>
      <w:r w:rsidRPr="00074426">
        <w:rPr>
          <w:rStyle w:val="Refdenotaalpie"/>
          <w:sz w:val="20"/>
        </w:rPr>
        <w:footnoteRef/>
      </w:r>
      <w:r w:rsidRPr="00074426">
        <w:rPr>
          <w:sz w:val="20"/>
        </w:rPr>
        <w:t xml:space="preserve"> El informe de conciliación </w:t>
      </w:r>
      <w:r>
        <w:rPr>
          <w:sz w:val="20"/>
        </w:rPr>
        <w:t xml:space="preserve">y el texto conciliado </w:t>
      </w:r>
      <w:r w:rsidRPr="00074426">
        <w:rPr>
          <w:sz w:val="20"/>
        </w:rPr>
        <w:t>se publicó en la</w:t>
      </w:r>
      <w:r>
        <w:rPr>
          <w:sz w:val="20"/>
        </w:rPr>
        <w:t>s</w:t>
      </w:r>
      <w:r w:rsidRPr="00074426">
        <w:rPr>
          <w:sz w:val="20"/>
        </w:rPr>
        <w:t xml:space="preserve"> Gaceta</w:t>
      </w:r>
      <w:r>
        <w:rPr>
          <w:sz w:val="20"/>
        </w:rPr>
        <w:t>s</w:t>
      </w:r>
      <w:r w:rsidRPr="00074426">
        <w:rPr>
          <w:sz w:val="20"/>
        </w:rPr>
        <w:t xml:space="preserve"> del Congreso </w:t>
      </w:r>
      <w:r>
        <w:rPr>
          <w:sz w:val="20"/>
        </w:rPr>
        <w:t xml:space="preserve">190 y </w:t>
      </w:r>
      <w:r w:rsidRPr="00074426">
        <w:rPr>
          <w:sz w:val="20"/>
        </w:rPr>
        <w:t>198 del 22 de marzo de 2023 (pág</w:t>
      </w:r>
      <w:r>
        <w:rPr>
          <w:sz w:val="20"/>
        </w:rPr>
        <w:t>s</w:t>
      </w:r>
      <w:r w:rsidRPr="00074426">
        <w:rPr>
          <w:sz w:val="20"/>
        </w:rPr>
        <w:t xml:space="preserve">. </w:t>
      </w:r>
      <w:r>
        <w:rPr>
          <w:sz w:val="20"/>
        </w:rPr>
        <w:t xml:space="preserve">1 y </w:t>
      </w:r>
      <w:r w:rsidRPr="00074426">
        <w:rPr>
          <w:sz w:val="20"/>
        </w:rPr>
        <w:t>5</w:t>
      </w:r>
      <w:r>
        <w:rPr>
          <w:sz w:val="20"/>
        </w:rPr>
        <w:t xml:space="preserve"> respectivamente</w:t>
      </w:r>
      <w:r w:rsidRPr="00074426">
        <w:rPr>
          <w:sz w:val="20"/>
        </w:rPr>
        <w:t>)</w:t>
      </w:r>
      <w:r>
        <w:rPr>
          <w:sz w:val="20"/>
        </w:rPr>
        <w:t>.</w:t>
      </w:r>
    </w:p>
  </w:footnote>
  <w:footnote w:id="52">
    <w:p w:rsidR="00035165" w:rsidRPr="00E157C0" w:rsidRDefault="00D85C08">
      <w:pPr>
        <w:pStyle w:val="Textonotapie"/>
        <w:rPr>
          <w:sz w:val="20"/>
        </w:rPr>
      </w:pPr>
      <w:r w:rsidRPr="00E157C0">
        <w:rPr>
          <w:rStyle w:val="Refdenotaalpie"/>
          <w:sz w:val="20"/>
        </w:rPr>
        <w:footnoteRef/>
      </w:r>
      <w:r w:rsidRPr="00E157C0">
        <w:rPr>
          <w:sz w:val="20"/>
        </w:rPr>
        <w:t xml:space="preserve"> Gaceta del Congreso 475 del 12 de mayo de 2023, página 34.</w:t>
      </w:r>
    </w:p>
  </w:footnote>
  <w:footnote w:id="53">
    <w:p w:rsidR="00035165" w:rsidRPr="00E73235" w:rsidRDefault="00D85C08" w:rsidP="00E73235">
      <w:pPr>
        <w:pStyle w:val="Textonotapie"/>
        <w:jc w:val="both"/>
        <w:rPr>
          <w:sz w:val="20"/>
        </w:rPr>
      </w:pPr>
      <w:r w:rsidRPr="00E73235">
        <w:rPr>
          <w:rStyle w:val="Refdenotaalpie"/>
          <w:sz w:val="20"/>
        </w:rPr>
        <w:footnoteRef/>
      </w:r>
      <w:r w:rsidRPr="00E73235">
        <w:rPr>
          <w:sz w:val="20"/>
        </w:rPr>
        <w:t xml:space="preserve"> En Acta 45 del </w:t>
      </w:r>
      <w:r w:rsidRPr="00E73235">
        <w:rPr>
          <w:sz w:val="20"/>
        </w:rPr>
        <w:t>27 de marzo de 2023, publicada en la Gaceta del Congreso 556 de</w:t>
      </w:r>
      <w:r>
        <w:rPr>
          <w:sz w:val="20"/>
        </w:rPr>
        <w:t>l</w:t>
      </w:r>
      <w:r w:rsidRPr="00E73235">
        <w:rPr>
          <w:sz w:val="20"/>
        </w:rPr>
        <w:t xml:space="preserve"> 29 de mayo de 2023, se certifica la asistencia de </w:t>
      </w:r>
      <w:r w:rsidRPr="00E80467">
        <w:rPr>
          <w:sz w:val="20"/>
        </w:rPr>
        <w:t>156</w:t>
      </w:r>
      <w:r w:rsidRPr="00E73235">
        <w:rPr>
          <w:sz w:val="20"/>
        </w:rPr>
        <w:t xml:space="preserve"> representantes (pág</w:t>
      </w:r>
      <w:r>
        <w:rPr>
          <w:sz w:val="20"/>
        </w:rPr>
        <w:t>s</w:t>
      </w:r>
      <w:r w:rsidRPr="00E73235">
        <w:rPr>
          <w:sz w:val="20"/>
        </w:rPr>
        <w:t>. 3</w:t>
      </w:r>
      <w:r>
        <w:rPr>
          <w:sz w:val="20"/>
        </w:rPr>
        <w:t xml:space="preserve"> y 4</w:t>
      </w:r>
      <w:r w:rsidRPr="00E73235">
        <w:rPr>
          <w:sz w:val="20"/>
        </w:rPr>
        <w:t>)</w:t>
      </w:r>
      <w:r>
        <w:rPr>
          <w:sz w:val="20"/>
        </w:rPr>
        <w:t xml:space="preserve"> y la existencia de quorum decisorio (pág.10)</w:t>
      </w:r>
      <w:r w:rsidRPr="00E73235">
        <w:rPr>
          <w:sz w:val="20"/>
        </w:rPr>
        <w:t>.</w:t>
      </w:r>
    </w:p>
  </w:footnote>
  <w:footnote w:id="54">
    <w:p w:rsidR="00035165" w:rsidRPr="00D71FED" w:rsidRDefault="00D85C08">
      <w:pPr>
        <w:pStyle w:val="Textonotapie"/>
        <w:rPr>
          <w:sz w:val="20"/>
        </w:rPr>
      </w:pPr>
      <w:r w:rsidRPr="00D71FED">
        <w:rPr>
          <w:rStyle w:val="Refdenotaalpie"/>
          <w:sz w:val="20"/>
        </w:rPr>
        <w:footnoteRef/>
      </w:r>
      <w:r w:rsidRPr="00D71FED">
        <w:rPr>
          <w:sz w:val="20"/>
        </w:rPr>
        <w:t xml:space="preserve"> Gaceta del Congreso 432 del 8 de mayo de 2023, página 14.</w:t>
      </w:r>
    </w:p>
  </w:footnote>
  <w:footnote w:id="55">
    <w:p w:rsidR="00035165" w:rsidRPr="00980C6F" w:rsidRDefault="00D85C08">
      <w:pPr>
        <w:pStyle w:val="Textonotapie"/>
        <w:rPr>
          <w:sz w:val="20"/>
        </w:rPr>
      </w:pPr>
      <w:r w:rsidRPr="00980C6F">
        <w:rPr>
          <w:rStyle w:val="Refdenotaalpie"/>
          <w:sz w:val="20"/>
        </w:rPr>
        <w:footnoteRef/>
      </w:r>
      <w:r w:rsidRPr="00980C6F">
        <w:rPr>
          <w:sz w:val="20"/>
        </w:rPr>
        <w:t xml:space="preserve"> Gaceta del Congreso 436 del 8 de mayo de 2023, páginas 19 y 20.</w:t>
      </w:r>
    </w:p>
  </w:footnote>
  <w:footnote w:id="56">
    <w:p w:rsidR="00035165" w:rsidRPr="001A49EB" w:rsidRDefault="00D85C08" w:rsidP="00F47E82">
      <w:pPr>
        <w:pStyle w:val="Textonotapie"/>
        <w:jc w:val="both"/>
        <w:rPr>
          <w:sz w:val="20"/>
          <w:szCs w:val="20"/>
          <w:lang w:val="es-ES"/>
        </w:rPr>
      </w:pPr>
      <w:r w:rsidRPr="001A49EB">
        <w:rPr>
          <w:rStyle w:val="Refdenotaalpie"/>
          <w:sz w:val="20"/>
          <w:szCs w:val="20"/>
        </w:rPr>
        <w:footnoteRef/>
      </w:r>
      <w:r w:rsidRPr="001A49EB">
        <w:rPr>
          <w:sz w:val="20"/>
          <w:szCs w:val="20"/>
        </w:rPr>
        <w:t xml:space="preserve"> En la Sentencia C-170 de 2021, la Corte adelantó la revisión constitucional de la Ley 2031 de 2020, «[p]or medio de la cual se aprueba el “Acuerdo entre el Gobierno de la República de Colom</w:t>
      </w:r>
      <w:r w:rsidRPr="001A49EB">
        <w:rPr>
          <w:sz w:val="20"/>
          <w:szCs w:val="20"/>
        </w:rPr>
        <w:t>bia y el Gobierno de la República Francesa sobre Cooperación Financiera”, suscrito en Bogotá, D. C. el 19 de diciembre de 2016». Este precedente fue reiterado, entre otras, en las Sentencias C-187 y C-110 de 2022 y C-395 de 2021.</w:t>
      </w:r>
    </w:p>
  </w:footnote>
  <w:footnote w:id="57">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C-091 de 2021.</w:t>
      </w:r>
    </w:p>
  </w:footnote>
  <w:footnote w:id="58">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59">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En la Sentencia C-126 de 2023, la Corte unificó su jurisprudencia «en el sentido de precisar que la obligación contenida en el artículo 7 de la Ley Orgánica 819 de 2003 es aplicable a los tratados internacionales que ordenen gasto u otorguen </w:t>
      </w:r>
      <w:r w:rsidRPr="001A49EB">
        <w:rPr>
          <w:sz w:val="20"/>
          <w:szCs w:val="20"/>
        </w:rPr>
        <w:t xml:space="preserve">beneficios tributarios, </w:t>
      </w:r>
      <w:r w:rsidRPr="001A49EB">
        <w:rPr>
          <w:b/>
          <w:bCs/>
          <w:sz w:val="20"/>
          <w:szCs w:val="20"/>
        </w:rPr>
        <w:t>radicados</w:t>
      </w:r>
      <w:r w:rsidRPr="001A49EB">
        <w:rPr>
          <w:sz w:val="20"/>
          <w:szCs w:val="20"/>
        </w:rPr>
        <w:t xml:space="preserve"> en el Congreso de la República después de la </w:t>
      </w:r>
      <w:r w:rsidRPr="001A49EB">
        <w:rPr>
          <w:b/>
          <w:bCs/>
          <w:sz w:val="20"/>
          <w:szCs w:val="20"/>
        </w:rPr>
        <w:t>notificación</w:t>
      </w:r>
      <w:r w:rsidRPr="001A49EB">
        <w:rPr>
          <w:sz w:val="20"/>
          <w:szCs w:val="20"/>
        </w:rPr>
        <w:t xml:space="preserve"> de la Sentencia C-170 de 2021 (30 de julio de 2021). La Sala se decanta por este criterio, ya que es el más fiel a la redacción del citado artículo» [negrilla del t</w:t>
      </w:r>
      <w:r w:rsidRPr="001A49EB">
        <w:rPr>
          <w:sz w:val="20"/>
          <w:szCs w:val="20"/>
        </w:rPr>
        <w:t>exto original].</w:t>
      </w:r>
    </w:p>
  </w:footnote>
  <w:footnote w:id="60">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C-315 de 2008, reiterada en la Sentencia C-170 de 2021. </w:t>
      </w:r>
    </w:p>
  </w:footnote>
  <w:footnote w:id="61">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62">
    <w:p w:rsidR="00035165" w:rsidRPr="001A49EB" w:rsidRDefault="00D85C08" w:rsidP="00F47E82">
      <w:pPr>
        <w:spacing w:after="0" w:line="240" w:lineRule="auto"/>
        <w:jc w:val="both"/>
        <w:rPr>
          <w:sz w:val="20"/>
          <w:szCs w:val="20"/>
        </w:rPr>
      </w:pPr>
      <w:r w:rsidRPr="001A49EB">
        <w:rPr>
          <w:rStyle w:val="Refdenotaalpie"/>
          <w:sz w:val="20"/>
          <w:szCs w:val="20"/>
        </w:rPr>
        <w:footnoteRef/>
      </w:r>
      <w:r w:rsidRPr="001A49EB">
        <w:rPr>
          <w:sz w:val="20"/>
          <w:szCs w:val="20"/>
        </w:rPr>
        <w:t xml:space="preserve"> En concordancia con lo estatuido en el artículo 1 de la Ley Orgánica 819 de 2003, el Marco Fiscal de Mediano Plazo es el documento que el Gobierno nacional pr</w:t>
      </w:r>
      <w:r w:rsidRPr="001A49EB">
        <w:rPr>
          <w:sz w:val="20"/>
          <w:szCs w:val="20"/>
        </w:rPr>
        <w:t xml:space="preserve">esenta, antes del 15 de junio de cada vigencia fiscal, a las comisiones económicas del Senado y de la Cámara de Representantes, el cual debe ser estudiado y discutido con prioridad durante el primer debate de la ley anual de presupuesto. Como mínimo, este </w:t>
      </w:r>
      <w:r w:rsidRPr="001A49EB">
        <w:rPr>
          <w:sz w:val="20"/>
          <w:szCs w:val="20"/>
        </w:rPr>
        <w:t>documento debe contener: «a) El Plan Financiero contenido en el artículo 4o de la Ley 38 de 1989, modificado por el inciso 5 del artículo 55 de la Ley 179 de 1994; || b) Un programa macroeconómico plurianual; || c) Las metas de superávit primario a que hac</w:t>
      </w:r>
      <w:r w:rsidRPr="001A49EB">
        <w:rPr>
          <w:sz w:val="20"/>
          <w:szCs w:val="20"/>
        </w:rPr>
        <w:t>e referencia el artículo 2o de la presente ley, así como el nivel de deuda pública y un análisis de su sostenibilidad; || d) Un informe de resultados macroeconómicos y fiscales de la vigencia fiscal anterior. Este informe debe incluir, en caso de incumplim</w:t>
      </w:r>
      <w:r w:rsidRPr="001A49EB">
        <w:rPr>
          <w:sz w:val="20"/>
          <w:szCs w:val="20"/>
        </w:rPr>
        <w:t xml:space="preserve">iento de las metas fijadas en el Marco Fiscal de Mediano Plazo del año anterior, una explicación de cualquier desviación respecto a las metas y las medidas necesarias para corregirlas. Si se ha incumplido la meta de superávit primario del año anterior, el </w:t>
      </w:r>
      <w:r w:rsidRPr="001A49EB">
        <w:rPr>
          <w:sz w:val="20"/>
          <w:szCs w:val="20"/>
        </w:rPr>
        <w:t>nuevo Marco Fiscal de Mediano Plazo tiene que reflejar un ajuste tal que garantice la sostenibilidad de la deuda pública; || e) Una evaluación de las principales actividades cuasifiscales realizadas por el sector público; || f) Una estimación del costo fis</w:t>
      </w:r>
      <w:r w:rsidRPr="001A49EB">
        <w:rPr>
          <w:sz w:val="20"/>
          <w:szCs w:val="20"/>
        </w:rPr>
        <w:t>cal de las exenciones, deducciones o descuentos tributarios existentes; || g) El costo fiscal de las leyes sancionadas en la vigencia fiscal anterior; || h) Una relación de los pasivos contingentes que pudieran afectar la situación financiera de la Nación;</w:t>
      </w:r>
      <w:r w:rsidRPr="001A49EB">
        <w:rPr>
          <w:sz w:val="20"/>
          <w:szCs w:val="20"/>
        </w:rPr>
        <w:t xml:space="preserve"> || i) En todo presupuesto se deben incluir indicadores de gestión presupuestal y de resultado de los objetivos, planes y programas desagregados para mayor control del presupuesto».</w:t>
      </w:r>
    </w:p>
  </w:footnote>
  <w:footnote w:id="63">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C-170 de 2021.</w:t>
      </w:r>
    </w:p>
  </w:footnote>
  <w:footnote w:id="64">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Inciso 4 del artículo 7 de la Ley Orgánica 81</w:t>
      </w:r>
      <w:r w:rsidRPr="001A49EB">
        <w:rPr>
          <w:sz w:val="20"/>
          <w:szCs w:val="20"/>
        </w:rPr>
        <w:t>9 de 2003.</w:t>
      </w:r>
    </w:p>
  </w:footnote>
  <w:footnote w:id="65">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w:t>
      </w:r>
    </w:p>
  </w:footnote>
  <w:footnote w:id="66">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En relación con los proyectos de iniciativa legislativa, en la Sentencia C-170 de 2021, la Sala afirmó: «La jurisprudencia constitucional ha unificado la materia señalando lo siguiente: (i) el Congreso tiene la responsabilidad de val</w:t>
      </w:r>
      <w:r w:rsidRPr="001A49EB">
        <w:rPr>
          <w:sz w:val="20"/>
          <w:szCs w:val="20"/>
        </w:rPr>
        <w:t>orar las incidencias fiscales del proyecto de ley; (ii) esa carga no exige un análisis detallado o exhaustivo del costo fiscal y de las fuentes de financiamiento, aunque sí demanda una mínima consideración al respecto, de modo que sea posible establecer lo</w:t>
      </w:r>
      <w:r w:rsidRPr="001A49EB">
        <w:rPr>
          <w:sz w:val="20"/>
          <w:szCs w:val="20"/>
        </w:rPr>
        <w:t>s referentes básicos para analizar los efectos fiscales; (iii) la carga principal se encuentra radicada en el MHCP por sus conocimientos técnicos y por su condición de principal ejecutor del gasto público; (iv) el incumplimiento del Gobierno no afecta la d</w:t>
      </w:r>
      <w:r w:rsidRPr="001A49EB">
        <w:rPr>
          <w:sz w:val="20"/>
          <w:szCs w:val="20"/>
        </w:rPr>
        <w:t>ecisión del Congreso cuando este ha cumplido su deber. A su vez (v) si el Gobierno atiende la obligación de emitir su concepto, se radica en el Congreso el deber de estudiarlo y discutirlo. En adición a ello, debe precisarse (vi) que ni el silencio del Gob</w:t>
      </w:r>
      <w:r w:rsidRPr="001A49EB">
        <w:rPr>
          <w:sz w:val="20"/>
          <w:szCs w:val="20"/>
        </w:rPr>
        <w:t xml:space="preserve">ierno ni su oposición al proyecto impide que el Congreso lo apruebe, siempre y cuando cumpla los requerimientos antes señalados».  </w:t>
      </w:r>
    </w:p>
  </w:footnote>
  <w:footnote w:id="67">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Artículos 150.16, 164 y 189.2, de la Constitución. </w:t>
      </w:r>
    </w:p>
  </w:footnote>
  <w:footnote w:id="68">
    <w:p w:rsidR="00035165" w:rsidRPr="001A49EB" w:rsidRDefault="00D85C08" w:rsidP="003C4036">
      <w:pPr>
        <w:pStyle w:val="Textonotapie"/>
        <w:jc w:val="both"/>
        <w:rPr>
          <w:sz w:val="20"/>
          <w:szCs w:val="20"/>
        </w:rPr>
      </w:pPr>
      <w:r w:rsidRPr="001A49EB">
        <w:rPr>
          <w:rStyle w:val="Refdenotaalpie"/>
          <w:sz w:val="20"/>
          <w:szCs w:val="20"/>
        </w:rPr>
        <w:footnoteRef/>
      </w:r>
      <w:r w:rsidRPr="001A49EB">
        <w:rPr>
          <w:sz w:val="20"/>
          <w:szCs w:val="20"/>
        </w:rPr>
        <w:t xml:space="preserve"> Sentencia C-373 de 2009. Sintetizó así el alcance del artículo 7º de la Ley 819 y su relevancia en el control constitucional: «Recapitulando, el incumplimiento de las formalidades prescritas por el artículo 7 de la Ley 819 de 2003 tiene consecuencias dist</w:t>
      </w:r>
      <w:r w:rsidRPr="001A49EB">
        <w:rPr>
          <w:sz w:val="20"/>
          <w:szCs w:val="20"/>
        </w:rPr>
        <w:t>intas si se trata de un proyecto de ley de iniciativa parlamentaria o de un proyecto de ley de iniciativa gubernamental. En el primer caso la renuencia del Ministerio de Hacienda y Crédito Público a suministrar la información relacionada con el impacto fis</w:t>
      </w:r>
      <w:r w:rsidRPr="001A49EB">
        <w:rPr>
          <w:sz w:val="20"/>
          <w:szCs w:val="20"/>
        </w:rPr>
        <w:t>cal del proyecto, sus fuentes de financiamiento, y su compatibilidad con el Marco Fiscal de Mediano Plazo, no puede obstaculizar la labor legislativa ni paralizar la actividad del Congreso, razón por la cual, en este caso concreto, el procedimiento legisla</w:t>
      </w:r>
      <w:r w:rsidRPr="001A49EB">
        <w:rPr>
          <w:sz w:val="20"/>
          <w:szCs w:val="20"/>
        </w:rPr>
        <w:t>tivo no resulta viciado. Por el contrario, cuando se trata de un proyecto de iniciativa gubernamental, pesa en cabeza del Ministerio de Hacienda y Crédito Público el cumplimiento estricto de las formalidades señaladas por el precepto en cuestión, so pena d</w:t>
      </w:r>
      <w:r w:rsidRPr="001A49EB">
        <w:rPr>
          <w:sz w:val="20"/>
          <w:szCs w:val="20"/>
        </w:rPr>
        <w:t xml:space="preserve">e la declaratoria de inconstitucionalidad por la trasgresión de mandatos de carácter orgánico». </w:t>
      </w:r>
    </w:p>
  </w:footnote>
  <w:footnote w:id="69">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Reiterado, entre otras, en las Sentencias C-413, C-320 de 2022, </w:t>
      </w:r>
    </w:p>
  </w:footnote>
  <w:footnote w:id="70">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bookmarkStart w:id="9" w:name="_Hlk98407858"/>
      <w:r w:rsidRPr="001A49EB">
        <w:rPr>
          <w:sz w:val="20"/>
          <w:szCs w:val="20"/>
          <w:shd w:val="clear" w:color="auto" w:fill="FFFFFF"/>
        </w:rPr>
        <w:t>Revisión</w:t>
      </w:r>
      <w:r w:rsidRPr="001A49EB">
        <w:rPr>
          <w:spacing w:val="-9"/>
          <w:sz w:val="20"/>
          <w:szCs w:val="20"/>
          <w:shd w:val="clear" w:color="auto" w:fill="FFFFFF"/>
        </w:rPr>
        <w:t xml:space="preserve"> </w:t>
      </w:r>
      <w:r w:rsidRPr="001A49EB">
        <w:rPr>
          <w:sz w:val="20"/>
          <w:szCs w:val="20"/>
          <w:shd w:val="clear" w:color="auto" w:fill="FFFFFF"/>
        </w:rPr>
        <w:t>constitucional</w:t>
      </w:r>
      <w:r w:rsidRPr="001A49EB">
        <w:rPr>
          <w:spacing w:val="-11"/>
          <w:sz w:val="20"/>
          <w:szCs w:val="20"/>
          <w:shd w:val="clear" w:color="auto" w:fill="FFFFFF"/>
        </w:rPr>
        <w:t xml:space="preserve"> </w:t>
      </w:r>
      <w:r w:rsidRPr="001A49EB">
        <w:rPr>
          <w:sz w:val="20"/>
          <w:szCs w:val="20"/>
          <w:shd w:val="clear" w:color="auto" w:fill="FFFFFF"/>
        </w:rPr>
        <w:t>de</w:t>
      </w:r>
      <w:bookmarkStart w:id="10" w:name="_Hlk98516095"/>
      <w:bookmarkEnd w:id="9"/>
      <w:r w:rsidRPr="001A49EB">
        <w:rPr>
          <w:spacing w:val="-10"/>
          <w:sz w:val="20"/>
          <w:szCs w:val="20"/>
          <w:shd w:val="clear" w:color="auto" w:fill="FFFFFF"/>
        </w:rPr>
        <w:t xml:space="preserve"> </w:t>
      </w:r>
      <w:r w:rsidRPr="001A49EB">
        <w:rPr>
          <w:sz w:val="20"/>
          <w:szCs w:val="20"/>
          <w:shd w:val="clear" w:color="auto" w:fill="FFFFFF"/>
        </w:rPr>
        <w:t>la</w:t>
      </w:r>
      <w:bookmarkStart w:id="11" w:name="_Hlk98507813"/>
      <w:bookmarkEnd w:id="10"/>
      <w:r w:rsidRPr="001A49EB">
        <w:rPr>
          <w:spacing w:val="-10"/>
          <w:sz w:val="20"/>
          <w:szCs w:val="20"/>
          <w:shd w:val="clear" w:color="auto" w:fill="FFFFFF"/>
        </w:rPr>
        <w:t xml:space="preserve"> </w:t>
      </w:r>
      <w:r w:rsidRPr="001A49EB">
        <w:rPr>
          <w:sz w:val="20"/>
          <w:szCs w:val="20"/>
          <w:shd w:val="clear" w:color="auto" w:fill="FFFFFF"/>
        </w:rPr>
        <w:t>Ley</w:t>
      </w:r>
      <w:r w:rsidRPr="001A49EB">
        <w:rPr>
          <w:spacing w:val="-8"/>
          <w:sz w:val="20"/>
          <w:szCs w:val="20"/>
          <w:shd w:val="clear" w:color="auto" w:fill="FFFFFF"/>
        </w:rPr>
        <w:t xml:space="preserve"> </w:t>
      </w:r>
      <w:r w:rsidRPr="001A49EB">
        <w:rPr>
          <w:sz w:val="20"/>
          <w:szCs w:val="20"/>
          <w:shd w:val="clear" w:color="auto" w:fill="FFFFFF"/>
        </w:rPr>
        <w:t>2104</w:t>
      </w:r>
      <w:r w:rsidRPr="001A49EB">
        <w:rPr>
          <w:spacing w:val="-9"/>
          <w:sz w:val="20"/>
          <w:szCs w:val="20"/>
          <w:shd w:val="clear" w:color="auto" w:fill="FFFFFF"/>
        </w:rPr>
        <w:t xml:space="preserve"> </w:t>
      </w:r>
      <w:r w:rsidRPr="001A49EB">
        <w:rPr>
          <w:sz w:val="20"/>
          <w:szCs w:val="20"/>
          <w:shd w:val="clear" w:color="auto" w:fill="FFFFFF"/>
        </w:rPr>
        <w:t>de</w:t>
      </w:r>
      <w:r w:rsidRPr="001A49EB">
        <w:rPr>
          <w:spacing w:val="-11"/>
          <w:sz w:val="20"/>
          <w:szCs w:val="20"/>
          <w:shd w:val="clear" w:color="auto" w:fill="FFFFFF"/>
        </w:rPr>
        <w:t xml:space="preserve"> </w:t>
      </w:r>
      <w:r w:rsidRPr="001A49EB">
        <w:rPr>
          <w:sz w:val="20"/>
          <w:szCs w:val="20"/>
          <w:shd w:val="clear" w:color="auto" w:fill="FFFFFF"/>
        </w:rPr>
        <w:t>16 de julio de 2021</w:t>
      </w:r>
      <w:bookmarkEnd w:id="11"/>
      <w:r w:rsidRPr="001A49EB">
        <w:rPr>
          <w:sz w:val="20"/>
          <w:szCs w:val="20"/>
          <w:shd w:val="clear" w:color="auto" w:fill="FFFFFF"/>
        </w:rPr>
        <w:t xml:space="preserve">, </w:t>
      </w:r>
      <w:r w:rsidRPr="001A49EB">
        <w:rPr>
          <w:sz w:val="20"/>
          <w:szCs w:val="20"/>
        </w:rPr>
        <w:t>«</w:t>
      </w:r>
      <w:r w:rsidRPr="001A49EB">
        <w:rPr>
          <w:sz w:val="20"/>
          <w:szCs w:val="20"/>
          <w:shd w:val="clear" w:color="auto" w:fill="FFFFFF"/>
        </w:rPr>
        <w:t>por medio de la cual se</w:t>
      </w:r>
      <w:r w:rsidRPr="001A49EB">
        <w:rPr>
          <w:spacing w:val="1"/>
          <w:sz w:val="20"/>
          <w:szCs w:val="20"/>
          <w:shd w:val="clear" w:color="auto" w:fill="FFFFFF"/>
        </w:rPr>
        <w:t xml:space="preserve"> </w:t>
      </w:r>
      <w:r w:rsidRPr="001A49EB">
        <w:rPr>
          <w:sz w:val="20"/>
          <w:szCs w:val="20"/>
          <w:shd w:val="clear" w:color="auto" w:fill="FFFFFF"/>
        </w:rPr>
        <w:t>ap</w:t>
      </w:r>
      <w:r w:rsidRPr="001A49EB">
        <w:rPr>
          <w:sz w:val="20"/>
          <w:szCs w:val="20"/>
          <w:shd w:val="clear" w:color="auto" w:fill="FFFFFF"/>
        </w:rPr>
        <w:t>rueba</w:t>
      </w:r>
      <w:r w:rsidRPr="001A49EB">
        <w:rPr>
          <w:spacing w:val="1"/>
          <w:sz w:val="20"/>
          <w:szCs w:val="20"/>
          <w:shd w:val="clear" w:color="auto" w:fill="FFFFFF"/>
        </w:rPr>
        <w:t xml:space="preserve"> </w:t>
      </w:r>
      <w:r w:rsidRPr="001A49EB">
        <w:rPr>
          <w:sz w:val="20"/>
          <w:szCs w:val="20"/>
          <w:shd w:val="clear" w:color="auto" w:fill="FFFFFF"/>
        </w:rPr>
        <w:t>el</w:t>
      </w:r>
      <w:r w:rsidRPr="001A49EB">
        <w:rPr>
          <w:spacing w:val="1"/>
          <w:sz w:val="20"/>
          <w:szCs w:val="20"/>
          <w:shd w:val="clear" w:color="auto" w:fill="FFFFFF"/>
        </w:rPr>
        <w:t xml:space="preserve"> </w:t>
      </w:r>
      <w:r w:rsidRPr="001A49EB">
        <w:rPr>
          <w:sz w:val="20"/>
          <w:szCs w:val="20"/>
          <w:shd w:val="clear" w:color="auto" w:fill="FFFFFF"/>
        </w:rPr>
        <w:t>Acuerdo</w:t>
      </w:r>
      <w:r w:rsidRPr="001A49EB">
        <w:rPr>
          <w:spacing w:val="1"/>
          <w:sz w:val="20"/>
          <w:szCs w:val="20"/>
          <w:shd w:val="clear" w:color="auto" w:fill="FFFFFF"/>
        </w:rPr>
        <w:t xml:space="preserve"> </w:t>
      </w:r>
      <w:r w:rsidRPr="001A49EB">
        <w:rPr>
          <w:sz w:val="20"/>
          <w:szCs w:val="20"/>
          <w:shd w:val="clear" w:color="auto" w:fill="FFFFFF"/>
        </w:rPr>
        <w:t>entre</w:t>
      </w:r>
      <w:r w:rsidRPr="001A49EB">
        <w:rPr>
          <w:spacing w:val="1"/>
          <w:sz w:val="20"/>
          <w:szCs w:val="20"/>
          <w:shd w:val="clear" w:color="auto" w:fill="FFFFFF"/>
        </w:rPr>
        <w:t xml:space="preserve"> l</w:t>
      </w:r>
      <w:r w:rsidRPr="001A49EB">
        <w:rPr>
          <w:sz w:val="20"/>
          <w:szCs w:val="20"/>
          <w:shd w:val="clear" w:color="auto" w:fill="FFFFFF"/>
        </w:rPr>
        <w:t>a</w:t>
      </w:r>
      <w:r w:rsidRPr="001A49EB">
        <w:rPr>
          <w:spacing w:val="1"/>
          <w:sz w:val="20"/>
          <w:szCs w:val="20"/>
          <w:shd w:val="clear" w:color="auto" w:fill="FFFFFF"/>
        </w:rPr>
        <w:t xml:space="preserve"> </w:t>
      </w:r>
      <w:r w:rsidRPr="001A49EB">
        <w:rPr>
          <w:sz w:val="20"/>
          <w:szCs w:val="20"/>
          <w:shd w:val="clear" w:color="auto" w:fill="FFFFFF"/>
        </w:rPr>
        <w:t>República</w:t>
      </w:r>
      <w:r w:rsidRPr="001A49EB">
        <w:rPr>
          <w:spacing w:val="1"/>
          <w:sz w:val="20"/>
          <w:szCs w:val="20"/>
          <w:shd w:val="clear" w:color="auto" w:fill="FFFFFF"/>
        </w:rPr>
        <w:t xml:space="preserve"> de </w:t>
      </w:r>
      <w:r w:rsidRPr="001A49EB">
        <w:rPr>
          <w:sz w:val="20"/>
          <w:szCs w:val="20"/>
          <w:shd w:val="clear" w:color="auto" w:fill="FFFFFF"/>
        </w:rPr>
        <w:t>Colombia y el Banco Europeo de Inversiones sobre</w:t>
      </w:r>
      <w:r w:rsidRPr="001A49EB">
        <w:rPr>
          <w:spacing w:val="1"/>
          <w:sz w:val="20"/>
          <w:szCs w:val="20"/>
          <w:shd w:val="clear" w:color="auto" w:fill="FFFFFF"/>
        </w:rPr>
        <w:t xml:space="preserve"> </w:t>
      </w:r>
      <w:r w:rsidRPr="001A49EB">
        <w:rPr>
          <w:sz w:val="20"/>
          <w:szCs w:val="20"/>
          <w:shd w:val="clear" w:color="auto" w:fill="FFFFFF"/>
        </w:rPr>
        <w:t>el</w:t>
      </w:r>
      <w:r w:rsidRPr="001A49EB">
        <w:rPr>
          <w:spacing w:val="1"/>
          <w:sz w:val="20"/>
          <w:szCs w:val="20"/>
          <w:shd w:val="clear" w:color="auto" w:fill="FFFFFF"/>
        </w:rPr>
        <w:t xml:space="preserve"> </w:t>
      </w:r>
      <w:r w:rsidRPr="001A49EB">
        <w:rPr>
          <w:sz w:val="20"/>
          <w:szCs w:val="20"/>
          <w:shd w:val="clear" w:color="auto" w:fill="FFFFFF"/>
        </w:rPr>
        <w:t>establecimiento</w:t>
      </w:r>
      <w:r w:rsidRPr="001A49EB">
        <w:rPr>
          <w:spacing w:val="1"/>
          <w:sz w:val="20"/>
          <w:szCs w:val="20"/>
          <w:shd w:val="clear" w:color="auto" w:fill="FFFFFF"/>
        </w:rPr>
        <w:t xml:space="preserve"> </w:t>
      </w:r>
      <w:r w:rsidRPr="001A49EB">
        <w:rPr>
          <w:sz w:val="20"/>
          <w:szCs w:val="20"/>
          <w:shd w:val="clear" w:color="auto" w:fill="FFFFFF"/>
        </w:rPr>
        <w:t>de</w:t>
      </w:r>
      <w:r w:rsidRPr="001A49EB">
        <w:rPr>
          <w:spacing w:val="1"/>
          <w:sz w:val="20"/>
          <w:szCs w:val="20"/>
          <w:shd w:val="clear" w:color="auto" w:fill="FFFFFF"/>
        </w:rPr>
        <w:t xml:space="preserve"> </w:t>
      </w:r>
      <w:r w:rsidRPr="001A49EB">
        <w:rPr>
          <w:sz w:val="20"/>
          <w:szCs w:val="20"/>
          <w:shd w:val="clear" w:color="auto" w:fill="FFFFFF"/>
        </w:rPr>
        <w:t>una</w:t>
      </w:r>
      <w:r w:rsidRPr="001A49EB">
        <w:rPr>
          <w:spacing w:val="1"/>
          <w:sz w:val="20"/>
          <w:szCs w:val="20"/>
          <w:shd w:val="clear" w:color="auto" w:fill="FFFFFF"/>
        </w:rPr>
        <w:t xml:space="preserve"> </w:t>
      </w:r>
      <w:r w:rsidRPr="001A49EB">
        <w:rPr>
          <w:sz w:val="20"/>
          <w:szCs w:val="20"/>
          <w:shd w:val="clear" w:color="auto" w:fill="FFFFFF"/>
        </w:rPr>
        <w:t>Representación Regional del Banco Europeo</w:t>
      </w:r>
      <w:r w:rsidRPr="001A49EB">
        <w:rPr>
          <w:spacing w:val="1"/>
          <w:sz w:val="20"/>
          <w:szCs w:val="20"/>
          <w:shd w:val="clear" w:color="auto" w:fill="FFFFFF"/>
        </w:rPr>
        <w:t xml:space="preserve"> </w:t>
      </w:r>
      <w:r w:rsidRPr="001A49EB">
        <w:rPr>
          <w:sz w:val="20"/>
          <w:szCs w:val="20"/>
          <w:shd w:val="clear" w:color="auto" w:fill="FFFFFF"/>
        </w:rPr>
        <w:t>de Inversiones en la República de Colombia,</w:t>
      </w:r>
      <w:r w:rsidRPr="001A49EB">
        <w:rPr>
          <w:spacing w:val="1"/>
          <w:sz w:val="20"/>
          <w:szCs w:val="20"/>
          <w:shd w:val="clear" w:color="auto" w:fill="FFFFFF"/>
        </w:rPr>
        <w:t xml:space="preserve"> </w:t>
      </w:r>
      <w:r w:rsidRPr="001A49EB">
        <w:rPr>
          <w:sz w:val="20"/>
          <w:szCs w:val="20"/>
          <w:shd w:val="clear" w:color="auto" w:fill="FFFFFF"/>
        </w:rPr>
        <w:t>suscrito en Bogotá</w:t>
      </w:r>
      <w:r w:rsidRPr="001A49EB">
        <w:rPr>
          <w:spacing w:val="-2"/>
          <w:sz w:val="20"/>
          <w:szCs w:val="20"/>
          <w:shd w:val="clear" w:color="auto" w:fill="FFFFFF"/>
        </w:rPr>
        <w:t xml:space="preserve"> </w:t>
      </w:r>
      <w:r w:rsidRPr="001A49EB">
        <w:rPr>
          <w:sz w:val="20"/>
          <w:szCs w:val="20"/>
          <w:shd w:val="clear" w:color="auto" w:fill="FFFFFF"/>
        </w:rPr>
        <w:t>el</w:t>
      </w:r>
      <w:r w:rsidRPr="001A49EB">
        <w:rPr>
          <w:spacing w:val="-2"/>
          <w:sz w:val="20"/>
          <w:szCs w:val="20"/>
          <w:shd w:val="clear" w:color="auto" w:fill="FFFFFF"/>
        </w:rPr>
        <w:t xml:space="preserve"> </w:t>
      </w:r>
      <w:r w:rsidRPr="001A49EB">
        <w:rPr>
          <w:sz w:val="20"/>
          <w:szCs w:val="20"/>
          <w:shd w:val="clear" w:color="auto" w:fill="FFFFFF"/>
        </w:rPr>
        <w:t>22 de</w:t>
      </w:r>
      <w:r w:rsidRPr="001A49EB">
        <w:rPr>
          <w:spacing w:val="-2"/>
          <w:sz w:val="20"/>
          <w:szCs w:val="20"/>
          <w:shd w:val="clear" w:color="auto" w:fill="FFFFFF"/>
        </w:rPr>
        <w:t xml:space="preserve"> </w:t>
      </w:r>
      <w:r w:rsidRPr="001A49EB">
        <w:rPr>
          <w:sz w:val="20"/>
          <w:szCs w:val="20"/>
          <w:shd w:val="clear" w:color="auto" w:fill="FFFFFF"/>
        </w:rPr>
        <w:t>julio de</w:t>
      </w:r>
      <w:r w:rsidRPr="001A49EB">
        <w:rPr>
          <w:spacing w:val="-2"/>
          <w:sz w:val="20"/>
          <w:szCs w:val="20"/>
          <w:shd w:val="clear" w:color="auto" w:fill="FFFFFF"/>
        </w:rPr>
        <w:t xml:space="preserve"> </w:t>
      </w:r>
      <w:r w:rsidRPr="001A49EB">
        <w:rPr>
          <w:sz w:val="20"/>
          <w:szCs w:val="20"/>
          <w:shd w:val="clear" w:color="auto" w:fill="FFFFFF"/>
        </w:rPr>
        <w:t>2019</w:t>
      </w:r>
      <w:r w:rsidRPr="001A49EB">
        <w:rPr>
          <w:sz w:val="20"/>
          <w:szCs w:val="20"/>
        </w:rPr>
        <w:t>»</w:t>
      </w:r>
      <w:r w:rsidRPr="001A49EB">
        <w:rPr>
          <w:sz w:val="20"/>
          <w:szCs w:val="20"/>
          <w:shd w:val="clear" w:color="auto" w:fill="FFFFFF"/>
        </w:rPr>
        <w:t>.</w:t>
      </w:r>
    </w:p>
  </w:footnote>
  <w:footnote w:id="71">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Por la cual se adelantó el control de constitucionalidad del «Convenio entre la República de Colombia y Japón para la eliminación de la doble tributación con respecto a los impuestos sobre la renta y la prevención de la evasión y elusión tributarias», y d</w:t>
      </w:r>
      <w:r w:rsidRPr="001A49EB">
        <w:rPr>
          <w:sz w:val="20"/>
          <w:szCs w:val="20"/>
        </w:rPr>
        <w:t>e su protocolo, suscritos en Tokio, el 19 de diciembre de 2018, así como de la Ley 2095 de 1 de julio de 2021, por medio de la cual fueron aprobados dichos instrumentos internacionales.</w:t>
      </w:r>
    </w:p>
  </w:footnote>
  <w:footnote w:id="72">
    <w:p w:rsidR="00035165" w:rsidRPr="001A49EB" w:rsidRDefault="00D85C08" w:rsidP="00F47E82">
      <w:pPr>
        <w:pStyle w:val="Textonotapie"/>
        <w:jc w:val="both"/>
        <w:rPr>
          <w:sz w:val="20"/>
          <w:szCs w:val="20"/>
          <w:lang w:val="es-ES"/>
        </w:rPr>
      </w:pPr>
      <w:r w:rsidRPr="001A49EB">
        <w:rPr>
          <w:rStyle w:val="Refdenotaalpie"/>
          <w:sz w:val="20"/>
          <w:szCs w:val="20"/>
        </w:rPr>
        <w:footnoteRef/>
      </w:r>
      <w:r w:rsidRPr="001A49EB">
        <w:rPr>
          <w:sz w:val="20"/>
          <w:szCs w:val="20"/>
        </w:rPr>
        <w:t xml:space="preserve"> Sentencia C-187 de 2022: «</w:t>
      </w:r>
      <w:r w:rsidRPr="001A49EB">
        <w:rPr>
          <w:sz w:val="20"/>
          <w:szCs w:val="20"/>
          <w:shd w:val="clear" w:color="auto" w:fill="FFFFFF"/>
          <w:lang w:val="es-ES_tradnl"/>
        </w:rPr>
        <w:t>e</w:t>
      </w:r>
      <w:r w:rsidRPr="001A49EB">
        <w:rPr>
          <w:sz w:val="20"/>
          <w:szCs w:val="20"/>
          <w:lang w:val="es-ES_tradnl"/>
        </w:rPr>
        <w:t>n atención al contenido particular del tr</w:t>
      </w:r>
      <w:r w:rsidRPr="001A49EB">
        <w:rPr>
          <w:sz w:val="20"/>
          <w:szCs w:val="20"/>
          <w:lang w:val="es-ES_tradnl"/>
        </w:rPr>
        <w:t xml:space="preserve">atado sub examine, la Corte considera que no existen elementos de juicio suficientes para concluir que este crea situaciones privilegiadas y, por tanto, da lugar a beneficios fiscales para las personas cubiertas por este, de tal forma que sea imperante la </w:t>
      </w:r>
      <w:r w:rsidRPr="001A49EB">
        <w:rPr>
          <w:sz w:val="20"/>
          <w:szCs w:val="20"/>
          <w:lang w:val="es-ES_tradnl"/>
        </w:rPr>
        <w:t>aplicación de lo dispuesto por el artículo 7 de la Ley 819 de 2003».</w:t>
      </w:r>
    </w:p>
  </w:footnote>
  <w:footnote w:id="73">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Control automático de constitucionalidad del «Acuerdo entre la República de Colombia y el Instituto Global para el Crecimiento Verde con respecto a la personería jurídica y los privilegios e inmunidades del Instituto Global para el Crecimiento Verde», sus</w:t>
      </w:r>
      <w:r w:rsidRPr="001A49EB">
        <w:rPr>
          <w:sz w:val="20"/>
          <w:szCs w:val="20"/>
        </w:rPr>
        <w:t>crito en Seúl el 31 de enero de 2017 y en Bogotá el 6 de marzo de 2017, y de la Ley 2218 del 30 de junio de 2022, por medio de la cual fue aprobado.</w:t>
      </w:r>
    </w:p>
  </w:footnote>
  <w:footnote w:id="74">
    <w:p w:rsidR="00035165" w:rsidRPr="001A49EB" w:rsidRDefault="00D85C08" w:rsidP="003C4036">
      <w:pPr>
        <w:pStyle w:val="Textonotapie"/>
        <w:jc w:val="both"/>
        <w:rPr>
          <w:sz w:val="20"/>
          <w:szCs w:val="20"/>
        </w:rPr>
      </w:pPr>
      <w:r w:rsidRPr="001A49EB">
        <w:rPr>
          <w:rStyle w:val="Refdenotaalpie"/>
          <w:sz w:val="20"/>
          <w:szCs w:val="20"/>
        </w:rPr>
        <w:footnoteRef/>
      </w:r>
      <w:r w:rsidRPr="001A49EB">
        <w:rPr>
          <w:sz w:val="20"/>
          <w:szCs w:val="20"/>
        </w:rPr>
        <w:t xml:space="preserve"> Sentencia C-110 de 2019.</w:t>
      </w:r>
    </w:p>
  </w:footnote>
  <w:footnote w:id="75">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Incisos 2 y 4 del artículo 7 de la Ley Orgánica 819 de 2003. </w:t>
      </w:r>
    </w:p>
  </w:footnote>
  <w:footnote w:id="76">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Inciso 4 de de</w:t>
      </w:r>
      <w:r w:rsidRPr="001A49EB">
        <w:rPr>
          <w:sz w:val="20"/>
          <w:szCs w:val="20"/>
        </w:rPr>
        <w:t>l artículo 7 de la Ley Orgánica 819 de 2003.</w:t>
      </w:r>
    </w:p>
  </w:footnote>
  <w:footnote w:id="77">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C-520 de 2019. </w:t>
      </w:r>
    </w:p>
  </w:footnote>
  <w:footnote w:id="78">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79">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p>
  </w:footnote>
  <w:footnote w:id="80">
    <w:p w:rsidR="00035165" w:rsidRPr="001A49EB" w:rsidRDefault="00D85C08" w:rsidP="00F47E82">
      <w:pPr>
        <w:tabs>
          <w:tab w:val="left" w:pos="360"/>
        </w:tabs>
        <w:spacing w:after="0" w:line="240" w:lineRule="auto"/>
        <w:contextualSpacing/>
        <w:jc w:val="both"/>
        <w:rPr>
          <w:sz w:val="20"/>
          <w:szCs w:val="20"/>
        </w:rPr>
      </w:pPr>
      <w:r w:rsidRPr="001A49EB">
        <w:rPr>
          <w:rStyle w:val="Refdenotaalpie"/>
          <w:sz w:val="20"/>
          <w:szCs w:val="20"/>
        </w:rPr>
        <w:footnoteRef/>
      </w:r>
      <w:r w:rsidRPr="001A49EB">
        <w:rPr>
          <w:sz w:val="20"/>
          <w:szCs w:val="20"/>
        </w:rPr>
        <w:t xml:space="preserve"> En otro aparte de la misma sentencia, se lee: «</w:t>
      </w:r>
      <w:r w:rsidRPr="001A49EB">
        <w:rPr>
          <w:b/>
          <w:bCs/>
          <w:sz w:val="20"/>
          <w:szCs w:val="20"/>
          <w:shd w:val="clear" w:color="auto" w:fill="FFFFFF"/>
        </w:rPr>
        <w:t>El Ministerio de Hacienda y Crédito Público tampoco aportó concepto alguno</w:t>
      </w:r>
      <w:r w:rsidRPr="001A49EB">
        <w:rPr>
          <w:sz w:val="20"/>
          <w:szCs w:val="20"/>
          <w:shd w:val="clear" w:color="auto" w:fill="FFFFFF"/>
        </w:rPr>
        <w:t xml:space="preserve"> sobre esos costos fiscales y su correspondencia con las fuentes alternas para cubrirlos ni con la exposición de motivos del proyecto ni </w:t>
      </w:r>
      <w:r w:rsidRPr="001A49EB">
        <w:rPr>
          <w:b/>
          <w:bCs/>
          <w:sz w:val="20"/>
          <w:szCs w:val="20"/>
          <w:shd w:val="clear" w:color="auto" w:fill="FFFFFF"/>
        </w:rPr>
        <w:t>durante el trámite legislativo</w:t>
      </w:r>
      <w:r w:rsidRPr="001A49EB">
        <w:rPr>
          <w:sz w:val="20"/>
          <w:szCs w:val="20"/>
        </w:rPr>
        <w:t>» [negrilla fuera del texto]</w:t>
      </w:r>
      <w:r w:rsidRPr="001A49EB">
        <w:rPr>
          <w:sz w:val="20"/>
          <w:szCs w:val="20"/>
          <w:shd w:val="clear" w:color="auto" w:fill="FFFFFF"/>
        </w:rPr>
        <w:t xml:space="preserve">. </w:t>
      </w:r>
    </w:p>
  </w:footnote>
  <w:footnote w:id="81">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C-373 de 2009, reiterada en las Sentencias C-1</w:t>
      </w:r>
      <w:r w:rsidRPr="001A49EB">
        <w:rPr>
          <w:sz w:val="20"/>
          <w:szCs w:val="20"/>
        </w:rPr>
        <w:t>70 de 2021 y C-175 de 2023.</w:t>
      </w:r>
    </w:p>
  </w:footnote>
  <w:footnote w:id="82">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83">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w:t>
      </w:r>
    </w:p>
  </w:footnote>
  <w:footnote w:id="84">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C-373 de 2009.</w:t>
      </w:r>
    </w:p>
  </w:footnote>
  <w:footnote w:id="85">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86">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El Acuerdo Comercial entre Colombia y Perú, por una parte, y la Unión Europea y sus Estados Miembros, por otra, fue aprobado por el Congreso de la República mediante l</w:t>
      </w:r>
      <w:r w:rsidRPr="001A49EB">
        <w:rPr>
          <w:sz w:val="20"/>
          <w:szCs w:val="20"/>
        </w:rPr>
        <w:t>a Ley 1669 de 2013 y declarado exequible por la Corte Constitucional en la Sentencia C-335 de 2014.</w:t>
      </w:r>
    </w:p>
  </w:footnote>
  <w:footnote w:id="87">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Al respecto, en la exposición de motivos del proyecto de ley que culminó con la sanción de la Ley aprobatoria se lee que el «Acuerdo Comercial entre Colom</w:t>
      </w:r>
      <w:r w:rsidRPr="001A49EB">
        <w:rPr>
          <w:sz w:val="20"/>
          <w:szCs w:val="20"/>
        </w:rPr>
        <w:t>bia y Perú, por una parte, y la Unión Europea y sus Estados Miembros, por otra, fue suscrito en Bruselas el 26 de junio de 2012. […] En el momento de la negociación y suscripción del Acuerdo, Croacia no formaba parte de la Unión Europea. || […] La forma en</w:t>
      </w:r>
      <w:r w:rsidRPr="001A49EB">
        <w:rPr>
          <w:sz w:val="20"/>
          <w:szCs w:val="20"/>
        </w:rPr>
        <w:t xml:space="preserve"> que Croacia se convirtió en estado miembro de la Unión Europea fue a través de la suscripción de un “Tratado de Adhesión el 9 de diciembre de 2011, el cual entró en vigor el 1 de julio de 2013». Gaceta del Congreso n.° 1465 del 3 de octubre de 2021 (pág. </w:t>
      </w:r>
      <w:r w:rsidRPr="001A49EB">
        <w:rPr>
          <w:sz w:val="20"/>
          <w:szCs w:val="20"/>
        </w:rPr>
        <w:t>46).</w:t>
      </w:r>
    </w:p>
  </w:footnote>
  <w:footnote w:id="88">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Artículo 6.1. del Acuerdo Comercial entre Colombia y Perú, por una parte, y la Unión Europea y sus Estados Miembros.</w:t>
      </w:r>
    </w:p>
  </w:footnote>
  <w:footnote w:id="89">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Exposición de motivos de la ley aprobatoria. Gaceta del Congreso n.° 1465 del 3 de octubre de 2021 (pág. 46).</w:t>
      </w:r>
    </w:p>
  </w:footnote>
  <w:footnote w:id="90">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Artículo 3 del Acu</w:t>
      </w:r>
      <w:r w:rsidRPr="001A49EB">
        <w:rPr>
          <w:sz w:val="20"/>
          <w:szCs w:val="20"/>
        </w:rPr>
        <w:t>erdo Comercial entre Colombia y Perú, por una parte, y la Unión Europea y sus Estados Miembros, por otra, firmado en Bruselas el 26 de junio de 2012.</w:t>
      </w:r>
    </w:p>
  </w:footnote>
  <w:footnote w:id="91">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Artículos 4 y 11</w:t>
      </w:r>
      <w:r>
        <w:rPr>
          <w:sz w:val="20"/>
          <w:szCs w:val="20"/>
        </w:rPr>
        <w:t xml:space="preserve"> y </w:t>
      </w:r>
      <w:r w:rsidRPr="0049675C">
        <w:rPr>
          <w:sz w:val="20"/>
        </w:rPr>
        <w:t>el Título III</w:t>
      </w:r>
      <w:r>
        <w:rPr>
          <w:sz w:val="20"/>
        </w:rPr>
        <w:t>, capítulo 1, secciones 1, 2, 3 y 4</w:t>
      </w:r>
      <w:r w:rsidRPr="001A49EB">
        <w:rPr>
          <w:sz w:val="20"/>
          <w:szCs w:val="20"/>
        </w:rPr>
        <w:t xml:space="preserve">, entre otros, del Acuerdo Comercial </w:t>
      </w:r>
      <w:r w:rsidRPr="001A49EB">
        <w:rPr>
          <w:sz w:val="20"/>
          <w:szCs w:val="20"/>
        </w:rPr>
        <w:t>entre Colombia y Perú, por una parte, y la Unión Europea y sus Estados Miembros, por otra», firmado en Bruselas el 26 de junio de 2012.</w:t>
      </w:r>
    </w:p>
  </w:footnote>
  <w:footnote w:id="92">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En las Sentencias C-176 y C-126 de 2023, la Sala Plena consideró que, en el marco de leyes aprobatorias de tratados, l</w:t>
      </w:r>
      <w:r w:rsidRPr="001A49EB">
        <w:rPr>
          <w:sz w:val="20"/>
          <w:szCs w:val="20"/>
        </w:rPr>
        <w:t xml:space="preserve">a exoneración de los derechos de aduana o de aranceles sobre mercancías constituyen beneficios tributarios. </w:t>
      </w:r>
    </w:p>
  </w:footnote>
  <w:footnote w:id="93">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Exposición de motivos de la ley aprobatoria. Gaceta del Congreso n.° 1465 del 3 de octubre de 2021 (pág. 48).</w:t>
      </w:r>
    </w:p>
  </w:footnote>
  <w:footnote w:id="94">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 xml:space="preserve">. </w:t>
      </w:r>
    </w:p>
  </w:footnote>
  <w:footnote w:id="95">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w:t>
      </w:r>
    </w:p>
  </w:footnote>
  <w:footnote w:id="96">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w:t>
      </w:r>
    </w:p>
  </w:footnote>
  <w:footnote w:id="97">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Pá</w:t>
      </w:r>
      <w:r w:rsidRPr="001A49EB">
        <w:rPr>
          <w:sz w:val="20"/>
          <w:szCs w:val="20"/>
        </w:rPr>
        <w:t>g. 6.</w:t>
      </w:r>
    </w:p>
  </w:footnote>
  <w:footnote w:id="98">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Pág. 2 y 3. </w:t>
      </w:r>
    </w:p>
  </w:footnote>
  <w:footnote w:id="99">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Pág. 3.</w:t>
      </w:r>
    </w:p>
  </w:footnote>
  <w:footnote w:id="100">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Sentencia C-170 de 2021.</w:t>
      </w:r>
    </w:p>
  </w:footnote>
  <w:footnote w:id="101">
    <w:p w:rsidR="00035165" w:rsidRPr="001A49EB" w:rsidRDefault="00D85C08" w:rsidP="00F47E82">
      <w:pPr>
        <w:pStyle w:val="Textonotapie"/>
        <w:jc w:val="both"/>
        <w:rPr>
          <w:sz w:val="20"/>
          <w:szCs w:val="20"/>
        </w:rPr>
      </w:pPr>
      <w:r w:rsidRPr="001A49EB">
        <w:rPr>
          <w:rStyle w:val="Refdenotaalpie"/>
          <w:sz w:val="20"/>
          <w:szCs w:val="20"/>
        </w:rPr>
        <w:footnoteRef/>
      </w:r>
      <w:r w:rsidRPr="001A49EB">
        <w:rPr>
          <w:sz w:val="20"/>
          <w:szCs w:val="20"/>
        </w:rPr>
        <w:t xml:space="preserve"> </w:t>
      </w:r>
      <w:r w:rsidRPr="001A49EB">
        <w:rPr>
          <w:i/>
          <w:iCs/>
          <w:sz w:val="20"/>
          <w:szCs w:val="20"/>
        </w:rPr>
        <w:t>Ibidem</w:t>
      </w:r>
      <w:r w:rsidRPr="001A49EB">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400E0D"/>
    <w:multiLevelType w:val="multilevel"/>
    <w:tmpl w:val="E8DA8806"/>
    <w:lvl w:ilvl="0">
      <w:start w:val="1"/>
      <w:numFmt w:val="decimal"/>
      <w:lvlText w:val="%1."/>
      <w:lvlJc w:val="left"/>
      <w:pPr>
        <w:ind w:left="644" w:hanging="360"/>
      </w:pPr>
      <w:rPr>
        <w:b w:val="0"/>
      </w:rPr>
    </w:lvl>
    <w:lvl w:ilvl="1">
      <w:start w:val="3"/>
      <w:numFmt w:val="decimal"/>
      <w:isLgl/>
      <w:lvlText w:val="%1.%2."/>
      <w:lvlJc w:val="left"/>
      <w:pPr>
        <w:ind w:left="1004" w:hanging="72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C33"/>
    <w:rsid w:val="007A3C33"/>
    <w:rsid w:val="00D85C08"/>
    <w:rsid w:val="00DB42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6A52B81B-97BF-471A-BDA3-DBFD0CAB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6478DD"/>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s-MX"/>
    </w:rPr>
  </w:style>
  <w:style w:type="paragraph" w:styleId="Ttulo2">
    <w:name w:val="heading 2"/>
    <w:basedOn w:val="Normal"/>
    <w:next w:val="Normal"/>
    <w:link w:val="Ttulo2Car"/>
    <w:uiPriority w:val="9"/>
    <w:unhideWhenUsed/>
    <w:qFormat/>
    <w:rsid w:val="005233F9"/>
    <w:pPr>
      <w:keepNext/>
      <w:keepLines/>
      <w:spacing w:before="40" w:after="0"/>
      <w:outlineLvl w:val="1"/>
    </w:pPr>
    <w:rPr>
      <w:rFonts w:eastAsia="Times New Roman" w:cstheme="majorBidi"/>
      <w:b/>
      <w:sz w:val="28"/>
      <w:szCs w:val="26"/>
    </w:rPr>
  </w:style>
  <w:style w:type="paragraph" w:styleId="Ttulo3">
    <w:name w:val="heading 3"/>
    <w:basedOn w:val="Normal"/>
    <w:next w:val="Normal"/>
    <w:link w:val="Ttulo3Car"/>
    <w:uiPriority w:val="9"/>
    <w:semiHidden/>
    <w:unhideWhenUsed/>
    <w:qFormat/>
    <w:rsid w:val="006478DD"/>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78DD"/>
    <w:rPr>
      <w:rFonts w:asciiTheme="majorHAnsi" w:eastAsiaTheme="majorEastAsia" w:hAnsiTheme="majorHAnsi" w:cstheme="majorBidi"/>
      <w:color w:val="2E74B5" w:themeColor="accent1" w:themeShade="BF"/>
      <w:sz w:val="32"/>
      <w:szCs w:val="32"/>
      <w:lang w:eastAsia="es-MX"/>
    </w:rPr>
  </w:style>
  <w:style w:type="character" w:customStyle="1" w:styleId="Ttulo3Car">
    <w:name w:val="Título 3 Car"/>
    <w:basedOn w:val="Fuentedeprrafopredeter"/>
    <w:link w:val="Ttulo3"/>
    <w:uiPriority w:val="9"/>
    <w:semiHidden/>
    <w:rsid w:val="006478DD"/>
    <w:rPr>
      <w:rFonts w:asciiTheme="majorHAnsi" w:eastAsiaTheme="majorEastAsia" w:hAnsiTheme="majorHAnsi" w:cstheme="majorBidi"/>
      <w:color w:val="1F4D78" w:themeColor="accent1" w:themeShade="7F"/>
      <w:szCs w:val="24"/>
      <w:lang w:eastAsia="es-MX"/>
    </w:rPr>
  </w:style>
  <w:style w:type="numbering" w:customStyle="1" w:styleId="Sinlista1">
    <w:name w:val="Sin lista1"/>
    <w:next w:val="Sinlista"/>
    <w:uiPriority w:val="99"/>
    <w:semiHidden/>
    <w:unhideWhenUsed/>
    <w:rsid w:val="006478DD"/>
  </w:style>
  <w:style w:type="paragraph" w:styleId="NormalWeb">
    <w:name w:val="Normal (Web)"/>
    <w:basedOn w:val="Normal"/>
    <w:uiPriority w:val="99"/>
    <w:unhideWhenUsed/>
    <w:rsid w:val="006478DD"/>
    <w:pPr>
      <w:spacing w:after="0" w:line="240" w:lineRule="auto"/>
    </w:pPr>
    <w:rPr>
      <w:rFonts w:eastAsia="Times New Roman"/>
      <w:sz w:val="24"/>
      <w:szCs w:val="24"/>
      <w:lang w:eastAsia="es-MX"/>
    </w:rPr>
  </w:style>
  <w:style w:type="paragraph" w:styleId="Prrafodelista">
    <w:name w:val="List Paragraph"/>
    <w:basedOn w:val="Normal"/>
    <w:link w:val="PrrafodelistaCar"/>
    <w:uiPriority w:val="34"/>
    <w:qFormat/>
    <w:rsid w:val="006478DD"/>
    <w:pPr>
      <w:spacing w:after="0" w:line="240" w:lineRule="auto"/>
      <w:ind w:left="720"/>
      <w:contextualSpacing/>
    </w:pPr>
    <w:rPr>
      <w:rFonts w:eastAsia="Times New Roman"/>
      <w:sz w:val="24"/>
      <w:szCs w:val="24"/>
      <w:lang w:eastAsia="es-MX"/>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nhideWhenUsed/>
    <w:qFormat/>
    <w:rsid w:val="006478DD"/>
    <w:pPr>
      <w:spacing w:after="0" w:line="240" w:lineRule="auto"/>
    </w:pPr>
    <w:rPr>
      <w:rFonts w:eastAsia="Times New Roman"/>
      <w:sz w:val="24"/>
      <w:szCs w:val="24"/>
      <w:lang w:eastAsia="es-MX"/>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texto de nota al p Car"/>
    <w:basedOn w:val="Fuentedeprrafopredeter"/>
    <w:link w:val="Textonotapie"/>
    <w:qFormat/>
    <w:rsid w:val="006478DD"/>
    <w:rPr>
      <w:rFonts w:eastAsia="Times New Roman"/>
      <w:szCs w:val="24"/>
      <w:lang w:eastAsia="es-MX"/>
    </w:rPr>
  </w:style>
  <w:style w:type="character" w:styleId="Refdenotaalpie">
    <w:name w:val="footnote reference"/>
    <w:aliases w:val="referencia nota al pie,Texto de nota al pie,Nota de pie,Texto nota al pie,Appel note de bas de page,Footnotes refss,Footnote number,BVI fnr,f,Texto nota pie Car1,Footnote Text Char Char Char Char Char Car1,Footnote reference Car1,Ref"/>
    <w:basedOn w:val="Fuentedeprrafopredeter"/>
    <w:link w:val="Refdenotaalpie2"/>
    <w:uiPriority w:val="99"/>
    <w:unhideWhenUsed/>
    <w:qFormat/>
    <w:rsid w:val="006478DD"/>
    <w:rPr>
      <w:vertAlign w:val="superscript"/>
    </w:rPr>
  </w:style>
  <w:style w:type="paragraph" w:customStyle="1" w:styleId="Refdenotaalpie2">
    <w:name w:val="Ref. de nota al pie2"/>
    <w:aliases w:val="Pie de pagina"/>
    <w:basedOn w:val="Normal"/>
    <w:link w:val="Refdenotaalpie"/>
    <w:uiPriority w:val="99"/>
    <w:rsid w:val="006478DD"/>
    <w:pPr>
      <w:spacing w:line="240" w:lineRule="exact"/>
    </w:pPr>
    <w:rPr>
      <w:sz w:val="24"/>
      <w:vertAlign w:val="superscript"/>
    </w:rPr>
  </w:style>
  <w:style w:type="character" w:styleId="Hipervnculo">
    <w:name w:val="Hyperlink"/>
    <w:basedOn w:val="Fuentedeprrafopredeter"/>
    <w:uiPriority w:val="99"/>
    <w:unhideWhenUsed/>
    <w:rsid w:val="006478DD"/>
    <w:rPr>
      <w:color w:val="0563C1" w:themeColor="hyperlink"/>
      <w:u w:val="single"/>
    </w:rPr>
  </w:style>
  <w:style w:type="paragraph" w:styleId="Piedepgina">
    <w:name w:val="footer"/>
    <w:basedOn w:val="Normal"/>
    <w:link w:val="PiedepginaCar"/>
    <w:uiPriority w:val="99"/>
    <w:unhideWhenUsed/>
    <w:rsid w:val="006478DD"/>
    <w:pPr>
      <w:tabs>
        <w:tab w:val="center" w:pos="4419"/>
        <w:tab w:val="right" w:pos="8838"/>
      </w:tabs>
      <w:spacing w:after="0" w:line="240" w:lineRule="auto"/>
    </w:pPr>
    <w:rPr>
      <w:rFonts w:eastAsia="Times New Roman"/>
      <w:sz w:val="24"/>
      <w:szCs w:val="24"/>
      <w:lang w:eastAsia="es-MX"/>
    </w:rPr>
  </w:style>
  <w:style w:type="character" w:customStyle="1" w:styleId="PiedepginaCar">
    <w:name w:val="Pie de página Car"/>
    <w:basedOn w:val="Fuentedeprrafopredeter"/>
    <w:link w:val="Piedepgina"/>
    <w:uiPriority w:val="99"/>
    <w:rsid w:val="006478DD"/>
    <w:rPr>
      <w:rFonts w:eastAsia="Times New Roman"/>
      <w:szCs w:val="24"/>
      <w:lang w:eastAsia="es-MX"/>
    </w:rPr>
  </w:style>
  <w:style w:type="character" w:styleId="Nmerodepgina">
    <w:name w:val="page number"/>
    <w:basedOn w:val="Fuentedeprrafopredeter"/>
    <w:unhideWhenUsed/>
    <w:rsid w:val="006478DD"/>
  </w:style>
  <w:style w:type="paragraph" w:styleId="Textoindependiente2">
    <w:name w:val="Body Text 2"/>
    <w:basedOn w:val="Normal"/>
    <w:link w:val="Textoindependiente2Car"/>
    <w:uiPriority w:val="99"/>
    <w:unhideWhenUsed/>
    <w:rsid w:val="006478DD"/>
    <w:pPr>
      <w:spacing w:after="120" w:line="480" w:lineRule="auto"/>
    </w:pPr>
    <w:rPr>
      <w:rFonts w:eastAsia="Times New Roman"/>
      <w:sz w:val="24"/>
      <w:szCs w:val="24"/>
      <w:lang w:eastAsia="es-ES"/>
    </w:rPr>
  </w:style>
  <w:style w:type="character" w:customStyle="1" w:styleId="Textoindependiente2Car">
    <w:name w:val="Texto independiente 2 Car"/>
    <w:basedOn w:val="Fuentedeprrafopredeter"/>
    <w:link w:val="Textoindependiente2"/>
    <w:uiPriority w:val="99"/>
    <w:rsid w:val="006478DD"/>
    <w:rPr>
      <w:rFonts w:eastAsia="Times New Roman"/>
      <w:szCs w:val="24"/>
      <w:lang w:eastAsia="es-ES"/>
    </w:rPr>
  </w:style>
  <w:style w:type="paragraph" w:styleId="Ttulo">
    <w:name w:val="Title"/>
    <w:basedOn w:val="Normal"/>
    <w:link w:val="TtuloCar"/>
    <w:qFormat/>
    <w:rsid w:val="006478DD"/>
    <w:pPr>
      <w:overflowPunct w:val="0"/>
      <w:autoSpaceDE w:val="0"/>
      <w:autoSpaceDN w:val="0"/>
      <w:adjustRightInd w:val="0"/>
      <w:spacing w:after="0" w:line="240" w:lineRule="auto"/>
      <w:jc w:val="center"/>
      <w:textAlignment w:val="baseline"/>
    </w:pPr>
    <w:rPr>
      <w:rFonts w:eastAsia="Times New Roman"/>
      <w:b/>
      <w:sz w:val="28"/>
      <w:szCs w:val="20"/>
      <w:lang w:val="es-ES_tradnl" w:eastAsia="es-ES"/>
    </w:rPr>
  </w:style>
  <w:style w:type="character" w:customStyle="1" w:styleId="TtuloCar">
    <w:name w:val="Título Car"/>
    <w:basedOn w:val="Fuentedeprrafopredeter"/>
    <w:link w:val="Ttulo"/>
    <w:rsid w:val="006478DD"/>
    <w:rPr>
      <w:rFonts w:eastAsia="Times New Roman"/>
      <w:b/>
      <w:sz w:val="28"/>
      <w:szCs w:val="20"/>
      <w:lang w:val="es-ES_tradnl" w:eastAsia="es-ES"/>
    </w:rPr>
  </w:style>
  <w:style w:type="paragraph" w:customStyle="1" w:styleId="Body">
    <w:name w:val="Body"/>
    <w:rsid w:val="006478DD"/>
    <w:pPr>
      <w:pBdr>
        <w:top w:val="nil"/>
        <w:left w:val="nil"/>
        <w:bottom w:val="nil"/>
        <w:right w:val="nil"/>
        <w:between w:val="nil"/>
        <w:bar w:val="nil"/>
      </w:pBdr>
      <w:spacing w:after="0" w:line="240" w:lineRule="auto"/>
    </w:pPr>
    <w:rPr>
      <w:rFonts w:eastAsia="Times New Roman"/>
      <w:color w:val="000000"/>
      <w:sz w:val="20"/>
      <w:szCs w:val="20"/>
      <w:u w:color="000000"/>
      <w:bdr w:val="nil"/>
      <w:lang w:val="es-ES" w:eastAsia="es-ES"/>
    </w:rPr>
  </w:style>
  <w:style w:type="paragraph" w:styleId="Encabezado">
    <w:name w:val="header"/>
    <w:basedOn w:val="Normal"/>
    <w:link w:val="EncabezadoCar"/>
    <w:uiPriority w:val="99"/>
    <w:unhideWhenUsed/>
    <w:rsid w:val="006478DD"/>
    <w:pPr>
      <w:tabs>
        <w:tab w:val="center" w:pos="4419"/>
        <w:tab w:val="right" w:pos="8838"/>
      </w:tabs>
      <w:spacing w:after="0" w:line="240" w:lineRule="auto"/>
    </w:pPr>
    <w:rPr>
      <w:rFonts w:eastAsia="Times New Roman"/>
      <w:sz w:val="24"/>
      <w:szCs w:val="24"/>
      <w:lang w:eastAsia="es-MX"/>
    </w:rPr>
  </w:style>
  <w:style w:type="character" w:customStyle="1" w:styleId="EncabezadoCar">
    <w:name w:val="Encabezado Car"/>
    <w:basedOn w:val="Fuentedeprrafopredeter"/>
    <w:link w:val="Encabezado"/>
    <w:uiPriority w:val="99"/>
    <w:rsid w:val="006478DD"/>
    <w:rPr>
      <w:rFonts w:eastAsia="Times New Roman"/>
      <w:szCs w:val="24"/>
      <w:lang w:eastAsia="es-MX"/>
    </w:rPr>
  </w:style>
  <w:style w:type="character" w:customStyle="1" w:styleId="TextodegloboCar">
    <w:name w:val="Texto de globo Car"/>
    <w:basedOn w:val="Fuentedeprrafopredeter"/>
    <w:link w:val="Textodeglobo"/>
    <w:uiPriority w:val="99"/>
    <w:semiHidden/>
    <w:rsid w:val="006478DD"/>
    <w:rPr>
      <w:rFonts w:eastAsia="Times New Roman"/>
      <w:sz w:val="18"/>
      <w:szCs w:val="18"/>
      <w:lang w:val="es-ES" w:eastAsia="es-ES_tradnl"/>
    </w:rPr>
  </w:style>
  <w:style w:type="paragraph" w:styleId="Textodeglobo">
    <w:name w:val="Balloon Text"/>
    <w:basedOn w:val="Normal"/>
    <w:link w:val="TextodegloboCar"/>
    <w:uiPriority w:val="99"/>
    <w:semiHidden/>
    <w:unhideWhenUsed/>
    <w:rsid w:val="006478DD"/>
    <w:pPr>
      <w:spacing w:after="0" w:line="240" w:lineRule="auto"/>
    </w:pPr>
    <w:rPr>
      <w:rFonts w:eastAsia="Times New Roman"/>
      <w:sz w:val="18"/>
      <w:szCs w:val="18"/>
      <w:lang w:val="es-ES" w:eastAsia="es-ES_tradnl"/>
    </w:rPr>
  </w:style>
  <w:style w:type="character" w:customStyle="1" w:styleId="TextodegloboCar1">
    <w:name w:val="Texto de globo Car1"/>
    <w:basedOn w:val="Fuentedeprrafopredeter"/>
    <w:uiPriority w:val="99"/>
    <w:semiHidden/>
    <w:rsid w:val="006478DD"/>
    <w:rPr>
      <w:rFonts w:ascii="Segoe UI" w:hAnsi="Segoe UI" w:cs="Segoe UI"/>
      <w:sz w:val="18"/>
      <w:szCs w:val="18"/>
    </w:rPr>
  </w:style>
  <w:style w:type="table" w:styleId="Tablaconcuadrcula">
    <w:name w:val="Table Grid"/>
    <w:basedOn w:val="Tablanormal"/>
    <w:uiPriority w:val="39"/>
    <w:rsid w:val="006478DD"/>
    <w:pPr>
      <w:spacing w:after="0" w:line="240" w:lineRule="auto"/>
    </w:pPr>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basedOn w:val="Fuentedeprrafopredeter"/>
    <w:rsid w:val="006478DD"/>
  </w:style>
  <w:style w:type="character" w:customStyle="1" w:styleId="baj">
    <w:name w:val="b_aj"/>
    <w:basedOn w:val="Fuentedeprrafopredeter"/>
    <w:rsid w:val="006478DD"/>
  </w:style>
  <w:style w:type="character" w:styleId="Textoennegrita">
    <w:name w:val="Strong"/>
    <w:basedOn w:val="Fuentedeprrafopredeter"/>
    <w:uiPriority w:val="22"/>
    <w:qFormat/>
    <w:rsid w:val="006478DD"/>
    <w:rPr>
      <w:b/>
      <w:bCs/>
    </w:rPr>
  </w:style>
  <w:style w:type="character" w:customStyle="1" w:styleId="TextocomentarioCar">
    <w:name w:val="Texto comentario Car"/>
    <w:basedOn w:val="Fuentedeprrafopredeter"/>
    <w:link w:val="Textocomentario"/>
    <w:uiPriority w:val="99"/>
    <w:semiHidden/>
    <w:rsid w:val="006478DD"/>
    <w:rPr>
      <w:rFonts w:eastAsia="Times New Roman"/>
      <w:sz w:val="20"/>
      <w:szCs w:val="20"/>
      <w:lang w:val="es-ES" w:eastAsia="es-ES_tradnl"/>
    </w:rPr>
  </w:style>
  <w:style w:type="paragraph" w:styleId="Textocomentario">
    <w:name w:val="annotation text"/>
    <w:basedOn w:val="Normal"/>
    <w:link w:val="TextocomentarioCar"/>
    <w:uiPriority w:val="99"/>
    <w:semiHidden/>
    <w:unhideWhenUsed/>
    <w:rsid w:val="006478DD"/>
    <w:pPr>
      <w:spacing w:after="0" w:line="240" w:lineRule="auto"/>
    </w:pPr>
    <w:rPr>
      <w:rFonts w:eastAsia="Times New Roman"/>
      <w:sz w:val="20"/>
      <w:szCs w:val="20"/>
      <w:lang w:val="es-ES" w:eastAsia="es-ES_tradnl"/>
    </w:rPr>
  </w:style>
  <w:style w:type="character" w:customStyle="1" w:styleId="TextocomentarioCar1">
    <w:name w:val="Texto comentario Car1"/>
    <w:basedOn w:val="Fuentedeprrafopredeter"/>
    <w:uiPriority w:val="99"/>
    <w:semiHidden/>
    <w:rsid w:val="006478DD"/>
    <w:rPr>
      <w:sz w:val="20"/>
      <w:szCs w:val="20"/>
    </w:rPr>
  </w:style>
  <w:style w:type="character" w:customStyle="1" w:styleId="AsuntodelcomentarioCar">
    <w:name w:val="Asunto del comentario Car"/>
    <w:basedOn w:val="TextocomentarioCar"/>
    <w:link w:val="Asuntodelcomentario"/>
    <w:uiPriority w:val="99"/>
    <w:semiHidden/>
    <w:rsid w:val="006478DD"/>
    <w:rPr>
      <w:rFonts w:eastAsia="Times New Roman"/>
      <w:b/>
      <w:bCs/>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6478DD"/>
    <w:rPr>
      <w:b/>
      <w:bCs/>
    </w:rPr>
  </w:style>
  <w:style w:type="character" w:customStyle="1" w:styleId="AsuntodelcomentarioCar1">
    <w:name w:val="Asunto del comentario Car1"/>
    <w:basedOn w:val="TextocomentarioCar1"/>
    <w:uiPriority w:val="99"/>
    <w:semiHidden/>
    <w:rsid w:val="006478DD"/>
    <w:rPr>
      <w:b/>
      <w:bCs/>
      <w:sz w:val="20"/>
      <w:szCs w:val="20"/>
    </w:rPr>
  </w:style>
  <w:style w:type="paragraph" w:customStyle="1" w:styleId="centrado">
    <w:name w:val="centrado"/>
    <w:basedOn w:val="Normal"/>
    <w:rsid w:val="006478DD"/>
    <w:pPr>
      <w:spacing w:before="100" w:beforeAutospacing="1" w:after="100" w:afterAutospacing="1" w:line="240" w:lineRule="auto"/>
    </w:pPr>
    <w:rPr>
      <w:rFonts w:eastAsia="Times New Roman"/>
      <w:sz w:val="24"/>
      <w:szCs w:val="24"/>
      <w:lang w:eastAsia="es-MX"/>
    </w:rPr>
  </w:style>
  <w:style w:type="paragraph" w:styleId="Sinespaciado">
    <w:name w:val="No Spacing"/>
    <w:uiPriority w:val="1"/>
    <w:qFormat/>
    <w:rsid w:val="00EF2BD7"/>
    <w:pPr>
      <w:widowControl w:val="0"/>
      <w:pBdr>
        <w:top w:val="nil"/>
        <w:left w:val="nil"/>
        <w:bottom w:val="nil"/>
        <w:right w:val="nil"/>
        <w:between w:val="nil"/>
      </w:pBdr>
      <w:spacing w:after="0" w:line="240" w:lineRule="auto"/>
    </w:pPr>
    <w:rPr>
      <w:rFonts w:eastAsia="Calibri" w:cs="Calibri"/>
      <w:b/>
      <w:color w:val="000000"/>
      <w:sz w:val="28"/>
      <w:lang w:val="es-ES" w:eastAsia="es-ES"/>
    </w:rPr>
  </w:style>
  <w:style w:type="character" w:customStyle="1" w:styleId="PrrafodelistaCar">
    <w:name w:val="Párrafo de lista Car"/>
    <w:link w:val="Prrafodelista"/>
    <w:uiPriority w:val="34"/>
    <w:locked/>
    <w:rsid w:val="006478DD"/>
    <w:rPr>
      <w:rFonts w:eastAsia="Times New Roman"/>
      <w:szCs w:val="24"/>
      <w:lang w:eastAsia="es-MX"/>
    </w:rPr>
  </w:style>
  <w:style w:type="paragraph" w:customStyle="1" w:styleId="Piedepaginabsico">
    <w:name w:val="Pie de pagina básico"/>
    <w:basedOn w:val="Normal"/>
    <w:uiPriority w:val="99"/>
    <w:qFormat/>
    <w:rsid w:val="006478DD"/>
    <w:pPr>
      <w:spacing w:after="0" w:line="240" w:lineRule="auto"/>
      <w:jc w:val="both"/>
    </w:pPr>
    <w:rPr>
      <w:rFonts w:eastAsia="Times New Roman"/>
      <w:sz w:val="24"/>
      <w:szCs w:val="24"/>
      <w:vertAlign w:val="superscript"/>
    </w:rPr>
  </w:style>
  <w:style w:type="character" w:customStyle="1" w:styleId="Mencinsinresolver1">
    <w:name w:val="Mención sin resolver1"/>
    <w:basedOn w:val="Fuentedeprrafopredeter"/>
    <w:uiPriority w:val="99"/>
    <w:semiHidden/>
    <w:unhideWhenUsed/>
    <w:rsid w:val="006478DD"/>
    <w:rPr>
      <w:color w:val="605E5C"/>
      <w:shd w:val="clear" w:color="auto" w:fill="E1DFDD"/>
    </w:rPr>
  </w:style>
  <w:style w:type="paragraph" w:styleId="Textoindependiente">
    <w:name w:val="Body Text"/>
    <w:basedOn w:val="Normal"/>
    <w:link w:val="TextoindependienteCar"/>
    <w:uiPriority w:val="99"/>
    <w:semiHidden/>
    <w:unhideWhenUsed/>
    <w:rsid w:val="006478DD"/>
    <w:pPr>
      <w:spacing w:after="120"/>
    </w:pPr>
  </w:style>
  <w:style w:type="character" w:customStyle="1" w:styleId="TextoindependienteCar">
    <w:name w:val="Texto independiente Car"/>
    <w:basedOn w:val="Fuentedeprrafopredeter"/>
    <w:link w:val="Textoindependiente"/>
    <w:uiPriority w:val="99"/>
    <w:semiHidden/>
    <w:rsid w:val="006478DD"/>
    <w:rPr>
      <w:sz w:val="22"/>
    </w:rPr>
  </w:style>
  <w:style w:type="character" w:styleId="Refdecomentario">
    <w:name w:val="annotation reference"/>
    <w:basedOn w:val="Fuentedeprrafopredeter"/>
    <w:uiPriority w:val="99"/>
    <w:semiHidden/>
    <w:unhideWhenUsed/>
    <w:rsid w:val="006478DD"/>
    <w:rPr>
      <w:sz w:val="16"/>
      <w:szCs w:val="16"/>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D5422E"/>
    <w:pPr>
      <w:spacing w:after="0" w:line="240" w:lineRule="auto"/>
      <w:jc w:val="both"/>
    </w:pPr>
    <w:rPr>
      <w:sz w:val="28"/>
      <w:vertAlign w:val="superscript"/>
    </w:rPr>
  </w:style>
  <w:style w:type="paragraph" w:customStyle="1" w:styleId="BodyText21">
    <w:name w:val="Body Text 21"/>
    <w:basedOn w:val="Normal"/>
    <w:rsid w:val="00E2202B"/>
    <w:pPr>
      <w:overflowPunct w:val="0"/>
      <w:autoSpaceDE w:val="0"/>
      <w:autoSpaceDN w:val="0"/>
      <w:adjustRightInd w:val="0"/>
      <w:spacing w:after="0" w:line="240" w:lineRule="auto"/>
      <w:ind w:right="335"/>
      <w:jc w:val="both"/>
    </w:pPr>
    <w:rPr>
      <w:rFonts w:eastAsia="Times New Roman"/>
      <w:color w:val="000000"/>
      <w:sz w:val="28"/>
      <w:szCs w:val="20"/>
      <w:lang w:val="es-ES"/>
    </w:rPr>
  </w:style>
  <w:style w:type="character" w:customStyle="1" w:styleId="Ttulo2Car">
    <w:name w:val="Título 2 Car"/>
    <w:basedOn w:val="Fuentedeprrafopredeter"/>
    <w:link w:val="Ttulo2"/>
    <w:uiPriority w:val="9"/>
    <w:rsid w:val="005233F9"/>
    <w:rPr>
      <w:rFonts w:eastAsia="Times New Roman" w:cstheme="majorBidi"/>
      <w:b/>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9166</Words>
  <Characters>50417</Characters>
  <Application>Microsoft Office Word</Application>
  <DocSecurity>0</DocSecurity>
  <Lines>420</Lines>
  <Paragraphs>118</Paragraphs>
  <ScaleCrop>false</ScaleCrop>
  <Company/>
  <LinksUpToDate>false</LinksUpToDate>
  <CharactersWithSpaces>59465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2024-06-14T15:36:00Z</dcterms:created>
  <dcterms:modified xsi:type="dcterms:W3CDTF">2024-06-14T15:36:00Z</dcterms:modified>
</cp:coreProperties>
</file>